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8056F" w14:textId="17572262" w:rsidR="00FE7ABB" w:rsidRPr="003A0759" w:rsidRDefault="00EA4063" w:rsidP="00E30F56">
      <w:pPr>
        <w:spacing w:after="0" w:line="360" w:lineRule="auto"/>
        <w:ind w:right="49"/>
        <w:jc w:val="both"/>
        <w:rPr>
          <w:rFonts w:ascii="Palatino Linotype" w:eastAsia="Palatino Linotype" w:hAnsi="Palatino Linotype" w:cs="Palatino Linotype"/>
        </w:rPr>
      </w:pPr>
      <w:bookmarkStart w:id="0" w:name="_GoBack"/>
      <w:bookmarkEnd w:id="0"/>
      <w:r w:rsidRPr="003A0759">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sidR="00861417" w:rsidRPr="003A0759">
        <w:rPr>
          <w:rFonts w:ascii="Palatino Linotype" w:eastAsia="Palatino Linotype" w:hAnsi="Palatino Linotype" w:cs="Palatino Linotype"/>
        </w:rPr>
        <w:t xml:space="preserve"> </w:t>
      </w:r>
      <w:r w:rsidR="007D6345" w:rsidRPr="003A0759">
        <w:rPr>
          <w:rFonts w:ascii="Palatino Linotype" w:eastAsia="Palatino Linotype" w:hAnsi="Palatino Linotype" w:cs="Palatino Linotype"/>
          <w:b/>
        </w:rPr>
        <w:t>doce de noviembre de dos mil veinticinco</w:t>
      </w:r>
      <w:r w:rsidRPr="003A0759">
        <w:rPr>
          <w:rFonts w:ascii="Palatino Linotype" w:eastAsia="Palatino Linotype" w:hAnsi="Palatino Linotype" w:cs="Palatino Linotype"/>
        </w:rPr>
        <w:t xml:space="preserve">. </w:t>
      </w:r>
    </w:p>
    <w:p w14:paraId="15F51F4F" w14:textId="77777777" w:rsidR="00FE7ABB" w:rsidRPr="003A0759" w:rsidRDefault="00FE7ABB" w:rsidP="00E30F56">
      <w:pPr>
        <w:spacing w:after="0" w:line="360" w:lineRule="auto"/>
        <w:ind w:right="49"/>
        <w:jc w:val="center"/>
        <w:rPr>
          <w:rFonts w:ascii="Palatino Linotype" w:eastAsia="Palatino Linotype" w:hAnsi="Palatino Linotype" w:cs="Palatino Linotype"/>
        </w:rPr>
      </w:pPr>
    </w:p>
    <w:p w14:paraId="31A18829" w14:textId="19A065F1" w:rsidR="009C5DDF" w:rsidRPr="003A0759" w:rsidRDefault="009C5DDF"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b/>
        </w:rPr>
        <w:t xml:space="preserve">VISTOS </w:t>
      </w:r>
      <w:r w:rsidRPr="003A0759">
        <w:rPr>
          <w:rFonts w:ascii="Palatino Linotype" w:eastAsia="Palatino Linotype" w:hAnsi="Palatino Linotype" w:cs="Palatino Linotype"/>
        </w:rPr>
        <w:t xml:space="preserve">los expedientes relativos a los recursos de revisión </w:t>
      </w:r>
      <w:r w:rsidRPr="003A0759">
        <w:rPr>
          <w:rFonts w:ascii="Palatino Linotype" w:eastAsia="Palatino Linotype" w:hAnsi="Palatino Linotype" w:cs="Palatino Linotype"/>
          <w:b/>
        </w:rPr>
        <w:t>0</w:t>
      </w:r>
      <w:r w:rsidR="007D6345" w:rsidRPr="003A0759">
        <w:rPr>
          <w:rFonts w:ascii="Palatino Linotype" w:eastAsia="Palatino Linotype" w:hAnsi="Palatino Linotype" w:cs="Palatino Linotype"/>
          <w:b/>
        </w:rPr>
        <w:t>9724</w:t>
      </w:r>
      <w:r w:rsidRPr="003A0759">
        <w:rPr>
          <w:rFonts w:ascii="Palatino Linotype" w:eastAsia="Palatino Linotype" w:hAnsi="Palatino Linotype" w:cs="Palatino Linotype"/>
          <w:b/>
        </w:rPr>
        <w:t>/INFOEM/IP/RR/202</w:t>
      </w:r>
      <w:r w:rsidR="007D6345" w:rsidRPr="003A0759">
        <w:rPr>
          <w:rFonts w:ascii="Palatino Linotype" w:eastAsia="Palatino Linotype" w:hAnsi="Palatino Linotype" w:cs="Palatino Linotype"/>
          <w:b/>
        </w:rPr>
        <w:t xml:space="preserve">5 </w:t>
      </w:r>
      <w:r w:rsidR="004E4F1F" w:rsidRPr="003A0759">
        <w:rPr>
          <w:rFonts w:ascii="Palatino Linotype" w:eastAsia="Palatino Linotype" w:hAnsi="Palatino Linotype" w:cs="Palatino Linotype"/>
          <w:b/>
        </w:rPr>
        <w:t xml:space="preserve">y </w:t>
      </w:r>
      <w:r w:rsidRPr="003A0759">
        <w:rPr>
          <w:rFonts w:ascii="Palatino Linotype" w:eastAsia="Palatino Linotype" w:hAnsi="Palatino Linotype" w:cs="Palatino Linotype"/>
          <w:b/>
        </w:rPr>
        <w:t>0</w:t>
      </w:r>
      <w:r w:rsidR="007D6345" w:rsidRPr="003A0759">
        <w:rPr>
          <w:rFonts w:ascii="Palatino Linotype" w:eastAsia="Palatino Linotype" w:hAnsi="Palatino Linotype" w:cs="Palatino Linotype"/>
          <w:b/>
        </w:rPr>
        <w:t>9725</w:t>
      </w:r>
      <w:r w:rsidRPr="003A0759">
        <w:rPr>
          <w:rFonts w:ascii="Palatino Linotype" w:eastAsia="Palatino Linotype" w:hAnsi="Palatino Linotype" w:cs="Palatino Linotype"/>
          <w:b/>
        </w:rPr>
        <w:t>/INFOEM/IP/RR/202</w:t>
      </w:r>
      <w:r w:rsidR="007D6345" w:rsidRPr="003A0759">
        <w:rPr>
          <w:rFonts w:ascii="Palatino Linotype" w:eastAsia="Palatino Linotype" w:hAnsi="Palatino Linotype" w:cs="Palatino Linotype"/>
          <w:b/>
        </w:rPr>
        <w:t>5</w:t>
      </w:r>
      <w:r w:rsidRPr="003A0759">
        <w:rPr>
          <w:rFonts w:ascii="Palatino Linotype" w:eastAsia="Palatino Linotype" w:hAnsi="Palatino Linotype" w:cs="Palatino Linotype"/>
          <w:b/>
        </w:rPr>
        <w:t xml:space="preserve">, acumulados, </w:t>
      </w:r>
      <w:r w:rsidRPr="003A0759">
        <w:rPr>
          <w:rFonts w:ascii="Palatino Linotype" w:eastAsia="Palatino Linotype" w:hAnsi="Palatino Linotype" w:cs="Palatino Linotype"/>
        </w:rPr>
        <w:t>interpuestos por</w:t>
      </w:r>
      <w:r w:rsidR="00CE041C" w:rsidRPr="003A0759">
        <w:rPr>
          <w:rFonts w:ascii="Palatino Linotype" w:eastAsia="Palatino Linotype" w:hAnsi="Palatino Linotype" w:cs="Palatino Linotype"/>
        </w:rPr>
        <w:t xml:space="preserve"> </w:t>
      </w:r>
      <w:r w:rsidR="00DC4682" w:rsidRPr="003A0759">
        <w:rPr>
          <w:rFonts w:ascii="Palatino Linotype" w:eastAsia="Palatino Linotype" w:hAnsi="Palatino Linotype" w:cs="Palatino Linotype"/>
        </w:rPr>
        <w:t>una persona usuaria del sistema SAIMEX</w:t>
      </w:r>
      <w:r w:rsidRPr="003A0759">
        <w:rPr>
          <w:rFonts w:ascii="Palatino Linotype" w:eastAsia="Palatino Linotype" w:hAnsi="Palatino Linotype" w:cs="Palatino Linotype"/>
        </w:rPr>
        <w:t xml:space="preserve">, en lo sucesivo la parte </w:t>
      </w:r>
      <w:r w:rsidRPr="003A0759">
        <w:rPr>
          <w:rFonts w:ascii="Palatino Linotype" w:eastAsia="Palatino Linotype" w:hAnsi="Palatino Linotype" w:cs="Palatino Linotype"/>
          <w:b/>
        </w:rPr>
        <w:t>Recurrente</w:t>
      </w:r>
      <w:r w:rsidRPr="003A0759">
        <w:rPr>
          <w:rFonts w:ascii="Palatino Linotype" w:eastAsia="Palatino Linotype" w:hAnsi="Palatino Linotype" w:cs="Palatino Linotype"/>
        </w:rPr>
        <w:t xml:space="preserve">, en contra de la respuesta sus solicitudes de información por parte del </w:t>
      </w:r>
      <w:r w:rsidR="007D6345" w:rsidRPr="003A0759">
        <w:rPr>
          <w:rFonts w:ascii="Palatino Linotype" w:eastAsia="Palatino Linotype" w:hAnsi="Palatino Linotype" w:cs="Palatino Linotype"/>
          <w:b/>
        </w:rPr>
        <w:t>Ayuntamiento de Toluca</w:t>
      </w:r>
      <w:r w:rsidRPr="003A0759">
        <w:rPr>
          <w:rFonts w:ascii="Palatino Linotype" w:eastAsia="Palatino Linotype" w:hAnsi="Palatino Linotype" w:cs="Palatino Linotype"/>
        </w:rPr>
        <w:t xml:space="preserve">, en lo sucesivo el </w:t>
      </w:r>
      <w:r w:rsidRPr="003A0759">
        <w:rPr>
          <w:rFonts w:ascii="Palatino Linotype" w:eastAsia="Palatino Linotype" w:hAnsi="Palatino Linotype" w:cs="Palatino Linotype"/>
          <w:b/>
        </w:rPr>
        <w:t xml:space="preserve">Sujeto Obligado; </w:t>
      </w:r>
      <w:r w:rsidRPr="003A0759">
        <w:rPr>
          <w:rFonts w:ascii="Palatino Linotype" w:eastAsia="Palatino Linotype" w:hAnsi="Palatino Linotype" w:cs="Palatino Linotype"/>
        </w:rPr>
        <w:t>se procede a dictar la presente resolución, con base en lo siguiente.</w:t>
      </w:r>
    </w:p>
    <w:p w14:paraId="6B383B9A" w14:textId="77777777" w:rsidR="00CC2959" w:rsidRPr="003A0759" w:rsidRDefault="00CC2959" w:rsidP="00E30F56">
      <w:pPr>
        <w:spacing w:after="0" w:line="360" w:lineRule="auto"/>
        <w:ind w:right="49"/>
        <w:jc w:val="both"/>
        <w:rPr>
          <w:rFonts w:ascii="Palatino Linotype" w:eastAsia="Palatino Linotype" w:hAnsi="Palatino Linotype" w:cs="Palatino Linotype"/>
        </w:rPr>
      </w:pPr>
    </w:p>
    <w:p w14:paraId="176ED168" w14:textId="77777777" w:rsidR="00FE7ABB" w:rsidRPr="003A0759" w:rsidRDefault="00EA4063" w:rsidP="00E30F56">
      <w:pPr>
        <w:spacing w:after="0" w:line="360" w:lineRule="auto"/>
        <w:ind w:right="49"/>
        <w:jc w:val="center"/>
        <w:rPr>
          <w:rFonts w:ascii="Palatino Linotype" w:eastAsia="Palatino Linotype" w:hAnsi="Palatino Linotype" w:cs="Palatino Linotype"/>
          <w:b/>
        </w:rPr>
      </w:pPr>
      <w:r w:rsidRPr="003A0759">
        <w:rPr>
          <w:rFonts w:ascii="Palatino Linotype" w:eastAsia="Palatino Linotype" w:hAnsi="Palatino Linotype" w:cs="Palatino Linotype"/>
          <w:b/>
        </w:rPr>
        <w:t>I.</w:t>
      </w:r>
      <w:r w:rsidRPr="003A0759">
        <w:rPr>
          <w:rFonts w:ascii="Palatino Linotype" w:eastAsia="Palatino Linotype" w:hAnsi="Palatino Linotype" w:cs="Palatino Linotype"/>
          <w:b/>
        </w:rPr>
        <w:tab/>
        <w:t>A N T E C E D E N T E S</w:t>
      </w:r>
    </w:p>
    <w:p w14:paraId="1164361C" w14:textId="77777777" w:rsidR="00FE7ABB" w:rsidRPr="003A0759" w:rsidRDefault="00FE7ABB" w:rsidP="00E30F56">
      <w:pPr>
        <w:spacing w:after="0" w:line="360" w:lineRule="auto"/>
        <w:ind w:right="49"/>
        <w:jc w:val="both"/>
        <w:rPr>
          <w:rFonts w:ascii="Palatino Linotype" w:eastAsia="Palatino Linotype" w:hAnsi="Palatino Linotype" w:cs="Palatino Linotype"/>
        </w:rPr>
      </w:pPr>
    </w:p>
    <w:p w14:paraId="67BA709D" w14:textId="71FE207D" w:rsidR="009C5DDF" w:rsidRPr="003A0759" w:rsidRDefault="009C5DDF" w:rsidP="00E30F56">
      <w:pPr>
        <w:spacing w:after="0" w:line="360" w:lineRule="auto"/>
        <w:jc w:val="both"/>
        <w:rPr>
          <w:rFonts w:ascii="Palatino Linotype" w:eastAsia="Palatino Linotype" w:hAnsi="Palatino Linotype" w:cs="Palatino Linotype"/>
          <w:lang w:eastAsia="es-MX"/>
        </w:rPr>
      </w:pPr>
      <w:r w:rsidRPr="003A0759">
        <w:rPr>
          <w:rFonts w:ascii="Palatino Linotype" w:eastAsia="Palatino Linotype" w:hAnsi="Palatino Linotype" w:cs="Palatino Linotype"/>
          <w:b/>
          <w:lang w:eastAsia="es-MX"/>
        </w:rPr>
        <w:t>1.</w:t>
      </w:r>
      <w:r w:rsidRPr="003A0759">
        <w:rPr>
          <w:rFonts w:ascii="Palatino Linotype" w:eastAsia="Palatino Linotype" w:hAnsi="Palatino Linotype" w:cs="Palatino Linotype"/>
          <w:lang w:eastAsia="es-MX"/>
        </w:rPr>
        <w:t xml:space="preserve"> </w:t>
      </w:r>
      <w:r w:rsidRPr="003A0759">
        <w:rPr>
          <w:rFonts w:ascii="Palatino Linotype" w:eastAsia="Palatino Linotype" w:hAnsi="Palatino Linotype" w:cs="Palatino Linotype"/>
          <w:b/>
          <w:lang w:eastAsia="es-MX"/>
        </w:rPr>
        <w:t xml:space="preserve">Solicitudes de Acceso a la Información. </w:t>
      </w:r>
      <w:r w:rsidRPr="003A0759">
        <w:rPr>
          <w:rFonts w:ascii="Palatino Linotype" w:eastAsia="Palatino Linotype" w:hAnsi="Palatino Linotype" w:cs="Palatino Linotype"/>
          <w:lang w:eastAsia="es-MX"/>
        </w:rPr>
        <w:t xml:space="preserve">El </w:t>
      </w:r>
      <w:r w:rsidR="007D6345" w:rsidRPr="003A0759">
        <w:rPr>
          <w:rFonts w:ascii="Palatino Linotype" w:eastAsia="Palatino Linotype" w:hAnsi="Palatino Linotype" w:cs="Palatino Linotype"/>
          <w:b/>
          <w:lang w:eastAsia="es-MX"/>
        </w:rPr>
        <w:t>diez de julio de dos mil veinticinco</w:t>
      </w:r>
      <w:r w:rsidR="00824905" w:rsidRPr="003A0759">
        <w:rPr>
          <w:rFonts w:ascii="Palatino Linotype" w:eastAsia="Palatino Linotype" w:hAnsi="Palatino Linotype" w:cs="Palatino Linotype"/>
          <w:lang w:eastAsia="es-MX"/>
        </w:rPr>
        <w:t xml:space="preserve">, </w:t>
      </w:r>
      <w:r w:rsidR="007D6345" w:rsidRPr="003A0759">
        <w:rPr>
          <w:rFonts w:ascii="Palatino Linotype" w:eastAsia="Palatino Linotype" w:hAnsi="Palatino Linotype" w:cs="Palatino Linotype"/>
          <w:bCs/>
          <w:lang w:eastAsia="es-MX"/>
        </w:rPr>
        <w:t>la parte</w:t>
      </w:r>
      <w:r w:rsidR="007D6345" w:rsidRPr="003A0759">
        <w:rPr>
          <w:rFonts w:ascii="Palatino Linotype" w:eastAsia="Palatino Linotype" w:hAnsi="Palatino Linotype" w:cs="Palatino Linotype"/>
          <w:lang w:eastAsia="es-MX"/>
        </w:rPr>
        <w:t xml:space="preserve"> </w:t>
      </w:r>
      <w:r w:rsidR="007D6345" w:rsidRPr="003A0759">
        <w:rPr>
          <w:rFonts w:ascii="Palatino Linotype" w:eastAsia="Palatino Linotype" w:hAnsi="Palatino Linotype" w:cs="Palatino Linotype"/>
          <w:b/>
          <w:lang w:eastAsia="es-MX"/>
        </w:rPr>
        <w:t>Recurrente</w:t>
      </w:r>
      <w:r w:rsidR="007D6345" w:rsidRPr="003A0759">
        <w:rPr>
          <w:rFonts w:ascii="Palatino Linotype" w:eastAsia="Palatino Linotype" w:hAnsi="Palatino Linotype" w:cs="Palatino Linotype"/>
          <w:lang w:eastAsia="es-MX"/>
        </w:rPr>
        <w:t xml:space="preserve"> </w:t>
      </w:r>
      <w:r w:rsidRPr="003A0759">
        <w:rPr>
          <w:rFonts w:ascii="Palatino Linotype" w:eastAsia="Palatino Linotype" w:hAnsi="Palatino Linotype" w:cs="Palatino Linotype"/>
          <w:lang w:eastAsia="es-MX"/>
        </w:rPr>
        <w:t xml:space="preserve">formuló solicitudes de acceso a información pública a través del </w:t>
      </w:r>
      <w:r w:rsidRPr="003A0759">
        <w:rPr>
          <w:rFonts w:ascii="Palatino Linotype" w:eastAsia="Palatino Linotype" w:hAnsi="Palatino Linotype" w:cs="Palatino Linotype"/>
          <w:b/>
          <w:lang w:eastAsia="es-MX"/>
        </w:rPr>
        <w:t>SAIMEX,</w:t>
      </w:r>
      <w:r w:rsidRPr="003A0759">
        <w:rPr>
          <w:rFonts w:ascii="Palatino Linotype" w:eastAsia="Palatino Linotype" w:hAnsi="Palatino Linotype" w:cs="Palatino Linotype"/>
          <w:lang w:eastAsia="es-MX"/>
        </w:rPr>
        <w:t xml:space="preserve"> en las que requirió lo siguiente:</w:t>
      </w:r>
    </w:p>
    <w:p w14:paraId="09040E21" w14:textId="77777777" w:rsidR="00894778" w:rsidRPr="003A0759" w:rsidRDefault="00894778" w:rsidP="00E30F56">
      <w:pPr>
        <w:spacing w:after="0" w:line="360" w:lineRule="auto"/>
        <w:jc w:val="both"/>
        <w:rPr>
          <w:rFonts w:ascii="Palatino Linotype" w:eastAsia="Palatino Linotype" w:hAnsi="Palatino Linotype" w:cs="Palatino Linotype"/>
          <w:lang w:eastAsia="es-MX"/>
        </w:rPr>
      </w:pPr>
    </w:p>
    <w:tbl>
      <w:tblPr>
        <w:tblW w:w="88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1"/>
        <w:gridCol w:w="5670"/>
      </w:tblGrid>
      <w:tr w:rsidR="00AC4E2F" w:rsidRPr="003A0759" w14:paraId="0EDB3566" w14:textId="77777777" w:rsidTr="00E30F56">
        <w:tc>
          <w:tcPr>
            <w:tcW w:w="3141" w:type="dxa"/>
            <w:shd w:val="clear" w:color="auto" w:fill="DEEAF6" w:themeFill="accent1" w:themeFillTint="33"/>
          </w:tcPr>
          <w:p w14:paraId="062CC231" w14:textId="77777777" w:rsidR="009C5DDF" w:rsidRPr="003A0759" w:rsidRDefault="009C5DDF" w:rsidP="00E30F56">
            <w:pPr>
              <w:spacing w:after="0" w:line="360" w:lineRule="auto"/>
              <w:ind w:left="149"/>
              <w:jc w:val="center"/>
              <w:rPr>
                <w:rFonts w:ascii="Palatino Linotype" w:eastAsia="Palatino Linotype" w:hAnsi="Palatino Linotype" w:cs="Palatino Linotype"/>
                <w:b/>
                <w:i/>
                <w:lang w:eastAsia="es-MX"/>
              </w:rPr>
            </w:pPr>
            <w:bookmarkStart w:id="1" w:name="_heading=h.1fob9te" w:colFirst="0" w:colLast="0"/>
            <w:bookmarkEnd w:id="1"/>
            <w:r w:rsidRPr="003A0759">
              <w:rPr>
                <w:rFonts w:ascii="Palatino Linotype" w:eastAsia="Palatino Linotype" w:hAnsi="Palatino Linotype" w:cs="Palatino Linotype"/>
                <w:b/>
                <w:i/>
                <w:lang w:eastAsia="es-MX"/>
              </w:rPr>
              <w:t>Número de solicitud</w:t>
            </w:r>
          </w:p>
        </w:tc>
        <w:tc>
          <w:tcPr>
            <w:tcW w:w="5670" w:type="dxa"/>
            <w:shd w:val="clear" w:color="auto" w:fill="DEEAF6" w:themeFill="accent1" w:themeFillTint="33"/>
          </w:tcPr>
          <w:p w14:paraId="7E228F2A" w14:textId="77777777" w:rsidR="009C5DDF" w:rsidRPr="003A0759" w:rsidRDefault="009C5DDF" w:rsidP="00E30F56">
            <w:pPr>
              <w:spacing w:after="0" w:line="360" w:lineRule="auto"/>
              <w:jc w:val="center"/>
              <w:rPr>
                <w:rFonts w:ascii="Palatino Linotype" w:eastAsia="Palatino Linotype" w:hAnsi="Palatino Linotype" w:cs="Palatino Linotype"/>
                <w:b/>
                <w:i/>
                <w:lang w:eastAsia="es-MX"/>
              </w:rPr>
            </w:pPr>
            <w:r w:rsidRPr="003A0759">
              <w:rPr>
                <w:rFonts w:ascii="Palatino Linotype" w:eastAsia="Palatino Linotype" w:hAnsi="Palatino Linotype" w:cs="Palatino Linotype"/>
                <w:b/>
                <w:i/>
                <w:lang w:eastAsia="es-MX"/>
              </w:rPr>
              <w:t>Información requerida.</w:t>
            </w:r>
          </w:p>
        </w:tc>
      </w:tr>
      <w:tr w:rsidR="00AC4E2F" w:rsidRPr="003A0759" w14:paraId="75C69BCA" w14:textId="77777777" w:rsidTr="00E30F56">
        <w:trPr>
          <w:trHeight w:val="564"/>
        </w:trPr>
        <w:tc>
          <w:tcPr>
            <w:tcW w:w="3141" w:type="dxa"/>
          </w:tcPr>
          <w:p w14:paraId="25DD687F" w14:textId="5B2AD841" w:rsidR="009C5DDF" w:rsidRPr="003A0759" w:rsidRDefault="00E30F56" w:rsidP="00E30F56">
            <w:pPr>
              <w:spacing w:after="0" w:line="240" w:lineRule="auto"/>
              <w:jc w:val="center"/>
              <w:rPr>
                <w:rFonts w:ascii="Palatino Linotype" w:eastAsia="Palatino Linotype" w:hAnsi="Palatino Linotype" w:cs="Palatino Linotype"/>
                <w:b/>
                <w:i/>
                <w:lang w:eastAsia="es-MX"/>
              </w:rPr>
            </w:pPr>
            <w:bookmarkStart w:id="2" w:name="_heading=h.3znysh7" w:colFirst="0" w:colLast="0"/>
            <w:bookmarkEnd w:id="2"/>
            <w:r w:rsidRPr="003A0759">
              <w:rPr>
                <w:rFonts w:ascii="Palatino Linotype" w:eastAsia="Palatino Linotype" w:hAnsi="Palatino Linotype" w:cs="Palatino Linotype"/>
                <w:b/>
              </w:rPr>
              <w:t xml:space="preserve">03924/TOLUCA/IP/2025, </w:t>
            </w:r>
            <w:r w:rsidRPr="003A0759">
              <w:rPr>
                <w:rFonts w:ascii="Palatino Linotype" w:eastAsia="Palatino Linotype" w:hAnsi="Palatino Linotype" w:cs="Palatino Linotype"/>
              </w:rPr>
              <w:t>correspondiente al Recurso de Revisión</w:t>
            </w:r>
            <w:r w:rsidRPr="003A0759">
              <w:rPr>
                <w:rFonts w:ascii="Palatino Linotype" w:eastAsia="Palatino Linotype" w:hAnsi="Palatino Linotype" w:cs="Palatino Linotype"/>
                <w:b/>
              </w:rPr>
              <w:t xml:space="preserve"> 09724/INFOEM/IP/RR/2025</w:t>
            </w:r>
          </w:p>
        </w:tc>
        <w:tc>
          <w:tcPr>
            <w:tcW w:w="5670" w:type="dxa"/>
          </w:tcPr>
          <w:p w14:paraId="39FE8F27" w14:textId="430BEC68" w:rsidR="00927709" w:rsidRPr="003A0759" w:rsidRDefault="009C5DDF" w:rsidP="00E30F56">
            <w:pPr>
              <w:spacing w:after="0" w:line="259" w:lineRule="auto"/>
              <w:jc w:val="both"/>
              <w:rPr>
                <w:rFonts w:ascii="Palatino Linotype" w:eastAsia="Palatino Linotype" w:hAnsi="Palatino Linotype" w:cs="Palatino Linotype"/>
                <w:i/>
                <w:lang w:eastAsia="es-MX"/>
              </w:rPr>
            </w:pPr>
            <w:r w:rsidRPr="003A0759">
              <w:rPr>
                <w:rFonts w:ascii="Palatino Linotype" w:eastAsia="Palatino Linotype" w:hAnsi="Palatino Linotype" w:cs="Palatino Linotype"/>
                <w:i/>
                <w:lang w:eastAsia="es-MX"/>
              </w:rPr>
              <w:t>“</w:t>
            </w:r>
            <w:r w:rsidR="007D6345" w:rsidRPr="003A0759">
              <w:rPr>
                <w:rFonts w:ascii="Palatino Linotype" w:eastAsia="Palatino Linotype" w:hAnsi="Palatino Linotype" w:cs="Palatino Linotype"/>
                <w:i/>
                <w:lang w:eastAsia="es-MX"/>
              </w:rPr>
              <w:t xml:space="preserve">Los recibos de pago de aguinaldo y de prima </w:t>
            </w:r>
            <w:proofErr w:type="spellStart"/>
            <w:r w:rsidR="007D6345" w:rsidRPr="003A0759">
              <w:rPr>
                <w:rFonts w:ascii="Palatino Linotype" w:eastAsia="Palatino Linotype" w:hAnsi="Palatino Linotype" w:cs="Palatino Linotype"/>
                <w:i/>
                <w:lang w:eastAsia="es-MX"/>
              </w:rPr>
              <w:t>vacacionel</w:t>
            </w:r>
            <w:proofErr w:type="spellEnd"/>
            <w:r w:rsidR="007D6345" w:rsidRPr="003A0759">
              <w:rPr>
                <w:rFonts w:ascii="Palatino Linotype" w:eastAsia="Palatino Linotype" w:hAnsi="Palatino Linotype" w:cs="Palatino Linotype"/>
                <w:i/>
                <w:lang w:eastAsia="es-MX"/>
              </w:rPr>
              <w:t xml:space="preserve"> del primer semestre de 2024 a los integrantes de </w:t>
            </w:r>
            <w:proofErr w:type="spellStart"/>
            <w:r w:rsidR="007D6345" w:rsidRPr="003A0759">
              <w:rPr>
                <w:rFonts w:ascii="Palatino Linotype" w:eastAsia="Palatino Linotype" w:hAnsi="Palatino Linotype" w:cs="Palatino Linotype"/>
                <w:i/>
                <w:lang w:eastAsia="es-MX"/>
              </w:rPr>
              <w:t>cabil</w:t>
            </w:r>
            <w:proofErr w:type="spellEnd"/>
            <w:r w:rsidR="007D6345" w:rsidRPr="003A0759">
              <w:rPr>
                <w:rFonts w:ascii="Palatino Linotype" w:eastAsia="Palatino Linotype" w:hAnsi="Palatino Linotype" w:cs="Palatino Linotype"/>
                <w:i/>
                <w:lang w:eastAsia="es-MX"/>
              </w:rPr>
              <w:t xml:space="preserve">, directores generales, coordinadores, directores de </w:t>
            </w:r>
            <w:proofErr w:type="spellStart"/>
            <w:r w:rsidR="007D6345" w:rsidRPr="003A0759">
              <w:rPr>
                <w:rFonts w:ascii="Palatino Linotype" w:eastAsia="Palatino Linotype" w:hAnsi="Palatino Linotype" w:cs="Palatino Linotype"/>
                <w:i/>
                <w:lang w:eastAsia="es-MX"/>
              </w:rPr>
              <w:t>area</w:t>
            </w:r>
            <w:proofErr w:type="spellEnd"/>
            <w:r w:rsidR="007D6345" w:rsidRPr="003A0759">
              <w:rPr>
                <w:rFonts w:ascii="Palatino Linotype" w:eastAsia="Palatino Linotype" w:hAnsi="Palatino Linotype" w:cs="Palatino Linotype"/>
                <w:i/>
                <w:lang w:eastAsia="es-MX"/>
              </w:rPr>
              <w:t xml:space="preserve">, </w:t>
            </w:r>
            <w:proofErr w:type="spellStart"/>
            <w:r w:rsidR="007D6345" w:rsidRPr="003A0759">
              <w:rPr>
                <w:rFonts w:ascii="Palatino Linotype" w:eastAsia="Palatino Linotype" w:hAnsi="Palatino Linotype" w:cs="Palatino Linotype"/>
                <w:i/>
                <w:lang w:eastAsia="es-MX"/>
              </w:rPr>
              <w:t>tituñares</w:t>
            </w:r>
            <w:proofErr w:type="spellEnd"/>
            <w:r w:rsidR="007D6345" w:rsidRPr="003A0759">
              <w:rPr>
                <w:rFonts w:ascii="Palatino Linotype" w:eastAsia="Palatino Linotype" w:hAnsi="Palatino Linotype" w:cs="Palatino Linotype"/>
                <w:i/>
                <w:lang w:eastAsia="es-MX"/>
              </w:rPr>
              <w:t xml:space="preserve"> de las </w:t>
            </w:r>
            <w:proofErr w:type="spellStart"/>
            <w:r w:rsidR="007D6345" w:rsidRPr="003A0759">
              <w:rPr>
                <w:rFonts w:ascii="Palatino Linotype" w:eastAsia="Palatino Linotype" w:hAnsi="Palatino Linotype" w:cs="Palatino Linotype"/>
                <w:i/>
                <w:lang w:eastAsia="es-MX"/>
              </w:rPr>
              <w:t>areas</w:t>
            </w:r>
            <w:proofErr w:type="spellEnd"/>
            <w:r w:rsidR="007D6345" w:rsidRPr="003A0759">
              <w:rPr>
                <w:rFonts w:ascii="Palatino Linotype" w:eastAsia="Palatino Linotype" w:hAnsi="Palatino Linotype" w:cs="Palatino Linotype"/>
                <w:i/>
                <w:lang w:eastAsia="es-MX"/>
              </w:rPr>
              <w:t xml:space="preserve"> y presidente municipal.</w:t>
            </w:r>
            <w:r w:rsidRPr="003A0759">
              <w:rPr>
                <w:rFonts w:ascii="Palatino Linotype" w:eastAsia="Palatino Linotype" w:hAnsi="Palatino Linotype" w:cs="Palatino Linotype"/>
                <w:i/>
                <w:lang w:eastAsia="es-MX"/>
              </w:rPr>
              <w:t>” (sic)</w:t>
            </w:r>
            <w:r w:rsidR="007D6345" w:rsidRPr="003A0759">
              <w:rPr>
                <w:rFonts w:ascii="Palatino Linotype" w:eastAsia="Palatino Linotype" w:hAnsi="Palatino Linotype" w:cs="Palatino Linotype"/>
                <w:i/>
                <w:lang w:eastAsia="es-MX"/>
              </w:rPr>
              <w:t xml:space="preserve"> </w:t>
            </w:r>
          </w:p>
        </w:tc>
      </w:tr>
      <w:tr w:rsidR="00AC4E2F" w:rsidRPr="003A0759" w14:paraId="56F65B92" w14:textId="77777777" w:rsidTr="00E30F56">
        <w:tc>
          <w:tcPr>
            <w:tcW w:w="3141" w:type="dxa"/>
          </w:tcPr>
          <w:p w14:paraId="5F537F4E" w14:textId="204E999A" w:rsidR="009C5DDF" w:rsidRPr="003A0759" w:rsidRDefault="00E30F56" w:rsidP="00E30F56">
            <w:pPr>
              <w:spacing w:after="0" w:line="240" w:lineRule="auto"/>
              <w:jc w:val="center"/>
              <w:rPr>
                <w:rFonts w:ascii="Palatino Linotype" w:eastAsia="Palatino Linotype" w:hAnsi="Palatino Linotype" w:cs="Palatino Linotype"/>
                <w:b/>
                <w:lang w:eastAsia="es-MX"/>
              </w:rPr>
            </w:pPr>
            <w:r w:rsidRPr="003A0759">
              <w:rPr>
                <w:rFonts w:ascii="Palatino Linotype" w:eastAsia="Palatino Linotype" w:hAnsi="Palatino Linotype" w:cs="Palatino Linotype"/>
                <w:b/>
              </w:rPr>
              <w:t xml:space="preserve">03923/TOLUCA/IP/2025, </w:t>
            </w:r>
            <w:r w:rsidRPr="003A0759">
              <w:rPr>
                <w:rFonts w:ascii="Palatino Linotype" w:eastAsia="Palatino Linotype" w:hAnsi="Palatino Linotype" w:cs="Palatino Linotype"/>
              </w:rPr>
              <w:t>correspondiente al Recurso de Revisión</w:t>
            </w:r>
            <w:r w:rsidRPr="003A0759">
              <w:rPr>
                <w:rFonts w:ascii="Palatino Linotype" w:eastAsia="Palatino Linotype" w:hAnsi="Palatino Linotype" w:cs="Palatino Linotype"/>
                <w:b/>
              </w:rPr>
              <w:t xml:space="preserve"> 09725/INFOEM/IP/RR/2025</w:t>
            </w:r>
          </w:p>
        </w:tc>
        <w:tc>
          <w:tcPr>
            <w:tcW w:w="5670" w:type="dxa"/>
          </w:tcPr>
          <w:p w14:paraId="2147B4F8" w14:textId="676944A0" w:rsidR="009C5DDF" w:rsidRPr="003A0759" w:rsidRDefault="009C5DDF" w:rsidP="00E30F56">
            <w:pPr>
              <w:spacing w:after="0" w:line="259" w:lineRule="auto"/>
              <w:jc w:val="both"/>
              <w:rPr>
                <w:rFonts w:ascii="Palatino Linotype" w:eastAsia="Palatino Linotype" w:hAnsi="Palatino Linotype" w:cs="Palatino Linotype"/>
                <w:i/>
                <w:lang w:eastAsia="es-MX"/>
              </w:rPr>
            </w:pPr>
            <w:r w:rsidRPr="003A0759">
              <w:rPr>
                <w:rFonts w:ascii="Palatino Linotype" w:eastAsia="Palatino Linotype" w:hAnsi="Palatino Linotype" w:cs="Palatino Linotype"/>
                <w:i/>
                <w:lang w:eastAsia="es-MX"/>
              </w:rPr>
              <w:t>“</w:t>
            </w:r>
            <w:r w:rsidR="007D6345" w:rsidRPr="003A0759">
              <w:rPr>
                <w:rFonts w:ascii="Palatino Linotype" w:eastAsia="Palatino Linotype" w:hAnsi="Palatino Linotype" w:cs="Palatino Linotype"/>
                <w:i/>
                <w:lang w:eastAsia="es-MX"/>
              </w:rPr>
              <w:t xml:space="preserve">Los recibos de pago de aguinaldo y de prima </w:t>
            </w:r>
            <w:proofErr w:type="spellStart"/>
            <w:r w:rsidR="007D6345" w:rsidRPr="003A0759">
              <w:rPr>
                <w:rFonts w:ascii="Palatino Linotype" w:eastAsia="Palatino Linotype" w:hAnsi="Palatino Linotype" w:cs="Palatino Linotype"/>
                <w:i/>
                <w:lang w:eastAsia="es-MX"/>
              </w:rPr>
              <w:t>vacacionel</w:t>
            </w:r>
            <w:proofErr w:type="spellEnd"/>
            <w:r w:rsidR="007D6345" w:rsidRPr="003A0759">
              <w:rPr>
                <w:rFonts w:ascii="Palatino Linotype" w:eastAsia="Palatino Linotype" w:hAnsi="Palatino Linotype" w:cs="Palatino Linotype"/>
                <w:i/>
                <w:lang w:eastAsia="es-MX"/>
              </w:rPr>
              <w:t xml:space="preserve"> del primer semestre de 2025 a los integrantes de </w:t>
            </w:r>
            <w:proofErr w:type="spellStart"/>
            <w:r w:rsidR="007D6345" w:rsidRPr="003A0759">
              <w:rPr>
                <w:rFonts w:ascii="Palatino Linotype" w:eastAsia="Palatino Linotype" w:hAnsi="Palatino Linotype" w:cs="Palatino Linotype"/>
                <w:i/>
                <w:lang w:eastAsia="es-MX"/>
              </w:rPr>
              <w:t>cabil</w:t>
            </w:r>
            <w:proofErr w:type="spellEnd"/>
            <w:r w:rsidR="007D6345" w:rsidRPr="003A0759">
              <w:rPr>
                <w:rFonts w:ascii="Palatino Linotype" w:eastAsia="Palatino Linotype" w:hAnsi="Palatino Linotype" w:cs="Palatino Linotype"/>
                <w:i/>
                <w:lang w:eastAsia="es-MX"/>
              </w:rPr>
              <w:t xml:space="preserve">, directores generales, coordinadores, directores de </w:t>
            </w:r>
            <w:proofErr w:type="spellStart"/>
            <w:r w:rsidR="007D6345" w:rsidRPr="003A0759">
              <w:rPr>
                <w:rFonts w:ascii="Palatino Linotype" w:eastAsia="Palatino Linotype" w:hAnsi="Palatino Linotype" w:cs="Palatino Linotype"/>
                <w:i/>
                <w:lang w:eastAsia="es-MX"/>
              </w:rPr>
              <w:t>area</w:t>
            </w:r>
            <w:proofErr w:type="spellEnd"/>
            <w:r w:rsidR="007D6345" w:rsidRPr="003A0759">
              <w:rPr>
                <w:rFonts w:ascii="Palatino Linotype" w:eastAsia="Palatino Linotype" w:hAnsi="Palatino Linotype" w:cs="Palatino Linotype"/>
                <w:i/>
                <w:lang w:eastAsia="es-MX"/>
              </w:rPr>
              <w:t xml:space="preserve">, </w:t>
            </w:r>
            <w:proofErr w:type="spellStart"/>
            <w:r w:rsidR="007D6345" w:rsidRPr="003A0759">
              <w:rPr>
                <w:rFonts w:ascii="Palatino Linotype" w:eastAsia="Palatino Linotype" w:hAnsi="Palatino Linotype" w:cs="Palatino Linotype"/>
                <w:i/>
                <w:lang w:eastAsia="es-MX"/>
              </w:rPr>
              <w:t>tituñares</w:t>
            </w:r>
            <w:proofErr w:type="spellEnd"/>
            <w:r w:rsidR="007D6345" w:rsidRPr="003A0759">
              <w:rPr>
                <w:rFonts w:ascii="Palatino Linotype" w:eastAsia="Palatino Linotype" w:hAnsi="Palatino Linotype" w:cs="Palatino Linotype"/>
                <w:i/>
                <w:lang w:eastAsia="es-MX"/>
              </w:rPr>
              <w:t xml:space="preserve"> de las </w:t>
            </w:r>
            <w:proofErr w:type="spellStart"/>
            <w:r w:rsidR="007D6345" w:rsidRPr="003A0759">
              <w:rPr>
                <w:rFonts w:ascii="Palatino Linotype" w:eastAsia="Palatino Linotype" w:hAnsi="Palatino Linotype" w:cs="Palatino Linotype"/>
                <w:i/>
                <w:lang w:eastAsia="es-MX"/>
              </w:rPr>
              <w:t>areas</w:t>
            </w:r>
            <w:proofErr w:type="spellEnd"/>
            <w:r w:rsidR="007D6345" w:rsidRPr="003A0759">
              <w:rPr>
                <w:rFonts w:ascii="Palatino Linotype" w:eastAsia="Palatino Linotype" w:hAnsi="Palatino Linotype" w:cs="Palatino Linotype"/>
                <w:i/>
                <w:lang w:eastAsia="es-MX"/>
              </w:rPr>
              <w:t xml:space="preserve"> y presidente municipal.</w:t>
            </w:r>
            <w:r w:rsidRPr="003A0759">
              <w:rPr>
                <w:rFonts w:ascii="Palatino Linotype" w:eastAsia="Palatino Linotype" w:hAnsi="Palatino Linotype" w:cs="Palatino Linotype"/>
                <w:i/>
                <w:lang w:eastAsia="es-MX"/>
              </w:rPr>
              <w:t>”</w:t>
            </w:r>
            <w:r w:rsidRPr="003A0759">
              <w:rPr>
                <w:rFonts w:ascii="Palatino Linotype" w:eastAsia="Calibri" w:hAnsi="Palatino Linotype" w:cs="Calibri"/>
                <w:lang w:eastAsia="es-MX"/>
              </w:rPr>
              <w:t xml:space="preserve"> </w:t>
            </w:r>
            <w:r w:rsidRPr="003A0759">
              <w:rPr>
                <w:rFonts w:ascii="Palatino Linotype" w:eastAsia="Palatino Linotype" w:hAnsi="Palatino Linotype" w:cs="Palatino Linotype"/>
                <w:i/>
                <w:lang w:eastAsia="es-MX"/>
              </w:rPr>
              <w:t>(sic)</w:t>
            </w:r>
          </w:p>
        </w:tc>
      </w:tr>
    </w:tbl>
    <w:p w14:paraId="3CA95FFD" w14:textId="77777777" w:rsidR="004E4F1F" w:rsidRPr="003A0759" w:rsidRDefault="004E4F1F" w:rsidP="00E30F56">
      <w:pPr>
        <w:spacing w:after="0" w:line="360" w:lineRule="auto"/>
        <w:ind w:right="49"/>
        <w:jc w:val="both"/>
        <w:rPr>
          <w:rFonts w:ascii="Palatino Linotype" w:eastAsia="Palatino Linotype" w:hAnsi="Palatino Linotype" w:cs="Palatino Linotype"/>
          <w:b/>
        </w:rPr>
      </w:pPr>
    </w:p>
    <w:p w14:paraId="7BC24E40" w14:textId="48CB5C86" w:rsidR="00FE7ABB" w:rsidRPr="003A0759" w:rsidRDefault="00EA4063"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b/>
        </w:rPr>
        <w:lastRenderedPageBreak/>
        <w:t>Modalidad elegida para la entrega de la información:</w:t>
      </w:r>
      <w:r w:rsidRPr="003A0759">
        <w:rPr>
          <w:rFonts w:ascii="Palatino Linotype" w:eastAsia="Palatino Linotype" w:hAnsi="Palatino Linotype" w:cs="Palatino Linotype"/>
        </w:rPr>
        <w:t xml:space="preserve"> a través del Sistema de Acceso a la Información Mexiquense (SAIMEX). </w:t>
      </w:r>
    </w:p>
    <w:p w14:paraId="6840FA30" w14:textId="77777777" w:rsidR="00FE7ABB" w:rsidRPr="003A0759" w:rsidRDefault="00FE7ABB" w:rsidP="00E30F56">
      <w:pPr>
        <w:spacing w:after="0" w:line="360" w:lineRule="auto"/>
        <w:jc w:val="both"/>
        <w:rPr>
          <w:rFonts w:ascii="Palatino Linotype" w:eastAsia="Palatino Linotype" w:hAnsi="Palatino Linotype" w:cs="Palatino Linotype"/>
        </w:rPr>
      </w:pPr>
    </w:p>
    <w:p w14:paraId="3B67AF76" w14:textId="56C4BFD2" w:rsidR="00915577" w:rsidRPr="003A0759" w:rsidRDefault="009C5DDF" w:rsidP="00E30F56">
      <w:pPr>
        <w:widowControl w:val="0"/>
        <w:spacing w:after="0" w:line="360" w:lineRule="auto"/>
        <w:contextualSpacing/>
        <w:jc w:val="both"/>
        <w:rPr>
          <w:rFonts w:ascii="Palatino Linotype" w:eastAsia="Palatino Linotype" w:hAnsi="Palatino Linotype" w:cs="Palatino Linotype"/>
          <w:lang w:eastAsia="es-ES"/>
        </w:rPr>
      </w:pPr>
      <w:r w:rsidRPr="003A0759">
        <w:rPr>
          <w:rFonts w:ascii="Palatino Linotype" w:eastAsia="Palatino Linotype" w:hAnsi="Palatino Linotype" w:cs="Palatino Linotype"/>
          <w:b/>
          <w:lang w:eastAsia="es-MX"/>
        </w:rPr>
        <w:t>2.</w:t>
      </w:r>
      <w:r w:rsidRPr="003A0759">
        <w:rPr>
          <w:rFonts w:ascii="Palatino Linotype" w:eastAsia="Palatino Linotype" w:hAnsi="Palatino Linotype" w:cs="Palatino Linotype"/>
          <w:lang w:eastAsia="es-MX"/>
        </w:rPr>
        <w:t xml:space="preserve"> </w:t>
      </w:r>
      <w:r w:rsidR="00EF01A7" w:rsidRPr="003A0759">
        <w:rPr>
          <w:rFonts w:ascii="Palatino Linotype" w:eastAsia="Palatino Linotype" w:hAnsi="Palatino Linotype" w:cs="Palatino Linotype"/>
          <w:b/>
          <w:lang w:eastAsia="es-MX"/>
        </w:rPr>
        <w:t xml:space="preserve">Respuestas. </w:t>
      </w:r>
      <w:r w:rsidR="00CC2959" w:rsidRPr="003A0759">
        <w:rPr>
          <w:rFonts w:ascii="Palatino Linotype" w:eastAsia="Palatino Linotype" w:hAnsi="Palatino Linotype" w:cs="Palatino Linotype"/>
          <w:lang w:eastAsia="es-ES"/>
        </w:rPr>
        <w:t xml:space="preserve">El día </w:t>
      </w:r>
      <w:r w:rsidR="007D6345" w:rsidRPr="003A0759">
        <w:rPr>
          <w:rFonts w:ascii="Palatino Linotype" w:eastAsia="Palatino Linotype" w:hAnsi="Palatino Linotype" w:cs="Palatino Linotype"/>
          <w:b/>
          <w:bCs/>
          <w:lang w:eastAsia="es-ES"/>
        </w:rPr>
        <w:t>trece de agosto de dos mil veinticinco</w:t>
      </w:r>
      <w:r w:rsidR="006041B2" w:rsidRPr="003A0759">
        <w:rPr>
          <w:rFonts w:ascii="Palatino Linotype" w:eastAsia="Palatino Linotype" w:hAnsi="Palatino Linotype" w:cs="Palatino Linotype"/>
          <w:lang w:eastAsia="es-ES"/>
        </w:rPr>
        <w:t xml:space="preserve">, el </w:t>
      </w:r>
      <w:r w:rsidR="006041B2" w:rsidRPr="003A0759">
        <w:rPr>
          <w:rFonts w:ascii="Palatino Linotype" w:eastAsia="Palatino Linotype" w:hAnsi="Palatino Linotype" w:cs="Palatino Linotype"/>
          <w:b/>
          <w:bCs/>
          <w:lang w:eastAsia="es-ES"/>
        </w:rPr>
        <w:t>Sujeto Obligado</w:t>
      </w:r>
      <w:r w:rsidR="006041B2" w:rsidRPr="003A0759">
        <w:rPr>
          <w:rFonts w:ascii="Palatino Linotype" w:eastAsia="Palatino Linotype" w:hAnsi="Palatino Linotype" w:cs="Palatino Linotype"/>
          <w:lang w:eastAsia="es-ES"/>
        </w:rPr>
        <w:t xml:space="preserve"> notificó a la parte </w:t>
      </w:r>
      <w:r w:rsidR="006041B2" w:rsidRPr="003A0759">
        <w:rPr>
          <w:rFonts w:ascii="Palatino Linotype" w:eastAsia="Palatino Linotype" w:hAnsi="Palatino Linotype" w:cs="Palatino Linotype"/>
          <w:b/>
          <w:bCs/>
          <w:lang w:eastAsia="es-ES"/>
        </w:rPr>
        <w:t>Recurrente</w:t>
      </w:r>
      <w:r w:rsidR="006041B2" w:rsidRPr="003A0759">
        <w:rPr>
          <w:rFonts w:ascii="Palatino Linotype" w:eastAsia="Palatino Linotype" w:hAnsi="Palatino Linotype" w:cs="Palatino Linotype"/>
          <w:lang w:eastAsia="es-ES"/>
        </w:rPr>
        <w:t>, en la totalidad de los expedientes, las respuestas a sus solicitudes de información, en los términos siguientes:</w:t>
      </w:r>
    </w:p>
    <w:p w14:paraId="11904064" w14:textId="77777777" w:rsidR="003D0894" w:rsidRPr="003A0759" w:rsidRDefault="003D0894" w:rsidP="00E30F56">
      <w:pPr>
        <w:widowControl w:val="0"/>
        <w:spacing w:after="0" w:line="360" w:lineRule="auto"/>
        <w:contextualSpacing/>
        <w:jc w:val="both"/>
        <w:rPr>
          <w:rFonts w:ascii="Palatino Linotype" w:eastAsia="Palatino Linotype" w:hAnsi="Palatino Linotype" w:cs="Palatino Linotype"/>
          <w:lang w:eastAsia="es-MX"/>
        </w:rPr>
      </w:pPr>
    </w:p>
    <w:tbl>
      <w:tblPr>
        <w:tblW w:w="89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AC4E2F" w:rsidRPr="003A0759" w14:paraId="7DBB59A2" w14:textId="77777777" w:rsidTr="00DB726D">
        <w:tc>
          <w:tcPr>
            <w:tcW w:w="3256" w:type="dxa"/>
            <w:shd w:val="clear" w:color="auto" w:fill="DEEAF6" w:themeFill="accent1" w:themeFillTint="33"/>
          </w:tcPr>
          <w:p w14:paraId="35195247" w14:textId="2769327E" w:rsidR="006041B2" w:rsidRPr="003A0759" w:rsidRDefault="006041B2" w:rsidP="00E30F56">
            <w:pPr>
              <w:spacing w:after="0" w:line="240" w:lineRule="auto"/>
              <w:contextualSpacing/>
              <w:jc w:val="center"/>
              <w:rPr>
                <w:rFonts w:ascii="Palatino Linotype" w:eastAsia="Palatino Linotype" w:hAnsi="Palatino Linotype" w:cs="Palatino Linotype"/>
                <w:b/>
                <w:i/>
                <w:lang w:eastAsia="es-ES"/>
              </w:rPr>
            </w:pPr>
            <w:bookmarkStart w:id="3" w:name="_Hlk213099450"/>
            <w:r w:rsidRPr="003A0759">
              <w:rPr>
                <w:rFonts w:ascii="Palatino Linotype" w:eastAsia="Palatino Linotype" w:hAnsi="Palatino Linotype" w:cs="Palatino Linotype"/>
                <w:b/>
                <w:i/>
                <w:lang w:eastAsia="es-ES"/>
              </w:rPr>
              <w:t>Número de recurso de revisión</w:t>
            </w:r>
          </w:p>
        </w:tc>
        <w:tc>
          <w:tcPr>
            <w:tcW w:w="5670" w:type="dxa"/>
            <w:shd w:val="clear" w:color="auto" w:fill="DEEAF6" w:themeFill="accent1" w:themeFillTint="33"/>
          </w:tcPr>
          <w:p w14:paraId="27763AD2" w14:textId="7658F230" w:rsidR="006041B2" w:rsidRPr="003A0759" w:rsidRDefault="006041B2" w:rsidP="00E30F56">
            <w:pPr>
              <w:spacing w:after="0" w:line="240" w:lineRule="auto"/>
              <w:contextualSpacing/>
              <w:jc w:val="center"/>
              <w:rPr>
                <w:rFonts w:ascii="Palatino Linotype" w:eastAsia="Palatino Linotype" w:hAnsi="Palatino Linotype" w:cs="Palatino Linotype"/>
                <w:b/>
                <w:i/>
                <w:lang w:eastAsia="es-ES"/>
              </w:rPr>
            </w:pPr>
            <w:r w:rsidRPr="003A0759">
              <w:rPr>
                <w:rFonts w:ascii="Palatino Linotype" w:eastAsia="Palatino Linotype" w:hAnsi="Palatino Linotype" w:cs="Palatino Linotype"/>
                <w:b/>
                <w:i/>
                <w:lang w:eastAsia="es-ES"/>
              </w:rPr>
              <w:t>Respuesta</w:t>
            </w:r>
          </w:p>
        </w:tc>
      </w:tr>
      <w:tr w:rsidR="00AC4E2F" w:rsidRPr="003A0759" w14:paraId="768CDB99" w14:textId="77777777" w:rsidTr="002512B7">
        <w:trPr>
          <w:trHeight w:val="564"/>
        </w:trPr>
        <w:tc>
          <w:tcPr>
            <w:tcW w:w="3256" w:type="dxa"/>
          </w:tcPr>
          <w:p w14:paraId="0C200D84" w14:textId="77777777" w:rsidR="00E30F56" w:rsidRPr="003A0759" w:rsidRDefault="00E30F56" w:rsidP="00E30F56">
            <w:pPr>
              <w:spacing w:after="0" w:line="240" w:lineRule="auto"/>
              <w:contextualSpacing/>
              <w:jc w:val="center"/>
              <w:rPr>
                <w:rFonts w:ascii="Palatino Linotype" w:eastAsia="Palatino Linotype" w:hAnsi="Palatino Linotype" w:cs="Palatino Linotype"/>
                <w:b/>
              </w:rPr>
            </w:pPr>
          </w:p>
          <w:p w14:paraId="44B32A77" w14:textId="77777777" w:rsidR="00E30F56" w:rsidRPr="003A0759" w:rsidRDefault="00E30F56" w:rsidP="00E30F56">
            <w:pPr>
              <w:spacing w:after="0" w:line="240" w:lineRule="auto"/>
              <w:contextualSpacing/>
              <w:jc w:val="center"/>
              <w:rPr>
                <w:rFonts w:ascii="Palatino Linotype" w:eastAsia="Palatino Linotype" w:hAnsi="Palatino Linotype" w:cs="Palatino Linotype"/>
                <w:b/>
              </w:rPr>
            </w:pPr>
          </w:p>
          <w:p w14:paraId="2870E2D6" w14:textId="77777777" w:rsidR="00E30F56" w:rsidRPr="003A0759" w:rsidRDefault="00E30F56" w:rsidP="00E30F56">
            <w:pPr>
              <w:spacing w:after="0" w:line="240" w:lineRule="auto"/>
              <w:contextualSpacing/>
              <w:jc w:val="center"/>
              <w:rPr>
                <w:rFonts w:ascii="Palatino Linotype" w:eastAsia="Palatino Linotype" w:hAnsi="Palatino Linotype" w:cs="Palatino Linotype"/>
                <w:b/>
              </w:rPr>
            </w:pPr>
          </w:p>
          <w:p w14:paraId="176AA9C5" w14:textId="5E103C64" w:rsidR="00E30F56" w:rsidRPr="003A0759" w:rsidRDefault="00E30F56" w:rsidP="00E30F56">
            <w:pPr>
              <w:spacing w:after="0" w:line="240" w:lineRule="auto"/>
              <w:contextualSpacing/>
              <w:jc w:val="center"/>
              <w:rPr>
                <w:rFonts w:ascii="Palatino Linotype" w:eastAsia="Palatino Linotype" w:hAnsi="Palatino Linotype" w:cs="Palatino Linotype"/>
                <w:b/>
                <w:i/>
                <w:lang w:eastAsia="es-ES"/>
              </w:rPr>
            </w:pPr>
            <w:r w:rsidRPr="003A0759">
              <w:rPr>
                <w:rFonts w:ascii="Palatino Linotype" w:eastAsia="Palatino Linotype" w:hAnsi="Palatino Linotype" w:cs="Palatino Linotype"/>
                <w:b/>
              </w:rPr>
              <w:t xml:space="preserve">03924/TOLUCA/IP/2025, </w:t>
            </w:r>
            <w:r w:rsidRPr="003A0759">
              <w:rPr>
                <w:rFonts w:ascii="Palatino Linotype" w:eastAsia="Palatino Linotype" w:hAnsi="Palatino Linotype" w:cs="Palatino Linotype"/>
              </w:rPr>
              <w:t>correspondiente al Recurso de Revisión</w:t>
            </w:r>
            <w:r w:rsidRPr="003A0759">
              <w:rPr>
                <w:rFonts w:ascii="Palatino Linotype" w:eastAsia="Palatino Linotype" w:hAnsi="Palatino Linotype" w:cs="Palatino Linotype"/>
                <w:b/>
              </w:rPr>
              <w:t xml:space="preserve"> 09724/INFOEM/IP/RR/2025</w:t>
            </w:r>
          </w:p>
        </w:tc>
        <w:tc>
          <w:tcPr>
            <w:tcW w:w="5670" w:type="dxa"/>
          </w:tcPr>
          <w:p w14:paraId="19275DAF" w14:textId="6119DB43" w:rsidR="00E30F56" w:rsidRPr="003A0759" w:rsidRDefault="00E30F56" w:rsidP="00E30F56">
            <w:pPr>
              <w:spacing w:after="0" w:line="240" w:lineRule="auto"/>
              <w:contextualSpacing/>
              <w:jc w:val="both"/>
              <w:rPr>
                <w:rFonts w:ascii="Palatino Linotype" w:eastAsia="Palatino Linotype" w:hAnsi="Palatino Linotype" w:cs="Palatino Linotype"/>
                <w:i/>
                <w:lang w:eastAsia="es-ES"/>
              </w:rPr>
            </w:pPr>
            <w:r w:rsidRPr="003A0759">
              <w:rPr>
                <w:rFonts w:ascii="Palatino Linotype" w:eastAsia="Palatino Linotype" w:hAnsi="Palatino Linotype" w:cs="Palatino Linotype"/>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641C902" w14:textId="77777777" w:rsidR="00E30F56" w:rsidRPr="003A0759" w:rsidRDefault="00E30F56" w:rsidP="00E30F56">
            <w:pPr>
              <w:spacing w:after="0" w:line="240" w:lineRule="auto"/>
              <w:contextualSpacing/>
              <w:jc w:val="both"/>
              <w:rPr>
                <w:rFonts w:ascii="Palatino Linotype" w:eastAsia="Palatino Linotype" w:hAnsi="Palatino Linotype" w:cs="Palatino Linotype"/>
                <w:i/>
                <w:lang w:eastAsia="es-ES"/>
              </w:rPr>
            </w:pPr>
            <w:r w:rsidRPr="003A0759">
              <w:rPr>
                <w:rFonts w:ascii="Palatino Linotype" w:eastAsia="Palatino Linotype" w:hAnsi="Palatino Linotype" w:cs="Palatino Linotype"/>
                <w:i/>
                <w:lang w:eastAsia="es-ES"/>
              </w:rPr>
              <w:t>En atención a la solicitud con folio 03924/TOLUCA/IP/2025, me permito adjuntar al presente la respuesta correspondiente, Sin más por el momento, reciba un saludo.</w:t>
            </w:r>
          </w:p>
          <w:p w14:paraId="74C921AC" w14:textId="77777777" w:rsidR="00E30F56" w:rsidRPr="003A0759" w:rsidRDefault="00E30F56" w:rsidP="00E30F56">
            <w:pPr>
              <w:spacing w:after="0" w:line="240" w:lineRule="auto"/>
              <w:contextualSpacing/>
              <w:jc w:val="both"/>
              <w:rPr>
                <w:rFonts w:ascii="Palatino Linotype" w:eastAsia="Palatino Linotype" w:hAnsi="Palatino Linotype" w:cs="Palatino Linotype"/>
                <w:i/>
                <w:lang w:eastAsia="es-ES"/>
              </w:rPr>
            </w:pPr>
            <w:r w:rsidRPr="003A0759">
              <w:rPr>
                <w:rFonts w:ascii="Palatino Linotype" w:eastAsia="Palatino Linotype" w:hAnsi="Palatino Linotype" w:cs="Palatino Linotype"/>
                <w:i/>
                <w:lang w:eastAsia="es-ES"/>
              </w:rPr>
              <w:t>ATENTAMENTE</w:t>
            </w:r>
          </w:p>
          <w:p w14:paraId="5F7DCA2F" w14:textId="36D8B318" w:rsidR="00E30F56" w:rsidRPr="003A0759" w:rsidRDefault="00E30F56" w:rsidP="00E30F56">
            <w:pPr>
              <w:spacing w:after="0" w:line="240" w:lineRule="auto"/>
              <w:contextualSpacing/>
              <w:rPr>
                <w:rFonts w:ascii="Palatino Linotype" w:eastAsia="Palatino Linotype" w:hAnsi="Palatino Linotype" w:cs="Palatino Linotype"/>
                <w:i/>
                <w:lang w:eastAsia="es-ES"/>
              </w:rPr>
            </w:pPr>
            <w:r w:rsidRPr="003A0759">
              <w:rPr>
                <w:rFonts w:ascii="Palatino Linotype" w:eastAsia="Palatino Linotype" w:hAnsi="Palatino Linotype" w:cs="Palatino Linotype"/>
                <w:i/>
                <w:lang w:eastAsia="es-ES"/>
              </w:rPr>
              <w:t>Dr. Nahum Miguel Mendoza Morales”</w:t>
            </w:r>
          </w:p>
          <w:p w14:paraId="03ABB133" w14:textId="77777777" w:rsidR="00E30F56" w:rsidRPr="003A0759" w:rsidRDefault="00E30F56" w:rsidP="00E30F56">
            <w:pPr>
              <w:spacing w:after="0" w:line="240" w:lineRule="auto"/>
              <w:contextualSpacing/>
              <w:rPr>
                <w:rFonts w:ascii="Palatino Linotype" w:eastAsia="Palatino Linotype" w:hAnsi="Palatino Linotype" w:cs="Palatino Linotype"/>
                <w:b/>
                <w:lang w:eastAsia="es-ES"/>
              </w:rPr>
            </w:pPr>
          </w:p>
          <w:p w14:paraId="742211F3" w14:textId="5D1DA993" w:rsidR="00E30F56" w:rsidRPr="003A0759" w:rsidRDefault="00E30F56" w:rsidP="00E30F56">
            <w:pPr>
              <w:spacing w:after="0" w:line="240" w:lineRule="auto"/>
              <w:contextualSpacing/>
              <w:rPr>
                <w:rFonts w:ascii="Palatino Linotype" w:eastAsia="Palatino Linotype" w:hAnsi="Palatino Linotype" w:cs="Palatino Linotype"/>
                <w:b/>
                <w:lang w:eastAsia="es-ES"/>
              </w:rPr>
            </w:pPr>
            <w:r w:rsidRPr="003A0759">
              <w:rPr>
                <w:rFonts w:ascii="Palatino Linotype" w:eastAsia="Palatino Linotype" w:hAnsi="Palatino Linotype" w:cs="Palatino Linotype"/>
                <w:b/>
                <w:lang w:eastAsia="es-ES"/>
              </w:rPr>
              <w:t>Archivo Adjunto:</w:t>
            </w:r>
          </w:p>
          <w:p w14:paraId="002792DE" w14:textId="093A04AD" w:rsidR="00E30F56" w:rsidRPr="003A0759" w:rsidRDefault="00E30F56" w:rsidP="00E30F56">
            <w:pPr>
              <w:spacing w:after="0" w:line="240" w:lineRule="auto"/>
              <w:contextualSpacing/>
              <w:jc w:val="both"/>
              <w:rPr>
                <w:rFonts w:ascii="Palatino Linotype" w:eastAsia="Palatino Linotype" w:hAnsi="Palatino Linotype" w:cs="Palatino Linotype"/>
                <w:lang w:eastAsia="es-ES"/>
              </w:rPr>
            </w:pPr>
          </w:p>
          <w:p w14:paraId="735D857F" w14:textId="77777777" w:rsidR="00E30F56" w:rsidRPr="003A0759" w:rsidRDefault="00E30F56" w:rsidP="00E30F56">
            <w:pPr>
              <w:spacing w:after="0" w:line="240" w:lineRule="auto"/>
              <w:contextualSpacing/>
              <w:jc w:val="both"/>
              <w:rPr>
                <w:rFonts w:ascii="Palatino Linotype" w:eastAsia="Palatino Linotype" w:hAnsi="Palatino Linotype" w:cs="Palatino Linotype"/>
                <w:lang w:eastAsia="es-ES"/>
              </w:rPr>
            </w:pPr>
            <w:r w:rsidRPr="003A0759">
              <w:rPr>
                <w:rFonts w:ascii="Palatino Linotype" w:eastAsia="Palatino Linotype" w:hAnsi="Palatino Linotype" w:cs="Palatino Linotype"/>
                <w:b/>
                <w:bCs/>
                <w:i/>
                <w:iCs/>
                <w:lang w:eastAsia="es-ES"/>
              </w:rPr>
              <w:t>NOTIF. CIUDADANO S. 3924.pdf:</w:t>
            </w:r>
            <w:r w:rsidRPr="003A0759">
              <w:rPr>
                <w:rFonts w:ascii="Palatino Linotype" w:eastAsia="Palatino Linotype" w:hAnsi="Palatino Linotype" w:cs="Palatino Linotype"/>
                <w:lang w:eastAsia="es-ES"/>
              </w:rPr>
              <w:t xml:space="preserve"> </w:t>
            </w:r>
          </w:p>
          <w:p w14:paraId="6F003F3B" w14:textId="1A8B9178" w:rsidR="00E30F56" w:rsidRPr="003A0759" w:rsidRDefault="00E30F56" w:rsidP="00E30F56">
            <w:pPr>
              <w:spacing w:after="0" w:line="240" w:lineRule="auto"/>
              <w:contextualSpacing/>
              <w:jc w:val="both"/>
              <w:rPr>
                <w:rFonts w:ascii="Palatino Linotype" w:eastAsia="Palatino Linotype" w:hAnsi="Palatino Linotype" w:cs="Palatino Linotype"/>
                <w:lang w:eastAsia="es-ES"/>
              </w:rPr>
            </w:pPr>
            <w:r w:rsidRPr="003A0759">
              <w:rPr>
                <w:rFonts w:ascii="Palatino Linotype" w:eastAsia="Palatino Linotype" w:hAnsi="Palatino Linotype" w:cs="Palatino Linotype"/>
                <w:lang w:eastAsia="es-ES"/>
              </w:rPr>
              <w:t xml:space="preserve">- Oficio número 206010000/4507/2025, de fecha seis de agosto de dos mil veinticinco, signado por la Directora General de Administración, mediante el cual informó la entrega de la respuesta de la Dirección de Recursos Humanos. </w:t>
            </w:r>
          </w:p>
          <w:p w14:paraId="5704B1AC" w14:textId="1A83949E" w:rsidR="00E30F56" w:rsidRPr="003A0759" w:rsidRDefault="00E30F56" w:rsidP="00E30F56">
            <w:pPr>
              <w:spacing w:after="0" w:line="240" w:lineRule="auto"/>
              <w:contextualSpacing/>
              <w:jc w:val="both"/>
              <w:rPr>
                <w:rFonts w:ascii="Palatino Linotype" w:eastAsia="Palatino Linotype" w:hAnsi="Palatino Linotype" w:cs="Palatino Linotype"/>
                <w:lang w:eastAsia="es-ES"/>
              </w:rPr>
            </w:pPr>
            <w:r w:rsidRPr="003A0759">
              <w:rPr>
                <w:rFonts w:ascii="Palatino Linotype" w:eastAsia="Palatino Linotype" w:hAnsi="Palatino Linotype" w:cs="Palatino Linotype"/>
                <w:lang w:eastAsia="es-ES"/>
              </w:rPr>
              <w:t xml:space="preserve">- Nota Informativa número 848/2025, de fecha cinco de agosto de dos mil veinticinco, signado por la Dirección de Recursos Humanos, en el que informó que después del análisis de la información solicitada, podrá consultarla en la página de internet: </w:t>
            </w:r>
          </w:p>
          <w:p w14:paraId="71FF9F3D" w14:textId="49614041" w:rsidR="00E30F56" w:rsidRPr="003A0759" w:rsidRDefault="00297BAC" w:rsidP="00E30F56">
            <w:pPr>
              <w:spacing w:after="0" w:line="240" w:lineRule="auto"/>
              <w:contextualSpacing/>
              <w:jc w:val="both"/>
              <w:rPr>
                <w:rFonts w:ascii="Palatino Linotype" w:eastAsia="Palatino Linotype" w:hAnsi="Palatino Linotype" w:cs="Palatino Linotype"/>
                <w:lang w:eastAsia="es-ES"/>
              </w:rPr>
            </w:pPr>
            <w:r w:rsidRPr="003A0759">
              <w:rPr>
                <w:rFonts w:ascii="Palatino Linotype" w:eastAsia="Palatino Linotype" w:hAnsi="Palatino Linotype" w:cs="Palatino Linotype"/>
                <w:noProof/>
                <w:lang w:eastAsia="es-MX"/>
              </w:rPr>
              <w:drawing>
                <wp:inline distT="0" distB="0" distL="0" distR="0" wp14:anchorId="32EACB51" wp14:editId="7486A3C3">
                  <wp:extent cx="3463290" cy="168275"/>
                  <wp:effectExtent l="0" t="0" r="381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63290" cy="168275"/>
                          </a:xfrm>
                          <a:prstGeom prst="rect">
                            <a:avLst/>
                          </a:prstGeom>
                        </pic:spPr>
                      </pic:pic>
                    </a:graphicData>
                  </a:graphic>
                </wp:inline>
              </w:drawing>
            </w:r>
          </w:p>
        </w:tc>
      </w:tr>
      <w:tr w:rsidR="00AC4E2F" w:rsidRPr="003A0759" w14:paraId="2017EC3D" w14:textId="77777777" w:rsidTr="002512B7">
        <w:tc>
          <w:tcPr>
            <w:tcW w:w="3256" w:type="dxa"/>
          </w:tcPr>
          <w:p w14:paraId="1415535D" w14:textId="77777777" w:rsidR="00E30F56" w:rsidRPr="003A0759" w:rsidRDefault="00E30F56" w:rsidP="00E30F56">
            <w:pPr>
              <w:spacing w:after="0" w:line="240" w:lineRule="auto"/>
              <w:contextualSpacing/>
              <w:jc w:val="center"/>
              <w:rPr>
                <w:rFonts w:ascii="Palatino Linotype" w:eastAsia="Palatino Linotype" w:hAnsi="Palatino Linotype" w:cs="Palatino Linotype"/>
                <w:b/>
              </w:rPr>
            </w:pPr>
          </w:p>
          <w:p w14:paraId="112BCF82" w14:textId="77777777" w:rsidR="00E30F56" w:rsidRPr="003A0759" w:rsidRDefault="00E30F56" w:rsidP="00E30F56">
            <w:pPr>
              <w:spacing w:after="0" w:line="240" w:lineRule="auto"/>
              <w:contextualSpacing/>
              <w:jc w:val="center"/>
              <w:rPr>
                <w:rFonts w:ascii="Palatino Linotype" w:eastAsia="Palatino Linotype" w:hAnsi="Palatino Linotype" w:cs="Palatino Linotype"/>
                <w:b/>
              </w:rPr>
            </w:pPr>
          </w:p>
          <w:p w14:paraId="58C474F5" w14:textId="77777777" w:rsidR="00E30F56" w:rsidRPr="003A0759" w:rsidRDefault="00E30F56" w:rsidP="00E30F56">
            <w:pPr>
              <w:spacing w:after="0" w:line="240" w:lineRule="auto"/>
              <w:contextualSpacing/>
              <w:jc w:val="center"/>
              <w:rPr>
                <w:rFonts w:ascii="Palatino Linotype" w:eastAsia="Palatino Linotype" w:hAnsi="Palatino Linotype" w:cs="Palatino Linotype"/>
                <w:b/>
              </w:rPr>
            </w:pPr>
          </w:p>
          <w:p w14:paraId="14D160EA" w14:textId="327A8C39" w:rsidR="00E30F56" w:rsidRPr="003A0759" w:rsidRDefault="00E30F56" w:rsidP="00E30F56">
            <w:pPr>
              <w:spacing w:after="0" w:line="240" w:lineRule="auto"/>
              <w:contextualSpacing/>
              <w:jc w:val="center"/>
              <w:rPr>
                <w:rFonts w:ascii="Palatino Linotype" w:eastAsia="Palatino Linotype" w:hAnsi="Palatino Linotype" w:cs="Palatino Linotype"/>
                <w:b/>
                <w:lang w:eastAsia="es-ES"/>
              </w:rPr>
            </w:pPr>
            <w:r w:rsidRPr="003A0759">
              <w:rPr>
                <w:rFonts w:ascii="Palatino Linotype" w:eastAsia="Palatino Linotype" w:hAnsi="Palatino Linotype" w:cs="Palatino Linotype"/>
                <w:b/>
              </w:rPr>
              <w:t xml:space="preserve">03923/TOLUCA/IP/2025, </w:t>
            </w:r>
            <w:r w:rsidRPr="003A0759">
              <w:rPr>
                <w:rFonts w:ascii="Palatino Linotype" w:eastAsia="Palatino Linotype" w:hAnsi="Palatino Linotype" w:cs="Palatino Linotype"/>
              </w:rPr>
              <w:t>correspondiente al Recurso de Revisión</w:t>
            </w:r>
            <w:r w:rsidRPr="003A0759">
              <w:rPr>
                <w:rFonts w:ascii="Palatino Linotype" w:eastAsia="Palatino Linotype" w:hAnsi="Palatino Linotype" w:cs="Palatino Linotype"/>
                <w:b/>
              </w:rPr>
              <w:t xml:space="preserve"> 09725/INFOEM/IP/RR/2025</w:t>
            </w:r>
          </w:p>
        </w:tc>
        <w:tc>
          <w:tcPr>
            <w:tcW w:w="5670" w:type="dxa"/>
          </w:tcPr>
          <w:p w14:paraId="3FE86C32" w14:textId="77777777" w:rsidR="00E30F56" w:rsidRPr="003A0759" w:rsidRDefault="00E30F56" w:rsidP="00E30F56">
            <w:pPr>
              <w:spacing w:after="0" w:line="240" w:lineRule="auto"/>
              <w:contextualSpacing/>
              <w:jc w:val="both"/>
              <w:rPr>
                <w:rFonts w:ascii="Palatino Linotype" w:eastAsia="Palatino Linotype" w:hAnsi="Palatino Linotype" w:cs="Palatino Linotype"/>
                <w:i/>
                <w:lang w:eastAsia="es-ES"/>
              </w:rPr>
            </w:pPr>
            <w:r w:rsidRPr="003A0759">
              <w:rPr>
                <w:rFonts w:ascii="Palatino Linotype" w:eastAsia="Palatino Linotype" w:hAnsi="Palatino Linotype" w:cs="Palatino Linotype"/>
                <w:i/>
                <w:lang w:eastAsia="es-ES"/>
              </w:rPr>
              <w:lastRenderedPageBreak/>
              <w:t xml:space="preserve">“En respuesta a la solicitud recibida, nos permitimos hacer de su conocimiento que con fundamento en el artículo 53, </w:t>
            </w:r>
            <w:r w:rsidRPr="003A0759">
              <w:rPr>
                <w:rFonts w:ascii="Palatino Linotype" w:eastAsia="Palatino Linotype" w:hAnsi="Palatino Linotype" w:cs="Palatino Linotype"/>
                <w:i/>
                <w:lang w:eastAsia="es-ES"/>
              </w:rPr>
              <w:lastRenderedPageBreak/>
              <w:t>Fracciones: II, V y VI de la Ley de Transparencia y Acceso a la Información Pública del Estado de México y Municipios, le contestamos que:</w:t>
            </w:r>
          </w:p>
          <w:p w14:paraId="528B9C8B" w14:textId="77777777" w:rsidR="00E30F56" w:rsidRPr="003A0759" w:rsidRDefault="00E30F56" w:rsidP="00E30F56">
            <w:pPr>
              <w:spacing w:after="0" w:line="240" w:lineRule="auto"/>
              <w:contextualSpacing/>
              <w:jc w:val="both"/>
              <w:rPr>
                <w:rFonts w:ascii="Palatino Linotype" w:eastAsia="Palatino Linotype" w:hAnsi="Palatino Linotype" w:cs="Palatino Linotype"/>
                <w:i/>
                <w:lang w:eastAsia="es-ES"/>
              </w:rPr>
            </w:pPr>
            <w:r w:rsidRPr="003A0759">
              <w:rPr>
                <w:rFonts w:ascii="Palatino Linotype" w:eastAsia="Palatino Linotype" w:hAnsi="Palatino Linotype" w:cs="Palatino Linotype"/>
                <w:i/>
                <w:lang w:eastAsia="es-ES"/>
              </w:rPr>
              <w:t>En atención a la solicitud con folio 03923/TOLUCA/IP/2025, me permito adjuntar al presente la respuesta correspondiente, Sin más por el momento, reciba un saludo.</w:t>
            </w:r>
          </w:p>
          <w:p w14:paraId="51016D4B" w14:textId="77777777" w:rsidR="00E30F56" w:rsidRPr="003A0759" w:rsidRDefault="00E30F56" w:rsidP="00E30F56">
            <w:pPr>
              <w:spacing w:after="0" w:line="240" w:lineRule="auto"/>
              <w:contextualSpacing/>
              <w:jc w:val="both"/>
              <w:rPr>
                <w:rFonts w:ascii="Palatino Linotype" w:eastAsia="Palatino Linotype" w:hAnsi="Palatino Linotype" w:cs="Palatino Linotype"/>
                <w:i/>
                <w:lang w:eastAsia="es-ES"/>
              </w:rPr>
            </w:pPr>
            <w:r w:rsidRPr="003A0759">
              <w:rPr>
                <w:rFonts w:ascii="Palatino Linotype" w:eastAsia="Palatino Linotype" w:hAnsi="Palatino Linotype" w:cs="Palatino Linotype"/>
                <w:i/>
                <w:lang w:eastAsia="es-ES"/>
              </w:rPr>
              <w:t>ATENTAMENTE</w:t>
            </w:r>
          </w:p>
          <w:p w14:paraId="473A669F" w14:textId="3ECAA632" w:rsidR="00E30F56" w:rsidRPr="003A0759" w:rsidRDefault="00E30F56" w:rsidP="00E30F56">
            <w:pPr>
              <w:spacing w:after="0" w:line="240" w:lineRule="auto"/>
              <w:contextualSpacing/>
              <w:rPr>
                <w:rFonts w:ascii="Palatino Linotype" w:eastAsia="Palatino Linotype" w:hAnsi="Palatino Linotype" w:cs="Palatino Linotype"/>
                <w:i/>
                <w:lang w:eastAsia="es-ES"/>
              </w:rPr>
            </w:pPr>
            <w:r w:rsidRPr="003A0759">
              <w:rPr>
                <w:rFonts w:ascii="Palatino Linotype" w:eastAsia="Palatino Linotype" w:hAnsi="Palatino Linotype" w:cs="Palatino Linotype"/>
                <w:i/>
                <w:lang w:eastAsia="es-ES"/>
              </w:rPr>
              <w:t>Dr. Nahum Miguel Mendoza Morales”</w:t>
            </w:r>
          </w:p>
          <w:p w14:paraId="267FC1AC" w14:textId="77777777" w:rsidR="00E30F56" w:rsidRPr="003A0759" w:rsidRDefault="00E30F56" w:rsidP="00E30F56">
            <w:pPr>
              <w:spacing w:after="0" w:line="240" w:lineRule="auto"/>
              <w:contextualSpacing/>
              <w:rPr>
                <w:rFonts w:ascii="Palatino Linotype" w:eastAsia="Palatino Linotype" w:hAnsi="Palatino Linotype" w:cs="Palatino Linotype"/>
                <w:b/>
                <w:lang w:eastAsia="es-ES"/>
              </w:rPr>
            </w:pPr>
          </w:p>
          <w:p w14:paraId="0E35AA25" w14:textId="77777777" w:rsidR="00E30F56" w:rsidRPr="003A0759" w:rsidRDefault="00E30F56" w:rsidP="00E30F56">
            <w:pPr>
              <w:spacing w:after="0" w:line="240" w:lineRule="auto"/>
              <w:contextualSpacing/>
              <w:rPr>
                <w:rFonts w:ascii="Palatino Linotype" w:eastAsia="Palatino Linotype" w:hAnsi="Palatino Linotype" w:cs="Palatino Linotype"/>
                <w:b/>
                <w:lang w:eastAsia="es-ES"/>
              </w:rPr>
            </w:pPr>
            <w:r w:rsidRPr="003A0759">
              <w:rPr>
                <w:rFonts w:ascii="Palatino Linotype" w:eastAsia="Palatino Linotype" w:hAnsi="Palatino Linotype" w:cs="Palatino Linotype"/>
                <w:b/>
                <w:lang w:eastAsia="es-ES"/>
              </w:rPr>
              <w:t>Archivo Adjunto:</w:t>
            </w:r>
          </w:p>
          <w:p w14:paraId="3BCD0BEF" w14:textId="77777777" w:rsidR="00E30F56" w:rsidRPr="003A0759" w:rsidRDefault="00E30F56" w:rsidP="00E30F56">
            <w:pPr>
              <w:spacing w:after="0" w:line="240" w:lineRule="auto"/>
              <w:contextualSpacing/>
              <w:jc w:val="both"/>
              <w:rPr>
                <w:rFonts w:ascii="Palatino Linotype" w:eastAsia="Palatino Linotype" w:hAnsi="Palatino Linotype" w:cs="Palatino Linotype"/>
                <w:lang w:eastAsia="es-ES"/>
              </w:rPr>
            </w:pPr>
          </w:p>
          <w:p w14:paraId="444F9608" w14:textId="700123A8" w:rsidR="00E30F56" w:rsidRPr="003A0759" w:rsidRDefault="00E30F56" w:rsidP="00E30F56">
            <w:pPr>
              <w:spacing w:after="0" w:line="240" w:lineRule="auto"/>
              <w:contextualSpacing/>
              <w:jc w:val="both"/>
              <w:rPr>
                <w:rFonts w:ascii="Palatino Linotype" w:eastAsia="Palatino Linotype" w:hAnsi="Palatino Linotype" w:cs="Palatino Linotype"/>
                <w:lang w:eastAsia="es-ES"/>
              </w:rPr>
            </w:pPr>
            <w:r w:rsidRPr="003A0759">
              <w:rPr>
                <w:rFonts w:ascii="Palatino Linotype" w:eastAsia="Palatino Linotype" w:hAnsi="Palatino Linotype" w:cs="Palatino Linotype"/>
                <w:b/>
                <w:bCs/>
                <w:i/>
                <w:iCs/>
                <w:lang w:eastAsia="es-ES"/>
              </w:rPr>
              <w:t>NOTIF. CIUDADANO S. 3923.pdf:</w:t>
            </w:r>
          </w:p>
          <w:p w14:paraId="3C3B9250" w14:textId="57527016" w:rsidR="00E30F56" w:rsidRPr="003A0759" w:rsidRDefault="00E30F56" w:rsidP="00E30F56">
            <w:pPr>
              <w:spacing w:after="0" w:line="240" w:lineRule="auto"/>
              <w:contextualSpacing/>
              <w:jc w:val="both"/>
              <w:rPr>
                <w:rFonts w:ascii="Palatino Linotype" w:eastAsia="Palatino Linotype" w:hAnsi="Palatino Linotype" w:cs="Palatino Linotype"/>
                <w:lang w:eastAsia="es-ES"/>
              </w:rPr>
            </w:pPr>
            <w:r w:rsidRPr="003A0759">
              <w:rPr>
                <w:rFonts w:ascii="Palatino Linotype" w:eastAsia="Palatino Linotype" w:hAnsi="Palatino Linotype" w:cs="Palatino Linotype"/>
                <w:lang w:eastAsia="es-ES"/>
              </w:rPr>
              <w:t xml:space="preserve">- Oficio número 206010000/4465/2025, de fecha cuatro de agosto de dos mil veinticinco, signado por la Directora General de Administración, mediante el cual informó la entrega de la respuesta de la Dirección de Recursos Humanos. </w:t>
            </w:r>
          </w:p>
          <w:p w14:paraId="5468E5FF" w14:textId="11DC4EC3" w:rsidR="00E30F56" w:rsidRPr="003A0759" w:rsidRDefault="00E30F56" w:rsidP="00E30F56">
            <w:pPr>
              <w:spacing w:after="0" w:line="240" w:lineRule="auto"/>
              <w:contextualSpacing/>
              <w:jc w:val="both"/>
              <w:rPr>
                <w:rFonts w:ascii="Palatino Linotype" w:eastAsia="Palatino Linotype" w:hAnsi="Palatino Linotype" w:cs="Palatino Linotype"/>
                <w:lang w:eastAsia="es-ES"/>
              </w:rPr>
            </w:pPr>
            <w:r w:rsidRPr="003A0759">
              <w:rPr>
                <w:rFonts w:ascii="Palatino Linotype" w:eastAsia="Palatino Linotype" w:hAnsi="Palatino Linotype" w:cs="Palatino Linotype"/>
                <w:lang w:eastAsia="es-ES"/>
              </w:rPr>
              <w:t xml:space="preserve">- Nota Informativa número 847/2025, de fecha cuatro de agosto de dos mil veinticinco, signado por la Dirección de Recursos Humanos, en el que informó que después del análisis de la información solicitada, podrá consultarla en la página de internet: </w:t>
            </w:r>
          </w:p>
          <w:p w14:paraId="6E01C636" w14:textId="77777777" w:rsidR="00E30F56" w:rsidRPr="003A0759" w:rsidRDefault="00297BAC" w:rsidP="00297BAC">
            <w:pPr>
              <w:spacing w:after="0" w:line="240" w:lineRule="auto"/>
              <w:contextualSpacing/>
              <w:jc w:val="both"/>
              <w:rPr>
                <w:rFonts w:ascii="Palatino Linotype" w:eastAsia="Palatino Linotype" w:hAnsi="Palatino Linotype" w:cs="Palatino Linotype"/>
                <w:lang w:eastAsia="es-ES"/>
              </w:rPr>
            </w:pPr>
            <w:r w:rsidRPr="003A0759">
              <w:rPr>
                <w:rFonts w:ascii="Palatino Linotype" w:eastAsia="Palatino Linotype" w:hAnsi="Palatino Linotype" w:cs="Palatino Linotype"/>
                <w:noProof/>
                <w:lang w:eastAsia="es-MX"/>
              </w:rPr>
              <w:drawing>
                <wp:inline distT="0" distB="0" distL="0" distR="0" wp14:anchorId="3E5195A7" wp14:editId="5AE70088">
                  <wp:extent cx="3463290" cy="168275"/>
                  <wp:effectExtent l="0" t="0" r="381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63290" cy="168275"/>
                          </a:xfrm>
                          <a:prstGeom prst="rect">
                            <a:avLst/>
                          </a:prstGeom>
                        </pic:spPr>
                      </pic:pic>
                    </a:graphicData>
                  </a:graphic>
                </wp:inline>
              </w:drawing>
            </w:r>
          </w:p>
          <w:p w14:paraId="3F7FACE0" w14:textId="6B0C4B94" w:rsidR="00A00C27" w:rsidRPr="003A0759" w:rsidRDefault="00A00C27" w:rsidP="00297BAC">
            <w:pPr>
              <w:spacing w:after="0" w:line="240" w:lineRule="auto"/>
              <w:contextualSpacing/>
              <w:jc w:val="both"/>
              <w:rPr>
                <w:rFonts w:ascii="Palatino Linotype" w:eastAsia="Palatino Linotype" w:hAnsi="Palatino Linotype" w:cs="Palatino Linotype"/>
                <w:lang w:eastAsia="es-ES"/>
              </w:rPr>
            </w:pPr>
          </w:p>
        </w:tc>
      </w:tr>
      <w:bookmarkEnd w:id="3"/>
    </w:tbl>
    <w:p w14:paraId="1755C8E6" w14:textId="6439C284" w:rsidR="006041B2" w:rsidRPr="003A0759" w:rsidRDefault="006041B2" w:rsidP="00E30F56">
      <w:pPr>
        <w:spacing w:after="0" w:line="360" w:lineRule="auto"/>
        <w:contextualSpacing/>
        <w:rPr>
          <w:rFonts w:ascii="Palatino Linotype" w:eastAsia="Palatino Linotype" w:hAnsi="Palatino Linotype" w:cs="Palatino Linotype"/>
          <w:lang w:eastAsia="es-ES"/>
        </w:rPr>
      </w:pPr>
    </w:p>
    <w:p w14:paraId="50306DE8" w14:textId="4DDF596E" w:rsidR="00EF01A7" w:rsidRPr="003A0759" w:rsidRDefault="001579A6" w:rsidP="00E30F56">
      <w:pPr>
        <w:spacing w:after="0" w:line="360" w:lineRule="auto"/>
        <w:contextualSpacing/>
        <w:jc w:val="both"/>
        <w:rPr>
          <w:rFonts w:ascii="Palatino Linotype" w:hAnsi="Palatino Linotype" w:cs="Palatino Linotype"/>
          <w:lang w:eastAsia="es-MX"/>
        </w:rPr>
      </w:pPr>
      <w:r w:rsidRPr="003A0759">
        <w:rPr>
          <w:rFonts w:ascii="Palatino Linotype" w:hAnsi="Palatino Linotype" w:cs="Palatino Linotype"/>
          <w:b/>
          <w:lang w:eastAsia="es-MX"/>
        </w:rPr>
        <w:t>3</w:t>
      </w:r>
      <w:r w:rsidR="00EF01A7" w:rsidRPr="003A0759">
        <w:rPr>
          <w:rFonts w:ascii="Palatino Linotype" w:hAnsi="Palatino Linotype" w:cs="Palatino Linotype"/>
          <w:b/>
          <w:lang w:eastAsia="es-MX"/>
        </w:rPr>
        <w:t xml:space="preserve">. Del Recurso de Revisión. </w:t>
      </w:r>
      <w:r w:rsidR="00EF01A7" w:rsidRPr="003A0759">
        <w:rPr>
          <w:rFonts w:ascii="Palatino Linotype" w:hAnsi="Palatino Linotype" w:cs="Palatino Linotype"/>
          <w:lang w:eastAsia="es-MX"/>
        </w:rPr>
        <w:t>Inconforme con las respuestas del</w:t>
      </w:r>
      <w:r w:rsidR="00EF01A7" w:rsidRPr="003A0759">
        <w:rPr>
          <w:rFonts w:ascii="Palatino Linotype" w:hAnsi="Palatino Linotype" w:cs="Palatino Linotype"/>
          <w:b/>
          <w:lang w:eastAsia="es-MX"/>
        </w:rPr>
        <w:t xml:space="preserve"> </w:t>
      </w:r>
      <w:r w:rsidR="0013184D" w:rsidRPr="003A0759">
        <w:rPr>
          <w:rFonts w:ascii="Palatino Linotype" w:hAnsi="Palatino Linotype" w:cs="Palatino Linotype"/>
          <w:b/>
          <w:lang w:eastAsia="es-MX"/>
        </w:rPr>
        <w:t>Sujeto Obligado</w:t>
      </w:r>
      <w:r w:rsidR="00EF01A7" w:rsidRPr="003A0759">
        <w:rPr>
          <w:rFonts w:ascii="Palatino Linotype" w:hAnsi="Palatino Linotype" w:cs="Palatino Linotype"/>
          <w:b/>
          <w:lang w:eastAsia="es-MX"/>
        </w:rPr>
        <w:t xml:space="preserve">, </w:t>
      </w:r>
      <w:r w:rsidR="00EF01A7" w:rsidRPr="003A0759">
        <w:rPr>
          <w:rFonts w:ascii="Palatino Linotype" w:hAnsi="Palatino Linotype" w:cs="Palatino Linotype"/>
          <w:lang w:eastAsia="es-MX"/>
        </w:rPr>
        <w:t>en fecha</w:t>
      </w:r>
      <w:r w:rsidR="002D2E81" w:rsidRPr="003A0759">
        <w:rPr>
          <w:rFonts w:ascii="Palatino Linotype" w:hAnsi="Palatino Linotype" w:cs="Palatino Linotype"/>
          <w:lang w:eastAsia="es-MX"/>
        </w:rPr>
        <w:t xml:space="preserve">s </w:t>
      </w:r>
      <w:r w:rsidR="00A00C27" w:rsidRPr="003A0759">
        <w:rPr>
          <w:rFonts w:ascii="Palatino Linotype" w:hAnsi="Palatino Linotype" w:cs="Palatino Linotype"/>
          <w:b/>
          <w:lang w:eastAsia="es-MX"/>
        </w:rPr>
        <w:t>diecinueve de agosto</w:t>
      </w:r>
      <w:r w:rsidR="002D2E81" w:rsidRPr="003A0759">
        <w:rPr>
          <w:rFonts w:ascii="Palatino Linotype" w:hAnsi="Palatino Linotype" w:cs="Palatino Linotype"/>
          <w:b/>
          <w:lang w:eastAsia="es-MX"/>
        </w:rPr>
        <w:t xml:space="preserve"> de dos mil veintic</w:t>
      </w:r>
      <w:r w:rsidR="00737BA7" w:rsidRPr="003A0759">
        <w:rPr>
          <w:rFonts w:ascii="Palatino Linotype" w:hAnsi="Palatino Linotype" w:cs="Palatino Linotype"/>
          <w:b/>
          <w:lang w:eastAsia="es-MX"/>
        </w:rPr>
        <w:t>inco</w:t>
      </w:r>
      <w:r w:rsidR="0013184D" w:rsidRPr="003A0759">
        <w:rPr>
          <w:rFonts w:ascii="Palatino Linotype" w:hAnsi="Palatino Linotype" w:cs="Palatino Linotype"/>
          <w:bCs/>
          <w:lang w:eastAsia="es-MX"/>
        </w:rPr>
        <w:t>, la parte</w:t>
      </w:r>
      <w:r w:rsidR="0013184D" w:rsidRPr="003A0759">
        <w:rPr>
          <w:rFonts w:ascii="Palatino Linotype" w:hAnsi="Palatino Linotype" w:cs="Palatino Linotype"/>
          <w:b/>
          <w:lang w:eastAsia="es-MX"/>
        </w:rPr>
        <w:t xml:space="preserve"> Recurrente </w:t>
      </w:r>
      <w:r w:rsidR="00EF01A7" w:rsidRPr="003A0759">
        <w:rPr>
          <w:rFonts w:ascii="Palatino Linotype" w:hAnsi="Palatino Linotype" w:cs="Palatino Linotype"/>
          <w:lang w:eastAsia="es-MX"/>
        </w:rPr>
        <w:t xml:space="preserve">interpuso los recursos de revisión, en los cuales manifiesta, lo siguiente: </w:t>
      </w:r>
    </w:p>
    <w:p w14:paraId="12F00252" w14:textId="77777777" w:rsidR="004E4F1F" w:rsidRPr="003A0759" w:rsidRDefault="004E4F1F" w:rsidP="00E30F56">
      <w:pPr>
        <w:spacing w:after="0" w:line="360" w:lineRule="auto"/>
        <w:contextualSpacing/>
        <w:jc w:val="both"/>
        <w:rPr>
          <w:rFonts w:ascii="Palatino Linotype" w:hAnsi="Palatino Linotype" w:cs="Palatino Linotype"/>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3256"/>
        <w:gridCol w:w="2976"/>
        <w:gridCol w:w="2823"/>
      </w:tblGrid>
      <w:tr w:rsidR="00AC4E2F" w:rsidRPr="003A0759" w14:paraId="23C16F64" w14:textId="77777777" w:rsidTr="0013184D">
        <w:tc>
          <w:tcPr>
            <w:tcW w:w="325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5" w:type="dxa"/>
              <w:bottom w:w="0" w:type="dxa"/>
              <w:right w:w="115" w:type="dxa"/>
            </w:tcMar>
            <w:hideMark/>
          </w:tcPr>
          <w:p w14:paraId="6F70B1A6" w14:textId="77777777" w:rsidR="008F38AF" w:rsidRPr="003A0759" w:rsidRDefault="008F38AF" w:rsidP="00E30F56">
            <w:pPr>
              <w:spacing w:after="0" w:line="360" w:lineRule="auto"/>
              <w:contextualSpacing/>
              <w:jc w:val="both"/>
              <w:rPr>
                <w:rFonts w:ascii="Palatino Linotype" w:hAnsi="Palatino Linotype" w:cs="Palatino Linotype"/>
                <w:lang w:eastAsia="es-MX"/>
              </w:rPr>
            </w:pPr>
            <w:bookmarkStart w:id="4" w:name="_Hlk213099463"/>
            <w:r w:rsidRPr="003A0759">
              <w:rPr>
                <w:rFonts w:ascii="Palatino Linotype" w:hAnsi="Palatino Linotype" w:cs="Palatino Linotype"/>
                <w:b/>
                <w:bCs/>
                <w:lang w:eastAsia="es-MX"/>
              </w:rPr>
              <w:t>Recurso de Revisión</w:t>
            </w:r>
          </w:p>
        </w:tc>
        <w:tc>
          <w:tcPr>
            <w:tcW w:w="297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5" w:type="dxa"/>
              <w:bottom w:w="0" w:type="dxa"/>
              <w:right w:w="115" w:type="dxa"/>
            </w:tcMar>
            <w:hideMark/>
          </w:tcPr>
          <w:p w14:paraId="515C1AB3" w14:textId="77777777" w:rsidR="008F38AF" w:rsidRPr="003A0759" w:rsidRDefault="008F38AF" w:rsidP="00E30F56">
            <w:pPr>
              <w:spacing w:after="0" w:line="360" w:lineRule="auto"/>
              <w:contextualSpacing/>
              <w:jc w:val="both"/>
              <w:rPr>
                <w:rFonts w:ascii="Palatino Linotype" w:hAnsi="Palatino Linotype" w:cs="Palatino Linotype"/>
                <w:lang w:eastAsia="es-MX"/>
              </w:rPr>
            </w:pPr>
            <w:r w:rsidRPr="003A0759">
              <w:rPr>
                <w:rFonts w:ascii="Palatino Linotype" w:hAnsi="Palatino Linotype" w:cs="Palatino Linotype"/>
                <w:b/>
                <w:bCs/>
                <w:lang w:eastAsia="es-MX"/>
              </w:rPr>
              <w:t>Acto Impugnado</w:t>
            </w:r>
          </w:p>
        </w:tc>
        <w:tc>
          <w:tcPr>
            <w:tcW w:w="282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5" w:type="dxa"/>
              <w:bottom w:w="0" w:type="dxa"/>
              <w:right w:w="115" w:type="dxa"/>
            </w:tcMar>
            <w:hideMark/>
          </w:tcPr>
          <w:p w14:paraId="5579265C" w14:textId="77777777" w:rsidR="008F38AF" w:rsidRPr="003A0759" w:rsidRDefault="008F38AF" w:rsidP="00E30F56">
            <w:pPr>
              <w:spacing w:after="0" w:line="360" w:lineRule="auto"/>
              <w:contextualSpacing/>
              <w:jc w:val="both"/>
              <w:rPr>
                <w:rFonts w:ascii="Palatino Linotype" w:hAnsi="Palatino Linotype" w:cs="Palatino Linotype"/>
                <w:lang w:eastAsia="es-MX"/>
              </w:rPr>
            </w:pPr>
            <w:r w:rsidRPr="003A0759">
              <w:rPr>
                <w:rFonts w:ascii="Palatino Linotype" w:hAnsi="Palatino Linotype" w:cs="Palatino Linotype"/>
                <w:b/>
                <w:bCs/>
                <w:lang w:eastAsia="es-MX"/>
              </w:rPr>
              <w:t>Razones o motivos de inconformidad</w:t>
            </w:r>
          </w:p>
        </w:tc>
      </w:tr>
      <w:tr w:rsidR="00AC4E2F" w:rsidRPr="003A0759" w14:paraId="11FEB32D" w14:textId="77777777" w:rsidTr="008F38AF">
        <w:tc>
          <w:tcPr>
            <w:tcW w:w="3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DB0C3F" w14:textId="28BBBA85" w:rsidR="00E30F56" w:rsidRPr="003A0759" w:rsidRDefault="00E30F56" w:rsidP="00E30F56">
            <w:pPr>
              <w:spacing w:after="0" w:line="240" w:lineRule="auto"/>
              <w:contextualSpacing/>
              <w:jc w:val="center"/>
              <w:rPr>
                <w:rFonts w:ascii="Palatino Linotype" w:hAnsi="Palatino Linotype" w:cs="Palatino Linotype"/>
                <w:b/>
                <w:bCs/>
                <w:lang w:eastAsia="es-MX"/>
              </w:rPr>
            </w:pPr>
            <w:r w:rsidRPr="003A0759">
              <w:rPr>
                <w:rFonts w:ascii="Palatino Linotype" w:eastAsia="Palatino Linotype" w:hAnsi="Palatino Linotype" w:cs="Palatino Linotype"/>
                <w:b/>
              </w:rPr>
              <w:t xml:space="preserve">03924/TOLUCA/IP/2025, </w:t>
            </w:r>
            <w:r w:rsidRPr="003A0759">
              <w:rPr>
                <w:rFonts w:ascii="Palatino Linotype" w:eastAsia="Palatino Linotype" w:hAnsi="Palatino Linotype" w:cs="Palatino Linotype"/>
              </w:rPr>
              <w:t>correspondiente al Recurso de Revisión</w:t>
            </w:r>
            <w:r w:rsidRPr="003A0759">
              <w:rPr>
                <w:rFonts w:ascii="Palatino Linotype" w:eastAsia="Palatino Linotype" w:hAnsi="Palatino Linotype" w:cs="Palatino Linotype"/>
                <w:b/>
              </w:rPr>
              <w:t xml:space="preserve"> 09724/INFOEM/IP/RR/2025</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719A36" w14:textId="1D0499D8" w:rsidR="00E30F56" w:rsidRPr="003A0759" w:rsidRDefault="00E30F56" w:rsidP="00E30F56">
            <w:pPr>
              <w:spacing w:after="0" w:line="240" w:lineRule="auto"/>
              <w:contextualSpacing/>
              <w:jc w:val="both"/>
              <w:rPr>
                <w:rFonts w:ascii="Palatino Linotype" w:hAnsi="Palatino Linotype" w:cs="Palatino Linotype"/>
                <w:i/>
                <w:iCs/>
                <w:lang w:eastAsia="es-MX"/>
              </w:rPr>
            </w:pPr>
            <w:r w:rsidRPr="003A0759">
              <w:rPr>
                <w:rFonts w:ascii="Palatino Linotype" w:hAnsi="Palatino Linotype" w:cs="Palatino Linotype"/>
                <w:i/>
                <w:iCs/>
                <w:lang w:eastAsia="es-MX"/>
              </w:rPr>
              <w:t>La opacidad a todo en ese municipio no entrega la información solicitada se pide se entregue conforme a la ley se entregue la información</w:t>
            </w:r>
          </w:p>
        </w:tc>
        <w:tc>
          <w:tcPr>
            <w:tcW w:w="2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35F4D7" w14:textId="7EEDF8BE" w:rsidR="00E30F56" w:rsidRPr="003A0759" w:rsidRDefault="00E30F56" w:rsidP="00E30F56">
            <w:pPr>
              <w:spacing w:after="0" w:line="240" w:lineRule="auto"/>
              <w:contextualSpacing/>
              <w:jc w:val="both"/>
              <w:rPr>
                <w:rFonts w:ascii="Palatino Linotype" w:hAnsi="Palatino Linotype" w:cs="Palatino Linotype"/>
                <w:i/>
                <w:iCs/>
                <w:lang w:eastAsia="es-MX"/>
              </w:rPr>
            </w:pPr>
            <w:r w:rsidRPr="003A0759">
              <w:rPr>
                <w:rFonts w:ascii="Palatino Linotype" w:hAnsi="Palatino Linotype" w:cs="Palatino Linotype"/>
                <w:i/>
                <w:iCs/>
                <w:lang w:eastAsia="es-MX"/>
              </w:rPr>
              <w:t>La opacidad a todo en ese municipio no entrega la información solicitada se pide se entregue conforme a la ley se entregue la información</w:t>
            </w:r>
          </w:p>
        </w:tc>
      </w:tr>
      <w:tr w:rsidR="00E30F56" w:rsidRPr="003A0759" w14:paraId="7641BE2A" w14:textId="77777777" w:rsidTr="008F38AF">
        <w:tc>
          <w:tcPr>
            <w:tcW w:w="3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BA41D4" w14:textId="2CD2C8AC" w:rsidR="00E30F56" w:rsidRPr="003A0759" w:rsidRDefault="00E30F56" w:rsidP="00E30F56">
            <w:pPr>
              <w:spacing w:after="0" w:line="240" w:lineRule="auto"/>
              <w:contextualSpacing/>
              <w:jc w:val="center"/>
              <w:rPr>
                <w:rFonts w:ascii="Palatino Linotype" w:hAnsi="Palatino Linotype" w:cs="Palatino Linotype"/>
                <w:lang w:eastAsia="es-MX"/>
              </w:rPr>
            </w:pPr>
            <w:r w:rsidRPr="003A0759">
              <w:rPr>
                <w:rFonts w:ascii="Palatino Linotype" w:eastAsia="Palatino Linotype" w:hAnsi="Palatino Linotype" w:cs="Palatino Linotype"/>
                <w:b/>
              </w:rPr>
              <w:t xml:space="preserve">03923/TOLUCA/IP/2025, </w:t>
            </w:r>
            <w:r w:rsidRPr="003A0759">
              <w:rPr>
                <w:rFonts w:ascii="Palatino Linotype" w:eastAsia="Palatino Linotype" w:hAnsi="Palatino Linotype" w:cs="Palatino Linotype"/>
              </w:rPr>
              <w:t>correspondiente al Recurso de Revisión</w:t>
            </w:r>
            <w:r w:rsidRPr="003A0759">
              <w:rPr>
                <w:rFonts w:ascii="Palatino Linotype" w:eastAsia="Palatino Linotype" w:hAnsi="Palatino Linotype" w:cs="Palatino Linotype"/>
                <w:b/>
              </w:rPr>
              <w:t xml:space="preserve"> 09725/INFOEM/IP/RR/2025</w:t>
            </w:r>
          </w:p>
        </w:tc>
        <w:tc>
          <w:tcPr>
            <w:tcW w:w="2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7C169E" w14:textId="4DC55F5A" w:rsidR="00E30F56" w:rsidRPr="003A0759" w:rsidRDefault="00E30F56" w:rsidP="00E30F56">
            <w:pPr>
              <w:spacing w:after="0" w:line="240" w:lineRule="auto"/>
              <w:contextualSpacing/>
              <w:jc w:val="both"/>
              <w:rPr>
                <w:rFonts w:ascii="Palatino Linotype" w:hAnsi="Palatino Linotype" w:cs="Palatino Linotype"/>
                <w:lang w:eastAsia="es-MX"/>
              </w:rPr>
            </w:pPr>
            <w:r w:rsidRPr="003A0759">
              <w:rPr>
                <w:rFonts w:ascii="Palatino Linotype" w:hAnsi="Palatino Linotype" w:cs="Palatino Linotype"/>
                <w:i/>
                <w:iCs/>
                <w:lang w:eastAsia="es-MX"/>
              </w:rPr>
              <w:t>La opacidad a todo en ese municipio no entrega la información solicitada se pide se entregue conforme a la ley se entregue la información</w:t>
            </w:r>
          </w:p>
        </w:tc>
        <w:tc>
          <w:tcPr>
            <w:tcW w:w="2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7C7282" w14:textId="0BE97DD5" w:rsidR="00E30F56" w:rsidRPr="003A0759" w:rsidRDefault="00E30F56" w:rsidP="00E30F56">
            <w:pPr>
              <w:spacing w:after="0" w:line="240" w:lineRule="auto"/>
              <w:contextualSpacing/>
              <w:jc w:val="both"/>
              <w:rPr>
                <w:rFonts w:ascii="Palatino Linotype" w:hAnsi="Palatino Linotype" w:cs="Palatino Linotype"/>
                <w:lang w:eastAsia="es-MX"/>
              </w:rPr>
            </w:pPr>
            <w:r w:rsidRPr="003A0759">
              <w:rPr>
                <w:rFonts w:ascii="Palatino Linotype" w:hAnsi="Palatino Linotype" w:cs="Palatino Linotype"/>
                <w:i/>
                <w:iCs/>
                <w:lang w:eastAsia="es-MX"/>
              </w:rPr>
              <w:t>La opacidad a todo en ese municipio no entrega la información solicitada se pide se entregue conforme a la ley se entregue la información</w:t>
            </w:r>
          </w:p>
        </w:tc>
      </w:tr>
      <w:bookmarkEnd w:id="4"/>
    </w:tbl>
    <w:p w14:paraId="53CA15A0" w14:textId="77777777" w:rsidR="008F38AF" w:rsidRPr="003A0759" w:rsidRDefault="008F38AF" w:rsidP="00E30F56">
      <w:pPr>
        <w:spacing w:after="0" w:line="360" w:lineRule="auto"/>
        <w:contextualSpacing/>
        <w:jc w:val="both"/>
        <w:rPr>
          <w:rFonts w:ascii="Palatino Linotype" w:hAnsi="Palatino Linotype" w:cs="Palatino Linotype"/>
          <w:lang w:eastAsia="es-MX"/>
        </w:rPr>
      </w:pPr>
    </w:p>
    <w:p w14:paraId="6DD22AF5" w14:textId="0D29414D" w:rsidR="007A7E69" w:rsidRPr="003A0759" w:rsidRDefault="007A7E69" w:rsidP="00E30F56">
      <w:pP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b/>
        </w:rPr>
        <w:t xml:space="preserve">4. Turno. </w:t>
      </w:r>
      <w:r w:rsidRPr="003A0759">
        <w:rPr>
          <w:rFonts w:ascii="Palatino Linotype" w:eastAsia="Palatino Linotype" w:hAnsi="Palatino Linotype" w:cs="Palatino Linotype"/>
        </w:rPr>
        <w:t>De conformidad con el artículo 185 fracción I de la Ley Transparencia y Acceso a la Información Pública, los recursos de revisión fueron</w:t>
      </w:r>
      <w:r w:rsidRPr="003A0759">
        <w:rPr>
          <w:rFonts w:ascii="Palatino Linotype" w:eastAsia="Palatino Linotype" w:hAnsi="Palatino Linotype" w:cs="Palatino Linotype"/>
          <w:b/>
        </w:rPr>
        <w:t xml:space="preserve"> </w:t>
      </w:r>
      <w:r w:rsidRPr="003A0759">
        <w:rPr>
          <w:rFonts w:ascii="Palatino Linotype" w:eastAsia="Palatino Linotype" w:hAnsi="Palatino Linotype" w:cs="Palatino Linotype"/>
        </w:rPr>
        <w:t xml:space="preserve">turnados de la siguiente manera a efecto de presentar al Pleno los proyectos de resolución correspondientes: </w:t>
      </w:r>
    </w:p>
    <w:p w14:paraId="02BAD3C9" w14:textId="77777777" w:rsidR="007A7E69" w:rsidRPr="003A0759" w:rsidRDefault="007A7E69" w:rsidP="00E30F56">
      <w:pPr>
        <w:spacing w:after="0" w:line="360" w:lineRule="auto"/>
        <w:jc w:val="both"/>
        <w:rPr>
          <w:rFonts w:ascii="Palatino Linotype" w:eastAsia="Palatino Linotype" w:hAnsi="Palatino Linotype" w:cs="Palatino Linotype"/>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AC4E2F" w:rsidRPr="003A0759" w14:paraId="44FD33BB" w14:textId="77777777" w:rsidTr="0013184D">
        <w:tc>
          <w:tcPr>
            <w:tcW w:w="4460" w:type="dxa"/>
            <w:shd w:val="clear" w:color="auto" w:fill="DEEAF6" w:themeFill="accent1" w:themeFillTint="33"/>
          </w:tcPr>
          <w:p w14:paraId="32C6F16A" w14:textId="77777777" w:rsidR="007A7E69" w:rsidRPr="003A0759" w:rsidRDefault="007A7E69" w:rsidP="00E30F56">
            <w:pPr>
              <w:spacing w:after="0" w:line="360" w:lineRule="auto"/>
              <w:jc w:val="center"/>
              <w:rPr>
                <w:rFonts w:ascii="Palatino Linotype" w:eastAsia="Palatino Linotype" w:hAnsi="Palatino Linotype" w:cs="Palatino Linotype"/>
                <w:b/>
              </w:rPr>
            </w:pPr>
            <w:r w:rsidRPr="003A0759">
              <w:rPr>
                <w:rFonts w:ascii="Palatino Linotype" w:eastAsia="Palatino Linotype" w:hAnsi="Palatino Linotype" w:cs="Palatino Linotype"/>
                <w:b/>
              </w:rPr>
              <w:t>Recurso de Revisión</w:t>
            </w:r>
          </w:p>
        </w:tc>
        <w:tc>
          <w:tcPr>
            <w:tcW w:w="4461" w:type="dxa"/>
            <w:shd w:val="clear" w:color="auto" w:fill="DEEAF6" w:themeFill="accent1" w:themeFillTint="33"/>
          </w:tcPr>
          <w:p w14:paraId="15284574" w14:textId="77777777" w:rsidR="007A7E69" w:rsidRPr="003A0759" w:rsidRDefault="007A7E69" w:rsidP="00E30F56">
            <w:pPr>
              <w:spacing w:after="0" w:line="360" w:lineRule="auto"/>
              <w:jc w:val="center"/>
              <w:rPr>
                <w:rFonts w:ascii="Palatino Linotype" w:eastAsia="Palatino Linotype" w:hAnsi="Palatino Linotype" w:cs="Palatino Linotype"/>
                <w:b/>
              </w:rPr>
            </w:pPr>
            <w:r w:rsidRPr="003A0759">
              <w:rPr>
                <w:rFonts w:ascii="Palatino Linotype" w:eastAsia="Palatino Linotype" w:hAnsi="Palatino Linotype" w:cs="Palatino Linotype"/>
                <w:b/>
              </w:rPr>
              <w:t>Comisionada</w:t>
            </w:r>
          </w:p>
        </w:tc>
      </w:tr>
      <w:tr w:rsidR="00AC4E2F" w:rsidRPr="003A0759" w14:paraId="33374873" w14:textId="77777777" w:rsidTr="008C18EF">
        <w:tc>
          <w:tcPr>
            <w:tcW w:w="4460" w:type="dxa"/>
          </w:tcPr>
          <w:p w14:paraId="483DA144" w14:textId="14EBD8F6" w:rsidR="007A7E69" w:rsidRPr="003A0759" w:rsidRDefault="0013184D" w:rsidP="00E30F56">
            <w:pPr>
              <w:spacing w:after="0"/>
              <w:jc w:val="center"/>
              <w:rPr>
                <w:rFonts w:ascii="Palatino Linotype" w:eastAsia="Palatino Linotype" w:hAnsi="Palatino Linotype" w:cs="Palatino Linotype"/>
                <w:b/>
              </w:rPr>
            </w:pPr>
            <w:r w:rsidRPr="003A0759">
              <w:rPr>
                <w:rFonts w:ascii="Palatino Linotype" w:eastAsia="Palatino Linotype" w:hAnsi="Palatino Linotype" w:cs="Palatino Linotype"/>
                <w:b/>
              </w:rPr>
              <w:t>09724/INFOEM/IP/RR/2025</w:t>
            </w:r>
          </w:p>
        </w:tc>
        <w:tc>
          <w:tcPr>
            <w:tcW w:w="4461" w:type="dxa"/>
          </w:tcPr>
          <w:p w14:paraId="7F607A0D" w14:textId="0D4F5CDB" w:rsidR="007A7E69" w:rsidRPr="003A0759" w:rsidRDefault="007A7E69" w:rsidP="00E30F56">
            <w:pPr>
              <w:spacing w:after="0"/>
              <w:jc w:val="center"/>
              <w:rPr>
                <w:rFonts w:ascii="Palatino Linotype" w:eastAsia="Palatino Linotype" w:hAnsi="Palatino Linotype" w:cs="Palatino Linotype"/>
                <w:b/>
              </w:rPr>
            </w:pPr>
            <w:r w:rsidRPr="003A0759">
              <w:rPr>
                <w:rFonts w:ascii="Palatino Linotype" w:eastAsia="Palatino Linotype" w:hAnsi="Palatino Linotype" w:cs="Palatino Linotype"/>
                <w:b/>
              </w:rPr>
              <w:t>Comisionada Guadalupe Ramírez Peña</w:t>
            </w:r>
          </w:p>
        </w:tc>
      </w:tr>
      <w:tr w:rsidR="007A7E69" w:rsidRPr="003A0759" w14:paraId="670149B0" w14:textId="77777777" w:rsidTr="008C18EF">
        <w:tc>
          <w:tcPr>
            <w:tcW w:w="4460" w:type="dxa"/>
          </w:tcPr>
          <w:p w14:paraId="6AE323D7" w14:textId="47B938BA" w:rsidR="007A7E69" w:rsidRPr="003A0759" w:rsidRDefault="0013184D" w:rsidP="00E30F56">
            <w:pPr>
              <w:spacing w:after="0"/>
              <w:jc w:val="center"/>
              <w:rPr>
                <w:rFonts w:ascii="Palatino Linotype" w:eastAsia="Palatino Linotype" w:hAnsi="Palatino Linotype" w:cs="Palatino Linotype"/>
                <w:b/>
              </w:rPr>
            </w:pPr>
            <w:r w:rsidRPr="003A0759">
              <w:rPr>
                <w:rFonts w:ascii="Palatino Linotype" w:eastAsia="Palatino Linotype" w:hAnsi="Palatino Linotype" w:cs="Palatino Linotype"/>
                <w:b/>
              </w:rPr>
              <w:t>09725/INFOEM/IP/RR/2025</w:t>
            </w:r>
          </w:p>
        </w:tc>
        <w:tc>
          <w:tcPr>
            <w:tcW w:w="4461" w:type="dxa"/>
          </w:tcPr>
          <w:p w14:paraId="26E2D48F" w14:textId="3BF63DE4" w:rsidR="007A7E69" w:rsidRPr="003A0759" w:rsidRDefault="007A7E69" w:rsidP="00CC2959">
            <w:pPr>
              <w:spacing w:after="0"/>
              <w:jc w:val="center"/>
              <w:rPr>
                <w:rFonts w:ascii="Palatino Linotype" w:eastAsia="Palatino Linotype" w:hAnsi="Palatino Linotype" w:cs="Palatino Linotype"/>
                <w:b/>
              </w:rPr>
            </w:pPr>
            <w:r w:rsidRPr="003A0759">
              <w:rPr>
                <w:rFonts w:ascii="Palatino Linotype" w:eastAsia="Palatino Linotype" w:hAnsi="Palatino Linotype" w:cs="Palatino Linotype"/>
                <w:b/>
              </w:rPr>
              <w:t xml:space="preserve">Comisionado José Martínez Vilchis  </w:t>
            </w:r>
          </w:p>
        </w:tc>
      </w:tr>
    </w:tbl>
    <w:p w14:paraId="3AC7D527" w14:textId="2212C20D" w:rsidR="00EF01A7" w:rsidRPr="003A0759" w:rsidRDefault="00EF01A7" w:rsidP="00E30F56">
      <w:pPr>
        <w:spacing w:after="0" w:line="360" w:lineRule="auto"/>
        <w:contextualSpacing/>
        <w:rPr>
          <w:rFonts w:ascii="Palatino Linotype" w:eastAsia="Calibri" w:hAnsi="Palatino Linotype" w:cs="Calibri"/>
          <w:lang w:eastAsia="es-MX"/>
        </w:rPr>
      </w:pPr>
    </w:p>
    <w:p w14:paraId="1A9323A4" w14:textId="2B41DCBF" w:rsidR="00EF01A7" w:rsidRPr="003A0759" w:rsidRDefault="007A7E69" w:rsidP="00E30F56">
      <w:pPr>
        <w:spacing w:after="0" w:line="360" w:lineRule="auto"/>
        <w:jc w:val="both"/>
        <w:rPr>
          <w:rFonts w:ascii="Palatino Linotype" w:eastAsia="Calibri" w:hAnsi="Palatino Linotype" w:cs="Palatino Linotype"/>
          <w:b/>
          <w:lang w:eastAsia="es-MX"/>
        </w:rPr>
      </w:pPr>
      <w:r w:rsidRPr="003A0759">
        <w:rPr>
          <w:rFonts w:ascii="Palatino Linotype" w:eastAsia="Calibri" w:hAnsi="Palatino Linotype" w:cs="Palatino Linotype"/>
          <w:b/>
          <w:lang w:eastAsia="es-MX"/>
        </w:rPr>
        <w:t xml:space="preserve">5. Admisiones. </w:t>
      </w:r>
      <w:r w:rsidR="00B33324" w:rsidRPr="003A0759">
        <w:rPr>
          <w:rFonts w:ascii="Palatino Linotype" w:eastAsia="Calibri" w:hAnsi="Palatino Linotype" w:cs="Palatino Linotype"/>
          <w:bCs/>
          <w:lang w:eastAsia="es-MX"/>
        </w:rPr>
        <w:t>Los</w:t>
      </w:r>
      <w:r w:rsidRPr="003A0759">
        <w:rPr>
          <w:rFonts w:ascii="Palatino Linotype" w:eastAsia="Calibri" w:hAnsi="Palatino Linotype" w:cs="Palatino Linotype"/>
          <w:bCs/>
          <w:lang w:eastAsia="es-MX"/>
        </w:rPr>
        <w:t xml:space="preserve"> día</w:t>
      </w:r>
      <w:r w:rsidR="00B33324" w:rsidRPr="003A0759">
        <w:rPr>
          <w:rFonts w:ascii="Palatino Linotype" w:eastAsia="Calibri" w:hAnsi="Palatino Linotype" w:cs="Palatino Linotype"/>
          <w:bCs/>
          <w:lang w:eastAsia="es-MX"/>
        </w:rPr>
        <w:t xml:space="preserve">s </w:t>
      </w:r>
      <w:r w:rsidR="00B33324" w:rsidRPr="003A0759">
        <w:rPr>
          <w:rFonts w:ascii="Palatino Linotype" w:eastAsia="Calibri" w:hAnsi="Palatino Linotype" w:cs="Palatino Linotype"/>
          <w:b/>
          <w:lang w:eastAsia="es-MX"/>
        </w:rPr>
        <w:t>veintiuno y veintidós de agosto de dos mil veinticinco</w:t>
      </w:r>
      <w:r w:rsidRPr="003A0759">
        <w:rPr>
          <w:rFonts w:ascii="Palatino Linotype" w:eastAsia="Calibri" w:hAnsi="Palatino Linotype" w:cs="Palatino Linotype"/>
          <w:bCs/>
          <w:lang w:eastAsia="es-MX"/>
        </w:rPr>
        <w:t>, en términos de lo dispuesto en el artículo 185 fracciones I, II y IV de la Ley de Transparencia y Acceso a la Información Pública del Estado de México y Municipios, se admitieron a trámite los recursos de revisión</w:t>
      </w:r>
      <w:r w:rsidRPr="003A0759">
        <w:rPr>
          <w:rFonts w:ascii="Palatino Linotype" w:eastAsia="Calibri" w:hAnsi="Palatino Linotype" w:cs="Palatino Linotype"/>
          <w:b/>
          <w:lang w:eastAsia="es-MX"/>
        </w:rPr>
        <w:t>.</w:t>
      </w:r>
    </w:p>
    <w:p w14:paraId="2AC71DDF" w14:textId="77777777" w:rsidR="00861417" w:rsidRPr="003A0759" w:rsidRDefault="00861417" w:rsidP="00E30F56">
      <w:pPr>
        <w:spacing w:after="0" w:line="360" w:lineRule="auto"/>
        <w:jc w:val="both"/>
        <w:rPr>
          <w:rFonts w:ascii="Palatino Linotype" w:eastAsia="Calibri" w:hAnsi="Palatino Linotype" w:cs="Palatino Linotype"/>
          <w:b/>
          <w:lang w:eastAsia="es-MX"/>
        </w:rPr>
      </w:pPr>
    </w:p>
    <w:p w14:paraId="137FEF64" w14:textId="23261C78" w:rsidR="00087987" w:rsidRPr="003A0759" w:rsidRDefault="007A7E69" w:rsidP="00E30F56">
      <w:pPr>
        <w:spacing w:after="0" w:line="360" w:lineRule="auto"/>
        <w:contextualSpacing/>
        <w:jc w:val="both"/>
        <w:rPr>
          <w:rFonts w:ascii="Palatino Linotype" w:eastAsia="Calibri" w:hAnsi="Palatino Linotype" w:cs="Palatino Linotype"/>
          <w:lang w:eastAsia="es-MX"/>
        </w:rPr>
      </w:pPr>
      <w:r w:rsidRPr="003A0759">
        <w:rPr>
          <w:rFonts w:ascii="Palatino Linotype" w:hAnsi="Palatino Linotype" w:cs="Palatino Linotype"/>
          <w:b/>
          <w:lang w:eastAsia="es-MX"/>
        </w:rPr>
        <w:t>6</w:t>
      </w:r>
      <w:r w:rsidR="00EF01A7" w:rsidRPr="003A0759">
        <w:rPr>
          <w:rFonts w:ascii="Palatino Linotype" w:hAnsi="Palatino Linotype" w:cs="Palatino Linotype"/>
          <w:b/>
          <w:lang w:eastAsia="es-MX"/>
        </w:rPr>
        <w:t xml:space="preserve">. </w:t>
      </w:r>
      <w:r w:rsidR="00EF01A7" w:rsidRPr="003A0759">
        <w:rPr>
          <w:rFonts w:ascii="Palatino Linotype" w:eastAsia="Calibri" w:hAnsi="Palatino Linotype" w:cs="Palatino Linotype"/>
          <w:b/>
          <w:lang w:eastAsia="es-MX"/>
        </w:rPr>
        <w:t xml:space="preserve">Manifestaciones. </w:t>
      </w:r>
      <w:r w:rsidR="00087987" w:rsidRPr="003A0759">
        <w:rPr>
          <w:rFonts w:ascii="Palatino Linotype" w:hAnsi="Palatino Linotype"/>
          <w:lang w:eastAsia="es-MX"/>
        </w:rPr>
        <w:t>En fecha</w:t>
      </w:r>
      <w:r w:rsidR="00B33324" w:rsidRPr="003A0759">
        <w:rPr>
          <w:rFonts w:ascii="Palatino Linotype" w:hAnsi="Palatino Linotype"/>
          <w:lang w:eastAsia="es-MX"/>
        </w:rPr>
        <w:t>s</w:t>
      </w:r>
      <w:r w:rsidR="00087987" w:rsidRPr="003A0759">
        <w:rPr>
          <w:rFonts w:ascii="Palatino Linotype" w:hAnsi="Palatino Linotype"/>
          <w:lang w:eastAsia="es-MX"/>
        </w:rPr>
        <w:t xml:space="preserve"> </w:t>
      </w:r>
      <w:r w:rsidR="00B33324" w:rsidRPr="003A0759">
        <w:rPr>
          <w:rFonts w:ascii="Palatino Linotype" w:hAnsi="Palatino Linotype"/>
          <w:b/>
          <w:bCs/>
          <w:lang w:eastAsia="es-MX"/>
        </w:rPr>
        <w:t>primero,</w:t>
      </w:r>
      <w:r w:rsidR="00B33324" w:rsidRPr="003A0759">
        <w:rPr>
          <w:rFonts w:ascii="Palatino Linotype" w:hAnsi="Palatino Linotype"/>
          <w:lang w:eastAsia="es-MX"/>
        </w:rPr>
        <w:t xml:space="preserve"> </w:t>
      </w:r>
      <w:r w:rsidR="00B33324" w:rsidRPr="003A0759">
        <w:rPr>
          <w:rFonts w:ascii="Palatino Linotype" w:hAnsi="Palatino Linotype"/>
          <w:b/>
          <w:lang w:eastAsia="es-MX"/>
        </w:rPr>
        <w:t>dos y ocho de septiembre de dos mil veinticinco</w:t>
      </w:r>
      <w:r w:rsidR="00B33324" w:rsidRPr="003A0759">
        <w:rPr>
          <w:rFonts w:ascii="Palatino Linotype" w:hAnsi="Palatino Linotype"/>
          <w:lang w:eastAsia="es-MX"/>
        </w:rPr>
        <w:t xml:space="preserve">, </w:t>
      </w:r>
      <w:r w:rsidR="00B33324" w:rsidRPr="003A0759">
        <w:rPr>
          <w:rFonts w:ascii="Palatino Linotype" w:eastAsia="Calibri" w:hAnsi="Palatino Linotype" w:cs="Palatino Linotype"/>
          <w:lang w:eastAsia="es-MX"/>
        </w:rPr>
        <w:t>el</w:t>
      </w:r>
      <w:r w:rsidR="00B33324" w:rsidRPr="003A0759">
        <w:rPr>
          <w:rFonts w:ascii="Palatino Linotype" w:eastAsia="Calibri" w:hAnsi="Palatino Linotype" w:cs="Palatino Linotype"/>
          <w:b/>
          <w:bCs/>
          <w:lang w:eastAsia="es-MX"/>
        </w:rPr>
        <w:t xml:space="preserve"> Sujeto Obligado</w:t>
      </w:r>
      <w:r w:rsidR="00B33324" w:rsidRPr="003A0759">
        <w:rPr>
          <w:rFonts w:ascii="Palatino Linotype" w:eastAsia="Calibri" w:hAnsi="Palatino Linotype" w:cs="Palatino Linotype"/>
          <w:lang w:eastAsia="es-MX"/>
        </w:rPr>
        <w:t xml:space="preserve"> </w:t>
      </w:r>
      <w:r w:rsidR="00B91EC4" w:rsidRPr="003A0759">
        <w:rPr>
          <w:rFonts w:ascii="Palatino Linotype" w:eastAsia="Calibri" w:hAnsi="Palatino Linotype" w:cs="Palatino Linotype"/>
          <w:lang w:eastAsia="es-MX"/>
        </w:rPr>
        <w:t>rindió su informe justificado de la siguiente forma:</w:t>
      </w:r>
    </w:p>
    <w:p w14:paraId="33D1AF48" w14:textId="77777777" w:rsidR="00861417" w:rsidRPr="003A0759" w:rsidRDefault="00861417" w:rsidP="00E30F56">
      <w:pPr>
        <w:spacing w:after="0" w:line="360" w:lineRule="auto"/>
        <w:contextualSpacing/>
        <w:jc w:val="both"/>
        <w:rPr>
          <w:rFonts w:ascii="Palatino Linotype" w:eastAsia="Calibri" w:hAnsi="Palatino Linotype" w:cs="Palatino Linotype"/>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2972"/>
        <w:gridCol w:w="6083"/>
      </w:tblGrid>
      <w:tr w:rsidR="00AC4E2F" w:rsidRPr="003A0759" w14:paraId="0A16AF70" w14:textId="77777777" w:rsidTr="00B33324">
        <w:tc>
          <w:tcPr>
            <w:tcW w:w="297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5" w:type="dxa"/>
              <w:bottom w:w="0" w:type="dxa"/>
              <w:right w:w="115" w:type="dxa"/>
            </w:tcMar>
            <w:hideMark/>
          </w:tcPr>
          <w:p w14:paraId="1FA43747" w14:textId="77777777" w:rsidR="00B91EC4" w:rsidRPr="003A0759" w:rsidRDefault="00B91EC4" w:rsidP="00E30F56">
            <w:pPr>
              <w:spacing w:after="0" w:line="360" w:lineRule="auto"/>
              <w:contextualSpacing/>
              <w:jc w:val="both"/>
              <w:rPr>
                <w:rFonts w:ascii="Palatino Linotype" w:eastAsia="Calibri" w:hAnsi="Palatino Linotype" w:cs="Palatino Linotype"/>
                <w:lang w:eastAsia="es-MX"/>
              </w:rPr>
            </w:pPr>
            <w:bookmarkStart w:id="5" w:name="_Hlk213099476"/>
            <w:r w:rsidRPr="003A0759">
              <w:rPr>
                <w:rFonts w:ascii="Palatino Linotype" w:eastAsia="Calibri" w:hAnsi="Palatino Linotype" w:cs="Palatino Linotype"/>
                <w:b/>
                <w:bCs/>
                <w:lang w:eastAsia="es-MX"/>
              </w:rPr>
              <w:t>Recurso de revisión.</w:t>
            </w:r>
          </w:p>
        </w:tc>
        <w:tc>
          <w:tcPr>
            <w:tcW w:w="60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5" w:type="dxa"/>
              <w:bottom w:w="0" w:type="dxa"/>
              <w:right w:w="115" w:type="dxa"/>
            </w:tcMar>
            <w:hideMark/>
          </w:tcPr>
          <w:p w14:paraId="79E966B9" w14:textId="5959FB9F" w:rsidR="00B91EC4" w:rsidRPr="003A0759" w:rsidRDefault="00E86B9E" w:rsidP="00E30F56">
            <w:pPr>
              <w:spacing w:after="0" w:line="360" w:lineRule="auto"/>
              <w:contextualSpacing/>
              <w:jc w:val="both"/>
              <w:rPr>
                <w:rFonts w:ascii="Palatino Linotype" w:eastAsia="Calibri" w:hAnsi="Palatino Linotype" w:cs="Palatino Linotype"/>
                <w:lang w:eastAsia="es-MX"/>
              </w:rPr>
            </w:pPr>
            <w:r w:rsidRPr="003A0759">
              <w:rPr>
                <w:rFonts w:ascii="Palatino Linotype" w:eastAsia="Calibri" w:hAnsi="Palatino Linotype" w:cs="Palatino Linotype"/>
                <w:b/>
                <w:bCs/>
                <w:lang w:eastAsia="es-MX"/>
              </w:rPr>
              <w:t>Informe Justificado</w:t>
            </w:r>
            <w:r w:rsidR="00B91EC4" w:rsidRPr="003A0759">
              <w:rPr>
                <w:rFonts w:ascii="Palatino Linotype" w:eastAsia="Calibri" w:hAnsi="Palatino Linotype" w:cs="Palatino Linotype"/>
                <w:b/>
                <w:bCs/>
                <w:lang w:eastAsia="es-MX"/>
              </w:rPr>
              <w:t xml:space="preserve"> </w:t>
            </w:r>
          </w:p>
        </w:tc>
      </w:tr>
      <w:tr w:rsidR="00AC4E2F" w:rsidRPr="003A0759" w14:paraId="3B07748C" w14:textId="77777777" w:rsidTr="00B33324">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45262D" w14:textId="0EF2C277" w:rsidR="00B91EC4" w:rsidRPr="003A0759" w:rsidRDefault="00B33324" w:rsidP="00E30F56">
            <w:pPr>
              <w:spacing w:after="0" w:line="240" w:lineRule="auto"/>
              <w:contextualSpacing/>
              <w:jc w:val="both"/>
              <w:rPr>
                <w:rFonts w:ascii="Palatino Linotype" w:eastAsia="Calibri" w:hAnsi="Palatino Linotype" w:cs="Palatino Linotype"/>
                <w:lang w:eastAsia="es-MX"/>
              </w:rPr>
            </w:pPr>
            <w:r w:rsidRPr="003A0759">
              <w:rPr>
                <w:rFonts w:ascii="Palatino Linotype" w:eastAsia="Palatino Linotype" w:hAnsi="Palatino Linotype" w:cs="Palatino Linotype"/>
                <w:b/>
              </w:rPr>
              <w:t xml:space="preserve">03924/TOLUCA/IP/2025, </w:t>
            </w:r>
            <w:r w:rsidRPr="003A0759">
              <w:rPr>
                <w:rFonts w:ascii="Palatino Linotype" w:eastAsia="Palatino Linotype" w:hAnsi="Palatino Linotype" w:cs="Palatino Linotype"/>
              </w:rPr>
              <w:t>correspondiente al Recurso de Revisión</w:t>
            </w:r>
            <w:r w:rsidRPr="003A0759">
              <w:rPr>
                <w:rFonts w:ascii="Palatino Linotype" w:eastAsia="Palatino Linotype" w:hAnsi="Palatino Linotype" w:cs="Palatino Linotype"/>
                <w:b/>
              </w:rPr>
              <w:t xml:space="preserve"> 09724/INFOEM/IP/RR/2025</w:t>
            </w:r>
          </w:p>
        </w:tc>
        <w:tc>
          <w:tcPr>
            <w:tcW w:w="6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AC5E63" w14:textId="77777777" w:rsidR="00B91EC4" w:rsidRPr="003A0759" w:rsidRDefault="00B33324" w:rsidP="00E30F56">
            <w:pPr>
              <w:spacing w:after="0" w:line="240" w:lineRule="auto"/>
              <w:jc w:val="both"/>
              <w:rPr>
                <w:rFonts w:ascii="Palatino Linotype" w:eastAsia="Palatino Linotype" w:hAnsi="Palatino Linotype" w:cs="Palatino Linotype"/>
                <w:bCs/>
              </w:rPr>
            </w:pPr>
            <w:r w:rsidRPr="003A0759">
              <w:rPr>
                <w:rFonts w:ascii="Palatino Linotype" w:eastAsia="Palatino Linotype" w:hAnsi="Palatino Linotype" w:cs="Palatino Linotype"/>
                <w:b/>
                <w:i/>
                <w:iCs/>
              </w:rPr>
              <w:t>Ratificación 09724.pdf</w:t>
            </w:r>
            <w:r w:rsidRPr="003A0759">
              <w:rPr>
                <w:rFonts w:ascii="Palatino Linotype" w:eastAsia="Palatino Linotype" w:hAnsi="Palatino Linotype" w:cs="Palatino Linotype"/>
                <w:b/>
              </w:rPr>
              <w:t xml:space="preserve">: </w:t>
            </w:r>
            <w:r w:rsidRPr="003A0759">
              <w:rPr>
                <w:rFonts w:ascii="Palatino Linotype" w:eastAsia="Palatino Linotype" w:hAnsi="Palatino Linotype" w:cs="Palatino Linotype"/>
                <w:bCs/>
              </w:rPr>
              <w:t xml:space="preserve">Oficio de fecha dos de septiembre de dos mil veinticinco, suscrito por el Titular de la Unidad de Transparencia, mediante el cual ratificó la respuesta emitida por la Dirección General de Administración. </w:t>
            </w:r>
          </w:p>
          <w:p w14:paraId="6AD651A7" w14:textId="30C14E50" w:rsidR="00B33324" w:rsidRPr="003A0759" w:rsidRDefault="00B33324" w:rsidP="00E30F56">
            <w:pPr>
              <w:spacing w:after="0" w:line="240" w:lineRule="auto"/>
              <w:jc w:val="both"/>
              <w:rPr>
                <w:rFonts w:ascii="Palatino Linotype" w:eastAsia="Palatino Linotype" w:hAnsi="Palatino Linotype" w:cs="Palatino Linotype"/>
              </w:rPr>
            </w:pPr>
            <w:r w:rsidRPr="003A0759">
              <w:rPr>
                <w:rFonts w:ascii="Palatino Linotype" w:eastAsia="Palatino Linotype" w:hAnsi="Palatino Linotype" w:cs="Palatino Linotype"/>
                <w:b/>
                <w:bCs/>
                <w:i/>
                <w:iCs/>
              </w:rPr>
              <w:t>ANEXOS 09724-2025.pdf</w:t>
            </w:r>
            <w:r w:rsidRPr="003A0759">
              <w:rPr>
                <w:rFonts w:ascii="Palatino Linotype" w:eastAsia="Palatino Linotype" w:hAnsi="Palatino Linotype" w:cs="Palatino Linotype"/>
              </w:rPr>
              <w:t xml:space="preserve">: Oficio número 206010000/5253/2025 de fecha dos de septiembre de dos mil veinticinco, suscrito por la Directora General de Administración, mediante el cual informó que ratificó la respuesta inicial. </w:t>
            </w:r>
          </w:p>
        </w:tc>
      </w:tr>
      <w:tr w:rsidR="006B3D4C" w:rsidRPr="003A0759" w14:paraId="6884589C" w14:textId="77777777" w:rsidTr="00B33324">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14E2FA" w14:textId="5D24D534" w:rsidR="00B91EC4" w:rsidRPr="003A0759" w:rsidRDefault="00B33324" w:rsidP="00297BAC">
            <w:pPr>
              <w:spacing w:after="0" w:line="240" w:lineRule="auto"/>
              <w:contextualSpacing/>
              <w:jc w:val="both"/>
              <w:rPr>
                <w:rFonts w:ascii="Palatino Linotype" w:eastAsia="Calibri" w:hAnsi="Palatino Linotype" w:cs="Palatino Linotype"/>
                <w:lang w:eastAsia="es-MX"/>
              </w:rPr>
            </w:pPr>
            <w:r w:rsidRPr="003A0759">
              <w:rPr>
                <w:rFonts w:ascii="Palatino Linotype" w:eastAsia="Palatino Linotype" w:hAnsi="Palatino Linotype" w:cs="Palatino Linotype"/>
                <w:b/>
              </w:rPr>
              <w:t>0392</w:t>
            </w:r>
            <w:r w:rsidR="00297BAC" w:rsidRPr="003A0759">
              <w:rPr>
                <w:rFonts w:ascii="Palatino Linotype" w:eastAsia="Palatino Linotype" w:hAnsi="Palatino Linotype" w:cs="Palatino Linotype"/>
                <w:b/>
              </w:rPr>
              <w:t>3</w:t>
            </w:r>
            <w:r w:rsidRPr="003A0759">
              <w:rPr>
                <w:rFonts w:ascii="Palatino Linotype" w:eastAsia="Palatino Linotype" w:hAnsi="Palatino Linotype" w:cs="Palatino Linotype"/>
                <w:b/>
              </w:rPr>
              <w:t xml:space="preserve">/TOLUCA/IP/2025, </w:t>
            </w:r>
            <w:r w:rsidRPr="003A0759">
              <w:rPr>
                <w:rFonts w:ascii="Palatino Linotype" w:eastAsia="Palatino Linotype" w:hAnsi="Palatino Linotype" w:cs="Palatino Linotype"/>
              </w:rPr>
              <w:t>correspondiente al Recurso de Revisión</w:t>
            </w:r>
            <w:r w:rsidRPr="003A0759">
              <w:rPr>
                <w:rFonts w:ascii="Palatino Linotype" w:eastAsia="Palatino Linotype" w:hAnsi="Palatino Linotype" w:cs="Palatino Linotype"/>
                <w:b/>
              </w:rPr>
              <w:t xml:space="preserve"> 09725/INFOEM/IP/RR/2025</w:t>
            </w:r>
          </w:p>
        </w:tc>
        <w:tc>
          <w:tcPr>
            <w:tcW w:w="6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F6DEB1" w14:textId="6EA04659" w:rsidR="00B33324" w:rsidRPr="003A0759" w:rsidRDefault="00B33324" w:rsidP="00E30F56">
            <w:pPr>
              <w:spacing w:after="0" w:line="240" w:lineRule="auto"/>
              <w:jc w:val="both"/>
              <w:rPr>
                <w:rFonts w:ascii="Palatino Linotype" w:eastAsia="Palatino Linotype" w:hAnsi="Palatino Linotype" w:cs="Palatino Linotype"/>
                <w:bCs/>
              </w:rPr>
            </w:pPr>
            <w:r w:rsidRPr="003A0759">
              <w:rPr>
                <w:rFonts w:ascii="Palatino Linotype" w:eastAsia="Palatino Linotype" w:hAnsi="Palatino Linotype" w:cs="Palatino Linotype"/>
                <w:b/>
                <w:i/>
                <w:iCs/>
              </w:rPr>
              <w:t>Ratificación 09725.pdf</w:t>
            </w:r>
            <w:r w:rsidRPr="003A0759">
              <w:rPr>
                <w:rFonts w:ascii="Palatino Linotype" w:eastAsia="Palatino Linotype" w:hAnsi="Palatino Linotype" w:cs="Palatino Linotype"/>
                <w:b/>
              </w:rPr>
              <w:t xml:space="preserve">: </w:t>
            </w:r>
            <w:r w:rsidRPr="003A0759">
              <w:rPr>
                <w:rFonts w:ascii="Palatino Linotype" w:eastAsia="Palatino Linotype" w:hAnsi="Palatino Linotype" w:cs="Palatino Linotype"/>
                <w:bCs/>
              </w:rPr>
              <w:t xml:space="preserve">Oficio de fecha primero de septiembre de dos mil veinticinco, suscrito por el Titular de la Unidad de Transparencia, mediante el cual ratificó la respuesta emitida por la Dirección General de Administración. </w:t>
            </w:r>
          </w:p>
          <w:p w14:paraId="60103313" w14:textId="2FFE9C00" w:rsidR="00390E57" w:rsidRPr="003A0759" w:rsidRDefault="00B33324" w:rsidP="00E30F56">
            <w:pPr>
              <w:spacing w:after="0" w:line="240" w:lineRule="auto"/>
              <w:contextualSpacing/>
              <w:jc w:val="both"/>
              <w:rPr>
                <w:rFonts w:ascii="Palatino Linotype" w:eastAsia="Calibri" w:hAnsi="Palatino Linotype" w:cs="Palatino Linotype"/>
                <w:lang w:eastAsia="es-MX"/>
              </w:rPr>
            </w:pPr>
            <w:r w:rsidRPr="003A0759">
              <w:rPr>
                <w:rFonts w:ascii="Palatino Linotype" w:eastAsia="Palatino Linotype" w:hAnsi="Palatino Linotype" w:cs="Palatino Linotype"/>
                <w:b/>
                <w:bCs/>
                <w:i/>
                <w:iCs/>
              </w:rPr>
              <w:t>ANEXOS 09725-2025.pdf</w:t>
            </w:r>
            <w:r w:rsidRPr="003A0759">
              <w:rPr>
                <w:rFonts w:ascii="Palatino Linotype" w:eastAsia="Palatino Linotype" w:hAnsi="Palatino Linotype" w:cs="Palatino Linotype"/>
              </w:rPr>
              <w:t>: Oficio número 206010000/5</w:t>
            </w:r>
            <w:r w:rsidR="00307162" w:rsidRPr="003A0759">
              <w:rPr>
                <w:rFonts w:ascii="Palatino Linotype" w:eastAsia="Palatino Linotype" w:hAnsi="Palatino Linotype" w:cs="Palatino Linotype"/>
              </w:rPr>
              <w:t>017</w:t>
            </w:r>
            <w:r w:rsidRPr="003A0759">
              <w:rPr>
                <w:rFonts w:ascii="Palatino Linotype" w:eastAsia="Palatino Linotype" w:hAnsi="Palatino Linotype" w:cs="Palatino Linotype"/>
              </w:rPr>
              <w:t xml:space="preserve">/2025 de fecha </w:t>
            </w:r>
            <w:r w:rsidR="00307162" w:rsidRPr="003A0759">
              <w:rPr>
                <w:rFonts w:ascii="Palatino Linotype" w:eastAsia="Palatino Linotype" w:hAnsi="Palatino Linotype" w:cs="Palatino Linotype"/>
              </w:rPr>
              <w:t>veintiséis de agosto</w:t>
            </w:r>
            <w:r w:rsidRPr="003A0759">
              <w:rPr>
                <w:rFonts w:ascii="Palatino Linotype" w:eastAsia="Palatino Linotype" w:hAnsi="Palatino Linotype" w:cs="Palatino Linotype"/>
              </w:rPr>
              <w:t xml:space="preserve"> de dos mil veinticinco, suscrito por la Directora General de Administración, mediante el cual informó que ratificó la respuesta inicial.</w:t>
            </w:r>
          </w:p>
        </w:tc>
      </w:tr>
      <w:bookmarkEnd w:id="5"/>
    </w:tbl>
    <w:p w14:paraId="1027EDC3" w14:textId="77777777" w:rsidR="00CA05AF" w:rsidRPr="003A0759" w:rsidRDefault="00CA05AF" w:rsidP="00E30F56">
      <w:pPr>
        <w:pStyle w:val="NormalWeb"/>
        <w:spacing w:before="0" w:beforeAutospacing="0" w:after="0" w:afterAutospacing="0" w:line="360" w:lineRule="auto"/>
        <w:jc w:val="both"/>
        <w:rPr>
          <w:rFonts w:ascii="Palatino Linotype" w:eastAsia="Palatino Linotype" w:hAnsi="Palatino Linotype" w:cs="Palatino Linotype"/>
          <w:sz w:val="22"/>
          <w:szCs w:val="22"/>
        </w:rPr>
      </w:pPr>
    </w:p>
    <w:p w14:paraId="59221CB9" w14:textId="7FC387BB" w:rsidR="008C18EF" w:rsidRPr="003A0759" w:rsidRDefault="00CA05AF" w:rsidP="00E30F56">
      <w:pPr>
        <w:pStyle w:val="NormalWeb"/>
        <w:spacing w:before="0" w:beforeAutospacing="0" w:after="0" w:afterAutospacing="0" w:line="360" w:lineRule="auto"/>
        <w:jc w:val="both"/>
        <w:rPr>
          <w:rFonts w:ascii="Palatino Linotype" w:eastAsia="Calibri" w:hAnsi="Palatino Linotype" w:cs="Palatino Linotype"/>
          <w:b/>
          <w:bCs/>
          <w:sz w:val="22"/>
          <w:szCs w:val="22"/>
          <w:lang w:eastAsia="es-MX"/>
        </w:rPr>
      </w:pPr>
      <w:r w:rsidRPr="003A0759">
        <w:rPr>
          <w:rFonts w:ascii="Palatino Linotype" w:eastAsia="Palatino Linotype" w:hAnsi="Palatino Linotype" w:cs="Palatino Linotype"/>
          <w:sz w:val="22"/>
          <w:szCs w:val="22"/>
        </w:rPr>
        <w:t xml:space="preserve">Es de precisar que esta documentación se puso a disposición del particular mediante acuerdo de fecha </w:t>
      </w:r>
      <w:r w:rsidRPr="003A0759">
        <w:rPr>
          <w:rFonts w:ascii="Palatino Linotype" w:eastAsia="Palatino Linotype" w:hAnsi="Palatino Linotype" w:cs="Palatino Linotype"/>
          <w:b/>
          <w:sz w:val="22"/>
          <w:szCs w:val="22"/>
        </w:rPr>
        <w:t>c</w:t>
      </w:r>
      <w:r w:rsidR="006E5101" w:rsidRPr="003A0759">
        <w:rPr>
          <w:rFonts w:ascii="Palatino Linotype" w:eastAsia="Palatino Linotype" w:hAnsi="Palatino Linotype" w:cs="Palatino Linotype"/>
          <w:b/>
          <w:sz w:val="22"/>
          <w:szCs w:val="22"/>
        </w:rPr>
        <w:t xml:space="preserve">inco </w:t>
      </w:r>
      <w:r w:rsidRPr="003A0759">
        <w:rPr>
          <w:rFonts w:ascii="Palatino Linotype" w:eastAsia="Palatino Linotype" w:hAnsi="Palatino Linotype" w:cs="Palatino Linotype"/>
          <w:b/>
          <w:sz w:val="22"/>
          <w:szCs w:val="22"/>
        </w:rPr>
        <w:t>de noviembre de dos mil veinticinco</w:t>
      </w:r>
      <w:r w:rsidRPr="003A0759">
        <w:rPr>
          <w:rFonts w:ascii="Palatino Linotype" w:eastAsia="Palatino Linotype" w:hAnsi="Palatino Linotype" w:cs="Palatino Linotype"/>
          <w:sz w:val="22"/>
          <w:szCs w:val="22"/>
        </w:rPr>
        <w:t xml:space="preserve">; asimismo por cuanto hace a la parte </w:t>
      </w:r>
      <w:r w:rsidRPr="003A0759">
        <w:rPr>
          <w:rFonts w:ascii="Palatino Linotype" w:eastAsia="Palatino Linotype" w:hAnsi="Palatino Linotype" w:cs="Palatino Linotype"/>
          <w:b/>
          <w:sz w:val="22"/>
          <w:szCs w:val="22"/>
        </w:rPr>
        <w:t>Recurrente</w:t>
      </w:r>
      <w:r w:rsidRPr="003A0759">
        <w:rPr>
          <w:rFonts w:ascii="Palatino Linotype" w:eastAsia="Palatino Linotype" w:hAnsi="Palatino Linotype" w:cs="Palatino Linotype"/>
          <w:sz w:val="22"/>
          <w:szCs w:val="22"/>
        </w:rPr>
        <w:t xml:space="preserve"> se tiene que fue omisa en emitir sus alegatos o cualquier manifestación que a su derecho conviniera, por lo que se tiene por precluido su derecho para tal efecto. </w:t>
      </w:r>
    </w:p>
    <w:p w14:paraId="1AFE0E40" w14:textId="77777777" w:rsidR="00CA05AF" w:rsidRPr="003A0759" w:rsidRDefault="00CA05AF" w:rsidP="00E30F56">
      <w:pPr>
        <w:pStyle w:val="NormalWeb"/>
        <w:spacing w:before="0" w:beforeAutospacing="0" w:after="0" w:afterAutospacing="0" w:line="360" w:lineRule="auto"/>
        <w:jc w:val="both"/>
        <w:rPr>
          <w:rFonts w:ascii="Palatino Linotype" w:eastAsia="Calibri" w:hAnsi="Palatino Linotype" w:cs="Palatino Linotype"/>
          <w:b/>
          <w:bCs/>
          <w:sz w:val="22"/>
          <w:szCs w:val="22"/>
          <w:lang w:eastAsia="es-MX"/>
        </w:rPr>
      </w:pPr>
    </w:p>
    <w:p w14:paraId="42190DDB" w14:textId="342D1F7D" w:rsidR="008C18EF" w:rsidRPr="003A0759" w:rsidRDefault="007A7E69" w:rsidP="00E30F56">
      <w:pPr>
        <w:pStyle w:val="NormalWeb"/>
        <w:spacing w:before="0" w:beforeAutospacing="0" w:after="0" w:afterAutospacing="0" w:line="360" w:lineRule="auto"/>
        <w:jc w:val="both"/>
        <w:rPr>
          <w:rFonts w:ascii="Palatino Linotype" w:hAnsi="Palatino Linotype"/>
          <w:b/>
          <w:bCs/>
          <w:sz w:val="22"/>
          <w:szCs w:val="22"/>
          <w:lang w:eastAsia="es-MX"/>
        </w:rPr>
      </w:pPr>
      <w:r w:rsidRPr="003A0759">
        <w:rPr>
          <w:rFonts w:ascii="Palatino Linotype" w:eastAsia="Calibri" w:hAnsi="Palatino Linotype" w:cs="Palatino Linotype"/>
          <w:b/>
          <w:bCs/>
          <w:sz w:val="22"/>
          <w:szCs w:val="22"/>
          <w:lang w:eastAsia="es-MX"/>
        </w:rPr>
        <w:t>7</w:t>
      </w:r>
      <w:r w:rsidR="001766CE" w:rsidRPr="003A0759">
        <w:rPr>
          <w:rFonts w:ascii="Palatino Linotype" w:hAnsi="Palatino Linotype"/>
          <w:b/>
          <w:bCs/>
          <w:sz w:val="22"/>
          <w:szCs w:val="22"/>
          <w:lang w:eastAsia="es-MX"/>
        </w:rPr>
        <w:t>.</w:t>
      </w:r>
      <w:r w:rsidR="004E13EE" w:rsidRPr="003A0759">
        <w:rPr>
          <w:rFonts w:ascii="Palatino Linotype" w:hAnsi="Palatino Linotype"/>
          <w:b/>
          <w:bCs/>
          <w:sz w:val="22"/>
          <w:szCs w:val="22"/>
          <w:lang w:eastAsia="es-MX"/>
        </w:rPr>
        <w:t xml:space="preserve"> Acumulación. </w:t>
      </w:r>
      <w:r w:rsidR="00E81A78" w:rsidRPr="003A0759">
        <w:rPr>
          <w:rFonts w:ascii="Palatino Linotype" w:eastAsia="Palatino Linotype" w:hAnsi="Palatino Linotype" w:cs="Palatino Linotype"/>
          <w:bCs/>
          <w:sz w:val="22"/>
          <w:szCs w:val="22"/>
        </w:rPr>
        <w:t>M</w:t>
      </w:r>
      <w:r w:rsidR="00E81A78" w:rsidRPr="003A0759">
        <w:rPr>
          <w:rFonts w:ascii="Palatino Linotype" w:eastAsia="Palatino Linotype" w:hAnsi="Palatino Linotype" w:cs="Palatino Linotype"/>
          <w:sz w:val="22"/>
          <w:szCs w:val="22"/>
        </w:rPr>
        <w:t xml:space="preserve">ediante acuerdo aprobado por el Pleno de este Instituto en fecha </w:t>
      </w:r>
      <w:r w:rsidR="00E81A78" w:rsidRPr="003A0759">
        <w:rPr>
          <w:rFonts w:ascii="Palatino Linotype" w:eastAsia="Palatino Linotype" w:hAnsi="Palatino Linotype" w:cs="Palatino Linotype"/>
          <w:b/>
          <w:bCs/>
          <w:sz w:val="22"/>
          <w:szCs w:val="22"/>
        </w:rPr>
        <w:t>veintisiete de agosto de dos mil veinticinco</w:t>
      </w:r>
      <w:r w:rsidR="00E81A78" w:rsidRPr="003A0759">
        <w:rPr>
          <w:rFonts w:ascii="Palatino Linotype" w:eastAsia="Palatino Linotype" w:hAnsi="Palatino Linotype" w:cs="Palatino Linotype"/>
          <w:sz w:val="22"/>
          <w:szCs w:val="22"/>
        </w:rPr>
        <w:t xml:space="preserve">, al advertir la conexidad de causa y con la finalidad de evitar que se dicten resoluciones contradictorias, de conformidad con el </w:t>
      </w:r>
      <w:r w:rsidR="004E13EE" w:rsidRPr="003A0759">
        <w:rPr>
          <w:rFonts w:ascii="Palatino Linotype" w:hAnsi="Palatino Linotype"/>
          <w:sz w:val="22"/>
          <w:szCs w:val="22"/>
          <w:lang w:eastAsia="es-MX"/>
        </w:rPr>
        <w:t>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w:t>
      </w:r>
      <w:r w:rsidR="004E13EE" w:rsidRPr="003A0759">
        <w:rPr>
          <w:rFonts w:ascii="Palatino Linotype" w:hAnsi="Palatino Linotype"/>
          <w:b/>
          <w:bCs/>
          <w:sz w:val="22"/>
          <w:szCs w:val="22"/>
          <w:lang w:eastAsia="es-MX"/>
        </w:rPr>
        <w:t xml:space="preserve"> Comisionada Guadalupe Ramírez Peña; q</w:t>
      </w:r>
      <w:r w:rsidR="004E13EE" w:rsidRPr="003A0759">
        <w:rPr>
          <w:rFonts w:ascii="Palatino Linotype" w:hAnsi="Palatino Linotype"/>
          <w:sz w:val="22"/>
          <w:szCs w:val="22"/>
          <w:lang w:eastAsia="es-MX"/>
        </w:rPr>
        <w:t xml:space="preserve">ue mediante acuerdo se notificó a las partes vía SAIMEX el </w:t>
      </w:r>
      <w:r w:rsidR="00307162" w:rsidRPr="003A0759">
        <w:rPr>
          <w:rFonts w:ascii="Palatino Linotype" w:hAnsi="Palatino Linotype"/>
          <w:b/>
          <w:bCs/>
          <w:sz w:val="22"/>
          <w:szCs w:val="22"/>
          <w:lang w:eastAsia="es-MX"/>
        </w:rPr>
        <w:t>treinta de octubre de dos mil veinticinco</w:t>
      </w:r>
      <w:r w:rsidR="008C18EF" w:rsidRPr="003A0759">
        <w:rPr>
          <w:rFonts w:ascii="Palatino Linotype" w:hAnsi="Palatino Linotype"/>
          <w:b/>
          <w:bCs/>
          <w:sz w:val="22"/>
          <w:szCs w:val="22"/>
          <w:lang w:eastAsia="es-MX"/>
        </w:rPr>
        <w:t>.</w:t>
      </w:r>
    </w:p>
    <w:p w14:paraId="4042DEF9" w14:textId="77777777" w:rsidR="003D0894" w:rsidRPr="003A0759" w:rsidRDefault="003D0894" w:rsidP="00E30F5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070CDBF" w14:textId="39745088" w:rsidR="003D0894" w:rsidRPr="003A0759" w:rsidRDefault="003D0894" w:rsidP="00E30F5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b/>
        </w:rPr>
        <w:t>8. Ampliación de plazo:</w:t>
      </w:r>
      <w:r w:rsidRPr="003A0759">
        <w:rPr>
          <w:rFonts w:ascii="Palatino Linotype" w:eastAsia="Palatino Linotype" w:hAnsi="Palatino Linotype" w:cs="Palatino Linotype"/>
        </w:rPr>
        <w:t xml:space="preserve"> El </w:t>
      </w:r>
      <w:r w:rsidR="00307162" w:rsidRPr="003A0759">
        <w:rPr>
          <w:rFonts w:ascii="Palatino Linotype" w:eastAsia="Palatino Linotype" w:hAnsi="Palatino Linotype" w:cs="Palatino Linotype"/>
          <w:b/>
        </w:rPr>
        <w:t>c</w:t>
      </w:r>
      <w:r w:rsidR="006E5101" w:rsidRPr="003A0759">
        <w:rPr>
          <w:rFonts w:ascii="Palatino Linotype" w:eastAsia="Palatino Linotype" w:hAnsi="Palatino Linotype" w:cs="Palatino Linotype"/>
          <w:b/>
        </w:rPr>
        <w:t xml:space="preserve">inco </w:t>
      </w:r>
      <w:r w:rsidR="00307162" w:rsidRPr="003A0759">
        <w:rPr>
          <w:rFonts w:ascii="Palatino Linotype" w:eastAsia="Palatino Linotype" w:hAnsi="Palatino Linotype" w:cs="Palatino Linotype"/>
          <w:b/>
        </w:rPr>
        <w:t>de noviembre de dos mil veinticinco</w:t>
      </w:r>
      <w:r w:rsidRPr="003A0759">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629209AD" w14:textId="77777777" w:rsidR="003D0894" w:rsidRPr="003A0759" w:rsidRDefault="003D0894" w:rsidP="00E30F56">
      <w:pPr>
        <w:spacing w:after="0" w:line="360" w:lineRule="auto"/>
        <w:ind w:right="49"/>
        <w:jc w:val="both"/>
        <w:rPr>
          <w:rFonts w:ascii="Palatino Linotype" w:eastAsia="Palatino Linotype" w:hAnsi="Palatino Linotype" w:cs="Palatino Linotype"/>
        </w:rPr>
      </w:pPr>
    </w:p>
    <w:p w14:paraId="178A2444" w14:textId="77777777" w:rsidR="003D0894" w:rsidRPr="003A0759" w:rsidRDefault="003D0894" w:rsidP="00E30F56">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99E0631" w14:textId="77777777" w:rsidR="003D0894" w:rsidRPr="003A0759" w:rsidRDefault="003D0894" w:rsidP="00E30F56">
      <w:pPr>
        <w:spacing w:after="0" w:line="360" w:lineRule="auto"/>
        <w:ind w:right="49"/>
        <w:jc w:val="both"/>
        <w:rPr>
          <w:rFonts w:ascii="Palatino Linotype" w:eastAsia="Palatino Linotype" w:hAnsi="Palatino Linotype" w:cs="Palatino Linotype"/>
        </w:rPr>
      </w:pPr>
    </w:p>
    <w:p w14:paraId="2E605633" w14:textId="77777777" w:rsidR="003D0894" w:rsidRPr="003A0759" w:rsidRDefault="003D0894"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0D7B88C" w14:textId="77777777" w:rsidR="003D0894" w:rsidRPr="003A0759" w:rsidRDefault="003D0894"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 </w:t>
      </w:r>
    </w:p>
    <w:p w14:paraId="2ECF9A6B" w14:textId="77777777" w:rsidR="003D0894" w:rsidRPr="003A0759" w:rsidRDefault="003D0894"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D63C041" w14:textId="77777777" w:rsidR="003D0894" w:rsidRPr="003A0759" w:rsidRDefault="003D0894" w:rsidP="00E30F56">
      <w:pPr>
        <w:spacing w:after="0" w:line="360" w:lineRule="auto"/>
        <w:ind w:right="49"/>
        <w:jc w:val="both"/>
        <w:rPr>
          <w:rFonts w:ascii="Palatino Linotype" w:eastAsia="Palatino Linotype" w:hAnsi="Palatino Linotype" w:cs="Palatino Linotype"/>
        </w:rPr>
      </w:pPr>
    </w:p>
    <w:p w14:paraId="6602ED41" w14:textId="27CD300F" w:rsidR="003D0894" w:rsidRPr="003A0759" w:rsidRDefault="003D0894"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5F401B3" w14:textId="77777777" w:rsidR="003D0894" w:rsidRPr="003A0759" w:rsidRDefault="003D0894" w:rsidP="00E30F56">
      <w:pPr>
        <w:spacing w:after="0" w:line="360" w:lineRule="auto"/>
        <w:ind w:right="49"/>
        <w:jc w:val="both"/>
        <w:rPr>
          <w:rFonts w:ascii="Palatino Linotype" w:eastAsia="Palatino Linotype" w:hAnsi="Palatino Linotype" w:cs="Palatino Linotype"/>
        </w:rPr>
      </w:pPr>
    </w:p>
    <w:p w14:paraId="4CF1EBAB" w14:textId="77777777" w:rsidR="003D0894" w:rsidRPr="003A0759" w:rsidRDefault="003D0894"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7EAEF6F" w14:textId="77777777" w:rsidR="003D0894" w:rsidRPr="003A0759" w:rsidRDefault="003D0894" w:rsidP="00E30F56">
      <w:pPr>
        <w:spacing w:after="0" w:line="360" w:lineRule="auto"/>
        <w:ind w:right="49"/>
        <w:jc w:val="both"/>
        <w:rPr>
          <w:rFonts w:ascii="Palatino Linotype" w:eastAsia="Palatino Linotype" w:hAnsi="Palatino Linotype" w:cs="Palatino Linotype"/>
        </w:rPr>
      </w:pPr>
    </w:p>
    <w:p w14:paraId="0AF0803F" w14:textId="77777777" w:rsidR="003D0894" w:rsidRPr="003A0759" w:rsidRDefault="003D0894" w:rsidP="00E30F56">
      <w:pPr>
        <w:tabs>
          <w:tab w:val="left" w:pos="709"/>
        </w:tabs>
        <w:spacing w:after="0" w:line="360" w:lineRule="auto"/>
        <w:ind w:left="567" w:right="560"/>
        <w:jc w:val="both"/>
        <w:rPr>
          <w:rFonts w:ascii="Palatino Linotype" w:eastAsia="Palatino Linotype" w:hAnsi="Palatino Linotype" w:cs="Palatino Linotype"/>
        </w:rPr>
      </w:pPr>
      <w:r w:rsidRPr="003A0759">
        <w:rPr>
          <w:rFonts w:ascii="Palatino Linotype" w:eastAsia="Palatino Linotype" w:hAnsi="Palatino Linotype" w:cs="Palatino Linotype"/>
          <w:b/>
        </w:rPr>
        <w:t>a)    Complejidad del asunto:</w:t>
      </w:r>
      <w:r w:rsidRPr="003A0759">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47749B5F" w14:textId="77777777" w:rsidR="003D0894" w:rsidRPr="003A0759" w:rsidRDefault="003D0894" w:rsidP="00E30F56">
      <w:pPr>
        <w:tabs>
          <w:tab w:val="left" w:pos="709"/>
        </w:tabs>
        <w:spacing w:after="0" w:line="360" w:lineRule="auto"/>
        <w:ind w:left="567" w:right="560"/>
        <w:jc w:val="both"/>
        <w:rPr>
          <w:rFonts w:ascii="Palatino Linotype" w:eastAsia="Palatino Linotype" w:hAnsi="Palatino Linotype" w:cs="Palatino Linotype"/>
        </w:rPr>
      </w:pPr>
      <w:r w:rsidRPr="003A0759">
        <w:rPr>
          <w:rFonts w:ascii="Palatino Linotype" w:eastAsia="Palatino Linotype" w:hAnsi="Palatino Linotype" w:cs="Palatino Linotype"/>
          <w:b/>
        </w:rPr>
        <w:t>b)   Actividad Procesal del interesado</w:t>
      </w:r>
      <w:r w:rsidRPr="003A0759">
        <w:rPr>
          <w:rFonts w:ascii="Palatino Linotype" w:eastAsia="Palatino Linotype" w:hAnsi="Palatino Linotype" w:cs="Palatino Linotype"/>
        </w:rPr>
        <w:t>: Acciones u omisiones del interesado.</w:t>
      </w:r>
    </w:p>
    <w:p w14:paraId="5F7964F9" w14:textId="77777777" w:rsidR="003D0894" w:rsidRPr="003A0759" w:rsidRDefault="003D0894" w:rsidP="00E30F56">
      <w:pPr>
        <w:tabs>
          <w:tab w:val="left" w:pos="851"/>
        </w:tabs>
        <w:spacing w:after="0" w:line="360" w:lineRule="auto"/>
        <w:ind w:left="567" w:right="560"/>
        <w:jc w:val="both"/>
        <w:rPr>
          <w:rFonts w:ascii="Palatino Linotype" w:eastAsia="Palatino Linotype" w:hAnsi="Palatino Linotype" w:cs="Palatino Linotype"/>
        </w:rPr>
      </w:pPr>
      <w:r w:rsidRPr="003A0759">
        <w:rPr>
          <w:rFonts w:ascii="Palatino Linotype" w:eastAsia="Palatino Linotype" w:hAnsi="Palatino Linotype" w:cs="Palatino Linotype"/>
          <w:b/>
        </w:rPr>
        <w:t>c)  Conducta de la Autoridad:</w:t>
      </w:r>
      <w:r w:rsidRPr="003A0759">
        <w:rPr>
          <w:rFonts w:ascii="Palatino Linotype" w:eastAsia="Palatino Linotype" w:hAnsi="Palatino Linotype" w:cs="Palatino Linotype"/>
        </w:rPr>
        <w:t xml:space="preserve"> Las Acciones u omisiones realizadas en el procedimiento. Así como si la autoridad actuó con la debida diligencia.</w:t>
      </w:r>
    </w:p>
    <w:p w14:paraId="4F23A003" w14:textId="77777777" w:rsidR="003D0894" w:rsidRPr="003A0759" w:rsidRDefault="003D0894" w:rsidP="00E30F56">
      <w:pPr>
        <w:tabs>
          <w:tab w:val="left" w:pos="851"/>
        </w:tabs>
        <w:spacing w:after="0" w:line="360" w:lineRule="auto"/>
        <w:ind w:left="567" w:right="560"/>
        <w:jc w:val="both"/>
        <w:rPr>
          <w:rFonts w:ascii="Palatino Linotype" w:eastAsia="Palatino Linotype" w:hAnsi="Palatino Linotype" w:cs="Palatino Linotype"/>
        </w:rPr>
      </w:pPr>
      <w:r w:rsidRPr="003A0759">
        <w:rPr>
          <w:rFonts w:ascii="Palatino Linotype" w:eastAsia="Palatino Linotype" w:hAnsi="Palatino Linotype" w:cs="Palatino Linotype"/>
          <w:b/>
        </w:rPr>
        <w:t>d) La afectación generada en la situación jurídica de la persona involucrada en el proceso:</w:t>
      </w:r>
      <w:r w:rsidRPr="003A0759">
        <w:rPr>
          <w:rFonts w:ascii="Palatino Linotype" w:eastAsia="Palatino Linotype" w:hAnsi="Palatino Linotype" w:cs="Palatino Linotype"/>
        </w:rPr>
        <w:t xml:space="preserve"> Violación a sus derechos humanos.</w:t>
      </w:r>
    </w:p>
    <w:p w14:paraId="24BE8116" w14:textId="77777777" w:rsidR="003D0894" w:rsidRPr="003A0759" w:rsidRDefault="003D0894" w:rsidP="00E30F56">
      <w:pPr>
        <w:spacing w:after="0" w:line="360" w:lineRule="auto"/>
        <w:ind w:right="49"/>
        <w:jc w:val="both"/>
        <w:rPr>
          <w:rFonts w:ascii="Palatino Linotype" w:eastAsia="Palatino Linotype" w:hAnsi="Palatino Linotype" w:cs="Palatino Linotype"/>
        </w:rPr>
      </w:pPr>
    </w:p>
    <w:p w14:paraId="3B6AF558" w14:textId="77777777" w:rsidR="003D0894" w:rsidRPr="003A0759" w:rsidRDefault="003D0894"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1530E55" w14:textId="77777777" w:rsidR="003D0894" w:rsidRPr="003A0759" w:rsidRDefault="003D0894"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 </w:t>
      </w:r>
    </w:p>
    <w:p w14:paraId="3A5992CB" w14:textId="77777777" w:rsidR="003D0894" w:rsidRPr="003A0759" w:rsidRDefault="003D0894"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Argumento que encuentra sustento en la jurisprudencia P./J. 32/92 emitida por el Pleno de la Suprema Corte de Justicia de la Nación de rubro “</w:t>
      </w:r>
      <w:r w:rsidRPr="003A0759">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3A0759">
        <w:rPr>
          <w:rFonts w:ascii="Palatino Linotype" w:eastAsia="Palatino Linotype" w:hAnsi="Palatino Linotype" w:cs="Palatino Linotype"/>
        </w:rPr>
        <w:t>, visible en la Gaceta del Seminario Judicial de la Federación con el registro digital 205635.</w:t>
      </w:r>
    </w:p>
    <w:p w14:paraId="19614D44" w14:textId="77777777" w:rsidR="003D0894" w:rsidRPr="003A0759" w:rsidRDefault="003D0894"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 </w:t>
      </w:r>
    </w:p>
    <w:p w14:paraId="44DDE32C" w14:textId="77777777" w:rsidR="003D0894" w:rsidRPr="003A0759" w:rsidRDefault="003D0894"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F60F50A" w14:textId="77777777" w:rsidR="003D0894" w:rsidRPr="003A0759" w:rsidRDefault="003D0894" w:rsidP="00E30F56">
      <w:pPr>
        <w:spacing w:after="0" w:line="360" w:lineRule="auto"/>
        <w:ind w:right="49"/>
        <w:jc w:val="both"/>
        <w:rPr>
          <w:rFonts w:ascii="Palatino Linotype" w:eastAsia="Palatino Linotype" w:hAnsi="Palatino Linotype" w:cs="Palatino Linotype"/>
        </w:rPr>
      </w:pPr>
    </w:p>
    <w:p w14:paraId="15A5433F" w14:textId="77777777" w:rsidR="003D0894" w:rsidRPr="003A0759" w:rsidRDefault="003D0894"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0118DB9" w14:textId="77777777" w:rsidR="003D0894" w:rsidRPr="003A0759" w:rsidRDefault="003D0894"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 </w:t>
      </w:r>
    </w:p>
    <w:p w14:paraId="3C76B0C6" w14:textId="77777777" w:rsidR="003D0894" w:rsidRPr="003A0759" w:rsidRDefault="003D0894" w:rsidP="00E30F56">
      <w:pPr>
        <w:spacing w:after="0" w:line="360" w:lineRule="auto"/>
        <w:ind w:left="567" w:right="560"/>
        <w:jc w:val="both"/>
        <w:rPr>
          <w:rFonts w:ascii="Palatino Linotype" w:eastAsia="Palatino Linotype" w:hAnsi="Palatino Linotype" w:cs="Palatino Linotype"/>
        </w:rPr>
      </w:pPr>
      <w:r w:rsidRPr="003A0759">
        <w:rPr>
          <w:rFonts w:ascii="Palatino Linotype" w:eastAsia="Palatino Linotype" w:hAnsi="Palatino Linotype" w:cs="Palatino Linotype"/>
          <w:b/>
        </w:rPr>
        <w:t xml:space="preserve"> “PLAZO RAZONABLE PARA RESOLVER. DIMENSIÓN Y EFECTOS DE ESTE CONCEPTO CUANDO SE ADUCE EXCESIVA CARGA DE TRABAJO.”</w:t>
      </w:r>
      <w:r w:rsidRPr="003A0759">
        <w:rPr>
          <w:rFonts w:ascii="Palatino Linotype" w:eastAsia="Palatino Linotype" w:hAnsi="Palatino Linotype" w:cs="Palatino Linotype"/>
        </w:rPr>
        <w:t xml:space="preserve"> consultable en el Seminario Judicial de la Federación y su gaceta, con el registro digital 2002351.</w:t>
      </w:r>
    </w:p>
    <w:p w14:paraId="3068691C" w14:textId="77777777" w:rsidR="003D0894" w:rsidRPr="003A0759" w:rsidRDefault="003D0894" w:rsidP="00E30F56">
      <w:pPr>
        <w:spacing w:after="0" w:line="360" w:lineRule="auto"/>
        <w:ind w:left="567" w:right="560"/>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 </w:t>
      </w:r>
    </w:p>
    <w:p w14:paraId="30951BBC" w14:textId="77777777" w:rsidR="003D0894" w:rsidRPr="003A0759" w:rsidRDefault="003D0894" w:rsidP="00E30F56">
      <w:pPr>
        <w:spacing w:after="0" w:line="360" w:lineRule="auto"/>
        <w:ind w:left="567" w:right="560"/>
        <w:jc w:val="both"/>
        <w:rPr>
          <w:rFonts w:ascii="Palatino Linotype" w:eastAsia="Palatino Linotype" w:hAnsi="Palatino Linotype" w:cs="Palatino Linotype"/>
        </w:rPr>
      </w:pPr>
      <w:r w:rsidRPr="003A0759">
        <w:rPr>
          <w:rFonts w:ascii="Palatino Linotype" w:eastAsia="Palatino Linotype" w:hAnsi="Palatino Linotype" w:cs="Palatino Linotype"/>
          <w:b/>
        </w:rPr>
        <w:t>“PLAZO RAZONABLE PARA RESOLVER. CONCEPTO Y ELEMENTOS QUE LO INTEGRAN A LA LUZ DEL DERECHO INTERNACIONAL DE LOS DERECHOS HUMANOS.”,</w:t>
      </w:r>
      <w:r w:rsidRPr="003A0759">
        <w:rPr>
          <w:rFonts w:ascii="Palatino Linotype" w:eastAsia="Palatino Linotype" w:hAnsi="Palatino Linotype" w:cs="Palatino Linotype"/>
        </w:rPr>
        <w:t xml:space="preserve"> visible en el Seminario Judicial de la Federación y su gaceta, con el registro digital 2002350.</w:t>
      </w:r>
    </w:p>
    <w:p w14:paraId="6355B67D" w14:textId="77777777" w:rsidR="003D0894" w:rsidRPr="003A0759" w:rsidRDefault="003D0894" w:rsidP="00E30F56">
      <w:pPr>
        <w:spacing w:after="0" w:line="360" w:lineRule="auto"/>
        <w:ind w:left="567" w:right="560"/>
        <w:jc w:val="both"/>
        <w:rPr>
          <w:rFonts w:ascii="Palatino Linotype" w:eastAsia="Palatino Linotype" w:hAnsi="Palatino Linotype" w:cs="Palatino Linotype"/>
        </w:rPr>
      </w:pPr>
    </w:p>
    <w:p w14:paraId="6A46C647" w14:textId="77777777" w:rsidR="003D0894" w:rsidRPr="003A0759" w:rsidRDefault="003D0894" w:rsidP="00E30F5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D710CFD" w14:textId="77777777" w:rsidR="003D0894" w:rsidRPr="003A0759" w:rsidRDefault="003D0894" w:rsidP="00E30F56">
      <w:pPr>
        <w:pStyle w:val="NormalWeb"/>
        <w:spacing w:before="0" w:beforeAutospacing="0" w:after="0" w:afterAutospacing="0" w:line="360" w:lineRule="auto"/>
        <w:jc w:val="both"/>
        <w:rPr>
          <w:rFonts w:ascii="Palatino Linotype" w:hAnsi="Palatino Linotype"/>
          <w:b/>
          <w:bCs/>
          <w:sz w:val="22"/>
          <w:szCs w:val="22"/>
          <w:lang w:eastAsia="es-MX"/>
        </w:rPr>
      </w:pPr>
    </w:p>
    <w:p w14:paraId="4F0D25F7" w14:textId="28981941" w:rsidR="008C18EF" w:rsidRPr="003A0759" w:rsidRDefault="003D0894" w:rsidP="00E30F56">
      <w:pPr>
        <w:pStyle w:val="NormalWeb"/>
        <w:spacing w:before="0" w:beforeAutospacing="0" w:after="0" w:afterAutospacing="0" w:line="360" w:lineRule="auto"/>
        <w:jc w:val="both"/>
        <w:rPr>
          <w:rFonts w:ascii="Palatino Linotype" w:hAnsi="Palatino Linotype"/>
          <w:sz w:val="22"/>
          <w:szCs w:val="22"/>
          <w:lang w:eastAsia="es-MX"/>
        </w:rPr>
      </w:pPr>
      <w:r w:rsidRPr="003A0759">
        <w:rPr>
          <w:rFonts w:ascii="Palatino Linotype" w:eastAsia="Palatino Linotype" w:hAnsi="Palatino Linotype" w:cs="Palatino Linotype"/>
          <w:b/>
          <w:sz w:val="22"/>
          <w:szCs w:val="22"/>
        </w:rPr>
        <w:t>9</w:t>
      </w:r>
      <w:r w:rsidR="008C18EF" w:rsidRPr="003A0759">
        <w:rPr>
          <w:rFonts w:ascii="Palatino Linotype" w:eastAsia="Palatino Linotype" w:hAnsi="Palatino Linotype" w:cs="Palatino Linotype"/>
          <w:b/>
          <w:sz w:val="22"/>
          <w:szCs w:val="22"/>
        </w:rPr>
        <w:t>. Cierre de instrucción</w:t>
      </w:r>
      <w:r w:rsidR="008C18EF" w:rsidRPr="003A0759">
        <w:rPr>
          <w:rFonts w:ascii="Palatino Linotype" w:eastAsia="Palatino Linotype" w:hAnsi="Palatino Linotype" w:cs="Palatino Linotype"/>
          <w:sz w:val="22"/>
          <w:szCs w:val="22"/>
        </w:rPr>
        <w:t xml:space="preserve">. En fecha </w:t>
      </w:r>
      <w:r w:rsidR="00AC4E2F" w:rsidRPr="003A0759">
        <w:rPr>
          <w:rFonts w:ascii="Palatino Linotype" w:eastAsia="Palatino Linotype" w:hAnsi="Palatino Linotype" w:cs="Palatino Linotype"/>
          <w:b/>
          <w:sz w:val="22"/>
          <w:szCs w:val="22"/>
        </w:rPr>
        <w:t>doce</w:t>
      </w:r>
      <w:r w:rsidR="00E81A78" w:rsidRPr="003A0759">
        <w:rPr>
          <w:rFonts w:ascii="Palatino Linotype" w:eastAsia="Palatino Linotype" w:hAnsi="Palatino Linotype" w:cs="Palatino Linotype"/>
          <w:b/>
          <w:sz w:val="22"/>
          <w:szCs w:val="22"/>
        </w:rPr>
        <w:t xml:space="preserve"> de noviembre de dos mil veinticinco</w:t>
      </w:r>
      <w:r w:rsidR="008C18EF" w:rsidRPr="003A0759">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46766041" w14:textId="77777777" w:rsidR="008C18EF" w:rsidRPr="003A0759" w:rsidRDefault="008C18EF" w:rsidP="00E30F5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6576A31" w14:textId="77777777" w:rsidR="008C18EF" w:rsidRPr="003A0759" w:rsidRDefault="008C18EF"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32179817" w14:textId="77777777" w:rsidR="008C18EF" w:rsidRPr="003A0759" w:rsidRDefault="008C18EF" w:rsidP="00E30F56">
      <w:pPr>
        <w:spacing w:after="0" w:line="360" w:lineRule="auto"/>
        <w:ind w:right="49"/>
        <w:jc w:val="both"/>
        <w:rPr>
          <w:rFonts w:ascii="Palatino Linotype" w:eastAsia="Palatino Linotype" w:hAnsi="Palatino Linotype" w:cs="Palatino Linotype"/>
        </w:rPr>
      </w:pPr>
    </w:p>
    <w:p w14:paraId="4E3278F4" w14:textId="77777777" w:rsidR="008C18EF" w:rsidRPr="003A0759" w:rsidRDefault="008C18EF" w:rsidP="00E30F56">
      <w:pPr>
        <w:spacing w:after="0" w:line="360" w:lineRule="auto"/>
        <w:ind w:right="49"/>
        <w:jc w:val="center"/>
        <w:rPr>
          <w:rFonts w:ascii="Palatino Linotype" w:eastAsia="Palatino Linotype" w:hAnsi="Palatino Linotype" w:cs="Palatino Linotype"/>
          <w:b/>
        </w:rPr>
      </w:pPr>
      <w:r w:rsidRPr="003A0759">
        <w:rPr>
          <w:rFonts w:ascii="Palatino Linotype" w:eastAsia="Palatino Linotype" w:hAnsi="Palatino Linotype" w:cs="Palatino Linotype"/>
          <w:b/>
        </w:rPr>
        <w:t>II.</w:t>
      </w:r>
      <w:r w:rsidRPr="003A0759">
        <w:rPr>
          <w:rFonts w:ascii="Palatino Linotype" w:eastAsia="Palatino Linotype" w:hAnsi="Palatino Linotype" w:cs="Palatino Linotype"/>
          <w:b/>
        </w:rPr>
        <w:tab/>
        <w:t>C O N S I D E R A N D O:</w:t>
      </w:r>
    </w:p>
    <w:p w14:paraId="0157173D" w14:textId="77777777" w:rsidR="008C18EF" w:rsidRPr="003A0759" w:rsidRDefault="008C18EF" w:rsidP="00E30F56">
      <w:pPr>
        <w:spacing w:after="0" w:line="360" w:lineRule="auto"/>
        <w:ind w:right="49"/>
        <w:jc w:val="both"/>
        <w:rPr>
          <w:rFonts w:ascii="Palatino Linotype" w:eastAsia="Palatino Linotype" w:hAnsi="Palatino Linotype" w:cs="Palatino Linotype"/>
        </w:rPr>
      </w:pPr>
    </w:p>
    <w:p w14:paraId="32EFE22A" w14:textId="6899E5E6" w:rsidR="008C18EF" w:rsidRPr="003A0759" w:rsidRDefault="008C18EF" w:rsidP="00E30F56">
      <w:pP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b/>
        </w:rPr>
        <w:t xml:space="preserve">Primero. Competencia. </w:t>
      </w:r>
      <w:r w:rsidRPr="003A0759">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E81A78" w:rsidRPr="003A0759">
        <w:rPr>
          <w:rFonts w:ascii="Palatino Linotype" w:eastAsia="Palatino Linotype" w:hAnsi="Palatino Linotype" w:cs="Palatino Linotype"/>
        </w:rPr>
        <w:t>cuadragésimo cuarto, cuadragésimo quinto y cuadragésimo sexto</w:t>
      </w:r>
      <w:r w:rsidRPr="003A0759">
        <w:rPr>
          <w:rFonts w:ascii="Palatino Linotype" w:eastAsia="Palatino Linotype" w:hAnsi="Palatino Linotype" w:cs="Palatino Linotype"/>
        </w:rPr>
        <w:t>, fracciones IV y V de la Constitución Política del Estado Libre y Soberano de México</w:t>
      </w:r>
      <w:r w:rsidR="00A00C27" w:rsidRPr="003A0759">
        <w:rPr>
          <w:rFonts w:ascii="Palatino Linotype" w:eastAsia="Palatino Linotype" w:hAnsi="Palatino Linotype" w:cs="Palatino Linotype"/>
        </w:rPr>
        <w:t>; Transitorio Cuarto, párrafo segundo del Decreto número 198 de la “LXII” Legislatura del Estado de México,</w:t>
      </w:r>
      <w:r w:rsidRPr="003A0759">
        <w:rPr>
          <w:rFonts w:ascii="Palatino Linotype" w:eastAsia="Palatino Linotype" w:hAnsi="Palatino Linotype" w:cs="Palatino Linotype"/>
        </w:rPr>
        <w:t xml:space="preserve"> 2, fracción II; 13,  29, 36, fracciones I y II; 176, 178, 179, 181 párrafo tercero y 185 de la Ley Transparencia y Acceso a la Información Pública del Estado de México y Municipios; 9, fracciones I</w:t>
      </w:r>
      <w:r w:rsidR="004E4F1F" w:rsidRPr="003A0759">
        <w:rPr>
          <w:rFonts w:ascii="Palatino Linotype" w:eastAsia="Palatino Linotype" w:hAnsi="Palatino Linotype" w:cs="Palatino Linotype"/>
        </w:rPr>
        <w:t>,</w:t>
      </w:r>
      <w:r w:rsidRPr="003A0759">
        <w:rPr>
          <w:rFonts w:ascii="Palatino Linotype" w:eastAsia="Palatino Linotype" w:hAnsi="Palatino Linotype" w:cs="Palatino Linotype"/>
        </w:rPr>
        <w:t xml:space="preserve"> XXIII</w:t>
      </w:r>
      <w:r w:rsidR="004E4F1F" w:rsidRPr="003A0759">
        <w:rPr>
          <w:rFonts w:ascii="Palatino Linotype" w:eastAsia="Palatino Linotype" w:hAnsi="Palatino Linotype" w:cs="Palatino Linotype"/>
        </w:rPr>
        <w:t xml:space="preserve"> y XXIV</w:t>
      </w:r>
      <w:r w:rsidRPr="003A0759">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4A6C0E40" w14:textId="77777777" w:rsidR="004E4F1F" w:rsidRPr="003A0759" w:rsidRDefault="004E4F1F" w:rsidP="00E30F56">
      <w:pPr>
        <w:spacing w:after="0" w:line="360" w:lineRule="auto"/>
        <w:ind w:right="49"/>
        <w:jc w:val="both"/>
        <w:rPr>
          <w:rFonts w:ascii="Palatino Linotype" w:eastAsia="Palatino Linotype" w:hAnsi="Palatino Linotype" w:cs="Palatino Linotype"/>
          <w:b/>
        </w:rPr>
      </w:pPr>
    </w:p>
    <w:p w14:paraId="37C433AB" w14:textId="6A689D6B" w:rsidR="008C18EF" w:rsidRPr="003A0759" w:rsidRDefault="008C18EF"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b/>
        </w:rPr>
        <w:t>Segundo. Oportunidad y Procedibilidad del Recurso de Revisión.</w:t>
      </w:r>
      <w:r w:rsidRPr="003A0759">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7CFEE977" w14:textId="77777777" w:rsidR="008C18EF" w:rsidRPr="003A0759" w:rsidRDefault="008C18EF" w:rsidP="00E30F56">
      <w:pPr>
        <w:spacing w:after="0" w:line="360" w:lineRule="auto"/>
        <w:ind w:right="49"/>
        <w:jc w:val="both"/>
        <w:rPr>
          <w:rFonts w:ascii="Palatino Linotype" w:eastAsia="Palatino Linotype" w:hAnsi="Palatino Linotype" w:cs="Palatino Linotype"/>
        </w:rPr>
      </w:pPr>
    </w:p>
    <w:p w14:paraId="24057F57" w14:textId="194A5961" w:rsidR="00E81A78" w:rsidRPr="003A0759" w:rsidRDefault="00E81A78" w:rsidP="00E30F56">
      <w:pP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3A0759">
        <w:rPr>
          <w:rFonts w:ascii="Palatino Linotype" w:eastAsia="Palatino Linotype" w:hAnsi="Palatino Linotype" w:cs="Palatino Linotype"/>
          <w:b/>
        </w:rPr>
        <w:t>Sujeto Obligado</w:t>
      </w:r>
      <w:r w:rsidRPr="003A0759">
        <w:rPr>
          <w:rFonts w:ascii="Palatino Linotype" w:eastAsia="Palatino Linotype" w:hAnsi="Palatino Linotype" w:cs="Palatino Linotype"/>
        </w:rPr>
        <w:t xml:space="preserve"> respondió a las solicitudes de información que </w:t>
      </w:r>
      <w:proofErr w:type="spellStart"/>
      <w:r w:rsidRPr="003A0759">
        <w:rPr>
          <w:rFonts w:ascii="Palatino Linotype" w:eastAsia="Palatino Linotype" w:hAnsi="Palatino Linotype" w:cs="Palatino Linotype"/>
        </w:rPr>
        <w:t>aperturaron</w:t>
      </w:r>
      <w:proofErr w:type="spellEnd"/>
      <w:r w:rsidRPr="003A0759">
        <w:rPr>
          <w:rFonts w:ascii="Palatino Linotype" w:eastAsia="Palatino Linotype" w:hAnsi="Palatino Linotype" w:cs="Palatino Linotype"/>
        </w:rPr>
        <w:t xml:space="preserve"> los recursos de revisión, el día </w:t>
      </w:r>
      <w:r w:rsidRPr="003A0759">
        <w:rPr>
          <w:rFonts w:ascii="Palatino Linotype" w:eastAsia="Palatino Linotype" w:hAnsi="Palatino Linotype" w:cs="Palatino Linotype"/>
          <w:b/>
        </w:rPr>
        <w:t>trece de agosto de dos mil veinticinco</w:t>
      </w:r>
      <w:r w:rsidRPr="003A0759">
        <w:rPr>
          <w:rFonts w:ascii="Palatino Linotype" w:eastAsia="Palatino Linotype" w:hAnsi="Palatino Linotype" w:cs="Palatino Linotype"/>
        </w:rPr>
        <w:t xml:space="preserve">, por su parte, los recursos de revisión se interpusieron el día </w:t>
      </w:r>
      <w:r w:rsidRPr="003A0759">
        <w:rPr>
          <w:rFonts w:ascii="Palatino Linotype" w:eastAsia="Palatino Linotype" w:hAnsi="Palatino Linotype" w:cs="Palatino Linotype"/>
          <w:b/>
        </w:rPr>
        <w:t>diecinueve de agosto de dos mil veinticinco</w:t>
      </w:r>
      <w:r w:rsidRPr="003A0759">
        <w:rPr>
          <w:rFonts w:ascii="Palatino Linotype" w:eastAsia="Palatino Linotype" w:hAnsi="Palatino Linotype" w:cs="Palatino Linotype"/>
        </w:rPr>
        <w:t>, esto es en el cuarto día hábil después de conocerse las respuestas.</w:t>
      </w:r>
    </w:p>
    <w:p w14:paraId="69140C52" w14:textId="77777777" w:rsidR="00297BAC" w:rsidRPr="003A0759" w:rsidRDefault="00297BAC" w:rsidP="00E30F56">
      <w:pPr>
        <w:spacing w:after="0" w:line="360" w:lineRule="auto"/>
        <w:jc w:val="both"/>
        <w:rPr>
          <w:rFonts w:ascii="Palatino Linotype" w:eastAsia="Palatino Linotype" w:hAnsi="Palatino Linotype" w:cs="Palatino Linotype"/>
        </w:rPr>
      </w:pPr>
    </w:p>
    <w:p w14:paraId="31B1F920" w14:textId="77777777" w:rsidR="00E81A78" w:rsidRPr="003A0759" w:rsidRDefault="00E81A78" w:rsidP="00E30F56">
      <w:pP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En este sentido, al considerar las fechas en que se formularon las solicitudes y las fechas en que respondieron a estas; así como la fecha en que se interpusieron los recursos de revisión, se concluye que los presentes recursos de revisión se encuentran dentro de los márgenes temporales previstos las disposiciones legales referidas.</w:t>
      </w:r>
    </w:p>
    <w:p w14:paraId="41299D3A" w14:textId="77777777" w:rsidR="00297BAC" w:rsidRPr="003A0759" w:rsidRDefault="00297BAC" w:rsidP="00E30F56">
      <w:pPr>
        <w:spacing w:after="0" w:line="360" w:lineRule="auto"/>
        <w:jc w:val="both"/>
        <w:rPr>
          <w:rFonts w:ascii="Palatino Linotype" w:eastAsia="Palatino Linotype" w:hAnsi="Palatino Linotype" w:cs="Palatino Linotype"/>
        </w:rPr>
      </w:pPr>
    </w:p>
    <w:p w14:paraId="5198C3A2" w14:textId="2E6B9B2C" w:rsidR="008C18EF" w:rsidRPr="003A0759" w:rsidRDefault="008C18EF" w:rsidP="00E30F56">
      <w:pP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Es de suma importancia mencionar que, si bien, la parte no proporcionó un nombre o seudónimo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C95FF08" w14:textId="77777777" w:rsidR="008C18EF" w:rsidRPr="003A0759" w:rsidRDefault="008C18EF" w:rsidP="00E30F56">
      <w:pPr>
        <w:spacing w:after="0" w:line="360" w:lineRule="auto"/>
        <w:jc w:val="both"/>
        <w:rPr>
          <w:rFonts w:ascii="Palatino Linotype" w:eastAsia="Palatino Linotype" w:hAnsi="Palatino Linotype" w:cs="Palatino Linotype"/>
        </w:rPr>
      </w:pPr>
    </w:p>
    <w:p w14:paraId="5165C64C" w14:textId="77777777"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 xml:space="preserve">"Las </w:t>
      </w:r>
      <w:r w:rsidRPr="003A0759">
        <w:rPr>
          <w:rFonts w:ascii="Palatino Linotype" w:eastAsia="Palatino Linotype" w:hAnsi="Palatino Linotype" w:cs="Palatino Linotype"/>
          <w:b/>
          <w:bCs/>
          <w:i/>
        </w:rPr>
        <w:t>solicitudes anónimas</w:t>
      </w:r>
      <w:r w:rsidRPr="003A0759">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14:paraId="48753D22" w14:textId="77777777" w:rsidR="008C18EF" w:rsidRPr="003A0759" w:rsidRDefault="008C18EF" w:rsidP="00E30F56">
      <w:pPr>
        <w:spacing w:after="0" w:line="360" w:lineRule="auto"/>
        <w:ind w:right="49"/>
        <w:jc w:val="both"/>
        <w:rPr>
          <w:rFonts w:ascii="Palatino Linotype" w:eastAsia="Palatino Linotype" w:hAnsi="Palatino Linotype" w:cs="Palatino Linotype"/>
        </w:rPr>
      </w:pPr>
    </w:p>
    <w:p w14:paraId="54B70DED" w14:textId="4B9E3802" w:rsidR="008C18EF" w:rsidRPr="003A0759" w:rsidRDefault="008C18EF"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Ahora bien, del análisis efectuado se advierte que resulta </w:t>
      </w:r>
      <w:r w:rsidR="00861417" w:rsidRPr="003A0759">
        <w:rPr>
          <w:rFonts w:ascii="Palatino Linotype" w:eastAsia="Palatino Linotype" w:hAnsi="Palatino Linotype" w:cs="Palatino Linotype"/>
        </w:rPr>
        <w:t xml:space="preserve">procedente la interposición de los </w:t>
      </w:r>
      <w:r w:rsidRPr="003A0759">
        <w:rPr>
          <w:rFonts w:ascii="Palatino Linotype" w:eastAsia="Palatino Linotype" w:hAnsi="Palatino Linotype" w:cs="Palatino Linotype"/>
        </w:rPr>
        <w:t>recurso</w:t>
      </w:r>
      <w:r w:rsidR="00861417" w:rsidRPr="003A0759">
        <w:rPr>
          <w:rFonts w:ascii="Palatino Linotype" w:eastAsia="Palatino Linotype" w:hAnsi="Palatino Linotype" w:cs="Palatino Linotype"/>
        </w:rPr>
        <w:t>s</w:t>
      </w:r>
      <w:r w:rsidRPr="003A0759">
        <w:rPr>
          <w:rFonts w:ascii="Palatino Linotype" w:eastAsia="Palatino Linotype" w:hAnsi="Palatino Linotype" w:cs="Palatino Linotype"/>
        </w:rPr>
        <w:t xml:space="preserve">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3A0759">
        <w:rPr>
          <w:rFonts w:ascii="Palatino Linotype" w:eastAsia="Palatino Linotype" w:hAnsi="Palatino Linotype" w:cs="Palatino Linotype"/>
          <w:b/>
        </w:rPr>
        <w:t>SAIMEX</w:t>
      </w:r>
      <w:r w:rsidRPr="003A0759">
        <w:rPr>
          <w:rFonts w:ascii="Palatino Linotype" w:eastAsia="Palatino Linotype" w:hAnsi="Palatino Linotype" w:cs="Palatino Linotype"/>
        </w:rPr>
        <w:t xml:space="preserve">.  </w:t>
      </w:r>
    </w:p>
    <w:p w14:paraId="0D9E2F5E" w14:textId="77777777" w:rsidR="008C18EF" w:rsidRPr="003A0759" w:rsidRDefault="008C18EF" w:rsidP="00E30F56">
      <w:pPr>
        <w:spacing w:after="0" w:line="360" w:lineRule="auto"/>
        <w:ind w:right="49"/>
        <w:jc w:val="both"/>
        <w:rPr>
          <w:rFonts w:ascii="Palatino Linotype" w:eastAsia="Palatino Linotype" w:hAnsi="Palatino Linotype" w:cs="Palatino Linotype"/>
        </w:rPr>
      </w:pPr>
    </w:p>
    <w:p w14:paraId="088BDCB4" w14:textId="16FF5DC7" w:rsidR="008C18EF" w:rsidRPr="003A0759" w:rsidRDefault="008C18EF"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Finalmente, resulta</w:t>
      </w:r>
      <w:r w:rsidR="00861417" w:rsidRPr="003A0759">
        <w:rPr>
          <w:rFonts w:ascii="Palatino Linotype" w:eastAsia="Palatino Linotype" w:hAnsi="Palatino Linotype" w:cs="Palatino Linotype"/>
        </w:rPr>
        <w:t xml:space="preserve"> procedente la interposición de los</w:t>
      </w:r>
      <w:r w:rsidRPr="003A0759">
        <w:rPr>
          <w:rFonts w:ascii="Palatino Linotype" w:eastAsia="Palatino Linotype" w:hAnsi="Palatino Linotype" w:cs="Palatino Linotype"/>
        </w:rPr>
        <w:t xml:space="preserve"> recurso</w:t>
      </w:r>
      <w:r w:rsidR="00861417" w:rsidRPr="003A0759">
        <w:rPr>
          <w:rFonts w:ascii="Palatino Linotype" w:eastAsia="Palatino Linotype" w:hAnsi="Palatino Linotype" w:cs="Palatino Linotype"/>
        </w:rPr>
        <w:t>s</w:t>
      </w:r>
      <w:r w:rsidRPr="003A0759">
        <w:rPr>
          <w:rFonts w:ascii="Palatino Linotype" w:eastAsia="Palatino Linotype" w:hAnsi="Palatino Linotype" w:cs="Palatino Linotype"/>
        </w:rPr>
        <w:t xml:space="preserve"> de revisión al rubro anotado, toda vez que se actualiza</w:t>
      </w:r>
      <w:r w:rsidR="00DD03DD" w:rsidRPr="003A0759">
        <w:rPr>
          <w:rFonts w:ascii="Palatino Linotype" w:eastAsia="Palatino Linotype" w:hAnsi="Palatino Linotype" w:cs="Palatino Linotype"/>
        </w:rPr>
        <w:t>n</w:t>
      </w:r>
      <w:r w:rsidRPr="003A0759">
        <w:rPr>
          <w:rFonts w:ascii="Palatino Linotype" w:eastAsia="Palatino Linotype" w:hAnsi="Palatino Linotype" w:cs="Palatino Linotype"/>
        </w:rPr>
        <w:t xml:space="preserve"> la</w:t>
      </w:r>
      <w:r w:rsidR="00DD03DD" w:rsidRPr="003A0759">
        <w:rPr>
          <w:rFonts w:ascii="Palatino Linotype" w:eastAsia="Palatino Linotype" w:hAnsi="Palatino Linotype" w:cs="Palatino Linotype"/>
        </w:rPr>
        <w:t>s</w:t>
      </w:r>
      <w:r w:rsidRPr="003A0759">
        <w:rPr>
          <w:rFonts w:ascii="Palatino Linotype" w:eastAsia="Palatino Linotype" w:hAnsi="Palatino Linotype" w:cs="Palatino Linotype"/>
        </w:rPr>
        <w:t xml:space="preserve"> hipótesis de procedencia prevista</w:t>
      </w:r>
      <w:r w:rsidR="00DD03DD" w:rsidRPr="003A0759">
        <w:rPr>
          <w:rFonts w:ascii="Palatino Linotype" w:eastAsia="Palatino Linotype" w:hAnsi="Palatino Linotype" w:cs="Palatino Linotype"/>
        </w:rPr>
        <w:t>s en el artículo 179, fracci</w:t>
      </w:r>
      <w:r w:rsidR="00E81A78" w:rsidRPr="003A0759">
        <w:rPr>
          <w:rFonts w:ascii="Palatino Linotype" w:eastAsia="Palatino Linotype" w:hAnsi="Palatino Linotype" w:cs="Palatino Linotype"/>
        </w:rPr>
        <w:t xml:space="preserve">ón </w:t>
      </w:r>
      <w:r w:rsidRPr="003A0759">
        <w:rPr>
          <w:rFonts w:ascii="Palatino Linotype" w:eastAsia="Palatino Linotype" w:hAnsi="Palatino Linotype" w:cs="Palatino Linotype"/>
        </w:rPr>
        <w:t>I</w:t>
      </w:r>
      <w:r w:rsidR="00E81A78" w:rsidRPr="003A0759">
        <w:rPr>
          <w:rFonts w:ascii="Palatino Linotype" w:eastAsia="Palatino Linotype" w:hAnsi="Palatino Linotype" w:cs="Palatino Linotype"/>
        </w:rPr>
        <w:t xml:space="preserve"> </w:t>
      </w:r>
      <w:r w:rsidRPr="003A0759">
        <w:rPr>
          <w:rFonts w:ascii="Palatino Linotype" w:eastAsia="Palatino Linotype" w:hAnsi="Palatino Linotype" w:cs="Palatino Linotype"/>
        </w:rPr>
        <w:t>de la Ley de la materia, que a la letra dice:</w:t>
      </w:r>
    </w:p>
    <w:p w14:paraId="789E97AA" w14:textId="77777777" w:rsidR="008C18EF" w:rsidRPr="003A0759" w:rsidRDefault="008C18EF" w:rsidP="00E30F56">
      <w:pPr>
        <w:spacing w:after="0" w:line="360" w:lineRule="auto"/>
        <w:ind w:right="49"/>
        <w:jc w:val="both"/>
        <w:rPr>
          <w:rFonts w:ascii="Palatino Linotype" w:eastAsia="Palatino Linotype" w:hAnsi="Palatino Linotype" w:cs="Palatino Linotype"/>
        </w:rPr>
      </w:pPr>
    </w:p>
    <w:p w14:paraId="2071DB14" w14:textId="7E3F2E4F"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w:t>
      </w:r>
      <w:r w:rsidRPr="003A0759">
        <w:rPr>
          <w:rFonts w:ascii="Palatino Linotype" w:eastAsia="Palatino Linotype" w:hAnsi="Palatino Linotype" w:cs="Palatino Linotype"/>
          <w:b/>
          <w:i/>
        </w:rPr>
        <w:t>Artículo 179.</w:t>
      </w:r>
      <w:r w:rsidRPr="003A0759">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AEE6482" w14:textId="77777777"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I. Negativa de entrega de la información</w:t>
      </w:r>
    </w:p>
    <w:p w14:paraId="33D15E53" w14:textId="0BE69364"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w:t>
      </w:r>
      <w:r w:rsidR="00297BAC" w:rsidRPr="003A0759">
        <w:rPr>
          <w:rFonts w:ascii="Palatino Linotype" w:eastAsia="Palatino Linotype" w:hAnsi="Palatino Linotype" w:cs="Palatino Linotype"/>
          <w:i/>
        </w:rPr>
        <w:t>”</w:t>
      </w:r>
    </w:p>
    <w:p w14:paraId="520529E0" w14:textId="77777777" w:rsidR="00DD03DD" w:rsidRPr="003A0759" w:rsidRDefault="00DD03DD" w:rsidP="00E30F56">
      <w:pPr>
        <w:spacing w:after="0" w:line="360" w:lineRule="auto"/>
        <w:ind w:right="49"/>
        <w:jc w:val="both"/>
        <w:rPr>
          <w:rFonts w:ascii="Palatino Linotype" w:eastAsia="Palatino Linotype" w:hAnsi="Palatino Linotype" w:cs="Palatino Linotype"/>
          <w:b/>
        </w:rPr>
      </w:pPr>
    </w:p>
    <w:p w14:paraId="021C5266" w14:textId="11DA19ED" w:rsidR="008C18EF" w:rsidRPr="003A0759" w:rsidRDefault="008C18EF"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b/>
        </w:rPr>
        <w:t>Tercero. Materia de la revisión</w:t>
      </w:r>
      <w:r w:rsidRPr="003A0759">
        <w:rPr>
          <w:rFonts w:ascii="Palatino Linotype" w:eastAsia="Palatino Linotype" w:hAnsi="Palatino Linotype" w:cs="Palatino Linotype"/>
        </w:rPr>
        <w:t>. De la revisión a las constanc</w:t>
      </w:r>
      <w:r w:rsidR="00DD03DD" w:rsidRPr="003A0759">
        <w:rPr>
          <w:rFonts w:ascii="Palatino Linotype" w:eastAsia="Palatino Linotype" w:hAnsi="Palatino Linotype" w:cs="Palatino Linotype"/>
        </w:rPr>
        <w:t>ias y documentos que obran en los</w:t>
      </w:r>
      <w:r w:rsidRPr="003A0759">
        <w:rPr>
          <w:rFonts w:ascii="Palatino Linotype" w:eastAsia="Palatino Linotype" w:hAnsi="Palatino Linotype" w:cs="Palatino Linotype"/>
        </w:rPr>
        <w:t xml:space="preserve"> expediente</w:t>
      </w:r>
      <w:r w:rsidR="00DD03DD" w:rsidRPr="003A0759">
        <w:rPr>
          <w:rFonts w:ascii="Palatino Linotype" w:eastAsia="Palatino Linotype" w:hAnsi="Palatino Linotype" w:cs="Palatino Linotype"/>
        </w:rPr>
        <w:t>s</w:t>
      </w:r>
      <w:r w:rsidRPr="003A0759">
        <w:rPr>
          <w:rFonts w:ascii="Palatino Linotype" w:eastAsia="Palatino Linotype" w:hAnsi="Palatino Linotype" w:cs="Palatino Linotype"/>
        </w:rPr>
        <w:t xml:space="preserve"> electrónico</w:t>
      </w:r>
      <w:r w:rsidR="00DD03DD" w:rsidRPr="003A0759">
        <w:rPr>
          <w:rFonts w:ascii="Palatino Linotype" w:eastAsia="Palatino Linotype" w:hAnsi="Palatino Linotype" w:cs="Palatino Linotype"/>
        </w:rPr>
        <w:t>s</w:t>
      </w:r>
      <w:r w:rsidRPr="003A0759">
        <w:rPr>
          <w:rFonts w:ascii="Palatino Linotype" w:eastAsia="Palatino Linotype" w:hAnsi="Palatino Linotype" w:cs="Palatino Linotype"/>
        </w:rPr>
        <w:t xml:space="preserve"> se advierte, que el tema sobre el que este Organismo Garante de Transparencia y Acceso a la Información se pronunciará será  determinar, si se actualiza la hipótesis prevista en la</w:t>
      </w:r>
      <w:r w:rsidR="00DD03DD" w:rsidRPr="003A0759">
        <w:rPr>
          <w:rFonts w:ascii="Palatino Linotype" w:eastAsia="Palatino Linotype" w:hAnsi="Palatino Linotype" w:cs="Palatino Linotype"/>
        </w:rPr>
        <w:t xml:space="preserve"> fracci</w:t>
      </w:r>
      <w:r w:rsidR="00C05466" w:rsidRPr="003A0759">
        <w:rPr>
          <w:rFonts w:ascii="Palatino Linotype" w:eastAsia="Palatino Linotype" w:hAnsi="Palatino Linotype" w:cs="Palatino Linotype"/>
        </w:rPr>
        <w:t xml:space="preserve">ón </w:t>
      </w:r>
      <w:r w:rsidR="00DD03DD" w:rsidRPr="003A0759">
        <w:rPr>
          <w:rFonts w:ascii="Palatino Linotype" w:eastAsia="Palatino Linotype" w:hAnsi="Palatino Linotype" w:cs="Palatino Linotype"/>
        </w:rPr>
        <w:t>I</w:t>
      </w:r>
      <w:r w:rsidR="00C05466" w:rsidRPr="003A0759">
        <w:rPr>
          <w:rFonts w:ascii="Palatino Linotype" w:eastAsia="Palatino Linotype" w:hAnsi="Palatino Linotype" w:cs="Palatino Linotype"/>
        </w:rPr>
        <w:t xml:space="preserve"> </w:t>
      </w:r>
      <w:r w:rsidRPr="003A0759">
        <w:rPr>
          <w:rFonts w:ascii="Palatino Linotype" w:eastAsia="Palatino Linotype" w:hAnsi="Palatino Linotype" w:cs="Palatino Linotype"/>
        </w:rPr>
        <w:t xml:space="preserve">del artículo 179 de la Ley en la materia. </w:t>
      </w:r>
    </w:p>
    <w:p w14:paraId="1391C808" w14:textId="77777777" w:rsidR="008C18EF" w:rsidRPr="003A0759" w:rsidRDefault="008C18EF" w:rsidP="00E30F56">
      <w:pPr>
        <w:spacing w:after="0" w:line="360" w:lineRule="auto"/>
        <w:ind w:right="49"/>
        <w:jc w:val="both"/>
        <w:rPr>
          <w:rFonts w:ascii="Palatino Linotype" w:eastAsia="Palatino Linotype" w:hAnsi="Palatino Linotype" w:cs="Palatino Linotype"/>
        </w:rPr>
      </w:pPr>
    </w:p>
    <w:p w14:paraId="5AB39E7E" w14:textId="169876FF" w:rsidR="008C18EF" w:rsidRPr="003A0759" w:rsidRDefault="008C18EF"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b/>
        </w:rPr>
        <w:t>Cuarto.</w:t>
      </w:r>
      <w:r w:rsidRPr="003A0759">
        <w:rPr>
          <w:rFonts w:ascii="Palatino Linotype" w:eastAsia="Palatino Linotype" w:hAnsi="Palatino Linotype" w:cs="Palatino Linotype"/>
        </w:rPr>
        <w:t xml:space="preserve"> </w:t>
      </w:r>
      <w:r w:rsidRPr="003A0759">
        <w:rPr>
          <w:rFonts w:ascii="Palatino Linotype" w:eastAsia="Palatino Linotype" w:hAnsi="Palatino Linotype" w:cs="Palatino Linotype"/>
          <w:b/>
        </w:rPr>
        <w:t>Estudio de fondo del asunto.</w:t>
      </w:r>
      <w:r w:rsidRPr="003A0759">
        <w:rPr>
          <w:rFonts w:ascii="Palatino Linotype" w:eastAsia="Palatino Linotype" w:hAnsi="Palatino Linotype" w:cs="Palatino Linotype"/>
        </w:rPr>
        <w:t xml:space="preserve">  Antes de entrar al análisis de los pronunciamientos del Sujeto Obligado en la</w:t>
      </w:r>
      <w:r w:rsidR="00861417" w:rsidRPr="003A0759">
        <w:rPr>
          <w:rFonts w:ascii="Palatino Linotype" w:eastAsia="Palatino Linotype" w:hAnsi="Palatino Linotype" w:cs="Palatino Linotype"/>
        </w:rPr>
        <w:t>s</w:t>
      </w:r>
      <w:r w:rsidRPr="003A0759">
        <w:rPr>
          <w:rFonts w:ascii="Palatino Linotype" w:eastAsia="Palatino Linotype" w:hAnsi="Palatino Linotype" w:cs="Palatino Linotype"/>
        </w:rPr>
        <w:t xml:space="preserve"> respuesta</w:t>
      </w:r>
      <w:r w:rsidR="00861417" w:rsidRPr="003A0759">
        <w:rPr>
          <w:rFonts w:ascii="Palatino Linotype" w:eastAsia="Palatino Linotype" w:hAnsi="Palatino Linotype" w:cs="Palatino Linotype"/>
        </w:rPr>
        <w:t>s</w:t>
      </w:r>
      <w:r w:rsidRPr="003A0759">
        <w:rPr>
          <w:rFonts w:ascii="Palatino Linotype" w:eastAsia="Palatino Linotype" w:hAnsi="Palatino Linotype" w:cs="Palatino Linotype"/>
        </w:rPr>
        <w:t xml:space="preserve"> proporcionada</w:t>
      </w:r>
      <w:r w:rsidR="00861417" w:rsidRPr="003A0759">
        <w:rPr>
          <w:rFonts w:ascii="Palatino Linotype" w:eastAsia="Palatino Linotype" w:hAnsi="Palatino Linotype" w:cs="Palatino Linotype"/>
        </w:rPr>
        <w:t>s</w:t>
      </w:r>
      <w:r w:rsidRPr="003A0759">
        <w:rPr>
          <w:rFonts w:ascii="Palatino Linotype" w:eastAsia="Palatino Linotype" w:hAnsi="Palatino Linotype" w:cs="Palatino Linotype"/>
        </w:rPr>
        <w:t>,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7D43279" w14:textId="77777777" w:rsidR="008C18EF" w:rsidRPr="003A0759" w:rsidRDefault="008C18EF" w:rsidP="00E30F56">
      <w:pPr>
        <w:spacing w:after="0"/>
        <w:ind w:left="567" w:right="560"/>
        <w:jc w:val="both"/>
        <w:rPr>
          <w:rFonts w:ascii="Palatino Linotype" w:eastAsia="Palatino Linotype" w:hAnsi="Palatino Linotype" w:cs="Palatino Linotype"/>
          <w:i/>
        </w:rPr>
      </w:pPr>
    </w:p>
    <w:p w14:paraId="62A1189B" w14:textId="30FC86E1" w:rsidR="008C18EF" w:rsidRPr="003A0759" w:rsidRDefault="00297BAC"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w:t>
      </w:r>
      <w:r w:rsidR="008C18EF" w:rsidRPr="003A0759">
        <w:rPr>
          <w:rFonts w:ascii="Palatino Linotype" w:eastAsia="Palatino Linotype" w:hAnsi="Palatino Linotype" w:cs="Palatino Linotype"/>
          <w:b/>
          <w:i/>
        </w:rPr>
        <w:t>Artículo 1o.</w:t>
      </w:r>
      <w:r w:rsidR="008C18EF" w:rsidRPr="003A0759">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939EB8B" w14:textId="77777777"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1E0E094B" w14:textId="77777777"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B8734E6" w14:textId="77777777"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w:t>
      </w:r>
    </w:p>
    <w:p w14:paraId="2D052D4E" w14:textId="62CF43FF" w:rsidR="008C18EF" w:rsidRPr="003A0759" w:rsidRDefault="008C18EF" w:rsidP="00297BAC">
      <w:pPr>
        <w:spacing w:after="0"/>
        <w:ind w:left="851" w:right="843"/>
        <w:jc w:val="both"/>
        <w:rPr>
          <w:rFonts w:ascii="Palatino Linotype" w:eastAsia="Palatino Linotype" w:hAnsi="Palatino Linotype" w:cs="Palatino Linotype"/>
          <w:b/>
          <w:i/>
        </w:rPr>
      </w:pPr>
      <w:r w:rsidRPr="003A0759">
        <w:rPr>
          <w:rFonts w:ascii="Palatino Linotype" w:eastAsia="Palatino Linotype" w:hAnsi="Palatino Linotype" w:cs="Palatino Linotype"/>
          <w:b/>
          <w:i/>
        </w:rPr>
        <w:t>Artículo 6o.</w:t>
      </w:r>
    </w:p>
    <w:p w14:paraId="3AA7C355" w14:textId="77777777"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w:t>
      </w:r>
    </w:p>
    <w:p w14:paraId="50FD5DFB" w14:textId="77777777"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230B58AD" w14:textId="77777777"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555AD4F" w14:textId="77777777"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42E6559D" w14:textId="77777777"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196F3E6E" w14:textId="77777777"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5BBAC5FF" w14:textId="77777777"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74A9EC8" w14:textId="77777777"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74BA1BA5" w14:textId="77777777"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22C3839A" w14:textId="77777777" w:rsidR="008C18EF" w:rsidRPr="003A0759" w:rsidRDefault="008C18EF" w:rsidP="00E30F56">
      <w:pPr>
        <w:spacing w:after="0"/>
        <w:ind w:left="567" w:right="560"/>
        <w:jc w:val="both"/>
        <w:rPr>
          <w:rFonts w:ascii="Palatino Linotype" w:eastAsia="Palatino Linotype" w:hAnsi="Palatino Linotype" w:cs="Palatino Linotype"/>
          <w:i/>
        </w:rPr>
      </w:pPr>
    </w:p>
    <w:p w14:paraId="419C6BC2" w14:textId="77777777" w:rsidR="008C18EF" w:rsidRPr="003A0759" w:rsidRDefault="008C18EF"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8DECFE3" w14:textId="77777777" w:rsidR="008C18EF" w:rsidRPr="003A0759" w:rsidRDefault="008C18EF" w:rsidP="00297BAC">
      <w:pPr>
        <w:spacing w:after="0"/>
        <w:ind w:left="851" w:right="843"/>
        <w:jc w:val="both"/>
        <w:rPr>
          <w:rFonts w:ascii="Palatino Linotype" w:eastAsia="Palatino Linotype" w:hAnsi="Palatino Linotype" w:cs="Palatino Linotype"/>
        </w:rPr>
      </w:pPr>
    </w:p>
    <w:p w14:paraId="06DA0C36" w14:textId="77777777"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w:t>
      </w:r>
      <w:r w:rsidRPr="003A0759">
        <w:rPr>
          <w:rFonts w:ascii="Palatino Linotype" w:eastAsia="Palatino Linotype" w:hAnsi="Palatino Linotype" w:cs="Palatino Linotype"/>
          <w:b/>
          <w:i/>
        </w:rPr>
        <w:t>Artículo 4.</w:t>
      </w:r>
      <w:r w:rsidRPr="003A0759">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61337CD" w14:textId="77777777"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A50988D" w14:textId="77777777"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60F93469" w14:textId="77777777" w:rsidR="008C18EF" w:rsidRPr="003A0759" w:rsidRDefault="008C18EF" w:rsidP="00E30F56">
      <w:pPr>
        <w:spacing w:after="0" w:line="360" w:lineRule="auto"/>
        <w:ind w:left="567" w:right="560"/>
        <w:jc w:val="both"/>
        <w:rPr>
          <w:rFonts w:ascii="Palatino Linotype" w:eastAsia="Palatino Linotype" w:hAnsi="Palatino Linotype" w:cs="Palatino Linotype"/>
          <w:i/>
        </w:rPr>
      </w:pPr>
    </w:p>
    <w:p w14:paraId="535C7C28" w14:textId="77777777" w:rsidR="008C18EF" w:rsidRPr="003A0759" w:rsidRDefault="008C18EF"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E13E678" w14:textId="77777777" w:rsidR="008C18EF" w:rsidRPr="003A0759" w:rsidRDefault="008C18EF" w:rsidP="00E30F56">
      <w:pPr>
        <w:spacing w:after="0" w:line="360" w:lineRule="auto"/>
        <w:ind w:right="49"/>
        <w:jc w:val="both"/>
        <w:rPr>
          <w:rFonts w:ascii="Palatino Linotype" w:eastAsia="Palatino Linotype" w:hAnsi="Palatino Linotype" w:cs="Palatino Linotype"/>
        </w:rPr>
      </w:pPr>
    </w:p>
    <w:p w14:paraId="7C7D5E8F" w14:textId="77777777"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w:t>
      </w:r>
      <w:r w:rsidRPr="003A0759">
        <w:rPr>
          <w:rFonts w:ascii="Palatino Linotype" w:eastAsia="Palatino Linotype" w:hAnsi="Palatino Linotype" w:cs="Palatino Linotype"/>
          <w:b/>
          <w:i/>
        </w:rPr>
        <w:t>Artículo 12.</w:t>
      </w:r>
      <w:r w:rsidRPr="003A0759">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0A19366" w14:textId="77777777"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1A0AF36" w14:textId="77777777" w:rsidR="008C18EF" w:rsidRPr="003A0759" w:rsidRDefault="008C18EF" w:rsidP="00E30F56">
      <w:pPr>
        <w:spacing w:after="0" w:line="360" w:lineRule="auto"/>
        <w:ind w:right="49"/>
        <w:jc w:val="both"/>
        <w:rPr>
          <w:rFonts w:ascii="Palatino Linotype" w:eastAsia="Palatino Linotype" w:hAnsi="Palatino Linotype" w:cs="Palatino Linotype"/>
        </w:rPr>
      </w:pPr>
    </w:p>
    <w:p w14:paraId="0C6E678A" w14:textId="6DC1BB00" w:rsidR="008C18EF" w:rsidRPr="003A0759" w:rsidRDefault="008C18EF"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w:t>
      </w:r>
      <w:r w:rsidR="00297BAC" w:rsidRPr="003A0759">
        <w:rPr>
          <w:rFonts w:ascii="Palatino Linotype" w:eastAsia="Palatino Linotype" w:hAnsi="Palatino Linotype" w:cs="Palatino Linotype"/>
        </w:rPr>
        <w:t xml:space="preserve"> entonces </w:t>
      </w:r>
      <w:r w:rsidRPr="003A0759">
        <w:rPr>
          <w:rFonts w:ascii="Palatino Linotype" w:eastAsia="Palatino Linotype" w:hAnsi="Palatino Linotype" w:cs="Palatino Linotype"/>
        </w:rPr>
        <w:t>Instituto Nacional de Transparencia, Acceso a la Información Pública y Protección de Datos Personales, el cual señala lo siguiente:</w:t>
      </w:r>
    </w:p>
    <w:p w14:paraId="47DAD345" w14:textId="77777777" w:rsidR="00DD03DD" w:rsidRPr="003A0759" w:rsidRDefault="00DD03DD" w:rsidP="00E30F56">
      <w:pPr>
        <w:spacing w:after="0" w:line="360" w:lineRule="auto"/>
        <w:ind w:right="49"/>
        <w:jc w:val="both"/>
        <w:rPr>
          <w:rFonts w:ascii="Palatino Linotype" w:eastAsia="Palatino Linotype" w:hAnsi="Palatino Linotype" w:cs="Palatino Linotype"/>
        </w:rPr>
      </w:pPr>
    </w:p>
    <w:p w14:paraId="0286C01A" w14:textId="77777777" w:rsidR="008C18EF" w:rsidRPr="003A0759" w:rsidRDefault="008C18EF" w:rsidP="00297BAC">
      <w:pPr>
        <w:spacing w:after="0"/>
        <w:ind w:left="851" w:right="843"/>
        <w:jc w:val="both"/>
        <w:rPr>
          <w:rFonts w:ascii="Palatino Linotype" w:eastAsia="Palatino Linotype" w:hAnsi="Palatino Linotype" w:cs="Palatino Linotype"/>
          <w:b/>
          <w:i/>
        </w:rPr>
      </w:pPr>
      <w:r w:rsidRPr="003A0759">
        <w:rPr>
          <w:rFonts w:ascii="Palatino Linotype" w:eastAsia="Palatino Linotype" w:hAnsi="Palatino Linotype" w:cs="Palatino Linotype"/>
          <w:b/>
          <w:i/>
        </w:rPr>
        <w:t>Criterio 03/17</w:t>
      </w:r>
    </w:p>
    <w:p w14:paraId="06844F72" w14:textId="77777777"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b/>
          <w:i/>
        </w:rPr>
        <w:t xml:space="preserve">“NO EXISTE OBLIGACIÓN DE ELABORAR DOCUMENTOS AD HOC PARA ATENDER LAS SOLICITUDES DE ACCESO A LA INFORMACIÓN. </w:t>
      </w:r>
      <w:r w:rsidRPr="003A0759">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CE887C5" w14:textId="77777777" w:rsidR="008C18EF" w:rsidRPr="003A0759" w:rsidRDefault="008C18EF" w:rsidP="00E30F56">
      <w:pPr>
        <w:spacing w:after="0" w:line="360" w:lineRule="auto"/>
        <w:ind w:left="567" w:right="560"/>
        <w:jc w:val="both"/>
        <w:rPr>
          <w:rFonts w:ascii="Palatino Linotype" w:eastAsia="Palatino Linotype" w:hAnsi="Palatino Linotype" w:cs="Palatino Linotype"/>
          <w:b/>
          <w:i/>
        </w:rPr>
      </w:pPr>
    </w:p>
    <w:p w14:paraId="1FAD5DFF" w14:textId="77777777" w:rsidR="008C18EF" w:rsidRPr="003A0759" w:rsidRDefault="008C18EF"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8FBD2E1" w14:textId="77777777" w:rsidR="008C18EF" w:rsidRPr="003A0759" w:rsidRDefault="008C18EF" w:rsidP="00E30F56">
      <w:pPr>
        <w:spacing w:after="0" w:line="360" w:lineRule="auto"/>
        <w:ind w:right="49"/>
        <w:jc w:val="both"/>
        <w:rPr>
          <w:rFonts w:ascii="Palatino Linotype" w:eastAsia="Palatino Linotype" w:hAnsi="Palatino Linotype" w:cs="Palatino Linotype"/>
        </w:rPr>
      </w:pPr>
    </w:p>
    <w:p w14:paraId="4FD5FA5F" w14:textId="77777777" w:rsidR="008C18EF" w:rsidRPr="003A0759" w:rsidRDefault="008C18EF"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EF2F948" w14:textId="77777777" w:rsidR="008C18EF" w:rsidRPr="003A0759" w:rsidRDefault="008C18EF" w:rsidP="00E30F56">
      <w:pPr>
        <w:spacing w:after="0" w:line="360" w:lineRule="auto"/>
        <w:ind w:right="49"/>
        <w:jc w:val="both"/>
        <w:rPr>
          <w:rFonts w:ascii="Palatino Linotype" w:eastAsia="Palatino Linotype" w:hAnsi="Palatino Linotype" w:cs="Palatino Linotype"/>
        </w:rPr>
      </w:pPr>
    </w:p>
    <w:p w14:paraId="2A523924" w14:textId="77777777" w:rsidR="008C18EF" w:rsidRPr="003A0759" w:rsidRDefault="008C18EF"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F66E8D4" w14:textId="77777777" w:rsidR="008C18EF" w:rsidRPr="003A0759" w:rsidRDefault="008C18EF" w:rsidP="00E30F56">
      <w:pPr>
        <w:spacing w:after="0" w:line="360" w:lineRule="auto"/>
        <w:ind w:right="49"/>
        <w:jc w:val="both"/>
        <w:rPr>
          <w:rFonts w:ascii="Palatino Linotype" w:eastAsia="Palatino Linotype" w:hAnsi="Palatino Linotype" w:cs="Palatino Linotype"/>
        </w:rPr>
      </w:pPr>
    </w:p>
    <w:p w14:paraId="19FEE330" w14:textId="77777777"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w:t>
      </w:r>
      <w:r w:rsidRPr="003A0759">
        <w:rPr>
          <w:rFonts w:ascii="Palatino Linotype" w:eastAsia="Palatino Linotype" w:hAnsi="Palatino Linotype" w:cs="Palatino Linotype"/>
          <w:b/>
          <w:i/>
        </w:rPr>
        <w:t>Artículo 3.</w:t>
      </w:r>
      <w:r w:rsidRPr="003A0759">
        <w:rPr>
          <w:rFonts w:ascii="Palatino Linotype" w:eastAsia="Palatino Linotype" w:hAnsi="Palatino Linotype" w:cs="Palatino Linotype"/>
          <w:i/>
        </w:rPr>
        <w:t xml:space="preserve"> Para los efectos de la presente Ley se entenderá por:</w:t>
      </w:r>
    </w:p>
    <w:p w14:paraId="625E5791" w14:textId="77777777"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w:t>
      </w:r>
    </w:p>
    <w:p w14:paraId="5852392E" w14:textId="77777777"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b/>
          <w:i/>
        </w:rPr>
        <w:t>XI. Documento:</w:t>
      </w:r>
      <w:r w:rsidRPr="003A0759">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5687BF1" w14:textId="77777777" w:rsidR="008C18EF" w:rsidRPr="003A0759" w:rsidRDefault="008C18EF" w:rsidP="00E30F56">
      <w:pPr>
        <w:spacing w:after="0" w:line="360" w:lineRule="auto"/>
        <w:ind w:right="49"/>
        <w:jc w:val="both"/>
        <w:rPr>
          <w:rFonts w:ascii="Palatino Linotype" w:eastAsia="Palatino Linotype" w:hAnsi="Palatino Linotype" w:cs="Palatino Linotype"/>
        </w:rPr>
      </w:pPr>
    </w:p>
    <w:p w14:paraId="4827B356" w14:textId="05B96B9F" w:rsidR="008C18EF" w:rsidRPr="003A0759" w:rsidRDefault="008C18EF"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617BC24" w14:textId="77777777" w:rsidR="008C18EF" w:rsidRPr="003A0759" w:rsidRDefault="008C18EF" w:rsidP="00297BAC">
      <w:pPr>
        <w:spacing w:after="0"/>
        <w:ind w:left="851" w:right="843"/>
        <w:jc w:val="both"/>
        <w:rPr>
          <w:rFonts w:ascii="Palatino Linotype" w:eastAsia="Palatino Linotype" w:hAnsi="Palatino Linotype" w:cs="Palatino Linotype"/>
          <w:b/>
          <w:i/>
        </w:rPr>
      </w:pPr>
      <w:r w:rsidRPr="003A0759">
        <w:rPr>
          <w:rFonts w:ascii="Palatino Linotype" w:eastAsia="Palatino Linotype" w:hAnsi="Palatino Linotype" w:cs="Palatino Linotype"/>
          <w:i/>
        </w:rPr>
        <w:t>“</w:t>
      </w:r>
      <w:r w:rsidRPr="003A0759">
        <w:rPr>
          <w:rFonts w:ascii="Palatino Linotype" w:eastAsia="Palatino Linotype" w:hAnsi="Palatino Linotype" w:cs="Palatino Linotype"/>
          <w:b/>
          <w:i/>
        </w:rPr>
        <w:t>CRITERIO 0002-11</w:t>
      </w:r>
    </w:p>
    <w:p w14:paraId="47997902" w14:textId="77777777"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3A0759">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5C429F3" w14:textId="77777777"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En consecuencia el acceso a la información se refiere a que se cumplan cualquiera de los siguientes tres supuestos:</w:t>
      </w:r>
    </w:p>
    <w:p w14:paraId="318A4285" w14:textId="77777777"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1)</w:t>
      </w:r>
      <w:r w:rsidRPr="003A0759">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2026A9BB" w14:textId="77777777"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2)</w:t>
      </w:r>
      <w:r w:rsidRPr="003A0759">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064A345E" w14:textId="77777777" w:rsidR="008C18EF" w:rsidRPr="003A0759" w:rsidRDefault="008C18EF" w:rsidP="00297BAC">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67C7ADEC" w14:textId="77777777" w:rsidR="008C18EF" w:rsidRPr="003A0759" w:rsidRDefault="008C18EF" w:rsidP="00E30F56">
      <w:pPr>
        <w:spacing w:after="0" w:line="360" w:lineRule="auto"/>
        <w:ind w:right="49"/>
        <w:jc w:val="both"/>
        <w:rPr>
          <w:rFonts w:ascii="Palatino Linotype" w:eastAsia="Palatino Linotype" w:hAnsi="Palatino Linotype" w:cs="Palatino Linotype"/>
        </w:rPr>
      </w:pPr>
    </w:p>
    <w:p w14:paraId="72682447" w14:textId="77777777" w:rsidR="008C18EF" w:rsidRPr="003A0759" w:rsidRDefault="008C18EF"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2044A710" w14:textId="77777777" w:rsidR="008C18EF" w:rsidRPr="003A0759" w:rsidRDefault="008C18EF" w:rsidP="00E30F56">
      <w:pPr>
        <w:spacing w:after="0" w:line="360" w:lineRule="auto"/>
        <w:ind w:right="49"/>
        <w:jc w:val="both"/>
        <w:rPr>
          <w:rFonts w:ascii="Palatino Linotype" w:eastAsia="Palatino Linotype" w:hAnsi="Palatino Linotype" w:cs="Palatino Linotype"/>
        </w:rPr>
      </w:pPr>
    </w:p>
    <w:p w14:paraId="04C9E09D" w14:textId="5948319A" w:rsidR="008C18EF" w:rsidRPr="003A0759" w:rsidRDefault="008C18EF"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De las actuaciones que integran el expediente electrónico, se procede al análisis de los agravios hechos valer por el Recurrente, relativos a la negativa de entrega de la información,</w:t>
      </w:r>
      <w:r w:rsidR="00DD03DD" w:rsidRPr="003A0759">
        <w:rPr>
          <w:rFonts w:ascii="Palatino Linotype" w:eastAsia="Palatino Linotype" w:hAnsi="Palatino Linotype" w:cs="Palatino Linotype"/>
        </w:rPr>
        <w:t xml:space="preserve"> la clasificación de la información y la entrega de información incompleta,</w:t>
      </w:r>
      <w:r w:rsidRPr="003A0759">
        <w:rPr>
          <w:rFonts w:ascii="Palatino Linotype" w:eastAsia="Palatino Linotype" w:hAnsi="Palatino Linotype" w:cs="Palatino Linotype"/>
        </w:rPr>
        <w:t xml:space="preserve"> lo que actualiza la causal de procedencia prevista</w:t>
      </w:r>
      <w:r w:rsidR="00DD03DD" w:rsidRPr="003A0759">
        <w:rPr>
          <w:rFonts w:ascii="Palatino Linotype" w:eastAsia="Palatino Linotype" w:hAnsi="Palatino Linotype" w:cs="Palatino Linotype"/>
        </w:rPr>
        <w:t xml:space="preserve"> en la fracción I</w:t>
      </w:r>
      <w:r w:rsidR="00C05466" w:rsidRPr="003A0759">
        <w:rPr>
          <w:rFonts w:ascii="Palatino Linotype" w:eastAsia="Palatino Linotype" w:hAnsi="Palatino Linotype" w:cs="Palatino Linotype"/>
        </w:rPr>
        <w:t xml:space="preserve"> </w:t>
      </w:r>
      <w:r w:rsidRPr="003A0759">
        <w:rPr>
          <w:rFonts w:ascii="Palatino Linotype" w:eastAsia="Palatino Linotype" w:hAnsi="Palatino Linotype" w:cs="Palatino Linotype"/>
        </w:rPr>
        <w:t>del artículo 179 de la Ley de Transparencia y Acceso a la Información Pública del Estado de México y Municipios.</w:t>
      </w:r>
    </w:p>
    <w:p w14:paraId="14D372FF" w14:textId="77777777" w:rsidR="001E29C2" w:rsidRPr="003A0759" w:rsidRDefault="001E29C2" w:rsidP="00E30F56">
      <w:pPr>
        <w:spacing w:after="0" w:line="360" w:lineRule="auto"/>
        <w:ind w:right="49"/>
        <w:jc w:val="both"/>
        <w:rPr>
          <w:rFonts w:ascii="Palatino Linotype" w:eastAsia="Palatino Linotype" w:hAnsi="Palatino Linotype" w:cs="Palatino Linotype"/>
        </w:rPr>
      </w:pPr>
    </w:p>
    <w:p w14:paraId="5C455CD3" w14:textId="384B27F9" w:rsidR="00C05466" w:rsidRPr="003A0759" w:rsidRDefault="00DB726D"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Para iniciar el presente análisis, es de vital importancia tener en cuenta que la parte </w:t>
      </w:r>
      <w:r w:rsidRPr="003A0759">
        <w:rPr>
          <w:rFonts w:ascii="Palatino Linotype" w:eastAsia="Palatino Linotype" w:hAnsi="Palatino Linotype" w:cs="Palatino Linotype"/>
          <w:b/>
          <w:bCs/>
        </w:rPr>
        <w:t>Recurrente</w:t>
      </w:r>
      <w:r w:rsidRPr="003A0759">
        <w:rPr>
          <w:rFonts w:ascii="Palatino Linotype" w:eastAsia="Palatino Linotype" w:hAnsi="Palatino Linotype" w:cs="Palatino Linotype"/>
        </w:rPr>
        <w:t>, requirió lo siguiente:</w:t>
      </w:r>
      <w:r w:rsidR="00DD03DD" w:rsidRPr="003A0759">
        <w:rPr>
          <w:rFonts w:ascii="Palatino Linotype" w:eastAsia="Palatino Linotype" w:hAnsi="Palatino Linotype" w:cs="Palatino Linotype"/>
        </w:rPr>
        <w:t xml:space="preserve"> </w:t>
      </w:r>
    </w:p>
    <w:p w14:paraId="76C42B68" w14:textId="77777777" w:rsidR="00C05466" w:rsidRPr="003A0759" w:rsidRDefault="00C05466" w:rsidP="00E30F56">
      <w:pPr>
        <w:spacing w:after="0" w:line="360" w:lineRule="auto"/>
        <w:ind w:right="49"/>
        <w:jc w:val="both"/>
        <w:rPr>
          <w:rFonts w:ascii="Palatino Linotype" w:eastAsia="Palatino Linotype" w:hAnsi="Palatino Linotype" w:cs="Palatino Linotype"/>
        </w:rPr>
      </w:pPr>
      <w:bookmarkStart w:id="6" w:name="_Hlk213099340"/>
    </w:p>
    <w:p w14:paraId="519CDD92" w14:textId="74D0356C" w:rsidR="00C05466" w:rsidRPr="003A0759" w:rsidRDefault="00C05466" w:rsidP="00E30F56">
      <w:pPr>
        <w:pStyle w:val="Prrafodelista"/>
        <w:numPr>
          <w:ilvl w:val="0"/>
          <w:numId w:val="16"/>
        </w:numPr>
        <w:spacing w:after="0" w:line="360" w:lineRule="auto"/>
        <w:ind w:right="49"/>
        <w:jc w:val="both"/>
        <w:rPr>
          <w:rFonts w:ascii="Palatino Linotype" w:eastAsia="Palatino Linotype" w:hAnsi="Palatino Linotype" w:cs="Palatino Linotype"/>
          <w:b/>
        </w:rPr>
      </w:pPr>
      <w:r w:rsidRPr="003A0759">
        <w:rPr>
          <w:rFonts w:ascii="Palatino Linotype" w:eastAsia="Palatino Linotype" w:hAnsi="Palatino Linotype" w:cs="Palatino Linotype"/>
          <w:b/>
        </w:rPr>
        <w:t xml:space="preserve">De los integrantes de cabildo, directores generales, coordinadores, directores de área, titulares </w:t>
      </w:r>
      <w:r w:rsidR="00DB726D" w:rsidRPr="003A0759">
        <w:rPr>
          <w:rFonts w:ascii="Palatino Linotype" w:eastAsia="Palatino Linotype" w:hAnsi="Palatino Linotype" w:cs="Palatino Linotype"/>
          <w:b/>
        </w:rPr>
        <w:t xml:space="preserve">de las áreas </w:t>
      </w:r>
      <w:r w:rsidRPr="003A0759">
        <w:rPr>
          <w:rFonts w:ascii="Palatino Linotype" w:eastAsia="Palatino Linotype" w:hAnsi="Palatino Linotype" w:cs="Palatino Linotype"/>
          <w:b/>
        </w:rPr>
        <w:t xml:space="preserve">y presidente municipal. </w:t>
      </w:r>
    </w:p>
    <w:p w14:paraId="2E5DD3C2" w14:textId="2DC61A30" w:rsidR="00C05466" w:rsidRPr="003A0759" w:rsidRDefault="00C05466" w:rsidP="00E30F56">
      <w:pPr>
        <w:pStyle w:val="Prrafodelista"/>
        <w:numPr>
          <w:ilvl w:val="0"/>
          <w:numId w:val="17"/>
        </w:num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b/>
          <w:bCs/>
        </w:rPr>
        <w:t>Los</w:t>
      </w:r>
      <w:r w:rsidRPr="003A0759">
        <w:rPr>
          <w:rFonts w:ascii="Palatino Linotype" w:eastAsia="Palatino Linotype" w:hAnsi="Palatino Linotype" w:cs="Palatino Linotype"/>
        </w:rPr>
        <w:t xml:space="preserve"> </w:t>
      </w:r>
      <w:r w:rsidRPr="003A0759">
        <w:rPr>
          <w:rFonts w:ascii="Palatino Linotype" w:eastAsia="Palatino Linotype" w:hAnsi="Palatino Linotype" w:cs="Palatino Linotype"/>
          <w:b/>
        </w:rPr>
        <w:t xml:space="preserve">recibos de aguinaldo y prima vacacional del primer semestre de 2024 y 2025. </w:t>
      </w:r>
    </w:p>
    <w:bookmarkEnd w:id="6"/>
    <w:p w14:paraId="4A12B003" w14:textId="77777777" w:rsidR="00C05466" w:rsidRPr="003A0759" w:rsidRDefault="00C05466" w:rsidP="00E30F56">
      <w:pPr>
        <w:spacing w:after="0" w:line="360" w:lineRule="auto"/>
        <w:ind w:right="49"/>
        <w:jc w:val="both"/>
        <w:rPr>
          <w:rFonts w:ascii="Palatino Linotype" w:eastAsia="Palatino Linotype" w:hAnsi="Palatino Linotype" w:cs="Palatino Linotype"/>
        </w:rPr>
      </w:pPr>
    </w:p>
    <w:p w14:paraId="6AE56828" w14:textId="77777777" w:rsidR="00000966" w:rsidRPr="003A0759" w:rsidRDefault="00DB726D" w:rsidP="00E30F56">
      <w:pP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En respuesta, el </w:t>
      </w:r>
      <w:r w:rsidRPr="003A0759">
        <w:rPr>
          <w:rFonts w:ascii="Palatino Linotype" w:eastAsia="Palatino Linotype" w:hAnsi="Palatino Linotype" w:cs="Palatino Linotype"/>
          <w:b/>
        </w:rPr>
        <w:t>Sujeto Obligado</w:t>
      </w:r>
      <w:r w:rsidRPr="003A0759">
        <w:rPr>
          <w:rFonts w:ascii="Palatino Linotype" w:eastAsia="Palatino Linotype" w:hAnsi="Palatino Linotype" w:cs="Palatino Linotype"/>
        </w:rPr>
        <w:t xml:space="preserve"> a través de la Dirección de Recursos Humanos adscrita a la Dirección General de Administración informó que después del análisis de la información solicitada, esta podrá consultarla en la página de internet: </w:t>
      </w:r>
    </w:p>
    <w:p w14:paraId="3134BA67" w14:textId="77777777" w:rsidR="00B05523" w:rsidRPr="003A0759" w:rsidRDefault="00B05523" w:rsidP="00E30F56">
      <w:pPr>
        <w:spacing w:after="0" w:line="360" w:lineRule="auto"/>
        <w:jc w:val="both"/>
        <w:rPr>
          <w:rFonts w:ascii="Palatino Linotype" w:eastAsia="Palatino Linotype" w:hAnsi="Palatino Linotype" w:cs="Palatino Linotype"/>
        </w:rPr>
      </w:pPr>
    </w:p>
    <w:p w14:paraId="678EBE46" w14:textId="27044C07" w:rsidR="00DB726D" w:rsidRPr="003A0759" w:rsidRDefault="00000966" w:rsidP="00E30F56">
      <w:pPr>
        <w:spacing w:after="0" w:line="360" w:lineRule="auto"/>
        <w:jc w:val="center"/>
        <w:rPr>
          <w:rFonts w:ascii="Palatino Linotype" w:eastAsia="Palatino Linotype" w:hAnsi="Palatino Linotype" w:cs="Palatino Linotype"/>
        </w:rPr>
      </w:pPr>
      <w:r w:rsidRPr="003A0759">
        <w:rPr>
          <w:rFonts w:ascii="Palatino Linotype" w:eastAsia="Palatino Linotype" w:hAnsi="Palatino Linotype" w:cs="Palatino Linotype"/>
          <w:noProof/>
          <w:lang w:eastAsia="es-MX"/>
        </w:rPr>
        <w:drawing>
          <wp:inline distT="0" distB="0" distL="0" distR="0" wp14:anchorId="0B2D5F50" wp14:editId="66AE40F3">
            <wp:extent cx="4572638" cy="200053"/>
            <wp:effectExtent l="0" t="0" r="0" b="9525"/>
            <wp:docPr id="2991295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129548" name=""/>
                    <pic:cNvPicPr/>
                  </pic:nvPicPr>
                  <pic:blipFill>
                    <a:blip r:embed="rId10"/>
                    <a:stretch>
                      <a:fillRect/>
                    </a:stretch>
                  </pic:blipFill>
                  <pic:spPr>
                    <a:xfrm>
                      <a:off x="0" y="0"/>
                      <a:ext cx="4572638" cy="200053"/>
                    </a:xfrm>
                    <a:prstGeom prst="rect">
                      <a:avLst/>
                    </a:prstGeom>
                  </pic:spPr>
                </pic:pic>
              </a:graphicData>
            </a:graphic>
          </wp:inline>
        </w:drawing>
      </w:r>
    </w:p>
    <w:p w14:paraId="55152CFF" w14:textId="77777777" w:rsidR="00297BAC" w:rsidRPr="003A0759" w:rsidRDefault="00297BAC" w:rsidP="00E30F56">
      <w:pPr>
        <w:spacing w:after="0" w:line="360" w:lineRule="auto"/>
        <w:jc w:val="both"/>
        <w:rPr>
          <w:rFonts w:ascii="Palatino Linotype" w:eastAsia="Palatino Linotype" w:hAnsi="Palatino Linotype" w:cs="Palatino Linotype"/>
        </w:rPr>
      </w:pPr>
    </w:p>
    <w:p w14:paraId="6585234F" w14:textId="29828576" w:rsidR="00DB726D" w:rsidRPr="003A0759" w:rsidRDefault="00DB726D" w:rsidP="00E30F56">
      <w:pP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Una vez conocidas las respuestas, </w:t>
      </w:r>
      <w:r w:rsidRPr="003A0759">
        <w:rPr>
          <w:rFonts w:ascii="Palatino Linotype" w:eastAsia="Palatino Linotype" w:hAnsi="Palatino Linotype" w:cs="Palatino Linotype"/>
          <w:bCs/>
        </w:rPr>
        <w:t>la parte</w:t>
      </w:r>
      <w:r w:rsidRPr="003A0759">
        <w:rPr>
          <w:rFonts w:ascii="Palatino Linotype" w:eastAsia="Palatino Linotype" w:hAnsi="Palatino Linotype" w:cs="Palatino Linotype"/>
          <w:b/>
        </w:rPr>
        <w:t xml:space="preserve"> Recurrente</w:t>
      </w:r>
      <w:r w:rsidRPr="003A0759">
        <w:rPr>
          <w:rFonts w:ascii="Palatino Linotype" w:eastAsia="Palatino Linotype" w:hAnsi="Palatino Linotype" w:cs="Palatino Linotype"/>
        </w:rPr>
        <w:t xml:space="preserve"> interpuso los recursos de revisión que en este acto se resuelven, inconformándose medularmente por la negativa a la información solicitada. </w:t>
      </w:r>
    </w:p>
    <w:p w14:paraId="286C10F9" w14:textId="77777777" w:rsidR="00297BAC" w:rsidRPr="003A0759" w:rsidRDefault="00297BAC" w:rsidP="00E30F56">
      <w:pPr>
        <w:spacing w:after="0" w:line="360" w:lineRule="auto"/>
        <w:jc w:val="both"/>
        <w:rPr>
          <w:rFonts w:ascii="Palatino Linotype" w:eastAsia="Palatino Linotype" w:hAnsi="Palatino Linotype" w:cs="Palatino Linotype"/>
        </w:rPr>
      </w:pPr>
    </w:p>
    <w:p w14:paraId="662688D3" w14:textId="631FDE9C" w:rsidR="00DB726D" w:rsidRPr="003A0759" w:rsidRDefault="00DB726D" w:rsidP="00E30F56">
      <w:pP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Posteriormente se decretó la admisión de los medios de impugnación que nos ocupan y se integraron los respectivos expedientes, teniendo así que el </w:t>
      </w:r>
      <w:r w:rsidRPr="003A0759">
        <w:rPr>
          <w:rFonts w:ascii="Palatino Linotype" w:eastAsia="Palatino Linotype" w:hAnsi="Palatino Linotype" w:cs="Palatino Linotype"/>
          <w:b/>
        </w:rPr>
        <w:t xml:space="preserve">Sujeto Obligado </w:t>
      </w:r>
      <w:r w:rsidRPr="003A0759">
        <w:rPr>
          <w:rFonts w:ascii="Palatino Linotype" w:eastAsia="Palatino Linotype" w:hAnsi="Palatino Linotype" w:cs="Palatino Linotype"/>
        </w:rPr>
        <w:t>en su</w:t>
      </w:r>
      <w:r w:rsidR="00B05523" w:rsidRPr="003A0759">
        <w:rPr>
          <w:rFonts w:ascii="Palatino Linotype" w:eastAsia="Palatino Linotype" w:hAnsi="Palatino Linotype" w:cs="Palatino Linotype"/>
        </w:rPr>
        <w:t>s informes justificados ratificó</w:t>
      </w:r>
      <w:r w:rsidRPr="003A0759">
        <w:rPr>
          <w:rFonts w:ascii="Palatino Linotype" w:eastAsia="Palatino Linotype" w:hAnsi="Palatino Linotype" w:cs="Palatino Linotype"/>
        </w:rPr>
        <w:t xml:space="preserve"> su respuesta inicial. </w:t>
      </w:r>
    </w:p>
    <w:p w14:paraId="54D3EE3B" w14:textId="77777777" w:rsidR="00297BAC" w:rsidRPr="003A0759" w:rsidRDefault="00297BAC" w:rsidP="00E30F56">
      <w:pPr>
        <w:widowControl w:val="0"/>
        <w:tabs>
          <w:tab w:val="left" w:pos="1701"/>
          <w:tab w:val="left" w:pos="1843"/>
        </w:tabs>
        <w:spacing w:after="0" w:line="360" w:lineRule="auto"/>
        <w:jc w:val="both"/>
        <w:rPr>
          <w:rFonts w:ascii="Palatino Linotype" w:eastAsia="Palatino Linotype" w:hAnsi="Palatino Linotype" w:cs="Palatino Linotype"/>
        </w:rPr>
      </w:pPr>
    </w:p>
    <w:p w14:paraId="2AF55756" w14:textId="74CD02A6" w:rsidR="00000966" w:rsidRPr="003A0759" w:rsidRDefault="00000966" w:rsidP="00E30F56">
      <w:pPr>
        <w:widowControl w:val="0"/>
        <w:tabs>
          <w:tab w:val="left" w:pos="1701"/>
          <w:tab w:val="left" w:pos="1843"/>
        </w:tabs>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Previo al análisis de las respuestas es necesario precisar que el artículo 90 del Bando Municipal del Ayuntamiento de Toluca vigente, establece que, para el despacho, estudio y planeación de los diversos asuntos de la administración municipal, el </w:t>
      </w:r>
      <w:r w:rsidRPr="003A0759">
        <w:rPr>
          <w:rFonts w:ascii="Palatino Linotype" w:eastAsia="Palatino Linotype" w:hAnsi="Palatino Linotype" w:cs="Palatino Linotype"/>
          <w:b/>
        </w:rPr>
        <w:t>Sujeto Obligado</w:t>
      </w:r>
      <w:r w:rsidRPr="003A0759">
        <w:rPr>
          <w:rFonts w:ascii="Palatino Linotype" w:eastAsia="Palatino Linotype" w:hAnsi="Palatino Linotype" w:cs="Palatino Linotype"/>
        </w:rPr>
        <w:t xml:space="preserve"> contará con una Dirección General de Administración, tal y como se muestra a continuación: </w:t>
      </w:r>
    </w:p>
    <w:p w14:paraId="61673C1A" w14:textId="77777777" w:rsidR="00297BAC" w:rsidRPr="003A0759" w:rsidRDefault="00297BAC" w:rsidP="00E30F56">
      <w:pPr>
        <w:pBdr>
          <w:top w:val="nil"/>
          <w:left w:val="nil"/>
          <w:bottom w:val="nil"/>
          <w:right w:val="nil"/>
          <w:between w:val="nil"/>
        </w:pBdr>
        <w:tabs>
          <w:tab w:val="left" w:pos="709"/>
        </w:tabs>
        <w:spacing w:after="0"/>
        <w:ind w:left="851" w:right="616"/>
        <w:jc w:val="both"/>
        <w:rPr>
          <w:rFonts w:ascii="Palatino Linotype" w:eastAsia="Palatino Linotype" w:hAnsi="Palatino Linotype" w:cs="Palatino Linotype"/>
          <w:i/>
        </w:rPr>
      </w:pPr>
    </w:p>
    <w:p w14:paraId="090C3E0C" w14:textId="77777777" w:rsidR="00000966" w:rsidRPr="003A0759" w:rsidRDefault="00000966" w:rsidP="00297BAC">
      <w:pPr>
        <w:pBdr>
          <w:top w:val="nil"/>
          <w:left w:val="nil"/>
          <w:bottom w:val="nil"/>
          <w:right w:val="nil"/>
          <w:between w:val="nil"/>
        </w:pBdr>
        <w:tabs>
          <w:tab w:val="left" w:pos="709"/>
        </w:tabs>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w:t>
      </w:r>
      <w:r w:rsidRPr="003A0759">
        <w:rPr>
          <w:rFonts w:ascii="Palatino Linotype" w:eastAsia="Palatino Linotype" w:hAnsi="Palatino Linotype" w:cs="Palatino Linotype"/>
          <w:b/>
          <w:i/>
        </w:rPr>
        <w:t xml:space="preserve">Artículo 90. </w:t>
      </w:r>
      <w:r w:rsidRPr="003A0759">
        <w:rPr>
          <w:rFonts w:ascii="Palatino Linotype" w:eastAsia="Palatino Linotype" w:hAnsi="Palatino Linotype" w:cs="Palatino Linotype"/>
          <w:i/>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14:paraId="35B50ED4" w14:textId="77777777" w:rsidR="00000966" w:rsidRPr="003A0759" w:rsidRDefault="00000966" w:rsidP="00297BAC">
      <w:pPr>
        <w:pBdr>
          <w:top w:val="nil"/>
          <w:left w:val="nil"/>
          <w:bottom w:val="nil"/>
          <w:right w:val="nil"/>
          <w:between w:val="nil"/>
        </w:pBdr>
        <w:tabs>
          <w:tab w:val="left" w:pos="709"/>
        </w:tabs>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I. DEPENDENCIAS:</w:t>
      </w:r>
    </w:p>
    <w:p w14:paraId="7E06A4E4" w14:textId="77777777" w:rsidR="00000966" w:rsidRPr="003A0759" w:rsidRDefault="00000966" w:rsidP="00297BAC">
      <w:pPr>
        <w:pBdr>
          <w:top w:val="nil"/>
          <w:left w:val="nil"/>
          <w:bottom w:val="nil"/>
          <w:right w:val="nil"/>
          <w:between w:val="nil"/>
        </w:pBdr>
        <w:tabs>
          <w:tab w:val="left" w:pos="709"/>
        </w:tabs>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1. Secretaría del Ayuntamiento;</w:t>
      </w:r>
    </w:p>
    <w:p w14:paraId="5FF0C2C6" w14:textId="77777777" w:rsidR="00000966" w:rsidRPr="003A0759" w:rsidRDefault="00000966" w:rsidP="00297BAC">
      <w:pPr>
        <w:pBdr>
          <w:top w:val="nil"/>
          <w:left w:val="nil"/>
          <w:bottom w:val="nil"/>
          <w:right w:val="nil"/>
          <w:between w:val="nil"/>
        </w:pBdr>
        <w:tabs>
          <w:tab w:val="left" w:pos="709"/>
        </w:tabs>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2. Tesorería Municipal;</w:t>
      </w:r>
    </w:p>
    <w:p w14:paraId="326D2130" w14:textId="77777777" w:rsidR="00000966" w:rsidRPr="003A0759" w:rsidRDefault="00000966" w:rsidP="00297BAC">
      <w:pPr>
        <w:pBdr>
          <w:top w:val="nil"/>
          <w:left w:val="nil"/>
          <w:bottom w:val="nil"/>
          <w:right w:val="nil"/>
          <w:between w:val="nil"/>
        </w:pBdr>
        <w:tabs>
          <w:tab w:val="left" w:pos="709"/>
        </w:tabs>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3. Órgano Interno de Control;</w:t>
      </w:r>
    </w:p>
    <w:p w14:paraId="1F9F0090" w14:textId="77777777" w:rsidR="00000966" w:rsidRPr="003A0759" w:rsidRDefault="00000966" w:rsidP="00297BAC">
      <w:pPr>
        <w:pBdr>
          <w:top w:val="nil"/>
          <w:left w:val="nil"/>
          <w:bottom w:val="nil"/>
          <w:right w:val="nil"/>
          <w:between w:val="nil"/>
        </w:pBdr>
        <w:tabs>
          <w:tab w:val="left" w:pos="709"/>
        </w:tabs>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4. Dirección General de Gobierno;</w:t>
      </w:r>
    </w:p>
    <w:p w14:paraId="31E54AC9" w14:textId="77777777" w:rsidR="00000966" w:rsidRPr="003A0759" w:rsidRDefault="00000966" w:rsidP="00297BAC">
      <w:pPr>
        <w:pBdr>
          <w:top w:val="nil"/>
          <w:left w:val="nil"/>
          <w:bottom w:val="nil"/>
          <w:right w:val="nil"/>
          <w:between w:val="nil"/>
        </w:pBdr>
        <w:tabs>
          <w:tab w:val="left" w:pos="709"/>
        </w:tabs>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5. Dirección General de Seguridad y Protección;</w:t>
      </w:r>
    </w:p>
    <w:p w14:paraId="4472DCE2" w14:textId="77777777" w:rsidR="00000966" w:rsidRPr="003A0759" w:rsidRDefault="00000966" w:rsidP="00297BAC">
      <w:pPr>
        <w:pBdr>
          <w:top w:val="nil"/>
          <w:left w:val="nil"/>
          <w:bottom w:val="nil"/>
          <w:right w:val="nil"/>
          <w:between w:val="nil"/>
        </w:pBdr>
        <w:tabs>
          <w:tab w:val="left" w:pos="709"/>
        </w:tabs>
        <w:spacing w:after="0"/>
        <w:ind w:left="851" w:right="843"/>
        <w:jc w:val="both"/>
        <w:rPr>
          <w:rFonts w:ascii="Palatino Linotype" w:eastAsia="Palatino Linotype" w:hAnsi="Palatino Linotype" w:cs="Palatino Linotype"/>
          <w:b/>
          <w:i/>
          <w:u w:val="single"/>
        </w:rPr>
      </w:pPr>
      <w:r w:rsidRPr="003A0759">
        <w:rPr>
          <w:rFonts w:ascii="Palatino Linotype" w:eastAsia="Palatino Linotype" w:hAnsi="Palatino Linotype" w:cs="Palatino Linotype"/>
          <w:b/>
          <w:i/>
          <w:u w:val="single"/>
        </w:rPr>
        <w:t>6. Dirección General de Administración;</w:t>
      </w:r>
    </w:p>
    <w:p w14:paraId="0590981B" w14:textId="77777777" w:rsidR="00000966" w:rsidRPr="003A0759" w:rsidRDefault="00000966" w:rsidP="00297BAC">
      <w:pPr>
        <w:pBdr>
          <w:top w:val="nil"/>
          <w:left w:val="nil"/>
          <w:bottom w:val="nil"/>
          <w:right w:val="nil"/>
          <w:between w:val="nil"/>
        </w:pBdr>
        <w:tabs>
          <w:tab w:val="left" w:pos="709"/>
        </w:tabs>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7. Dirección General de Medio Ambiente;</w:t>
      </w:r>
    </w:p>
    <w:p w14:paraId="1727FAA9" w14:textId="77777777" w:rsidR="00000966" w:rsidRPr="003A0759" w:rsidRDefault="00000966" w:rsidP="00297BAC">
      <w:pPr>
        <w:pBdr>
          <w:top w:val="nil"/>
          <w:left w:val="nil"/>
          <w:bottom w:val="nil"/>
          <w:right w:val="nil"/>
          <w:between w:val="nil"/>
        </w:pBdr>
        <w:tabs>
          <w:tab w:val="left" w:pos="709"/>
        </w:tabs>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8. Dirección General de Servicios Públicos;</w:t>
      </w:r>
    </w:p>
    <w:p w14:paraId="73C7D75E" w14:textId="77777777" w:rsidR="00000966" w:rsidRPr="003A0759" w:rsidRDefault="00000966" w:rsidP="00297BAC">
      <w:pPr>
        <w:pBdr>
          <w:top w:val="nil"/>
          <w:left w:val="nil"/>
          <w:bottom w:val="nil"/>
          <w:right w:val="nil"/>
          <w:between w:val="nil"/>
        </w:pBdr>
        <w:tabs>
          <w:tab w:val="left" w:pos="709"/>
        </w:tabs>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9. Dirección General de Innovación, Planeación y Gestión Urbana;</w:t>
      </w:r>
    </w:p>
    <w:p w14:paraId="549E3745" w14:textId="77777777" w:rsidR="00000966" w:rsidRPr="003A0759" w:rsidRDefault="00000966" w:rsidP="00297BAC">
      <w:pPr>
        <w:pBdr>
          <w:top w:val="nil"/>
          <w:left w:val="nil"/>
          <w:bottom w:val="nil"/>
          <w:right w:val="nil"/>
          <w:between w:val="nil"/>
        </w:pBdr>
        <w:tabs>
          <w:tab w:val="left" w:pos="709"/>
        </w:tabs>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10. Dirección General de Obras Públicas;</w:t>
      </w:r>
    </w:p>
    <w:p w14:paraId="54BB314D" w14:textId="77777777" w:rsidR="00000966" w:rsidRPr="003A0759" w:rsidRDefault="00000966" w:rsidP="00297BAC">
      <w:pPr>
        <w:pBdr>
          <w:top w:val="nil"/>
          <w:left w:val="nil"/>
          <w:bottom w:val="nil"/>
          <w:right w:val="nil"/>
          <w:between w:val="nil"/>
        </w:pBdr>
        <w:tabs>
          <w:tab w:val="left" w:pos="709"/>
        </w:tabs>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11. Dirección General de Desarrollo Económico;</w:t>
      </w:r>
    </w:p>
    <w:p w14:paraId="2C5F2BA5" w14:textId="77777777" w:rsidR="00000966" w:rsidRPr="003A0759" w:rsidRDefault="00000966" w:rsidP="00297BAC">
      <w:pPr>
        <w:pBdr>
          <w:top w:val="nil"/>
          <w:left w:val="nil"/>
          <w:bottom w:val="nil"/>
          <w:right w:val="nil"/>
          <w:between w:val="nil"/>
        </w:pBdr>
        <w:tabs>
          <w:tab w:val="left" w:pos="709"/>
        </w:tabs>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12. Dirección General de Bienestar; y</w:t>
      </w:r>
    </w:p>
    <w:p w14:paraId="5A1A1628" w14:textId="77777777" w:rsidR="00000966" w:rsidRPr="003A0759" w:rsidRDefault="00000966" w:rsidP="00297BAC">
      <w:pPr>
        <w:pBdr>
          <w:top w:val="nil"/>
          <w:left w:val="nil"/>
          <w:bottom w:val="nil"/>
          <w:right w:val="nil"/>
          <w:between w:val="nil"/>
        </w:pBdr>
        <w:tabs>
          <w:tab w:val="left" w:pos="709"/>
        </w:tabs>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13.Dirección General de Educación, Cultura y Turismo…”</w:t>
      </w:r>
    </w:p>
    <w:p w14:paraId="35D0E5BB" w14:textId="77777777" w:rsidR="00000966" w:rsidRPr="003A0759" w:rsidRDefault="00000966" w:rsidP="00297BAC">
      <w:pPr>
        <w:pBdr>
          <w:top w:val="nil"/>
          <w:left w:val="nil"/>
          <w:bottom w:val="nil"/>
          <w:right w:val="nil"/>
          <w:between w:val="nil"/>
        </w:pBdr>
        <w:tabs>
          <w:tab w:val="left" w:pos="709"/>
        </w:tabs>
        <w:spacing w:after="0"/>
        <w:ind w:left="851" w:right="843"/>
        <w:jc w:val="both"/>
        <w:rPr>
          <w:rFonts w:ascii="Palatino Linotype" w:eastAsia="Palatino Linotype" w:hAnsi="Palatino Linotype" w:cs="Palatino Linotype"/>
        </w:rPr>
      </w:pPr>
      <w:r w:rsidRPr="003A0759">
        <w:rPr>
          <w:rFonts w:ascii="Palatino Linotype" w:eastAsia="Palatino Linotype" w:hAnsi="Palatino Linotype" w:cs="Palatino Linotype"/>
          <w:i/>
        </w:rPr>
        <w:t>(Énfasis Añadido</w:t>
      </w:r>
      <w:r w:rsidRPr="003A0759">
        <w:rPr>
          <w:rFonts w:ascii="Palatino Linotype" w:eastAsia="Palatino Linotype" w:hAnsi="Palatino Linotype" w:cs="Palatino Linotype"/>
        </w:rPr>
        <w:t>)</w:t>
      </w:r>
    </w:p>
    <w:p w14:paraId="2A0A11AC" w14:textId="77777777" w:rsidR="00000966" w:rsidRPr="003A0759" w:rsidRDefault="00000966" w:rsidP="00E30F56">
      <w:pPr>
        <w:pBdr>
          <w:top w:val="nil"/>
          <w:left w:val="nil"/>
          <w:bottom w:val="nil"/>
          <w:right w:val="nil"/>
          <w:between w:val="nil"/>
        </w:pBdr>
        <w:tabs>
          <w:tab w:val="left" w:pos="709"/>
        </w:tabs>
        <w:spacing w:after="0"/>
        <w:ind w:left="851" w:right="616"/>
        <w:jc w:val="both"/>
        <w:rPr>
          <w:rFonts w:ascii="Palatino Linotype" w:eastAsia="Palatino Linotype" w:hAnsi="Palatino Linotype" w:cs="Palatino Linotype"/>
        </w:rPr>
      </w:pPr>
    </w:p>
    <w:p w14:paraId="5F54CC0C" w14:textId="77777777" w:rsidR="00000966" w:rsidRPr="003A0759" w:rsidRDefault="00000966" w:rsidP="00E30F56">
      <w:pPr>
        <w:pBdr>
          <w:top w:val="nil"/>
          <w:left w:val="nil"/>
          <w:bottom w:val="nil"/>
          <w:right w:val="nil"/>
          <w:between w:val="nil"/>
        </w:pBd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En esa tesitura, el artículo 3.31 del Código Reglamentario Municipal de Toluca refiere que la Dirección General de Administración tiene las siguientes atribuciones: </w:t>
      </w:r>
    </w:p>
    <w:p w14:paraId="088AC8C6" w14:textId="77777777" w:rsidR="00297BAC" w:rsidRPr="003A0759" w:rsidRDefault="00297BAC" w:rsidP="00E30F56">
      <w:pPr>
        <w:pBdr>
          <w:top w:val="nil"/>
          <w:left w:val="nil"/>
          <w:bottom w:val="nil"/>
          <w:right w:val="nil"/>
          <w:between w:val="nil"/>
        </w:pBdr>
        <w:spacing w:after="0"/>
        <w:ind w:left="851" w:right="616"/>
        <w:jc w:val="both"/>
        <w:rPr>
          <w:rFonts w:ascii="Palatino Linotype" w:eastAsia="Palatino Linotype" w:hAnsi="Palatino Linotype" w:cs="Palatino Linotype"/>
          <w:i/>
        </w:rPr>
      </w:pPr>
    </w:p>
    <w:p w14:paraId="484001E6" w14:textId="77777777" w:rsidR="00000966" w:rsidRPr="003A0759" w:rsidRDefault="00000966" w:rsidP="00297BAC">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“DE LA DIRECCIÓN GENERAL DE ADMINISTRACIÓN</w:t>
      </w:r>
    </w:p>
    <w:p w14:paraId="5A95C2C6" w14:textId="77777777" w:rsidR="00000966" w:rsidRPr="003A0759" w:rsidRDefault="00000966" w:rsidP="00297BAC">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b/>
          <w:i/>
        </w:rPr>
        <w:t>Artículo 3.31.</w:t>
      </w:r>
      <w:r w:rsidRPr="003A0759">
        <w:rPr>
          <w:rFonts w:ascii="Palatino Linotype" w:eastAsia="Palatino Linotype" w:hAnsi="Palatino Linotype" w:cs="Palatino Linotype"/>
          <w:i/>
        </w:rPr>
        <w:t xml:space="preserve"> La o el titular de la </w:t>
      </w:r>
      <w:r w:rsidRPr="003A0759">
        <w:rPr>
          <w:rFonts w:ascii="Palatino Linotype" w:eastAsia="Palatino Linotype" w:hAnsi="Palatino Linotype" w:cs="Palatino Linotype"/>
          <w:b/>
          <w:i/>
        </w:rPr>
        <w:t>Dirección General de Administración</w:t>
      </w:r>
      <w:r w:rsidRPr="003A0759">
        <w:rPr>
          <w:rFonts w:ascii="Palatino Linotype" w:eastAsia="Palatino Linotype" w:hAnsi="Palatino Linotype" w:cs="Palatino Linotype"/>
          <w:i/>
        </w:rPr>
        <w:t>, tiene las siguientes atribuciones:</w:t>
      </w:r>
    </w:p>
    <w:p w14:paraId="3E5E0730" w14:textId="77777777" w:rsidR="00000966" w:rsidRPr="003A0759" w:rsidRDefault="00000966" w:rsidP="00297BAC">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I. Coordinar y dirigir los sistemas de reclutamiento, selección, contratación e inducción y desarrollo de personal;</w:t>
      </w:r>
    </w:p>
    <w:p w14:paraId="38468D70" w14:textId="77777777" w:rsidR="00000966" w:rsidRPr="003A0759" w:rsidRDefault="00000966" w:rsidP="00297BAC">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III. Autorizar las altas, bajas, cambios, permisos, licencias, comisiones del personal, entre otras, para su trámite y efectos;</w:t>
      </w:r>
    </w:p>
    <w:p w14:paraId="05ACC2BB" w14:textId="77777777" w:rsidR="00000966" w:rsidRPr="003A0759" w:rsidRDefault="00000966" w:rsidP="00297BAC">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b/>
          <w:i/>
        </w:rPr>
        <w:t>IV. Autorizar la elaboración y distribución oportuna de la nómina al personal que labora en el Ayuntamient</w:t>
      </w:r>
      <w:r w:rsidRPr="003A0759">
        <w:rPr>
          <w:rFonts w:ascii="Palatino Linotype" w:eastAsia="Palatino Linotype" w:hAnsi="Palatino Linotype" w:cs="Palatino Linotype"/>
          <w:i/>
        </w:rPr>
        <w:t>o, apegándose a la normatividad en la materia y al presupuesto autorizado;</w:t>
      </w:r>
    </w:p>
    <w:p w14:paraId="4FB72685" w14:textId="77777777" w:rsidR="00000966" w:rsidRPr="003A0759" w:rsidRDefault="00000966" w:rsidP="00297BAC">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w:t>
      </w:r>
    </w:p>
    <w:p w14:paraId="404DAB10" w14:textId="7E777B48" w:rsidR="00000966" w:rsidRPr="003A0759" w:rsidRDefault="00000966" w:rsidP="00297BAC">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b/>
          <w:i/>
        </w:rPr>
        <w:t>Artículo 3.32.</w:t>
      </w:r>
      <w:r w:rsidRPr="003A0759">
        <w:rPr>
          <w:rFonts w:ascii="Palatino Linotype" w:eastAsia="Palatino Linotype" w:hAnsi="Palatino Linotype" w:cs="Palatino Linotype"/>
          <w:i/>
        </w:rPr>
        <w:t xml:space="preserve"> La Dirección General de Administración, para el cumplimiento de sus atribuciones, </w:t>
      </w:r>
      <w:r w:rsidRPr="003A0759">
        <w:rPr>
          <w:rFonts w:ascii="Palatino Linotype" w:eastAsia="Palatino Linotype" w:hAnsi="Palatino Linotype" w:cs="Palatino Linotype"/>
          <w:b/>
          <w:i/>
        </w:rPr>
        <w:t xml:space="preserve">se auxiliará de </w:t>
      </w:r>
      <w:r w:rsidRPr="003A0759">
        <w:rPr>
          <w:rFonts w:ascii="Palatino Linotype" w:eastAsia="Palatino Linotype" w:hAnsi="Palatino Linotype" w:cs="Palatino Linotype"/>
          <w:i/>
        </w:rPr>
        <w:t>una</w:t>
      </w:r>
      <w:r w:rsidRPr="003A0759">
        <w:rPr>
          <w:rFonts w:ascii="Palatino Linotype" w:eastAsia="Palatino Linotype" w:hAnsi="Palatino Linotype" w:cs="Palatino Linotype"/>
          <w:b/>
          <w:i/>
        </w:rPr>
        <w:t xml:space="preserve"> </w:t>
      </w:r>
      <w:r w:rsidRPr="003A0759">
        <w:rPr>
          <w:rFonts w:ascii="Palatino Linotype" w:eastAsia="Palatino Linotype" w:hAnsi="Palatino Linotype" w:cs="Palatino Linotype"/>
          <w:i/>
        </w:rPr>
        <w:t xml:space="preserve">Coordinación de Apoyo Técnico; una Coordinación de Delegaciones Administrativas; una Dirección de Recursos Materiales; </w:t>
      </w:r>
      <w:r w:rsidRPr="003A0759">
        <w:rPr>
          <w:rFonts w:ascii="Palatino Linotype" w:eastAsia="Palatino Linotype" w:hAnsi="Palatino Linotype" w:cs="Palatino Linotype"/>
          <w:b/>
          <w:i/>
        </w:rPr>
        <w:t>una Dirección de Recursos Humanos</w:t>
      </w:r>
      <w:r w:rsidRPr="003A0759">
        <w:rPr>
          <w:rFonts w:ascii="Palatino Linotype" w:eastAsia="Palatino Linotype" w:hAnsi="Palatino Linotype" w:cs="Palatino Linotype"/>
          <w:i/>
        </w:rPr>
        <w:t>; una Dirección de Servicios Generales; una Dirección de Innovación y Gobierno Digital, y las demás Unidades Administrativas necesarias para el cumplimiento de sus atribuciones.”</w:t>
      </w:r>
    </w:p>
    <w:p w14:paraId="7EA84A1E" w14:textId="77777777" w:rsidR="00000966" w:rsidRPr="003A0759" w:rsidRDefault="00000966" w:rsidP="00E30F56">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93061C7" w14:textId="77777777" w:rsidR="00000966" w:rsidRPr="003A0759" w:rsidRDefault="00000966" w:rsidP="00E30F56">
      <w:pPr>
        <w:pBdr>
          <w:top w:val="nil"/>
          <w:left w:val="nil"/>
          <w:bottom w:val="nil"/>
          <w:right w:val="nil"/>
          <w:between w:val="nil"/>
        </w:pBd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Por su parte el Manual de Organización de la Dirección de Administración establece que la Dirección de Recursos Humanos tendrá las siguientes facultades: </w:t>
      </w:r>
    </w:p>
    <w:p w14:paraId="30A66524" w14:textId="77777777" w:rsidR="00297BAC" w:rsidRPr="003A0759" w:rsidRDefault="00297BAC" w:rsidP="00E30F56">
      <w:pPr>
        <w:pBdr>
          <w:top w:val="nil"/>
          <w:left w:val="nil"/>
          <w:bottom w:val="nil"/>
          <w:right w:val="nil"/>
          <w:between w:val="nil"/>
        </w:pBdr>
        <w:spacing w:after="0"/>
        <w:ind w:left="851" w:right="616"/>
        <w:jc w:val="both"/>
        <w:rPr>
          <w:rFonts w:ascii="Palatino Linotype" w:eastAsia="Palatino Linotype" w:hAnsi="Palatino Linotype" w:cs="Palatino Linotype"/>
          <w:i/>
        </w:rPr>
      </w:pPr>
    </w:p>
    <w:p w14:paraId="2960B54E" w14:textId="77777777" w:rsidR="00000966" w:rsidRPr="003A0759" w:rsidRDefault="00000966" w:rsidP="00297BAC">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“206012000 Dirección de Recursos Humanos</w:t>
      </w:r>
      <w:r w:rsidRPr="003A0759">
        <w:rPr>
          <w:rFonts w:ascii="Palatino Linotype" w:eastAsia="Palatino Linotype" w:hAnsi="Palatino Linotype" w:cs="Palatino Linotype"/>
          <w:i/>
        </w:rPr>
        <w:cr/>
        <w:t>Funciones:</w:t>
      </w:r>
      <w:r w:rsidRPr="003A0759">
        <w:rPr>
          <w:rFonts w:ascii="Palatino Linotype" w:eastAsia="Palatino Linotype" w:hAnsi="Palatino Linotype" w:cs="Palatino Linotype"/>
          <w:i/>
        </w:rPr>
        <w:cr/>
        <w:t>…</w:t>
      </w:r>
    </w:p>
    <w:p w14:paraId="7E184314" w14:textId="77777777" w:rsidR="00000966" w:rsidRPr="003A0759" w:rsidRDefault="00000966" w:rsidP="00297BAC">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b/>
          <w:bCs/>
          <w:i/>
        </w:rPr>
        <w:t>3. Recibir, validar y resguardar la documentación que conforme a los requisitos establecidos por la normatividad deben cumplir las y los servidores públicos contratados</w:t>
      </w:r>
      <w:r w:rsidRPr="003A0759">
        <w:rPr>
          <w:rFonts w:ascii="Palatino Linotype" w:eastAsia="Palatino Linotype" w:hAnsi="Palatino Linotype" w:cs="Palatino Linotype"/>
          <w:i/>
        </w:rPr>
        <w:t xml:space="preserve">, así mismo </w:t>
      </w:r>
      <w:r w:rsidRPr="003A0759">
        <w:rPr>
          <w:rFonts w:ascii="Palatino Linotype" w:eastAsia="Palatino Linotype" w:hAnsi="Palatino Linotype" w:cs="Palatino Linotype"/>
          <w:b/>
          <w:i/>
        </w:rPr>
        <w:t>integrar su expediente personal y laboral</w:t>
      </w:r>
      <w:r w:rsidRPr="003A0759">
        <w:rPr>
          <w:rFonts w:ascii="Palatino Linotype" w:eastAsia="Palatino Linotype" w:hAnsi="Palatino Linotype" w:cs="Palatino Linotype"/>
          <w:i/>
        </w:rPr>
        <w:t>, el cual se concentrará en los archivos de la Dirección de Recursos Humanos;</w:t>
      </w:r>
    </w:p>
    <w:p w14:paraId="03D25CFE" w14:textId="77777777" w:rsidR="00000966" w:rsidRPr="003A0759" w:rsidRDefault="00000966" w:rsidP="00297BAC">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w:t>
      </w:r>
    </w:p>
    <w:p w14:paraId="3846202A" w14:textId="77777777" w:rsidR="00000966" w:rsidRPr="003A0759" w:rsidRDefault="00000966" w:rsidP="00297BAC">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b/>
          <w:i/>
        </w:rPr>
        <w:t>10. Analizar, supervisar y controlar que los movimientos del personal se realicen de conformidad con el tabulador de sueldos y salarios autorizado</w:t>
      </w:r>
      <w:r w:rsidRPr="003A0759">
        <w:rPr>
          <w:rFonts w:ascii="Palatino Linotype" w:eastAsia="Palatino Linotype" w:hAnsi="Palatino Linotype" w:cs="Palatino Linotype"/>
          <w:i/>
        </w:rPr>
        <w:t xml:space="preserve"> y con lo establecido en la Ley del Trabajo de los Servidores Públicos del Estado y Municipios, Ley General de Responsabilidades Administrativas del Estado de México y Municipios, Ley del Impuesto Sobre la Renta, Ley Federal del Trabajo y normatividad aplicable en materia de remuneraciones a servidores públicos para la adecuada aplicación del presupuesto asignado para tal efecto;</w:t>
      </w:r>
    </w:p>
    <w:p w14:paraId="754CC552" w14:textId="77777777" w:rsidR="00000966" w:rsidRPr="003A0759" w:rsidRDefault="00000966" w:rsidP="00297BAC">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w:t>
      </w:r>
    </w:p>
    <w:p w14:paraId="1D3AC15E" w14:textId="77777777" w:rsidR="00000966" w:rsidRPr="003A0759" w:rsidRDefault="00000966" w:rsidP="00297BAC">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b/>
          <w:i/>
        </w:rPr>
        <w:t xml:space="preserve">12. Supervisar que las remuneraciones asignadas al personal del Ayuntamiento se entreguen oportunamente, </w:t>
      </w:r>
      <w:r w:rsidRPr="003A0759">
        <w:rPr>
          <w:rFonts w:ascii="Palatino Linotype" w:eastAsia="Palatino Linotype" w:hAnsi="Palatino Linotype" w:cs="Palatino Linotype"/>
          <w:i/>
        </w:rPr>
        <w:t>acorde a su modalidad de pago y régimen de contratación, apegándose a la normatividad aplicable y al presupuesto autorizado;</w:t>
      </w:r>
    </w:p>
    <w:p w14:paraId="7219003F" w14:textId="77777777" w:rsidR="00000966" w:rsidRPr="003A0759" w:rsidRDefault="00000966" w:rsidP="00297BAC">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13. Validar la información procesada en la base de datos de nómina, correspondiente a cada pago calendarizado de forma quincenal y extraordinario, para el debido control del presupuesto asignado;</w:t>
      </w:r>
    </w:p>
    <w:p w14:paraId="442B6D91" w14:textId="77777777" w:rsidR="00000966" w:rsidRPr="003A0759" w:rsidRDefault="00000966" w:rsidP="00297BAC">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14. Supervisar que se lleve a cabo la conciliación quincenal de la nómina con el Departamento de Control de Pagos de Servicios Personales de la Tesorería Municipal;…”</w:t>
      </w:r>
    </w:p>
    <w:p w14:paraId="5117371B" w14:textId="77777777" w:rsidR="00000966" w:rsidRPr="003A0759" w:rsidRDefault="00000966" w:rsidP="00297BAC">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(Énfasis Añadido)</w:t>
      </w:r>
    </w:p>
    <w:p w14:paraId="02A9E213" w14:textId="77777777" w:rsidR="00000966" w:rsidRPr="003A0759" w:rsidRDefault="00000966" w:rsidP="00E30F56">
      <w:pPr>
        <w:spacing w:after="0" w:line="360" w:lineRule="auto"/>
        <w:jc w:val="both"/>
        <w:rPr>
          <w:rFonts w:ascii="Palatino Linotype" w:eastAsia="Palatino Linotype" w:hAnsi="Palatino Linotype" w:cs="Palatino Linotype"/>
        </w:rPr>
      </w:pPr>
    </w:p>
    <w:p w14:paraId="4A52AF85" w14:textId="77777777" w:rsidR="00000966" w:rsidRPr="003A0759" w:rsidRDefault="00000966" w:rsidP="00E30F56">
      <w:pP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Por lo anteriormente expuesto, se advierte que la unidad administrativa que cuenta con atribuciones para integrar el expediente personal y laboral de los servidores públicos; así como, autorizar la elaboración y distribución oportuna de la nómina al personal que labora en el Ayuntamiento, es la Dirección General de Administración. </w:t>
      </w:r>
    </w:p>
    <w:p w14:paraId="7A2A879C" w14:textId="77777777" w:rsidR="00297BAC" w:rsidRPr="003A0759" w:rsidRDefault="00297BAC" w:rsidP="00E30F56">
      <w:pPr>
        <w:spacing w:after="0" w:line="360" w:lineRule="auto"/>
        <w:jc w:val="both"/>
        <w:rPr>
          <w:rFonts w:ascii="Palatino Linotype" w:eastAsia="Palatino Linotype" w:hAnsi="Palatino Linotype" w:cs="Palatino Linotype"/>
        </w:rPr>
      </w:pPr>
    </w:p>
    <w:p w14:paraId="4A7C59B3" w14:textId="77777777" w:rsidR="00000966" w:rsidRPr="003A0759" w:rsidRDefault="00000966" w:rsidP="00E30F56">
      <w:pP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De este modo se advierte que el </w:t>
      </w:r>
      <w:r w:rsidRPr="003A0759">
        <w:rPr>
          <w:rFonts w:ascii="Palatino Linotype" w:eastAsia="Palatino Linotype" w:hAnsi="Palatino Linotype" w:cs="Palatino Linotype"/>
          <w:b/>
        </w:rPr>
        <w:t>Sujeto Obligado</w:t>
      </w:r>
      <w:r w:rsidRPr="003A0759">
        <w:rPr>
          <w:rFonts w:ascii="Palatino Linotype" w:eastAsia="Palatino Linotype" w:hAnsi="Palatino Linotype" w:cs="Palatino Linotype"/>
        </w:rPr>
        <w:t xml:space="preserve"> turnó la solicitud de información a la unidad administrativa competente, de modo que, 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4CA16940" w14:textId="77777777" w:rsidR="00297BAC" w:rsidRPr="003A0759" w:rsidRDefault="00297BAC" w:rsidP="00E30F56">
      <w:pPr>
        <w:spacing w:after="0" w:line="360" w:lineRule="auto"/>
        <w:jc w:val="both"/>
        <w:rPr>
          <w:rFonts w:ascii="Palatino Linotype" w:eastAsia="Palatino Linotype" w:hAnsi="Palatino Linotype" w:cs="Palatino Linotype"/>
        </w:rPr>
      </w:pPr>
    </w:p>
    <w:p w14:paraId="0A76CA58" w14:textId="77777777" w:rsidR="00000966" w:rsidRPr="003A0759" w:rsidRDefault="00000966" w:rsidP="00E30F56">
      <w:pPr>
        <w:numPr>
          <w:ilvl w:val="0"/>
          <w:numId w:val="18"/>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A3D49A5" w14:textId="77777777" w:rsidR="00000966" w:rsidRPr="003A0759" w:rsidRDefault="00000966" w:rsidP="00E30F56">
      <w:pPr>
        <w:numPr>
          <w:ilvl w:val="0"/>
          <w:numId w:val="18"/>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Los sujetos obligados otorgarán acceso a los documentos que se encuentren en sus archivos o que estén obligados a documentar de acuerdo con sus facultades, competencias o funciones, en el formato en que el solicitante manifieste, de entre aquellos formatos existentes.</w:t>
      </w:r>
    </w:p>
    <w:p w14:paraId="6C3EF0D7" w14:textId="77777777" w:rsidR="00000966" w:rsidRPr="003A0759" w:rsidRDefault="00000966" w:rsidP="00E30F56">
      <w:pPr>
        <w:tabs>
          <w:tab w:val="left" w:pos="4962"/>
        </w:tabs>
        <w:spacing w:after="0" w:line="360" w:lineRule="auto"/>
        <w:ind w:right="-28"/>
        <w:jc w:val="both"/>
        <w:rPr>
          <w:rFonts w:ascii="Palatino Linotype" w:eastAsia="Palatino Linotype" w:hAnsi="Palatino Linotype" w:cs="Palatino Linotype"/>
        </w:rPr>
      </w:pPr>
    </w:p>
    <w:p w14:paraId="45AA6742" w14:textId="49F470AA" w:rsidR="00000966" w:rsidRPr="003A0759" w:rsidRDefault="00000966" w:rsidP="00E30F56">
      <w:pP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De tal circunstancia, se logra colegir que el </w:t>
      </w:r>
      <w:r w:rsidRPr="003A0759">
        <w:rPr>
          <w:rFonts w:ascii="Palatino Linotype" w:eastAsia="Palatino Linotype" w:hAnsi="Palatino Linotype" w:cs="Palatino Linotype"/>
          <w:b/>
        </w:rPr>
        <w:t>Sujeto Obligado</w:t>
      </w:r>
      <w:r w:rsidRPr="003A0759">
        <w:rPr>
          <w:rFonts w:ascii="Palatino Linotype" w:eastAsia="Palatino Linotype" w:hAnsi="Palatino Linotype" w:cs="Palatino Linotype"/>
        </w:rPr>
        <w:t xml:space="preserve"> cumplió con el procedimiento de búsqueda establecido en el artículo 162 de la Ley de Transparencia y Acceso a la Información Pública del Estado de México y Municipios, toda vez que turnó la solicitud a la Dirección General de Administración, unidad administrativa que tiene a su cargo la Dirección de Recursos Humanos, encargada de regular las relaciones laborales de las y los servidores públicos y el Ayuntamiento, así como, autorizar la elaboración y distribución oportuna de la nómina al personal que labora en el Ayuntamiento. </w:t>
      </w:r>
    </w:p>
    <w:p w14:paraId="674FA692" w14:textId="77777777" w:rsidR="00297BAC" w:rsidRPr="003A0759" w:rsidRDefault="00297BAC" w:rsidP="00E30F56">
      <w:pPr>
        <w:widowControl w:val="0"/>
        <w:tabs>
          <w:tab w:val="left" w:pos="1701"/>
          <w:tab w:val="left" w:pos="1843"/>
        </w:tabs>
        <w:spacing w:after="0" w:line="360" w:lineRule="auto"/>
        <w:jc w:val="both"/>
        <w:rPr>
          <w:rFonts w:ascii="Palatino Linotype" w:eastAsia="Palatino Linotype" w:hAnsi="Palatino Linotype" w:cs="Palatino Linotype"/>
        </w:rPr>
      </w:pPr>
    </w:p>
    <w:p w14:paraId="2065E042" w14:textId="1F93066B" w:rsidR="008C18EF" w:rsidRPr="003A0759" w:rsidRDefault="00000966" w:rsidP="00E30F56">
      <w:pPr>
        <w:widowControl w:val="0"/>
        <w:tabs>
          <w:tab w:val="left" w:pos="1701"/>
          <w:tab w:val="left" w:pos="1843"/>
        </w:tabs>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Expuesto lo anterior, se procede al análisis pormenorizado de la información solicitada, </w:t>
      </w:r>
      <w:r w:rsidR="00DD03DD" w:rsidRPr="003A0759">
        <w:rPr>
          <w:rFonts w:ascii="Palatino Linotype" w:eastAsia="Palatino Linotype" w:hAnsi="Palatino Linotype" w:cs="Palatino Linotype"/>
        </w:rPr>
        <w:t>por lo que</w:t>
      </w:r>
      <w:r w:rsidR="008C18EF" w:rsidRPr="003A0759">
        <w:rPr>
          <w:rFonts w:ascii="Palatino Linotype" w:eastAsia="Palatino Linotype" w:hAnsi="Palatino Linotype" w:cs="Palatino Linotype"/>
        </w:rPr>
        <w:t xml:space="preserve">, es necesario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75B62593" w14:textId="77777777" w:rsidR="00297BAC" w:rsidRPr="003A0759" w:rsidRDefault="00297BAC" w:rsidP="00E30F56">
      <w:pPr>
        <w:spacing w:after="0" w:line="360" w:lineRule="auto"/>
        <w:jc w:val="both"/>
        <w:rPr>
          <w:rFonts w:ascii="Palatino Linotype" w:eastAsia="Palatino Linotype" w:hAnsi="Palatino Linotype" w:cs="Palatino Linotype"/>
        </w:rPr>
      </w:pPr>
    </w:p>
    <w:p w14:paraId="7F59151F" w14:textId="77777777" w:rsidR="008C18EF" w:rsidRPr="003A0759" w:rsidRDefault="008C18EF" w:rsidP="00E30F56">
      <w:pP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78C3B9A" w14:textId="77777777" w:rsidR="008C18EF" w:rsidRPr="003A0759" w:rsidRDefault="008C18EF" w:rsidP="00E30F56">
      <w:pPr>
        <w:spacing w:after="0" w:line="360" w:lineRule="auto"/>
        <w:jc w:val="both"/>
        <w:rPr>
          <w:rFonts w:ascii="Palatino Linotype" w:eastAsia="Palatino Linotype" w:hAnsi="Palatino Linotype" w:cs="Palatino Linotype"/>
        </w:rPr>
      </w:pPr>
    </w:p>
    <w:p w14:paraId="79D747CD" w14:textId="4A10FE77" w:rsidR="008C18EF" w:rsidRPr="003A0759" w:rsidRDefault="008C18EF" w:rsidP="00E30F56">
      <w:pP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Da la misma manera, el Anexo IV.5 Glosario de Términos, del Manual para la Planeación, Programación y Presupuesto de Egresos Municipal para el ejercicio fiscal dos mil veint</w:t>
      </w:r>
      <w:r w:rsidR="00E77F4D" w:rsidRPr="003A0759">
        <w:rPr>
          <w:rFonts w:ascii="Palatino Linotype" w:eastAsia="Palatino Linotype" w:hAnsi="Palatino Linotype" w:cs="Palatino Linotype"/>
        </w:rPr>
        <w:t xml:space="preserve">icinco, </w:t>
      </w:r>
      <w:r w:rsidRPr="003A0759">
        <w:rPr>
          <w:rFonts w:ascii="Palatino Linotype" w:eastAsia="Palatino Linotype" w:hAnsi="Palatino Linotype" w:cs="Palatino Linotype"/>
        </w:rPr>
        <w:t>establece que la remuneración es la percepción de un trabajador o retribución monetaria que se da en pago por su servicio o actividad desarrollada.</w:t>
      </w:r>
    </w:p>
    <w:p w14:paraId="52EA80E7" w14:textId="77777777" w:rsidR="008C18EF" w:rsidRPr="003A0759" w:rsidRDefault="008C18EF" w:rsidP="00E30F56">
      <w:pPr>
        <w:spacing w:after="0" w:line="360" w:lineRule="auto"/>
        <w:jc w:val="both"/>
        <w:rPr>
          <w:rFonts w:ascii="Palatino Linotype" w:eastAsia="Palatino Linotype" w:hAnsi="Palatino Linotype" w:cs="Palatino Linotype"/>
        </w:rPr>
      </w:pPr>
    </w:p>
    <w:p w14:paraId="095FFA75" w14:textId="77777777" w:rsidR="008C18EF" w:rsidRPr="003A0759" w:rsidRDefault="008C18EF" w:rsidP="00E30F56">
      <w:pP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42181A7E" w14:textId="77777777" w:rsidR="008C18EF" w:rsidRPr="003A0759" w:rsidRDefault="008C18EF" w:rsidP="00E30F56">
      <w:pPr>
        <w:spacing w:after="0" w:line="360" w:lineRule="auto"/>
        <w:jc w:val="both"/>
        <w:rPr>
          <w:rFonts w:ascii="Palatino Linotype" w:eastAsia="Palatino Linotype" w:hAnsi="Palatino Linotype" w:cs="Palatino Linotype"/>
        </w:rPr>
      </w:pPr>
    </w:p>
    <w:p w14:paraId="423DE9B0" w14:textId="053A4535" w:rsidR="008C18EF" w:rsidRPr="003A0759" w:rsidRDefault="008C18EF" w:rsidP="00E30F56">
      <w:pPr>
        <w:spacing w:after="0" w:line="360" w:lineRule="auto"/>
        <w:jc w:val="both"/>
        <w:rPr>
          <w:rFonts w:ascii="Palatino Linotype" w:eastAsia="Palatino Linotype" w:hAnsi="Palatino Linotype" w:cs="Palatino Linotype"/>
          <w:b/>
        </w:rPr>
      </w:pPr>
      <w:r w:rsidRPr="003A0759">
        <w:rPr>
          <w:rFonts w:ascii="Palatino Linotype" w:eastAsia="Palatino Linotype" w:hAnsi="Palatino Linotype" w:cs="Palatino Linotype"/>
        </w:rPr>
        <w:t>Además, el Anexo IV.2 Clasificación por objeto del gasto, del Manual para la Planeación, Programación y Presupuesto de Egresos Municipal para el ejercicio fiscal dos mil veint</w:t>
      </w:r>
      <w:r w:rsidR="00E77F4D" w:rsidRPr="003A0759">
        <w:rPr>
          <w:rFonts w:ascii="Palatino Linotype" w:eastAsia="Palatino Linotype" w:hAnsi="Palatino Linotype" w:cs="Palatino Linotype"/>
        </w:rPr>
        <w:t>icinco</w:t>
      </w:r>
      <w:r w:rsidRPr="003A0759">
        <w:rPr>
          <w:rFonts w:ascii="Palatino Linotype" w:eastAsia="Palatino Linotype" w:hAnsi="Palatino Linotype" w:cs="Palatino Linotype"/>
        </w:rPr>
        <w:t xml:space="preserve">, establece que los Presupuestos de Egresos Municipales, se tendrán que generar, conforme al “Clasificador por Objeto del Gasto”, el cual se conforma de diversos capítulos, entre los cuales, se encuentra el </w:t>
      </w:r>
      <w:r w:rsidRPr="003A0759">
        <w:rPr>
          <w:rFonts w:ascii="Palatino Linotype" w:eastAsia="Palatino Linotype" w:hAnsi="Palatino Linotype" w:cs="Palatino Linotype"/>
          <w:b/>
        </w:rPr>
        <w:t>1000 Servicios Personales</w:t>
      </w:r>
      <w:r w:rsidRPr="003A0759">
        <w:rPr>
          <w:rFonts w:ascii="Palatino Linotype" w:eastAsia="Palatino Linotype" w:hAnsi="Palatino Linotype" w:cs="Palatino Linotype"/>
        </w:rPr>
        <w:t>,</w:t>
      </w:r>
      <w:r w:rsidRPr="003A0759">
        <w:rPr>
          <w:rFonts w:ascii="Palatino Linotype" w:eastAsia="Palatino Linotype" w:hAnsi="Palatino Linotype" w:cs="Palatino Linotype"/>
          <w:b/>
        </w:rPr>
        <w:t xml:space="preserve"> que agrupa las remuneraciones del personal al servicio de los entes públicos, tales como el sueldo, salarios, dietas, honorarios, prestaciones, obligaciones laborales, entre otras.</w:t>
      </w:r>
    </w:p>
    <w:p w14:paraId="7443A257" w14:textId="77777777" w:rsidR="004E4F1F" w:rsidRPr="003A0759" w:rsidRDefault="004E4F1F" w:rsidP="00E30F56">
      <w:pPr>
        <w:spacing w:after="0" w:line="360" w:lineRule="auto"/>
        <w:jc w:val="both"/>
        <w:rPr>
          <w:rFonts w:ascii="Palatino Linotype" w:eastAsia="Palatino Linotype" w:hAnsi="Palatino Linotype" w:cs="Palatino Linotype"/>
          <w:b/>
        </w:rPr>
      </w:pPr>
    </w:p>
    <w:p w14:paraId="5C3AEB5D" w14:textId="77777777" w:rsidR="008C18EF" w:rsidRPr="003A0759" w:rsidRDefault="008C18EF" w:rsidP="00E30F56">
      <w:pP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Ahora bien, respecto a los documentos solicitados, la Ley del Trabajo de los Servidores Públicos del Estado y Municipios, en su artículo 220 K, fracciones II y IV, establece los documentos que tiene la obligación de conservar el Sujeto Obligado, tal como se observa a continuación: </w:t>
      </w:r>
    </w:p>
    <w:p w14:paraId="5B64343D" w14:textId="77777777" w:rsidR="008C18EF" w:rsidRPr="003A0759" w:rsidRDefault="008C18EF" w:rsidP="00E30F56">
      <w:pPr>
        <w:spacing w:after="0" w:line="360" w:lineRule="auto"/>
        <w:jc w:val="both"/>
        <w:rPr>
          <w:rFonts w:ascii="Palatino Linotype" w:eastAsia="Palatino Linotype" w:hAnsi="Palatino Linotype" w:cs="Palatino Linotype"/>
        </w:rPr>
      </w:pPr>
    </w:p>
    <w:p w14:paraId="2E34DFC1" w14:textId="77777777" w:rsidR="008C18EF" w:rsidRPr="003A0759" w:rsidRDefault="008C18EF" w:rsidP="00E30F56">
      <w:pPr>
        <w:spacing w:after="0"/>
        <w:ind w:left="567" w:right="843"/>
        <w:jc w:val="both"/>
        <w:rPr>
          <w:rFonts w:ascii="Palatino Linotype" w:eastAsia="Palatino Linotype" w:hAnsi="Palatino Linotype" w:cs="Palatino Linotype"/>
          <w:i/>
        </w:rPr>
      </w:pPr>
      <w:r w:rsidRPr="003A0759">
        <w:rPr>
          <w:rFonts w:ascii="Palatino Linotype" w:eastAsia="Palatino Linotype" w:hAnsi="Palatino Linotype" w:cs="Palatino Linotype"/>
          <w:b/>
          <w:i/>
        </w:rPr>
        <w:t>ARTÍCULO 220 K</w:t>
      </w:r>
      <w:r w:rsidRPr="003A0759">
        <w:rPr>
          <w:rFonts w:ascii="Palatino Linotype" w:eastAsia="Palatino Linotype" w:hAnsi="Palatino Linotype" w:cs="Palatino Linotype"/>
          <w:i/>
        </w:rPr>
        <w:t>.- La institución o dependencia pública tiene la obligación de conservar y exhibir en el proceso los documentos que a continuación se precisan:</w:t>
      </w:r>
    </w:p>
    <w:p w14:paraId="3D78AF8D" w14:textId="77777777" w:rsidR="008C18EF" w:rsidRPr="003A0759" w:rsidRDefault="008C18EF" w:rsidP="00E30F56">
      <w:pPr>
        <w:spacing w:after="0"/>
        <w:ind w:left="567"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w:t>
      </w:r>
    </w:p>
    <w:p w14:paraId="59F39627" w14:textId="77777777" w:rsidR="008C18EF" w:rsidRPr="003A0759" w:rsidRDefault="008C18EF" w:rsidP="00E30F56">
      <w:pPr>
        <w:spacing w:after="0"/>
        <w:ind w:left="567"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II. Recibos de pagos de salarios o las constancias documentales del pago de salario cuando sea por depósito o mediante información electrónica;</w:t>
      </w:r>
    </w:p>
    <w:p w14:paraId="70D43F84" w14:textId="77777777" w:rsidR="008C18EF" w:rsidRPr="003A0759" w:rsidRDefault="008C18EF" w:rsidP="00E30F56">
      <w:pPr>
        <w:spacing w:after="0"/>
        <w:ind w:left="567"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w:t>
      </w:r>
    </w:p>
    <w:p w14:paraId="199593A1" w14:textId="77777777" w:rsidR="008C18EF" w:rsidRPr="003A0759" w:rsidRDefault="008C18EF" w:rsidP="00E30F56">
      <w:pPr>
        <w:spacing w:after="0"/>
        <w:ind w:left="567"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 xml:space="preserve">IV. </w:t>
      </w:r>
      <w:r w:rsidRPr="003A0759">
        <w:rPr>
          <w:rFonts w:ascii="Palatino Linotype" w:eastAsia="Palatino Linotype" w:hAnsi="Palatino Linotype" w:cs="Palatino Linotype"/>
          <w:b/>
          <w:i/>
          <w:u w:val="single"/>
        </w:rPr>
        <w:t xml:space="preserve">Recibos o las constancias de </w:t>
      </w:r>
      <w:proofErr w:type="spellStart"/>
      <w:r w:rsidRPr="003A0759">
        <w:rPr>
          <w:rFonts w:ascii="Palatino Linotype" w:eastAsia="Palatino Linotype" w:hAnsi="Palatino Linotype" w:cs="Palatino Linotype"/>
          <w:b/>
          <w:i/>
          <w:u w:val="single"/>
        </w:rPr>
        <w:t>deposito</w:t>
      </w:r>
      <w:proofErr w:type="spellEnd"/>
      <w:r w:rsidRPr="003A0759">
        <w:rPr>
          <w:rFonts w:ascii="Palatino Linotype" w:eastAsia="Palatino Linotype" w:hAnsi="Palatino Linotype" w:cs="Palatino Linotype"/>
          <w:b/>
          <w:i/>
          <w:u w:val="single"/>
        </w:rPr>
        <w:t xml:space="preserve"> o del medio de información magnética o electrónica que sean utilizadas para el pago de salarios, prima vacacional, aguinaldo y demás prestaciones establecidas en la presente ley</w:t>
      </w:r>
      <w:r w:rsidRPr="003A0759">
        <w:rPr>
          <w:rFonts w:ascii="Palatino Linotype" w:eastAsia="Palatino Linotype" w:hAnsi="Palatino Linotype" w:cs="Palatino Linotype"/>
          <w:i/>
        </w:rPr>
        <w:t xml:space="preserve">; </w:t>
      </w:r>
    </w:p>
    <w:p w14:paraId="2431757C" w14:textId="356260C5" w:rsidR="008C18EF" w:rsidRPr="003A0759" w:rsidRDefault="008C18EF" w:rsidP="00E30F56">
      <w:pPr>
        <w:spacing w:after="0"/>
        <w:ind w:left="567"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w:t>
      </w:r>
    </w:p>
    <w:p w14:paraId="1874DD9B" w14:textId="583079F3" w:rsidR="008C18EF" w:rsidRPr="003A0759" w:rsidRDefault="008C18EF" w:rsidP="00E30F56">
      <w:pP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Es decir, del precepto normativo se advierte que entre los documentos que tiene la obligación de conservar el </w:t>
      </w:r>
      <w:r w:rsidRPr="003A0759">
        <w:rPr>
          <w:rFonts w:ascii="Palatino Linotype" w:eastAsia="Palatino Linotype" w:hAnsi="Palatino Linotype" w:cs="Palatino Linotype"/>
          <w:b/>
        </w:rPr>
        <w:t>Sujeto Obligado</w:t>
      </w:r>
      <w:r w:rsidRPr="003A0759">
        <w:rPr>
          <w:rFonts w:ascii="Palatino Linotype" w:eastAsia="Palatino Linotype" w:hAnsi="Palatino Linotype" w:cs="Palatino Linotype"/>
        </w:rPr>
        <w:t xml:space="preserve">, se encuentran los </w:t>
      </w:r>
      <w:r w:rsidRPr="003A0759">
        <w:rPr>
          <w:rFonts w:ascii="Palatino Linotype" w:eastAsia="Palatino Linotype" w:hAnsi="Palatino Linotype" w:cs="Palatino Linotype"/>
          <w:b/>
        </w:rPr>
        <w:t>recibos o constancias de depósito</w:t>
      </w:r>
      <w:r w:rsidRPr="003A0759">
        <w:rPr>
          <w:rFonts w:ascii="Palatino Linotype" w:eastAsia="Palatino Linotype" w:hAnsi="Palatino Linotype" w:cs="Palatino Linotype"/>
        </w:rPr>
        <w:t xml:space="preserve"> o del medio de información magnética o electrónica que sean utilizadas </w:t>
      </w:r>
      <w:r w:rsidRPr="003A0759">
        <w:rPr>
          <w:rFonts w:ascii="Palatino Linotype" w:eastAsia="Palatino Linotype" w:hAnsi="Palatino Linotype" w:cs="Palatino Linotype"/>
          <w:b/>
        </w:rPr>
        <w:t>para el pago de</w:t>
      </w:r>
      <w:r w:rsidRPr="003A0759">
        <w:rPr>
          <w:rFonts w:ascii="Palatino Linotype" w:eastAsia="Palatino Linotype" w:hAnsi="Palatino Linotype" w:cs="Palatino Linotype"/>
        </w:rPr>
        <w:t xml:space="preserve"> </w:t>
      </w:r>
      <w:r w:rsidRPr="003A0759">
        <w:rPr>
          <w:rFonts w:ascii="Palatino Linotype" w:eastAsia="Palatino Linotype" w:hAnsi="Palatino Linotype" w:cs="Palatino Linotype"/>
          <w:b/>
          <w:u w:val="single"/>
        </w:rPr>
        <w:t>salarios, prima vacacional, aguinaldo y demás prestaciones.</w:t>
      </w:r>
    </w:p>
    <w:p w14:paraId="566648B1" w14:textId="77777777" w:rsidR="008C18EF" w:rsidRPr="003A0759" w:rsidRDefault="008C18EF" w:rsidP="00E30F56">
      <w:pPr>
        <w:spacing w:after="0" w:line="360" w:lineRule="auto"/>
        <w:jc w:val="both"/>
        <w:rPr>
          <w:rFonts w:ascii="Palatino Linotype" w:eastAsia="Palatino Linotype" w:hAnsi="Palatino Linotype" w:cs="Palatino Linotype"/>
        </w:rPr>
      </w:pPr>
    </w:p>
    <w:p w14:paraId="2CFF8FC9" w14:textId="77777777" w:rsidR="008C18EF" w:rsidRPr="003A0759" w:rsidRDefault="008C18EF" w:rsidP="00E30F56">
      <w:pP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633BD18F" w14:textId="77777777" w:rsidR="008C18EF" w:rsidRPr="003A0759" w:rsidRDefault="008C18EF" w:rsidP="00E30F56">
      <w:pPr>
        <w:spacing w:after="0" w:line="360" w:lineRule="auto"/>
        <w:jc w:val="both"/>
        <w:rPr>
          <w:rFonts w:ascii="Palatino Linotype" w:eastAsia="Palatino Linotype" w:hAnsi="Palatino Linotype" w:cs="Palatino Linotype"/>
        </w:rPr>
      </w:pPr>
    </w:p>
    <w:p w14:paraId="08E335FE" w14:textId="77777777" w:rsidR="008C18EF" w:rsidRPr="003A0759" w:rsidRDefault="008C18EF" w:rsidP="004C750B">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b/>
          <w:i/>
        </w:rPr>
        <w:t>“RECIBOS DE PAGO</w:t>
      </w:r>
      <w:r w:rsidRPr="003A0759">
        <w:rPr>
          <w:rFonts w:ascii="Palatino Linotype" w:eastAsia="Palatino Linotype" w:hAnsi="Palatino Linotype" w:cs="Palatino Linotype"/>
          <w:i/>
        </w:rPr>
        <w:t xml:space="preserve"> </w:t>
      </w:r>
      <w:r w:rsidRPr="003A0759">
        <w:rPr>
          <w:rFonts w:ascii="Palatino Linotype" w:eastAsia="Palatino Linotype" w:hAnsi="Palatino Linotype" w:cs="Palatino Linotype"/>
          <w:b/>
          <w:i/>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3A0759">
        <w:rPr>
          <w:rFonts w:ascii="Palatino Linotype" w:eastAsia="Palatino Linotype" w:hAnsi="Palatino Linotype" w:cs="Palatino Linotype"/>
          <w:i/>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0F9AF8FD" w14:textId="77777777" w:rsidR="008C18EF" w:rsidRPr="003A0759" w:rsidRDefault="008C18EF" w:rsidP="00E30F56">
      <w:pPr>
        <w:spacing w:after="0" w:line="360" w:lineRule="auto"/>
        <w:jc w:val="both"/>
        <w:rPr>
          <w:rFonts w:ascii="Palatino Linotype" w:eastAsia="Palatino Linotype" w:hAnsi="Palatino Linotype" w:cs="Palatino Linotype"/>
          <w:b/>
          <w:i/>
        </w:rPr>
      </w:pPr>
    </w:p>
    <w:p w14:paraId="474EBFBA" w14:textId="77777777" w:rsidR="008C18EF" w:rsidRPr="003A0759" w:rsidRDefault="008C18EF" w:rsidP="00E30F56">
      <w:pP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De la tesis transcrita, se desprende que </w:t>
      </w:r>
      <w:r w:rsidRPr="003A0759">
        <w:rPr>
          <w:rFonts w:ascii="Palatino Linotype" w:eastAsia="Palatino Linotype" w:hAnsi="Palatino Linotype" w:cs="Palatino Linotype"/>
          <w:b/>
        </w:rPr>
        <w:t>en materia burocrática</w:t>
      </w:r>
      <w:r w:rsidRPr="003A0759">
        <w:rPr>
          <w:rFonts w:ascii="Palatino Linotype" w:eastAsia="Palatino Linotype" w:hAnsi="Palatino Linotype" w:cs="Palatino Linotype"/>
        </w:rPr>
        <w:t xml:space="preserve"> </w:t>
      </w:r>
      <w:r w:rsidRPr="003A0759">
        <w:rPr>
          <w:rFonts w:ascii="Palatino Linotype" w:eastAsia="Palatino Linotype" w:hAnsi="Palatino Linotype" w:cs="Palatino Linotype"/>
          <w:b/>
        </w:rPr>
        <w:t>los recibos de pago acreditan los conceptos y montos que en ellos se insertan</w:t>
      </w:r>
      <w:r w:rsidRPr="003A0759">
        <w:rPr>
          <w:rFonts w:ascii="Palatino Linotype" w:eastAsia="Palatino Linotype" w:hAnsi="Palatino Linotype" w:cs="Palatino Linotype"/>
        </w:rPr>
        <w:t xml:space="preserve">, y constituyen prueba para demostrar las percepciones y montos que reciben los servidores públicos. </w:t>
      </w:r>
    </w:p>
    <w:p w14:paraId="2B479857" w14:textId="77777777" w:rsidR="008C18EF" w:rsidRPr="003A0759" w:rsidRDefault="008C18EF" w:rsidP="00E30F56">
      <w:pPr>
        <w:spacing w:after="0" w:line="360" w:lineRule="auto"/>
        <w:ind w:right="49"/>
        <w:jc w:val="both"/>
        <w:rPr>
          <w:rFonts w:ascii="Palatino Linotype" w:eastAsia="Palatino Linotype" w:hAnsi="Palatino Linotype" w:cs="Palatino Linotype"/>
        </w:rPr>
      </w:pPr>
    </w:p>
    <w:p w14:paraId="0AABB63C" w14:textId="2D612D17" w:rsidR="0025754E" w:rsidRPr="003A0759" w:rsidRDefault="00861417"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Por otro lado, </w:t>
      </w:r>
      <w:r w:rsidR="0025754E" w:rsidRPr="003A0759">
        <w:rPr>
          <w:rFonts w:ascii="Palatino Linotype" w:eastAsia="Palatino Linotype" w:hAnsi="Palatino Linotype" w:cs="Palatino Linotype"/>
        </w:rPr>
        <w:t xml:space="preserve">conviene señalar que en México el </w:t>
      </w:r>
      <w:r w:rsidR="0025754E" w:rsidRPr="003A0759">
        <w:rPr>
          <w:rFonts w:ascii="Palatino Linotype" w:eastAsia="Palatino Linotype" w:hAnsi="Palatino Linotype" w:cs="Palatino Linotype"/>
          <w:i/>
        </w:rPr>
        <w:t xml:space="preserve">aguinaldo </w:t>
      </w:r>
      <w:r w:rsidR="0025754E" w:rsidRPr="003A0759">
        <w:rPr>
          <w:rFonts w:ascii="Palatino Linotype" w:eastAsia="Palatino Linotype" w:hAnsi="Palatino Linotype" w:cs="Palatino Linotype"/>
        </w:rPr>
        <w:t>surgió como una prestación obligatoria en la reforma a la Ley Federal del Trabajo en 1970, esta contempla en su artículo 87 que los trabajadores tendrán derecho a un aguinaldo anual que</w:t>
      </w:r>
      <w:r w:rsidR="0025754E" w:rsidRPr="003A0759">
        <w:rPr>
          <w:rFonts w:ascii="Palatino Linotype" w:eastAsia="Palatino Linotype" w:hAnsi="Palatino Linotype" w:cs="Palatino Linotype"/>
          <w:b/>
          <w:u w:val="single"/>
        </w:rPr>
        <w:t xml:space="preserve"> deberá pagarse antes del día veinte de diciembre </w:t>
      </w:r>
      <w:r w:rsidR="0025754E" w:rsidRPr="003A0759">
        <w:rPr>
          <w:rFonts w:ascii="Palatino Linotype" w:eastAsia="Palatino Linotype" w:hAnsi="Palatino Linotype" w:cs="Palatino Linotype"/>
        </w:rPr>
        <w:t xml:space="preserve">y que debe ser equivalente a quince días de salario, por lo menos. </w:t>
      </w:r>
    </w:p>
    <w:p w14:paraId="787AE4D9" w14:textId="77777777" w:rsidR="0025754E" w:rsidRPr="003A0759" w:rsidRDefault="0025754E" w:rsidP="00E30F56">
      <w:pPr>
        <w:spacing w:after="0" w:line="360" w:lineRule="auto"/>
        <w:ind w:right="-28"/>
        <w:jc w:val="both"/>
        <w:rPr>
          <w:rFonts w:ascii="Palatino Linotype" w:eastAsia="Palatino Linotype" w:hAnsi="Palatino Linotype" w:cs="Palatino Linotype"/>
        </w:rPr>
      </w:pPr>
    </w:p>
    <w:p w14:paraId="1DAA5CDC" w14:textId="77777777" w:rsidR="0025754E" w:rsidRPr="003A0759" w:rsidRDefault="0025754E" w:rsidP="00E30F56">
      <w:pPr>
        <w:spacing w:after="0" w:line="360" w:lineRule="auto"/>
        <w:ind w:right="-28"/>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Asimismo, la Ley referida, precisa que el pago de aguinaldo corresponde a todos los trabajadores que se rijan por la Ley Federal del Trabajo, y </w:t>
      </w:r>
      <w:r w:rsidRPr="003A0759">
        <w:rPr>
          <w:rFonts w:ascii="Palatino Linotype" w:eastAsia="Palatino Linotype" w:hAnsi="Palatino Linotype" w:cs="Palatino Linotype"/>
          <w:b/>
        </w:rPr>
        <w:t>debe ser pagado en tiempo y forma</w:t>
      </w:r>
      <w:r w:rsidRPr="003A0759">
        <w:rPr>
          <w:rFonts w:ascii="Palatino Linotype" w:eastAsia="Palatino Linotype" w:hAnsi="Palatino Linotype" w:cs="Palatino Linotype"/>
        </w:rPr>
        <w:t xml:space="preserve">, al ser una obligación del empleador.  </w:t>
      </w:r>
    </w:p>
    <w:p w14:paraId="2BB9197F" w14:textId="77777777" w:rsidR="0025754E" w:rsidRPr="003A0759" w:rsidRDefault="0025754E" w:rsidP="00E30F56">
      <w:pPr>
        <w:spacing w:after="0" w:line="360" w:lineRule="auto"/>
        <w:ind w:right="-28"/>
        <w:jc w:val="both"/>
        <w:rPr>
          <w:rFonts w:ascii="Palatino Linotype" w:eastAsia="Palatino Linotype" w:hAnsi="Palatino Linotype" w:cs="Palatino Linotype"/>
        </w:rPr>
      </w:pPr>
    </w:p>
    <w:p w14:paraId="7713F21A" w14:textId="77777777" w:rsidR="0025754E" w:rsidRPr="003A0759" w:rsidRDefault="0025754E" w:rsidP="00E30F56">
      <w:pPr>
        <w:spacing w:after="0" w:line="360" w:lineRule="auto"/>
        <w:ind w:right="-28"/>
        <w:jc w:val="both"/>
        <w:rPr>
          <w:rFonts w:ascii="Palatino Linotype" w:eastAsia="Palatino Linotype" w:hAnsi="Palatino Linotype" w:cs="Palatino Linotype"/>
        </w:rPr>
      </w:pPr>
      <w:r w:rsidRPr="003A0759">
        <w:rPr>
          <w:rFonts w:ascii="Palatino Linotype" w:eastAsia="Palatino Linotype" w:hAnsi="Palatino Linotype" w:cs="Palatino Linotype"/>
        </w:rPr>
        <w:t>Para el caso de los servidores públicos del Estado de México y Municipios, la Ley del Trabajo de los Servidores Públicos del Estado de México y Municipios establece en su artículo 78 que los servidores públicos tendrán derecho a un aguinaldo anual, equivalente a 40 días de sueldo base, cuando menos, sin deducción alguna,</w:t>
      </w:r>
      <w:r w:rsidRPr="003A0759">
        <w:rPr>
          <w:rFonts w:ascii="Palatino Linotype" w:eastAsia="Palatino Linotype" w:hAnsi="Palatino Linotype" w:cs="Palatino Linotype"/>
          <w:b/>
          <w:u w:val="single"/>
        </w:rPr>
        <w:t xml:space="preserve"> y estará comprendido en el presupuesto de egresos correspondiente. </w:t>
      </w:r>
    </w:p>
    <w:p w14:paraId="533BCEE6" w14:textId="77777777" w:rsidR="0025754E" w:rsidRPr="003A0759" w:rsidRDefault="0025754E" w:rsidP="00E30F56">
      <w:pPr>
        <w:spacing w:after="0" w:line="360" w:lineRule="auto"/>
        <w:ind w:right="-28"/>
        <w:jc w:val="both"/>
        <w:rPr>
          <w:rFonts w:ascii="Palatino Linotype" w:eastAsia="Palatino Linotype" w:hAnsi="Palatino Linotype" w:cs="Palatino Linotype"/>
        </w:rPr>
      </w:pPr>
    </w:p>
    <w:p w14:paraId="387D2658" w14:textId="77777777" w:rsidR="0025754E" w:rsidRPr="003A0759" w:rsidRDefault="0025754E" w:rsidP="00E30F56">
      <w:pPr>
        <w:spacing w:after="0" w:line="360" w:lineRule="auto"/>
        <w:ind w:right="-28"/>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Dicho aguinaldo deberá pagarse en dos entregas, </w:t>
      </w:r>
      <w:r w:rsidRPr="003A0759">
        <w:rPr>
          <w:rFonts w:ascii="Palatino Linotype" w:eastAsia="Palatino Linotype" w:hAnsi="Palatino Linotype" w:cs="Palatino Linotype"/>
          <w:b/>
          <w:u w:val="single"/>
        </w:rPr>
        <w:t>la primera de ellas previo al primer período vacacional y la segunda a más tardar el día 15 de diciembre</w:t>
      </w:r>
      <w:r w:rsidRPr="003A0759">
        <w:rPr>
          <w:rFonts w:ascii="Palatino Linotype" w:eastAsia="Palatino Linotype" w:hAnsi="Palatino Linotype" w:cs="Palatino Linotype"/>
        </w:rPr>
        <w:t>.</w:t>
      </w:r>
    </w:p>
    <w:p w14:paraId="3E42391D" w14:textId="77777777" w:rsidR="006E5101" w:rsidRPr="003A0759" w:rsidRDefault="006E5101" w:rsidP="00E30F56">
      <w:pPr>
        <w:spacing w:after="0" w:line="360" w:lineRule="auto"/>
        <w:ind w:right="-28"/>
        <w:jc w:val="both"/>
        <w:rPr>
          <w:rFonts w:ascii="Palatino Linotype" w:eastAsia="Palatino Linotype" w:hAnsi="Palatino Linotype" w:cs="Palatino Linotype"/>
        </w:rPr>
      </w:pPr>
    </w:p>
    <w:p w14:paraId="26BC8018" w14:textId="5B92D2C5" w:rsidR="006E5101" w:rsidRPr="003A0759" w:rsidRDefault="006E5101" w:rsidP="005270E9">
      <w:pPr>
        <w:spacing w:after="0" w:line="360" w:lineRule="auto"/>
        <w:ind w:right="-28"/>
        <w:jc w:val="both"/>
        <w:rPr>
          <w:rFonts w:ascii="Palatino Linotype" w:eastAsia="Palatino Linotype" w:hAnsi="Palatino Linotype" w:cs="Palatino Linotype"/>
        </w:rPr>
      </w:pPr>
      <w:r w:rsidRPr="003A0759">
        <w:rPr>
          <w:rFonts w:ascii="Palatino Linotype" w:eastAsia="Palatino Linotype" w:hAnsi="Palatino Linotype" w:cs="Palatino Linotype"/>
        </w:rPr>
        <w:t>Ahora bien, respecto al derecho a una</w:t>
      </w:r>
      <w:r w:rsidRPr="003A0759">
        <w:rPr>
          <w:rFonts w:ascii="Palatino Linotype" w:eastAsia="Palatino Linotype" w:hAnsi="Palatino Linotype" w:cs="Palatino Linotype"/>
          <w:i/>
        </w:rPr>
        <w:t xml:space="preserve"> prima vacacional</w:t>
      </w:r>
      <w:r w:rsidRPr="003A0759">
        <w:rPr>
          <w:rFonts w:ascii="Palatino Linotype" w:eastAsia="Palatino Linotype" w:hAnsi="Palatino Linotype" w:cs="Palatino Linotype"/>
        </w:rPr>
        <w:t>, la Ley del Trabajo de los Servidores Públicos del Estado de México y Municipios establece lo siguiente:</w:t>
      </w:r>
    </w:p>
    <w:p w14:paraId="7890EFF9" w14:textId="77777777" w:rsidR="006E5101" w:rsidRPr="003A0759" w:rsidRDefault="006E5101" w:rsidP="005270E9">
      <w:pPr>
        <w:spacing w:after="0"/>
        <w:ind w:left="851" w:right="900"/>
        <w:jc w:val="both"/>
        <w:rPr>
          <w:rFonts w:ascii="Palatino Linotype" w:eastAsia="Palatino Linotype" w:hAnsi="Palatino Linotype" w:cs="Palatino Linotype"/>
          <w:b/>
          <w:i/>
        </w:rPr>
      </w:pPr>
    </w:p>
    <w:p w14:paraId="7321054B" w14:textId="0F20CE24" w:rsidR="006E5101" w:rsidRPr="003A0759" w:rsidRDefault="006E5101" w:rsidP="005270E9">
      <w:pPr>
        <w:spacing w:after="0"/>
        <w:ind w:left="851" w:right="900"/>
        <w:jc w:val="both"/>
        <w:rPr>
          <w:rFonts w:ascii="Palatino Linotype" w:eastAsia="Palatino Linotype" w:hAnsi="Palatino Linotype" w:cs="Palatino Linotype"/>
          <w:i/>
        </w:rPr>
      </w:pPr>
      <w:r w:rsidRPr="003A0759">
        <w:rPr>
          <w:rFonts w:ascii="Palatino Linotype" w:eastAsia="Palatino Linotype" w:hAnsi="Palatino Linotype" w:cs="Palatino Linotype"/>
          <w:b/>
          <w:i/>
        </w:rPr>
        <w:t>“ARTÍCULO 66.</w:t>
      </w:r>
      <w:r w:rsidRPr="003A0759">
        <w:rPr>
          <w:rFonts w:ascii="Palatino Linotype" w:eastAsia="Palatino Linotype" w:hAnsi="Palatino Linotype" w:cs="Palatino Linotype"/>
          <w:i/>
        </w:rPr>
        <w:t xml:space="preserve"> Se establecen dos períodos anuales de vacaciones, de diez días laborables cada uno, cuyas fechas deberán ser dadas a conocer oportunamente por cada institución pública. </w:t>
      </w:r>
      <w:r w:rsidRPr="003A0759">
        <w:rPr>
          <w:rFonts w:ascii="Palatino Linotype" w:eastAsia="Palatino Linotype" w:hAnsi="Palatino Linotype" w:cs="Palatino Linotype"/>
          <w:b/>
          <w:i/>
        </w:rPr>
        <w:t>Los servidores públicos podrán hacer uso de su primer período vacacional siempre y cuando hayan cumplido seis meses en el servicio</w:t>
      </w:r>
      <w:r w:rsidRPr="003A0759">
        <w:rPr>
          <w:rFonts w:ascii="Palatino Linotype" w:eastAsia="Palatino Linotype" w:hAnsi="Palatino Linotype" w:cs="Palatino Linotype"/>
          <w:i/>
        </w:rPr>
        <w:t>. Los servidores públicos que durante los períodos normales de vacaciones se encuentren con licencia por maternidad o enfermedad, podrán gozar, al reintegrarse al servicio, de hasta dos períodos vacacionales no disfrutados anteriormente por esa causa.</w:t>
      </w:r>
    </w:p>
    <w:p w14:paraId="54D50D8C" w14:textId="77777777" w:rsidR="006E5101" w:rsidRPr="003A0759" w:rsidRDefault="006E5101" w:rsidP="005270E9">
      <w:pPr>
        <w:spacing w:after="0"/>
        <w:ind w:left="851" w:right="900"/>
        <w:jc w:val="both"/>
        <w:rPr>
          <w:rFonts w:ascii="Palatino Linotype" w:eastAsia="Palatino Linotype" w:hAnsi="Palatino Linotype" w:cs="Palatino Linotype"/>
          <w:i/>
        </w:rPr>
      </w:pPr>
    </w:p>
    <w:p w14:paraId="0C75A514" w14:textId="77777777" w:rsidR="006E5101" w:rsidRPr="003A0759" w:rsidRDefault="006E5101" w:rsidP="005270E9">
      <w:pPr>
        <w:spacing w:after="0"/>
        <w:ind w:left="851" w:right="900"/>
        <w:jc w:val="both"/>
        <w:rPr>
          <w:rFonts w:ascii="Palatino Linotype" w:eastAsia="Palatino Linotype" w:hAnsi="Palatino Linotype" w:cs="Palatino Linotype"/>
          <w:i/>
        </w:rPr>
      </w:pPr>
      <w:r w:rsidRPr="003A0759">
        <w:rPr>
          <w:rFonts w:ascii="Palatino Linotype" w:eastAsia="Palatino Linotype" w:hAnsi="Palatino Linotype" w:cs="Palatino Linotype"/>
          <w:b/>
          <w:i/>
        </w:rPr>
        <w:t>ARTÍCULO 81.</w:t>
      </w:r>
      <w:r w:rsidRPr="003A0759">
        <w:rPr>
          <w:rFonts w:ascii="Palatino Linotype" w:eastAsia="Palatino Linotype" w:hAnsi="Palatino Linotype" w:cs="Palatino Linotype"/>
          <w:i/>
        </w:rPr>
        <w:t xml:space="preserve"> En los días de descanso obligatorio y en las vacaciones a que se refieren los artículos 66 y 68 de esta ley, los servidores públicos </w:t>
      </w:r>
      <w:r w:rsidRPr="003A0759">
        <w:rPr>
          <w:rFonts w:ascii="Palatino Linotype" w:eastAsia="Palatino Linotype" w:hAnsi="Palatino Linotype" w:cs="Palatino Linotype"/>
          <w:b/>
          <w:i/>
        </w:rPr>
        <w:t>recibirán sueldo íntegro</w:t>
      </w:r>
      <w:r w:rsidRPr="003A0759">
        <w:rPr>
          <w:rFonts w:ascii="Palatino Linotype" w:eastAsia="Palatino Linotype" w:hAnsi="Palatino Linotype" w:cs="Palatino Linotype"/>
          <w:i/>
        </w:rPr>
        <w:t>. Cuando el sueldo se pague por unidad de obra, se promediará el sueldo base presupuestal del último mes.</w:t>
      </w:r>
    </w:p>
    <w:p w14:paraId="184AB55A" w14:textId="77777777" w:rsidR="006E5101" w:rsidRPr="003A0759" w:rsidRDefault="006E5101" w:rsidP="005270E9">
      <w:pPr>
        <w:spacing w:after="0"/>
        <w:ind w:left="851" w:right="900"/>
        <w:jc w:val="both"/>
        <w:rPr>
          <w:rFonts w:ascii="Palatino Linotype" w:eastAsia="Palatino Linotype" w:hAnsi="Palatino Linotype" w:cs="Palatino Linotype"/>
          <w:i/>
        </w:rPr>
      </w:pPr>
      <w:r w:rsidRPr="003A0759">
        <w:rPr>
          <w:rFonts w:ascii="Palatino Linotype" w:eastAsia="Palatino Linotype" w:hAnsi="Palatino Linotype" w:cs="Palatino Linotype"/>
          <w:b/>
          <w:i/>
        </w:rPr>
        <w:t>…</w:t>
      </w:r>
    </w:p>
    <w:p w14:paraId="051C034F" w14:textId="77777777" w:rsidR="006E5101" w:rsidRPr="003A0759" w:rsidRDefault="006E5101" w:rsidP="005270E9">
      <w:pPr>
        <w:spacing w:after="0"/>
        <w:ind w:left="851" w:right="900"/>
        <w:jc w:val="both"/>
        <w:rPr>
          <w:rFonts w:ascii="Palatino Linotype" w:eastAsia="Palatino Linotype" w:hAnsi="Palatino Linotype" w:cs="Palatino Linotype"/>
          <w:b/>
          <w:i/>
          <w:u w:val="single"/>
        </w:rPr>
      </w:pPr>
      <w:r w:rsidRPr="003A0759">
        <w:rPr>
          <w:rFonts w:ascii="Palatino Linotype" w:eastAsia="Palatino Linotype" w:hAnsi="Palatino Linotype" w:cs="Palatino Linotype"/>
          <w:b/>
          <w:i/>
          <w:u w:val="single"/>
        </w:rPr>
        <w:t>Los servidores públicos que, conforme al artículo 66 de esta ley, tengan derecho a disfrutar de los períodos vacacionales, percibirán una prima de un 25% como mínimo, sobre el sueldo base presupuestal que les corresponda durante los mismos.</w:t>
      </w:r>
    </w:p>
    <w:p w14:paraId="1EB7975D" w14:textId="77777777" w:rsidR="006E5101" w:rsidRPr="003A0759" w:rsidRDefault="006E5101" w:rsidP="005270E9">
      <w:pPr>
        <w:spacing w:after="0" w:line="360" w:lineRule="auto"/>
        <w:ind w:right="-28"/>
        <w:jc w:val="both"/>
        <w:rPr>
          <w:rFonts w:ascii="Palatino Linotype" w:eastAsia="Palatino Linotype" w:hAnsi="Palatino Linotype" w:cs="Palatino Linotype"/>
        </w:rPr>
      </w:pPr>
    </w:p>
    <w:p w14:paraId="04367DF7" w14:textId="77777777" w:rsidR="006E5101" w:rsidRPr="003A0759" w:rsidRDefault="006E5101" w:rsidP="005270E9">
      <w:pPr>
        <w:spacing w:after="0" w:line="360" w:lineRule="auto"/>
        <w:ind w:right="-28"/>
        <w:jc w:val="both"/>
        <w:rPr>
          <w:rFonts w:ascii="Palatino Linotype" w:eastAsia="Palatino Linotype" w:hAnsi="Palatino Linotype" w:cs="Palatino Linotype"/>
        </w:rPr>
      </w:pPr>
      <w:r w:rsidRPr="003A0759">
        <w:rPr>
          <w:rFonts w:ascii="Palatino Linotype" w:eastAsia="Palatino Linotype" w:hAnsi="Palatino Linotype" w:cs="Palatino Linotype"/>
        </w:rPr>
        <w:t>De acuerdo a lo anterior, los servidores públicos que presten sus servicios tendrán dos períodos anuales de vacaciones, de diez días laborables cada uno, por lo que a su vez tendrán derecho a percibir una prima vacacional de un 25% como mínimo, sobre el sueldo base presupuestal que les corresponda.</w:t>
      </w:r>
    </w:p>
    <w:p w14:paraId="0D7EEEB0" w14:textId="77777777" w:rsidR="005270E9" w:rsidRPr="003A0759" w:rsidRDefault="005270E9" w:rsidP="00E30F56">
      <w:pPr>
        <w:spacing w:after="0" w:line="360" w:lineRule="auto"/>
        <w:ind w:right="-28"/>
        <w:jc w:val="both"/>
        <w:rPr>
          <w:rFonts w:ascii="Palatino Linotype" w:eastAsia="Palatino Linotype" w:hAnsi="Palatino Linotype" w:cs="Palatino Linotype"/>
        </w:rPr>
      </w:pPr>
    </w:p>
    <w:p w14:paraId="3434E12D" w14:textId="77777777" w:rsidR="0025754E" w:rsidRPr="003A0759" w:rsidRDefault="0025754E" w:rsidP="00E30F56">
      <w:pPr>
        <w:spacing w:after="0" w:line="360" w:lineRule="auto"/>
        <w:ind w:right="-28"/>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Por lo anterior, se tiene que el derecho al trabajo es un derecho fundamental y esencial para la realización de otros derechos humanos y constituye una parte inseparable e inherente a la dignidad humana, que de acuerdo con el Comité de Derechos Económicos, Sociales y Culturales, toda persona tiene derecho a trabajar para poder vivir con dignidad. El derecho al trabajo comprende entre sus elementos fundamentales la dignidad, ya que el trabajo debe cumplir con un mínimo de condiciones justas, entre estos el derecho a recibir un salario remunerador que puede venir acompañado de otros beneficios y prestaciones. </w:t>
      </w:r>
    </w:p>
    <w:p w14:paraId="0744D031" w14:textId="77777777" w:rsidR="004C750B" w:rsidRPr="003A0759" w:rsidRDefault="004C750B" w:rsidP="00E30F56">
      <w:pPr>
        <w:spacing w:after="0" w:line="360" w:lineRule="auto"/>
        <w:ind w:right="-28"/>
        <w:jc w:val="both"/>
        <w:rPr>
          <w:rFonts w:ascii="Palatino Linotype" w:eastAsia="Palatino Linotype" w:hAnsi="Palatino Linotype" w:cs="Palatino Linotype"/>
        </w:rPr>
      </w:pPr>
    </w:p>
    <w:p w14:paraId="3D7885BC" w14:textId="15A49A62" w:rsidR="0025754E" w:rsidRPr="003A0759" w:rsidRDefault="0025754E" w:rsidP="00E30F56">
      <w:pPr>
        <w:spacing w:after="0" w:line="360" w:lineRule="auto"/>
        <w:ind w:right="-28"/>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En México, como se observó, el recibir un salario, aguinaldo y prima vacacional, son derechos reconocidos por las leyes, y de cuyo acceso, permitirá al trabajador cubrir diversas necesidades básicas, como alimentación, vivienda, salud -por mencionar algunos-, y los cuales son derechos humanos reconocidos por nuestra Constitución, lo que implica que el pago del salario y demás prestaciones, están relacionados con el goce y satisfacción de otros derechos humanos, en sentido contrario, </w:t>
      </w:r>
      <w:r w:rsidRPr="003A0759">
        <w:rPr>
          <w:rFonts w:ascii="Palatino Linotype" w:eastAsia="Palatino Linotype" w:hAnsi="Palatino Linotype" w:cs="Palatino Linotype"/>
          <w:b/>
          <w:u w:val="single"/>
        </w:rPr>
        <w:t>la falta de pago de estos derechos por parte del patrón o empleador, no sólo incumple jurídicamente un contrato, sino que violenta y transgrede indirectamente otros derechos humanos reconocidos nacional e internacionalmente.</w:t>
      </w:r>
      <w:r w:rsidRPr="003A0759">
        <w:rPr>
          <w:rFonts w:ascii="Palatino Linotype" w:eastAsia="Palatino Linotype" w:hAnsi="Palatino Linotype" w:cs="Palatino Linotype"/>
        </w:rPr>
        <w:t xml:space="preserve"> </w:t>
      </w:r>
    </w:p>
    <w:p w14:paraId="75F3A145" w14:textId="77777777" w:rsidR="004C750B" w:rsidRPr="003A0759" w:rsidRDefault="004C750B" w:rsidP="00E30F56">
      <w:pPr>
        <w:spacing w:after="0" w:line="360" w:lineRule="auto"/>
        <w:ind w:right="-28"/>
        <w:jc w:val="both"/>
        <w:rPr>
          <w:rFonts w:ascii="Palatino Linotype" w:eastAsia="Palatino Linotype" w:hAnsi="Palatino Linotype" w:cs="Palatino Linotype"/>
        </w:rPr>
      </w:pPr>
    </w:p>
    <w:p w14:paraId="296EF60C" w14:textId="5BD7B104" w:rsidR="00172EE2" w:rsidRPr="003A0759" w:rsidRDefault="0025754E" w:rsidP="00E30F56">
      <w:pPr>
        <w:spacing w:after="0" w:line="360" w:lineRule="auto"/>
        <w:ind w:right="-93"/>
        <w:jc w:val="both"/>
        <w:rPr>
          <w:rFonts w:ascii="Palatino Linotype" w:eastAsia="Palatino Linotype" w:hAnsi="Palatino Linotype" w:cs="Palatino Linotype"/>
        </w:rPr>
      </w:pPr>
      <w:r w:rsidRPr="003A0759">
        <w:rPr>
          <w:rFonts w:ascii="Palatino Linotype" w:eastAsia="Palatino Linotype" w:hAnsi="Palatino Linotype" w:cs="Palatino Linotype"/>
        </w:rPr>
        <w:t>Es por lo anteriormente</w:t>
      </w:r>
      <w:r w:rsidR="00172EE2" w:rsidRPr="003A0759">
        <w:rPr>
          <w:rFonts w:ascii="Palatino Linotype" w:eastAsia="Palatino Linotype" w:hAnsi="Palatino Linotype" w:cs="Palatino Linotype"/>
        </w:rPr>
        <w:t xml:space="preserve"> que el </w:t>
      </w:r>
      <w:r w:rsidR="00172EE2" w:rsidRPr="003A0759">
        <w:rPr>
          <w:rFonts w:ascii="Palatino Linotype" w:eastAsia="Palatino Linotype" w:hAnsi="Palatino Linotype" w:cs="Palatino Linotype"/>
          <w:b/>
        </w:rPr>
        <w:t>Sujeto Obligado</w:t>
      </w:r>
      <w:r w:rsidR="00172EE2" w:rsidRPr="003A0759">
        <w:rPr>
          <w:rFonts w:ascii="Palatino Linotype" w:eastAsia="Palatino Linotype" w:hAnsi="Palatino Linotype" w:cs="Palatino Linotype"/>
        </w:rPr>
        <w:t xml:space="preserve"> cuenta con atribuciones para generar, poseer y administrar la información solicitada, por lo que resulta conveniente recordar que en respuesta el </w:t>
      </w:r>
      <w:r w:rsidR="00172EE2" w:rsidRPr="003A0759">
        <w:rPr>
          <w:rFonts w:ascii="Palatino Linotype" w:eastAsia="Palatino Linotype" w:hAnsi="Palatino Linotype" w:cs="Palatino Linotype"/>
          <w:b/>
        </w:rPr>
        <w:t>Sujeto Obligado</w:t>
      </w:r>
      <w:r w:rsidR="00172EE2" w:rsidRPr="003A0759">
        <w:rPr>
          <w:rFonts w:ascii="Palatino Linotype" w:eastAsia="Palatino Linotype" w:hAnsi="Palatino Linotype" w:cs="Palatino Linotype"/>
        </w:rPr>
        <w:t xml:space="preserve"> a través de la Dirección de Recursos Humanos adscrita a la Dirección General de Administración, informó que después del análisis de la información solicitada, esta podrá ser consultada en la siguiente página de internet: </w:t>
      </w:r>
    </w:p>
    <w:p w14:paraId="1E7EBA1F" w14:textId="77777777" w:rsidR="004C750B" w:rsidRPr="003A0759" w:rsidRDefault="004C750B" w:rsidP="00E30F56">
      <w:pPr>
        <w:spacing w:after="0" w:line="360" w:lineRule="auto"/>
        <w:ind w:right="-93"/>
        <w:jc w:val="both"/>
        <w:rPr>
          <w:rFonts w:ascii="Palatino Linotype" w:eastAsia="Palatino Linotype" w:hAnsi="Palatino Linotype" w:cs="Palatino Linotype"/>
        </w:rPr>
      </w:pPr>
    </w:p>
    <w:p w14:paraId="58826806" w14:textId="6555F31F" w:rsidR="00172EE2" w:rsidRPr="003A0759" w:rsidRDefault="00172EE2" w:rsidP="00E30F56">
      <w:pPr>
        <w:spacing w:after="0" w:line="360" w:lineRule="auto"/>
        <w:ind w:right="-93"/>
        <w:jc w:val="center"/>
        <w:rPr>
          <w:rFonts w:ascii="Palatino Linotype" w:eastAsia="Palatino Linotype" w:hAnsi="Palatino Linotype" w:cs="Palatino Linotype"/>
        </w:rPr>
      </w:pPr>
      <w:r w:rsidRPr="003A0759">
        <w:rPr>
          <w:rFonts w:ascii="Palatino Linotype" w:eastAsia="Palatino Linotype" w:hAnsi="Palatino Linotype" w:cs="Palatino Linotype"/>
          <w:noProof/>
          <w:lang w:eastAsia="es-MX"/>
        </w:rPr>
        <w:drawing>
          <wp:inline distT="0" distB="0" distL="0" distR="0" wp14:anchorId="2D5CEB58" wp14:editId="60BD533A">
            <wp:extent cx="4525006" cy="209579"/>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25006" cy="209579"/>
                    </a:xfrm>
                    <a:prstGeom prst="rect">
                      <a:avLst/>
                    </a:prstGeom>
                  </pic:spPr>
                </pic:pic>
              </a:graphicData>
            </a:graphic>
          </wp:inline>
        </w:drawing>
      </w:r>
    </w:p>
    <w:p w14:paraId="7EB6FA05" w14:textId="77777777" w:rsidR="004C750B" w:rsidRPr="003A0759" w:rsidRDefault="004C750B" w:rsidP="00E30F56">
      <w:pPr>
        <w:spacing w:after="0" w:line="360" w:lineRule="auto"/>
        <w:jc w:val="both"/>
        <w:rPr>
          <w:rFonts w:ascii="Palatino Linotype" w:eastAsia="Palatino Linotype" w:hAnsi="Palatino Linotype" w:cs="Palatino Linotype"/>
        </w:rPr>
      </w:pPr>
    </w:p>
    <w:p w14:paraId="2DFDB7DD" w14:textId="17CAE426" w:rsidR="00741C97" w:rsidRPr="003A0759" w:rsidRDefault="00741C97" w:rsidP="00E30F56">
      <w:pP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Liga que como puede advertirse se encuentra en formato cerrado, es decir, que no se puede copiar y pegar para tener acceso; sobre el tema, Trujillo, Humberto (2019), en el “Diccionario de Transparencia y Acceso a la Información Pública”, precisa que cuando un </w:t>
      </w:r>
      <w:r w:rsidRPr="003A0759">
        <w:rPr>
          <w:rFonts w:ascii="Palatino Linotype" w:eastAsia="Palatino Linotype" w:hAnsi="Palatino Linotype" w:cs="Palatino Linotype"/>
          <w:b/>
        </w:rPr>
        <w:t xml:space="preserve">Sujeto Obligado </w:t>
      </w:r>
      <w:r w:rsidRPr="003A0759">
        <w:rPr>
          <w:rFonts w:ascii="Palatino Linotype" w:eastAsia="Palatino Linotype" w:hAnsi="Palatino Linotype" w:cs="Palatino Linotype"/>
        </w:rPr>
        <w:t>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798359CC" w14:textId="77777777" w:rsidR="00741C97" w:rsidRPr="003A0759" w:rsidRDefault="00741C97" w:rsidP="00E30F56">
      <w:pPr>
        <w:spacing w:after="0" w:line="360" w:lineRule="auto"/>
        <w:jc w:val="both"/>
        <w:rPr>
          <w:rFonts w:ascii="Palatino Linotype" w:eastAsia="Palatino Linotype" w:hAnsi="Palatino Linotype" w:cs="Palatino Linotype"/>
        </w:rPr>
      </w:pPr>
    </w:p>
    <w:p w14:paraId="3F18D002" w14:textId="77777777" w:rsidR="00741C97" w:rsidRPr="003A0759" w:rsidRDefault="00741C97" w:rsidP="00E30F56">
      <w:pP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Asimismo, establece que al proporcionar información pública es necesario que sea en un formato que no tenga ninguna restricción en el acceso o reutilización, por lo que, es necesario que los datos digitales (como ligas electrónicas), se proporcionen en un formato abierto. </w:t>
      </w:r>
    </w:p>
    <w:p w14:paraId="4CA28BF3" w14:textId="77777777" w:rsidR="004C750B" w:rsidRPr="003A0759" w:rsidRDefault="004C750B" w:rsidP="00E30F56">
      <w:pPr>
        <w:spacing w:after="0" w:line="360" w:lineRule="auto"/>
        <w:jc w:val="both"/>
        <w:rPr>
          <w:rFonts w:ascii="Palatino Linotype" w:eastAsia="Palatino Linotype" w:hAnsi="Palatino Linotype" w:cs="Palatino Linotype"/>
        </w:rPr>
      </w:pPr>
    </w:p>
    <w:p w14:paraId="6B9AD11A" w14:textId="70088AD0" w:rsidR="00741C97" w:rsidRPr="003A0759" w:rsidRDefault="00741C97" w:rsidP="00E30F56">
      <w:pP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12DFC61E" w14:textId="77777777" w:rsidR="004C750B" w:rsidRPr="003A0759" w:rsidRDefault="004C750B" w:rsidP="00E30F56">
      <w:pPr>
        <w:spacing w:after="0" w:line="360" w:lineRule="auto"/>
        <w:jc w:val="both"/>
        <w:rPr>
          <w:rFonts w:ascii="Palatino Linotype" w:eastAsia="Palatino Linotype" w:hAnsi="Palatino Linotype" w:cs="Palatino Linotype"/>
        </w:rPr>
      </w:pPr>
    </w:p>
    <w:p w14:paraId="2D54B354" w14:textId="77777777" w:rsidR="00741C97" w:rsidRPr="003A0759" w:rsidRDefault="00741C97" w:rsidP="00E30F56">
      <w:pPr>
        <w:pStyle w:val="Prrafodelista"/>
        <w:numPr>
          <w:ilvl w:val="0"/>
          <w:numId w:val="19"/>
        </w:numPr>
        <w:spacing w:after="0" w:line="360" w:lineRule="auto"/>
        <w:contextualSpacing w:val="0"/>
        <w:jc w:val="both"/>
        <w:rPr>
          <w:rFonts w:ascii="Palatino Linotype" w:eastAsia="Palatino Linotype" w:hAnsi="Palatino Linotype" w:cs="Palatino Linotype"/>
        </w:rPr>
      </w:pPr>
      <w:r w:rsidRPr="003A0759">
        <w:rPr>
          <w:rFonts w:ascii="Palatino Linotype" w:eastAsia="Palatino Linotype" w:hAnsi="Palatino Linotype" w:cs="Palatino Linotype"/>
          <w:b/>
        </w:rPr>
        <w:t>Dato abierto:</w:t>
      </w:r>
      <w:r w:rsidRPr="003A0759">
        <w:rPr>
          <w:rFonts w:ascii="Palatino Linotype" w:eastAsia="Palatino Linotype" w:hAnsi="Palatino Linotype" w:cs="Palatino Linotype"/>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2DC02266" w14:textId="77777777" w:rsidR="004C750B" w:rsidRPr="003A0759" w:rsidRDefault="004C750B" w:rsidP="004C750B">
      <w:pPr>
        <w:pStyle w:val="Prrafodelista"/>
        <w:spacing w:after="0" w:line="360" w:lineRule="auto"/>
        <w:contextualSpacing w:val="0"/>
        <w:jc w:val="both"/>
        <w:rPr>
          <w:rFonts w:ascii="Palatino Linotype" w:eastAsia="Palatino Linotype" w:hAnsi="Palatino Linotype" w:cs="Palatino Linotype"/>
        </w:rPr>
      </w:pPr>
    </w:p>
    <w:p w14:paraId="65D678C8" w14:textId="77777777" w:rsidR="00741C97" w:rsidRPr="003A0759" w:rsidRDefault="00741C97" w:rsidP="00E30F56">
      <w:pPr>
        <w:pStyle w:val="Prrafodelista"/>
        <w:numPr>
          <w:ilvl w:val="0"/>
          <w:numId w:val="19"/>
        </w:numPr>
        <w:spacing w:after="0" w:line="360" w:lineRule="auto"/>
        <w:contextualSpacing w:val="0"/>
        <w:jc w:val="both"/>
        <w:rPr>
          <w:rFonts w:ascii="Palatino Linotype" w:eastAsia="Palatino Linotype" w:hAnsi="Palatino Linotype" w:cs="Palatino Linotype"/>
        </w:rPr>
      </w:pPr>
      <w:r w:rsidRPr="003A0759">
        <w:rPr>
          <w:rFonts w:ascii="Palatino Linotype" w:eastAsia="Palatino Linotype" w:hAnsi="Palatino Linotype" w:cs="Palatino Linotype"/>
          <w:b/>
        </w:rPr>
        <w:t xml:space="preserve">Formato accesible: </w:t>
      </w:r>
      <w:r w:rsidRPr="003A0759">
        <w:rPr>
          <w:rFonts w:ascii="Palatino Linotype" w:eastAsia="Palatino Linotype" w:hAnsi="Palatino Linotype" w:cs="Palatino Linotype"/>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5C6552F3" w14:textId="77777777" w:rsidR="004C750B" w:rsidRPr="003A0759" w:rsidRDefault="004C750B" w:rsidP="004C750B">
      <w:pPr>
        <w:pStyle w:val="Prrafodelista"/>
        <w:spacing w:after="0" w:line="360" w:lineRule="auto"/>
        <w:contextualSpacing w:val="0"/>
        <w:jc w:val="both"/>
        <w:rPr>
          <w:rFonts w:ascii="Palatino Linotype" w:eastAsia="Palatino Linotype" w:hAnsi="Palatino Linotype" w:cs="Palatino Linotype"/>
        </w:rPr>
      </w:pPr>
    </w:p>
    <w:p w14:paraId="2BC1BA2F" w14:textId="77777777" w:rsidR="00741C97" w:rsidRPr="003A0759" w:rsidRDefault="00741C97" w:rsidP="00E30F56">
      <w:pP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Conforme a lo anterior, se considera que en el caso de que la información peticionada obre en ligas electrónicas, el </w:t>
      </w:r>
      <w:r w:rsidRPr="003A0759">
        <w:rPr>
          <w:rFonts w:ascii="Palatino Linotype" w:eastAsia="Palatino Linotype" w:hAnsi="Palatino Linotype" w:cs="Palatino Linotype"/>
          <w:b/>
        </w:rPr>
        <w:t>Sujeto Obligado</w:t>
      </w:r>
      <w:r w:rsidRPr="003A0759">
        <w:rPr>
          <w:rFonts w:ascii="Palatino Linotype" w:eastAsia="Palatino Linotype" w:hAnsi="Palatino Linotype" w:cs="Palatino Linotype"/>
        </w:rPr>
        <w:t xml:space="preserve"> deberá privilegiar la entrega de estas, en datos abiertos, es decir, en un formato que permita la accesibilidad y facilidad a los Particulares, para obtener la información contenida en estas.</w:t>
      </w:r>
    </w:p>
    <w:p w14:paraId="3EF4710E" w14:textId="77777777" w:rsidR="004C750B" w:rsidRPr="003A0759" w:rsidRDefault="004C750B" w:rsidP="00E30F56">
      <w:pPr>
        <w:spacing w:after="0" w:line="360" w:lineRule="auto"/>
        <w:jc w:val="both"/>
        <w:rPr>
          <w:rFonts w:ascii="Palatino Linotype" w:eastAsia="Palatino Linotype" w:hAnsi="Palatino Linotype" w:cs="Palatino Linotype"/>
        </w:rPr>
      </w:pPr>
    </w:p>
    <w:p w14:paraId="0D0ABC8B" w14:textId="77777777" w:rsidR="00741C97" w:rsidRPr="003A0759" w:rsidRDefault="00741C97" w:rsidP="00E30F56">
      <w:pP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Al respecto, el artículo 161 de la Ley de Transparencia y Acceso a la Información Pública del Estado de México y Municipios, establece que cuando la documentación peticionada ya se encuentre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42A2034C" w14:textId="77777777" w:rsidR="004C750B" w:rsidRPr="003A0759" w:rsidRDefault="004C750B" w:rsidP="00E30F56">
      <w:pPr>
        <w:spacing w:after="0" w:line="360" w:lineRule="auto"/>
        <w:jc w:val="both"/>
        <w:rPr>
          <w:rFonts w:ascii="Palatino Linotype" w:eastAsia="Palatino Linotype" w:hAnsi="Palatino Linotype" w:cs="Palatino Linotype"/>
        </w:rPr>
      </w:pPr>
    </w:p>
    <w:p w14:paraId="24F2D4AE" w14:textId="1710B1B7" w:rsidR="00B05523" w:rsidRPr="003A0759" w:rsidRDefault="00741C97" w:rsidP="00795BDF">
      <w:pP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Como se logra observar, el </w:t>
      </w:r>
      <w:r w:rsidRPr="003A0759">
        <w:rPr>
          <w:rFonts w:ascii="Palatino Linotype" w:eastAsia="Palatino Linotype" w:hAnsi="Palatino Linotype" w:cs="Palatino Linotype"/>
          <w:b/>
        </w:rPr>
        <w:t>Sujeto Obligado</w:t>
      </w:r>
      <w:r w:rsidRPr="003A0759">
        <w:rPr>
          <w:rFonts w:ascii="Palatino Linotype" w:eastAsia="Palatino Linotype" w:hAnsi="Palatino Linotype" w:cs="Palatino Linotype"/>
        </w:rPr>
        <w:t xml:space="preserve"> si bien señaló una página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las mismas; por lo que, este Organismo Garante considera oportuno revocar las respuestas del </w:t>
      </w:r>
      <w:r w:rsidRPr="003A0759">
        <w:rPr>
          <w:rFonts w:ascii="Palatino Linotype" w:eastAsia="Palatino Linotype" w:hAnsi="Palatino Linotype" w:cs="Palatino Linotype"/>
          <w:b/>
        </w:rPr>
        <w:t>Sujeto Obligado</w:t>
      </w:r>
      <w:r w:rsidRPr="003A0759">
        <w:rPr>
          <w:rFonts w:ascii="Palatino Linotype" w:eastAsia="Palatino Linotype" w:hAnsi="Palatino Linotype" w:cs="Palatino Linotype"/>
        </w:rPr>
        <w:t xml:space="preserve"> y ordenar la entrega, de los integrantes de cabildo, directores generales, coordinadores, directores de área, titulares de las áreas y presidente municipal, </w:t>
      </w:r>
      <w:bookmarkStart w:id="7" w:name="_Hlk208360296"/>
      <w:r w:rsidR="004C1E38" w:rsidRPr="003A0759">
        <w:rPr>
          <w:rFonts w:ascii="Palatino Linotype" w:eastAsia="Palatino Linotype" w:hAnsi="Palatino Linotype" w:cs="Palatino Linotype"/>
        </w:rPr>
        <w:t>l</w:t>
      </w:r>
      <w:r w:rsidR="00100AA8" w:rsidRPr="003A0759">
        <w:rPr>
          <w:rFonts w:ascii="Palatino Linotype" w:eastAsia="Palatino Linotype" w:hAnsi="Palatino Linotype" w:cs="Palatino Linotype"/>
        </w:rPr>
        <w:t>os recibos de aguinaldo y prima vacacional pagados del uno de enero al treinta de junio de dos mil veinticuatro y del primero de enero al treinta de junio de dos mil veinticinco</w:t>
      </w:r>
      <w:r w:rsidRPr="003A0759">
        <w:rPr>
          <w:rFonts w:ascii="Palatino Linotype" w:eastAsia="Palatino Linotype" w:hAnsi="Palatino Linotype" w:cs="Palatino Linotype"/>
        </w:rPr>
        <w:t xml:space="preserve">; en versión pública. </w:t>
      </w:r>
      <w:bookmarkEnd w:id="7"/>
    </w:p>
    <w:p w14:paraId="2267BDB0" w14:textId="77777777" w:rsidR="00795BDF" w:rsidRPr="003A0759" w:rsidRDefault="00795BDF" w:rsidP="00795BDF">
      <w:pPr>
        <w:spacing w:after="0" w:line="360" w:lineRule="auto"/>
        <w:jc w:val="both"/>
        <w:rPr>
          <w:rFonts w:ascii="Palatino Linotype" w:eastAsia="Palatino Linotype" w:hAnsi="Palatino Linotype" w:cs="Palatino Linotype"/>
        </w:rPr>
      </w:pPr>
    </w:p>
    <w:p w14:paraId="338195E6" w14:textId="3773217E" w:rsidR="005270E9" w:rsidRPr="003A0759" w:rsidRDefault="008C3347" w:rsidP="00795BDF">
      <w:pP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Para el caso de que el </w:t>
      </w:r>
      <w:r w:rsidRPr="003A0759">
        <w:rPr>
          <w:rFonts w:ascii="Palatino Linotype" w:eastAsia="Palatino Linotype" w:hAnsi="Palatino Linotype" w:cs="Palatino Linotype"/>
          <w:b/>
        </w:rPr>
        <w:t>Sujeto Obligado</w:t>
      </w:r>
      <w:r w:rsidRPr="003A0759">
        <w:rPr>
          <w:rFonts w:ascii="Palatino Linotype" w:eastAsia="Palatino Linotype" w:hAnsi="Palatino Linotype" w:cs="Palatino Linotype"/>
        </w:rPr>
        <w:t xml:space="preserve"> no cuente con recibos por concepto de prima vacacional de alguno de los servidores públicos, por no haber cumplido con los seis meses en el servicio que la ley señala para tener derecho a recibirla, este deberá hacerlo del conocimiento del Particular en términos del artículo 19, párrafo segundo, de la Ley de Transparencia y Acceso a la Información Pública del Estado de México y Municipios, para tenerse por colmado dicho requerimiento</w:t>
      </w:r>
      <w:r w:rsidR="005270E9" w:rsidRPr="003A0759">
        <w:rPr>
          <w:rFonts w:ascii="Palatino Linotype" w:eastAsia="Palatino Linotype" w:hAnsi="Palatino Linotype" w:cs="Palatino Linotype"/>
        </w:rPr>
        <w:t xml:space="preserve">. </w:t>
      </w:r>
    </w:p>
    <w:p w14:paraId="39DB0A2A" w14:textId="77777777" w:rsidR="00795BDF" w:rsidRPr="003A0759" w:rsidRDefault="00795BDF" w:rsidP="00795BDF">
      <w:pPr>
        <w:spacing w:after="0" w:line="360" w:lineRule="auto"/>
        <w:jc w:val="both"/>
        <w:rPr>
          <w:rFonts w:ascii="Palatino Linotype" w:eastAsia="Palatino Linotype" w:hAnsi="Palatino Linotype" w:cs="Palatino Linotype"/>
        </w:rPr>
      </w:pPr>
    </w:p>
    <w:p w14:paraId="3CBAA0C9" w14:textId="12D5E91C" w:rsidR="00861417" w:rsidRPr="003A0759" w:rsidRDefault="00861417" w:rsidP="00B05523">
      <w:pP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b/>
        </w:rPr>
        <w:t xml:space="preserve">Quinto. Versión Pública. </w:t>
      </w:r>
      <w:r w:rsidRPr="003A0759">
        <w:rPr>
          <w:rFonts w:ascii="Palatino Linotype" w:eastAsia="Palatino Linotype" w:hAnsi="Palatino Linotype" w:cs="Palatino Linotype"/>
        </w:rPr>
        <w:t>Como fue debidamente apun</w:t>
      </w:r>
      <w:r w:rsidR="00E30F56" w:rsidRPr="003A0759">
        <w:rPr>
          <w:rFonts w:ascii="Palatino Linotype" w:eastAsia="Palatino Linotype" w:hAnsi="Palatino Linotype" w:cs="Palatino Linotype"/>
        </w:rPr>
        <w:t xml:space="preserve">tado, el </w:t>
      </w:r>
      <w:r w:rsidRPr="003A0759">
        <w:rPr>
          <w:rFonts w:ascii="Palatino Linotype" w:eastAsia="Palatino Linotype" w:hAnsi="Palatino Linotype" w:cs="Palatino Linotype"/>
          <w:b/>
        </w:rPr>
        <w:t>Sujeto Obligado</w:t>
      </w:r>
      <w:r w:rsidRPr="003A0759">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5EB7024E" w14:textId="77777777" w:rsidR="00861417" w:rsidRPr="003A0759" w:rsidRDefault="00861417" w:rsidP="00E30F56">
      <w:pPr>
        <w:pBdr>
          <w:top w:val="nil"/>
          <w:left w:val="nil"/>
          <w:bottom w:val="nil"/>
          <w:right w:val="nil"/>
          <w:between w:val="nil"/>
        </w:pBdr>
        <w:spacing w:after="0" w:line="360" w:lineRule="auto"/>
        <w:ind w:right="51"/>
        <w:jc w:val="both"/>
        <w:rPr>
          <w:rFonts w:ascii="Palatino Linotype" w:hAnsi="Palatino Linotype"/>
        </w:rPr>
      </w:pPr>
    </w:p>
    <w:p w14:paraId="2DE04886" w14:textId="77777777" w:rsidR="00861417" w:rsidRPr="003A0759" w:rsidRDefault="00861417" w:rsidP="004C750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04AFC86" w14:textId="77777777" w:rsidR="00861417" w:rsidRPr="003A0759" w:rsidRDefault="00861417" w:rsidP="004C750B">
      <w:pPr>
        <w:pBdr>
          <w:top w:val="nil"/>
          <w:left w:val="nil"/>
          <w:bottom w:val="nil"/>
          <w:right w:val="nil"/>
          <w:between w:val="nil"/>
        </w:pBdr>
        <w:spacing w:after="0" w:line="360" w:lineRule="auto"/>
        <w:ind w:right="49"/>
        <w:jc w:val="both"/>
        <w:rPr>
          <w:rFonts w:ascii="Palatino Linotype" w:hAnsi="Palatino Linotype"/>
        </w:rPr>
      </w:pPr>
    </w:p>
    <w:p w14:paraId="27C64ADE" w14:textId="77777777" w:rsidR="00861417" w:rsidRPr="003A0759" w:rsidRDefault="00861417" w:rsidP="004C750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7D32E43C" w14:textId="77777777" w:rsidR="00861417" w:rsidRPr="003A0759" w:rsidRDefault="00861417" w:rsidP="004C750B">
      <w:pPr>
        <w:pBdr>
          <w:top w:val="nil"/>
          <w:left w:val="nil"/>
          <w:bottom w:val="nil"/>
          <w:right w:val="nil"/>
          <w:between w:val="nil"/>
        </w:pBdr>
        <w:spacing w:after="0" w:line="360" w:lineRule="auto"/>
        <w:ind w:right="49"/>
        <w:jc w:val="both"/>
        <w:rPr>
          <w:rFonts w:ascii="Palatino Linotype" w:hAnsi="Palatino Linotype"/>
        </w:rPr>
      </w:pPr>
    </w:p>
    <w:p w14:paraId="246ADDD7" w14:textId="77777777" w:rsidR="00861417" w:rsidRPr="003A0759" w:rsidRDefault="00861417" w:rsidP="004C750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Al respecto, los artículos 3, fracciones IX, XX, XXI, XXXII, XLV; 6, 91, 137, 143 fracción I, de la Ley de Transparencia y Acceso a la Información Pública del Estado de México y Municipios vigente establecen:</w:t>
      </w:r>
    </w:p>
    <w:p w14:paraId="3AC1DF65" w14:textId="77777777" w:rsidR="004C750B" w:rsidRPr="003A0759" w:rsidRDefault="004C750B" w:rsidP="00E30F56">
      <w:pPr>
        <w:pBdr>
          <w:top w:val="nil"/>
          <w:left w:val="nil"/>
          <w:bottom w:val="nil"/>
          <w:right w:val="nil"/>
          <w:between w:val="nil"/>
        </w:pBdr>
        <w:spacing w:after="0"/>
        <w:ind w:left="567" w:right="902"/>
        <w:jc w:val="both"/>
        <w:rPr>
          <w:rFonts w:ascii="Palatino Linotype" w:eastAsia="Palatino Linotype" w:hAnsi="Palatino Linotype" w:cs="Palatino Linotype"/>
          <w:i/>
        </w:rPr>
      </w:pPr>
    </w:p>
    <w:p w14:paraId="0835A979" w14:textId="6ABEF4CA" w:rsidR="00861417" w:rsidRPr="003A0759" w:rsidRDefault="00861417" w:rsidP="004C750B">
      <w:pPr>
        <w:pBdr>
          <w:top w:val="nil"/>
          <w:left w:val="nil"/>
          <w:bottom w:val="nil"/>
          <w:right w:val="nil"/>
          <w:between w:val="nil"/>
        </w:pBdr>
        <w:spacing w:after="0"/>
        <w:ind w:left="851" w:right="902"/>
        <w:jc w:val="both"/>
        <w:rPr>
          <w:rFonts w:ascii="Palatino Linotype" w:hAnsi="Palatino Linotype"/>
        </w:rPr>
      </w:pPr>
      <w:r w:rsidRPr="003A0759">
        <w:rPr>
          <w:rFonts w:ascii="Palatino Linotype" w:eastAsia="Palatino Linotype" w:hAnsi="Palatino Linotype" w:cs="Palatino Linotype"/>
          <w:i/>
        </w:rPr>
        <w:t>“</w:t>
      </w:r>
      <w:r w:rsidRPr="003A0759">
        <w:rPr>
          <w:rFonts w:ascii="Palatino Linotype" w:eastAsia="Palatino Linotype" w:hAnsi="Palatino Linotype" w:cs="Palatino Linotype"/>
          <w:b/>
          <w:i/>
        </w:rPr>
        <w:t>Artículo 3.</w:t>
      </w:r>
      <w:r w:rsidRPr="003A0759">
        <w:rPr>
          <w:rFonts w:ascii="Palatino Linotype" w:eastAsia="Palatino Linotype" w:hAnsi="Palatino Linotype" w:cs="Palatino Linotype"/>
          <w:i/>
        </w:rPr>
        <w:t xml:space="preserve"> Para los efectos de la presente Ley se entenderá por:</w:t>
      </w:r>
    </w:p>
    <w:p w14:paraId="0DB33F88" w14:textId="77777777" w:rsidR="00861417" w:rsidRPr="003A0759" w:rsidRDefault="00861417" w:rsidP="004C750B">
      <w:pPr>
        <w:pBdr>
          <w:top w:val="nil"/>
          <w:left w:val="nil"/>
          <w:bottom w:val="nil"/>
          <w:right w:val="nil"/>
          <w:between w:val="nil"/>
        </w:pBdr>
        <w:spacing w:after="0"/>
        <w:ind w:left="851" w:right="902"/>
        <w:jc w:val="both"/>
        <w:rPr>
          <w:rFonts w:ascii="Palatino Linotype" w:hAnsi="Palatino Linotype"/>
        </w:rPr>
      </w:pPr>
      <w:r w:rsidRPr="003A0759">
        <w:rPr>
          <w:rFonts w:ascii="Palatino Linotype" w:eastAsia="Palatino Linotype" w:hAnsi="Palatino Linotype" w:cs="Palatino Linotype"/>
          <w:i/>
        </w:rPr>
        <w:t>(…)</w:t>
      </w:r>
    </w:p>
    <w:p w14:paraId="3098FD34" w14:textId="77777777" w:rsidR="00861417" w:rsidRPr="003A0759" w:rsidRDefault="00861417" w:rsidP="004C750B">
      <w:pPr>
        <w:pBdr>
          <w:top w:val="nil"/>
          <w:left w:val="nil"/>
          <w:bottom w:val="nil"/>
          <w:right w:val="nil"/>
          <w:between w:val="nil"/>
        </w:pBdr>
        <w:spacing w:after="0"/>
        <w:ind w:left="851" w:right="902"/>
        <w:jc w:val="both"/>
        <w:rPr>
          <w:rFonts w:ascii="Palatino Linotype" w:hAnsi="Palatino Linotype"/>
        </w:rPr>
      </w:pPr>
      <w:r w:rsidRPr="003A0759">
        <w:rPr>
          <w:rFonts w:ascii="Palatino Linotype" w:eastAsia="Palatino Linotype" w:hAnsi="Palatino Linotype" w:cs="Palatino Linotype"/>
          <w:b/>
          <w:i/>
        </w:rPr>
        <w:t>IX. Datos personales</w:t>
      </w:r>
      <w:r w:rsidRPr="003A0759">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78368197" w14:textId="77777777" w:rsidR="00861417" w:rsidRPr="003A0759" w:rsidRDefault="00861417" w:rsidP="004C750B">
      <w:pPr>
        <w:pBdr>
          <w:top w:val="nil"/>
          <w:left w:val="nil"/>
          <w:bottom w:val="nil"/>
          <w:right w:val="nil"/>
          <w:between w:val="nil"/>
        </w:pBdr>
        <w:spacing w:after="0"/>
        <w:ind w:left="851" w:right="902"/>
        <w:jc w:val="both"/>
        <w:rPr>
          <w:rFonts w:ascii="Palatino Linotype" w:hAnsi="Palatino Linotype"/>
        </w:rPr>
      </w:pPr>
      <w:r w:rsidRPr="003A0759">
        <w:rPr>
          <w:rFonts w:ascii="Palatino Linotype" w:eastAsia="Palatino Linotype" w:hAnsi="Palatino Linotype" w:cs="Palatino Linotype"/>
          <w:i/>
        </w:rPr>
        <w:t>(…)</w:t>
      </w:r>
    </w:p>
    <w:p w14:paraId="5E16658E" w14:textId="77777777" w:rsidR="00861417" w:rsidRPr="003A0759" w:rsidRDefault="00861417" w:rsidP="004C750B">
      <w:pPr>
        <w:pBdr>
          <w:top w:val="nil"/>
          <w:left w:val="nil"/>
          <w:bottom w:val="nil"/>
          <w:right w:val="nil"/>
          <w:between w:val="nil"/>
        </w:pBdr>
        <w:spacing w:after="0"/>
        <w:ind w:left="851" w:right="902"/>
        <w:jc w:val="both"/>
        <w:rPr>
          <w:rFonts w:ascii="Palatino Linotype" w:hAnsi="Palatino Linotype"/>
        </w:rPr>
      </w:pPr>
      <w:r w:rsidRPr="003A0759">
        <w:rPr>
          <w:rFonts w:ascii="Palatino Linotype" w:eastAsia="Palatino Linotype" w:hAnsi="Palatino Linotype" w:cs="Palatino Linotype"/>
          <w:b/>
          <w:i/>
        </w:rPr>
        <w:t>XX. Información clasificada</w:t>
      </w:r>
      <w:r w:rsidRPr="003A0759">
        <w:rPr>
          <w:rFonts w:ascii="Palatino Linotype" w:eastAsia="Palatino Linotype" w:hAnsi="Palatino Linotype" w:cs="Palatino Linotype"/>
          <w:i/>
        </w:rPr>
        <w:t>: Aquella considerada por la presente Ley como reservada o confidencial;</w:t>
      </w:r>
    </w:p>
    <w:p w14:paraId="1C42E16A" w14:textId="77777777" w:rsidR="00861417" w:rsidRPr="003A0759" w:rsidRDefault="00861417" w:rsidP="004C750B">
      <w:pPr>
        <w:pBdr>
          <w:top w:val="nil"/>
          <w:left w:val="nil"/>
          <w:bottom w:val="nil"/>
          <w:right w:val="nil"/>
          <w:between w:val="nil"/>
        </w:pBdr>
        <w:spacing w:after="0"/>
        <w:ind w:left="851" w:right="902"/>
        <w:jc w:val="both"/>
        <w:rPr>
          <w:rFonts w:ascii="Palatino Linotype" w:hAnsi="Palatino Linotype"/>
        </w:rPr>
      </w:pPr>
      <w:r w:rsidRPr="003A0759">
        <w:rPr>
          <w:rFonts w:ascii="Palatino Linotype" w:eastAsia="Palatino Linotype" w:hAnsi="Palatino Linotype" w:cs="Palatino Linotype"/>
          <w:b/>
          <w:i/>
        </w:rPr>
        <w:t>XXI. Información confidencial</w:t>
      </w:r>
      <w:r w:rsidRPr="003A0759">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CCE5767" w14:textId="77777777" w:rsidR="00861417" w:rsidRPr="003A0759" w:rsidRDefault="00861417" w:rsidP="004C750B">
      <w:pPr>
        <w:pBdr>
          <w:top w:val="nil"/>
          <w:left w:val="nil"/>
          <w:bottom w:val="nil"/>
          <w:right w:val="nil"/>
          <w:between w:val="nil"/>
        </w:pBdr>
        <w:spacing w:after="0"/>
        <w:ind w:left="851" w:right="902"/>
        <w:jc w:val="both"/>
        <w:rPr>
          <w:rFonts w:ascii="Palatino Linotype" w:hAnsi="Palatino Linotype"/>
        </w:rPr>
      </w:pPr>
      <w:r w:rsidRPr="003A0759">
        <w:rPr>
          <w:rFonts w:ascii="Palatino Linotype" w:eastAsia="Palatino Linotype" w:hAnsi="Palatino Linotype" w:cs="Palatino Linotype"/>
          <w:i/>
        </w:rPr>
        <w:t>(…)</w:t>
      </w:r>
    </w:p>
    <w:p w14:paraId="22FBF797" w14:textId="77777777" w:rsidR="00861417" w:rsidRPr="003A0759" w:rsidRDefault="00861417" w:rsidP="004C750B">
      <w:pPr>
        <w:pBdr>
          <w:top w:val="nil"/>
          <w:left w:val="nil"/>
          <w:bottom w:val="nil"/>
          <w:right w:val="nil"/>
          <w:between w:val="nil"/>
        </w:pBdr>
        <w:spacing w:after="0"/>
        <w:ind w:left="851" w:right="902"/>
        <w:jc w:val="both"/>
        <w:rPr>
          <w:rFonts w:ascii="Palatino Linotype" w:hAnsi="Palatino Linotype"/>
        </w:rPr>
      </w:pPr>
      <w:r w:rsidRPr="003A0759">
        <w:rPr>
          <w:rFonts w:ascii="Palatino Linotype" w:eastAsia="Palatino Linotype" w:hAnsi="Palatino Linotype" w:cs="Palatino Linotype"/>
          <w:b/>
          <w:i/>
        </w:rPr>
        <w:t>XXXII. Protección de Datos Personales</w:t>
      </w:r>
      <w:r w:rsidRPr="003A0759">
        <w:rPr>
          <w:rFonts w:ascii="Palatino Linotype" w:eastAsia="Palatino Linotype" w:hAnsi="Palatino Linotype" w:cs="Palatino Linotype"/>
          <w:i/>
        </w:rPr>
        <w:t>: Derecho humano que tutela la privacidad de datos personales en poder de los sujetos obligados y sujetos particulares;</w:t>
      </w:r>
    </w:p>
    <w:p w14:paraId="37562848" w14:textId="77777777" w:rsidR="00861417" w:rsidRPr="003A0759" w:rsidRDefault="00861417" w:rsidP="004C750B">
      <w:pPr>
        <w:pBdr>
          <w:top w:val="nil"/>
          <w:left w:val="nil"/>
          <w:bottom w:val="nil"/>
          <w:right w:val="nil"/>
          <w:between w:val="nil"/>
        </w:pBdr>
        <w:spacing w:after="0"/>
        <w:ind w:left="851" w:right="902"/>
        <w:jc w:val="both"/>
        <w:rPr>
          <w:rFonts w:ascii="Palatino Linotype" w:hAnsi="Palatino Linotype"/>
        </w:rPr>
      </w:pPr>
      <w:r w:rsidRPr="003A0759">
        <w:rPr>
          <w:rFonts w:ascii="Palatino Linotype" w:eastAsia="Palatino Linotype" w:hAnsi="Palatino Linotype" w:cs="Palatino Linotype"/>
          <w:i/>
        </w:rPr>
        <w:t>(…)</w:t>
      </w:r>
    </w:p>
    <w:p w14:paraId="7F54367B" w14:textId="77777777" w:rsidR="00861417" w:rsidRPr="003A0759" w:rsidRDefault="00861417" w:rsidP="004C750B">
      <w:pPr>
        <w:pBdr>
          <w:top w:val="nil"/>
          <w:left w:val="nil"/>
          <w:bottom w:val="nil"/>
          <w:right w:val="nil"/>
          <w:between w:val="nil"/>
        </w:pBdr>
        <w:spacing w:after="0"/>
        <w:ind w:left="851" w:right="902"/>
        <w:jc w:val="both"/>
        <w:rPr>
          <w:rFonts w:ascii="Palatino Linotype" w:hAnsi="Palatino Linotype"/>
        </w:rPr>
      </w:pPr>
      <w:r w:rsidRPr="003A0759">
        <w:rPr>
          <w:rFonts w:ascii="Palatino Linotype" w:eastAsia="Palatino Linotype" w:hAnsi="Palatino Linotype" w:cs="Palatino Linotype"/>
          <w:b/>
          <w:i/>
        </w:rPr>
        <w:t>XLV. Versión pública</w:t>
      </w:r>
      <w:r w:rsidRPr="003A0759">
        <w:rPr>
          <w:rFonts w:ascii="Palatino Linotype" w:eastAsia="Palatino Linotype" w:hAnsi="Palatino Linotype" w:cs="Palatino Linotype"/>
          <w:i/>
        </w:rPr>
        <w:t>: Documento en el que se elimine, suprime o borra la información clasificada como reservada o confidencial para permitir su acceso.</w:t>
      </w:r>
    </w:p>
    <w:p w14:paraId="5CBB1534" w14:textId="77777777" w:rsidR="00861417" w:rsidRPr="003A0759" w:rsidRDefault="00861417" w:rsidP="004C750B">
      <w:pPr>
        <w:pBdr>
          <w:top w:val="nil"/>
          <w:left w:val="nil"/>
          <w:bottom w:val="nil"/>
          <w:right w:val="nil"/>
          <w:between w:val="nil"/>
        </w:pBdr>
        <w:spacing w:after="0"/>
        <w:ind w:left="851" w:right="902"/>
        <w:jc w:val="both"/>
        <w:rPr>
          <w:rFonts w:ascii="Palatino Linotype" w:hAnsi="Palatino Linotype"/>
        </w:rPr>
      </w:pPr>
      <w:r w:rsidRPr="003A0759">
        <w:rPr>
          <w:rFonts w:ascii="Palatino Linotype" w:eastAsia="Palatino Linotype" w:hAnsi="Palatino Linotype" w:cs="Palatino Linotype"/>
          <w:b/>
          <w:i/>
        </w:rPr>
        <w:t> Artículo 6</w:t>
      </w:r>
      <w:r w:rsidRPr="003A0759">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02943EF" w14:textId="77777777" w:rsidR="00861417" w:rsidRPr="003A0759" w:rsidRDefault="00861417" w:rsidP="004C750B">
      <w:pPr>
        <w:pBdr>
          <w:top w:val="nil"/>
          <w:left w:val="nil"/>
          <w:bottom w:val="nil"/>
          <w:right w:val="nil"/>
          <w:between w:val="nil"/>
        </w:pBdr>
        <w:spacing w:after="0"/>
        <w:ind w:left="851" w:right="902"/>
        <w:jc w:val="both"/>
        <w:rPr>
          <w:rFonts w:ascii="Palatino Linotype" w:hAnsi="Palatino Linotype"/>
        </w:rPr>
      </w:pPr>
      <w:r w:rsidRPr="003A0759">
        <w:rPr>
          <w:rFonts w:ascii="Palatino Linotype" w:eastAsia="Palatino Linotype" w:hAnsi="Palatino Linotype" w:cs="Palatino Linotype"/>
          <w:i/>
        </w:rPr>
        <w:t> (…)</w:t>
      </w:r>
    </w:p>
    <w:p w14:paraId="1A1FEBB6" w14:textId="77777777" w:rsidR="00861417" w:rsidRPr="003A0759" w:rsidRDefault="00861417" w:rsidP="004C750B">
      <w:pPr>
        <w:pBdr>
          <w:top w:val="nil"/>
          <w:left w:val="nil"/>
          <w:bottom w:val="nil"/>
          <w:right w:val="nil"/>
          <w:between w:val="nil"/>
        </w:pBdr>
        <w:spacing w:after="0"/>
        <w:ind w:left="851" w:right="902"/>
        <w:jc w:val="both"/>
        <w:rPr>
          <w:rFonts w:ascii="Palatino Linotype" w:hAnsi="Palatino Linotype"/>
        </w:rPr>
      </w:pPr>
      <w:r w:rsidRPr="003A0759">
        <w:rPr>
          <w:rFonts w:ascii="Palatino Linotype" w:eastAsia="Palatino Linotype" w:hAnsi="Palatino Linotype" w:cs="Palatino Linotype"/>
          <w:b/>
          <w:i/>
        </w:rPr>
        <w:t>Artículo 91.</w:t>
      </w:r>
      <w:r w:rsidRPr="003A0759">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55A26E52" w14:textId="77777777" w:rsidR="00861417" w:rsidRPr="003A0759" w:rsidRDefault="00861417" w:rsidP="004C750B">
      <w:pPr>
        <w:pBdr>
          <w:top w:val="nil"/>
          <w:left w:val="nil"/>
          <w:bottom w:val="nil"/>
          <w:right w:val="nil"/>
          <w:between w:val="nil"/>
        </w:pBdr>
        <w:spacing w:after="0"/>
        <w:ind w:left="851" w:right="902"/>
        <w:jc w:val="both"/>
        <w:rPr>
          <w:rFonts w:ascii="Palatino Linotype" w:hAnsi="Palatino Linotype"/>
        </w:rPr>
      </w:pPr>
      <w:r w:rsidRPr="003A0759">
        <w:rPr>
          <w:rFonts w:ascii="Palatino Linotype" w:eastAsia="Palatino Linotype" w:hAnsi="Palatino Linotype" w:cs="Palatino Linotype"/>
          <w:i/>
        </w:rPr>
        <w:t>(…)</w:t>
      </w:r>
    </w:p>
    <w:p w14:paraId="536F2B63" w14:textId="77777777" w:rsidR="00861417" w:rsidRPr="003A0759" w:rsidRDefault="00861417" w:rsidP="004C750B">
      <w:pPr>
        <w:pBdr>
          <w:top w:val="nil"/>
          <w:left w:val="nil"/>
          <w:bottom w:val="nil"/>
          <w:right w:val="nil"/>
          <w:between w:val="nil"/>
        </w:pBdr>
        <w:spacing w:after="0"/>
        <w:ind w:left="851" w:right="902"/>
        <w:jc w:val="both"/>
        <w:rPr>
          <w:rFonts w:ascii="Palatino Linotype" w:hAnsi="Palatino Linotype"/>
        </w:rPr>
      </w:pPr>
      <w:r w:rsidRPr="003A0759">
        <w:rPr>
          <w:rFonts w:ascii="Palatino Linotype" w:eastAsia="Palatino Linotype" w:hAnsi="Palatino Linotype" w:cs="Palatino Linotype"/>
          <w:b/>
          <w:i/>
        </w:rPr>
        <w:t>Artículo 137.</w:t>
      </w:r>
      <w:r w:rsidRPr="003A0759">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AE04882" w14:textId="77777777" w:rsidR="00861417" w:rsidRPr="003A0759" w:rsidRDefault="00861417" w:rsidP="004C750B">
      <w:pPr>
        <w:pBdr>
          <w:top w:val="nil"/>
          <w:left w:val="nil"/>
          <w:bottom w:val="nil"/>
          <w:right w:val="nil"/>
          <w:between w:val="nil"/>
        </w:pBdr>
        <w:spacing w:after="0"/>
        <w:ind w:left="851" w:right="902"/>
        <w:jc w:val="both"/>
        <w:rPr>
          <w:rFonts w:ascii="Palatino Linotype" w:hAnsi="Palatino Linotype"/>
        </w:rPr>
      </w:pPr>
      <w:r w:rsidRPr="003A0759">
        <w:rPr>
          <w:rFonts w:ascii="Palatino Linotype" w:eastAsia="Palatino Linotype" w:hAnsi="Palatino Linotype" w:cs="Palatino Linotype"/>
          <w:b/>
          <w:i/>
        </w:rPr>
        <w:t> Artículo 143.</w:t>
      </w:r>
      <w:r w:rsidRPr="003A0759">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394A915F" w14:textId="77777777" w:rsidR="00861417" w:rsidRPr="003A0759" w:rsidRDefault="00861417" w:rsidP="004C750B">
      <w:pPr>
        <w:pBdr>
          <w:top w:val="nil"/>
          <w:left w:val="nil"/>
          <w:bottom w:val="nil"/>
          <w:right w:val="nil"/>
          <w:between w:val="nil"/>
        </w:pBdr>
        <w:spacing w:after="0"/>
        <w:ind w:left="851" w:right="902"/>
        <w:jc w:val="both"/>
        <w:rPr>
          <w:rFonts w:ascii="Palatino Linotype" w:eastAsia="Palatino Linotype" w:hAnsi="Palatino Linotype" w:cs="Palatino Linotype"/>
          <w:i/>
        </w:rPr>
      </w:pPr>
      <w:r w:rsidRPr="003A0759">
        <w:rPr>
          <w:rFonts w:ascii="Palatino Linotype" w:eastAsia="Palatino Linotype" w:hAnsi="Palatino Linotype" w:cs="Palatino Linotype"/>
          <w:b/>
          <w:i/>
        </w:rPr>
        <w:t>I.</w:t>
      </w:r>
      <w:r w:rsidRPr="003A0759">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7CB7C3F2" w14:textId="77777777" w:rsidR="00861417" w:rsidRPr="003A0759" w:rsidRDefault="00861417" w:rsidP="00E30F56">
      <w:pPr>
        <w:pBdr>
          <w:top w:val="nil"/>
          <w:left w:val="nil"/>
          <w:bottom w:val="nil"/>
          <w:right w:val="nil"/>
          <w:between w:val="nil"/>
        </w:pBdr>
        <w:spacing w:after="0"/>
        <w:ind w:left="567" w:right="902"/>
        <w:jc w:val="both"/>
        <w:rPr>
          <w:rFonts w:ascii="Palatino Linotype" w:hAnsi="Palatino Linotype"/>
        </w:rPr>
      </w:pPr>
    </w:p>
    <w:p w14:paraId="30E52455" w14:textId="77777777" w:rsidR="00861417" w:rsidRPr="003A0759" w:rsidRDefault="00861417" w:rsidP="00E30F56">
      <w:pPr>
        <w:pBdr>
          <w:top w:val="nil"/>
          <w:left w:val="nil"/>
          <w:bottom w:val="nil"/>
          <w:right w:val="nil"/>
          <w:between w:val="nil"/>
        </w:pBdr>
        <w:spacing w:after="0" w:line="360" w:lineRule="auto"/>
        <w:ind w:right="50"/>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3A0759">
        <w:rPr>
          <w:rFonts w:ascii="Palatino Linotype" w:eastAsia="Palatino Linotype" w:hAnsi="Palatino Linotype" w:cs="Palatino Linotype"/>
          <w:b/>
        </w:rPr>
        <w:t>Sujeto Obligado</w:t>
      </w:r>
      <w:r w:rsidRPr="003A0759">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61AFAFD0" w14:textId="77777777" w:rsidR="00861417" w:rsidRPr="003A0759" w:rsidRDefault="00861417" w:rsidP="00E30F56">
      <w:pPr>
        <w:pBdr>
          <w:top w:val="nil"/>
          <w:left w:val="nil"/>
          <w:bottom w:val="nil"/>
          <w:right w:val="nil"/>
          <w:between w:val="nil"/>
        </w:pBdr>
        <w:spacing w:after="0" w:line="360" w:lineRule="auto"/>
        <w:ind w:right="50"/>
        <w:jc w:val="both"/>
        <w:rPr>
          <w:rFonts w:ascii="Palatino Linotype" w:hAnsi="Palatino Linotype"/>
        </w:rPr>
      </w:pPr>
    </w:p>
    <w:p w14:paraId="2BF89DB9" w14:textId="77777777" w:rsidR="00861417" w:rsidRPr="003A0759" w:rsidRDefault="00861417" w:rsidP="00E30F56">
      <w:pPr>
        <w:pBdr>
          <w:top w:val="nil"/>
          <w:left w:val="nil"/>
          <w:bottom w:val="nil"/>
          <w:right w:val="nil"/>
          <w:between w:val="nil"/>
        </w:pBdr>
        <w:spacing w:after="0" w:line="360" w:lineRule="auto"/>
        <w:ind w:right="50"/>
        <w:jc w:val="both"/>
        <w:rPr>
          <w:rFonts w:ascii="Palatino Linotype" w:eastAsia="Palatino Linotype" w:hAnsi="Palatino Linotype" w:cs="Palatino Linotype"/>
        </w:rPr>
      </w:pPr>
      <w:r w:rsidRPr="003A0759">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BC78FE8" w14:textId="77777777" w:rsidR="00861417" w:rsidRPr="003A0759" w:rsidRDefault="00861417" w:rsidP="00E30F56">
      <w:pPr>
        <w:pBdr>
          <w:top w:val="nil"/>
          <w:left w:val="nil"/>
          <w:bottom w:val="nil"/>
          <w:right w:val="nil"/>
          <w:between w:val="nil"/>
        </w:pBdr>
        <w:spacing w:after="0" w:line="360" w:lineRule="auto"/>
        <w:ind w:right="50"/>
        <w:jc w:val="both"/>
        <w:rPr>
          <w:rFonts w:ascii="Palatino Linotype" w:hAnsi="Palatino Linotype"/>
        </w:rPr>
      </w:pPr>
    </w:p>
    <w:p w14:paraId="31E89EFC" w14:textId="77777777" w:rsidR="00861417" w:rsidRPr="003A0759" w:rsidRDefault="00861417" w:rsidP="00E30F56">
      <w:pPr>
        <w:pBdr>
          <w:top w:val="nil"/>
          <w:left w:val="nil"/>
          <w:bottom w:val="nil"/>
          <w:right w:val="nil"/>
          <w:between w:val="nil"/>
        </w:pBd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En el caso específico, dada la naturaleza de la información que se ordena, si bien tiene el carácter información pública en razón de que se trata de documentos que se encuentran en posesión del </w:t>
      </w:r>
      <w:r w:rsidRPr="003A0759">
        <w:rPr>
          <w:rFonts w:ascii="Palatino Linotype" w:eastAsia="Palatino Linotype" w:hAnsi="Palatino Linotype" w:cs="Palatino Linotype"/>
          <w:b/>
        </w:rPr>
        <w:t>Sujeto Obligado</w:t>
      </w:r>
      <w:r w:rsidRPr="003A0759">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3A0759">
        <w:rPr>
          <w:rFonts w:ascii="Palatino Linotype" w:eastAsia="Palatino Linotype" w:hAnsi="Palatino Linotype" w:cs="Palatino Linotype"/>
          <w:b/>
        </w:rPr>
        <w:t>Registro Federal de Contribuyentes</w:t>
      </w:r>
      <w:r w:rsidRPr="003A0759">
        <w:rPr>
          <w:rFonts w:ascii="Palatino Linotype" w:eastAsia="Palatino Linotype" w:hAnsi="Palatino Linotype" w:cs="Palatino Linotype"/>
        </w:rPr>
        <w:t xml:space="preserve"> (RFC), la </w:t>
      </w:r>
      <w:r w:rsidRPr="003A0759">
        <w:rPr>
          <w:rFonts w:ascii="Palatino Linotype" w:eastAsia="Palatino Linotype" w:hAnsi="Palatino Linotype" w:cs="Palatino Linotype"/>
          <w:b/>
        </w:rPr>
        <w:t>Clave Única de Registro de Población</w:t>
      </w:r>
      <w:r w:rsidRPr="003A0759">
        <w:rPr>
          <w:rFonts w:ascii="Palatino Linotype" w:eastAsia="Palatino Linotype" w:hAnsi="Palatino Linotype" w:cs="Palatino Linotype"/>
        </w:rPr>
        <w:t xml:space="preserve"> (CURP), la </w:t>
      </w:r>
      <w:r w:rsidRPr="003A0759">
        <w:rPr>
          <w:rFonts w:ascii="Palatino Linotype" w:eastAsia="Palatino Linotype" w:hAnsi="Palatino Linotype" w:cs="Palatino Linotype"/>
          <w:b/>
        </w:rPr>
        <w:t>Clave de cualquier tipo de seguridad social</w:t>
      </w:r>
      <w:r w:rsidRPr="003A0759">
        <w:rPr>
          <w:rFonts w:ascii="Palatino Linotype" w:eastAsia="Palatino Linotype" w:hAnsi="Palatino Linotype" w:cs="Palatino Linotype"/>
        </w:rPr>
        <w:t xml:space="preserve"> (ISSEMYM, u otros), los </w:t>
      </w:r>
      <w:r w:rsidRPr="003A0759">
        <w:rPr>
          <w:rFonts w:ascii="Palatino Linotype" w:eastAsia="Palatino Linotype" w:hAnsi="Palatino Linotype" w:cs="Palatino Linotype"/>
          <w:b/>
        </w:rPr>
        <w:t>números de cuentas bancarias</w:t>
      </w:r>
      <w:r w:rsidRPr="003A0759">
        <w:rPr>
          <w:rFonts w:ascii="Palatino Linotype" w:eastAsia="Palatino Linotype" w:hAnsi="Palatino Linotype" w:cs="Palatino Linotype"/>
        </w:rPr>
        <w:t xml:space="preserve">, claves estandarizadas – interbancarias - (CLABES) y de tarjetas, los </w:t>
      </w:r>
      <w:r w:rsidRPr="003A0759">
        <w:rPr>
          <w:rFonts w:ascii="Palatino Linotype" w:eastAsia="Palatino Linotype" w:hAnsi="Palatino Linotype" w:cs="Palatino Linotype"/>
          <w:b/>
        </w:rPr>
        <w:t>préstamos o descuentos</w:t>
      </w:r>
      <w:r w:rsidRPr="003A0759">
        <w:rPr>
          <w:rFonts w:ascii="Palatino Linotype" w:eastAsia="Palatino Linotype" w:hAnsi="Palatino Linotype" w:cs="Palatino Linotype"/>
        </w:rPr>
        <w:t xml:space="preserve"> que se le hagan a la persona y que no tengan relación con los impuestos o la cuota por seguridad social, el</w:t>
      </w:r>
      <w:r w:rsidRPr="003A0759">
        <w:rPr>
          <w:rFonts w:ascii="Palatino Linotype" w:eastAsia="Palatino Linotype" w:hAnsi="Palatino Linotype" w:cs="Palatino Linotype"/>
          <w:b/>
        </w:rPr>
        <w:t xml:space="preserve"> número de empleado</w:t>
      </w:r>
      <w:r w:rsidRPr="003A0759">
        <w:rPr>
          <w:rFonts w:ascii="Palatino Linotype" w:eastAsia="Palatino Linotype" w:hAnsi="Palatino Linotype" w:cs="Palatino Linotype"/>
        </w:rPr>
        <w:t xml:space="preserve">, así como de ser el caso, el </w:t>
      </w:r>
      <w:r w:rsidRPr="003A0759">
        <w:rPr>
          <w:rFonts w:ascii="Palatino Linotype" w:eastAsia="Palatino Linotype" w:hAnsi="Palatino Linotype" w:cs="Palatino Linotype"/>
          <w:b/>
        </w:rPr>
        <w:t>folio fiscal</w:t>
      </w:r>
      <w:r w:rsidRPr="003A0759">
        <w:rPr>
          <w:rFonts w:ascii="Palatino Linotype" w:eastAsia="Palatino Linotype" w:hAnsi="Palatino Linotype" w:cs="Palatino Linotype"/>
        </w:rPr>
        <w:t xml:space="preserve">, la  </w:t>
      </w:r>
      <w:r w:rsidRPr="003A0759">
        <w:rPr>
          <w:rFonts w:ascii="Palatino Linotype" w:eastAsia="Palatino Linotype" w:hAnsi="Palatino Linotype" w:cs="Palatino Linotype"/>
          <w:b/>
        </w:rPr>
        <w:t xml:space="preserve">cadena original, </w:t>
      </w:r>
      <w:r w:rsidRPr="003A0759">
        <w:rPr>
          <w:rFonts w:ascii="Palatino Linotype" w:eastAsia="Palatino Linotype" w:hAnsi="Palatino Linotype" w:cs="Palatino Linotype"/>
        </w:rPr>
        <w:t>los</w:t>
      </w:r>
      <w:r w:rsidRPr="003A0759">
        <w:rPr>
          <w:rFonts w:ascii="Palatino Linotype" w:eastAsia="Palatino Linotype" w:hAnsi="Palatino Linotype" w:cs="Palatino Linotype"/>
          <w:b/>
        </w:rPr>
        <w:t xml:space="preserve"> códigos bidimensionales o códigos QR,</w:t>
      </w:r>
      <w:r w:rsidRPr="003A0759">
        <w:rPr>
          <w:rFonts w:ascii="Palatino Linotype" w:eastAsia="Palatino Linotype" w:hAnsi="Palatino Linotype" w:cs="Palatino Linotype"/>
        </w:rPr>
        <w:t xml:space="preserve"> y cualquier información de carácter fiscal, bajo las siguientes consideraciones. </w:t>
      </w:r>
    </w:p>
    <w:p w14:paraId="4427EC02" w14:textId="77777777" w:rsidR="00861417" w:rsidRPr="003A0759" w:rsidRDefault="00861417" w:rsidP="00E30F56">
      <w:pPr>
        <w:pBdr>
          <w:top w:val="nil"/>
          <w:left w:val="nil"/>
          <w:bottom w:val="nil"/>
          <w:right w:val="nil"/>
          <w:between w:val="nil"/>
        </w:pBdr>
        <w:spacing w:after="0" w:line="360" w:lineRule="auto"/>
        <w:jc w:val="both"/>
        <w:rPr>
          <w:rFonts w:ascii="Palatino Linotype" w:hAnsi="Palatino Linotype"/>
        </w:rPr>
      </w:pPr>
    </w:p>
    <w:p w14:paraId="4A95E6FC" w14:textId="77777777" w:rsidR="00861417" w:rsidRPr="003A0759" w:rsidRDefault="00861417" w:rsidP="00E30F56">
      <w:pPr>
        <w:pBdr>
          <w:top w:val="nil"/>
          <w:left w:val="nil"/>
          <w:bottom w:val="nil"/>
          <w:right w:val="nil"/>
          <w:between w:val="nil"/>
        </w:pBdr>
        <w:spacing w:after="0" w:line="360" w:lineRule="auto"/>
        <w:ind w:right="50"/>
        <w:jc w:val="both"/>
        <w:rPr>
          <w:rFonts w:ascii="Palatino Linotype" w:hAnsi="Palatino Linotype"/>
        </w:rPr>
      </w:pPr>
      <w:r w:rsidRPr="003A0759">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3CB3EB7" w14:textId="77777777" w:rsidR="00861417" w:rsidRPr="003A0759" w:rsidRDefault="00861417" w:rsidP="00E30F56">
      <w:pPr>
        <w:pBdr>
          <w:top w:val="nil"/>
          <w:left w:val="nil"/>
          <w:bottom w:val="nil"/>
          <w:right w:val="nil"/>
          <w:between w:val="nil"/>
        </w:pBd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Por cuanto hace al </w:t>
      </w:r>
      <w:r w:rsidRPr="003A0759">
        <w:rPr>
          <w:rFonts w:ascii="Palatino Linotype" w:eastAsia="Palatino Linotype" w:hAnsi="Palatino Linotype" w:cs="Palatino Linotype"/>
          <w:b/>
        </w:rPr>
        <w:t>Registro Federal de Contribuyentes, RFC</w:t>
      </w:r>
      <w:r w:rsidRPr="003A0759">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w:t>
      </w:r>
      <w:proofErr w:type="spellStart"/>
      <w:r w:rsidRPr="003A0759">
        <w:rPr>
          <w:rFonts w:ascii="Palatino Linotype" w:eastAsia="Palatino Linotype" w:hAnsi="Palatino Linotype" w:cs="Palatino Linotype"/>
        </w:rPr>
        <w:t>homoclave</w:t>
      </w:r>
      <w:proofErr w:type="spellEnd"/>
      <w:r w:rsidRPr="003A0759">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5731E545" w14:textId="77777777" w:rsidR="00861417" w:rsidRPr="003A0759" w:rsidRDefault="00861417" w:rsidP="00E30F56">
      <w:pPr>
        <w:pBdr>
          <w:top w:val="nil"/>
          <w:left w:val="nil"/>
          <w:bottom w:val="nil"/>
          <w:right w:val="nil"/>
          <w:between w:val="nil"/>
        </w:pBdr>
        <w:spacing w:after="0" w:line="360" w:lineRule="auto"/>
        <w:jc w:val="both"/>
        <w:rPr>
          <w:rFonts w:ascii="Palatino Linotype" w:hAnsi="Palatino Linotype"/>
        </w:rPr>
      </w:pPr>
    </w:p>
    <w:p w14:paraId="30356C66" w14:textId="77777777" w:rsidR="00861417" w:rsidRPr="003A0759" w:rsidRDefault="00861417" w:rsidP="00E30F56">
      <w:pPr>
        <w:pBdr>
          <w:top w:val="nil"/>
          <w:left w:val="nil"/>
          <w:bottom w:val="nil"/>
          <w:right w:val="nil"/>
          <w:between w:val="nil"/>
        </w:pBdr>
        <w:spacing w:after="0" w:line="360" w:lineRule="auto"/>
        <w:jc w:val="both"/>
        <w:rPr>
          <w:rFonts w:ascii="Palatino Linotype" w:hAnsi="Palatino Linotype"/>
        </w:rPr>
      </w:pPr>
      <w:r w:rsidRPr="003A0759">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BA09CB8" w14:textId="61D93340" w:rsidR="00861417" w:rsidRPr="003A0759" w:rsidRDefault="00861417" w:rsidP="00E30F56">
      <w:pPr>
        <w:pBdr>
          <w:top w:val="nil"/>
          <w:left w:val="nil"/>
          <w:bottom w:val="nil"/>
          <w:right w:val="nil"/>
          <w:between w:val="nil"/>
        </w:pBd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Lo anterior es compartido por el Instituto Nacional de Transparencia, Acceso a la Información y Protección de Datos Personales, INAI, a través del Criterio 19/17, el cual es del tenor literal siguiente:</w:t>
      </w:r>
    </w:p>
    <w:p w14:paraId="5BA94184" w14:textId="77777777" w:rsidR="00861417" w:rsidRPr="003A0759" w:rsidRDefault="00861417" w:rsidP="00E30F56">
      <w:pPr>
        <w:pBdr>
          <w:top w:val="nil"/>
          <w:left w:val="nil"/>
          <w:bottom w:val="nil"/>
          <w:right w:val="nil"/>
          <w:between w:val="nil"/>
        </w:pBdr>
        <w:spacing w:after="0"/>
        <w:ind w:left="851" w:right="900"/>
        <w:jc w:val="both"/>
        <w:rPr>
          <w:rFonts w:ascii="Palatino Linotype" w:eastAsia="Palatino Linotype" w:hAnsi="Palatino Linotype" w:cs="Palatino Linotype"/>
          <w:i/>
        </w:rPr>
      </w:pPr>
      <w:r w:rsidRPr="003A0759">
        <w:rPr>
          <w:rFonts w:ascii="Palatino Linotype" w:eastAsia="Palatino Linotype" w:hAnsi="Palatino Linotype" w:cs="Palatino Linotype"/>
          <w:b/>
          <w:i/>
        </w:rPr>
        <w:t> “Registro Federal de Contribuyentes (RFC) de personas físicas</w:t>
      </w:r>
      <w:r w:rsidRPr="003A0759">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14:paraId="07435CC4" w14:textId="77777777" w:rsidR="00861417" w:rsidRPr="003A0759" w:rsidRDefault="00861417" w:rsidP="00E30F56">
      <w:pPr>
        <w:pBdr>
          <w:top w:val="nil"/>
          <w:left w:val="nil"/>
          <w:bottom w:val="nil"/>
          <w:right w:val="nil"/>
          <w:between w:val="nil"/>
        </w:pBdr>
        <w:spacing w:after="0"/>
        <w:ind w:left="851" w:right="900"/>
        <w:jc w:val="both"/>
        <w:rPr>
          <w:rFonts w:ascii="Palatino Linotype" w:hAnsi="Palatino Linotype"/>
        </w:rPr>
      </w:pPr>
    </w:p>
    <w:p w14:paraId="3E4A8FB0" w14:textId="77777777" w:rsidR="00861417" w:rsidRPr="003A0759" w:rsidRDefault="00861417" w:rsidP="00E30F56">
      <w:pPr>
        <w:pBdr>
          <w:top w:val="nil"/>
          <w:left w:val="nil"/>
          <w:bottom w:val="nil"/>
          <w:right w:val="nil"/>
          <w:between w:val="nil"/>
        </w:pBd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3A0759">
        <w:rPr>
          <w:rFonts w:ascii="Palatino Linotype" w:eastAsia="Palatino Linotype" w:hAnsi="Palatino Linotype" w:cs="Palatino Linotype"/>
        </w:rPr>
        <w:t>homoclave</w:t>
      </w:r>
      <w:proofErr w:type="spellEnd"/>
      <w:r w:rsidRPr="003A0759">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4D772D86" w14:textId="77777777" w:rsidR="00861417" w:rsidRPr="003A0759" w:rsidRDefault="00861417" w:rsidP="00E30F56">
      <w:pPr>
        <w:pBdr>
          <w:top w:val="nil"/>
          <w:left w:val="nil"/>
          <w:bottom w:val="nil"/>
          <w:right w:val="nil"/>
          <w:between w:val="nil"/>
        </w:pBdr>
        <w:spacing w:after="0" w:line="360" w:lineRule="auto"/>
        <w:jc w:val="both"/>
        <w:rPr>
          <w:rFonts w:ascii="Palatino Linotype" w:hAnsi="Palatino Linotype"/>
        </w:rPr>
      </w:pPr>
    </w:p>
    <w:p w14:paraId="701A5EAB" w14:textId="77777777" w:rsidR="00861417" w:rsidRPr="003A0759" w:rsidRDefault="00861417" w:rsidP="00E30F56">
      <w:pPr>
        <w:pBdr>
          <w:top w:val="nil"/>
          <w:left w:val="nil"/>
          <w:bottom w:val="nil"/>
          <w:right w:val="nil"/>
          <w:between w:val="nil"/>
        </w:pBd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3EAEC307" w14:textId="77777777" w:rsidR="00861417" w:rsidRPr="003A0759" w:rsidRDefault="00861417" w:rsidP="00E30F56">
      <w:pPr>
        <w:pBdr>
          <w:top w:val="nil"/>
          <w:left w:val="nil"/>
          <w:bottom w:val="nil"/>
          <w:right w:val="nil"/>
          <w:between w:val="nil"/>
        </w:pBdr>
        <w:spacing w:after="0" w:line="360" w:lineRule="auto"/>
        <w:jc w:val="both"/>
        <w:rPr>
          <w:rFonts w:ascii="Palatino Linotype" w:hAnsi="Palatino Linotype"/>
        </w:rPr>
      </w:pPr>
    </w:p>
    <w:p w14:paraId="517CB597" w14:textId="77777777" w:rsidR="00861417" w:rsidRPr="003A0759" w:rsidRDefault="00861417" w:rsidP="00E30F56">
      <w:pPr>
        <w:pBdr>
          <w:top w:val="nil"/>
          <w:left w:val="nil"/>
          <w:bottom w:val="nil"/>
          <w:right w:val="nil"/>
          <w:between w:val="nil"/>
        </w:pBd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Argumento que es compartido por el Instituto Nacional de Transparencia, Acceso a la Información y Protección de Datos Personales, INAI, conforme al criterio 18/17, el cual refiere:</w:t>
      </w:r>
    </w:p>
    <w:p w14:paraId="384F37B9" w14:textId="77777777" w:rsidR="00861417" w:rsidRPr="003A0759" w:rsidRDefault="00861417" w:rsidP="00E30F56">
      <w:pPr>
        <w:pBdr>
          <w:top w:val="nil"/>
          <w:left w:val="nil"/>
          <w:bottom w:val="nil"/>
          <w:right w:val="nil"/>
          <w:between w:val="nil"/>
        </w:pBdr>
        <w:spacing w:after="0" w:line="360" w:lineRule="auto"/>
        <w:jc w:val="both"/>
        <w:rPr>
          <w:rFonts w:ascii="Palatino Linotype" w:hAnsi="Palatino Linotype"/>
        </w:rPr>
      </w:pPr>
    </w:p>
    <w:p w14:paraId="52199430" w14:textId="77777777" w:rsidR="00861417" w:rsidRPr="003A0759" w:rsidRDefault="00861417" w:rsidP="00E30F56">
      <w:pPr>
        <w:pBdr>
          <w:top w:val="nil"/>
          <w:left w:val="nil"/>
          <w:bottom w:val="nil"/>
          <w:right w:val="nil"/>
          <w:between w:val="nil"/>
        </w:pBdr>
        <w:spacing w:after="0"/>
        <w:ind w:left="851" w:right="851"/>
        <w:jc w:val="both"/>
        <w:rPr>
          <w:rFonts w:ascii="Palatino Linotype" w:eastAsia="Palatino Linotype" w:hAnsi="Palatino Linotype" w:cs="Palatino Linotype"/>
          <w:i/>
        </w:rPr>
      </w:pPr>
      <w:r w:rsidRPr="003A0759">
        <w:rPr>
          <w:rFonts w:ascii="Palatino Linotype" w:eastAsia="Palatino Linotype" w:hAnsi="Palatino Linotype" w:cs="Palatino Linotype"/>
          <w:b/>
          <w:i/>
        </w:rPr>
        <w:t xml:space="preserve"> “Clave Única de Registro de Población (CURP). </w:t>
      </w:r>
      <w:r w:rsidRPr="003A0759">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A56E96D" w14:textId="77777777" w:rsidR="00861417" w:rsidRPr="003A0759" w:rsidRDefault="00861417" w:rsidP="00E30F56">
      <w:pPr>
        <w:pBdr>
          <w:top w:val="nil"/>
          <w:left w:val="nil"/>
          <w:bottom w:val="nil"/>
          <w:right w:val="nil"/>
          <w:between w:val="nil"/>
        </w:pBdr>
        <w:spacing w:after="0"/>
        <w:ind w:left="851" w:right="851"/>
        <w:jc w:val="both"/>
        <w:rPr>
          <w:rFonts w:ascii="Palatino Linotype" w:hAnsi="Palatino Linotype"/>
        </w:rPr>
      </w:pPr>
    </w:p>
    <w:p w14:paraId="3345DB55" w14:textId="77777777" w:rsidR="00861417" w:rsidRPr="003A0759" w:rsidRDefault="00861417" w:rsidP="00E30F56">
      <w:pPr>
        <w:pBdr>
          <w:top w:val="nil"/>
          <w:left w:val="nil"/>
          <w:bottom w:val="nil"/>
          <w:right w:val="nil"/>
          <w:between w:val="nil"/>
        </w:pBd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9FC1277" w14:textId="77777777" w:rsidR="00861417" w:rsidRPr="003A0759" w:rsidRDefault="00861417" w:rsidP="00E30F56">
      <w:pPr>
        <w:pBdr>
          <w:top w:val="nil"/>
          <w:left w:val="nil"/>
          <w:bottom w:val="nil"/>
          <w:right w:val="nil"/>
          <w:between w:val="nil"/>
        </w:pBdr>
        <w:spacing w:after="0" w:line="360" w:lineRule="auto"/>
        <w:jc w:val="both"/>
        <w:rPr>
          <w:rFonts w:ascii="Palatino Linotype" w:hAnsi="Palatino Linotype"/>
        </w:rPr>
      </w:pPr>
    </w:p>
    <w:p w14:paraId="765D16C0" w14:textId="77777777" w:rsidR="00861417" w:rsidRPr="003A0759" w:rsidRDefault="00861417" w:rsidP="00E30F56">
      <w:pPr>
        <w:pBdr>
          <w:top w:val="nil"/>
          <w:left w:val="nil"/>
          <w:bottom w:val="nil"/>
          <w:right w:val="nil"/>
          <w:between w:val="nil"/>
        </w:pBdr>
        <w:spacing w:after="0" w:line="360" w:lineRule="auto"/>
        <w:jc w:val="both"/>
        <w:rPr>
          <w:rFonts w:ascii="Palatino Linotype" w:hAnsi="Palatino Linotype"/>
        </w:rPr>
      </w:pPr>
      <w:r w:rsidRPr="003A0759">
        <w:rPr>
          <w:rFonts w:ascii="Palatino Linotype" w:eastAsia="Palatino Linotype" w:hAnsi="Palatino Linotype" w:cs="Palatino Linotype"/>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6C3EB471" w14:textId="77777777" w:rsidR="00861417" w:rsidRPr="003A0759" w:rsidRDefault="00861417" w:rsidP="00E30F56">
      <w:pPr>
        <w:pBdr>
          <w:top w:val="nil"/>
          <w:left w:val="nil"/>
          <w:bottom w:val="nil"/>
          <w:right w:val="nil"/>
          <w:between w:val="nil"/>
        </w:pBd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C9D3415" w14:textId="77777777" w:rsidR="00861417" w:rsidRPr="003A0759" w:rsidRDefault="00861417" w:rsidP="00E30F56">
      <w:pPr>
        <w:pBdr>
          <w:top w:val="nil"/>
          <w:left w:val="nil"/>
          <w:bottom w:val="nil"/>
          <w:right w:val="nil"/>
          <w:between w:val="nil"/>
        </w:pBdr>
        <w:spacing w:after="0" w:line="360" w:lineRule="auto"/>
        <w:jc w:val="both"/>
        <w:rPr>
          <w:rFonts w:ascii="Palatino Linotype" w:hAnsi="Palatino Linotype"/>
        </w:rPr>
      </w:pPr>
    </w:p>
    <w:p w14:paraId="75E3EC28" w14:textId="77777777" w:rsidR="00861417" w:rsidRPr="003A0759" w:rsidRDefault="00861417" w:rsidP="00E30F56">
      <w:pPr>
        <w:pBdr>
          <w:top w:val="nil"/>
          <w:left w:val="nil"/>
          <w:bottom w:val="nil"/>
          <w:right w:val="nil"/>
          <w:between w:val="nil"/>
        </w:pBd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43E7B544" w14:textId="77777777" w:rsidR="00861417" w:rsidRPr="003A0759" w:rsidRDefault="00861417" w:rsidP="00E30F56">
      <w:pPr>
        <w:pBdr>
          <w:top w:val="nil"/>
          <w:left w:val="nil"/>
          <w:bottom w:val="nil"/>
          <w:right w:val="nil"/>
          <w:between w:val="nil"/>
        </w:pBdr>
        <w:spacing w:after="0" w:line="360" w:lineRule="auto"/>
        <w:jc w:val="both"/>
        <w:rPr>
          <w:rFonts w:ascii="Palatino Linotype" w:hAnsi="Palatino Linotype"/>
        </w:rPr>
      </w:pPr>
    </w:p>
    <w:p w14:paraId="2B21B990" w14:textId="77777777" w:rsidR="00861417" w:rsidRPr="003A0759" w:rsidRDefault="00861417" w:rsidP="00E30F56">
      <w:pPr>
        <w:pBdr>
          <w:top w:val="nil"/>
          <w:left w:val="nil"/>
          <w:bottom w:val="nil"/>
          <w:right w:val="nil"/>
          <w:between w:val="nil"/>
        </w:pBd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En esa virtud, este Pleno determina que dicha información no puede ser del dominio público, toda vez que se podría dar un uso inadecuado a la misma o cometer algún ilícito o fraude como ya ha sido expuesto. </w:t>
      </w:r>
    </w:p>
    <w:p w14:paraId="47D88435" w14:textId="77777777" w:rsidR="00861417" w:rsidRPr="003A0759" w:rsidRDefault="00861417" w:rsidP="00E30F56">
      <w:pPr>
        <w:pBdr>
          <w:top w:val="nil"/>
          <w:left w:val="nil"/>
          <w:bottom w:val="nil"/>
          <w:right w:val="nil"/>
          <w:between w:val="nil"/>
        </w:pBdr>
        <w:spacing w:after="0" w:line="360" w:lineRule="auto"/>
        <w:jc w:val="both"/>
        <w:rPr>
          <w:rFonts w:ascii="Palatino Linotype" w:hAnsi="Palatino Linotype"/>
        </w:rPr>
      </w:pPr>
    </w:p>
    <w:p w14:paraId="5854B640" w14:textId="77777777" w:rsidR="00861417" w:rsidRPr="003A0759" w:rsidRDefault="00861417" w:rsidP="00E30F56">
      <w:pPr>
        <w:pBdr>
          <w:top w:val="nil"/>
          <w:left w:val="nil"/>
          <w:bottom w:val="nil"/>
          <w:right w:val="nil"/>
          <w:between w:val="nil"/>
        </w:pBd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44E09CA7" w14:textId="77777777" w:rsidR="00861417" w:rsidRPr="003A0759" w:rsidRDefault="00861417" w:rsidP="00E30F56">
      <w:pPr>
        <w:pBdr>
          <w:top w:val="nil"/>
          <w:left w:val="nil"/>
          <w:bottom w:val="nil"/>
          <w:right w:val="nil"/>
          <w:between w:val="nil"/>
        </w:pBdr>
        <w:spacing w:after="0" w:line="360" w:lineRule="auto"/>
        <w:jc w:val="both"/>
        <w:rPr>
          <w:rFonts w:ascii="Palatino Linotype" w:hAnsi="Palatino Linotype"/>
        </w:rPr>
      </w:pPr>
    </w:p>
    <w:p w14:paraId="77E67F9E" w14:textId="77777777" w:rsidR="00861417" w:rsidRPr="003A0759" w:rsidRDefault="00861417" w:rsidP="00E30F56">
      <w:pPr>
        <w:pBdr>
          <w:top w:val="nil"/>
          <w:left w:val="nil"/>
          <w:bottom w:val="nil"/>
          <w:right w:val="nil"/>
          <w:between w:val="nil"/>
        </w:pBd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60BABF24" w14:textId="77777777" w:rsidR="00861417" w:rsidRPr="003A0759" w:rsidRDefault="00861417" w:rsidP="00E30F56">
      <w:pPr>
        <w:pBdr>
          <w:top w:val="nil"/>
          <w:left w:val="nil"/>
          <w:bottom w:val="nil"/>
          <w:right w:val="nil"/>
          <w:between w:val="nil"/>
        </w:pBdr>
        <w:spacing w:after="0" w:line="360" w:lineRule="auto"/>
        <w:jc w:val="both"/>
        <w:rPr>
          <w:rFonts w:ascii="Palatino Linotype" w:hAnsi="Palatino Linotype"/>
        </w:rPr>
      </w:pPr>
    </w:p>
    <w:p w14:paraId="7743B3E6" w14:textId="77777777" w:rsidR="00861417" w:rsidRPr="003A0759" w:rsidRDefault="00861417" w:rsidP="00E30F56">
      <w:pPr>
        <w:pBdr>
          <w:top w:val="nil"/>
          <w:left w:val="nil"/>
          <w:bottom w:val="nil"/>
          <w:right w:val="nil"/>
          <w:between w:val="nil"/>
        </w:pBdr>
        <w:spacing w:after="0"/>
        <w:ind w:left="851" w:right="900"/>
        <w:jc w:val="both"/>
        <w:rPr>
          <w:rFonts w:ascii="Palatino Linotype" w:hAnsi="Palatino Linotype"/>
        </w:rPr>
      </w:pPr>
      <w:r w:rsidRPr="003A0759">
        <w:rPr>
          <w:rFonts w:ascii="Palatino Linotype" w:eastAsia="Palatino Linotype" w:hAnsi="Palatino Linotype" w:cs="Palatino Linotype"/>
          <w:i/>
        </w:rPr>
        <w:t>“</w:t>
      </w:r>
      <w:r w:rsidRPr="003A0759">
        <w:rPr>
          <w:rFonts w:ascii="Palatino Linotype" w:eastAsia="Palatino Linotype" w:hAnsi="Palatino Linotype" w:cs="Palatino Linotype"/>
          <w:b/>
          <w:i/>
        </w:rPr>
        <w:t>Cuentas bancarias y/o CLABE interbancaria de personas físicas y morales privadas.</w:t>
      </w:r>
      <w:r w:rsidRPr="003A0759">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B596700" w14:textId="77777777" w:rsidR="00861417" w:rsidRPr="003A0759" w:rsidRDefault="00861417" w:rsidP="00E30F56">
      <w:pPr>
        <w:pBdr>
          <w:top w:val="nil"/>
          <w:left w:val="nil"/>
          <w:bottom w:val="nil"/>
          <w:right w:val="nil"/>
          <w:between w:val="nil"/>
        </w:pBdr>
        <w:spacing w:after="0"/>
        <w:ind w:left="851" w:right="900"/>
        <w:jc w:val="both"/>
        <w:rPr>
          <w:rFonts w:ascii="Palatino Linotype" w:eastAsia="Palatino Linotype" w:hAnsi="Palatino Linotype" w:cs="Palatino Linotype"/>
          <w:i/>
        </w:rPr>
      </w:pPr>
      <w:r w:rsidRPr="003A0759">
        <w:rPr>
          <w:rFonts w:ascii="Palatino Linotype" w:eastAsia="Palatino Linotype" w:hAnsi="Palatino Linotype" w:cs="Palatino Linotype"/>
          <w:b/>
          <w:i/>
        </w:rPr>
        <w:t>Cuentas bancarias y/o CLABE interbancaria de sujetos obligados que reciben y/o transfieren recursos públicos, son información pública.</w:t>
      </w:r>
      <w:r w:rsidRPr="003A0759">
        <w:rPr>
          <w:rFonts w:ascii="Palatino Linotype" w:eastAsia="Palatino Linotype" w:hAnsi="Palatino Linotype" w:cs="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FD1734C" w14:textId="77777777" w:rsidR="00861417" w:rsidRPr="003A0759" w:rsidRDefault="00861417" w:rsidP="00E30F56">
      <w:pPr>
        <w:pBdr>
          <w:top w:val="nil"/>
          <w:left w:val="nil"/>
          <w:bottom w:val="nil"/>
          <w:right w:val="nil"/>
          <w:between w:val="nil"/>
        </w:pBdr>
        <w:spacing w:after="0"/>
        <w:ind w:left="851" w:right="900"/>
        <w:jc w:val="both"/>
        <w:rPr>
          <w:rFonts w:ascii="Palatino Linotype" w:hAnsi="Palatino Linotype"/>
        </w:rPr>
      </w:pPr>
    </w:p>
    <w:p w14:paraId="1140EDAC" w14:textId="77777777" w:rsidR="00861417" w:rsidRPr="003A0759" w:rsidRDefault="00861417" w:rsidP="00E30F56">
      <w:pPr>
        <w:pBdr>
          <w:top w:val="nil"/>
          <w:left w:val="nil"/>
          <w:bottom w:val="nil"/>
          <w:right w:val="nil"/>
          <w:between w:val="nil"/>
        </w:pBd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Por cuanto hace a los </w:t>
      </w:r>
      <w:r w:rsidRPr="003A0759">
        <w:rPr>
          <w:rFonts w:ascii="Palatino Linotype" w:eastAsia="Palatino Linotype" w:hAnsi="Palatino Linotype" w:cs="Palatino Linotype"/>
          <w:b/>
        </w:rPr>
        <w:t>préstamos o descuentos de carácter personal</w:t>
      </w:r>
      <w:r w:rsidRPr="003A0759">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02EAA8C5" w14:textId="77777777" w:rsidR="00861417" w:rsidRPr="003A0759" w:rsidRDefault="00861417" w:rsidP="00E30F56">
      <w:pPr>
        <w:pBdr>
          <w:top w:val="nil"/>
          <w:left w:val="nil"/>
          <w:bottom w:val="nil"/>
          <w:right w:val="nil"/>
          <w:between w:val="nil"/>
        </w:pBdr>
        <w:spacing w:after="0" w:line="360" w:lineRule="auto"/>
        <w:jc w:val="both"/>
        <w:rPr>
          <w:rFonts w:ascii="Palatino Linotype" w:hAnsi="Palatino Linotype"/>
        </w:rPr>
      </w:pPr>
    </w:p>
    <w:p w14:paraId="7F593367" w14:textId="77777777" w:rsidR="00861417" w:rsidRPr="003A0759" w:rsidRDefault="00861417" w:rsidP="00E30F56">
      <w:pPr>
        <w:pBdr>
          <w:top w:val="nil"/>
          <w:left w:val="nil"/>
          <w:bottom w:val="nil"/>
          <w:right w:val="nil"/>
          <w:between w:val="nil"/>
        </w:pBd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1C15EC36" w14:textId="77777777" w:rsidR="00861417" w:rsidRPr="003A0759" w:rsidRDefault="00861417" w:rsidP="00E30F56">
      <w:pPr>
        <w:pBdr>
          <w:top w:val="nil"/>
          <w:left w:val="nil"/>
          <w:bottom w:val="nil"/>
          <w:right w:val="nil"/>
          <w:between w:val="nil"/>
        </w:pBdr>
        <w:spacing w:after="0" w:line="360" w:lineRule="auto"/>
        <w:jc w:val="both"/>
        <w:rPr>
          <w:rFonts w:ascii="Palatino Linotype" w:hAnsi="Palatino Linotype"/>
        </w:rPr>
      </w:pPr>
    </w:p>
    <w:p w14:paraId="10138C7E" w14:textId="77777777" w:rsidR="00861417" w:rsidRPr="003A0759" w:rsidRDefault="00861417" w:rsidP="00E30F56">
      <w:pPr>
        <w:pBdr>
          <w:top w:val="nil"/>
          <w:left w:val="nil"/>
          <w:bottom w:val="nil"/>
          <w:right w:val="nil"/>
          <w:between w:val="nil"/>
        </w:pBdr>
        <w:spacing w:after="0"/>
        <w:ind w:left="567" w:right="900"/>
        <w:jc w:val="both"/>
        <w:rPr>
          <w:rFonts w:ascii="Palatino Linotype" w:hAnsi="Palatino Linotype"/>
        </w:rPr>
      </w:pPr>
      <w:r w:rsidRPr="003A0759">
        <w:rPr>
          <w:rFonts w:ascii="Palatino Linotype" w:eastAsia="Palatino Linotype" w:hAnsi="Palatino Linotype" w:cs="Palatino Linotype"/>
          <w:b/>
          <w:i/>
        </w:rPr>
        <w:t xml:space="preserve">“ARTÍCULO 84. </w:t>
      </w:r>
      <w:r w:rsidRPr="003A0759">
        <w:rPr>
          <w:rFonts w:ascii="Palatino Linotype" w:eastAsia="Palatino Linotype" w:hAnsi="Palatino Linotype" w:cs="Palatino Linotype"/>
          <w:i/>
        </w:rPr>
        <w:t>Sólo podrán hacerse retenciones, descuentos o deducciones al sueldo de los servidores públicos por concepto de:</w:t>
      </w:r>
    </w:p>
    <w:p w14:paraId="59016C14" w14:textId="77777777" w:rsidR="00861417" w:rsidRPr="003A0759" w:rsidRDefault="00861417" w:rsidP="00E30F56">
      <w:pPr>
        <w:pBdr>
          <w:top w:val="nil"/>
          <w:left w:val="nil"/>
          <w:bottom w:val="nil"/>
          <w:right w:val="nil"/>
          <w:between w:val="nil"/>
        </w:pBdr>
        <w:spacing w:after="0"/>
        <w:ind w:left="567" w:right="902"/>
        <w:jc w:val="both"/>
        <w:rPr>
          <w:rFonts w:ascii="Palatino Linotype" w:hAnsi="Palatino Linotype"/>
        </w:rPr>
      </w:pPr>
      <w:r w:rsidRPr="003A0759">
        <w:rPr>
          <w:rFonts w:ascii="Palatino Linotype" w:eastAsia="Palatino Linotype" w:hAnsi="Palatino Linotype" w:cs="Palatino Linotype"/>
          <w:i/>
        </w:rPr>
        <w:t>I. Gravámenes fiscales relacionados con el sueldo;</w:t>
      </w:r>
    </w:p>
    <w:p w14:paraId="269C1ED9" w14:textId="77777777" w:rsidR="00861417" w:rsidRPr="003A0759" w:rsidRDefault="00861417" w:rsidP="00E30F56">
      <w:pPr>
        <w:pBdr>
          <w:top w:val="nil"/>
          <w:left w:val="nil"/>
          <w:bottom w:val="nil"/>
          <w:right w:val="nil"/>
          <w:between w:val="nil"/>
        </w:pBdr>
        <w:spacing w:after="0"/>
        <w:ind w:left="567" w:right="902"/>
        <w:jc w:val="both"/>
        <w:rPr>
          <w:rFonts w:ascii="Palatino Linotype" w:hAnsi="Palatino Linotype"/>
        </w:rPr>
      </w:pPr>
      <w:r w:rsidRPr="003A0759">
        <w:rPr>
          <w:rFonts w:ascii="Palatino Linotype" w:eastAsia="Palatino Linotype" w:hAnsi="Palatino Linotype" w:cs="Palatino Linotype"/>
          <w:i/>
        </w:rPr>
        <w:t>II. Deudas contraídas con las instituciones públicas o dependencias por concepto de anticipos de sueldo, pagos hechos con exceso, errores o pérdidas debidamente comprobados;</w:t>
      </w:r>
    </w:p>
    <w:p w14:paraId="4E582DAB" w14:textId="77777777" w:rsidR="00861417" w:rsidRPr="003A0759" w:rsidRDefault="00861417" w:rsidP="00E30F56">
      <w:pPr>
        <w:pBdr>
          <w:top w:val="nil"/>
          <w:left w:val="nil"/>
          <w:bottom w:val="nil"/>
          <w:right w:val="nil"/>
          <w:between w:val="nil"/>
        </w:pBdr>
        <w:spacing w:after="0"/>
        <w:ind w:left="567" w:right="902"/>
        <w:jc w:val="both"/>
        <w:rPr>
          <w:rFonts w:ascii="Palatino Linotype" w:hAnsi="Palatino Linotype"/>
        </w:rPr>
      </w:pPr>
      <w:r w:rsidRPr="003A0759">
        <w:rPr>
          <w:rFonts w:ascii="Palatino Linotype" w:eastAsia="Palatino Linotype" w:hAnsi="Palatino Linotype" w:cs="Palatino Linotype"/>
          <w:i/>
        </w:rPr>
        <w:t>III. Cuotas sindicales;</w:t>
      </w:r>
    </w:p>
    <w:p w14:paraId="27DCD3DC" w14:textId="77777777" w:rsidR="00861417" w:rsidRPr="003A0759" w:rsidRDefault="00861417" w:rsidP="00E30F56">
      <w:pPr>
        <w:pBdr>
          <w:top w:val="nil"/>
          <w:left w:val="nil"/>
          <w:bottom w:val="nil"/>
          <w:right w:val="nil"/>
          <w:between w:val="nil"/>
        </w:pBdr>
        <w:spacing w:after="0"/>
        <w:ind w:left="567" w:right="902"/>
        <w:jc w:val="both"/>
        <w:rPr>
          <w:rFonts w:ascii="Palatino Linotype" w:hAnsi="Palatino Linotype"/>
        </w:rPr>
      </w:pPr>
      <w:r w:rsidRPr="003A0759">
        <w:rPr>
          <w:rFonts w:ascii="Palatino Linotype" w:eastAsia="Palatino Linotype" w:hAnsi="Palatino Linotype" w:cs="Palatino Linotype"/>
          <w:i/>
        </w:rPr>
        <w:t>IV. Cuotas de aportación a fondos para la constitución de cooperativas y de cajas de ahorro, siempre que el servidor público hubiese manifestado previamente, de manera expresa, su conformidad;</w:t>
      </w:r>
    </w:p>
    <w:p w14:paraId="5DB8777C" w14:textId="77777777" w:rsidR="00861417" w:rsidRPr="003A0759" w:rsidRDefault="00861417" w:rsidP="00E30F56">
      <w:pPr>
        <w:pBdr>
          <w:top w:val="nil"/>
          <w:left w:val="nil"/>
          <w:bottom w:val="nil"/>
          <w:right w:val="nil"/>
          <w:between w:val="nil"/>
        </w:pBdr>
        <w:spacing w:after="0"/>
        <w:ind w:left="567" w:right="902"/>
        <w:jc w:val="both"/>
        <w:rPr>
          <w:rFonts w:ascii="Palatino Linotype" w:hAnsi="Palatino Linotype"/>
        </w:rPr>
      </w:pPr>
      <w:r w:rsidRPr="003A0759">
        <w:rPr>
          <w:rFonts w:ascii="Palatino Linotype" w:eastAsia="Palatino Linotype" w:hAnsi="Palatino Linotype" w:cs="Palatino Linotype"/>
          <w:i/>
        </w:rPr>
        <w:t>V. Descuentos ordenados por el Instituto de Seguridad Social del Estado de México y Municipios, con motivo de cuotas y obligaciones contraídas con éste por los servidores públicos;</w:t>
      </w:r>
    </w:p>
    <w:p w14:paraId="08CCC4B7" w14:textId="77777777" w:rsidR="00861417" w:rsidRPr="003A0759" w:rsidRDefault="00861417" w:rsidP="00E30F56">
      <w:pPr>
        <w:pBdr>
          <w:top w:val="nil"/>
          <w:left w:val="nil"/>
          <w:bottom w:val="nil"/>
          <w:right w:val="nil"/>
          <w:between w:val="nil"/>
        </w:pBdr>
        <w:spacing w:after="0"/>
        <w:ind w:left="567" w:right="902"/>
        <w:jc w:val="both"/>
        <w:rPr>
          <w:rFonts w:ascii="Palatino Linotype" w:hAnsi="Palatino Linotype"/>
        </w:rPr>
      </w:pPr>
      <w:r w:rsidRPr="003A0759">
        <w:rPr>
          <w:rFonts w:ascii="Palatino Linotype" w:eastAsia="Palatino Linotype" w:hAnsi="Palatino Linotype" w:cs="Palatino Linotype"/>
          <w:i/>
        </w:rPr>
        <w:t>VI. Obligaciones a cargo del servidor público con las que haya consentido, derivadas de la adquisición o del uso de habitaciones consideradas como de interés social;</w:t>
      </w:r>
    </w:p>
    <w:p w14:paraId="32A34CD7" w14:textId="77777777" w:rsidR="00861417" w:rsidRPr="003A0759" w:rsidRDefault="00861417" w:rsidP="00E30F56">
      <w:pPr>
        <w:pBdr>
          <w:top w:val="nil"/>
          <w:left w:val="nil"/>
          <w:bottom w:val="nil"/>
          <w:right w:val="nil"/>
          <w:between w:val="nil"/>
        </w:pBdr>
        <w:spacing w:after="0"/>
        <w:ind w:left="567" w:right="902"/>
        <w:jc w:val="both"/>
        <w:rPr>
          <w:rFonts w:ascii="Palatino Linotype" w:hAnsi="Palatino Linotype"/>
        </w:rPr>
      </w:pPr>
      <w:r w:rsidRPr="003A0759">
        <w:rPr>
          <w:rFonts w:ascii="Palatino Linotype" w:eastAsia="Palatino Linotype" w:hAnsi="Palatino Linotype" w:cs="Palatino Linotype"/>
          <w:i/>
        </w:rPr>
        <w:t>VII. Faltas de puntualidad o de asistencia injustificadas;</w:t>
      </w:r>
    </w:p>
    <w:p w14:paraId="3DC79BF6" w14:textId="77777777" w:rsidR="00861417" w:rsidRPr="003A0759" w:rsidRDefault="00861417" w:rsidP="00E30F56">
      <w:pPr>
        <w:pBdr>
          <w:top w:val="nil"/>
          <w:left w:val="nil"/>
          <w:bottom w:val="nil"/>
          <w:right w:val="nil"/>
          <w:between w:val="nil"/>
        </w:pBdr>
        <w:spacing w:after="0"/>
        <w:ind w:left="567" w:right="902"/>
        <w:jc w:val="both"/>
        <w:rPr>
          <w:rFonts w:ascii="Palatino Linotype" w:hAnsi="Palatino Linotype"/>
        </w:rPr>
      </w:pPr>
      <w:r w:rsidRPr="003A0759">
        <w:rPr>
          <w:rFonts w:ascii="Palatino Linotype" w:eastAsia="Palatino Linotype" w:hAnsi="Palatino Linotype" w:cs="Palatino Linotype"/>
          <w:b/>
          <w:i/>
        </w:rPr>
        <w:t>VIII. Pensiones alimenticias ordenadas por la autoridad judicial;</w:t>
      </w:r>
      <w:r w:rsidRPr="003A0759">
        <w:rPr>
          <w:rFonts w:ascii="Palatino Linotype" w:eastAsia="Palatino Linotype" w:hAnsi="Palatino Linotype" w:cs="Palatino Linotype"/>
          <w:i/>
        </w:rPr>
        <w:t xml:space="preserve"> o</w:t>
      </w:r>
    </w:p>
    <w:p w14:paraId="2DB70DA0" w14:textId="77777777" w:rsidR="00861417" w:rsidRPr="003A0759" w:rsidRDefault="00861417" w:rsidP="00E30F56">
      <w:pPr>
        <w:pBdr>
          <w:top w:val="nil"/>
          <w:left w:val="nil"/>
          <w:bottom w:val="nil"/>
          <w:right w:val="nil"/>
          <w:between w:val="nil"/>
        </w:pBdr>
        <w:spacing w:after="0"/>
        <w:ind w:left="567" w:right="902"/>
        <w:jc w:val="both"/>
        <w:rPr>
          <w:rFonts w:ascii="Palatino Linotype" w:hAnsi="Palatino Linotype"/>
        </w:rPr>
      </w:pPr>
      <w:r w:rsidRPr="003A0759">
        <w:rPr>
          <w:rFonts w:ascii="Palatino Linotype" w:eastAsia="Palatino Linotype" w:hAnsi="Palatino Linotype" w:cs="Palatino Linotype"/>
          <w:b/>
          <w:i/>
        </w:rPr>
        <w:t>IX. Cualquier otro convenido con instituciones de servicios y aceptado por el servidor público.</w:t>
      </w:r>
    </w:p>
    <w:p w14:paraId="6292841F" w14:textId="77777777" w:rsidR="00861417" w:rsidRPr="003A0759" w:rsidRDefault="00861417" w:rsidP="00E30F56">
      <w:pPr>
        <w:pBdr>
          <w:top w:val="nil"/>
          <w:left w:val="nil"/>
          <w:bottom w:val="nil"/>
          <w:right w:val="nil"/>
          <w:between w:val="nil"/>
        </w:pBdr>
        <w:spacing w:after="0"/>
        <w:ind w:left="567" w:right="900"/>
        <w:jc w:val="both"/>
        <w:rPr>
          <w:rFonts w:ascii="Palatino Linotype" w:eastAsia="Palatino Linotype" w:hAnsi="Palatino Linotype" w:cs="Palatino Linotype"/>
          <w:i/>
        </w:rPr>
      </w:pPr>
      <w:r w:rsidRPr="003A0759">
        <w:rPr>
          <w:rFonts w:ascii="Palatino Linotype" w:eastAsia="Palatino Linotype" w:hAnsi="Palatino Linotype" w:cs="Palatino Linotype"/>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9E380AA" w14:textId="77777777" w:rsidR="00861417" w:rsidRPr="003A0759" w:rsidRDefault="00861417" w:rsidP="00E30F56">
      <w:pPr>
        <w:pBdr>
          <w:top w:val="nil"/>
          <w:left w:val="nil"/>
          <w:bottom w:val="nil"/>
          <w:right w:val="nil"/>
          <w:between w:val="nil"/>
        </w:pBdr>
        <w:spacing w:after="0"/>
        <w:ind w:left="567" w:right="900"/>
        <w:jc w:val="both"/>
        <w:rPr>
          <w:rFonts w:ascii="Palatino Linotype" w:hAnsi="Palatino Linotype"/>
        </w:rPr>
      </w:pPr>
    </w:p>
    <w:p w14:paraId="17CBC6B6" w14:textId="77777777" w:rsidR="00861417" w:rsidRPr="003A0759" w:rsidRDefault="00861417" w:rsidP="00E30F56">
      <w:pPr>
        <w:pBdr>
          <w:top w:val="nil"/>
          <w:left w:val="nil"/>
          <w:bottom w:val="nil"/>
          <w:right w:val="nil"/>
          <w:between w:val="nil"/>
        </w:pBd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7F92FC7F" w14:textId="77777777" w:rsidR="00861417" w:rsidRPr="003A0759" w:rsidRDefault="00861417" w:rsidP="00E30F56">
      <w:pPr>
        <w:pBdr>
          <w:top w:val="nil"/>
          <w:left w:val="nil"/>
          <w:bottom w:val="nil"/>
          <w:right w:val="nil"/>
          <w:between w:val="nil"/>
        </w:pBdr>
        <w:spacing w:after="0" w:line="360" w:lineRule="auto"/>
        <w:jc w:val="both"/>
        <w:rPr>
          <w:rFonts w:ascii="Palatino Linotype" w:hAnsi="Palatino Linotype"/>
        </w:rPr>
      </w:pPr>
    </w:p>
    <w:p w14:paraId="44ED7FCF" w14:textId="77777777" w:rsidR="00861417" w:rsidRPr="003A0759" w:rsidRDefault="00861417" w:rsidP="00E30F56">
      <w:pPr>
        <w:pBdr>
          <w:top w:val="nil"/>
          <w:left w:val="nil"/>
          <w:bottom w:val="nil"/>
          <w:right w:val="nil"/>
          <w:between w:val="nil"/>
        </w:pBd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Con relación al </w:t>
      </w:r>
      <w:r w:rsidRPr="003A0759">
        <w:rPr>
          <w:rFonts w:ascii="Palatino Linotype" w:eastAsia="Palatino Linotype" w:hAnsi="Palatino Linotype" w:cs="Palatino Linotype"/>
          <w:b/>
        </w:rPr>
        <w:t>número de empleado</w:t>
      </w:r>
      <w:r w:rsidRPr="003A0759">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14:paraId="664D02C9" w14:textId="77777777" w:rsidR="00861417" w:rsidRPr="003A0759" w:rsidRDefault="00861417" w:rsidP="00E30F56">
      <w:pPr>
        <w:pBdr>
          <w:top w:val="nil"/>
          <w:left w:val="nil"/>
          <w:bottom w:val="nil"/>
          <w:right w:val="nil"/>
          <w:between w:val="nil"/>
        </w:pBdr>
        <w:spacing w:after="0" w:line="360" w:lineRule="auto"/>
        <w:jc w:val="both"/>
        <w:rPr>
          <w:rFonts w:ascii="Palatino Linotype" w:hAnsi="Palatino Linotype"/>
        </w:rPr>
      </w:pPr>
    </w:p>
    <w:p w14:paraId="3370CA03" w14:textId="77777777" w:rsidR="00861417" w:rsidRPr="003A0759" w:rsidRDefault="00861417" w:rsidP="00E30F56">
      <w:pPr>
        <w:pBdr>
          <w:top w:val="nil"/>
          <w:left w:val="nil"/>
          <w:bottom w:val="nil"/>
          <w:right w:val="nil"/>
          <w:between w:val="nil"/>
        </w:pBd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INAI  se ha pronunciado sobre su publicidad, a través del criterio 06/19, que indica lo siguiente:</w:t>
      </w:r>
    </w:p>
    <w:p w14:paraId="467F37D3" w14:textId="77777777" w:rsidR="00861417" w:rsidRPr="003A0759" w:rsidRDefault="00861417" w:rsidP="00E30F56">
      <w:pPr>
        <w:pBdr>
          <w:top w:val="nil"/>
          <w:left w:val="nil"/>
          <w:bottom w:val="nil"/>
          <w:right w:val="nil"/>
          <w:between w:val="nil"/>
        </w:pBdr>
        <w:spacing w:after="0"/>
        <w:ind w:left="993" w:right="992"/>
        <w:jc w:val="both"/>
        <w:rPr>
          <w:rFonts w:ascii="Palatino Linotype" w:eastAsia="Palatino Linotype" w:hAnsi="Palatino Linotype" w:cs="Palatino Linotype"/>
          <w:i/>
        </w:rPr>
      </w:pPr>
      <w:r w:rsidRPr="003A0759">
        <w:rPr>
          <w:rFonts w:ascii="Palatino Linotype" w:eastAsia="Palatino Linotype" w:hAnsi="Palatino Linotype" w:cs="Palatino Linotype"/>
          <w:b/>
          <w:i/>
        </w:rPr>
        <w:t xml:space="preserve">“Número de empleado. </w:t>
      </w:r>
      <w:r w:rsidRPr="003A0759">
        <w:rPr>
          <w:rFonts w:ascii="Palatino Linotype" w:eastAsia="Palatino Linotype" w:hAnsi="Palatino Linotype" w:cs="Palatino Linotype"/>
          <w:i/>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198D688E" w14:textId="77777777" w:rsidR="00861417" w:rsidRPr="003A0759" w:rsidRDefault="00861417" w:rsidP="00E30F56">
      <w:pPr>
        <w:pBdr>
          <w:top w:val="nil"/>
          <w:left w:val="nil"/>
          <w:bottom w:val="nil"/>
          <w:right w:val="nil"/>
          <w:between w:val="nil"/>
        </w:pBdr>
        <w:spacing w:after="0"/>
        <w:ind w:left="993" w:right="992"/>
        <w:jc w:val="both"/>
        <w:rPr>
          <w:rFonts w:ascii="Palatino Linotype" w:hAnsi="Palatino Linotype"/>
        </w:rPr>
      </w:pPr>
    </w:p>
    <w:p w14:paraId="60F0CD53" w14:textId="77777777" w:rsidR="00861417" w:rsidRPr="003A0759" w:rsidRDefault="00861417" w:rsidP="00E30F56">
      <w:pPr>
        <w:pBdr>
          <w:top w:val="nil"/>
          <w:left w:val="nil"/>
          <w:bottom w:val="nil"/>
          <w:right w:val="nil"/>
          <w:between w:val="nil"/>
        </w:pBd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3A0759">
        <w:rPr>
          <w:rFonts w:ascii="Palatino Linotype" w:eastAsia="Palatino Linotype" w:hAnsi="Palatino Linotype" w:cs="Palatino Linotype"/>
          <w:b/>
        </w:rPr>
        <w:t>Sujeto Obligado</w:t>
      </w:r>
      <w:r w:rsidRPr="003A0759">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1101DCC5" w14:textId="77777777" w:rsidR="00861417" w:rsidRPr="003A0759" w:rsidRDefault="00861417" w:rsidP="00E30F56">
      <w:pPr>
        <w:pBdr>
          <w:top w:val="nil"/>
          <w:left w:val="nil"/>
          <w:bottom w:val="nil"/>
          <w:right w:val="nil"/>
          <w:between w:val="nil"/>
        </w:pBdr>
        <w:spacing w:after="0" w:line="360" w:lineRule="auto"/>
        <w:jc w:val="both"/>
        <w:rPr>
          <w:rFonts w:ascii="Palatino Linotype" w:hAnsi="Palatino Linotype"/>
        </w:rPr>
      </w:pPr>
    </w:p>
    <w:p w14:paraId="0F7F2F76" w14:textId="77777777" w:rsidR="00861417" w:rsidRPr="003A0759" w:rsidRDefault="00861417" w:rsidP="00E30F56">
      <w:pPr>
        <w:pBdr>
          <w:top w:val="nil"/>
          <w:left w:val="nil"/>
          <w:bottom w:val="nil"/>
          <w:right w:val="nil"/>
          <w:between w:val="nil"/>
        </w:pBdr>
        <w:spacing w:after="0"/>
        <w:jc w:val="both"/>
        <w:rPr>
          <w:rFonts w:ascii="Palatino Linotype" w:eastAsia="Palatino Linotype" w:hAnsi="Palatino Linotype" w:cs="Palatino Linotype"/>
        </w:rPr>
      </w:pPr>
      <w:r w:rsidRPr="003A0759">
        <w:rPr>
          <w:rFonts w:ascii="Palatino Linotype" w:eastAsia="Palatino Linotype" w:hAnsi="Palatino Linotype" w:cs="Palatino Linotype"/>
          <w:b/>
        </w:rPr>
        <w:t>De la información fiscal</w:t>
      </w:r>
      <w:r w:rsidRPr="003A0759">
        <w:rPr>
          <w:rFonts w:ascii="Palatino Linotype" w:eastAsia="Palatino Linotype" w:hAnsi="Palatino Linotype" w:cs="Palatino Linotype"/>
        </w:rPr>
        <w:t>: </w:t>
      </w:r>
    </w:p>
    <w:p w14:paraId="1D4C76B2" w14:textId="77777777" w:rsidR="00861417" w:rsidRPr="003A0759" w:rsidRDefault="00861417" w:rsidP="00E30F56">
      <w:pPr>
        <w:pBdr>
          <w:top w:val="nil"/>
          <w:left w:val="nil"/>
          <w:bottom w:val="nil"/>
          <w:right w:val="nil"/>
          <w:between w:val="nil"/>
        </w:pBdr>
        <w:spacing w:after="0"/>
        <w:jc w:val="both"/>
        <w:rPr>
          <w:rFonts w:ascii="Palatino Linotype" w:hAnsi="Palatino Linotype"/>
        </w:rPr>
      </w:pPr>
    </w:p>
    <w:p w14:paraId="19724051" w14:textId="77777777" w:rsidR="00861417" w:rsidRPr="003A0759" w:rsidRDefault="00861417" w:rsidP="00E30F56">
      <w:pPr>
        <w:pBdr>
          <w:top w:val="nil"/>
          <w:left w:val="nil"/>
          <w:bottom w:val="nil"/>
          <w:right w:val="nil"/>
          <w:between w:val="nil"/>
        </w:pBd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La </w:t>
      </w:r>
      <w:r w:rsidRPr="003A0759">
        <w:rPr>
          <w:rFonts w:ascii="Palatino Linotype" w:eastAsia="Palatino Linotype" w:hAnsi="Palatino Linotype" w:cs="Palatino Linotype"/>
          <w:b/>
        </w:rPr>
        <w:t>Cadena Original</w:t>
      </w:r>
      <w:r w:rsidRPr="003A0759">
        <w:rPr>
          <w:rFonts w:ascii="Palatino Linotype" w:eastAsia="Palatino Linotype" w:hAnsi="Palatino Linotype" w:cs="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3A0759">
        <w:rPr>
          <w:rFonts w:ascii="Palatino Linotype" w:eastAsia="Palatino Linotype" w:hAnsi="Palatino Linotype" w:cs="Palatino Linotype"/>
          <w:b/>
        </w:rPr>
        <w:t>Sujeto Obligado</w:t>
      </w:r>
      <w:r w:rsidRPr="003A0759">
        <w:rPr>
          <w:rFonts w:ascii="Palatino Linotype" w:eastAsia="Palatino Linotype" w:hAnsi="Palatino Linotype" w:cs="Palatino Linotype"/>
        </w:rPr>
        <w:t xml:space="preserve"> analizar dicha circunstancia con la finalidad de proteger, de ser el caso, la información a través de su clasificación por actualizarse el supuesto de confidencialidad.</w:t>
      </w:r>
    </w:p>
    <w:p w14:paraId="4F1A1900" w14:textId="77777777" w:rsidR="00861417" w:rsidRPr="003A0759" w:rsidRDefault="00861417" w:rsidP="00E30F56">
      <w:pPr>
        <w:pBdr>
          <w:top w:val="nil"/>
          <w:left w:val="nil"/>
          <w:bottom w:val="nil"/>
          <w:right w:val="nil"/>
          <w:between w:val="nil"/>
        </w:pBdr>
        <w:spacing w:after="0" w:line="360" w:lineRule="auto"/>
        <w:jc w:val="both"/>
        <w:rPr>
          <w:rFonts w:ascii="Palatino Linotype" w:hAnsi="Palatino Linotype"/>
        </w:rPr>
      </w:pPr>
    </w:p>
    <w:p w14:paraId="373DE9F8" w14:textId="77777777" w:rsidR="00861417" w:rsidRPr="003A0759" w:rsidRDefault="00861417" w:rsidP="00E30F56">
      <w:pPr>
        <w:pBdr>
          <w:top w:val="nil"/>
          <w:left w:val="nil"/>
          <w:bottom w:val="nil"/>
          <w:right w:val="nil"/>
          <w:between w:val="nil"/>
        </w:pBd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Los </w:t>
      </w:r>
      <w:r w:rsidRPr="003A0759">
        <w:rPr>
          <w:rFonts w:ascii="Palatino Linotype" w:eastAsia="Palatino Linotype" w:hAnsi="Palatino Linotype" w:cs="Palatino Linotype"/>
          <w:b/>
        </w:rPr>
        <w:t>códigos bidimensionales</w:t>
      </w:r>
      <w:r w:rsidRPr="003A0759">
        <w:rPr>
          <w:rFonts w:ascii="Palatino Linotype" w:eastAsia="Palatino Linotype" w:hAnsi="Palatino Linotype" w:cs="Palatino Linotype"/>
        </w:rPr>
        <w:t xml:space="preserve"> o </w:t>
      </w:r>
      <w:r w:rsidRPr="003A0759">
        <w:rPr>
          <w:rFonts w:ascii="Palatino Linotype" w:eastAsia="Palatino Linotype" w:hAnsi="Palatino Linotype" w:cs="Palatino Linotype"/>
          <w:b/>
        </w:rPr>
        <w:t xml:space="preserve">códigos QR, </w:t>
      </w:r>
      <w:r w:rsidRPr="003A0759">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3A0759">
        <w:rPr>
          <w:rFonts w:ascii="Palatino Linotype" w:eastAsia="Palatino Linotype" w:hAnsi="Palatino Linotype" w:cs="Palatino Linotype"/>
          <w:b/>
        </w:rPr>
        <w:t xml:space="preserve">Sujeto Obligado </w:t>
      </w:r>
      <w:r w:rsidRPr="003A0759">
        <w:rPr>
          <w:rFonts w:ascii="Palatino Linotype" w:eastAsia="Palatino Linotype" w:hAnsi="Palatino Linotype" w:cs="Palatino Linotype"/>
        </w:rPr>
        <w:t>analizar dicha circunstancia con la finalidad de determinar si se actualiza algún supuesto de confidencialidad.</w:t>
      </w:r>
    </w:p>
    <w:p w14:paraId="5D45A82F" w14:textId="77777777" w:rsidR="00861417" w:rsidRPr="003A0759" w:rsidRDefault="00861417" w:rsidP="00E30F56">
      <w:pPr>
        <w:pBdr>
          <w:top w:val="nil"/>
          <w:left w:val="nil"/>
          <w:bottom w:val="nil"/>
          <w:right w:val="nil"/>
          <w:between w:val="nil"/>
        </w:pBdr>
        <w:spacing w:after="0" w:line="360" w:lineRule="auto"/>
        <w:jc w:val="both"/>
        <w:rPr>
          <w:rFonts w:ascii="Palatino Linotype" w:hAnsi="Palatino Linotype"/>
        </w:rPr>
      </w:pPr>
    </w:p>
    <w:p w14:paraId="5451EBCA" w14:textId="77777777" w:rsidR="00861417" w:rsidRPr="003A0759" w:rsidRDefault="00861417" w:rsidP="00E30F56">
      <w:pPr>
        <w:pBdr>
          <w:top w:val="nil"/>
          <w:left w:val="nil"/>
          <w:bottom w:val="nil"/>
          <w:right w:val="nil"/>
          <w:between w:val="nil"/>
        </w:pBd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En tal sentido, si derivado del análisis efectuado por </w:t>
      </w:r>
      <w:r w:rsidRPr="003A0759">
        <w:rPr>
          <w:rFonts w:ascii="Palatino Linotype" w:eastAsia="Palatino Linotype" w:hAnsi="Palatino Linotype" w:cs="Palatino Linotype"/>
          <w:b/>
        </w:rPr>
        <w:t xml:space="preserve">Sujeto Obligado </w:t>
      </w:r>
      <w:r w:rsidRPr="003A0759">
        <w:rPr>
          <w:rFonts w:ascii="Palatino Linotype" w:eastAsia="Palatino Linotype" w:hAnsi="Palatino Linotype" w:cs="Palatino Linotype"/>
        </w:rPr>
        <w:t>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65CF809E" w14:textId="77777777" w:rsidR="00861417" w:rsidRPr="003A0759" w:rsidRDefault="00861417" w:rsidP="00E30F56">
      <w:pPr>
        <w:pBdr>
          <w:top w:val="nil"/>
          <w:left w:val="nil"/>
          <w:bottom w:val="nil"/>
          <w:right w:val="nil"/>
          <w:between w:val="nil"/>
        </w:pBdr>
        <w:spacing w:after="0" w:line="360" w:lineRule="auto"/>
        <w:jc w:val="both"/>
        <w:rPr>
          <w:rFonts w:ascii="Palatino Linotype" w:hAnsi="Palatino Linotype"/>
        </w:rPr>
      </w:pPr>
    </w:p>
    <w:p w14:paraId="64861E3D" w14:textId="77777777" w:rsidR="00861417" w:rsidRPr="003A0759" w:rsidRDefault="00861417" w:rsidP="00E30F56">
      <w:pPr>
        <w:pBdr>
          <w:top w:val="nil"/>
          <w:left w:val="nil"/>
          <w:bottom w:val="nil"/>
          <w:right w:val="nil"/>
          <w:between w:val="nil"/>
        </w:pBd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3A0759">
        <w:rPr>
          <w:rFonts w:ascii="Palatino Linotype" w:eastAsia="Palatino Linotype" w:hAnsi="Palatino Linotype" w:cs="Palatino Linotype"/>
          <w:b/>
          <w:u w:val="single"/>
        </w:rPr>
        <w:t>razones, motivos o circunstancias especiales</w:t>
      </w:r>
      <w:r w:rsidRPr="003A0759">
        <w:rPr>
          <w:rFonts w:ascii="Palatino Linotype" w:eastAsia="Palatino Linotype" w:hAnsi="Palatino Linotype" w:cs="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0842F922" w14:textId="77777777" w:rsidR="00861417" w:rsidRPr="003A0759" w:rsidRDefault="00861417" w:rsidP="00E30F56">
      <w:pPr>
        <w:pBdr>
          <w:top w:val="nil"/>
          <w:left w:val="nil"/>
          <w:bottom w:val="nil"/>
          <w:right w:val="nil"/>
          <w:between w:val="nil"/>
        </w:pBdr>
        <w:spacing w:after="0" w:line="360" w:lineRule="auto"/>
        <w:jc w:val="both"/>
        <w:rPr>
          <w:rFonts w:ascii="Palatino Linotype" w:hAnsi="Palatino Linotype"/>
        </w:rPr>
      </w:pPr>
    </w:p>
    <w:p w14:paraId="0C5C4135" w14:textId="77777777" w:rsidR="00861417" w:rsidRPr="003A0759" w:rsidRDefault="00861417" w:rsidP="00E30F56">
      <w:pPr>
        <w:pBdr>
          <w:top w:val="nil"/>
          <w:left w:val="nil"/>
          <w:bottom w:val="nil"/>
          <w:right w:val="nil"/>
          <w:between w:val="nil"/>
        </w:pBdr>
        <w:spacing w:after="0" w:line="360" w:lineRule="auto"/>
        <w:ind w:right="50"/>
        <w:jc w:val="both"/>
        <w:rPr>
          <w:rFonts w:ascii="Palatino Linotype" w:eastAsia="Palatino Linotype" w:hAnsi="Palatino Linotype" w:cs="Palatino Linotype"/>
        </w:rPr>
      </w:pPr>
      <w:r w:rsidRPr="003A0759">
        <w:rPr>
          <w:rFonts w:ascii="Palatino Linotype" w:eastAsia="Palatino Linotype" w:hAnsi="Palatino Linotype" w:cs="Palatino Linotype"/>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A3E360A" w14:textId="77777777" w:rsidR="00861417" w:rsidRPr="003A0759" w:rsidRDefault="00861417" w:rsidP="00E30F56">
      <w:pPr>
        <w:pBdr>
          <w:top w:val="nil"/>
          <w:left w:val="nil"/>
          <w:bottom w:val="nil"/>
          <w:right w:val="nil"/>
          <w:between w:val="nil"/>
        </w:pBdr>
        <w:spacing w:after="0" w:line="360" w:lineRule="auto"/>
        <w:ind w:right="50"/>
        <w:jc w:val="both"/>
        <w:rPr>
          <w:rFonts w:ascii="Palatino Linotype" w:hAnsi="Palatino Linotype"/>
        </w:rPr>
      </w:pPr>
    </w:p>
    <w:p w14:paraId="4FAC08C8" w14:textId="77777777" w:rsidR="00861417" w:rsidRPr="003A0759" w:rsidRDefault="00861417" w:rsidP="004C750B">
      <w:pPr>
        <w:pBdr>
          <w:top w:val="nil"/>
          <w:left w:val="nil"/>
          <w:bottom w:val="nil"/>
          <w:right w:val="nil"/>
          <w:between w:val="nil"/>
        </w:pBdr>
        <w:spacing w:after="0"/>
        <w:ind w:left="851" w:right="900"/>
        <w:jc w:val="both"/>
        <w:rPr>
          <w:rFonts w:ascii="Palatino Linotype" w:hAnsi="Palatino Linotype"/>
        </w:rPr>
      </w:pPr>
      <w:r w:rsidRPr="003A0759">
        <w:rPr>
          <w:rFonts w:ascii="Palatino Linotype" w:eastAsia="Palatino Linotype" w:hAnsi="Palatino Linotype" w:cs="Palatino Linotype"/>
          <w:b/>
          <w:i/>
        </w:rPr>
        <w:t>“Artículo 49.</w:t>
      </w:r>
      <w:r w:rsidRPr="003A0759">
        <w:rPr>
          <w:rFonts w:ascii="Palatino Linotype" w:eastAsia="Palatino Linotype" w:hAnsi="Palatino Linotype" w:cs="Palatino Linotype"/>
          <w:i/>
        </w:rPr>
        <w:t xml:space="preserve"> </w:t>
      </w:r>
      <w:r w:rsidRPr="003A0759">
        <w:rPr>
          <w:rFonts w:ascii="Palatino Linotype" w:eastAsia="Palatino Linotype" w:hAnsi="Palatino Linotype" w:cs="Palatino Linotype"/>
          <w:b/>
          <w:i/>
        </w:rPr>
        <w:t>Los Comités de Transparencia</w:t>
      </w:r>
      <w:r w:rsidRPr="003A0759">
        <w:rPr>
          <w:rFonts w:ascii="Palatino Linotype" w:eastAsia="Palatino Linotype" w:hAnsi="Palatino Linotype" w:cs="Palatino Linotype"/>
          <w:i/>
        </w:rPr>
        <w:t xml:space="preserve"> tendrán las siguientes atribuciones:</w:t>
      </w:r>
    </w:p>
    <w:p w14:paraId="15D9B0C2" w14:textId="77777777" w:rsidR="00861417" w:rsidRPr="003A0759" w:rsidRDefault="00861417" w:rsidP="004C750B">
      <w:pPr>
        <w:pBdr>
          <w:top w:val="nil"/>
          <w:left w:val="nil"/>
          <w:bottom w:val="nil"/>
          <w:right w:val="nil"/>
          <w:between w:val="nil"/>
        </w:pBdr>
        <w:spacing w:after="0"/>
        <w:ind w:left="851" w:right="900"/>
        <w:jc w:val="both"/>
        <w:rPr>
          <w:rFonts w:ascii="Palatino Linotype" w:hAnsi="Palatino Linotype"/>
        </w:rPr>
      </w:pPr>
      <w:r w:rsidRPr="003A0759">
        <w:rPr>
          <w:rFonts w:ascii="Palatino Linotype" w:eastAsia="Palatino Linotype" w:hAnsi="Palatino Linotype" w:cs="Palatino Linotype"/>
          <w:b/>
          <w:i/>
        </w:rPr>
        <w:t>VIII. Aprobar, modificar o revocar la clasificación de la información</w:t>
      </w:r>
      <w:r w:rsidRPr="003A0759">
        <w:rPr>
          <w:rFonts w:ascii="Palatino Linotype" w:eastAsia="Palatino Linotype" w:hAnsi="Palatino Linotype" w:cs="Palatino Linotype"/>
          <w:i/>
        </w:rPr>
        <w:t>…”</w:t>
      </w:r>
    </w:p>
    <w:p w14:paraId="5B5EBC9F" w14:textId="77777777" w:rsidR="00861417" w:rsidRPr="003A0759" w:rsidRDefault="00861417" w:rsidP="004C750B">
      <w:pPr>
        <w:pBdr>
          <w:top w:val="nil"/>
          <w:left w:val="nil"/>
          <w:bottom w:val="nil"/>
          <w:right w:val="nil"/>
          <w:between w:val="nil"/>
        </w:pBdr>
        <w:spacing w:after="0"/>
        <w:ind w:left="851" w:right="900"/>
        <w:jc w:val="both"/>
        <w:rPr>
          <w:rFonts w:ascii="Palatino Linotype" w:hAnsi="Palatino Linotype"/>
        </w:rPr>
      </w:pPr>
      <w:r w:rsidRPr="003A0759">
        <w:rPr>
          <w:rFonts w:ascii="Palatino Linotype" w:eastAsia="Palatino Linotype" w:hAnsi="Palatino Linotype" w:cs="Palatino Linotype"/>
          <w:i/>
        </w:rPr>
        <w:t>“</w:t>
      </w:r>
      <w:r w:rsidRPr="003A0759">
        <w:rPr>
          <w:rFonts w:ascii="Palatino Linotype" w:eastAsia="Palatino Linotype" w:hAnsi="Palatino Linotype" w:cs="Palatino Linotype"/>
          <w:b/>
          <w:i/>
        </w:rPr>
        <w:t>Artículo 53.</w:t>
      </w:r>
      <w:r w:rsidRPr="003A0759">
        <w:rPr>
          <w:rFonts w:ascii="Palatino Linotype" w:eastAsia="Palatino Linotype" w:hAnsi="Palatino Linotype" w:cs="Palatino Linotype"/>
          <w:i/>
        </w:rPr>
        <w:t xml:space="preserve"> Las </w:t>
      </w:r>
      <w:r w:rsidRPr="003A0759">
        <w:rPr>
          <w:rFonts w:ascii="Palatino Linotype" w:eastAsia="Palatino Linotype" w:hAnsi="Palatino Linotype" w:cs="Palatino Linotype"/>
          <w:b/>
          <w:i/>
        </w:rPr>
        <w:t>Unidades de Transparencia</w:t>
      </w:r>
      <w:r w:rsidRPr="003A0759">
        <w:rPr>
          <w:rFonts w:ascii="Palatino Linotype" w:eastAsia="Palatino Linotype" w:hAnsi="Palatino Linotype" w:cs="Palatino Linotype"/>
          <w:i/>
        </w:rPr>
        <w:t xml:space="preserve"> tendrán las siguientes </w:t>
      </w:r>
      <w:r w:rsidRPr="003A0759">
        <w:rPr>
          <w:rFonts w:ascii="Palatino Linotype" w:eastAsia="Palatino Linotype" w:hAnsi="Palatino Linotype" w:cs="Palatino Linotype"/>
          <w:b/>
          <w:i/>
        </w:rPr>
        <w:t>funciones</w:t>
      </w:r>
      <w:r w:rsidRPr="003A0759">
        <w:rPr>
          <w:rFonts w:ascii="Palatino Linotype" w:eastAsia="Palatino Linotype" w:hAnsi="Palatino Linotype" w:cs="Palatino Linotype"/>
          <w:i/>
        </w:rPr>
        <w:t>:</w:t>
      </w:r>
    </w:p>
    <w:p w14:paraId="5C76F7CD" w14:textId="77777777" w:rsidR="00861417" w:rsidRPr="003A0759" w:rsidRDefault="00861417" w:rsidP="004C750B">
      <w:pPr>
        <w:pBdr>
          <w:top w:val="nil"/>
          <w:left w:val="nil"/>
          <w:bottom w:val="nil"/>
          <w:right w:val="nil"/>
          <w:between w:val="nil"/>
        </w:pBdr>
        <w:spacing w:after="0"/>
        <w:ind w:left="851" w:right="900"/>
        <w:jc w:val="both"/>
        <w:rPr>
          <w:rFonts w:ascii="Palatino Linotype" w:hAnsi="Palatino Linotype"/>
        </w:rPr>
      </w:pPr>
      <w:r w:rsidRPr="003A0759">
        <w:rPr>
          <w:rFonts w:ascii="Palatino Linotype" w:eastAsia="Palatino Linotype" w:hAnsi="Palatino Linotype" w:cs="Palatino Linotype"/>
          <w:b/>
          <w:i/>
        </w:rPr>
        <w:t>X. Presentar ante el Comité, el proyecto de clasificación de información</w:t>
      </w:r>
      <w:r w:rsidRPr="003A0759">
        <w:rPr>
          <w:rFonts w:ascii="Palatino Linotype" w:eastAsia="Palatino Linotype" w:hAnsi="Palatino Linotype" w:cs="Palatino Linotype"/>
          <w:i/>
        </w:rPr>
        <w:t>…” </w:t>
      </w:r>
    </w:p>
    <w:p w14:paraId="5B0D5DB8" w14:textId="77777777" w:rsidR="00861417" w:rsidRPr="003A0759" w:rsidRDefault="00861417" w:rsidP="004C750B">
      <w:pPr>
        <w:pBdr>
          <w:top w:val="nil"/>
          <w:left w:val="nil"/>
          <w:bottom w:val="nil"/>
          <w:right w:val="nil"/>
          <w:between w:val="nil"/>
        </w:pBdr>
        <w:spacing w:after="0"/>
        <w:ind w:left="851" w:right="900"/>
        <w:jc w:val="both"/>
        <w:rPr>
          <w:rFonts w:ascii="Palatino Linotype" w:hAnsi="Palatino Linotype"/>
        </w:rPr>
      </w:pPr>
      <w:r w:rsidRPr="003A0759">
        <w:rPr>
          <w:rFonts w:ascii="Palatino Linotype" w:eastAsia="Palatino Linotype" w:hAnsi="Palatino Linotype" w:cs="Palatino Linotype"/>
          <w:b/>
          <w:i/>
        </w:rPr>
        <w:t>“Artículo 59.</w:t>
      </w:r>
      <w:r w:rsidRPr="003A0759">
        <w:rPr>
          <w:rFonts w:ascii="Palatino Linotype" w:eastAsia="Palatino Linotype" w:hAnsi="Palatino Linotype" w:cs="Palatino Linotype"/>
          <w:i/>
        </w:rPr>
        <w:t xml:space="preserve"> Los </w:t>
      </w:r>
      <w:r w:rsidRPr="003A0759">
        <w:rPr>
          <w:rFonts w:ascii="Palatino Linotype" w:eastAsia="Palatino Linotype" w:hAnsi="Palatino Linotype" w:cs="Palatino Linotype"/>
          <w:b/>
          <w:i/>
        </w:rPr>
        <w:t>servidores públicos habilitados</w:t>
      </w:r>
      <w:r w:rsidRPr="003A0759">
        <w:rPr>
          <w:rFonts w:ascii="Palatino Linotype" w:eastAsia="Palatino Linotype" w:hAnsi="Palatino Linotype" w:cs="Palatino Linotype"/>
          <w:i/>
        </w:rPr>
        <w:t xml:space="preserve"> tendrán las </w:t>
      </w:r>
      <w:r w:rsidRPr="003A0759">
        <w:rPr>
          <w:rFonts w:ascii="Palatino Linotype" w:eastAsia="Palatino Linotype" w:hAnsi="Palatino Linotype" w:cs="Palatino Linotype"/>
          <w:b/>
          <w:i/>
        </w:rPr>
        <w:t>funciones</w:t>
      </w:r>
      <w:r w:rsidRPr="003A0759">
        <w:rPr>
          <w:rFonts w:ascii="Palatino Linotype" w:eastAsia="Palatino Linotype" w:hAnsi="Palatino Linotype" w:cs="Palatino Linotype"/>
          <w:i/>
        </w:rPr>
        <w:t xml:space="preserve"> siguientes:</w:t>
      </w:r>
    </w:p>
    <w:p w14:paraId="2AD14B6A" w14:textId="77777777" w:rsidR="00861417" w:rsidRPr="003A0759" w:rsidRDefault="00861417" w:rsidP="004C750B">
      <w:pPr>
        <w:pBdr>
          <w:top w:val="nil"/>
          <w:left w:val="nil"/>
          <w:bottom w:val="nil"/>
          <w:right w:val="nil"/>
          <w:between w:val="nil"/>
        </w:pBdr>
        <w:spacing w:after="0"/>
        <w:ind w:left="851" w:right="900"/>
        <w:jc w:val="both"/>
        <w:rPr>
          <w:rFonts w:ascii="Palatino Linotype" w:eastAsia="Palatino Linotype" w:hAnsi="Palatino Linotype" w:cs="Palatino Linotype"/>
          <w:i/>
        </w:rPr>
      </w:pPr>
      <w:r w:rsidRPr="003A0759">
        <w:rPr>
          <w:rFonts w:ascii="Palatino Linotype" w:eastAsia="Palatino Linotype" w:hAnsi="Palatino Linotype" w:cs="Palatino Linotype"/>
          <w:b/>
          <w:i/>
        </w:rPr>
        <w:t>V. Integrar y presentar al responsable de la Unidad de Transparencia la propuesta de clasificación de información</w:t>
      </w:r>
      <w:r w:rsidRPr="003A0759">
        <w:rPr>
          <w:rFonts w:ascii="Palatino Linotype" w:eastAsia="Palatino Linotype" w:hAnsi="Palatino Linotype" w:cs="Palatino Linotype"/>
          <w:i/>
        </w:rPr>
        <w:t>, la cual tendrá los fundamentos y argumentos en que se basa dicha propuesta…”</w:t>
      </w:r>
    </w:p>
    <w:p w14:paraId="3A46E6BE" w14:textId="77777777" w:rsidR="00861417" w:rsidRPr="003A0759" w:rsidRDefault="00861417" w:rsidP="00E30F56">
      <w:pPr>
        <w:pBdr>
          <w:top w:val="nil"/>
          <w:left w:val="nil"/>
          <w:bottom w:val="nil"/>
          <w:right w:val="nil"/>
          <w:between w:val="nil"/>
        </w:pBdr>
        <w:spacing w:after="0"/>
        <w:ind w:left="567" w:right="900"/>
        <w:jc w:val="both"/>
        <w:rPr>
          <w:rFonts w:ascii="Palatino Linotype" w:hAnsi="Palatino Linotype"/>
        </w:rPr>
      </w:pPr>
    </w:p>
    <w:p w14:paraId="4D0EDA91" w14:textId="77777777" w:rsidR="00861417" w:rsidRPr="003A0759" w:rsidRDefault="00861417" w:rsidP="00E30F56">
      <w:pPr>
        <w:pBdr>
          <w:top w:val="nil"/>
          <w:left w:val="nil"/>
          <w:bottom w:val="nil"/>
          <w:right w:val="nil"/>
          <w:between w:val="nil"/>
        </w:pBd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DE3DAD2" w14:textId="77777777" w:rsidR="00861417" w:rsidRPr="003A0759" w:rsidRDefault="00861417" w:rsidP="00E30F56">
      <w:pPr>
        <w:pBdr>
          <w:top w:val="nil"/>
          <w:left w:val="nil"/>
          <w:bottom w:val="nil"/>
          <w:right w:val="nil"/>
          <w:between w:val="nil"/>
        </w:pBdr>
        <w:spacing w:after="0" w:line="360" w:lineRule="auto"/>
        <w:jc w:val="both"/>
        <w:rPr>
          <w:rFonts w:ascii="Palatino Linotype" w:hAnsi="Palatino Linotype"/>
        </w:rPr>
      </w:pPr>
    </w:p>
    <w:p w14:paraId="394E8494" w14:textId="77777777" w:rsidR="00861417" w:rsidRPr="003A0759" w:rsidRDefault="00861417" w:rsidP="00E30F56">
      <w:pPr>
        <w:pBdr>
          <w:top w:val="nil"/>
          <w:left w:val="nil"/>
          <w:bottom w:val="nil"/>
          <w:right w:val="nil"/>
          <w:between w:val="nil"/>
        </w:pBd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1440F6E3" w14:textId="77777777" w:rsidR="00861417" w:rsidRPr="003A0759" w:rsidRDefault="00861417" w:rsidP="00E30F56">
      <w:pPr>
        <w:pBdr>
          <w:top w:val="nil"/>
          <w:left w:val="nil"/>
          <w:bottom w:val="nil"/>
          <w:right w:val="nil"/>
          <w:between w:val="nil"/>
        </w:pBdr>
        <w:spacing w:after="0" w:line="360" w:lineRule="auto"/>
        <w:jc w:val="both"/>
        <w:rPr>
          <w:rFonts w:ascii="Palatino Linotype" w:hAnsi="Palatino Linotype"/>
        </w:rPr>
      </w:pPr>
    </w:p>
    <w:p w14:paraId="1B4C2321" w14:textId="77777777" w:rsidR="00861417" w:rsidRPr="003A0759" w:rsidRDefault="00861417" w:rsidP="00E30F56">
      <w:pPr>
        <w:pBdr>
          <w:top w:val="nil"/>
          <w:left w:val="nil"/>
          <w:bottom w:val="nil"/>
          <w:right w:val="nil"/>
          <w:between w:val="nil"/>
        </w:pBdr>
        <w:spacing w:after="0"/>
        <w:ind w:left="851" w:right="900"/>
        <w:jc w:val="both"/>
        <w:rPr>
          <w:rFonts w:ascii="Palatino Linotype" w:eastAsia="Palatino Linotype" w:hAnsi="Palatino Linotype" w:cs="Palatino Linotype"/>
          <w:i/>
        </w:rPr>
      </w:pPr>
      <w:r w:rsidRPr="003A0759">
        <w:rPr>
          <w:rFonts w:ascii="Palatino Linotype" w:eastAsia="Palatino Linotype" w:hAnsi="Palatino Linotype" w:cs="Palatino Linotype"/>
          <w:i/>
        </w:rPr>
        <w:t>“</w:t>
      </w:r>
      <w:r w:rsidRPr="003A0759">
        <w:rPr>
          <w:rFonts w:ascii="Palatino Linotype" w:eastAsia="Palatino Linotype" w:hAnsi="Palatino Linotype" w:cs="Palatino Linotype"/>
          <w:b/>
          <w:i/>
        </w:rPr>
        <w:t>Artículo 149.</w:t>
      </w:r>
      <w:r w:rsidRPr="003A0759">
        <w:rPr>
          <w:rFonts w:ascii="Palatino Linotype" w:eastAsia="Palatino Linotype" w:hAnsi="Palatino Linotype" w:cs="Palatino Linotype"/>
          <w:i/>
        </w:rPr>
        <w:t xml:space="preserve"> El </w:t>
      </w:r>
      <w:r w:rsidRPr="003A0759">
        <w:rPr>
          <w:rFonts w:ascii="Palatino Linotype" w:eastAsia="Palatino Linotype" w:hAnsi="Palatino Linotype" w:cs="Palatino Linotype"/>
          <w:b/>
          <w:i/>
        </w:rPr>
        <w:t>acuerdo que clasifique la información como confidencial</w:t>
      </w:r>
      <w:r w:rsidRPr="003A0759">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 </w:t>
      </w:r>
    </w:p>
    <w:p w14:paraId="52EC7976" w14:textId="77777777" w:rsidR="00861417" w:rsidRPr="003A0759" w:rsidRDefault="00861417" w:rsidP="00E30F56">
      <w:pPr>
        <w:pBdr>
          <w:top w:val="nil"/>
          <w:left w:val="nil"/>
          <w:bottom w:val="nil"/>
          <w:right w:val="nil"/>
          <w:between w:val="nil"/>
        </w:pBdr>
        <w:spacing w:after="0"/>
        <w:ind w:left="851" w:right="900"/>
        <w:jc w:val="both"/>
        <w:rPr>
          <w:rFonts w:ascii="Palatino Linotype" w:hAnsi="Palatino Linotype"/>
        </w:rPr>
      </w:pPr>
    </w:p>
    <w:p w14:paraId="54FC80DA" w14:textId="77777777" w:rsidR="00861417" w:rsidRPr="003A0759" w:rsidRDefault="00861417" w:rsidP="00E30F56">
      <w:pPr>
        <w:pBdr>
          <w:top w:val="nil"/>
          <w:left w:val="nil"/>
          <w:bottom w:val="nil"/>
          <w:right w:val="nil"/>
          <w:between w:val="nil"/>
        </w:pBdr>
        <w:spacing w:after="0" w:line="360" w:lineRule="auto"/>
        <w:ind w:right="51"/>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Es decir, el </w:t>
      </w:r>
      <w:r w:rsidRPr="003A0759">
        <w:rPr>
          <w:rFonts w:ascii="Palatino Linotype" w:eastAsia="Palatino Linotype" w:hAnsi="Palatino Linotype" w:cs="Palatino Linotype"/>
          <w:b/>
        </w:rPr>
        <w:t>Sujeto Obligado</w:t>
      </w:r>
      <w:r w:rsidRPr="003A0759">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75E814FE" w14:textId="77777777" w:rsidR="00861417" w:rsidRPr="003A0759" w:rsidRDefault="00861417" w:rsidP="00E30F56">
      <w:pPr>
        <w:pBdr>
          <w:top w:val="nil"/>
          <w:left w:val="nil"/>
          <w:bottom w:val="nil"/>
          <w:right w:val="nil"/>
          <w:between w:val="nil"/>
        </w:pBdr>
        <w:spacing w:after="0" w:line="360" w:lineRule="auto"/>
        <w:ind w:right="51"/>
        <w:jc w:val="both"/>
        <w:rPr>
          <w:rFonts w:ascii="Palatino Linotype" w:hAnsi="Palatino Linotype"/>
        </w:rPr>
      </w:pPr>
    </w:p>
    <w:p w14:paraId="637A4065" w14:textId="77777777" w:rsidR="00861417" w:rsidRPr="003A0759" w:rsidRDefault="00861417" w:rsidP="00E30F5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sidRPr="003A0759">
        <w:rPr>
          <w:rFonts w:ascii="Palatino Linotype" w:eastAsia="Palatino Linotype" w:hAnsi="Palatino Linotype" w:cs="Palatino Linotype"/>
          <w:b/>
        </w:rPr>
        <w:t>Sujeto Obligado</w:t>
      </w:r>
      <w:r w:rsidRPr="003A0759">
        <w:rPr>
          <w:rFonts w:ascii="Palatino Linotype" w:eastAsia="Palatino Linotype" w:hAnsi="Palatino Linotype" w:cs="Palatino Linotype"/>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21B1FB27" w14:textId="77777777" w:rsidR="004C750B" w:rsidRPr="003A0759" w:rsidRDefault="004C750B" w:rsidP="00E30F56">
      <w:pPr>
        <w:pBdr>
          <w:top w:val="nil"/>
          <w:left w:val="nil"/>
          <w:bottom w:val="nil"/>
          <w:right w:val="nil"/>
          <w:between w:val="nil"/>
        </w:pBdr>
        <w:spacing w:after="0"/>
        <w:ind w:left="567" w:right="900"/>
        <w:jc w:val="both"/>
        <w:rPr>
          <w:rFonts w:ascii="Palatino Linotype" w:eastAsia="Palatino Linotype" w:hAnsi="Palatino Linotype" w:cs="Palatino Linotype"/>
          <w:i/>
        </w:rPr>
      </w:pPr>
    </w:p>
    <w:p w14:paraId="3890F7D6" w14:textId="77777777" w:rsidR="00861417" w:rsidRPr="003A0759" w:rsidRDefault="00861417" w:rsidP="004C750B">
      <w:pPr>
        <w:pBdr>
          <w:top w:val="nil"/>
          <w:left w:val="nil"/>
          <w:bottom w:val="nil"/>
          <w:right w:val="nil"/>
          <w:between w:val="nil"/>
        </w:pBdr>
        <w:spacing w:after="0"/>
        <w:ind w:left="851" w:right="900"/>
        <w:jc w:val="both"/>
        <w:rPr>
          <w:rFonts w:ascii="Palatino Linotype" w:hAnsi="Palatino Linotype"/>
        </w:rPr>
      </w:pPr>
      <w:r w:rsidRPr="003A0759">
        <w:rPr>
          <w:rFonts w:ascii="Palatino Linotype" w:eastAsia="Palatino Linotype" w:hAnsi="Palatino Linotype" w:cs="Palatino Linotype"/>
          <w:i/>
        </w:rPr>
        <w:t>“</w:t>
      </w:r>
      <w:r w:rsidRPr="003A0759">
        <w:rPr>
          <w:rFonts w:ascii="Palatino Linotype" w:eastAsia="Palatino Linotype" w:hAnsi="Palatino Linotype" w:cs="Palatino Linotype"/>
          <w:b/>
          <w:i/>
        </w:rPr>
        <w:t>Artículo 132.</w:t>
      </w:r>
      <w:r w:rsidRPr="003A0759">
        <w:rPr>
          <w:rFonts w:ascii="Palatino Linotype" w:eastAsia="Palatino Linotype" w:hAnsi="Palatino Linotype" w:cs="Palatino Linotype"/>
          <w:i/>
        </w:rPr>
        <w:t xml:space="preserve"> </w:t>
      </w:r>
      <w:r w:rsidRPr="003A0759">
        <w:rPr>
          <w:rFonts w:ascii="Palatino Linotype" w:eastAsia="Palatino Linotype" w:hAnsi="Palatino Linotype" w:cs="Palatino Linotype"/>
          <w:b/>
          <w:i/>
        </w:rPr>
        <w:t>La clasificación de la información se llevará a cabo en el momento en que:</w:t>
      </w:r>
    </w:p>
    <w:p w14:paraId="2C80A589" w14:textId="77777777" w:rsidR="00861417" w:rsidRPr="003A0759" w:rsidRDefault="00861417" w:rsidP="004C750B">
      <w:pPr>
        <w:pBdr>
          <w:top w:val="nil"/>
          <w:left w:val="nil"/>
          <w:bottom w:val="nil"/>
          <w:right w:val="nil"/>
          <w:between w:val="nil"/>
        </w:pBdr>
        <w:spacing w:after="0"/>
        <w:ind w:left="851" w:right="900"/>
        <w:jc w:val="both"/>
        <w:rPr>
          <w:rFonts w:ascii="Palatino Linotype" w:hAnsi="Palatino Linotype"/>
        </w:rPr>
      </w:pPr>
      <w:r w:rsidRPr="003A0759">
        <w:rPr>
          <w:rFonts w:ascii="Palatino Linotype" w:eastAsia="Palatino Linotype" w:hAnsi="Palatino Linotype" w:cs="Palatino Linotype"/>
          <w:i/>
        </w:rPr>
        <w:t>…</w:t>
      </w:r>
    </w:p>
    <w:p w14:paraId="5E5B359C" w14:textId="77777777" w:rsidR="00861417" w:rsidRPr="003A0759" w:rsidRDefault="00861417" w:rsidP="004C750B">
      <w:pPr>
        <w:pBdr>
          <w:top w:val="nil"/>
          <w:left w:val="nil"/>
          <w:bottom w:val="nil"/>
          <w:right w:val="nil"/>
          <w:between w:val="nil"/>
        </w:pBdr>
        <w:spacing w:after="0"/>
        <w:ind w:left="851" w:right="900"/>
        <w:jc w:val="both"/>
        <w:rPr>
          <w:rFonts w:ascii="Palatino Linotype" w:hAnsi="Palatino Linotype"/>
        </w:rPr>
      </w:pPr>
      <w:r w:rsidRPr="003A0759">
        <w:rPr>
          <w:rFonts w:ascii="Palatino Linotype" w:eastAsia="Palatino Linotype" w:hAnsi="Palatino Linotype" w:cs="Palatino Linotype"/>
          <w:b/>
          <w:i/>
        </w:rPr>
        <w:t>II.</w:t>
      </w:r>
      <w:r w:rsidRPr="003A0759">
        <w:rPr>
          <w:rFonts w:ascii="Palatino Linotype" w:eastAsia="Palatino Linotype" w:hAnsi="Palatino Linotype" w:cs="Palatino Linotype"/>
          <w:i/>
        </w:rPr>
        <w:t xml:space="preserve"> Se determine mediante resolución de autoridad competente; o</w:t>
      </w:r>
    </w:p>
    <w:p w14:paraId="6C248E64" w14:textId="77777777" w:rsidR="00861417" w:rsidRPr="003A0759" w:rsidRDefault="00861417" w:rsidP="004C750B">
      <w:pPr>
        <w:pBdr>
          <w:top w:val="nil"/>
          <w:left w:val="nil"/>
          <w:bottom w:val="nil"/>
          <w:right w:val="nil"/>
          <w:between w:val="nil"/>
        </w:pBdr>
        <w:spacing w:after="0"/>
        <w:ind w:left="851" w:right="900"/>
        <w:jc w:val="both"/>
        <w:rPr>
          <w:rFonts w:ascii="Palatino Linotype" w:hAnsi="Palatino Linotype"/>
        </w:rPr>
      </w:pPr>
      <w:r w:rsidRPr="003A0759">
        <w:rPr>
          <w:rFonts w:ascii="Palatino Linotype" w:eastAsia="Palatino Linotype" w:hAnsi="Palatino Linotype" w:cs="Palatino Linotype"/>
          <w:b/>
          <w:i/>
        </w:rPr>
        <w:t>III</w:t>
      </w:r>
      <w:r w:rsidRPr="003A0759">
        <w:rPr>
          <w:rFonts w:ascii="Palatino Linotype" w:eastAsia="Palatino Linotype" w:hAnsi="Palatino Linotype" w:cs="Palatino Linotype"/>
          <w:i/>
        </w:rPr>
        <w:t xml:space="preserve">. </w:t>
      </w:r>
      <w:r w:rsidRPr="003A0759">
        <w:rPr>
          <w:rFonts w:ascii="Palatino Linotype" w:eastAsia="Palatino Linotype" w:hAnsi="Palatino Linotype" w:cs="Palatino Linotype"/>
          <w:b/>
          <w:i/>
        </w:rPr>
        <w:t>Se generen versiones públicas para dar cumplimiento a las obligaciones de transparencia previstas en esta Ley</w:t>
      </w:r>
      <w:r w:rsidRPr="003A0759">
        <w:rPr>
          <w:rFonts w:ascii="Palatino Linotype" w:eastAsia="Palatino Linotype" w:hAnsi="Palatino Linotype" w:cs="Palatino Linotype"/>
          <w:i/>
        </w:rPr>
        <w:t>.”</w:t>
      </w:r>
    </w:p>
    <w:p w14:paraId="517781AC" w14:textId="77777777" w:rsidR="00861417" w:rsidRPr="003A0759" w:rsidRDefault="00861417" w:rsidP="004C750B">
      <w:pPr>
        <w:pBdr>
          <w:top w:val="nil"/>
          <w:left w:val="nil"/>
          <w:bottom w:val="nil"/>
          <w:right w:val="nil"/>
          <w:between w:val="nil"/>
        </w:pBdr>
        <w:spacing w:after="0"/>
        <w:ind w:left="851" w:right="900"/>
        <w:jc w:val="both"/>
        <w:rPr>
          <w:rFonts w:ascii="Palatino Linotype" w:hAnsi="Palatino Linotype"/>
        </w:rPr>
      </w:pPr>
      <w:r w:rsidRPr="003A0759">
        <w:rPr>
          <w:rFonts w:ascii="Palatino Linotype" w:eastAsia="Palatino Linotype" w:hAnsi="Palatino Linotype" w:cs="Palatino Linotype"/>
          <w:i/>
        </w:rPr>
        <w:t>“</w:t>
      </w:r>
      <w:r w:rsidRPr="003A0759">
        <w:rPr>
          <w:rFonts w:ascii="Palatino Linotype" w:eastAsia="Palatino Linotype" w:hAnsi="Palatino Linotype" w:cs="Palatino Linotype"/>
          <w:b/>
          <w:i/>
        </w:rPr>
        <w:t>Segundo.-</w:t>
      </w:r>
      <w:r w:rsidRPr="003A0759">
        <w:rPr>
          <w:rFonts w:ascii="Palatino Linotype" w:eastAsia="Palatino Linotype" w:hAnsi="Palatino Linotype" w:cs="Palatino Linotype"/>
          <w:i/>
        </w:rPr>
        <w:t xml:space="preserve"> Para efectos de los presentes Lineamientos Generales, se entenderá por:</w:t>
      </w:r>
    </w:p>
    <w:p w14:paraId="70B67A53" w14:textId="77777777" w:rsidR="00861417" w:rsidRPr="003A0759" w:rsidRDefault="00861417" w:rsidP="004C750B">
      <w:pPr>
        <w:pBdr>
          <w:top w:val="nil"/>
          <w:left w:val="nil"/>
          <w:bottom w:val="nil"/>
          <w:right w:val="nil"/>
          <w:between w:val="nil"/>
        </w:pBdr>
        <w:spacing w:after="0"/>
        <w:ind w:left="851" w:right="900"/>
        <w:jc w:val="both"/>
        <w:rPr>
          <w:rFonts w:ascii="Palatino Linotype" w:hAnsi="Palatino Linotype"/>
        </w:rPr>
      </w:pPr>
      <w:r w:rsidRPr="003A0759">
        <w:rPr>
          <w:rFonts w:ascii="Palatino Linotype" w:eastAsia="Palatino Linotype" w:hAnsi="Palatino Linotype" w:cs="Palatino Linotype"/>
          <w:b/>
          <w:i/>
        </w:rPr>
        <w:t>XVIII.</w:t>
      </w:r>
      <w:r w:rsidRPr="003A0759">
        <w:rPr>
          <w:rFonts w:ascii="Palatino Linotype" w:eastAsia="Palatino Linotype" w:hAnsi="Palatino Linotype" w:cs="Palatino Linotype"/>
          <w:i/>
        </w:rPr>
        <w:t xml:space="preserve"> </w:t>
      </w:r>
      <w:r w:rsidRPr="003A0759">
        <w:rPr>
          <w:rFonts w:ascii="Palatino Linotype" w:eastAsia="Palatino Linotype" w:hAnsi="Palatino Linotype" w:cs="Palatino Linotype"/>
          <w:b/>
          <w:i/>
        </w:rPr>
        <w:t>Versión pública:</w:t>
      </w:r>
      <w:r w:rsidRPr="003A0759">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3A0759">
        <w:rPr>
          <w:rFonts w:ascii="Palatino Linotype" w:eastAsia="Palatino Linotype" w:hAnsi="Palatino Linotype" w:cs="Palatino Linotype"/>
          <w:b/>
          <w:i/>
        </w:rPr>
        <w:t>fundando y motivando la</w:t>
      </w:r>
      <w:r w:rsidRPr="003A0759">
        <w:rPr>
          <w:rFonts w:ascii="Palatino Linotype" w:eastAsia="Palatino Linotype" w:hAnsi="Palatino Linotype" w:cs="Palatino Linotype"/>
          <w:i/>
        </w:rPr>
        <w:t xml:space="preserve"> </w:t>
      </w:r>
      <w:r w:rsidRPr="003A0759">
        <w:rPr>
          <w:rFonts w:ascii="Palatino Linotype" w:eastAsia="Palatino Linotype" w:hAnsi="Palatino Linotype" w:cs="Palatino Linotype"/>
          <w:b/>
          <w:i/>
        </w:rPr>
        <w:t>reserva o confidencialidad</w:t>
      </w:r>
      <w:r w:rsidRPr="003A0759">
        <w:rPr>
          <w:rFonts w:ascii="Palatino Linotype" w:eastAsia="Palatino Linotype" w:hAnsi="Palatino Linotype" w:cs="Palatino Linotype"/>
          <w:i/>
        </w:rPr>
        <w:t>, a través de la resolución que para tal efecto emita el Comité de Transparencia.</w:t>
      </w:r>
    </w:p>
    <w:p w14:paraId="237FB000" w14:textId="77777777" w:rsidR="00861417" w:rsidRPr="003A0759" w:rsidRDefault="00861417" w:rsidP="004C750B">
      <w:pPr>
        <w:pBdr>
          <w:top w:val="nil"/>
          <w:left w:val="nil"/>
          <w:bottom w:val="nil"/>
          <w:right w:val="nil"/>
          <w:between w:val="nil"/>
        </w:pBdr>
        <w:spacing w:after="0"/>
        <w:ind w:left="851" w:right="900"/>
        <w:jc w:val="both"/>
        <w:rPr>
          <w:rFonts w:ascii="Palatino Linotype" w:hAnsi="Palatino Linotype"/>
        </w:rPr>
      </w:pPr>
      <w:r w:rsidRPr="003A0759">
        <w:rPr>
          <w:rFonts w:ascii="Palatino Linotype" w:eastAsia="Palatino Linotype" w:hAnsi="Palatino Linotype" w:cs="Palatino Linotype"/>
          <w:b/>
          <w:i/>
        </w:rPr>
        <w:t>...</w:t>
      </w:r>
    </w:p>
    <w:p w14:paraId="748FAE90" w14:textId="77777777" w:rsidR="00861417" w:rsidRPr="003A0759" w:rsidRDefault="00861417" w:rsidP="004C750B">
      <w:pPr>
        <w:pBdr>
          <w:top w:val="nil"/>
          <w:left w:val="nil"/>
          <w:bottom w:val="nil"/>
          <w:right w:val="nil"/>
          <w:between w:val="nil"/>
        </w:pBdr>
        <w:spacing w:after="0"/>
        <w:ind w:left="851" w:right="900"/>
        <w:jc w:val="both"/>
        <w:rPr>
          <w:rFonts w:ascii="Palatino Linotype" w:hAnsi="Palatino Linotype"/>
        </w:rPr>
      </w:pPr>
      <w:r w:rsidRPr="003A0759">
        <w:rPr>
          <w:rFonts w:ascii="Palatino Linotype" w:eastAsia="Palatino Linotype" w:hAnsi="Palatino Linotype" w:cs="Palatino Linotype"/>
          <w:b/>
          <w:i/>
        </w:rPr>
        <w:t>Cuarto.</w:t>
      </w:r>
      <w:r w:rsidRPr="003A0759">
        <w:rPr>
          <w:rFonts w:ascii="Palatino Linotype" w:eastAsia="Palatino Linotype" w:hAnsi="Palatino Linotype" w:cs="Palatino Linotype"/>
          <w:i/>
        </w:rPr>
        <w:t xml:space="preserve"> </w:t>
      </w:r>
      <w:r w:rsidRPr="003A0759">
        <w:rPr>
          <w:rFonts w:ascii="Palatino Linotype" w:eastAsia="Palatino Linotype" w:hAnsi="Palatino Linotype" w:cs="Palatino Linotype"/>
          <w:b/>
          <w:i/>
        </w:rPr>
        <w:t>Para clasificar la información como</w:t>
      </w:r>
      <w:r w:rsidRPr="003A0759">
        <w:rPr>
          <w:rFonts w:ascii="Palatino Linotype" w:eastAsia="Palatino Linotype" w:hAnsi="Palatino Linotype" w:cs="Palatino Linotype"/>
          <w:i/>
        </w:rPr>
        <w:t xml:space="preserve"> </w:t>
      </w:r>
      <w:r w:rsidRPr="003A0759">
        <w:rPr>
          <w:rFonts w:ascii="Palatino Linotype" w:eastAsia="Palatino Linotype" w:hAnsi="Palatino Linotype" w:cs="Palatino Linotype"/>
          <w:b/>
          <w:i/>
        </w:rPr>
        <w:t>reservada o</w:t>
      </w:r>
      <w:r w:rsidRPr="003A0759">
        <w:rPr>
          <w:rFonts w:ascii="Palatino Linotype" w:eastAsia="Palatino Linotype" w:hAnsi="Palatino Linotype" w:cs="Palatino Linotype"/>
          <w:i/>
        </w:rPr>
        <w:t xml:space="preserve"> </w:t>
      </w:r>
      <w:r w:rsidRPr="003A0759">
        <w:rPr>
          <w:rFonts w:ascii="Palatino Linotype" w:eastAsia="Palatino Linotype" w:hAnsi="Palatino Linotype" w:cs="Palatino Linotype"/>
          <w:b/>
          <w:i/>
        </w:rPr>
        <w:t>confidencial, de manera total o parcial, el titular del área del sujeto obligado deberá atender lo dispuesto por el Título Sexto de la Ley General</w:t>
      </w:r>
      <w:r w:rsidRPr="003A0759">
        <w:rPr>
          <w:rFonts w:ascii="Palatino Linotype" w:eastAsia="Palatino Linotype" w:hAnsi="Palatino Linotype" w:cs="Palatino Linotype"/>
          <w:i/>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728BDDA" w14:textId="77777777" w:rsidR="00861417" w:rsidRPr="003A0759" w:rsidRDefault="00861417" w:rsidP="004C750B">
      <w:pPr>
        <w:pBdr>
          <w:top w:val="nil"/>
          <w:left w:val="nil"/>
          <w:bottom w:val="nil"/>
          <w:right w:val="nil"/>
          <w:between w:val="nil"/>
        </w:pBdr>
        <w:spacing w:after="0"/>
        <w:ind w:left="851" w:right="900"/>
        <w:jc w:val="both"/>
        <w:rPr>
          <w:rFonts w:ascii="Palatino Linotype" w:hAnsi="Palatino Linotype"/>
        </w:rPr>
      </w:pPr>
      <w:r w:rsidRPr="003A0759">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010831A3" w14:textId="77777777" w:rsidR="00861417" w:rsidRPr="003A0759" w:rsidRDefault="00861417" w:rsidP="004C750B">
      <w:pPr>
        <w:pBdr>
          <w:top w:val="nil"/>
          <w:left w:val="nil"/>
          <w:bottom w:val="nil"/>
          <w:right w:val="nil"/>
          <w:between w:val="nil"/>
        </w:pBdr>
        <w:spacing w:after="0"/>
        <w:ind w:left="851" w:right="900"/>
        <w:jc w:val="both"/>
        <w:rPr>
          <w:rFonts w:ascii="Palatino Linotype" w:hAnsi="Palatino Linotype"/>
        </w:rPr>
      </w:pPr>
      <w:r w:rsidRPr="003A0759">
        <w:rPr>
          <w:rFonts w:ascii="Palatino Linotype" w:eastAsia="Palatino Linotype" w:hAnsi="Palatino Linotype" w:cs="Palatino Linotype"/>
          <w:b/>
          <w:i/>
        </w:rPr>
        <w:t>Quinto.</w:t>
      </w:r>
      <w:r w:rsidRPr="003A0759">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264DABC" w14:textId="77777777" w:rsidR="00861417" w:rsidRPr="003A0759" w:rsidRDefault="00861417" w:rsidP="004C750B">
      <w:pPr>
        <w:pBdr>
          <w:top w:val="nil"/>
          <w:left w:val="nil"/>
          <w:bottom w:val="nil"/>
          <w:right w:val="nil"/>
          <w:between w:val="nil"/>
        </w:pBdr>
        <w:spacing w:after="0"/>
        <w:ind w:left="851" w:right="900"/>
        <w:jc w:val="both"/>
        <w:rPr>
          <w:rFonts w:ascii="Palatino Linotype" w:hAnsi="Palatino Linotype"/>
        </w:rPr>
      </w:pPr>
      <w:r w:rsidRPr="003A0759">
        <w:rPr>
          <w:rFonts w:ascii="Palatino Linotype" w:eastAsia="Palatino Linotype" w:hAnsi="Palatino Linotype" w:cs="Palatino Linotype"/>
          <w:b/>
          <w:i/>
        </w:rPr>
        <w:t>Sexto.</w:t>
      </w:r>
      <w:r w:rsidRPr="003A0759">
        <w:rPr>
          <w:rFonts w:ascii="Palatino Linotype" w:eastAsia="Palatino Linotype" w:hAnsi="Palatino Linotype" w:cs="Palatino Linotype"/>
          <w:i/>
        </w:rPr>
        <w:t xml:space="preserve"> Se deroga.</w:t>
      </w:r>
    </w:p>
    <w:p w14:paraId="622831B1" w14:textId="77777777" w:rsidR="00861417" w:rsidRPr="003A0759" w:rsidRDefault="00861417" w:rsidP="004C750B">
      <w:pPr>
        <w:pBdr>
          <w:top w:val="nil"/>
          <w:left w:val="nil"/>
          <w:bottom w:val="nil"/>
          <w:right w:val="nil"/>
          <w:between w:val="nil"/>
        </w:pBdr>
        <w:spacing w:after="0"/>
        <w:ind w:left="851" w:right="900"/>
        <w:jc w:val="both"/>
        <w:rPr>
          <w:rFonts w:ascii="Palatino Linotype" w:hAnsi="Palatino Linotype"/>
        </w:rPr>
      </w:pPr>
      <w:r w:rsidRPr="003A0759">
        <w:rPr>
          <w:rFonts w:ascii="Palatino Linotype" w:eastAsia="Palatino Linotype" w:hAnsi="Palatino Linotype" w:cs="Palatino Linotype"/>
          <w:b/>
          <w:i/>
        </w:rPr>
        <w:t>Séptimo.</w:t>
      </w:r>
      <w:r w:rsidRPr="003A0759">
        <w:rPr>
          <w:rFonts w:ascii="Palatino Linotype" w:eastAsia="Palatino Linotype" w:hAnsi="Palatino Linotype" w:cs="Palatino Linotype"/>
          <w:i/>
        </w:rPr>
        <w:t xml:space="preserve"> La clasificación de la información se llevará a cabo en el momento en que:</w:t>
      </w:r>
    </w:p>
    <w:p w14:paraId="3B073F03" w14:textId="77777777" w:rsidR="00861417" w:rsidRPr="003A0759" w:rsidRDefault="00861417" w:rsidP="004C750B">
      <w:pPr>
        <w:pBdr>
          <w:top w:val="nil"/>
          <w:left w:val="nil"/>
          <w:bottom w:val="nil"/>
          <w:right w:val="nil"/>
          <w:between w:val="nil"/>
        </w:pBdr>
        <w:spacing w:after="0"/>
        <w:ind w:left="851" w:right="900"/>
        <w:jc w:val="both"/>
        <w:rPr>
          <w:rFonts w:ascii="Palatino Linotype" w:hAnsi="Palatino Linotype"/>
        </w:rPr>
      </w:pPr>
      <w:r w:rsidRPr="003A0759">
        <w:rPr>
          <w:rFonts w:ascii="Palatino Linotype" w:eastAsia="Palatino Linotype" w:hAnsi="Palatino Linotype" w:cs="Palatino Linotype"/>
          <w:b/>
          <w:i/>
        </w:rPr>
        <w:t>I.</w:t>
      </w:r>
      <w:r w:rsidRPr="003A0759">
        <w:rPr>
          <w:rFonts w:ascii="Palatino Linotype" w:eastAsia="Palatino Linotype" w:hAnsi="Palatino Linotype" w:cs="Palatino Linotype"/>
          <w:i/>
        </w:rPr>
        <w:t xml:space="preserve"> Se reciba una solicitud de acceso a la información;</w:t>
      </w:r>
    </w:p>
    <w:p w14:paraId="200920DF" w14:textId="77777777" w:rsidR="00861417" w:rsidRPr="003A0759" w:rsidRDefault="00861417" w:rsidP="004C750B">
      <w:pPr>
        <w:pBdr>
          <w:top w:val="nil"/>
          <w:left w:val="nil"/>
          <w:bottom w:val="nil"/>
          <w:right w:val="nil"/>
          <w:between w:val="nil"/>
        </w:pBdr>
        <w:spacing w:after="0"/>
        <w:ind w:left="851" w:right="900"/>
        <w:jc w:val="both"/>
        <w:rPr>
          <w:rFonts w:ascii="Palatino Linotype" w:hAnsi="Palatino Linotype"/>
        </w:rPr>
      </w:pPr>
      <w:r w:rsidRPr="003A0759">
        <w:rPr>
          <w:rFonts w:ascii="Palatino Linotype" w:eastAsia="Palatino Linotype" w:hAnsi="Palatino Linotype" w:cs="Palatino Linotype"/>
          <w:b/>
          <w:i/>
        </w:rPr>
        <w:t>II.</w:t>
      </w:r>
      <w:r w:rsidRPr="003A0759">
        <w:rPr>
          <w:rFonts w:ascii="Palatino Linotype" w:eastAsia="Palatino Linotype" w:hAnsi="Palatino Linotype" w:cs="Palatino Linotype"/>
          <w:i/>
        </w:rPr>
        <w:t xml:space="preserve"> Se determine mediante resolución del Comité de Transparencia, el órgano garante competente, o en cumplimiento a una sentencia del Poder Judicial; o</w:t>
      </w:r>
    </w:p>
    <w:p w14:paraId="193EC921" w14:textId="77777777" w:rsidR="00861417" w:rsidRPr="003A0759" w:rsidRDefault="00861417" w:rsidP="004C750B">
      <w:pPr>
        <w:pBdr>
          <w:top w:val="nil"/>
          <w:left w:val="nil"/>
          <w:bottom w:val="nil"/>
          <w:right w:val="nil"/>
          <w:between w:val="nil"/>
        </w:pBdr>
        <w:spacing w:after="0"/>
        <w:ind w:left="851" w:right="900"/>
        <w:jc w:val="both"/>
        <w:rPr>
          <w:rFonts w:ascii="Palatino Linotype" w:hAnsi="Palatino Linotype"/>
        </w:rPr>
      </w:pPr>
      <w:r w:rsidRPr="003A0759">
        <w:rPr>
          <w:rFonts w:ascii="Palatino Linotype" w:eastAsia="Palatino Linotype" w:hAnsi="Palatino Linotype" w:cs="Palatino Linotype"/>
          <w:b/>
          <w:i/>
        </w:rPr>
        <w:t>III.</w:t>
      </w:r>
      <w:r w:rsidRPr="003A0759">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18B6C0B8" w14:textId="77777777" w:rsidR="00861417" w:rsidRPr="003A0759" w:rsidRDefault="00861417" w:rsidP="004C750B">
      <w:pPr>
        <w:pBdr>
          <w:top w:val="nil"/>
          <w:left w:val="nil"/>
          <w:bottom w:val="nil"/>
          <w:right w:val="nil"/>
          <w:between w:val="nil"/>
        </w:pBdr>
        <w:spacing w:after="0"/>
        <w:ind w:left="851" w:right="900"/>
        <w:jc w:val="both"/>
        <w:rPr>
          <w:rFonts w:ascii="Palatino Linotype" w:hAnsi="Palatino Linotype"/>
        </w:rPr>
      </w:pPr>
      <w:r w:rsidRPr="003A0759">
        <w:rPr>
          <w:rFonts w:ascii="Palatino Linotype" w:eastAsia="Palatino Linotype" w:hAnsi="Palatino Linotype" w:cs="Palatino Linotype"/>
          <w:i/>
        </w:rPr>
        <w:t>Los titulares de las áreas deberán revisar la clasificación al momento de la recepción de una solicitud de acceso, para verificar</w:t>
      </w:r>
      <w:r w:rsidRPr="003A0759">
        <w:rPr>
          <w:rFonts w:ascii="Palatino Linotype" w:hAnsi="Palatino Linotype"/>
        </w:rPr>
        <w:t xml:space="preserve">, </w:t>
      </w:r>
      <w:r w:rsidRPr="003A0759">
        <w:rPr>
          <w:rFonts w:ascii="Palatino Linotype" w:eastAsia="Palatino Linotype" w:hAnsi="Palatino Linotype" w:cs="Palatino Linotype"/>
          <w:i/>
        </w:rPr>
        <w:t>conforme a su naturaleza, si encuadra en una causal de reserva o de confidencialidad.</w:t>
      </w:r>
    </w:p>
    <w:p w14:paraId="360C227E" w14:textId="77777777" w:rsidR="00861417" w:rsidRPr="003A0759" w:rsidRDefault="00861417" w:rsidP="004C750B">
      <w:pPr>
        <w:pBdr>
          <w:top w:val="nil"/>
          <w:left w:val="nil"/>
          <w:bottom w:val="nil"/>
          <w:right w:val="nil"/>
          <w:between w:val="nil"/>
        </w:pBdr>
        <w:spacing w:after="0"/>
        <w:ind w:left="851" w:right="900"/>
        <w:jc w:val="both"/>
        <w:rPr>
          <w:rFonts w:ascii="Palatino Linotype" w:hAnsi="Palatino Linotype"/>
        </w:rPr>
      </w:pPr>
      <w:r w:rsidRPr="003A0759">
        <w:rPr>
          <w:rFonts w:ascii="Palatino Linotype" w:eastAsia="Palatino Linotype" w:hAnsi="Palatino Linotype" w:cs="Palatino Linotype"/>
          <w:b/>
          <w:i/>
        </w:rPr>
        <w:t>Octavo.</w:t>
      </w:r>
      <w:r w:rsidRPr="003A0759">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A9418D7" w14:textId="77777777" w:rsidR="00861417" w:rsidRPr="003A0759" w:rsidRDefault="00861417" w:rsidP="004C750B">
      <w:pPr>
        <w:pBdr>
          <w:top w:val="nil"/>
          <w:left w:val="nil"/>
          <w:bottom w:val="nil"/>
          <w:right w:val="nil"/>
          <w:between w:val="nil"/>
        </w:pBdr>
        <w:spacing w:after="0"/>
        <w:ind w:left="851" w:right="900"/>
        <w:jc w:val="both"/>
        <w:rPr>
          <w:rFonts w:ascii="Palatino Linotype" w:hAnsi="Palatino Linotype"/>
        </w:rPr>
      </w:pPr>
      <w:r w:rsidRPr="003A0759">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6E899425" w14:textId="77777777" w:rsidR="00861417" w:rsidRPr="003A0759" w:rsidRDefault="00861417" w:rsidP="004C750B">
      <w:pPr>
        <w:pBdr>
          <w:top w:val="nil"/>
          <w:left w:val="nil"/>
          <w:bottom w:val="nil"/>
          <w:right w:val="nil"/>
          <w:between w:val="nil"/>
        </w:pBdr>
        <w:spacing w:after="0"/>
        <w:ind w:left="851" w:right="900"/>
        <w:jc w:val="both"/>
        <w:rPr>
          <w:rFonts w:ascii="Palatino Linotype" w:hAnsi="Palatino Linotype"/>
        </w:rPr>
      </w:pPr>
      <w:r w:rsidRPr="003A0759">
        <w:rPr>
          <w:rFonts w:ascii="Palatino Linotype" w:eastAsia="Palatino Linotype" w:hAnsi="Palatino Linotype" w:cs="Palatino Linotype"/>
          <w:i/>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2F053771" w14:textId="77777777" w:rsidR="00861417" w:rsidRPr="003A0759" w:rsidRDefault="00861417" w:rsidP="004C750B">
      <w:pPr>
        <w:pBdr>
          <w:top w:val="nil"/>
          <w:left w:val="nil"/>
          <w:bottom w:val="nil"/>
          <w:right w:val="nil"/>
          <w:between w:val="nil"/>
        </w:pBdr>
        <w:spacing w:after="0"/>
        <w:ind w:left="851" w:right="900"/>
        <w:jc w:val="both"/>
        <w:rPr>
          <w:rFonts w:ascii="Palatino Linotype" w:hAnsi="Palatino Linotype"/>
        </w:rPr>
      </w:pPr>
      <w:r w:rsidRPr="003A0759">
        <w:rPr>
          <w:rFonts w:ascii="Palatino Linotype" w:eastAsia="Palatino Linotype" w:hAnsi="Palatino Linotype" w:cs="Palatino Linotype"/>
          <w:b/>
          <w:i/>
        </w:rPr>
        <w:t>Noveno.</w:t>
      </w:r>
      <w:r w:rsidRPr="003A0759">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62CC862" w14:textId="77777777" w:rsidR="00861417" w:rsidRPr="003A0759" w:rsidRDefault="00861417" w:rsidP="004C750B">
      <w:pPr>
        <w:pBdr>
          <w:top w:val="nil"/>
          <w:left w:val="nil"/>
          <w:bottom w:val="nil"/>
          <w:right w:val="nil"/>
          <w:between w:val="nil"/>
        </w:pBdr>
        <w:spacing w:after="0"/>
        <w:ind w:left="851" w:right="900"/>
        <w:jc w:val="both"/>
        <w:rPr>
          <w:rFonts w:ascii="Palatino Linotype" w:hAnsi="Palatino Linotype"/>
        </w:rPr>
      </w:pPr>
      <w:r w:rsidRPr="003A0759">
        <w:rPr>
          <w:rFonts w:ascii="Palatino Linotype" w:eastAsia="Palatino Linotype" w:hAnsi="Palatino Linotype" w:cs="Palatino Linotype"/>
          <w:b/>
          <w:i/>
        </w:rPr>
        <w:t>Décimo.</w:t>
      </w:r>
      <w:r w:rsidRPr="003A0759">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w:t>
      </w:r>
      <w:proofErr w:type="spellStart"/>
      <w:r w:rsidRPr="003A0759">
        <w:rPr>
          <w:rFonts w:ascii="Palatino Linotype" w:eastAsia="Palatino Linotype" w:hAnsi="Palatino Linotype" w:cs="Palatino Linotype"/>
          <w:i/>
        </w:rPr>
        <w:t>wn</w:t>
      </w:r>
      <w:proofErr w:type="spellEnd"/>
      <w:r w:rsidRPr="003A0759">
        <w:rPr>
          <w:rFonts w:ascii="Palatino Linotype" w:eastAsia="Palatino Linotype" w:hAnsi="Palatino Linotype" w:cs="Palatino Linotype"/>
          <w:i/>
        </w:rPr>
        <w:t xml:space="preserve"> los términos de la Ley General de Archivos, Lineamientos para la Organización y Conservación de Archivos y demás normatividad aplicable.</w:t>
      </w:r>
    </w:p>
    <w:p w14:paraId="2F104BBE" w14:textId="77777777" w:rsidR="00861417" w:rsidRPr="003A0759" w:rsidRDefault="00861417" w:rsidP="004C750B">
      <w:pPr>
        <w:pBdr>
          <w:top w:val="nil"/>
          <w:left w:val="nil"/>
          <w:bottom w:val="nil"/>
          <w:right w:val="nil"/>
          <w:between w:val="nil"/>
        </w:pBdr>
        <w:spacing w:after="0"/>
        <w:ind w:left="851" w:right="900"/>
        <w:jc w:val="both"/>
        <w:rPr>
          <w:rFonts w:ascii="Palatino Linotype" w:hAnsi="Palatino Linotype"/>
        </w:rPr>
      </w:pPr>
      <w:r w:rsidRPr="003A0759">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1F36807B" w14:textId="77777777" w:rsidR="00861417" w:rsidRPr="003A0759" w:rsidRDefault="00861417" w:rsidP="004C750B">
      <w:pPr>
        <w:pBdr>
          <w:top w:val="nil"/>
          <w:left w:val="nil"/>
          <w:bottom w:val="nil"/>
          <w:right w:val="nil"/>
          <w:between w:val="nil"/>
        </w:pBdr>
        <w:spacing w:after="0"/>
        <w:ind w:left="851" w:right="900"/>
        <w:jc w:val="both"/>
        <w:rPr>
          <w:rFonts w:ascii="Palatino Linotype" w:eastAsia="Palatino Linotype" w:hAnsi="Palatino Linotype" w:cs="Palatino Linotype"/>
          <w:i/>
        </w:rPr>
      </w:pPr>
      <w:r w:rsidRPr="003A0759">
        <w:rPr>
          <w:rFonts w:ascii="Palatino Linotype" w:eastAsia="Palatino Linotype" w:hAnsi="Palatino Linotype" w:cs="Palatino Linotype"/>
          <w:b/>
          <w:i/>
        </w:rPr>
        <w:t>Décimo primero.</w:t>
      </w:r>
      <w:r w:rsidRPr="003A0759">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08EBBAF7" w14:textId="77777777" w:rsidR="00861417" w:rsidRPr="003A0759" w:rsidRDefault="00861417" w:rsidP="00E30F56">
      <w:pPr>
        <w:pBdr>
          <w:top w:val="nil"/>
          <w:left w:val="nil"/>
          <w:bottom w:val="nil"/>
          <w:right w:val="nil"/>
          <w:between w:val="nil"/>
        </w:pBdr>
        <w:spacing w:after="0"/>
        <w:ind w:left="567" w:right="900"/>
        <w:jc w:val="both"/>
        <w:rPr>
          <w:rFonts w:ascii="Palatino Linotype" w:hAnsi="Palatino Linotype"/>
        </w:rPr>
      </w:pPr>
    </w:p>
    <w:p w14:paraId="2C310DE0" w14:textId="649012B0" w:rsidR="00861417" w:rsidRPr="003A0759" w:rsidRDefault="00861417" w:rsidP="00E30F56">
      <w:pPr>
        <w:pBdr>
          <w:top w:val="nil"/>
          <w:left w:val="nil"/>
          <w:bottom w:val="nil"/>
          <w:right w:val="nil"/>
          <w:between w:val="nil"/>
        </w:pBdr>
        <w:spacing w:after="0" w:line="360" w:lineRule="auto"/>
        <w:ind w:right="50"/>
        <w:jc w:val="both"/>
        <w:rPr>
          <w:rFonts w:ascii="Palatino Linotype" w:eastAsia="Palatino Linotype" w:hAnsi="Palatino Linotype" w:cs="Palatino Linotype"/>
        </w:rPr>
      </w:pPr>
      <w:r w:rsidRPr="003A0759">
        <w:rPr>
          <w:rFonts w:ascii="Palatino Linotype" w:eastAsia="Palatino Linotype" w:hAnsi="Palatino Linotype" w:cs="Palatino Linotype"/>
        </w:rPr>
        <w:t>Asimismo, deberá observar el Lineamiento Quincuagésimo segundo de los Lineamientos Generales en Materia de Clasificación y Desclasificación de la Información, así como para la Elaboración de Versiones Públicas, a saber:</w:t>
      </w:r>
    </w:p>
    <w:p w14:paraId="46A12CCB" w14:textId="77777777" w:rsidR="007144A6" w:rsidRPr="003A0759" w:rsidRDefault="007144A6" w:rsidP="00E30F56">
      <w:pPr>
        <w:pBdr>
          <w:top w:val="nil"/>
          <w:left w:val="nil"/>
          <w:bottom w:val="nil"/>
          <w:right w:val="nil"/>
          <w:between w:val="nil"/>
        </w:pBdr>
        <w:spacing w:after="0"/>
        <w:ind w:left="567" w:right="900"/>
        <w:jc w:val="both"/>
        <w:rPr>
          <w:rFonts w:ascii="Palatino Linotype" w:eastAsia="Palatino Linotype" w:hAnsi="Palatino Linotype" w:cs="Palatino Linotype"/>
          <w:b/>
          <w:i/>
        </w:rPr>
      </w:pPr>
    </w:p>
    <w:p w14:paraId="70EE2184" w14:textId="77777777" w:rsidR="00861417" w:rsidRPr="003A0759" w:rsidRDefault="00861417" w:rsidP="004C750B">
      <w:pPr>
        <w:pBdr>
          <w:top w:val="nil"/>
          <w:left w:val="nil"/>
          <w:bottom w:val="nil"/>
          <w:right w:val="nil"/>
          <w:between w:val="nil"/>
        </w:pBdr>
        <w:spacing w:after="0"/>
        <w:ind w:left="851" w:right="843"/>
        <w:jc w:val="both"/>
        <w:rPr>
          <w:rFonts w:ascii="Palatino Linotype" w:hAnsi="Palatino Linotype"/>
        </w:rPr>
      </w:pPr>
      <w:r w:rsidRPr="003A0759">
        <w:rPr>
          <w:rFonts w:ascii="Palatino Linotype" w:eastAsia="Palatino Linotype" w:hAnsi="Palatino Linotype" w:cs="Palatino Linotype"/>
          <w:i/>
        </w:rPr>
        <w:t>“</w:t>
      </w:r>
      <w:r w:rsidRPr="003A0759">
        <w:rPr>
          <w:rFonts w:ascii="Palatino Linotype" w:eastAsia="Palatino Linotype" w:hAnsi="Palatino Linotype" w:cs="Palatino Linotype"/>
          <w:b/>
          <w:i/>
        </w:rPr>
        <w:t>Quincuagésimo segundo</w:t>
      </w:r>
      <w:r w:rsidRPr="003A0759">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A88A84E" w14:textId="77777777" w:rsidR="00861417" w:rsidRPr="003A0759" w:rsidRDefault="00861417" w:rsidP="004C750B">
      <w:pPr>
        <w:pBdr>
          <w:top w:val="nil"/>
          <w:left w:val="nil"/>
          <w:bottom w:val="nil"/>
          <w:right w:val="nil"/>
          <w:between w:val="nil"/>
        </w:pBdr>
        <w:spacing w:after="0"/>
        <w:ind w:left="851" w:right="843"/>
        <w:jc w:val="both"/>
        <w:rPr>
          <w:rFonts w:ascii="Palatino Linotype" w:hAnsi="Palatino Linotype"/>
        </w:rPr>
      </w:pPr>
      <w:r w:rsidRPr="003A0759">
        <w:rPr>
          <w:rFonts w:ascii="Palatino Linotype" w:eastAsia="Palatino Linotype" w:hAnsi="Palatino Linotype" w:cs="Palatino Linotype"/>
          <w:i/>
        </w:rPr>
        <w:t xml:space="preserve">En el caso </w:t>
      </w:r>
      <w:proofErr w:type="spellStart"/>
      <w:r w:rsidRPr="003A0759">
        <w:rPr>
          <w:rFonts w:ascii="Palatino Linotype" w:eastAsia="Palatino Linotype" w:hAnsi="Palatino Linotype" w:cs="Palatino Linotype"/>
          <w:i/>
        </w:rPr>
        <w:t>especifico</w:t>
      </w:r>
      <w:proofErr w:type="spellEnd"/>
      <w:r w:rsidRPr="003A0759">
        <w:rPr>
          <w:rFonts w:ascii="Palatino Linotype" w:eastAsia="Palatino Linotype" w:hAnsi="Palatino Linotype" w:cs="Palatino Linotype"/>
          <w:i/>
        </w:rPr>
        <w:t xml:space="preserve"> de la clasificación y elaboración de versiones públicas de documentos que contengan información confidencial, las áreas de los sujetos obligados deberán: </w:t>
      </w:r>
    </w:p>
    <w:p w14:paraId="67ADB324" w14:textId="77777777" w:rsidR="00861417" w:rsidRPr="003A0759" w:rsidRDefault="00861417" w:rsidP="004C750B">
      <w:pPr>
        <w:pBdr>
          <w:top w:val="nil"/>
          <w:left w:val="nil"/>
          <w:bottom w:val="nil"/>
          <w:right w:val="nil"/>
          <w:between w:val="nil"/>
        </w:pBdr>
        <w:spacing w:after="0"/>
        <w:ind w:left="851" w:right="843"/>
        <w:jc w:val="both"/>
        <w:rPr>
          <w:rFonts w:ascii="Palatino Linotype" w:hAnsi="Palatino Linotype"/>
        </w:rPr>
      </w:pPr>
      <w:r w:rsidRPr="003A0759">
        <w:rPr>
          <w:rFonts w:ascii="Palatino Linotype" w:eastAsia="Palatino Linotype" w:hAnsi="Palatino Linotype" w:cs="Palatino Linotype"/>
          <w:b/>
          <w:i/>
        </w:rPr>
        <w:t>I.</w:t>
      </w:r>
      <w:r w:rsidRPr="003A0759">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14:paraId="0DBE6132" w14:textId="77777777" w:rsidR="00861417" w:rsidRPr="003A0759" w:rsidRDefault="00861417" w:rsidP="004C750B">
      <w:pPr>
        <w:pBdr>
          <w:top w:val="nil"/>
          <w:left w:val="nil"/>
          <w:bottom w:val="nil"/>
          <w:right w:val="nil"/>
          <w:between w:val="nil"/>
        </w:pBdr>
        <w:spacing w:after="0"/>
        <w:ind w:left="851" w:right="843"/>
        <w:jc w:val="both"/>
        <w:rPr>
          <w:rFonts w:ascii="Palatino Linotype" w:hAnsi="Palatino Linotype"/>
        </w:rPr>
      </w:pPr>
      <w:r w:rsidRPr="003A0759">
        <w:rPr>
          <w:rFonts w:ascii="Palatino Linotype" w:eastAsia="Palatino Linotype" w:hAnsi="Palatino Linotype" w:cs="Palatino Linotype"/>
          <w:b/>
          <w:i/>
        </w:rPr>
        <w:t>II.</w:t>
      </w:r>
      <w:r w:rsidRPr="003A0759">
        <w:rPr>
          <w:rFonts w:ascii="Palatino Linotype" w:eastAsia="Palatino Linotype" w:hAnsi="Palatino Linotype" w:cs="Palatino Linotype"/>
          <w:i/>
        </w:rPr>
        <w:t xml:space="preserve"> Señalar dentro del documento el tipo de información confidencial que fue testada en cada caso específico, de conformidad con el lineamiento trigésimo octavo; y</w:t>
      </w:r>
    </w:p>
    <w:p w14:paraId="5BA36AF8" w14:textId="77777777" w:rsidR="00861417" w:rsidRPr="003A0759" w:rsidRDefault="00861417" w:rsidP="004C750B">
      <w:pPr>
        <w:pBdr>
          <w:top w:val="nil"/>
          <w:left w:val="nil"/>
          <w:bottom w:val="nil"/>
          <w:right w:val="nil"/>
          <w:between w:val="nil"/>
        </w:pBdr>
        <w:spacing w:after="0"/>
        <w:ind w:left="851" w:right="843"/>
        <w:jc w:val="both"/>
        <w:rPr>
          <w:rFonts w:ascii="Palatino Linotype" w:hAnsi="Palatino Linotype"/>
        </w:rPr>
      </w:pPr>
      <w:r w:rsidRPr="003A0759">
        <w:rPr>
          <w:rFonts w:ascii="Palatino Linotype" w:eastAsia="Palatino Linotype" w:hAnsi="Palatino Linotype" w:cs="Palatino Linotype"/>
          <w:b/>
          <w:i/>
        </w:rPr>
        <w:t>III.</w:t>
      </w:r>
      <w:r w:rsidRPr="003A0759">
        <w:rPr>
          <w:rFonts w:ascii="Palatino Linotype" w:eastAsia="Palatino Linotype" w:hAnsi="Palatino Linotype" w:cs="Palatino Linotype"/>
          <w:i/>
        </w:rPr>
        <w:t xml:space="preserve"> Señalar las personas o instancias autorizadas a acceder a la información clasificada.</w:t>
      </w:r>
    </w:p>
    <w:p w14:paraId="274B8197" w14:textId="77777777" w:rsidR="00861417" w:rsidRPr="003A0759" w:rsidRDefault="00861417" w:rsidP="004C750B">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3A85504B" w14:textId="77777777" w:rsidR="00AC1E0E" w:rsidRPr="003A0759" w:rsidRDefault="00AC1E0E" w:rsidP="00E30F56">
      <w:pPr>
        <w:spacing w:after="0" w:line="360" w:lineRule="auto"/>
        <w:jc w:val="both"/>
        <w:rPr>
          <w:rFonts w:ascii="Palatino Linotype" w:eastAsia="Palatino Linotype" w:hAnsi="Palatino Linotype" w:cs="Palatino Linotype"/>
        </w:rPr>
      </w:pPr>
    </w:p>
    <w:p w14:paraId="27661361" w14:textId="0A035A39" w:rsidR="00AC1E0E" w:rsidRPr="003A0759" w:rsidRDefault="00AC1E0E" w:rsidP="00E30F56">
      <w:pPr>
        <w:spacing w:after="0" w:line="360" w:lineRule="auto"/>
        <w:ind w:right="49"/>
        <w:jc w:val="both"/>
        <w:rPr>
          <w:rFonts w:ascii="Palatino Linotype" w:eastAsia="Palatino Linotype" w:hAnsi="Palatino Linotype" w:cs="Palatino Linotype"/>
          <w:b/>
        </w:rPr>
      </w:pPr>
      <w:r w:rsidRPr="003A0759">
        <w:rPr>
          <w:rFonts w:ascii="Palatino Linotype" w:eastAsia="Palatino Linotype" w:hAnsi="Palatino Linotype" w:cs="Palatino Linotype"/>
        </w:rPr>
        <w:t xml:space="preserve">Es así como, en mérito de lo expuesto en líneas anteriores, resultan fundadas las razones o motivos de inconformidad hechos valer por </w:t>
      </w:r>
      <w:r w:rsidR="007144A6" w:rsidRPr="003A0759">
        <w:rPr>
          <w:rFonts w:ascii="Palatino Linotype" w:eastAsia="Palatino Linotype" w:hAnsi="Palatino Linotype" w:cs="Palatino Linotype"/>
        </w:rPr>
        <w:t xml:space="preserve">la parte </w:t>
      </w:r>
      <w:r w:rsidR="007144A6" w:rsidRPr="003A0759">
        <w:rPr>
          <w:rFonts w:ascii="Palatino Linotype" w:eastAsia="Palatino Linotype" w:hAnsi="Palatino Linotype" w:cs="Palatino Linotype"/>
          <w:b/>
        </w:rPr>
        <w:t>Recurrente</w:t>
      </w:r>
      <w:r w:rsidR="007144A6" w:rsidRPr="003A0759">
        <w:rPr>
          <w:rFonts w:ascii="Palatino Linotype" w:eastAsia="Palatino Linotype" w:hAnsi="Palatino Linotype" w:cs="Palatino Linotype"/>
        </w:rPr>
        <w:t xml:space="preserve"> </w:t>
      </w:r>
      <w:r w:rsidRPr="003A0759">
        <w:rPr>
          <w:rFonts w:ascii="Palatino Linotype" w:eastAsia="Palatino Linotype" w:hAnsi="Palatino Linotype" w:cs="Palatino Linotype"/>
        </w:rPr>
        <w:t xml:space="preserve">dentro de los recursos de revisión </w:t>
      </w:r>
      <w:r w:rsidR="007144A6" w:rsidRPr="003A0759">
        <w:rPr>
          <w:rFonts w:ascii="Palatino Linotype" w:eastAsia="Palatino Linotype" w:hAnsi="Palatino Linotype" w:cs="Palatino Linotype"/>
          <w:b/>
        </w:rPr>
        <w:t>09724</w:t>
      </w:r>
      <w:r w:rsidRPr="003A0759">
        <w:rPr>
          <w:rFonts w:ascii="Palatino Linotype" w:eastAsia="Palatino Linotype" w:hAnsi="Palatino Linotype" w:cs="Palatino Linotype"/>
          <w:b/>
        </w:rPr>
        <w:t>/INFOEM/IP/RR/202</w:t>
      </w:r>
      <w:r w:rsidR="007144A6" w:rsidRPr="003A0759">
        <w:rPr>
          <w:rFonts w:ascii="Palatino Linotype" w:eastAsia="Palatino Linotype" w:hAnsi="Palatino Linotype" w:cs="Palatino Linotype"/>
          <w:b/>
        </w:rPr>
        <w:t>5 y 09725</w:t>
      </w:r>
      <w:r w:rsidRPr="003A0759">
        <w:rPr>
          <w:rFonts w:ascii="Palatino Linotype" w:eastAsia="Palatino Linotype" w:hAnsi="Palatino Linotype" w:cs="Palatino Linotype"/>
          <w:b/>
        </w:rPr>
        <w:t>/INFOEM/IP/RR/202</w:t>
      </w:r>
      <w:r w:rsidR="007144A6" w:rsidRPr="003A0759">
        <w:rPr>
          <w:rFonts w:ascii="Palatino Linotype" w:eastAsia="Palatino Linotype" w:hAnsi="Palatino Linotype" w:cs="Palatino Linotype"/>
          <w:b/>
        </w:rPr>
        <w:t>5</w:t>
      </w:r>
      <w:r w:rsidRPr="003A0759">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por lo que se </w:t>
      </w:r>
      <w:r w:rsidR="007144A6" w:rsidRPr="003A0759">
        <w:rPr>
          <w:rFonts w:ascii="Palatino Linotype" w:eastAsia="Palatino Linotype" w:hAnsi="Palatino Linotype" w:cs="Palatino Linotype"/>
          <w:b/>
        </w:rPr>
        <w:t xml:space="preserve">Revocan </w:t>
      </w:r>
      <w:r w:rsidRPr="003A0759">
        <w:rPr>
          <w:rFonts w:ascii="Palatino Linotype" w:eastAsia="Palatino Linotype" w:hAnsi="Palatino Linotype" w:cs="Palatino Linotype"/>
        </w:rPr>
        <w:t xml:space="preserve">las respuestas del </w:t>
      </w:r>
      <w:r w:rsidR="004C750B" w:rsidRPr="003A0759">
        <w:rPr>
          <w:rFonts w:ascii="Palatino Linotype" w:eastAsia="Palatino Linotype" w:hAnsi="Palatino Linotype" w:cs="Palatino Linotype"/>
          <w:b/>
        </w:rPr>
        <w:t xml:space="preserve">Sujeto Obligado </w:t>
      </w:r>
      <w:r w:rsidRPr="003A0759">
        <w:rPr>
          <w:rFonts w:ascii="Palatino Linotype" w:eastAsia="Palatino Linotype" w:hAnsi="Palatino Linotype" w:cs="Palatino Linotype"/>
        </w:rPr>
        <w:t>a la</w:t>
      </w:r>
      <w:r w:rsidR="00861417" w:rsidRPr="003A0759">
        <w:rPr>
          <w:rFonts w:ascii="Palatino Linotype" w:eastAsia="Palatino Linotype" w:hAnsi="Palatino Linotype" w:cs="Palatino Linotype"/>
        </w:rPr>
        <w:t>s</w:t>
      </w:r>
      <w:r w:rsidRPr="003A0759">
        <w:rPr>
          <w:rFonts w:ascii="Palatino Linotype" w:eastAsia="Palatino Linotype" w:hAnsi="Palatino Linotype" w:cs="Palatino Linotype"/>
        </w:rPr>
        <w:t xml:space="preserve"> solicitud</w:t>
      </w:r>
      <w:r w:rsidR="00861417" w:rsidRPr="003A0759">
        <w:rPr>
          <w:rFonts w:ascii="Palatino Linotype" w:eastAsia="Palatino Linotype" w:hAnsi="Palatino Linotype" w:cs="Palatino Linotype"/>
        </w:rPr>
        <w:t>es</w:t>
      </w:r>
      <w:r w:rsidRPr="003A0759">
        <w:rPr>
          <w:rFonts w:ascii="Palatino Linotype" w:eastAsia="Palatino Linotype" w:hAnsi="Palatino Linotype" w:cs="Palatino Linotype"/>
        </w:rPr>
        <w:t xml:space="preserve"> de información </w:t>
      </w:r>
      <w:r w:rsidR="007144A6" w:rsidRPr="003A0759">
        <w:rPr>
          <w:rFonts w:ascii="Palatino Linotype" w:eastAsia="Palatino Linotype" w:hAnsi="Palatino Linotype" w:cs="Palatino Linotype"/>
          <w:b/>
          <w:lang w:eastAsia="es-MX"/>
        </w:rPr>
        <w:t>03924/TOLUCA/IP/2025</w:t>
      </w:r>
      <w:r w:rsidR="00861417" w:rsidRPr="003A0759">
        <w:rPr>
          <w:rFonts w:ascii="Palatino Linotype" w:eastAsia="Palatino Linotype" w:hAnsi="Palatino Linotype" w:cs="Palatino Linotype"/>
        </w:rPr>
        <w:t xml:space="preserve"> y </w:t>
      </w:r>
      <w:r w:rsidR="007144A6" w:rsidRPr="003A0759">
        <w:rPr>
          <w:rFonts w:ascii="Palatino Linotype" w:eastAsia="Palatino Linotype" w:hAnsi="Palatino Linotype" w:cs="Palatino Linotype"/>
          <w:b/>
          <w:lang w:eastAsia="es-MX"/>
        </w:rPr>
        <w:t>03923/TOLUCA/IP/2025</w:t>
      </w:r>
      <w:r w:rsidR="00861417" w:rsidRPr="003A0759">
        <w:rPr>
          <w:rFonts w:ascii="Palatino Linotype" w:eastAsia="Palatino Linotype" w:hAnsi="Palatino Linotype" w:cs="Palatino Linotype"/>
          <w:b/>
        </w:rPr>
        <w:t>.</w:t>
      </w:r>
    </w:p>
    <w:p w14:paraId="12024AAE" w14:textId="77777777" w:rsidR="00AC1E0E" w:rsidRPr="003A0759" w:rsidRDefault="00AC1E0E" w:rsidP="00E30F56">
      <w:pPr>
        <w:spacing w:after="0" w:line="360" w:lineRule="auto"/>
        <w:ind w:right="49"/>
        <w:jc w:val="both"/>
        <w:rPr>
          <w:rFonts w:ascii="Palatino Linotype" w:eastAsia="Palatino Linotype" w:hAnsi="Palatino Linotype" w:cs="Palatino Linotype"/>
          <w:b/>
        </w:rPr>
      </w:pPr>
    </w:p>
    <w:p w14:paraId="7CF7B1E6" w14:textId="47C0736C" w:rsidR="00AC1E0E" w:rsidRPr="003A0759" w:rsidRDefault="00AC1E0E"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rPr>
        <w:t xml:space="preserve">Así, con fundamento en lo prescrito en los artículos 5 párrafos </w:t>
      </w:r>
      <w:r w:rsidR="005F0A6D" w:rsidRPr="003A0759">
        <w:rPr>
          <w:rFonts w:ascii="Palatino Linotype" w:eastAsia="Palatino Linotype" w:hAnsi="Palatino Linotype" w:cs="Palatino Linotype"/>
        </w:rPr>
        <w:t>cuadragésimo cuarto, cuadragésimo quinto y cuadragésimo sexto</w:t>
      </w:r>
      <w:r w:rsidRPr="003A0759">
        <w:rPr>
          <w:rFonts w:ascii="Palatino Linotype" w:eastAsia="Palatino Linotype" w:hAnsi="Palatino Linotype" w:cs="Palatino Linotype"/>
        </w:rPr>
        <w:t xml:space="preserve">, fracciones IV y V de la Constitución Política del Estado Libre y Soberano de México; </w:t>
      </w:r>
      <w:r w:rsidR="008C3347" w:rsidRPr="003A0759">
        <w:rPr>
          <w:rFonts w:ascii="Palatino Linotype" w:eastAsia="Palatino Linotype" w:hAnsi="Palatino Linotype" w:cs="Palatino Linotype"/>
        </w:rPr>
        <w:t xml:space="preserve">Transitorio Cuarto, párrafo segundo del Decreto número 198 de la “LXII” Legislatura del Estado de México, </w:t>
      </w:r>
      <w:r w:rsidRPr="003A0759">
        <w:rPr>
          <w:rFonts w:ascii="Palatino Linotype" w:eastAsia="Palatino Linotype" w:hAnsi="Palatino Linotype" w:cs="Palatino Linotype"/>
        </w:rPr>
        <w:t>2, fracción II; 29, 36 fracciones I y II; 176, 178, 181, 185, fracción I, 186 y 188 de la Ley de Transparencia y Acceso a la Información Pública del Estado de México y Municipios, este Pleno:</w:t>
      </w:r>
    </w:p>
    <w:p w14:paraId="3DA8FFB2" w14:textId="77777777" w:rsidR="004C750B" w:rsidRPr="003A0759" w:rsidRDefault="004C750B" w:rsidP="00E30F56">
      <w:pPr>
        <w:spacing w:after="0" w:line="360" w:lineRule="auto"/>
        <w:ind w:right="49"/>
        <w:jc w:val="center"/>
        <w:rPr>
          <w:rFonts w:ascii="Palatino Linotype" w:eastAsia="Palatino Linotype" w:hAnsi="Palatino Linotype" w:cs="Palatino Linotype"/>
          <w:b/>
        </w:rPr>
      </w:pPr>
    </w:p>
    <w:p w14:paraId="4570C9B4" w14:textId="77777777" w:rsidR="00AC1E0E" w:rsidRPr="003A0759" w:rsidRDefault="00AC1E0E" w:rsidP="00E30F56">
      <w:pPr>
        <w:spacing w:after="0" w:line="360" w:lineRule="auto"/>
        <w:ind w:right="49"/>
        <w:jc w:val="center"/>
        <w:rPr>
          <w:rFonts w:ascii="Palatino Linotype" w:eastAsia="Palatino Linotype" w:hAnsi="Palatino Linotype" w:cs="Palatino Linotype"/>
          <w:b/>
        </w:rPr>
      </w:pPr>
      <w:r w:rsidRPr="003A0759">
        <w:rPr>
          <w:rFonts w:ascii="Palatino Linotype" w:eastAsia="Palatino Linotype" w:hAnsi="Palatino Linotype" w:cs="Palatino Linotype"/>
          <w:b/>
        </w:rPr>
        <w:t>III.</w:t>
      </w:r>
      <w:r w:rsidRPr="003A0759">
        <w:rPr>
          <w:rFonts w:ascii="Palatino Linotype" w:eastAsia="Palatino Linotype" w:hAnsi="Palatino Linotype" w:cs="Palatino Linotype"/>
          <w:b/>
        </w:rPr>
        <w:tab/>
        <w:t>R E S U E L V E:</w:t>
      </w:r>
    </w:p>
    <w:p w14:paraId="12F6CFB1" w14:textId="77777777" w:rsidR="00AC1E0E" w:rsidRPr="003A0759" w:rsidRDefault="00AC1E0E" w:rsidP="00E30F56">
      <w:pPr>
        <w:spacing w:after="0" w:line="360" w:lineRule="auto"/>
        <w:jc w:val="both"/>
        <w:rPr>
          <w:rFonts w:ascii="Palatino Linotype" w:eastAsia="Palatino Linotype" w:hAnsi="Palatino Linotype" w:cs="Palatino Linotype"/>
          <w:b/>
        </w:rPr>
      </w:pPr>
    </w:p>
    <w:p w14:paraId="218A6FDA" w14:textId="5420A288" w:rsidR="00AC1E0E" w:rsidRPr="003A0759" w:rsidRDefault="00AC1E0E" w:rsidP="00E30F56">
      <w:pP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b/>
        </w:rPr>
        <w:t xml:space="preserve">PRIMERO. </w:t>
      </w:r>
      <w:r w:rsidRPr="003A0759">
        <w:rPr>
          <w:rFonts w:ascii="Palatino Linotype" w:eastAsia="Palatino Linotype" w:hAnsi="Palatino Linotype" w:cs="Palatino Linotype"/>
        </w:rPr>
        <w:t>Se</w:t>
      </w:r>
      <w:r w:rsidRPr="003A0759">
        <w:rPr>
          <w:rFonts w:ascii="Palatino Linotype" w:hAnsi="Palatino Linotype"/>
        </w:rPr>
        <w:t xml:space="preserve"> </w:t>
      </w:r>
      <w:r w:rsidR="005F0A6D" w:rsidRPr="003A0759">
        <w:rPr>
          <w:rFonts w:ascii="Palatino Linotype" w:eastAsia="Palatino Linotype" w:hAnsi="Palatino Linotype" w:cs="Palatino Linotype"/>
          <w:b/>
        </w:rPr>
        <w:t xml:space="preserve">Revocan </w:t>
      </w:r>
      <w:r w:rsidRPr="003A0759">
        <w:rPr>
          <w:rFonts w:ascii="Palatino Linotype" w:eastAsia="Palatino Linotype" w:hAnsi="Palatino Linotype" w:cs="Palatino Linotype"/>
        </w:rPr>
        <w:t>la</w:t>
      </w:r>
      <w:r w:rsidR="005F0A6D" w:rsidRPr="003A0759">
        <w:rPr>
          <w:rFonts w:ascii="Palatino Linotype" w:eastAsia="Palatino Linotype" w:hAnsi="Palatino Linotype" w:cs="Palatino Linotype"/>
        </w:rPr>
        <w:t>s</w:t>
      </w:r>
      <w:r w:rsidRPr="003A0759">
        <w:rPr>
          <w:rFonts w:ascii="Palatino Linotype" w:eastAsia="Palatino Linotype" w:hAnsi="Palatino Linotype" w:cs="Palatino Linotype"/>
        </w:rPr>
        <w:t xml:space="preserve"> respuesta</w:t>
      </w:r>
      <w:r w:rsidR="005F0A6D" w:rsidRPr="003A0759">
        <w:rPr>
          <w:rFonts w:ascii="Palatino Linotype" w:eastAsia="Palatino Linotype" w:hAnsi="Palatino Linotype" w:cs="Palatino Linotype"/>
        </w:rPr>
        <w:t>s</w:t>
      </w:r>
      <w:r w:rsidRPr="003A0759">
        <w:rPr>
          <w:rFonts w:ascii="Palatino Linotype" w:eastAsia="Palatino Linotype" w:hAnsi="Palatino Linotype" w:cs="Palatino Linotype"/>
        </w:rPr>
        <w:t xml:space="preserve"> entregada</w:t>
      </w:r>
      <w:r w:rsidR="005F0A6D" w:rsidRPr="003A0759">
        <w:rPr>
          <w:rFonts w:ascii="Palatino Linotype" w:eastAsia="Palatino Linotype" w:hAnsi="Palatino Linotype" w:cs="Palatino Linotype"/>
        </w:rPr>
        <w:t>s</w:t>
      </w:r>
      <w:r w:rsidRPr="003A0759">
        <w:rPr>
          <w:rFonts w:ascii="Palatino Linotype" w:eastAsia="Palatino Linotype" w:hAnsi="Palatino Linotype" w:cs="Palatino Linotype"/>
        </w:rPr>
        <w:t xml:space="preserve"> por </w:t>
      </w:r>
      <w:r w:rsidR="005F0A6D" w:rsidRPr="003A0759">
        <w:rPr>
          <w:rFonts w:ascii="Palatino Linotype" w:eastAsia="Palatino Linotype" w:hAnsi="Palatino Linotype" w:cs="Palatino Linotype"/>
        </w:rPr>
        <w:t xml:space="preserve">el </w:t>
      </w:r>
      <w:r w:rsidR="005F0A6D" w:rsidRPr="003A0759">
        <w:rPr>
          <w:rFonts w:ascii="Palatino Linotype" w:eastAsia="Palatino Linotype" w:hAnsi="Palatino Linotype" w:cs="Palatino Linotype"/>
          <w:b/>
        </w:rPr>
        <w:t xml:space="preserve">Sujeto Obligado </w:t>
      </w:r>
      <w:r w:rsidRPr="003A0759">
        <w:rPr>
          <w:rFonts w:ascii="Palatino Linotype" w:eastAsia="Palatino Linotype" w:hAnsi="Palatino Linotype" w:cs="Palatino Linotype"/>
        </w:rPr>
        <w:t>a la</w:t>
      </w:r>
      <w:r w:rsidR="00861417" w:rsidRPr="003A0759">
        <w:rPr>
          <w:rFonts w:ascii="Palatino Linotype" w:eastAsia="Palatino Linotype" w:hAnsi="Palatino Linotype" w:cs="Palatino Linotype"/>
        </w:rPr>
        <w:t>s</w:t>
      </w:r>
      <w:r w:rsidRPr="003A0759">
        <w:rPr>
          <w:rFonts w:ascii="Palatino Linotype" w:eastAsia="Palatino Linotype" w:hAnsi="Palatino Linotype" w:cs="Palatino Linotype"/>
        </w:rPr>
        <w:t xml:space="preserve"> solicitud</w:t>
      </w:r>
      <w:r w:rsidR="00861417" w:rsidRPr="003A0759">
        <w:rPr>
          <w:rFonts w:ascii="Palatino Linotype" w:eastAsia="Palatino Linotype" w:hAnsi="Palatino Linotype" w:cs="Palatino Linotype"/>
        </w:rPr>
        <w:t>es</w:t>
      </w:r>
      <w:r w:rsidRPr="003A0759">
        <w:rPr>
          <w:rFonts w:ascii="Palatino Linotype" w:eastAsia="Palatino Linotype" w:hAnsi="Palatino Linotype" w:cs="Palatino Linotype"/>
        </w:rPr>
        <w:t xml:space="preserve"> de información </w:t>
      </w:r>
      <w:r w:rsidR="005F0A6D" w:rsidRPr="003A0759">
        <w:rPr>
          <w:rFonts w:ascii="Palatino Linotype" w:eastAsia="Palatino Linotype" w:hAnsi="Palatino Linotype" w:cs="Palatino Linotype"/>
          <w:b/>
          <w:lang w:eastAsia="es-MX"/>
        </w:rPr>
        <w:t>03924/TOLUCA/IP/2025</w:t>
      </w:r>
      <w:r w:rsidR="00861417" w:rsidRPr="003A0759">
        <w:rPr>
          <w:rFonts w:ascii="Palatino Linotype" w:eastAsia="Palatino Linotype" w:hAnsi="Palatino Linotype" w:cs="Palatino Linotype"/>
        </w:rPr>
        <w:t xml:space="preserve"> y </w:t>
      </w:r>
      <w:r w:rsidR="005F0A6D" w:rsidRPr="003A0759">
        <w:rPr>
          <w:rFonts w:ascii="Palatino Linotype" w:eastAsia="Palatino Linotype" w:hAnsi="Palatino Linotype" w:cs="Palatino Linotype"/>
          <w:b/>
          <w:lang w:eastAsia="es-MX"/>
        </w:rPr>
        <w:t>03923/TOLUCA/IP/2025</w:t>
      </w:r>
      <w:r w:rsidRPr="003A0759">
        <w:rPr>
          <w:rFonts w:ascii="Palatino Linotype" w:eastAsia="Palatino Linotype" w:hAnsi="Palatino Linotype" w:cs="Palatino Linotype"/>
          <w:b/>
        </w:rPr>
        <w:t xml:space="preserve">, </w:t>
      </w:r>
      <w:r w:rsidRPr="003A0759">
        <w:rPr>
          <w:rFonts w:ascii="Palatino Linotype" w:eastAsia="Palatino Linotype" w:hAnsi="Palatino Linotype" w:cs="Palatino Linotype"/>
        </w:rPr>
        <w:t xml:space="preserve">por resultar fundadas las razones o motivos de inconformidad hechos valer por la parte </w:t>
      </w:r>
      <w:r w:rsidR="00260E96" w:rsidRPr="003A0759">
        <w:rPr>
          <w:rFonts w:ascii="Palatino Linotype" w:eastAsia="Palatino Linotype" w:hAnsi="Palatino Linotype" w:cs="Palatino Linotype"/>
          <w:b/>
        </w:rPr>
        <w:t>Recurrente</w:t>
      </w:r>
      <w:r w:rsidRPr="003A0759">
        <w:rPr>
          <w:rFonts w:ascii="Palatino Linotype" w:eastAsia="Palatino Linotype" w:hAnsi="Palatino Linotype" w:cs="Palatino Linotype"/>
          <w:b/>
        </w:rPr>
        <w:t xml:space="preserve">, </w:t>
      </w:r>
      <w:r w:rsidR="00861417" w:rsidRPr="003A0759">
        <w:rPr>
          <w:rFonts w:ascii="Palatino Linotype" w:eastAsia="Palatino Linotype" w:hAnsi="Palatino Linotype" w:cs="Palatino Linotype"/>
        </w:rPr>
        <w:t>en los</w:t>
      </w:r>
      <w:r w:rsidRPr="003A0759">
        <w:rPr>
          <w:rFonts w:ascii="Palatino Linotype" w:eastAsia="Palatino Linotype" w:hAnsi="Palatino Linotype" w:cs="Palatino Linotype"/>
        </w:rPr>
        <w:t xml:space="preserve"> recurso</w:t>
      </w:r>
      <w:r w:rsidR="00861417" w:rsidRPr="003A0759">
        <w:rPr>
          <w:rFonts w:ascii="Palatino Linotype" w:eastAsia="Palatino Linotype" w:hAnsi="Palatino Linotype" w:cs="Palatino Linotype"/>
        </w:rPr>
        <w:t>s</w:t>
      </w:r>
      <w:r w:rsidRPr="003A0759">
        <w:rPr>
          <w:rFonts w:ascii="Palatino Linotype" w:eastAsia="Palatino Linotype" w:hAnsi="Palatino Linotype" w:cs="Palatino Linotype"/>
        </w:rPr>
        <w:t xml:space="preserve"> de revisión </w:t>
      </w:r>
      <w:r w:rsidR="005F0A6D" w:rsidRPr="003A0759">
        <w:rPr>
          <w:rFonts w:ascii="Palatino Linotype" w:eastAsia="Palatino Linotype" w:hAnsi="Palatino Linotype" w:cs="Palatino Linotype"/>
          <w:b/>
        </w:rPr>
        <w:t>09724/INFOEM/IP/RR/2025 y 0972</w:t>
      </w:r>
      <w:r w:rsidR="00861417" w:rsidRPr="003A0759">
        <w:rPr>
          <w:rFonts w:ascii="Palatino Linotype" w:eastAsia="Palatino Linotype" w:hAnsi="Palatino Linotype" w:cs="Palatino Linotype"/>
          <w:b/>
        </w:rPr>
        <w:t>5/INFOEM/IP/RR/202</w:t>
      </w:r>
      <w:r w:rsidR="00260E96" w:rsidRPr="003A0759">
        <w:rPr>
          <w:rFonts w:ascii="Palatino Linotype" w:eastAsia="Palatino Linotype" w:hAnsi="Palatino Linotype" w:cs="Palatino Linotype"/>
          <w:b/>
        </w:rPr>
        <w:t>5</w:t>
      </w:r>
      <w:r w:rsidRPr="003A0759">
        <w:rPr>
          <w:rFonts w:ascii="Palatino Linotype" w:eastAsia="Palatino Linotype" w:hAnsi="Palatino Linotype" w:cs="Palatino Linotype"/>
          <w:b/>
        </w:rPr>
        <w:t>,</w:t>
      </w:r>
      <w:r w:rsidRPr="003A0759">
        <w:rPr>
          <w:rFonts w:ascii="Palatino Linotype" w:eastAsia="Palatino Linotype" w:hAnsi="Palatino Linotype" w:cs="Palatino Linotype"/>
        </w:rPr>
        <w:t xml:space="preserve"> en términos del considerando </w:t>
      </w:r>
      <w:r w:rsidRPr="003A0759">
        <w:rPr>
          <w:rFonts w:ascii="Palatino Linotype" w:eastAsia="Palatino Linotype" w:hAnsi="Palatino Linotype" w:cs="Palatino Linotype"/>
          <w:b/>
        </w:rPr>
        <w:t>Cuarto</w:t>
      </w:r>
      <w:r w:rsidRPr="003A0759">
        <w:rPr>
          <w:rFonts w:ascii="Palatino Linotype" w:eastAsia="Palatino Linotype" w:hAnsi="Palatino Linotype" w:cs="Palatino Linotype"/>
        </w:rPr>
        <w:t xml:space="preserve"> de la presente Resolución.</w:t>
      </w:r>
    </w:p>
    <w:p w14:paraId="56F1BAA9" w14:textId="77777777" w:rsidR="00AC1E0E" w:rsidRPr="003A0759" w:rsidRDefault="00AC1E0E" w:rsidP="00E30F56">
      <w:pPr>
        <w:spacing w:after="0" w:line="360" w:lineRule="auto"/>
        <w:jc w:val="both"/>
        <w:rPr>
          <w:rFonts w:ascii="Palatino Linotype" w:eastAsia="Palatino Linotype" w:hAnsi="Palatino Linotype" w:cs="Palatino Linotype"/>
        </w:rPr>
      </w:pPr>
    </w:p>
    <w:p w14:paraId="1292D5A4" w14:textId="7F84572F" w:rsidR="00AC1E0E" w:rsidRPr="003A0759" w:rsidRDefault="00AC1E0E" w:rsidP="00E30F56">
      <w:pPr>
        <w:pBdr>
          <w:top w:val="nil"/>
          <w:left w:val="nil"/>
          <w:bottom w:val="nil"/>
          <w:right w:val="nil"/>
          <w:between w:val="nil"/>
        </w:pBdr>
        <w:spacing w:after="0" w:line="360" w:lineRule="auto"/>
        <w:jc w:val="both"/>
        <w:rPr>
          <w:rFonts w:ascii="Palatino Linotype" w:eastAsia="Palatino Linotype" w:hAnsi="Palatino Linotype" w:cs="Palatino Linotype"/>
        </w:rPr>
      </w:pPr>
      <w:r w:rsidRPr="003A0759">
        <w:rPr>
          <w:rFonts w:ascii="Palatino Linotype" w:eastAsia="Palatino Linotype" w:hAnsi="Palatino Linotype" w:cs="Palatino Linotype"/>
          <w:b/>
        </w:rPr>
        <w:t xml:space="preserve">SEGUNDO. </w:t>
      </w:r>
      <w:r w:rsidRPr="003A0759">
        <w:rPr>
          <w:rFonts w:ascii="Palatino Linotype" w:eastAsia="Palatino Linotype" w:hAnsi="Palatino Linotype" w:cs="Palatino Linotype"/>
        </w:rPr>
        <w:t>Se</w:t>
      </w:r>
      <w:r w:rsidRPr="003A0759">
        <w:rPr>
          <w:rFonts w:ascii="Palatino Linotype" w:eastAsia="Palatino Linotype" w:hAnsi="Palatino Linotype" w:cs="Palatino Linotype"/>
          <w:b/>
        </w:rPr>
        <w:t xml:space="preserve"> </w:t>
      </w:r>
      <w:r w:rsidR="009270E3" w:rsidRPr="003A0759">
        <w:rPr>
          <w:rFonts w:ascii="Palatino Linotype" w:eastAsia="Palatino Linotype" w:hAnsi="Palatino Linotype" w:cs="Palatino Linotype"/>
          <w:b/>
        </w:rPr>
        <w:t xml:space="preserve">ordena </w:t>
      </w:r>
      <w:r w:rsidRPr="003A0759">
        <w:rPr>
          <w:rFonts w:ascii="Palatino Linotype" w:eastAsia="Palatino Linotype" w:hAnsi="Palatino Linotype" w:cs="Palatino Linotype"/>
        </w:rPr>
        <w:t xml:space="preserve">al </w:t>
      </w:r>
      <w:r w:rsidR="009270E3" w:rsidRPr="003A0759">
        <w:rPr>
          <w:rFonts w:ascii="Palatino Linotype" w:eastAsia="Palatino Linotype" w:hAnsi="Palatino Linotype" w:cs="Palatino Linotype"/>
          <w:b/>
        </w:rPr>
        <w:t>Sujeto Obligado</w:t>
      </w:r>
      <w:r w:rsidR="009270E3" w:rsidRPr="003A0759">
        <w:rPr>
          <w:rFonts w:ascii="Palatino Linotype" w:eastAsia="Palatino Linotype" w:hAnsi="Palatino Linotype" w:cs="Palatino Linotype"/>
        </w:rPr>
        <w:t xml:space="preserve"> </w:t>
      </w:r>
      <w:r w:rsidRPr="003A0759">
        <w:rPr>
          <w:rFonts w:ascii="Palatino Linotype" w:eastAsia="Palatino Linotype" w:hAnsi="Palatino Linotype" w:cs="Palatino Linotype"/>
        </w:rPr>
        <w:t>a que,</w:t>
      </w:r>
      <w:r w:rsidRPr="003A0759">
        <w:rPr>
          <w:rFonts w:ascii="Palatino Linotype" w:eastAsia="Palatino Linotype" w:hAnsi="Palatino Linotype" w:cs="Palatino Linotype"/>
          <w:b/>
        </w:rPr>
        <w:t xml:space="preserve"> </w:t>
      </w:r>
      <w:r w:rsidRPr="003A0759">
        <w:rPr>
          <w:rFonts w:ascii="Palatino Linotype" w:eastAsia="Palatino Linotype" w:hAnsi="Palatino Linotype" w:cs="Palatino Linotype"/>
        </w:rPr>
        <w:t xml:space="preserve">en términos del Considerando Cuarto y Quinto, haga entrega, </w:t>
      </w:r>
      <w:r w:rsidR="00A056D2" w:rsidRPr="003A0759">
        <w:rPr>
          <w:rFonts w:ascii="Palatino Linotype" w:eastAsia="Palatino Linotype" w:hAnsi="Palatino Linotype" w:cs="Palatino Linotype"/>
        </w:rPr>
        <w:t xml:space="preserve">previa búsqueda exhaustiva y razonable, de ser procedente </w:t>
      </w:r>
      <w:r w:rsidR="005F0A6D" w:rsidRPr="003A0759">
        <w:rPr>
          <w:rFonts w:ascii="Palatino Linotype" w:eastAsia="Palatino Linotype" w:hAnsi="Palatino Linotype" w:cs="Palatino Linotype"/>
        </w:rPr>
        <w:t xml:space="preserve">en versión pública, </w:t>
      </w:r>
      <w:r w:rsidRPr="003A0759">
        <w:rPr>
          <w:rFonts w:ascii="Palatino Linotype" w:eastAsia="Palatino Linotype" w:hAnsi="Palatino Linotype" w:cs="Palatino Linotype"/>
        </w:rPr>
        <w:t>vía Sistema de Acceso a la Información Mexiquense, de lo siguiente:</w:t>
      </w:r>
    </w:p>
    <w:p w14:paraId="176611FA" w14:textId="77777777" w:rsidR="004C750B" w:rsidRPr="003A0759" w:rsidRDefault="004C750B" w:rsidP="00E30F56">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7C1FA6A9" w14:textId="4A85AEFE" w:rsidR="009270E3" w:rsidRPr="003A0759" w:rsidRDefault="009270E3" w:rsidP="004C750B">
      <w:pPr>
        <w:pStyle w:val="Prrafodelista"/>
        <w:numPr>
          <w:ilvl w:val="0"/>
          <w:numId w:val="12"/>
        </w:numPr>
        <w:spacing w:after="0" w:line="360" w:lineRule="auto"/>
        <w:ind w:left="851" w:right="843" w:firstLine="0"/>
        <w:jc w:val="both"/>
        <w:rPr>
          <w:rFonts w:ascii="Palatino Linotype" w:eastAsia="Palatino Linotype" w:hAnsi="Palatino Linotype" w:cs="Palatino Linotype"/>
          <w:b/>
        </w:rPr>
      </w:pPr>
      <w:r w:rsidRPr="003A0759">
        <w:rPr>
          <w:rFonts w:ascii="Palatino Linotype" w:eastAsia="Palatino Linotype" w:hAnsi="Palatino Linotype" w:cs="Palatino Linotype"/>
          <w:b/>
        </w:rPr>
        <w:t xml:space="preserve">De los integrantes de cabildo, directores generales, coordinadores, directores de área, titulares de las áreas y presidente municipal: </w:t>
      </w:r>
    </w:p>
    <w:p w14:paraId="1DF89EAB" w14:textId="2E580CCE" w:rsidR="00AC1E0E" w:rsidRPr="003A0759" w:rsidRDefault="009270E3" w:rsidP="004C750B">
      <w:pPr>
        <w:pStyle w:val="Prrafodelista"/>
        <w:numPr>
          <w:ilvl w:val="0"/>
          <w:numId w:val="17"/>
        </w:numPr>
        <w:spacing w:after="0" w:line="360" w:lineRule="auto"/>
        <w:ind w:left="1276" w:right="843" w:firstLine="0"/>
        <w:jc w:val="both"/>
        <w:rPr>
          <w:rFonts w:ascii="Palatino Linotype" w:eastAsia="Palatino Linotype" w:hAnsi="Palatino Linotype" w:cs="Palatino Linotype"/>
        </w:rPr>
      </w:pPr>
      <w:r w:rsidRPr="003A0759">
        <w:rPr>
          <w:rFonts w:ascii="Palatino Linotype" w:eastAsia="Palatino Linotype" w:hAnsi="Palatino Linotype" w:cs="Palatino Linotype"/>
        </w:rPr>
        <w:t>L</w:t>
      </w:r>
      <w:r w:rsidR="00AC1E0E" w:rsidRPr="003A0759">
        <w:rPr>
          <w:rFonts w:ascii="Palatino Linotype" w:eastAsia="Palatino Linotype" w:hAnsi="Palatino Linotype" w:cs="Palatino Linotype"/>
        </w:rPr>
        <w:t xml:space="preserve">os recibos de aguinaldo </w:t>
      </w:r>
      <w:r w:rsidRPr="003A0759">
        <w:rPr>
          <w:rFonts w:ascii="Palatino Linotype" w:eastAsia="Palatino Linotype" w:hAnsi="Palatino Linotype" w:cs="Palatino Linotype"/>
        </w:rPr>
        <w:t xml:space="preserve">y prima vacacional </w:t>
      </w:r>
      <w:r w:rsidR="00AC1E0E" w:rsidRPr="003A0759">
        <w:rPr>
          <w:rFonts w:ascii="Palatino Linotype" w:eastAsia="Palatino Linotype" w:hAnsi="Palatino Linotype" w:cs="Palatino Linotype"/>
        </w:rPr>
        <w:t xml:space="preserve">pagados </w:t>
      </w:r>
      <w:r w:rsidR="00223589" w:rsidRPr="003A0759">
        <w:rPr>
          <w:rFonts w:ascii="Palatino Linotype" w:eastAsia="Palatino Linotype" w:hAnsi="Palatino Linotype" w:cs="Palatino Linotype"/>
        </w:rPr>
        <w:t>del uno de enero al treinta de junio de dos mil veinticuatro y del primero de enero al treinta de junio de dos mil veinticinco.</w:t>
      </w:r>
    </w:p>
    <w:p w14:paraId="1DC44936" w14:textId="77777777" w:rsidR="008C3347" w:rsidRPr="003A0759" w:rsidRDefault="008C3347" w:rsidP="004C750B">
      <w:pPr>
        <w:spacing w:after="0"/>
        <w:ind w:left="851" w:right="843"/>
        <w:jc w:val="both"/>
        <w:rPr>
          <w:rFonts w:ascii="Palatino Linotype" w:eastAsia="Palatino Linotype" w:hAnsi="Palatino Linotype" w:cs="Palatino Linotype"/>
          <w:i/>
        </w:rPr>
      </w:pPr>
    </w:p>
    <w:p w14:paraId="423D4DB5" w14:textId="5C2F8BAF" w:rsidR="00AC1E0E" w:rsidRPr="003A0759" w:rsidRDefault="00AC1E0E" w:rsidP="004C750B">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r w:rsidR="005F0A6D" w:rsidRPr="003A0759">
        <w:rPr>
          <w:rFonts w:ascii="Palatino Linotype" w:eastAsia="Palatino Linotype" w:hAnsi="Palatino Linotype" w:cs="Palatino Linotype"/>
          <w:i/>
        </w:rPr>
        <w:t>.</w:t>
      </w:r>
    </w:p>
    <w:p w14:paraId="797E28C1" w14:textId="77777777" w:rsidR="008C3347" w:rsidRPr="003A0759" w:rsidRDefault="008C3347" w:rsidP="004C750B">
      <w:pPr>
        <w:spacing w:after="0"/>
        <w:ind w:left="851" w:right="843"/>
        <w:jc w:val="both"/>
        <w:rPr>
          <w:rFonts w:ascii="Palatino Linotype" w:eastAsia="Palatino Linotype" w:hAnsi="Palatino Linotype" w:cs="Palatino Linotype"/>
          <w:i/>
        </w:rPr>
      </w:pPr>
    </w:p>
    <w:p w14:paraId="77EE5A63" w14:textId="14E0FF3F" w:rsidR="008C3347" w:rsidRPr="003A0759" w:rsidRDefault="008C3347" w:rsidP="004C750B">
      <w:pPr>
        <w:spacing w:after="0"/>
        <w:ind w:left="851" w:right="843"/>
        <w:jc w:val="both"/>
        <w:rPr>
          <w:rFonts w:ascii="Palatino Linotype" w:eastAsia="Palatino Linotype" w:hAnsi="Palatino Linotype" w:cs="Palatino Linotype"/>
          <w:i/>
        </w:rPr>
      </w:pPr>
      <w:r w:rsidRPr="003A0759">
        <w:rPr>
          <w:rFonts w:ascii="Palatino Linotype" w:eastAsia="Palatino Linotype" w:hAnsi="Palatino Linotype" w:cs="Palatino Linotype"/>
          <w:i/>
        </w:rPr>
        <w:t xml:space="preserve">Para el caso de que el </w:t>
      </w:r>
      <w:r w:rsidRPr="003A0759">
        <w:rPr>
          <w:rFonts w:ascii="Palatino Linotype" w:eastAsia="Palatino Linotype" w:hAnsi="Palatino Linotype" w:cs="Palatino Linotype"/>
          <w:b/>
          <w:i/>
        </w:rPr>
        <w:t>Sujeto Obligado</w:t>
      </w:r>
      <w:r w:rsidRPr="003A0759">
        <w:rPr>
          <w:rFonts w:ascii="Palatino Linotype" w:eastAsia="Palatino Linotype" w:hAnsi="Palatino Linotype" w:cs="Palatino Linotype"/>
          <w:i/>
        </w:rPr>
        <w:t xml:space="preserve"> no cuente con recibos por concepto de prima vacacional de alguno de los servidores públicos, por no haber cumplido con los seis meses en el servicio que la ley señala para tener derecho a recibirla, este deberá hacerlo del conocimiento del Particular en términos del artículo 19, párrafo segundo, de la Ley de Transparencia y Acceso a la Información Pública del Estado de México y Municipios, para tenerse por colmado dicho requerimiento.</w:t>
      </w:r>
    </w:p>
    <w:p w14:paraId="63D4222A" w14:textId="77777777" w:rsidR="005F0A6D" w:rsidRPr="003A0759" w:rsidRDefault="005F0A6D" w:rsidP="00E30F56">
      <w:pPr>
        <w:spacing w:after="0"/>
        <w:ind w:left="567" w:right="49"/>
        <w:jc w:val="both"/>
        <w:rPr>
          <w:rFonts w:ascii="Palatino Linotype" w:eastAsia="Palatino Linotype" w:hAnsi="Palatino Linotype" w:cs="Palatino Linotype"/>
        </w:rPr>
      </w:pPr>
    </w:p>
    <w:p w14:paraId="22F0E34A" w14:textId="206B771A" w:rsidR="00AC1E0E" w:rsidRPr="003A0759" w:rsidRDefault="00AC1E0E"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b/>
        </w:rPr>
        <w:t>Tercero.</w:t>
      </w:r>
      <w:r w:rsidRPr="003A0759">
        <w:rPr>
          <w:rFonts w:ascii="Palatino Linotype" w:eastAsia="Palatino Linotype" w:hAnsi="Palatino Linotype" w:cs="Palatino Linotype"/>
        </w:rPr>
        <w:t xml:space="preserve"> </w:t>
      </w:r>
      <w:r w:rsidRPr="003A0759">
        <w:rPr>
          <w:rFonts w:ascii="Palatino Linotype" w:eastAsia="Palatino Linotype" w:hAnsi="Palatino Linotype" w:cs="Palatino Linotype"/>
          <w:b/>
        </w:rPr>
        <w:t>Notifíquese</w:t>
      </w:r>
      <w:r w:rsidR="00DA580A" w:rsidRPr="003A0759">
        <w:rPr>
          <w:rFonts w:ascii="Palatino Linotype" w:eastAsia="Palatino Linotype" w:hAnsi="Palatino Linotype" w:cs="Palatino Linotype"/>
          <w:b/>
        </w:rPr>
        <w:t xml:space="preserve"> </w:t>
      </w:r>
      <w:r w:rsidR="003D0894" w:rsidRPr="003A0759">
        <w:rPr>
          <w:rFonts w:ascii="Palatino Linotype" w:eastAsia="Palatino Linotype" w:hAnsi="Palatino Linotype" w:cs="Palatino Linotype"/>
          <w:b/>
        </w:rPr>
        <w:t xml:space="preserve">vía </w:t>
      </w:r>
      <w:r w:rsidR="00DA580A" w:rsidRPr="003A0759">
        <w:rPr>
          <w:rFonts w:ascii="Palatino Linotype" w:eastAsia="Palatino Linotype" w:hAnsi="Palatino Linotype" w:cs="Palatino Linotype"/>
          <w:b/>
        </w:rPr>
        <w:t>SAIMEX</w:t>
      </w:r>
      <w:r w:rsidRPr="003A0759">
        <w:rPr>
          <w:rFonts w:ascii="Palatino Linotype" w:eastAsia="Palatino Linotype" w:hAnsi="Palatino Linotype" w:cs="Palatino Linotype"/>
          <w:b/>
        </w:rPr>
        <w:t xml:space="preserve"> </w:t>
      </w:r>
      <w:r w:rsidRPr="003A0759">
        <w:rPr>
          <w:rFonts w:ascii="Palatino Linotype" w:eastAsia="Palatino Linotype" w:hAnsi="Palatino Linotype" w:cs="Palatino Linotype"/>
        </w:rPr>
        <w:t>la presente resolución al T</w:t>
      </w:r>
      <w:r w:rsidRPr="003A0759">
        <w:rPr>
          <w:rFonts w:ascii="Palatino Linotype" w:eastAsia="Palatino Linotype" w:hAnsi="Palatino Linotype" w:cs="Palatino Linotype"/>
          <w:b/>
        </w:rPr>
        <w:t xml:space="preserve">itular de la Unidad de Transparencia </w:t>
      </w:r>
      <w:r w:rsidRPr="003A0759">
        <w:rPr>
          <w:rFonts w:ascii="Palatino Linotype" w:eastAsia="Palatino Linotype" w:hAnsi="Palatino Linotype" w:cs="Palatino Linotype"/>
        </w:rPr>
        <w:t xml:space="preserve">del </w:t>
      </w:r>
      <w:r w:rsidR="005F0A6D" w:rsidRPr="003A0759">
        <w:rPr>
          <w:rFonts w:ascii="Palatino Linotype" w:eastAsia="Palatino Linotype" w:hAnsi="Palatino Linotype" w:cs="Palatino Linotype"/>
          <w:b/>
        </w:rPr>
        <w:t>Sujeto Obligado</w:t>
      </w:r>
      <w:r w:rsidRPr="003A0759">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0E4C5957" w14:textId="77777777" w:rsidR="00AC1E0E" w:rsidRPr="003A0759" w:rsidRDefault="00AC1E0E" w:rsidP="00E30F56">
      <w:pPr>
        <w:spacing w:after="0" w:line="360" w:lineRule="auto"/>
        <w:ind w:right="49"/>
        <w:jc w:val="both"/>
        <w:rPr>
          <w:rFonts w:ascii="Palatino Linotype" w:eastAsia="Palatino Linotype" w:hAnsi="Palatino Linotype" w:cs="Palatino Linotype"/>
        </w:rPr>
      </w:pPr>
    </w:p>
    <w:p w14:paraId="220C0EB6" w14:textId="2ECE992F" w:rsidR="00AC1E0E" w:rsidRPr="003A0759" w:rsidRDefault="00AC1E0E"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b/>
        </w:rPr>
        <w:t>Cuarto.</w:t>
      </w:r>
      <w:r w:rsidRPr="003A0759">
        <w:rPr>
          <w:rFonts w:ascii="Palatino Linotype" w:eastAsia="Palatino Linotype" w:hAnsi="Palatino Linotype" w:cs="Palatino Linotype"/>
        </w:rPr>
        <w:t xml:space="preserve"> </w:t>
      </w:r>
      <w:r w:rsidRPr="003A0759">
        <w:rPr>
          <w:rFonts w:ascii="Palatino Linotype" w:eastAsia="Palatino Linotype" w:hAnsi="Palatino Linotype" w:cs="Palatino Linotype"/>
          <w:b/>
        </w:rPr>
        <w:t>Notifíquese vía SAIMEX</w:t>
      </w:r>
      <w:r w:rsidRPr="003A0759">
        <w:rPr>
          <w:rFonts w:ascii="Palatino Linotype" w:eastAsia="Palatino Linotype" w:hAnsi="Palatino Linotype" w:cs="Palatino Linotype"/>
        </w:rPr>
        <w:t xml:space="preserve"> a la parte </w:t>
      </w:r>
      <w:r w:rsidR="005F0A6D" w:rsidRPr="003A0759">
        <w:rPr>
          <w:rFonts w:ascii="Palatino Linotype" w:eastAsia="Palatino Linotype" w:hAnsi="Palatino Linotype" w:cs="Palatino Linotype"/>
          <w:b/>
        </w:rPr>
        <w:t xml:space="preserve">Recurrente </w:t>
      </w:r>
      <w:r w:rsidRPr="003A0759">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o bien, vía Juicio de Amparo en los términos de las leyes aplicables.</w:t>
      </w:r>
    </w:p>
    <w:p w14:paraId="439D271F" w14:textId="77777777" w:rsidR="00AC1E0E" w:rsidRPr="003A0759" w:rsidRDefault="00AC1E0E" w:rsidP="00E30F56">
      <w:pPr>
        <w:spacing w:after="0" w:line="360" w:lineRule="auto"/>
        <w:ind w:right="49"/>
        <w:jc w:val="both"/>
        <w:rPr>
          <w:rFonts w:ascii="Palatino Linotype" w:eastAsia="Palatino Linotype" w:hAnsi="Palatino Linotype" w:cs="Palatino Linotype"/>
        </w:rPr>
      </w:pPr>
    </w:p>
    <w:p w14:paraId="7EF2A347" w14:textId="2CA9B923" w:rsidR="00AC1E0E" w:rsidRPr="003A0759" w:rsidRDefault="00AC1E0E" w:rsidP="00E30F56">
      <w:pPr>
        <w:spacing w:after="0" w:line="360" w:lineRule="auto"/>
        <w:ind w:right="49"/>
        <w:jc w:val="both"/>
        <w:rPr>
          <w:rFonts w:ascii="Palatino Linotype" w:eastAsia="Palatino Linotype" w:hAnsi="Palatino Linotype" w:cs="Palatino Linotype"/>
        </w:rPr>
      </w:pPr>
      <w:r w:rsidRPr="003A0759">
        <w:rPr>
          <w:rFonts w:ascii="Palatino Linotype" w:eastAsia="Palatino Linotype" w:hAnsi="Palatino Linotype" w:cs="Palatino Linotype"/>
          <w:b/>
        </w:rPr>
        <w:t>Quinto.</w:t>
      </w:r>
      <w:r w:rsidRPr="003A0759">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005F0A6D" w:rsidRPr="003A0759">
        <w:rPr>
          <w:rFonts w:ascii="Palatino Linotype" w:eastAsia="Palatino Linotype" w:hAnsi="Palatino Linotype" w:cs="Palatino Linotype"/>
          <w:b/>
        </w:rPr>
        <w:t>Sujeto Obligado</w:t>
      </w:r>
      <w:r w:rsidR="005F0A6D" w:rsidRPr="003A0759">
        <w:rPr>
          <w:rFonts w:ascii="Palatino Linotype" w:eastAsia="Palatino Linotype" w:hAnsi="Palatino Linotype" w:cs="Palatino Linotype"/>
        </w:rPr>
        <w:t xml:space="preserve"> </w:t>
      </w:r>
      <w:r w:rsidRPr="003A0759">
        <w:rPr>
          <w:rFonts w:ascii="Palatino Linotype" w:eastAsia="Palatino Linotype" w:hAnsi="Palatino Linotype" w:cs="Palatino Linotype"/>
        </w:rPr>
        <w:t>de manera fundada y motivada, podrá solicitar una ampliación de plazo para el cumplimiento de la presente resolución.</w:t>
      </w:r>
    </w:p>
    <w:p w14:paraId="3D6EE4E3" w14:textId="77777777" w:rsidR="00AC1E0E" w:rsidRPr="003A0759" w:rsidRDefault="00AC1E0E" w:rsidP="00E30F56">
      <w:pPr>
        <w:spacing w:after="0" w:line="360" w:lineRule="auto"/>
        <w:ind w:right="49"/>
        <w:jc w:val="both"/>
        <w:rPr>
          <w:rFonts w:ascii="Palatino Linotype" w:eastAsia="Palatino Linotype" w:hAnsi="Palatino Linotype" w:cs="Palatino Linotype"/>
        </w:rPr>
      </w:pPr>
    </w:p>
    <w:p w14:paraId="624FA950" w14:textId="148DFD82" w:rsidR="00AC1E0E" w:rsidRPr="00AC4E2F" w:rsidRDefault="00AC1E0E" w:rsidP="00E30F56">
      <w:pPr>
        <w:spacing w:after="0" w:line="360" w:lineRule="auto"/>
        <w:ind w:right="-93"/>
        <w:jc w:val="both"/>
        <w:rPr>
          <w:rFonts w:ascii="Palatino Linotype" w:eastAsia="Palatino Linotype" w:hAnsi="Palatino Linotype" w:cs="Palatino Linotype"/>
        </w:rPr>
      </w:pPr>
      <w:r w:rsidRPr="003A075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5F0A6D" w:rsidRPr="003A0759">
        <w:rPr>
          <w:rFonts w:ascii="Palatino Linotype" w:eastAsia="Palatino Linotype" w:hAnsi="Palatino Linotype" w:cs="Palatino Linotype"/>
        </w:rPr>
        <w:t xml:space="preserve"> </w:t>
      </w:r>
      <w:r w:rsidRPr="003A0759">
        <w:rPr>
          <w:rFonts w:ascii="Palatino Linotype" w:eastAsia="Palatino Linotype" w:hAnsi="Palatino Linotype" w:cs="Palatino Linotype"/>
        </w:rPr>
        <w:t xml:space="preserve">Y GUADALUPE RAMÍREZ PEÑA; EN LA </w:t>
      </w:r>
      <w:r w:rsidR="005F0A6D" w:rsidRPr="003A0759">
        <w:rPr>
          <w:rFonts w:ascii="Palatino Linotype" w:eastAsia="Palatino Linotype" w:hAnsi="Palatino Linotype" w:cs="Palatino Linotype"/>
        </w:rPr>
        <w:t>CUADRAGÉSIMA</w:t>
      </w:r>
      <w:r w:rsidRPr="003A0759">
        <w:rPr>
          <w:rFonts w:ascii="Palatino Linotype" w:eastAsia="Palatino Linotype" w:hAnsi="Palatino Linotype" w:cs="Palatino Linotype"/>
        </w:rPr>
        <w:t xml:space="preserve"> SESIÓN ORDINARIA CELEBRADA EL </w:t>
      </w:r>
      <w:r w:rsidR="005F0A6D" w:rsidRPr="003A0759">
        <w:rPr>
          <w:rFonts w:ascii="Palatino Linotype" w:eastAsia="Palatino Linotype" w:hAnsi="Palatino Linotype" w:cs="Palatino Linotype"/>
        </w:rPr>
        <w:t xml:space="preserve">DOCE DE NOVIEMBRE </w:t>
      </w:r>
      <w:r w:rsidRPr="003A0759">
        <w:rPr>
          <w:rFonts w:ascii="Palatino Linotype" w:eastAsia="Palatino Linotype" w:hAnsi="Palatino Linotype" w:cs="Palatino Linotype"/>
        </w:rPr>
        <w:t>DE DOS MIL VEINTIC</w:t>
      </w:r>
      <w:r w:rsidR="005F0A6D" w:rsidRPr="003A0759">
        <w:rPr>
          <w:rFonts w:ascii="Palatino Linotype" w:eastAsia="Palatino Linotype" w:hAnsi="Palatino Linotype" w:cs="Palatino Linotype"/>
        </w:rPr>
        <w:t>INCO</w:t>
      </w:r>
      <w:r w:rsidRPr="003A0759">
        <w:rPr>
          <w:rFonts w:ascii="Palatino Linotype" w:eastAsia="Palatino Linotype" w:hAnsi="Palatino Linotype" w:cs="Palatino Linotype"/>
        </w:rPr>
        <w:t>, ANTE EL SECRETARIO TÉCNICO DEL PLENO ALEXIS TAPIA RAMÍREZ.</w:t>
      </w:r>
    </w:p>
    <w:p w14:paraId="7DCCD700" w14:textId="77777777" w:rsidR="00AC1E0E" w:rsidRPr="00AC4E2F" w:rsidRDefault="00AC1E0E" w:rsidP="00E30F56">
      <w:pPr>
        <w:spacing w:after="0" w:line="360" w:lineRule="auto"/>
        <w:jc w:val="both"/>
        <w:rPr>
          <w:rFonts w:ascii="Palatino Linotype" w:hAnsi="Palatino Linotype"/>
        </w:rPr>
      </w:pPr>
    </w:p>
    <w:p w14:paraId="575257BB" w14:textId="56D722FA" w:rsidR="00683B56" w:rsidRPr="00AC4E2F" w:rsidRDefault="00683B56" w:rsidP="00E30F56">
      <w:pPr>
        <w:spacing w:after="0" w:line="360" w:lineRule="auto"/>
        <w:ind w:right="49"/>
        <w:jc w:val="both"/>
        <w:rPr>
          <w:rFonts w:ascii="Palatino Linotype" w:eastAsia="Palatino Linotype" w:hAnsi="Palatino Linotype" w:cs="Palatino Linotype"/>
        </w:rPr>
      </w:pPr>
    </w:p>
    <w:p w14:paraId="1665BE25" w14:textId="583C4571" w:rsidR="006B3D4C" w:rsidRPr="00AC4E2F" w:rsidRDefault="006B3D4C" w:rsidP="00E30F56">
      <w:pPr>
        <w:spacing w:after="0" w:line="360" w:lineRule="auto"/>
        <w:ind w:right="49"/>
        <w:jc w:val="both"/>
        <w:rPr>
          <w:rFonts w:ascii="Palatino Linotype" w:eastAsia="Palatino Linotype" w:hAnsi="Palatino Linotype" w:cs="Palatino Linotype"/>
        </w:rPr>
      </w:pPr>
    </w:p>
    <w:p w14:paraId="1B40DC24" w14:textId="224A0D9F" w:rsidR="006B3D4C" w:rsidRPr="00AC4E2F" w:rsidRDefault="006B3D4C" w:rsidP="00E30F56">
      <w:pPr>
        <w:spacing w:after="0" w:line="360" w:lineRule="auto"/>
        <w:ind w:right="49"/>
        <w:jc w:val="both"/>
        <w:rPr>
          <w:rFonts w:ascii="Palatino Linotype" w:eastAsia="Palatino Linotype" w:hAnsi="Palatino Linotype" w:cs="Palatino Linotype"/>
        </w:rPr>
      </w:pPr>
    </w:p>
    <w:p w14:paraId="0DF95D9D" w14:textId="32890323" w:rsidR="006B3D4C" w:rsidRPr="00AC4E2F" w:rsidRDefault="006B3D4C" w:rsidP="00E30F56">
      <w:pPr>
        <w:spacing w:after="0" w:line="360" w:lineRule="auto"/>
        <w:ind w:right="49"/>
        <w:jc w:val="both"/>
        <w:rPr>
          <w:rFonts w:ascii="Palatino Linotype" w:eastAsia="Palatino Linotype" w:hAnsi="Palatino Linotype" w:cs="Palatino Linotype"/>
        </w:rPr>
      </w:pPr>
    </w:p>
    <w:p w14:paraId="4D4A2AE8" w14:textId="315CF447" w:rsidR="006B3D4C" w:rsidRPr="00AC4E2F" w:rsidRDefault="006B3D4C" w:rsidP="00E30F56">
      <w:pPr>
        <w:spacing w:after="0" w:line="360" w:lineRule="auto"/>
        <w:ind w:right="49"/>
        <w:jc w:val="both"/>
        <w:rPr>
          <w:rFonts w:ascii="Palatino Linotype" w:eastAsia="Palatino Linotype" w:hAnsi="Palatino Linotype" w:cs="Palatino Linotype"/>
        </w:rPr>
      </w:pPr>
    </w:p>
    <w:p w14:paraId="56141425" w14:textId="5B55ACCD" w:rsidR="006B3D4C" w:rsidRPr="00AC4E2F" w:rsidRDefault="006B3D4C" w:rsidP="00E30F56">
      <w:pPr>
        <w:spacing w:after="0" w:line="360" w:lineRule="auto"/>
        <w:ind w:right="49"/>
        <w:jc w:val="both"/>
        <w:rPr>
          <w:rFonts w:ascii="Palatino Linotype" w:eastAsia="Palatino Linotype" w:hAnsi="Palatino Linotype" w:cs="Palatino Linotype"/>
        </w:rPr>
      </w:pPr>
    </w:p>
    <w:p w14:paraId="00D31AC1" w14:textId="3DB60F44" w:rsidR="006B3D4C" w:rsidRPr="00AC4E2F" w:rsidRDefault="006B3D4C" w:rsidP="00E30F56">
      <w:pPr>
        <w:spacing w:after="0" w:line="360" w:lineRule="auto"/>
        <w:ind w:right="49"/>
        <w:jc w:val="both"/>
        <w:rPr>
          <w:rFonts w:ascii="Palatino Linotype" w:eastAsia="Palatino Linotype" w:hAnsi="Palatino Linotype" w:cs="Palatino Linotype"/>
        </w:rPr>
      </w:pPr>
    </w:p>
    <w:p w14:paraId="0C74838B" w14:textId="6CE71049" w:rsidR="006B3D4C" w:rsidRPr="00AC4E2F" w:rsidRDefault="006B3D4C" w:rsidP="00E30F56">
      <w:pPr>
        <w:spacing w:after="0" w:line="360" w:lineRule="auto"/>
        <w:ind w:right="49"/>
        <w:jc w:val="both"/>
        <w:rPr>
          <w:rFonts w:ascii="Palatino Linotype" w:eastAsia="Palatino Linotype" w:hAnsi="Palatino Linotype" w:cs="Palatino Linotype"/>
        </w:rPr>
      </w:pPr>
    </w:p>
    <w:p w14:paraId="7768A179" w14:textId="0407A0F6" w:rsidR="006B3D4C" w:rsidRPr="00AC4E2F" w:rsidRDefault="006B3D4C" w:rsidP="00E30F56">
      <w:pPr>
        <w:spacing w:after="0" w:line="360" w:lineRule="auto"/>
        <w:ind w:right="49"/>
        <w:jc w:val="both"/>
        <w:rPr>
          <w:rFonts w:ascii="Palatino Linotype" w:eastAsia="Palatino Linotype" w:hAnsi="Palatino Linotype" w:cs="Palatino Linotype"/>
        </w:rPr>
      </w:pPr>
    </w:p>
    <w:p w14:paraId="33B6B68A" w14:textId="03859651" w:rsidR="006B3D4C" w:rsidRPr="00AC4E2F" w:rsidRDefault="006B3D4C" w:rsidP="00E30F56">
      <w:pPr>
        <w:spacing w:after="0" w:line="360" w:lineRule="auto"/>
        <w:ind w:right="49"/>
        <w:jc w:val="both"/>
        <w:rPr>
          <w:rFonts w:ascii="Palatino Linotype" w:eastAsia="Palatino Linotype" w:hAnsi="Palatino Linotype" w:cs="Palatino Linotype"/>
        </w:rPr>
      </w:pPr>
    </w:p>
    <w:p w14:paraId="36E44E29" w14:textId="6F973F3A" w:rsidR="006B3D4C" w:rsidRPr="00AC4E2F" w:rsidRDefault="006B3D4C" w:rsidP="00E30F56">
      <w:pPr>
        <w:spacing w:after="0" w:line="360" w:lineRule="auto"/>
        <w:ind w:right="49"/>
        <w:jc w:val="both"/>
        <w:rPr>
          <w:rFonts w:ascii="Palatino Linotype" w:eastAsia="Palatino Linotype" w:hAnsi="Palatino Linotype" w:cs="Palatino Linotype"/>
        </w:rPr>
      </w:pPr>
    </w:p>
    <w:p w14:paraId="18618717" w14:textId="708829EF" w:rsidR="006B3D4C" w:rsidRPr="00AC4E2F" w:rsidRDefault="006B3D4C" w:rsidP="00E30F56">
      <w:pPr>
        <w:spacing w:after="0" w:line="360" w:lineRule="auto"/>
        <w:ind w:right="49"/>
        <w:jc w:val="both"/>
        <w:rPr>
          <w:rFonts w:ascii="Palatino Linotype" w:eastAsia="Palatino Linotype" w:hAnsi="Palatino Linotype" w:cs="Palatino Linotype"/>
        </w:rPr>
      </w:pPr>
    </w:p>
    <w:p w14:paraId="32BDB8F3" w14:textId="336D1752" w:rsidR="006B3D4C" w:rsidRPr="00AC4E2F" w:rsidRDefault="006B3D4C" w:rsidP="00E30F56">
      <w:pPr>
        <w:spacing w:after="0" w:line="360" w:lineRule="auto"/>
        <w:ind w:right="49"/>
        <w:jc w:val="both"/>
        <w:rPr>
          <w:rFonts w:ascii="Palatino Linotype" w:eastAsia="Palatino Linotype" w:hAnsi="Palatino Linotype" w:cs="Palatino Linotype"/>
        </w:rPr>
      </w:pPr>
    </w:p>
    <w:p w14:paraId="7B2484D8" w14:textId="43094D6D" w:rsidR="006B3D4C" w:rsidRPr="00AC4E2F" w:rsidRDefault="006B3D4C" w:rsidP="00E30F56">
      <w:pPr>
        <w:spacing w:after="0" w:line="360" w:lineRule="auto"/>
        <w:ind w:right="49"/>
        <w:jc w:val="both"/>
        <w:rPr>
          <w:rFonts w:ascii="Palatino Linotype" w:eastAsia="Palatino Linotype" w:hAnsi="Palatino Linotype" w:cs="Palatino Linotype"/>
        </w:rPr>
      </w:pPr>
    </w:p>
    <w:p w14:paraId="56EC2B48" w14:textId="3D455D72" w:rsidR="006B3D4C" w:rsidRPr="00AC4E2F" w:rsidRDefault="006B3D4C" w:rsidP="00E30F56">
      <w:pPr>
        <w:spacing w:after="0" w:line="360" w:lineRule="auto"/>
        <w:ind w:right="49"/>
        <w:jc w:val="both"/>
        <w:rPr>
          <w:rFonts w:ascii="Palatino Linotype" w:eastAsia="Palatino Linotype" w:hAnsi="Palatino Linotype" w:cs="Palatino Linotype"/>
        </w:rPr>
      </w:pPr>
    </w:p>
    <w:p w14:paraId="291EB4A9" w14:textId="1A056D7F" w:rsidR="006B3D4C" w:rsidRPr="00AC4E2F" w:rsidRDefault="006B3D4C" w:rsidP="00E30F56">
      <w:pPr>
        <w:spacing w:after="0" w:line="360" w:lineRule="auto"/>
        <w:ind w:right="49"/>
        <w:jc w:val="both"/>
        <w:rPr>
          <w:rFonts w:ascii="Palatino Linotype" w:eastAsia="Palatino Linotype" w:hAnsi="Palatino Linotype" w:cs="Palatino Linotype"/>
        </w:rPr>
      </w:pPr>
    </w:p>
    <w:p w14:paraId="5D465A28" w14:textId="6EFD9322" w:rsidR="006B3D4C" w:rsidRPr="00AC4E2F" w:rsidRDefault="006B3D4C" w:rsidP="00E30F56">
      <w:pPr>
        <w:spacing w:after="0" w:line="360" w:lineRule="auto"/>
        <w:ind w:right="49"/>
        <w:jc w:val="both"/>
        <w:rPr>
          <w:rFonts w:ascii="Palatino Linotype" w:eastAsia="Palatino Linotype" w:hAnsi="Palatino Linotype" w:cs="Palatino Linotype"/>
        </w:rPr>
      </w:pPr>
    </w:p>
    <w:p w14:paraId="1102810E" w14:textId="77777777" w:rsidR="006B3D4C" w:rsidRPr="00AC4E2F" w:rsidRDefault="006B3D4C" w:rsidP="00E30F56">
      <w:pPr>
        <w:spacing w:after="0" w:line="360" w:lineRule="auto"/>
        <w:ind w:right="49"/>
        <w:jc w:val="both"/>
        <w:rPr>
          <w:rFonts w:ascii="Palatino Linotype" w:eastAsia="Palatino Linotype" w:hAnsi="Palatino Linotype" w:cs="Palatino Linotype"/>
        </w:rPr>
      </w:pPr>
    </w:p>
    <w:sectPr w:rsidR="006B3D4C" w:rsidRPr="00AC4E2F">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45FA8" w14:textId="77777777" w:rsidR="00141354" w:rsidRDefault="00141354">
      <w:pPr>
        <w:spacing w:after="0" w:line="240" w:lineRule="auto"/>
      </w:pPr>
      <w:r>
        <w:separator/>
      </w:r>
    </w:p>
  </w:endnote>
  <w:endnote w:type="continuationSeparator" w:id="0">
    <w:p w14:paraId="7FF908FB" w14:textId="77777777" w:rsidR="00141354" w:rsidRDefault="00141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852AD" w14:textId="02F0FE5A" w:rsidR="006E5101" w:rsidRDefault="006E510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437EB">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437EB">
      <w:rPr>
        <w:b/>
        <w:noProof/>
        <w:color w:val="000000"/>
        <w:sz w:val="24"/>
        <w:szCs w:val="24"/>
      </w:rPr>
      <w:t>49</w:t>
    </w:r>
    <w:r>
      <w:rPr>
        <w:b/>
        <w:color w:val="000000"/>
        <w:sz w:val="24"/>
        <w:szCs w:val="24"/>
      </w:rPr>
      <w:fldChar w:fldCharType="end"/>
    </w:r>
  </w:p>
  <w:p w14:paraId="05088E2E" w14:textId="77777777" w:rsidR="006E5101" w:rsidRDefault="006E510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C348E" w14:textId="1A3F64D0" w:rsidR="006E5101" w:rsidRDefault="006E510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437E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437EB">
      <w:rPr>
        <w:b/>
        <w:noProof/>
        <w:color w:val="000000"/>
        <w:sz w:val="24"/>
        <w:szCs w:val="24"/>
      </w:rPr>
      <w:t>49</w:t>
    </w:r>
    <w:r>
      <w:rPr>
        <w:b/>
        <w:color w:val="000000"/>
        <w:sz w:val="24"/>
        <w:szCs w:val="24"/>
      </w:rPr>
      <w:fldChar w:fldCharType="end"/>
    </w:r>
  </w:p>
  <w:p w14:paraId="0028DADF" w14:textId="77777777" w:rsidR="006E5101" w:rsidRDefault="006E510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E3385" w14:textId="77777777" w:rsidR="00141354" w:rsidRDefault="00141354">
      <w:pPr>
        <w:spacing w:after="0" w:line="240" w:lineRule="auto"/>
      </w:pPr>
      <w:r>
        <w:separator/>
      </w:r>
    </w:p>
  </w:footnote>
  <w:footnote w:type="continuationSeparator" w:id="0">
    <w:p w14:paraId="72283255" w14:textId="77777777" w:rsidR="00141354" w:rsidRDefault="00141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3BAA1" w14:textId="77777777" w:rsidR="006E5101" w:rsidRDefault="006E5101">
    <w:pPr>
      <w:widowControl w:val="0"/>
      <w:pBdr>
        <w:top w:val="nil"/>
        <w:left w:val="nil"/>
        <w:bottom w:val="nil"/>
        <w:right w:val="nil"/>
        <w:between w:val="nil"/>
      </w:pBdr>
      <w:spacing w:after="0"/>
      <w:rPr>
        <w:color w:val="000000"/>
      </w:rPr>
    </w:pPr>
    <w:r>
      <w:rPr>
        <w:noProof/>
        <w:lang w:eastAsia="es-MX"/>
      </w:rPr>
      <w:drawing>
        <wp:anchor distT="0" distB="0" distL="0" distR="0" simplePos="0" relativeHeight="251658240" behindDoc="1" locked="0" layoutInCell="1" hidden="0" allowOverlap="1" wp14:anchorId="26BC99F2" wp14:editId="2C6AA544">
          <wp:simplePos x="0" y="0"/>
          <wp:positionH relativeFrom="column">
            <wp:posOffset>-717549</wp:posOffset>
          </wp:positionH>
          <wp:positionV relativeFrom="paragraph">
            <wp:posOffset>-250189</wp:posOffset>
          </wp:positionV>
          <wp:extent cx="7809876" cy="10165823"/>
          <wp:effectExtent l="0" t="0" r="0" b="0"/>
          <wp:wrapNone/>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03" w:type="dxa"/>
      <w:tblInd w:w="3611" w:type="dxa"/>
      <w:tblLayout w:type="fixed"/>
      <w:tblLook w:val="0400" w:firstRow="0" w:lastRow="0" w:firstColumn="0" w:lastColumn="0" w:noHBand="0" w:noVBand="1"/>
    </w:tblPr>
    <w:tblGrid>
      <w:gridCol w:w="2551"/>
      <w:gridCol w:w="3052"/>
    </w:tblGrid>
    <w:tr w:rsidR="006E5101" w14:paraId="0EEDF416" w14:textId="77777777">
      <w:tc>
        <w:tcPr>
          <w:tcW w:w="2551" w:type="dxa"/>
          <w:vAlign w:val="center"/>
        </w:tcPr>
        <w:p w14:paraId="2E1B9638" w14:textId="77777777" w:rsidR="006E5101" w:rsidRDefault="006E510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735EB31D" w14:textId="77777777" w:rsidR="006E5101" w:rsidRDefault="006E510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30A5866" w14:textId="241D2545" w:rsidR="006E5101" w:rsidRDefault="006E5101" w:rsidP="0010786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09724/INFOEM/IP/RR/2025 y acumulado</w:t>
          </w:r>
        </w:p>
      </w:tc>
    </w:tr>
    <w:tr w:rsidR="006E5101" w14:paraId="7B369D83" w14:textId="77777777">
      <w:trPr>
        <w:trHeight w:val="217"/>
      </w:trPr>
      <w:tc>
        <w:tcPr>
          <w:tcW w:w="2551" w:type="dxa"/>
          <w:vAlign w:val="center"/>
        </w:tcPr>
        <w:p w14:paraId="40037850" w14:textId="27464F7E" w:rsidR="006E5101" w:rsidRDefault="006E5101" w:rsidP="007D634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602B610A" w14:textId="23BD111D" w:rsidR="006E5101" w:rsidRDefault="006E5101" w:rsidP="0010786B">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sidRPr="007D6345">
            <w:rPr>
              <w:rFonts w:ascii="Palatino Linotype" w:eastAsia="Palatino Linotype" w:hAnsi="Palatino Linotype" w:cs="Palatino Linotype"/>
              <w:b/>
              <w:color w:val="000000"/>
            </w:rPr>
            <w:t>Ayuntamiento de Toluca</w:t>
          </w:r>
        </w:p>
      </w:tc>
    </w:tr>
    <w:tr w:rsidR="006E5101" w14:paraId="4B8D2719" w14:textId="77777777">
      <w:tc>
        <w:tcPr>
          <w:tcW w:w="2551" w:type="dxa"/>
          <w:vAlign w:val="center"/>
        </w:tcPr>
        <w:p w14:paraId="7945A578" w14:textId="77777777" w:rsidR="006E5101" w:rsidRDefault="006E510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FE9E899" w14:textId="77777777" w:rsidR="006E5101" w:rsidRDefault="006E510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121CB1E" w14:textId="77777777" w:rsidR="006E5101" w:rsidRDefault="006E510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7CBCB" w14:textId="77777777" w:rsidR="006E5101" w:rsidRDefault="006E5101">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lang w:eastAsia="es-MX"/>
      </w:rPr>
      <w:drawing>
        <wp:anchor distT="0" distB="0" distL="0" distR="0" simplePos="0" relativeHeight="251659264" behindDoc="1" locked="0" layoutInCell="1" hidden="0" allowOverlap="1" wp14:anchorId="1252FF11" wp14:editId="150FEF18">
          <wp:simplePos x="0" y="0"/>
          <wp:positionH relativeFrom="column">
            <wp:posOffset>-725804</wp:posOffset>
          </wp:positionH>
          <wp:positionV relativeFrom="paragraph">
            <wp:posOffset>-29843</wp:posOffset>
          </wp:positionV>
          <wp:extent cx="7809865" cy="10165715"/>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6E5101" w14:paraId="4B3DE2F4" w14:textId="77777777">
      <w:tc>
        <w:tcPr>
          <w:tcW w:w="2551" w:type="dxa"/>
          <w:vAlign w:val="center"/>
        </w:tcPr>
        <w:p w14:paraId="3BD1DB4D" w14:textId="77777777" w:rsidR="006E5101" w:rsidRDefault="006E510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7CD6E76B" w14:textId="77777777" w:rsidR="006E5101" w:rsidRDefault="006E510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B78FAE4" w14:textId="6B0EB7AA" w:rsidR="006E5101" w:rsidRDefault="006E5101" w:rsidP="0010786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09724/INFOEM/IP/RR/2025 y acumulado</w:t>
          </w:r>
        </w:p>
      </w:tc>
    </w:tr>
    <w:tr w:rsidR="006E5101" w14:paraId="2DEC6632" w14:textId="77777777">
      <w:tc>
        <w:tcPr>
          <w:tcW w:w="2551" w:type="dxa"/>
          <w:vAlign w:val="center"/>
        </w:tcPr>
        <w:p w14:paraId="20389A96" w14:textId="77777777" w:rsidR="006E5101" w:rsidRDefault="006E510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368F2E35" w14:textId="3F03F648" w:rsidR="006E5101" w:rsidRDefault="006E510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6E5101" w14:paraId="69CC55D2" w14:textId="77777777">
      <w:trPr>
        <w:trHeight w:val="152"/>
      </w:trPr>
      <w:tc>
        <w:tcPr>
          <w:tcW w:w="2551" w:type="dxa"/>
          <w:vAlign w:val="center"/>
        </w:tcPr>
        <w:p w14:paraId="23FE21F9" w14:textId="73AE36D0" w:rsidR="006E5101" w:rsidRDefault="006E5101" w:rsidP="007D6345">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676A0846" w14:textId="753E5776" w:rsidR="006E5101" w:rsidRDefault="006E5101" w:rsidP="0010786B">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sidRPr="007D6345">
            <w:rPr>
              <w:rFonts w:ascii="Palatino Linotype" w:eastAsia="Palatino Linotype" w:hAnsi="Palatino Linotype" w:cs="Palatino Linotype"/>
              <w:b/>
              <w:color w:val="000000"/>
            </w:rPr>
            <w:t>Ayuntamiento de Toluca</w:t>
          </w:r>
        </w:p>
      </w:tc>
    </w:tr>
    <w:tr w:rsidR="006E5101" w14:paraId="3B31ACFB" w14:textId="77777777">
      <w:tc>
        <w:tcPr>
          <w:tcW w:w="2551" w:type="dxa"/>
          <w:vAlign w:val="center"/>
        </w:tcPr>
        <w:p w14:paraId="5F0544CF" w14:textId="77777777" w:rsidR="006E5101" w:rsidRDefault="006E510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82DAC23" w14:textId="77777777" w:rsidR="006E5101" w:rsidRDefault="006E510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BC5F318" w14:textId="77777777" w:rsidR="006E5101" w:rsidRDefault="006E5101">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57CF"/>
    <w:multiLevelType w:val="multilevel"/>
    <w:tmpl w:val="C2AAA1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57411C"/>
    <w:multiLevelType w:val="multilevel"/>
    <w:tmpl w:val="0B2E581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0B7A755D"/>
    <w:multiLevelType w:val="hybridMultilevel"/>
    <w:tmpl w:val="996A06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A2691E"/>
    <w:multiLevelType w:val="multilevel"/>
    <w:tmpl w:val="D3C4A8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DF5203"/>
    <w:multiLevelType w:val="multilevel"/>
    <w:tmpl w:val="0EC87D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0F20350"/>
    <w:multiLevelType w:val="multilevel"/>
    <w:tmpl w:val="A924726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3CF7118C"/>
    <w:multiLevelType w:val="multilevel"/>
    <w:tmpl w:val="921816E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15:restartNumberingAfterBreak="0">
    <w:nsid w:val="3DAF29C5"/>
    <w:multiLevelType w:val="multilevel"/>
    <w:tmpl w:val="5C1E864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4543601A"/>
    <w:multiLevelType w:val="multilevel"/>
    <w:tmpl w:val="02B4F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7AB3622"/>
    <w:multiLevelType w:val="hybridMultilevel"/>
    <w:tmpl w:val="791E085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537F7964"/>
    <w:multiLevelType w:val="hybridMultilevel"/>
    <w:tmpl w:val="FE627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5987DB3"/>
    <w:multiLevelType w:val="hybridMultilevel"/>
    <w:tmpl w:val="2D5CA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8E47ADE"/>
    <w:multiLevelType w:val="multilevel"/>
    <w:tmpl w:val="E070CE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57170E2"/>
    <w:multiLevelType w:val="multilevel"/>
    <w:tmpl w:val="B4A25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5E71D9F"/>
    <w:multiLevelType w:val="multilevel"/>
    <w:tmpl w:val="2398CFC2"/>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B072920"/>
    <w:multiLevelType w:val="multilevel"/>
    <w:tmpl w:val="CDA25D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D592CC0"/>
    <w:multiLevelType w:val="hybridMultilevel"/>
    <w:tmpl w:val="7D18A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F345B31"/>
    <w:multiLevelType w:val="multilevel"/>
    <w:tmpl w:val="6B2C040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3205F89"/>
    <w:multiLevelType w:val="multilevel"/>
    <w:tmpl w:val="C17C29F8"/>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802288D"/>
    <w:multiLevelType w:val="multilevel"/>
    <w:tmpl w:val="BD8AFE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6"/>
  </w:num>
  <w:num w:numId="4">
    <w:abstractNumId w:val="15"/>
  </w:num>
  <w:num w:numId="5">
    <w:abstractNumId w:val="12"/>
  </w:num>
  <w:num w:numId="6">
    <w:abstractNumId w:val="0"/>
  </w:num>
  <w:num w:numId="7">
    <w:abstractNumId w:val="13"/>
  </w:num>
  <w:num w:numId="8">
    <w:abstractNumId w:val="8"/>
  </w:num>
  <w:num w:numId="9">
    <w:abstractNumId w:val="3"/>
  </w:num>
  <w:num w:numId="10">
    <w:abstractNumId w:val="7"/>
  </w:num>
  <w:num w:numId="11">
    <w:abstractNumId w:val="18"/>
  </w:num>
  <w:num w:numId="12">
    <w:abstractNumId w:val="16"/>
  </w:num>
  <w:num w:numId="13">
    <w:abstractNumId w:val="14"/>
  </w:num>
  <w:num w:numId="14">
    <w:abstractNumId w:val="11"/>
  </w:num>
  <w:num w:numId="15">
    <w:abstractNumId w:val="19"/>
  </w:num>
  <w:num w:numId="16">
    <w:abstractNumId w:val="2"/>
  </w:num>
  <w:num w:numId="17">
    <w:abstractNumId w:val="9"/>
  </w:num>
  <w:num w:numId="18">
    <w:abstractNumId w:val="17"/>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ABB"/>
    <w:rsid w:val="00000966"/>
    <w:rsid w:val="00007A6D"/>
    <w:rsid w:val="0001202F"/>
    <w:rsid w:val="00016DD1"/>
    <w:rsid w:val="000258C4"/>
    <w:rsid w:val="000362C3"/>
    <w:rsid w:val="0004088A"/>
    <w:rsid w:val="00041934"/>
    <w:rsid w:val="000454D8"/>
    <w:rsid w:val="0004775B"/>
    <w:rsid w:val="00061FBA"/>
    <w:rsid w:val="00065B20"/>
    <w:rsid w:val="000816C5"/>
    <w:rsid w:val="00087987"/>
    <w:rsid w:val="00090769"/>
    <w:rsid w:val="00091DE0"/>
    <w:rsid w:val="00095EA9"/>
    <w:rsid w:val="000B0D7D"/>
    <w:rsid w:val="000B4719"/>
    <w:rsid w:val="000C0258"/>
    <w:rsid w:val="000C7F79"/>
    <w:rsid w:val="000D1AB6"/>
    <w:rsid w:val="000D4D45"/>
    <w:rsid w:val="000E0B1B"/>
    <w:rsid w:val="000E469C"/>
    <w:rsid w:val="000F10EC"/>
    <w:rsid w:val="000F1A50"/>
    <w:rsid w:val="000F2948"/>
    <w:rsid w:val="00100AA8"/>
    <w:rsid w:val="001070CA"/>
    <w:rsid w:val="0010786B"/>
    <w:rsid w:val="0011381D"/>
    <w:rsid w:val="0012297C"/>
    <w:rsid w:val="0013184D"/>
    <w:rsid w:val="00132B50"/>
    <w:rsid w:val="001332CC"/>
    <w:rsid w:val="0013379A"/>
    <w:rsid w:val="00133AD7"/>
    <w:rsid w:val="00141354"/>
    <w:rsid w:val="00153E1B"/>
    <w:rsid w:val="001579A6"/>
    <w:rsid w:val="00157D42"/>
    <w:rsid w:val="00162F08"/>
    <w:rsid w:val="00167269"/>
    <w:rsid w:val="00167487"/>
    <w:rsid w:val="00172EE2"/>
    <w:rsid w:val="001766CE"/>
    <w:rsid w:val="001849CC"/>
    <w:rsid w:val="001A20B0"/>
    <w:rsid w:val="001B2B5B"/>
    <w:rsid w:val="001B2EBE"/>
    <w:rsid w:val="001B3330"/>
    <w:rsid w:val="001B685C"/>
    <w:rsid w:val="001C6231"/>
    <w:rsid w:val="001E1FB7"/>
    <w:rsid w:val="001E29C2"/>
    <w:rsid w:val="00206FE2"/>
    <w:rsid w:val="00214D79"/>
    <w:rsid w:val="00222B3D"/>
    <w:rsid w:val="00223589"/>
    <w:rsid w:val="00235F55"/>
    <w:rsid w:val="002512B7"/>
    <w:rsid w:val="00254DCD"/>
    <w:rsid w:val="002552D3"/>
    <w:rsid w:val="0025754E"/>
    <w:rsid w:val="00260E96"/>
    <w:rsid w:val="00274BB5"/>
    <w:rsid w:val="00276180"/>
    <w:rsid w:val="00282FCE"/>
    <w:rsid w:val="00297BAC"/>
    <w:rsid w:val="002B4EBF"/>
    <w:rsid w:val="002B5FA0"/>
    <w:rsid w:val="002B680A"/>
    <w:rsid w:val="002D2E81"/>
    <w:rsid w:val="002E2C65"/>
    <w:rsid w:val="002E6033"/>
    <w:rsid w:val="002E7726"/>
    <w:rsid w:val="002F0BE3"/>
    <w:rsid w:val="002F1C7E"/>
    <w:rsid w:val="002F4507"/>
    <w:rsid w:val="002F594C"/>
    <w:rsid w:val="00307162"/>
    <w:rsid w:val="003158CD"/>
    <w:rsid w:val="003324DE"/>
    <w:rsid w:val="003346B7"/>
    <w:rsid w:val="00346050"/>
    <w:rsid w:val="00346713"/>
    <w:rsid w:val="0035284D"/>
    <w:rsid w:val="00356274"/>
    <w:rsid w:val="00357C10"/>
    <w:rsid w:val="003672ED"/>
    <w:rsid w:val="003709A4"/>
    <w:rsid w:val="0037757C"/>
    <w:rsid w:val="00390E57"/>
    <w:rsid w:val="003921A9"/>
    <w:rsid w:val="00394E51"/>
    <w:rsid w:val="003A0268"/>
    <w:rsid w:val="003A0759"/>
    <w:rsid w:val="003A105F"/>
    <w:rsid w:val="003D07A5"/>
    <w:rsid w:val="003D0894"/>
    <w:rsid w:val="003D25D1"/>
    <w:rsid w:val="003D6AE9"/>
    <w:rsid w:val="003E7D43"/>
    <w:rsid w:val="003F6CF2"/>
    <w:rsid w:val="0040398C"/>
    <w:rsid w:val="004063CE"/>
    <w:rsid w:val="00415B03"/>
    <w:rsid w:val="00425C9F"/>
    <w:rsid w:val="00427E32"/>
    <w:rsid w:val="004317A5"/>
    <w:rsid w:val="00443775"/>
    <w:rsid w:val="00447F9B"/>
    <w:rsid w:val="00455B0E"/>
    <w:rsid w:val="004701A0"/>
    <w:rsid w:val="004826DA"/>
    <w:rsid w:val="004856D8"/>
    <w:rsid w:val="0049099F"/>
    <w:rsid w:val="0049470E"/>
    <w:rsid w:val="004952F8"/>
    <w:rsid w:val="00495CBD"/>
    <w:rsid w:val="004B4B1F"/>
    <w:rsid w:val="004C1E38"/>
    <w:rsid w:val="004C750B"/>
    <w:rsid w:val="004C7837"/>
    <w:rsid w:val="004C7AF2"/>
    <w:rsid w:val="004E13EE"/>
    <w:rsid w:val="004E1E56"/>
    <w:rsid w:val="004E2DFE"/>
    <w:rsid w:val="004E4F1F"/>
    <w:rsid w:val="004E6AE2"/>
    <w:rsid w:val="004F479F"/>
    <w:rsid w:val="004F67C0"/>
    <w:rsid w:val="004F6C46"/>
    <w:rsid w:val="00506488"/>
    <w:rsid w:val="00512849"/>
    <w:rsid w:val="00513FCA"/>
    <w:rsid w:val="00524B4D"/>
    <w:rsid w:val="005270E9"/>
    <w:rsid w:val="00542388"/>
    <w:rsid w:val="00543F0B"/>
    <w:rsid w:val="00550596"/>
    <w:rsid w:val="00555A13"/>
    <w:rsid w:val="005611A3"/>
    <w:rsid w:val="0057224C"/>
    <w:rsid w:val="00593E84"/>
    <w:rsid w:val="005A3F59"/>
    <w:rsid w:val="005B0F79"/>
    <w:rsid w:val="005B791D"/>
    <w:rsid w:val="005C1A02"/>
    <w:rsid w:val="005C77C1"/>
    <w:rsid w:val="005D28DA"/>
    <w:rsid w:val="005D56CE"/>
    <w:rsid w:val="005D6955"/>
    <w:rsid w:val="005E0C94"/>
    <w:rsid w:val="005E56DD"/>
    <w:rsid w:val="005F0A6D"/>
    <w:rsid w:val="006041B2"/>
    <w:rsid w:val="00605EBA"/>
    <w:rsid w:val="00611889"/>
    <w:rsid w:val="00612CA3"/>
    <w:rsid w:val="006355EF"/>
    <w:rsid w:val="006362D0"/>
    <w:rsid w:val="0064352E"/>
    <w:rsid w:val="0066182F"/>
    <w:rsid w:val="00661F6D"/>
    <w:rsid w:val="00664B76"/>
    <w:rsid w:val="00680A5C"/>
    <w:rsid w:val="00683B56"/>
    <w:rsid w:val="0069246B"/>
    <w:rsid w:val="00694A72"/>
    <w:rsid w:val="0069681E"/>
    <w:rsid w:val="00697FA7"/>
    <w:rsid w:val="006B1EE3"/>
    <w:rsid w:val="006B2063"/>
    <w:rsid w:val="006B2ABC"/>
    <w:rsid w:val="006B3D4C"/>
    <w:rsid w:val="006B4DBD"/>
    <w:rsid w:val="006B7295"/>
    <w:rsid w:val="006C0574"/>
    <w:rsid w:val="006C4DF1"/>
    <w:rsid w:val="006D2D7F"/>
    <w:rsid w:val="006D3B9F"/>
    <w:rsid w:val="006D5E9A"/>
    <w:rsid w:val="006E5101"/>
    <w:rsid w:val="006F5599"/>
    <w:rsid w:val="0070080E"/>
    <w:rsid w:val="00707445"/>
    <w:rsid w:val="007144A6"/>
    <w:rsid w:val="007145E5"/>
    <w:rsid w:val="007153AA"/>
    <w:rsid w:val="007157E2"/>
    <w:rsid w:val="00730622"/>
    <w:rsid w:val="00732501"/>
    <w:rsid w:val="00733625"/>
    <w:rsid w:val="00737BA7"/>
    <w:rsid w:val="00741C97"/>
    <w:rsid w:val="007437EB"/>
    <w:rsid w:val="00754B86"/>
    <w:rsid w:val="0076623C"/>
    <w:rsid w:val="00776DF2"/>
    <w:rsid w:val="00777CBB"/>
    <w:rsid w:val="00782E01"/>
    <w:rsid w:val="00790CE2"/>
    <w:rsid w:val="00793137"/>
    <w:rsid w:val="00795BDF"/>
    <w:rsid w:val="007A0E04"/>
    <w:rsid w:val="007A16C1"/>
    <w:rsid w:val="007A7E69"/>
    <w:rsid w:val="007B5178"/>
    <w:rsid w:val="007B7F9A"/>
    <w:rsid w:val="007C449A"/>
    <w:rsid w:val="007C4A2D"/>
    <w:rsid w:val="007C6C04"/>
    <w:rsid w:val="007D0D9D"/>
    <w:rsid w:val="007D6345"/>
    <w:rsid w:val="007E4B8E"/>
    <w:rsid w:val="007E5039"/>
    <w:rsid w:val="007E51CD"/>
    <w:rsid w:val="00802E17"/>
    <w:rsid w:val="00805891"/>
    <w:rsid w:val="00805CDC"/>
    <w:rsid w:val="008063FF"/>
    <w:rsid w:val="00824905"/>
    <w:rsid w:val="00836E61"/>
    <w:rsid w:val="00841EB0"/>
    <w:rsid w:val="00861417"/>
    <w:rsid w:val="00864BD2"/>
    <w:rsid w:val="00865B83"/>
    <w:rsid w:val="008734D5"/>
    <w:rsid w:val="008756F6"/>
    <w:rsid w:val="00886523"/>
    <w:rsid w:val="00894778"/>
    <w:rsid w:val="00896563"/>
    <w:rsid w:val="008A71CA"/>
    <w:rsid w:val="008B2E88"/>
    <w:rsid w:val="008B2E96"/>
    <w:rsid w:val="008C18EF"/>
    <w:rsid w:val="008C3347"/>
    <w:rsid w:val="008D74CD"/>
    <w:rsid w:val="008F38AF"/>
    <w:rsid w:val="008F638B"/>
    <w:rsid w:val="009006A5"/>
    <w:rsid w:val="009014A2"/>
    <w:rsid w:val="00907604"/>
    <w:rsid w:val="00915577"/>
    <w:rsid w:val="00916717"/>
    <w:rsid w:val="00924159"/>
    <w:rsid w:val="009270E3"/>
    <w:rsid w:val="00927709"/>
    <w:rsid w:val="00965821"/>
    <w:rsid w:val="00970966"/>
    <w:rsid w:val="00971378"/>
    <w:rsid w:val="00973EE3"/>
    <w:rsid w:val="00982FE9"/>
    <w:rsid w:val="0099154E"/>
    <w:rsid w:val="009A77DA"/>
    <w:rsid w:val="009B2E06"/>
    <w:rsid w:val="009C2B38"/>
    <w:rsid w:val="009C379F"/>
    <w:rsid w:val="009C5DDF"/>
    <w:rsid w:val="009C6AED"/>
    <w:rsid w:val="009D016F"/>
    <w:rsid w:val="009D1895"/>
    <w:rsid w:val="009D39C8"/>
    <w:rsid w:val="009D478D"/>
    <w:rsid w:val="009D6EDC"/>
    <w:rsid w:val="009E5720"/>
    <w:rsid w:val="009E6671"/>
    <w:rsid w:val="009E7DF3"/>
    <w:rsid w:val="009F2820"/>
    <w:rsid w:val="009F6068"/>
    <w:rsid w:val="009F6C6E"/>
    <w:rsid w:val="00A000A9"/>
    <w:rsid w:val="00A00C27"/>
    <w:rsid w:val="00A01EFD"/>
    <w:rsid w:val="00A056D2"/>
    <w:rsid w:val="00A06C1D"/>
    <w:rsid w:val="00A23145"/>
    <w:rsid w:val="00A3709A"/>
    <w:rsid w:val="00A37FA0"/>
    <w:rsid w:val="00A467CC"/>
    <w:rsid w:val="00A54090"/>
    <w:rsid w:val="00A57124"/>
    <w:rsid w:val="00A6074B"/>
    <w:rsid w:val="00A6547E"/>
    <w:rsid w:val="00A83165"/>
    <w:rsid w:val="00A91D83"/>
    <w:rsid w:val="00AA2017"/>
    <w:rsid w:val="00AC1E0E"/>
    <w:rsid w:val="00AC4E2F"/>
    <w:rsid w:val="00AF0D5A"/>
    <w:rsid w:val="00AF1F9C"/>
    <w:rsid w:val="00B05523"/>
    <w:rsid w:val="00B11731"/>
    <w:rsid w:val="00B1320B"/>
    <w:rsid w:val="00B15683"/>
    <w:rsid w:val="00B33324"/>
    <w:rsid w:val="00B3765B"/>
    <w:rsid w:val="00B56E7D"/>
    <w:rsid w:val="00B65FE1"/>
    <w:rsid w:val="00B66FD1"/>
    <w:rsid w:val="00B71290"/>
    <w:rsid w:val="00B8278C"/>
    <w:rsid w:val="00B85A8A"/>
    <w:rsid w:val="00B91EC4"/>
    <w:rsid w:val="00B95030"/>
    <w:rsid w:val="00BA1674"/>
    <w:rsid w:val="00BA3E4D"/>
    <w:rsid w:val="00BB02D6"/>
    <w:rsid w:val="00BB5D1C"/>
    <w:rsid w:val="00BC481E"/>
    <w:rsid w:val="00BE2D1D"/>
    <w:rsid w:val="00BE4D85"/>
    <w:rsid w:val="00BE51B8"/>
    <w:rsid w:val="00BE5695"/>
    <w:rsid w:val="00BE6733"/>
    <w:rsid w:val="00C013B4"/>
    <w:rsid w:val="00C03DC1"/>
    <w:rsid w:val="00C05466"/>
    <w:rsid w:val="00C23642"/>
    <w:rsid w:val="00C24203"/>
    <w:rsid w:val="00C3559B"/>
    <w:rsid w:val="00C46657"/>
    <w:rsid w:val="00C53AC5"/>
    <w:rsid w:val="00C562B7"/>
    <w:rsid w:val="00C664AF"/>
    <w:rsid w:val="00C736E5"/>
    <w:rsid w:val="00C8551E"/>
    <w:rsid w:val="00C9263B"/>
    <w:rsid w:val="00CA05AF"/>
    <w:rsid w:val="00CA2829"/>
    <w:rsid w:val="00CA7204"/>
    <w:rsid w:val="00CB4F5B"/>
    <w:rsid w:val="00CB588A"/>
    <w:rsid w:val="00CC2959"/>
    <w:rsid w:val="00CD094F"/>
    <w:rsid w:val="00CD22B0"/>
    <w:rsid w:val="00CD6D5B"/>
    <w:rsid w:val="00CE041C"/>
    <w:rsid w:val="00CE44EB"/>
    <w:rsid w:val="00CE542A"/>
    <w:rsid w:val="00CF5E81"/>
    <w:rsid w:val="00CF62AA"/>
    <w:rsid w:val="00CF6B8E"/>
    <w:rsid w:val="00D01C19"/>
    <w:rsid w:val="00D07E24"/>
    <w:rsid w:val="00D16A07"/>
    <w:rsid w:val="00D1779D"/>
    <w:rsid w:val="00D31A99"/>
    <w:rsid w:val="00D33202"/>
    <w:rsid w:val="00D343B5"/>
    <w:rsid w:val="00D43781"/>
    <w:rsid w:val="00D4381B"/>
    <w:rsid w:val="00D444D5"/>
    <w:rsid w:val="00D54B42"/>
    <w:rsid w:val="00D57075"/>
    <w:rsid w:val="00D61A18"/>
    <w:rsid w:val="00D67EC3"/>
    <w:rsid w:val="00D77EFC"/>
    <w:rsid w:val="00D81D6A"/>
    <w:rsid w:val="00D900C0"/>
    <w:rsid w:val="00DA03E7"/>
    <w:rsid w:val="00DA4837"/>
    <w:rsid w:val="00DA580A"/>
    <w:rsid w:val="00DB6EC8"/>
    <w:rsid w:val="00DB726D"/>
    <w:rsid w:val="00DC0328"/>
    <w:rsid w:val="00DC4682"/>
    <w:rsid w:val="00DC5225"/>
    <w:rsid w:val="00DD03DD"/>
    <w:rsid w:val="00DD1F3E"/>
    <w:rsid w:val="00DD2386"/>
    <w:rsid w:val="00DF13E0"/>
    <w:rsid w:val="00DF7783"/>
    <w:rsid w:val="00E02D21"/>
    <w:rsid w:val="00E0445F"/>
    <w:rsid w:val="00E06044"/>
    <w:rsid w:val="00E153A7"/>
    <w:rsid w:val="00E176D5"/>
    <w:rsid w:val="00E177C0"/>
    <w:rsid w:val="00E21723"/>
    <w:rsid w:val="00E24F58"/>
    <w:rsid w:val="00E306C5"/>
    <w:rsid w:val="00E30F56"/>
    <w:rsid w:val="00E31AE9"/>
    <w:rsid w:val="00E35F8A"/>
    <w:rsid w:val="00E367E0"/>
    <w:rsid w:val="00E4613D"/>
    <w:rsid w:val="00E706F9"/>
    <w:rsid w:val="00E71060"/>
    <w:rsid w:val="00E767E1"/>
    <w:rsid w:val="00E76FB3"/>
    <w:rsid w:val="00E77F4D"/>
    <w:rsid w:val="00E81A78"/>
    <w:rsid w:val="00E86B9E"/>
    <w:rsid w:val="00E966D0"/>
    <w:rsid w:val="00E967B5"/>
    <w:rsid w:val="00EA3414"/>
    <w:rsid w:val="00EA4063"/>
    <w:rsid w:val="00EB12F0"/>
    <w:rsid w:val="00EB3539"/>
    <w:rsid w:val="00EB5377"/>
    <w:rsid w:val="00EC08FA"/>
    <w:rsid w:val="00EC6CA7"/>
    <w:rsid w:val="00EC7463"/>
    <w:rsid w:val="00ED1867"/>
    <w:rsid w:val="00ED6123"/>
    <w:rsid w:val="00EF01A7"/>
    <w:rsid w:val="00EF0D83"/>
    <w:rsid w:val="00EF6D9D"/>
    <w:rsid w:val="00F01D89"/>
    <w:rsid w:val="00F04C5B"/>
    <w:rsid w:val="00F31276"/>
    <w:rsid w:val="00F33FF4"/>
    <w:rsid w:val="00F35EC4"/>
    <w:rsid w:val="00F41272"/>
    <w:rsid w:val="00F44AD3"/>
    <w:rsid w:val="00F4539E"/>
    <w:rsid w:val="00F47902"/>
    <w:rsid w:val="00F537B2"/>
    <w:rsid w:val="00F54F6F"/>
    <w:rsid w:val="00F7268A"/>
    <w:rsid w:val="00F80F4C"/>
    <w:rsid w:val="00F80FB7"/>
    <w:rsid w:val="00F82655"/>
    <w:rsid w:val="00F94390"/>
    <w:rsid w:val="00FA0E5E"/>
    <w:rsid w:val="00FA437E"/>
    <w:rsid w:val="00FB1280"/>
    <w:rsid w:val="00FB17A0"/>
    <w:rsid w:val="00FC081F"/>
    <w:rsid w:val="00FD590C"/>
    <w:rsid w:val="00FE0A48"/>
    <w:rsid w:val="00FE4791"/>
    <w:rsid w:val="00FE7ABB"/>
    <w:rsid w:val="00FF289D"/>
    <w:rsid w:val="00FF3A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76D8"/>
  <w15:docId w15:val="{A34750B3-1629-4AA9-9C63-0C7A7A54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324"/>
    <w:rPr>
      <w:rFonts w:eastAsia="Times New Roman" w:cs="Times New Roman"/>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
    <w:tblPr>
      <w:tblStyleRowBandSize w:val="1"/>
      <w:tblStyleColBandSize w:val="1"/>
      <w:tblCellMar>
        <w:top w:w="15" w:type="dxa"/>
        <w:left w:w="15" w:type="dxa"/>
        <w:bottom w:w="15" w:type="dxa"/>
        <w:right w:w="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top w:w="15" w:type="dxa"/>
        <w:left w:w="115" w:type="dxa"/>
        <w:bottom w:w="15" w:type="dxa"/>
        <w:right w:w="115" w:type="dxa"/>
      </w:tblCellMar>
    </w:tblPr>
  </w:style>
  <w:style w:type="table" w:customStyle="1" w:styleId="2">
    <w:name w:val="2"/>
    <w:basedOn w:val="TableNormal1"/>
    <w:tblPr>
      <w:tblStyleRowBandSize w:val="1"/>
      <w:tblStyleColBandSize w:val="1"/>
      <w:tblCellMar>
        <w:top w:w="15" w:type="dxa"/>
        <w:left w:w="115" w:type="dxa"/>
        <w:bottom w:w="15" w:type="dxa"/>
        <w:right w:w="115" w:type="dxa"/>
      </w:tblCellMar>
    </w:tblPr>
  </w:style>
  <w:style w:type="table" w:customStyle="1" w:styleId="1">
    <w:name w:val="1"/>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5" w:type="dxa"/>
        <w:left w:w="115" w:type="dxa"/>
        <w:bottom w:w="15" w:type="dxa"/>
        <w:right w:w="115" w:type="dxa"/>
      </w:tblCellMar>
    </w:tblPr>
  </w:style>
  <w:style w:type="table" w:customStyle="1" w:styleId="a1">
    <w:basedOn w:val="TableNormal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table" w:customStyle="1" w:styleId="Tablaconcuadrcula1">
    <w:name w:val="Tabla con cuadrícula1"/>
    <w:basedOn w:val="Tablanormal"/>
    <w:next w:val="Tablaconcuadrcula"/>
    <w:uiPriority w:val="59"/>
    <w:rsid w:val="00346050"/>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24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2560">
      <w:bodyDiv w:val="1"/>
      <w:marLeft w:val="0"/>
      <w:marRight w:val="0"/>
      <w:marTop w:val="0"/>
      <w:marBottom w:val="0"/>
      <w:divBdr>
        <w:top w:val="none" w:sz="0" w:space="0" w:color="auto"/>
        <w:left w:val="none" w:sz="0" w:space="0" w:color="auto"/>
        <w:bottom w:val="none" w:sz="0" w:space="0" w:color="auto"/>
        <w:right w:val="none" w:sz="0" w:space="0" w:color="auto"/>
      </w:divBdr>
    </w:div>
    <w:div w:id="594897526">
      <w:bodyDiv w:val="1"/>
      <w:marLeft w:val="0"/>
      <w:marRight w:val="0"/>
      <w:marTop w:val="0"/>
      <w:marBottom w:val="0"/>
      <w:divBdr>
        <w:top w:val="none" w:sz="0" w:space="0" w:color="auto"/>
        <w:left w:val="none" w:sz="0" w:space="0" w:color="auto"/>
        <w:bottom w:val="none" w:sz="0" w:space="0" w:color="auto"/>
        <w:right w:val="none" w:sz="0" w:space="0" w:color="auto"/>
      </w:divBdr>
    </w:div>
    <w:div w:id="616373094">
      <w:bodyDiv w:val="1"/>
      <w:marLeft w:val="0"/>
      <w:marRight w:val="0"/>
      <w:marTop w:val="0"/>
      <w:marBottom w:val="0"/>
      <w:divBdr>
        <w:top w:val="none" w:sz="0" w:space="0" w:color="auto"/>
        <w:left w:val="none" w:sz="0" w:space="0" w:color="auto"/>
        <w:bottom w:val="none" w:sz="0" w:space="0" w:color="auto"/>
        <w:right w:val="none" w:sz="0" w:space="0" w:color="auto"/>
      </w:divBdr>
    </w:div>
    <w:div w:id="787431948">
      <w:bodyDiv w:val="1"/>
      <w:marLeft w:val="0"/>
      <w:marRight w:val="0"/>
      <w:marTop w:val="0"/>
      <w:marBottom w:val="0"/>
      <w:divBdr>
        <w:top w:val="none" w:sz="0" w:space="0" w:color="auto"/>
        <w:left w:val="none" w:sz="0" w:space="0" w:color="auto"/>
        <w:bottom w:val="none" w:sz="0" w:space="0" w:color="auto"/>
        <w:right w:val="none" w:sz="0" w:space="0" w:color="auto"/>
      </w:divBdr>
    </w:div>
    <w:div w:id="1127234651">
      <w:bodyDiv w:val="1"/>
      <w:marLeft w:val="0"/>
      <w:marRight w:val="0"/>
      <w:marTop w:val="0"/>
      <w:marBottom w:val="0"/>
      <w:divBdr>
        <w:top w:val="none" w:sz="0" w:space="0" w:color="auto"/>
        <w:left w:val="none" w:sz="0" w:space="0" w:color="auto"/>
        <w:bottom w:val="none" w:sz="0" w:space="0" w:color="auto"/>
        <w:right w:val="none" w:sz="0" w:space="0" w:color="auto"/>
      </w:divBdr>
    </w:div>
    <w:div w:id="1225481791">
      <w:bodyDiv w:val="1"/>
      <w:marLeft w:val="0"/>
      <w:marRight w:val="0"/>
      <w:marTop w:val="0"/>
      <w:marBottom w:val="0"/>
      <w:divBdr>
        <w:top w:val="none" w:sz="0" w:space="0" w:color="auto"/>
        <w:left w:val="none" w:sz="0" w:space="0" w:color="auto"/>
        <w:bottom w:val="none" w:sz="0" w:space="0" w:color="auto"/>
        <w:right w:val="none" w:sz="0" w:space="0" w:color="auto"/>
      </w:divBdr>
    </w:div>
    <w:div w:id="1280406466">
      <w:bodyDiv w:val="1"/>
      <w:marLeft w:val="0"/>
      <w:marRight w:val="0"/>
      <w:marTop w:val="0"/>
      <w:marBottom w:val="0"/>
      <w:divBdr>
        <w:top w:val="none" w:sz="0" w:space="0" w:color="auto"/>
        <w:left w:val="none" w:sz="0" w:space="0" w:color="auto"/>
        <w:bottom w:val="none" w:sz="0" w:space="0" w:color="auto"/>
        <w:right w:val="none" w:sz="0" w:space="0" w:color="auto"/>
      </w:divBdr>
    </w:div>
    <w:div w:id="1394811434">
      <w:bodyDiv w:val="1"/>
      <w:marLeft w:val="0"/>
      <w:marRight w:val="0"/>
      <w:marTop w:val="0"/>
      <w:marBottom w:val="0"/>
      <w:divBdr>
        <w:top w:val="none" w:sz="0" w:space="0" w:color="auto"/>
        <w:left w:val="none" w:sz="0" w:space="0" w:color="auto"/>
        <w:bottom w:val="none" w:sz="0" w:space="0" w:color="auto"/>
        <w:right w:val="none" w:sz="0" w:space="0" w:color="auto"/>
      </w:divBdr>
    </w:div>
    <w:div w:id="1595213354">
      <w:bodyDiv w:val="1"/>
      <w:marLeft w:val="0"/>
      <w:marRight w:val="0"/>
      <w:marTop w:val="0"/>
      <w:marBottom w:val="0"/>
      <w:divBdr>
        <w:top w:val="none" w:sz="0" w:space="0" w:color="auto"/>
        <w:left w:val="none" w:sz="0" w:space="0" w:color="auto"/>
        <w:bottom w:val="none" w:sz="0" w:space="0" w:color="auto"/>
        <w:right w:val="none" w:sz="0" w:space="0" w:color="auto"/>
      </w:divBdr>
    </w:div>
    <w:div w:id="1931036755">
      <w:bodyDiv w:val="1"/>
      <w:marLeft w:val="0"/>
      <w:marRight w:val="0"/>
      <w:marTop w:val="0"/>
      <w:marBottom w:val="0"/>
      <w:divBdr>
        <w:top w:val="none" w:sz="0" w:space="0" w:color="auto"/>
        <w:left w:val="none" w:sz="0" w:space="0" w:color="auto"/>
        <w:bottom w:val="none" w:sz="0" w:space="0" w:color="auto"/>
        <w:right w:val="none" w:sz="0" w:space="0" w:color="auto"/>
      </w:divBdr>
    </w:div>
    <w:div w:id="1962763783">
      <w:bodyDiv w:val="1"/>
      <w:marLeft w:val="0"/>
      <w:marRight w:val="0"/>
      <w:marTop w:val="0"/>
      <w:marBottom w:val="0"/>
      <w:divBdr>
        <w:top w:val="none" w:sz="0" w:space="0" w:color="auto"/>
        <w:left w:val="none" w:sz="0" w:space="0" w:color="auto"/>
        <w:bottom w:val="none" w:sz="0" w:space="0" w:color="auto"/>
        <w:right w:val="none" w:sz="0" w:space="0" w:color="auto"/>
      </w:divBdr>
    </w:div>
    <w:div w:id="2010020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dcG03KCCGLJoJUKewxFKJ3BVMg==">CgMxLjAyCWguMzBqMHpsbDIIaC5namRneHMyCWguM3pueXNoNzIJaC4xZm9iOXRlOAByITFHSF9qTWgyejRnR3V5aUZiRDliNGFnaFU1cmp1dVEtZQ==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3BCDE6-5EB3-4BDF-8E95-2F0D21414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13376</Words>
  <Characters>73570</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2025-11-14T17:08:00Z</cp:lastPrinted>
  <dcterms:created xsi:type="dcterms:W3CDTF">2025-12-10T22:54:00Z</dcterms:created>
  <dcterms:modified xsi:type="dcterms:W3CDTF">2025-12-10T22:54:00Z</dcterms:modified>
</cp:coreProperties>
</file>