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DF5858" w14:textId="25436D4C" w:rsidR="004C465F" w:rsidRDefault="004C465F" w:rsidP="007808E0">
      <w:pPr>
        <w:tabs>
          <w:tab w:val="left" w:pos="8931"/>
        </w:tabs>
        <w:spacing w:after="0" w:line="360" w:lineRule="auto"/>
      </w:pPr>
    </w:p>
    <w:sdt>
      <w:sdtPr>
        <w:rPr>
          <w:rFonts w:ascii="Palatino Linotype" w:eastAsia="Palatino Linotype" w:hAnsi="Palatino Linotype" w:cs="Palatino Linotype"/>
          <w:color w:val="000000" w:themeColor="text1"/>
          <w:sz w:val="22"/>
          <w:szCs w:val="22"/>
          <w:lang w:val="es-ES"/>
        </w:rPr>
        <w:id w:val="789625836"/>
        <w:docPartObj>
          <w:docPartGallery w:val="Table of Contents"/>
          <w:docPartUnique/>
        </w:docPartObj>
      </w:sdtPr>
      <w:sdtEndPr>
        <w:rPr>
          <w:b/>
          <w:bCs/>
        </w:rPr>
      </w:sdtEndPr>
      <w:sdtContent>
        <w:p w14:paraId="7F182055" w14:textId="3C435E7F" w:rsidR="00C4052B" w:rsidRPr="009B2B01" w:rsidRDefault="00C4052B" w:rsidP="007808E0">
          <w:pPr>
            <w:pStyle w:val="TtulodeTDC"/>
            <w:spacing w:before="0" w:line="360" w:lineRule="auto"/>
            <w:jc w:val="center"/>
            <w:rPr>
              <w:rFonts w:ascii="Palatino Linotype" w:hAnsi="Palatino Linotype"/>
              <w:color w:val="auto"/>
              <w:sz w:val="22"/>
              <w:szCs w:val="22"/>
            </w:rPr>
          </w:pPr>
          <w:r w:rsidRPr="009B2B01">
            <w:rPr>
              <w:rFonts w:ascii="Palatino Linotype" w:hAnsi="Palatino Linotype"/>
              <w:color w:val="auto"/>
              <w:sz w:val="22"/>
              <w:szCs w:val="22"/>
              <w:lang w:val="es-ES"/>
            </w:rPr>
            <w:t xml:space="preserve">RESOLUCIÓN DEL RECURSO DE REVISIÓN </w:t>
          </w:r>
          <w:r w:rsidR="006C1E67" w:rsidRPr="009B2B01">
            <w:rPr>
              <w:rFonts w:ascii="Palatino Linotype" w:hAnsi="Palatino Linotype"/>
              <w:color w:val="auto"/>
              <w:sz w:val="22"/>
              <w:szCs w:val="22"/>
            </w:rPr>
            <w:t>0</w:t>
          </w:r>
          <w:r w:rsidR="002529FA" w:rsidRPr="009B2B01">
            <w:rPr>
              <w:rFonts w:ascii="Palatino Linotype" w:hAnsi="Palatino Linotype"/>
              <w:color w:val="auto"/>
              <w:sz w:val="22"/>
              <w:szCs w:val="22"/>
            </w:rPr>
            <w:t>5451</w:t>
          </w:r>
          <w:r w:rsidR="000D392E" w:rsidRPr="009B2B01">
            <w:rPr>
              <w:rFonts w:ascii="Palatino Linotype" w:hAnsi="Palatino Linotype"/>
              <w:color w:val="auto"/>
              <w:sz w:val="22"/>
              <w:szCs w:val="22"/>
            </w:rPr>
            <w:t>/INFOEM/IP/RR/2025</w:t>
          </w:r>
        </w:p>
        <w:p w14:paraId="73933EFA" w14:textId="77777777" w:rsidR="00C4052B" w:rsidRPr="009B2B01" w:rsidRDefault="00C4052B" w:rsidP="007808E0">
          <w:pPr>
            <w:spacing w:after="0" w:line="360" w:lineRule="auto"/>
          </w:pPr>
        </w:p>
        <w:p w14:paraId="56C9EEE4" w14:textId="77777777" w:rsidR="009B2B01" w:rsidRDefault="00C4052B">
          <w:pPr>
            <w:pStyle w:val="TDC1"/>
            <w:tabs>
              <w:tab w:val="right" w:leader="dot" w:pos="8921"/>
            </w:tabs>
            <w:rPr>
              <w:rFonts w:asciiTheme="minorHAnsi" w:eastAsiaTheme="minorEastAsia" w:hAnsiTheme="minorHAnsi" w:cstheme="minorBidi"/>
              <w:noProof/>
              <w:color w:val="auto"/>
            </w:rPr>
          </w:pPr>
          <w:r w:rsidRPr="009B2B01">
            <w:fldChar w:fldCharType="begin"/>
          </w:r>
          <w:r w:rsidRPr="009B2B01">
            <w:instrText xml:space="preserve"> TOC \o "1-3" \h \z \u </w:instrText>
          </w:r>
          <w:r w:rsidRPr="009B2B01">
            <w:fldChar w:fldCharType="separate"/>
          </w:r>
          <w:hyperlink w:anchor="_Toc209097572" w:history="1">
            <w:r w:rsidR="009B2B01" w:rsidRPr="004B368D">
              <w:rPr>
                <w:rStyle w:val="Hipervnculo"/>
                <w:noProof/>
              </w:rPr>
              <w:t>A N T E C E D E N T E S</w:t>
            </w:r>
            <w:r w:rsidR="009B2B01">
              <w:rPr>
                <w:noProof/>
                <w:webHidden/>
              </w:rPr>
              <w:tab/>
            </w:r>
            <w:r w:rsidR="009B2B01">
              <w:rPr>
                <w:noProof/>
                <w:webHidden/>
              </w:rPr>
              <w:fldChar w:fldCharType="begin"/>
            </w:r>
            <w:r w:rsidR="009B2B01">
              <w:rPr>
                <w:noProof/>
                <w:webHidden/>
              </w:rPr>
              <w:instrText xml:space="preserve"> PAGEREF _Toc209097572 \h </w:instrText>
            </w:r>
            <w:r w:rsidR="009B2B01">
              <w:rPr>
                <w:noProof/>
                <w:webHidden/>
              </w:rPr>
            </w:r>
            <w:r w:rsidR="009B2B01">
              <w:rPr>
                <w:noProof/>
                <w:webHidden/>
              </w:rPr>
              <w:fldChar w:fldCharType="separate"/>
            </w:r>
            <w:r w:rsidR="00944226">
              <w:rPr>
                <w:noProof/>
                <w:webHidden/>
              </w:rPr>
              <w:t>2</w:t>
            </w:r>
            <w:r w:rsidR="009B2B01">
              <w:rPr>
                <w:noProof/>
                <w:webHidden/>
              </w:rPr>
              <w:fldChar w:fldCharType="end"/>
            </w:r>
          </w:hyperlink>
        </w:p>
        <w:p w14:paraId="1BDE83A9" w14:textId="77777777" w:rsidR="009B2B01" w:rsidRDefault="000D08FA">
          <w:pPr>
            <w:pStyle w:val="TDC2"/>
            <w:tabs>
              <w:tab w:val="right" w:leader="dot" w:pos="8921"/>
            </w:tabs>
            <w:rPr>
              <w:rFonts w:asciiTheme="minorHAnsi" w:eastAsiaTheme="minorEastAsia" w:hAnsiTheme="minorHAnsi" w:cstheme="minorBidi"/>
              <w:noProof/>
              <w:color w:val="auto"/>
            </w:rPr>
          </w:pPr>
          <w:hyperlink w:anchor="_Toc209097573" w:history="1">
            <w:r w:rsidR="009B2B01" w:rsidRPr="004B368D">
              <w:rPr>
                <w:rStyle w:val="Hipervnculo"/>
                <w:noProof/>
                <w:lang w:eastAsia="es-ES"/>
              </w:rPr>
              <w:t>I. Presentación de la solicitud de información</w:t>
            </w:r>
            <w:r w:rsidR="009B2B01">
              <w:rPr>
                <w:noProof/>
                <w:webHidden/>
              </w:rPr>
              <w:tab/>
            </w:r>
            <w:r w:rsidR="009B2B01">
              <w:rPr>
                <w:noProof/>
                <w:webHidden/>
              </w:rPr>
              <w:fldChar w:fldCharType="begin"/>
            </w:r>
            <w:r w:rsidR="009B2B01">
              <w:rPr>
                <w:noProof/>
                <w:webHidden/>
              </w:rPr>
              <w:instrText xml:space="preserve"> PAGEREF _Toc209097573 \h </w:instrText>
            </w:r>
            <w:r w:rsidR="009B2B01">
              <w:rPr>
                <w:noProof/>
                <w:webHidden/>
              </w:rPr>
            </w:r>
            <w:r w:rsidR="009B2B01">
              <w:rPr>
                <w:noProof/>
                <w:webHidden/>
              </w:rPr>
              <w:fldChar w:fldCharType="separate"/>
            </w:r>
            <w:r w:rsidR="00944226">
              <w:rPr>
                <w:noProof/>
                <w:webHidden/>
              </w:rPr>
              <w:t>2</w:t>
            </w:r>
            <w:r w:rsidR="009B2B01">
              <w:rPr>
                <w:noProof/>
                <w:webHidden/>
              </w:rPr>
              <w:fldChar w:fldCharType="end"/>
            </w:r>
          </w:hyperlink>
        </w:p>
        <w:p w14:paraId="426DB446" w14:textId="77777777" w:rsidR="009B2B01" w:rsidRDefault="000D08FA">
          <w:pPr>
            <w:pStyle w:val="TDC2"/>
            <w:tabs>
              <w:tab w:val="right" w:leader="dot" w:pos="8921"/>
            </w:tabs>
            <w:rPr>
              <w:rFonts w:asciiTheme="minorHAnsi" w:eastAsiaTheme="minorEastAsia" w:hAnsiTheme="minorHAnsi" w:cstheme="minorBidi"/>
              <w:noProof/>
              <w:color w:val="auto"/>
            </w:rPr>
          </w:pPr>
          <w:hyperlink w:anchor="_Toc209097574" w:history="1">
            <w:r w:rsidR="009B2B01" w:rsidRPr="004B368D">
              <w:rPr>
                <w:rStyle w:val="Hipervnculo"/>
                <w:rFonts w:eastAsia="Calibri"/>
                <w:bCs/>
                <w:noProof/>
              </w:rPr>
              <w:t>II. Prórroga para atender la solicitud de información</w:t>
            </w:r>
            <w:r w:rsidR="009B2B01">
              <w:rPr>
                <w:noProof/>
                <w:webHidden/>
              </w:rPr>
              <w:tab/>
            </w:r>
            <w:r w:rsidR="009B2B01">
              <w:rPr>
                <w:noProof/>
                <w:webHidden/>
              </w:rPr>
              <w:fldChar w:fldCharType="begin"/>
            </w:r>
            <w:r w:rsidR="009B2B01">
              <w:rPr>
                <w:noProof/>
                <w:webHidden/>
              </w:rPr>
              <w:instrText xml:space="preserve"> PAGEREF _Toc209097574 \h </w:instrText>
            </w:r>
            <w:r w:rsidR="009B2B01">
              <w:rPr>
                <w:noProof/>
                <w:webHidden/>
              </w:rPr>
            </w:r>
            <w:r w:rsidR="009B2B01">
              <w:rPr>
                <w:noProof/>
                <w:webHidden/>
              </w:rPr>
              <w:fldChar w:fldCharType="separate"/>
            </w:r>
            <w:r w:rsidR="00944226">
              <w:rPr>
                <w:noProof/>
                <w:webHidden/>
              </w:rPr>
              <w:t>3</w:t>
            </w:r>
            <w:r w:rsidR="009B2B01">
              <w:rPr>
                <w:noProof/>
                <w:webHidden/>
              </w:rPr>
              <w:fldChar w:fldCharType="end"/>
            </w:r>
          </w:hyperlink>
        </w:p>
        <w:p w14:paraId="05A9BF05" w14:textId="77777777" w:rsidR="009B2B01" w:rsidRDefault="000D08FA">
          <w:pPr>
            <w:pStyle w:val="TDC2"/>
            <w:tabs>
              <w:tab w:val="right" w:leader="dot" w:pos="8921"/>
            </w:tabs>
            <w:rPr>
              <w:rFonts w:asciiTheme="minorHAnsi" w:eastAsiaTheme="minorEastAsia" w:hAnsiTheme="minorHAnsi" w:cstheme="minorBidi"/>
              <w:noProof/>
              <w:color w:val="auto"/>
            </w:rPr>
          </w:pPr>
          <w:hyperlink w:anchor="_Toc209097575" w:history="1">
            <w:r w:rsidR="009B2B01" w:rsidRPr="004B368D">
              <w:rPr>
                <w:rStyle w:val="Hipervnculo"/>
                <w:rFonts w:cs="Tahoma"/>
                <w:noProof/>
              </w:rPr>
              <w:t>III.</w:t>
            </w:r>
            <w:r w:rsidR="009B2B01" w:rsidRPr="004B368D">
              <w:rPr>
                <w:rStyle w:val="Hipervnculo"/>
                <w:noProof/>
              </w:rPr>
              <w:t xml:space="preserve"> Respuesta del Sujeto Obligado</w:t>
            </w:r>
            <w:r w:rsidR="009B2B01">
              <w:rPr>
                <w:noProof/>
                <w:webHidden/>
              </w:rPr>
              <w:tab/>
            </w:r>
            <w:r w:rsidR="009B2B01">
              <w:rPr>
                <w:noProof/>
                <w:webHidden/>
              </w:rPr>
              <w:fldChar w:fldCharType="begin"/>
            </w:r>
            <w:r w:rsidR="009B2B01">
              <w:rPr>
                <w:noProof/>
                <w:webHidden/>
              </w:rPr>
              <w:instrText xml:space="preserve"> PAGEREF _Toc209097575 \h </w:instrText>
            </w:r>
            <w:r w:rsidR="009B2B01">
              <w:rPr>
                <w:noProof/>
                <w:webHidden/>
              </w:rPr>
            </w:r>
            <w:r w:rsidR="009B2B01">
              <w:rPr>
                <w:noProof/>
                <w:webHidden/>
              </w:rPr>
              <w:fldChar w:fldCharType="separate"/>
            </w:r>
            <w:r w:rsidR="00944226">
              <w:rPr>
                <w:noProof/>
                <w:webHidden/>
              </w:rPr>
              <w:t>3</w:t>
            </w:r>
            <w:r w:rsidR="009B2B01">
              <w:rPr>
                <w:noProof/>
                <w:webHidden/>
              </w:rPr>
              <w:fldChar w:fldCharType="end"/>
            </w:r>
          </w:hyperlink>
        </w:p>
        <w:p w14:paraId="5C11D145" w14:textId="77777777" w:rsidR="009B2B01" w:rsidRDefault="000D08FA">
          <w:pPr>
            <w:pStyle w:val="TDC2"/>
            <w:tabs>
              <w:tab w:val="right" w:leader="dot" w:pos="8921"/>
            </w:tabs>
            <w:rPr>
              <w:rFonts w:asciiTheme="minorHAnsi" w:eastAsiaTheme="minorEastAsia" w:hAnsiTheme="minorHAnsi" w:cstheme="minorBidi"/>
              <w:noProof/>
              <w:color w:val="auto"/>
            </w:rPr>
          </w:pPr>
          <w:hyperlink w:anchor="_Toc209097576" w:history="1">
            <w:r w:rsidR="009B2B01" w:rsidRPr="004B368D">
              <w:rPr>
                <w:rStyle w:val="Hipervnculo"/>
                <w:noProof/>
              </w:rPr>
              <w:t>IV. Interposición del Recurso de Revisión</w:t>
            </w:r>
            <w:r w:rsidR="009B2B01">
              <w:rPr>
                <w:noProof/>
                <w:webHidden/>
              </w:rPr>
              <w:tab/>
            </w:r>
            <w:r w:rsidR="009B2B01">
              <w:rPr>
                <w:noProof/>
                <w:webHidden/>
              </w:rPr>
              <w:fldChar w:fldCharType="begin"/>
            </w:r>
            <w:r w:rsidR="009B2B01">
              <w:rPr>
                <w:noProof/>
                <w:webHidden/>
              </w:rPr>
              <w:instrText xml:space="preserve"> PAGEREF _Toc209097576 \h </w:instrText>
            </w:r>
            <w:r w:rsidR="009B2B01">
              <w:rPr>
                <w:noProof/>
                <w:webHidden/>
              </w:rPr>
            </w:r>
            <w:r w:rsidR="009B2B01">
              <w:rPr>
                <w:noProof/>
                <w:webHidden/>
              </w:rPr>
              <w:fldChar w:fldCharType="separate"/>
            </w:r>
            <w:r w:rsidR="00944226">
              <w:rPr>
                <w:noProof/>
                <w:webHidden/>
              </w:rPr>
              <w:t>4</w:t>
            </w:r>
            <w:r w:rsidR="009B2B01">
              <w:rPr>
                <w:noProof/>
                <w:webHidden/>
              </w:rPr>
              <w:fldChar w:fldCharType="end"/>
            </w:r>
          </w:hyperlink>
        </w:p>
        <w:p w14:paraId="32963595" w14:textId="77777777" w:rsidR="009B2B01" w:rsidRDefault="000D08FA">
          <w:pPr>
            <w:pStyle w:val="TDC2"/>
            <w:tabs>
              <w:tab w:val="right" w:leader="dot" w:pos="8921"/>
            </w:tabs>
            <w:rPr>
              <w:rFonts w:asciiTheme="minorHAnsi" w:eastAsiaTheme="minorEastAsia" w:hAnsiTheme="minorHAnsi" w:cstheme="minorBidi"/>
              <w:noProof/>
              <w:color w:val="auto"/>
            </w:rPr>
          </w:pPr>
          <w:hyperlink w:anchor="_Toc209097577" w:history="1">
            <w:r w:rsidR="009B2B01" w:rsidRPr="004B368D">
              <w:rPr>
                <w:rStyle w:val="Hipervnculo"/>
                <w:noProof/>
              </w:rPr>
              <w:t>V. Trámite del Recurso de Revisión ante este Instituto</w:t>
            </w:r>
            <w:r w:rsidR="009B2B01">
              <w:rPr>
                <w:noProof/>
                <w:webHidden/>
              </w:rPr>
              <w:tab/>
            </w:r>
            <w:r w:rsidR="009B2B01">
              <w:rPr>
                <w:noProof/>
                <w:webHidden/>
              </w:rPr>
              <w:fldChar w:fldCharType="begin"/>
            </w:r>
            <w:r w:rsidR="009B2B01">
              <w:rPr>
                <w:noProof/>
                <w:webHidden/>
              </w:rPr>
              <w:instrText xml:space="preserve"> PAGEREF _Toc209097577 \h </w:instrText>
            </w:r>
            <w:r w:rsidR="009B2B01">
              <w:rPr>
                <w:noProof/>
                <w:webHidden/>
              </w:rPr>
            </w:r>
            <w:r w:rsidR="009B2B01">
              <w:rPr>
                <w:noProof/>
                <w:webHidden/>
              </w:rPr>
              <w:fldChar w:fldCharType="separate"/>
            </w:r>
            <w:r w:rsidR="00944226">
              <w:rPr>
                <w:noProof/>
                <w:webHidden/>
              </w:rPr>
              <w:t>4</w:t>
            </w:r>
            <w:r w:rsidR="009B2B01">
              <w:rPr>
                <w:noProof/>
                <w:webHidden/>
              </w:rPr>
              <w:fldChar w:fldCharType="end"/>
            </w:r>
          </w:hyperlink>
        </w:p>
        <w:p w14:paraId="47927616" w14:textId="77777777" w:rsidR="009B2B01" w:rsidRDefault="000D08FA">
          <w:pPr>
            <w:pStyle w:val="TDC1"/>
            <w:tabs>
              <w:tab w:val="right" w:leader="dot" w:pos="8921"/>
            </w:tabs>
            <w:rPr>
              <w:rFonts w:asciiTheme="minorHAnsi" w:eastAsiaTheme="minorEastAsia" w:hAnsiTheme="minorHAnsi" w:cstheme="minorBidi"/>
              <w:noProof/>
              <w:color w:val="auto"/>
            </w:rPr>
          </w:pPr>
          <w:hyperlink w:anchor="_Toc209097578" w:history="1">
            <w:r w:rsidR="009B2B01" w:rsidRPr="004B368D">
              <w:rPr>
                <w:rStyle w:val="Hipervnculo"/>
                <w:noProof/>
              </w:rPr>
              <w:t>C O N S I D E R A N D O S</w:t>
            </w:r>
            <w:r w:rsidR="009B2B01">
              <w:rPr>
                <w:noProof/>
                <w:webHidden/>
              </w:rPr>
              <w:tab/>
            </w:r>
            <w:r w:rsidR="009B2B01">
              <w:rPr>
                <w:noProof/>
                <w:webHidden/>
              </w:rPr>
              <w:fldChar w:fldCharType="begin"/>
            </w:r>
            <w:r w:rsidR="009B2B01">
              <w:rPr>
                <w:noProof/>
                <w:webHidden/>
              </w:rPr>
              <w:instrText xml:space="preserve"> PAGEREF _Toc209097578 \h </w:instrText>
            </w:r>
            <w:r w:rsidR="009B2B01">
              <w:rPr>
                <w:noProof/>
                <w:webHidden/>
              </w:rPr>
            </w:r>
            <w:r w:rsidR="009B2B01">
              <w:rPr>
                <w:noProof/>
                <w:webHidden/>
              </w:rPr>
              <w:fldChar w:fldCharType="separate"/>
            </w:r>
            <w:r w:rsidR="00944226">
              <w:rPr>
                <w:noProof/>
                <w:webHidden/>
              </w:rPr>
              <w:t>6</w:t>
            </w:r>
            <w:r w:rsidR="009B2B01">
              <w:rPr>
                <w:noProof/>
                <w:webHidden/>
              </w:rPr>
              <w:fldChar w:fldCharType="end"/>
            </w:r>
          </w:hyperlink>
        </w:p>
        <w:p w14:paraId="58C9057A" w14:textId="77777777" w:rsidR="009B2B01" w:rsidRDefault="000D08FA">
          <w:pPr>
            <w:pStyle w:val="TDC2"/>
            <w:tabs>
              <w:tab w:val="right" w:leader="dot" w:pos="8921"/>
            </w:tabs>
            <w:rPr>
              <w:rFonts w:asciiTheme="minorHAnsi" w:eastAsiaTheme="minorEastAsia" w:hAnsiTheme="minorHAnsi" w:cstheme="minorBidi"/>
              <w:noProof/>
              <w:color w:val="auto"/>
            </w:rPr>
          </w:pPr>
          <w:hyperlink w:anchor="_Toc209097579" w:history="1">
            <w:r w:rsidR="009B2B01" w:rsidRPr="004B368D">
              <w:rPr>
                <w:rStyle w:val="Hipervnculo"/>
                <w:noProof/>
              </w:rPr>
              <w:t>PRIMERO. Competencia</w:t>
            </w:r>
            <w:r w:rsidR="009B2B01">
              <w:rPr>
                <w:noProof/>
                <w:webHidden/>
              </w:rPr>
              <w:tab/>
            </w:r>
            <w:r w:rsidR="009B2B01">
              <w:rPr>
                <w:noProof/>
                <w:webHidden/>
              </w:rPr>
              <w:fldChar w:fldCharType="begin"/>
            </w:r>
            <w:r w:rsidR="009B2B01">
              <w:rPr>
                <w:noProof/>
                <w:webHidden/>
              </w:rPr>
              <w:instrText xml:space="preserve"> PAGEREF _Toc209097579 \h </w:instrText>
            </w:r>
            <w:r w:rsidR="009B2B01">
              <w:rPr>
                <w:noProof/>
                <w:webHidden/>
              </w:rPr>
            </w:r>
            <w:r w:rsidR="009B2B01">
              <w:rPr>
                <w:noProof/>
                <w:webHidden/>
              </w:rPr>
              <w:fldChar w:fldCharType="separate"/>
            </w:r>
            <w:r w:rsidR="00944226">
              <w:rPr>
                <w:noProof/>
                <w:webHidden/>
              </w:rPr>
              <w:t>6</w:t>
            </w:r>
            <w:r w:rsidR="009B2B01">
              <w:rPr>
                <w:noProof/>
                <w:webHidden/>
              </w:rPr>
              <w:fldChar w:fldCharType="end"/>
            </w:r>
          </w:hyperlink>
        </w:p>
        <w:p w14:paraId="32E41135" w14:textId="77777777" w:rsidR="009B2B01" w:rsidRDefault="000D08FA">
          <w:pPr>
            <w:pStyle w:val="TDC2"/>
            <w:tabs>
              <w:tab w:val="right" w:leader="dot" w:pos="8921"/>
            </w:tabs>
            <w:rPr>
              <w:rFonts w:asciiTheme="minorHAnsi" w:eastAsiaTheme="minorEastAsia" w:hAnsiTheme="minorHAnsi" w:cstheme="minorBidi"/>
              <w:noProof/>
              <w:color w:val="auto"/>
            </w:rPr>
          </w:pPr>
          <w:hyperlink w:anchor="_Toc209097580" w:history="1">
            <w:r w:rsidR="009B2B01" w:rsidRPr="004B368D">
              <w:rPr>
                <w:rStyle w:val="Hipervnculo"/>
                <w:noProof/>
              </w:rPr>
              <w:t>SEGUNDO. Causales de improcedencia y sobreseimiento</w:t>
            </w:r>
            <w:r w:rsidR="009B2B01">
              <w:rPr>
                <w:noProof/>
                <w:webHidden/>
              </w:rPr>
              <w:tab/>
            </w:r>
            <w:r w:rsidR="009B2B01">
              <w:rPr>
                <w:noProof/>
                <w:webHidden/>
              </w:rPr>
              <w:fldChar w:fldCharType="begin"/>
            </w:r>
            <w:r w:rsidR="009B2B01">
              <w:rPr>
                <w:noProof/>
                <w:webHidden/>
              </w:rPr>
              <w:instrText xml:space="preserve"> PAGEREF _Toc209097580 \h </w:instrText>
            </w:r>
            <w:r w:rsidR="009B2B01">
              <w:rPr>
                <w:noProof/>
                <w:webHidden/>
              </w:rPr>
            </w:r>
            <w:r w:rsidR="009B2B01">
              <w:rPr>
                <w:noProof/>
                <w:webHidden/>
              </w:rPr>
              <w:fldChar w:fldCharType="separate"/>
            </w:r>
            <w:r w:rsidR="00944226">
              <w:rPr>
                <w:noProof/>
                <w:webHidden/>
              </w:rPr>
              <w:t>7</w:t>
            </w:r>
            <w:r w:rsidR="009B2B01">
              <w:rPr>
                <w:noProof/>
                <w:webHidden/>
              </w:rPr>
              <w:fldChar w:fldCharType="end"/>
            </w:r>
          </w:hyperlink>
        </w:p>
        <w:p w14:paraId="7274E9B4" w14:textId="77777777" w:rsidR="009B2B01" w:rsidRDefault="000D08FA">
          <w:pPr>
            <w:pStyle w:val="TDC2"/>
            <w:tabs>
              <w:tab w:val="right" w:leader="dot" w:pos="8921"/>
            </w:tabs>
            <w:rPr>
              <w:rFonts w:asciiTheme="minorHAnsi" w:eastAsiaTheme="minorEastAsia" w:hAnsiTheme="minorHAnsi" w:cstheme="minorBidi"/>
              <w:noProof/>
              <w:color w:val="auto"/>
            </w:rPr>
          </w:pPr>
          <w:hyperlink w:anchor="_Toc209097581" w:history="1">
            <w:r w:rsidR="009B2B01" w:rsidRPr="004B368D">
              <w:rPr>
                <w:rStyle w:val="Hipervnculo"/>
                <w:noProof/>
              </w:rPr>
              <w:t>TERCERO. Determinación de la Controversia</w:t>
            </w:r>
            <w:r w:rsidR="009B2B01">
              <w:rPr>
                <w:noProof/>
                <w:webHidden/>
              </w:rPr>
              <w:tab/>
            </w:r>
            <w:r w:rsidR="009B2B01">
              <w:rPr>
                <w:noProof/>
                <w:webHidden/>
              </w:rPr>
              <w:fldChar w:fldCharType="begin"/>
            </w:r>
            <w:r w:rsidR="009B2B01">
              <w:rPr>
                <w:noProof/>
                <w:webHidden/>
              </w:rPr>
              <w:instrText xml:space="preserve"> PAGEREF _Toc209097581 \h </w:instrText>
            </w:r>
            <w:r w:rsidR="009B2B01">
              <w:rPr>
                <w:noProof/>
                <w:webHidden/>
              </w:rPr>
            </w:r>
            <w:r w:rsidR="009B2B01">
              <w:rPr>
                <w:noProof/>
                <w:webHidden/>
              </w:rPr>
              <w:fldChar w:fldCharType="separate"/>
            </w:r>
            <w:r w:rsidR="00944226">
              <w:rPr>
                <w:noProof/>
                <w:webHidden/>
              </w:rPr>
              <w:t>9</w:t>
            </w:r>
            <w:r w:rsidR="009B2B01">
              <w:rPr>
                <w:noProof/>
                <w:webHidden/>
              </w:rPr>
              <w:fldChar w:fldCharType="end"/>
            </w:r>
          </w:hyperlink>
        </w:p>
        <w:p w14:paraId="0A369B3A" w14:textId="77777777" w:rsidR="009B2B01" w:rsidRDefault="000D08FA">
          <w:pPr>
            <w:pStyle w:val="TDC2"/>
            <w:tabs>
              <w:tab w:val="right" w:leader="dot" w:pos="8921"/>
            </w:tabs>
            <w:rPr>
              <w:rFonts w:asciiTheme="minorHAnsi" w:eastAsiaTheme="minorEastAsia" w:hAnsiTheme="minorHAnsi" w:cstheme="minorBidi"/>
              <w:noProof/>
              <w:color w:val="auto"/>
            </w:rPr>
          </w:pPr>
          <w:hyperlink w:anchor="_Toc209097582" w:history="1">
            <w:r w:rsidR="009B2B01" w:rsidRPr="004B368D">
              <w:rPr>
                <w:rStyle w:val="Hipervnculo"/>
                <w:noProof/>
              </w:rPr>
              <w:t>CUARTO. Marco normativo aplicable en materia de transparencia y acceso a la información pública</w:t>
            </w:r>
            <w:r w:rsidR="009B2B01">
              <w:rPr>
                <w:noProof/>
                <w:webHidden/>
              </w:rPr>
              <w:tab/>
            </w:r>
            <w:r w:rsidR="009B2B01">
              <w:rPr>
                <w:noProof/>
                <w:webHidden/>
              </w:rPr>
              <w:fldChar w:fldCharType="begin"/>
            </w:r>
            <w:r w:rsidR="009B2B01">
              <w:rPr>
                <w:noProof/>
                <w:webHidden/>
              </w:rPr>
              <w:instrText xml:space="preserve"> PAGEREF _Toc209097582 \h </w:instrText>
            </w:r>
            <w:r w:rsidR="009B2B01">
              <w:rPr>
                <w:noProof/>
                <w:webHidden/>
              </w:rPr>
            </w:r>
            <w:r w:rsidR="009B2B01">
              <w:rPr>
                <w:noProof/>
                <w:webHidden/>
              </w:rPr>
              <w:fldChar w:fldCharType="separate"/>
            </w:r>
            <w:r w:rsidR="00944226">
              <w:rPr>
                <w:noProof/>
                <w:webHidden/>
              </w:rPr>
              <w:t>10</w:t>
            </w:r>
            <w:r w:rsidR="009B2B01">
              <w:rPr>
                <w:noProof/>
                <w:webHidden/>
              </w:rPr>
              <w:fldChar w:fldCharType="end"/>
            </w:r>
          </w:hyperlink>
        </w:p>
        <w:p w14:paraId="6BEDA4DC" w14:textId="77777777" w:rsidR="009B2B01" w:rsidRDefault="000D08FA">
          <w:pPr>
            <w:pStyle w:val="TDC2"/>
            <w:tabs>
              <w:tab w:val="right" w:leader="dot" w:pos="8921"/>
            </w:tabs>
            <w:rPr>
              <w:rFonts w:asciiTheme="minorHAnsi" w:eastAsiaTheme="minorEastAsia" w:hAnsiTheme="minorHAnsi" w:cstheme="minorBidi"/>
              <w:noProof/>
              <w:color w:val="auto"/>
            </w:rPr>
          </w:pPr>
          <w:hyperlink w:anchor="_Toc209097583" w:history="1">
            <w:r w:rsidR="009B2B01" w:rsidRPr="004B368D">
              <w:rPr>
                <w:rStyle w:val="Hipervnculo"/>
                <w:noProof/>
              </w:rPr>
              <w:t>QUINTO. Estudio de Fondo</w:t>
            </w:r>
            <w:r w:rsidR="009B2B01">
              <w:rPr>
                <w:noProof/>
                <w:webHidden/>
              </w:rPr>
              <w:tab/>
            </w:r>
            <w:r w:rsidR="009B2B01">
              <w:rPr>
                <w:noProof/>
                <w:webHidden/>
              </w:rPr>
              <w:fldChar w:fldCharType="begin"/>
            </w:r>
            <w:r w:rsidR="009B2B01">
              <w:rPr>
                <w:noProof/>
                <w:webHidden/>
              </w:rPr>
              <w:instrText xml:space="preserve"> PAGEREF _Toc209097583 \h </w:instrText>
            </w:r>
            <w:r w:rsidR="009B2B01">
              <w:rPr>
                <w:noProof/>
                <w:webHidden/>
              </w:rPr>
            </w:r>
            <w:r w:rsidR="009B2B01">
              <w:rPr>
                <w:noProof/>
                <w:webHidden/>
              </w:rPr>
              <w:fldChar w:fldCharType="separate"/>
            </w:r>
            <w:r w:rsidR="00944226">
              <w:rPr>
                <w:noProof/>
                <w:webHidden/>
              </w:rPr>
              <w:t>11</w:t>
            </w:r>
            <w:r w:rsidR="009B2B01">
              <w:rPr>
                <w:noProof/>
                <w:webHidden/>
              </w:rPr>
              <w:fldChar w:fldCharType="end"/>
            </w:r>
          </w:hyperlink>
        </w:p>
        <w:p w14:paraId="16DA6CE2" w14:textId="77777777" w:rsidR="009B2B01" w:rsidRDefault="000D08FA">
          <w:pPr>
            <w:pStyle w:val="TDC2"/>
            <w:tabs>
              <w:tab w:val="right" w:leader="dot" w:pos="8921"/>
            </w:tabs>
            <w:rPr>
              <w:rFonts w:asciiTheme="minorHAnsi" w:eastAsiaTheme="minorEastAsia" w:hAnsiTheme="minorHAnsi" w:cstheme="minorBidi"/>
              <w:noProof/>
              <w:color w:val="auto"/>
            </w:rPr>
          </w:pPr>
          <w:hyperlink w:anchor="_Toc209097584" w:history="1">
            <w:r w:rsidR="009B2B01" w:rsidRPr="004B368D">
              <w:rPr>
                <w:rStyle w:val="Hipervnculo"/>
                <w:noProof/>
              </w:rPr>
              <w:t>SEXTO. Decisión</w:t>
            </w:r>
            <w:r w:rsidR="009B2B01">
              <w:rPr>
                <w:noProof/>
                <w:webHidden/>
              </w:rPr>
              <w:tab/>
            </w:r>
            <w:r w:rsidR="009B2B01">
              <w:rPr>
                <w:noProof/>
                <w:webHidden/>
              </w:rPr>
              <w:fldChar w:fldCharType="begin"/>
            </w:r>
            <w:r w:rsidR="009B2B01">
              <w:rPr>
                <w:noProof/>
                <w:webHidden/>
              </w:rPr>
              <w:instrText xml:space="preserve"> PAGEREF _Toc209097584 \h </w:instrText>
            </w:r>
            <w:r w:rsidR="009B2B01">
              <w:rPr>
                <w:noProof/>
                <w:webHidden/>
              </w:rPr>
            </w:r>
            <w:r w:rsidR="009B2B01">
              <w:rPr>
                <w:noProof/>
                <w:webHidden/>
              </w:rPr>
              <w:fldChar w:fldCharType="separate"/>
            </w:r>
            <w:r w:rsidR="00944226">
              <w:rPr>
                <w:noProof/>
                <w:webHidden/>
              </w:rPr>
              <w:t>36</w:t>
            </w:r>
            <w:r w:rsidR="009B2B01">
              <w:rPr>
                <w:noProof/>
                <w:webHidden/>
              </w:rPr>
              <w:fldChar w:fldCharType="end"/>
            </w:r>
          </w:hyperlink>
        </w:p>
        <w:p w14:paraId="548FCF60" w14:textId="77777777" w:rsidR="009B2B01" w:rsidRDefault="000D08FA">
          <w:pPr>
            <w:pStyle w:val="TDC1"/>
            <w:tabs>
              <w:tab w:val="right" w:leader="dot" w:pos="8921"/>
            </w:tabs>
            <w:rPr>
              <w:rFonts w:asciiTheme="minorHAnsi" w:eastAsiaTheme="minorEastAsia" w:hAnsiTheme="minorHAnsi" w:cstheme="minorBidi"/>
              <w:noProof/>
              <w:color w:val="auto"/>
            </w:rPr>
          </w:pPr>
          <w:hyperlink w:anchor="_Toc209097585" w:history="1">
            <w:r w:rsidR="009B2B01" w:rsidRPr="004B368D">
              <w:rPr>
                <w:rStyle w:val="Hipervnculo"/>
                <w:noProof/>
              </w:rPr>
              <w:t>R E S U E L V E</w:t>
            </w:r>
            <w:r w:rsidR="009B2B01">
              <w:rPr>
                <w:noProof/>
                <w:webHidden/>
              </w:rPr>
              <w:tab/>
            </w:r>
            <w:r w:rsidR="009B2B01">
              <w:rPr>
                <w:noProof/>
                <w:webHidden/>
              </w:rPr>
              <w:fldChar w:fldCharType="begin"/>
            </w:r>
            <w:r w:rsidR="009B2B01">
              <w:rPr>
                <w:noProof/>
                <w:webHidden/>
              </w:rPr>
              <w:instrText xml:space="preserve"> PAGEREF _Toc209097585 \h </w:instrText>
            </w:r>
            <w:r w:rsidR="009B2B01">
              <w:rPr>
                <w:noProof/>
                <w:webHidden/>
              </w:rPr>
            </w:r>
            <w:r w:rsidR="009B2B01">
              <w:rPr>
                <w:noProof/>
                <w:webHidden/>
              </w:rPr>
              <w:fldChar w:fldCharType="separate"/>
            </w:r>
            <w:r w:rsidR="00944226">
              <w:rPr>
                <w:noProof/>
                <w:webHidden/>
              </w:rPr>
              <w:t>37</w:t>
            </w:r>
            <w:r w:rsidR="009B2B01">
              <w:rPr>
                <w:noProof/>
                <w:webHidden/>
              </w:rPr>
              <w:fldChar w:fldCharType="end"/>
            </w:r>
          </w:hyperlink>
        </w:p>
        <w:p w14:paraId="5B9D6C11" w14:textId="331DCCD6" w:rsidR="00C4052B" w:rsidRPr="009B2B01" w:rsidRDefault="00C4052B" w:rsidP="007808E0">
          <w:pPr>
            <w:spacing w:after="0" w:line="360" w:lineRule="auto"/>
          </w:pPr>
          <w:r w:rsidRPr="009B2B01">
            <w:rPr>
              <w:b/>
              <w:bCs/>
              <w:lang w:val="es-ES"/>
            </w:rPr>
            <w:fldChar w:fldCharType="end"/>
          </w:r>
        </w:p>
      </w:sdtContent>
    </w:sdt>
    <w:p w14:paraId="57481942" w14:textId="77777777" w:rsidR="00C4052B" w:rsidRPr="009B2B01" w:rsidRDefault="00C4052B" w:rsidP="007808E0">
      <w:pPr>
        <w:tabs>
          <w:tab w:val="left" w:pos="8931"/>
        </w:tabs>
        <w:spacing w:after="0" w:line="360" w:lineRule="auto"/>
      </w:pPr>
    </w:p>
    <w:p w14:paraId="411B5995" w14:textId="77777777" w:rsidR="00C4052B" w:rsidRPr="009B2B01" w:rsidRDefault="00C4052B" w:rsidP="007808E0">
      <w:pPr>
        <w:tabs>
          <w:tab w:val="left" w:pos="8931"/>
        </w:tabs>
        <w:spacing w:after="0" w:line="360" w:lineRule="auto"/>
      </w:pPr>
    </w:p>
    <w:p w14:paraId="6784625D" w14:textId="77777777" w:rsidR="00C4052B" w:rsidRPr="009B2B01" w:rsidRDefault="00C4052B" w:rsidP="007808E0">
      <w:pPr>
        <w:tabs>
          <w:tab w:val="left" w:pos="8931"/>
        </w:tabs>
        <w:spacing w:after="0" w:line="360" w:lineRule="auto"/>
      </w:pPr>
    </w:p>
    <w:p w14:paraId="140888DD" w14:textId="77777777" w:rsidR="00C4052B" w:rsidRPr="009B2B01" w:rsidRDefault="00C4052B" w:rsidP="007808E0">
      <w:pPr>
        <w:tabs>
          <w:tab w:val="left" w:pos="8931"/>
        </w:tabs>
        <w:spacing w:after="0" w:line="360" w:lineRule="auto"/>
      </w:pPr>
    </w:p>
    <w:p w14:paraId="46268890" w14:textId="77777777" w:rsidR="00C4052B" w:rsidRPr="009B2B01" w:rsidRDefault="00C4052B" w:rsidP="007808E0">
      <w:pPr>
        <w:tabs>
          <w:tab w:val="left" w:pos="8931"/>
        </w:tabs>
        <w:spacing w:after="0" w:line="360" w:lineRule="auto"/>
      </w:pPr>
    </w:p>
    <w:p w14:paraId="147CC638" w14:textId="77777777" w:rsidR="00C4052B" w:rsidRPr="009B2B01" w:rsidRDefault="00C4052B" w:rsidP="007808E0">
      <w:pPr>
        <w:tabs>
          <w:tab w:val="left" w:pos="8931"/>
        </w:tabs>
        <w:spacing w:after="0" w:line="360" w:lineRule="auto"/>
      </w:pPr>
    </w:p>
    <w:p w14:paraId="01BB5716" w14:textId="77777777" w:rsidR="00C4052B" w:rsidRPr="009B2B01" w:rsidRDefault="00C4052B" w:rsidP="007808E0">
      <w:pPr>
        <w:tabs>
          <w:tab w:val="left" w:pos="8931"/>
        </w:tabs>
        <w:spacing w:after="0" w:line="360" w:lineRule="auto"/>
      </w:pPr>
    </w:p>
    <w:p w14:paraId="62C1CEC9" w14:textId="77777777" w:rsidR="00C4052B" w:rsidRPr="009B2B01" w:rsidRDefault="00C4052B" w:rsidP="007808E0">
      <w:pPr>
        <w:tabs>
          <w:tab w:val="left" w:pos="8931"/>
        </w:tabs>
        <w:spacing w:after="0" w:line="360" w:lineRule="auto"/>
      </w:pPr>
    </w:p>
    <w:p w14:paraId="7F38981D" w14:textId="77777777" w:rsidR="00A55E82" w:rsidRPr="009B2B01" w:rsidRDefault="00A55E82" w:rsidP="007808E0">
      <w:pPr>
        <w:tabs>
          <w:tab w:val="left" w:pos="8931"/>
        </w:tabs>
        <w:spacing w:after="0" w:line="360" w:lineRule="auto"/>
      </w:pPr>
    </w:p>
    <w:p w14:paraId="6E6C2561" w14:textId="77777777" w:rsidR="00D61CB8" w:rsidRPr="009B2B01" w:rsidRDefault="00D61CB8" w:rsidP="007808E0">
      <w:pPr>
        <w:tabs>
          <w:tab w:val="left" w:pos="8931"/>
        </w:tabs>
        <w:spacing w:after="0" w:line="360" w:lineRule="auto"/>
      </w:pPr>
    </w:p>
    <w:p w14:paraId="3FB7EB5E" w14:textId="76B10149" w:rsidR="005C690F" w:rsidRPr="009B2B01" w:rsidRDefault="007D6307" w:rsidP="007808E0">
      <w:pPr>
        <w:tabs>
          <w:tab w:val="left" w:pos="8931"/>
        </w:tabs>
        <w:spacing w:after="0" w:line="360" w:lineRule="auto"/>
      </w:pPr>
      <w:r w:rsidRPr="009B2B01">
        <w:t xml:space="preserve">Resolución del Pleno del Instituto de Transparencia, Acceso a la Información Pública y Protección de Datos Personales del Estado de México y Municipios, con domicilio en Metepec, Estado de México, de </w:t>
      </w:r>
      <w:r w:rsidR="00EF0C39" w:rsidRPr="009B2B01">
        <w:t xml:space="preserve">fecha </w:t>
      </w:r>
      <w:r w:rsidR="00D768A4" w:rsidRPr="009B2B01">
        <w:t>die</w:t>
      </w:r>
      <w:r w:rsidR="00B1750B" w:rsidRPr="009B2B01">
        <w:t>ciocho</w:t>
      </w:r>
      <w:r w:rsidR="000B40C7" w:rsidRPr="009B2B01">
        <w:t xml:space="preserve"> de </w:t>
      </w:r>
      <w:r w:rsidR="00A02DDB" w:rsidRPr="009B2B01">
        <w:t>septiembre</w:t>
      </w:r>
      <w:r w:rsidR="00CF7AA5" w:rsidRPr="009B2B01">
        <w:t xml:space="preserve"> </w:t>
      </w:r>
      <w:r w:rsidR="00945CB8" w:rsidRPr="009B2B01">
        <w:t>de dos mil veintic</w:t>
      </w:r>
      <w:r w:rsidR="00C11A18" w:rsidRPr="009B2B01">
        <w:t>inco</w:t>
      </w:r>
      <w:r w:rsidRPr="009B2B01">
        <w:t xml:space="preserve">. </w:t>
      </w:r>
    </w:p>
    <w:p w14:paraId="0DCD3B82" w14:textId="77777777" w:rsidR="005C690F" w:rsidRPr="009B2B01" w:rsidRDefault="005C690F" w:rsidP="007808E0">
      <w:pPr>
        <w:spacing w:after="0" w:line="360" w:lineRule="auto"/>
        <w:rPr>
          <w:b/>
        </w:rPr>
      </w:pPr>
    </w:p>
    <w:p w14:paraId="1570B336" w14:textId="5C7941B6" w:rsidR="005C690F" w:rsidRPr="009B2B01" w:rsidRDefault="007D6307" w:rsidP="007808E0">
      <w:pPr>
        <w:spacing w:after="0" w:line="360" w:lineRule="auto"/>
        <w:rPr>
          <w:color w:val="0D0D0D"/>
        </w:rPr>
      </w:pPr>
      <w:r w:rsidRPr="009B2B01">
        <w:rPr>
          <w:b/>
        </w:rPr>
        <w:t xml:space="preserve">VISTO </w:t>
      </w:r>
      <w:r w:rsidRPr="009B2B01">
        <w:t xml:space="preserve">el expediente electrónico conformado con motivo del Recurso de Revisión </w:t>
      </w:r>
      <w:r w:rsidR="00EE1006" w:rsidRPr="00D11675">
        <w:rPr>
          <w:b/>
          <w:bCs/>
        </w:rPr>
        <w:t>0</w:t>
      </w:r>
      <w:r w:rsidR="002529FA" w:rsidRPr="00D11675">
        <w:rPr>
          <w:b/>
          <w:bCs/>
        </w:rPr>
        <w:t>5451</w:t>
      </w:r>
      <w:r w:rsidR="000D392E" w:rsidRPr="00D11675">
        <w:rPr>
          <w:b/>
          <w:bCs/>
        </w:rPr>
        <w:t>/INFOEM/IP/RR/2025</w:t>
      </w:r>
      <w:r w:rsidRPr="009B2B01">
        <w:rPr>
          <w:bCs/>
        </w:rPr>
        <w:t xml:space="preserve">, interpuesto </w:t>
      </w:r>
      <w:r w:rsidR="008415EA" w:rsidRPr="009B2B01">
        <w:rPr>
          <w:bCs/>
        </w:rPr>
        <w:t>por</w:t>
      </w:r>
      <w:r w:rsidR="00EE1006" w:rsidRPr="009B2B01">
        <w:rPr>
          <w:bCs/>
        </w:rPr>
        <w:t xml:space="preserve"> </w:t>
      </w:r>
      <w:r w:rsidR="00D906B2" w:rsidRPr="009B2B01">
        <w:rPr>
          <w:bCs/>
        </w:rPr>
        <w:t>la persona</w:t>
      </w:r>
      <w:r w:rsidRPr="009B2B01">
        <w:rPr>
          <w:bCs/>
        </w:rPr>
        <w:t xml:space="preserve"> </w:t>
      </w:r>
      <w:r w:rsidRPr="009B2B01">
        <w:rPr>
          <w:bCs/>
          <w:color w:val="0D0D0D"/>
        </w:rPr>
        <w:t>Recurrente o Particular, en contra de la respuesta del Sujeto Obligado</w:t>
      </w:r>
      <w:r w:rsidR="00705FBB" w:rsidRPr="009B2B01">
        <w:rPr>
          <w:bCs/>
          <w:color w:val="0D0D0D"/>
        </w:rPr>
        <w:t xml:space="preserve">, </w:t>
      </w:r>
      <w:bookmarkStart w:id="0" w:name="_GoBack"/>
      <w:r w:rsidR="008246F7" w:rsidRPr="00D11675">
        <w:rPr>
          <w:b/>
        </w:rPr>
        <w:t>Ayuntamiento d</w:t>
      </w:r>
      <w:r w:rsidR="00EC7CBF" w:rsidRPr="00D11675">
        <w:rPr>
          <w:b/>
        </w:rPr>
        <w:t xml:space="preserve">e </w:t>
      </w:r>
      <w:r w:rsidR="00322E84" w:rsidRPr="00D11675">
        <w:rPr>
          <w:b/>
        </w:rPr>
        <w:t>T</w:t>
      </w:r>
      <w:r w:rsidR="002529FA" w:rsidRPr="00D11675">
        <w:rPr>
          <w:b/>
        </w:rPr>
        <w:t>oluca</w:t>
      </w:r>
      <w:bookmarkEnd w:id="0"/>
      <w:r w:rsidR="00EF0C39" w:rsidRPr="009B2B01">
        <w:rPr>
          <w:bCs/>
        </w:rPr>
        <w:t>,</w:t>
      </w:r>
      <w:r w:rsidRPr="009B2B01">
        <w:rPr>
          <w:bCs/>
          <w:color w:val="0D0D0D"/>
        </w:rPr>
        <w:t xml:space="preserve"> </w:t>
      </w:r>
      <w:r w:rsidRPr="009B2B01">
        <w:rPr>
          <w:color w:val="0D0D0D"/>
        </w:rPr>
        <w:t>a la solicitud de acceso a la información pública</w:t>
      </w:r>
      <w:r w:rsidR="00800641" w:rsidRPr="009B2B01">
        <w:rPr>
          <w:color w:val="0D0D0D"/>
        </w:rPr>
        <w:t xml:space="preserve"> </w:t>
      </w:r>
      <w:r w:rsidR="00D768A4" w:rsidRPr="009B2B01">
        <w:t>0</w:t>
      </w:r>
      <w:r w:rsidR="002529FA" w:rsidRPr="009B2B01">
        <w:t>1492</w:t>
      </w:r>
      <w:r w:rsidR="00EE1006" w:rsidRPr="009B2B01">
        <w:t>/</w:t>
      </w:r>
      <w:r w:rsidR="00322E84" w:rsidRPr="009B2B01">
        <w:t>T</w:t>
      </w:r>
      <w:r w:rsidR="002529FA" w:rsidRPr="009B2B01">
        <w:t>OLUCA</w:t>
      </w:r>
      <w:r w:rsidR="000D392E" w:rsidRPr="009B2B01">
        <w:t>/IP/2025</w:t>
      </w:r>
      <w:r w:rsidRPr="009B2B01">
        <w:rPr>
          <w:color w:val="000000"/>
        </w:rPr>
        <w:t xml:space="preserve">, </w:t>
      </w:r>
      <w:r w:rsidRPr="009B2B01">
        <w:rPr>
          <w:color w:val="0D0D0D"/>
        </w:rPr>
        <w:t>se emite la presente Resolución, con base en los Antecedentes y Considerandos que se exponen a continuación:</w:t>
      </w:r>
    </w:p>
    <w:p w14:paraId="1F97CEF3" w14:textId="77777777" w:rsidR="005C690F" w:rsidRPr="009B2B01" w:rsidRDefault="005C690F" w:rsidP="007808E0">
      <w:pPr>
        <w:spacing w:after="0" w:line="360" w:lineRule="auto"/>
        <w:rPr>
          <w:b/>
        </w:rPr>
      </w:pPr>
    </w:p>
    <w:p w14:paraId="1DEAF9D3" w14:textId="24D35555" w:rsidR="005C690F" w:rsidRPr="009B2B01" w:rsidRDefault="00CD6238" w:rsidP="007808E0">
      <w:pPr>
        <w:pStyle w:val="Ttulo1"/>
        <w:spacing w:before="0" w:after="0" w:line="360" w:lineRule="auto"/>
        <w:jc w:val="center"/>
        <w:rPr>
          <w:sz w:val="22"/>
          <w:szCs w:val="22"/>
        </w:rPr>
      </w:pPr>
      <w:bookmarkStart w:id="1" w:name="_Toc209097572"/>
      <w:r w:rsidRPr="009B2B01">
        <w:rPr>
          <w:sz w:val="22"/>
          <w:szCs w:val="22"/>
        </w:rPr>
        <w:t>A N T E C E D E N T E S</w:t>
      </w:r>
      <w:bookmarkEnd w:id="1"/>
    </w:p>
    <w:p w14:paraId="5A7EDA4F" w14:textId="77777777" w:rsidR="005C690F" w:rsidRPr="009B2B01" w:rsidRDefault="005C690F" w:rsidP="007808E0">
      <w:pPr>
        <w:spacing w:after="0" w:line="360" w:lineRule="auto"/>
        <w:jc w:val="center"/>
        <w:rPr>
          <w:b/>
        </w:rPr>
      </w:pPr>
    </w:p>
    <w:p w14:paraId="4930DAB9" w14:textId="701611A7" w:rsidR="00E22EA8" w:rsidRPr="009B2B01" w:rsidRDefault="009215C2" w:rsidP="007808E0">
      <w:pPr>
        <w:pStyle w:val="Ttulo2"/>
        <w:spacing w:before="0" w:after="0" w:line="360" w:lineRule="auto"/>
        <w:rPr>
          <w:sz w:val="22"/>
          <w:szCs w:val="22"/>
          <w:lang w:eastAsia="es-ES"/>
        </w:rPr>
      </w:pPr>
      <w:bookmarkStart w:id="2" w:name="_Toc209097573"/>
      <w:r w:rsidRPr="009B2B01">
        <w:rPr>
          <w:sz w:val="22"/>
          <w:szCs w:val="22"/>
          <w:lang w:eastAsia="es-ES"/>
        </w:rPr>
        <w:t xml:space="preserve">I. </w:t>
      </w:r>
      <w:r w:rsidR="00E22EA8" w:rsidRPr="009B2B01">
        <w:rPr>
          <w:sz w:val="22"/>
          <w:szCs w:val="22"/>
          <w:lang w:eastAsia="es-ES"/>
        </w:rPr>
        <w:t>Presentación de la solicitud de información</w:t>
      </w:r>
      <w:bookmarkEnd w:id="2"/>
    </w:p>
    <w:p w14:paraId="63A20E25" w14:textId="77777777" w:rsidR="009215C2" w:rsidRPr="009B2B01" w:rsidRDefault="009215C2" w:rsidP="007808E0">
      <w:pPr>
        <w:tabs>
          <w:tab w:val="left" w:pos="567"/>
        </w:tabs>
        <w:spacing w:after="0" w:line="360" w:lineRule="auto"/>
        <w:rPr>
          <w:rFonts w:eastAsia="Times New Roman" w:cs="Tahoma"/>
          <w:lang w:eastAsia="es-ES"/>
        </w:rPr>
      </w:pPr>
    </w:p>
    <w:p w14:paraId="301B8A4E" w14:textId="4D91E795" w:rsidR="00E22EA8" w:rsidRPr="009B2B01" w:rsidRDefault="00D906B2" w:rsidP="007808E0">
      <w:pPr>
        <w:spacing w:after="0" w:line="360" w:lineRule="auto"/>
        <w:rPr>
          <w:rFonts w:eastAsia="Times New Roman" w:cs="Tahoma"/>
          <w:lang w:eastAsia="es-ES"/>
        </w:rPr>
      </w:pPr>
      <w:r w:rsidRPr="009B2B01">
        <w:rPr>
          <w:rFonts w:eastAsia="Times New Roman" w:cs="Tahoma"/>
          <w:lang w:eastAsia="es-ES"/>
        </w:rPr>
        <w:t>El</w:t>
      </w:r>
      <w:r w:rsidR="00D52EC1" w:rsidRPr="009B2B01">
        <w:rPr>
          <w:rFonts w:eastAsia="Times New Roman" w:cs="Tahoma"/>
          <w:lang w:eastAsia="es-ES"/>
        </w:rPr>
        <w:t xml:space="preserve"> </w:t>
      </w:r>
      <w:r w:rsidR="002529FA" w:rsidRPr="009B2B01">
        <w:rPr>
          <w:rFonts w:eastAsia="Times New Roman" w:cs="Tahoma"/>
          <w:lang w:eastAsia="es-ES"/>
        </w:rPr>
        <w:t>once de marzo</w:t>
      </w:r>
      <w:r w:rsidR="00A41789" w:rsidRPr="009B2B01">
        <w:rPr>
          <w:rFonts w:eastAsia="Times New Roman" w:cs="Tahoma"/>
          <w:lang w:eastAsia="es-ES"/>
        </w:rPr>
        <w:t xml:space="preserve"> </w:t>
      </w:r>
      <w:r w:rsidR="008E0DC4" w:rsidRPr="009B2B01">
        <w:rPr>
          <w:rFonts w:eastAsia="Times New Roman" w:cs="Tahoma"/>
          <w:lang w:eastAsia="es-ES"/>
        </w:rPr>
        <w:t>de dos mil veinticinco</w:t>
      </w:r>
      <w:r w:rsidR="00BF362A" w:rsidRPr="009B2B01">
        <w:rPr>
          <w:rFonts w:eastAsia="Times New Roman" w:cs="Tahoma"/>
          <w:lang w:eastAsia="es-ES"/>
        </w:rPr>
        <w:t xml:space="preserve">, </w:t>
      </w:r>
      <w:r w:rsidR="00E22EA8" w:rsidRPr="009B2B01">
        <w:rPr>
          <w:rFonts w:eastAsia="Times New Roman" w:cs="Tahoma"/>
          <w:lang w:eastAsia="es-ES"/>
        </w:rPr>
        <w:t>el Particular presentó una solicitud de acceso a la información pública, a través del Sistema de Acceso a la Información Mexiquense (SAIMEX), ante</w:t>
      </w:r>
      <w:r w:rsidR="000B3C56" w:rsidRPr="009B2B01">
        <w:rPr>
          <w:rFonts w:eastAsia="Times New Roman" w:cs="Tahoma"/>
          <w:lang w:eastAsia="es-ES"/>
        </w:rPr>
        <w:t xml:space="preserve"> </w:t>
      </w:r>
      <w:r w:rsidR="00DC175C" w:rsidRPr="009B2B01">
        <w:rPr>
          <w:rFonts w:eastAsia="Times New Roman" w:cs="Tahoma"/>
          <w:lang w:eastAsia="es-ES"/>
        </w:rPr>
        <w:t>el</w:t>
      </w:r>
      <w:r w:rsidR="008246F7" w:rsidRPr="009B2B01">
        <w:t xml:space="preserve"> Ayuntamiento de </w:t>
      </w:r>
      <w:r w:rsidR="00322E84" w:rsidRPr="009B2B01">
        <w:t>T</w:t>
      </w:r>
      <w:r w:rsidR="002529FA" w:rsidRPr="009B2B01">
        <w:t>oluca</w:t>
      </w:r>
      <w:r w:rsidR="008E0DC4" w:rsidRPr="009B2B01">
        <w:rPr>
          <w:rFonts w:eastAsia="Calibri" w:cs="Times New Roman"/>
          <w:color w:val="000000"/>
        </w:rPr>
        <w:t>,</w:t>
      </w:r>
      <w:r w:rsidR="00DC175C" w:rsidRPr="009B2B01">
        <w:rPr>
          <w:rFonts w:eastAsia="Calibri" w:cs="Tahoma"/>
        </w:rPr>
        <w:t xml:space="preserve"> </w:t>
      </w:r>
      <w:r w:rsidR="00E22EA8" w:rsidRPr="009B2B01">
        <w:rPr>
          <w:rFonts w:eastAsia="Calibri" w:cs="Tahoma"/>
        </w:rPr>
        <w:t xml:space="preserve">en los siguientes términos: </w:t>
      </w:r>
    </w:p>
    <w:p w14:paraId="2B959865" w14:textId="77777777" w:rsidR="00E22EA8" w:rsidRPr="009B2B01" w:rsidRDefault="00E22EA8" w:rsidP="007808E0">
      <w:pPr>
        <w:spacing w:after="0" w:line="360" w:lineRule="auto"/>
        <w:rPr>
          <w:rFonts w:eastAsia="Calibri" w:cs="Tahoma"/>
        </w:rPr>
      </w:pPr>
    </w:p>
    <w:p w14:paraId="3FBC9D66" w14:textId="0F26255C" w:rsidR="00A41789" w:rsidRPr="009B2B01" w:rsidRDefault="00125F26" w:rsidP="007808E0">
      <w:pPr>
        <w:tabs>
          <w:tab w:val="left" w:pos="4667"/>
        </w:tabs>
        <w:spacing w:after="0" w:line="360" w:lineRule="auto"/>
        <w:ind w:left="567" w:right="567"/>
        <w:rPr>
          <w:rFonts w:eastAsia="Times New Roman" w:cs="Tahoma"/>
          <w:b/>
          <w:i/>
          <w:iCs/>
          <w:sz w:val="20"/>
          <w:szCs w:val="20"/>
          <w:lang w:eastAsia="es-ES"/>
        </w:rPr>
      </w:pPr>
      <w:r w:rsidRPr="009B2B01">
        <w:rPr>
          <w:rFonts w:eastAsia="Times New Roman" w:cs="Tahoma"/>
          <w:b/>
          <w:i/>
          <w:iCs/>
          <w:sz w:val="20"/>
          <w:szCs w:val="20"/>
          <w:lang w:eastAsia="es-ES"/>
        </w:rPr>
        <w:t>“</w:t>
      </w:r>
      <w:r w:rsidR="00E22EA8" w:rsidRPr="009B2B01">
        <w:rPr>
          <w:rFonts w:eastAsia="Times New Roman" w:cs="Tahoma"/>
          <w:b/>
          <w:i/>
          <w:iCs/>
          <w:sz w:val="20"/>
          <w:szCs w:val="20"/>
          <w:lang w:eastAsia="es-ES"/>
        </w:rPr>
        <w:t>DESCRIPCIÓN CLARA Y PRECI</w:t>
      </w:r>
      <w:r w:rsidR="0084143D" w:rsidRPr="009B2B01">
        <w:rPr>
          <w:rFonts w:eastAsia="Times New Roman" w:cs="Tahoma"/>
          <w:b/>
          <w:i/>
          <w:iCs/>
          <w:sz w:val="20"/>
          <w:szCs w:val="20"/>
          <w:lang w:eastAsia="es-ES"/>
        </w:rPr>
        <w:t xml:space="preserve">SA DE LA </w:t>
      </w:r>
      <w:r w:rsidR="00A41789" w:rsidRPr="009B2B01">
        <w:rPr>
          <w:rFonts w:eastAsia="Times New Roman" w:cs="Tahoma"/>
          <w:b/>
          <w:i/>
          <w:iCs/>
          <w:sz w:val="20"/>
          <w:szCs w:val="20"/>
          <w:lang w:eastAsia="es-ES"/>
        </w:rPr>
        <w:t>INFORMACIÓN SOLICITADA</w:t>
      </w:r>
    </w:p>
    <w:p w14:paraId="2C6BC213" w14:textId="1A1E7A7C" w:rsidR="00E22EA8" w:rsidRPr="009B2B01" w:rsidRDefault="002529FA" w:rsidP="007808E0">
      <w:pPr>
        <w:tabs>
          <w:tab w:val="left" w:pos="4667"/>
        </w:tabs>
        <w:spacing w:after="0" w:line="360" w:lineRule="auto"/>
        <w:ind w:left="567" w:right="567"/>
        <w:rPr>
          <w:rFonts w:eastAsia="Times New Roman" w:cs="Tahoma"/>
          <w:bCs/>
          <w:i/>
          <w:iCs/>
          <w:sz w:val="20"/>
          <w:szCs w:val="20"/>
          <w:lang w:eastAsia="es-ES"/>
        </w:rPr>
      </w:pPr>
      <w:r w:rsidRPr="009B2B01">
        <w:rPr>
          <w:i/>
          <w:iCs/>
          <w:sz w:val="20"/>
          <w:szCs w:val="20"/>
        </w:rPr>
        <w:t>Los visto buenos y autorizaciones emitidas por protección civil en los últimos 20 meses hasta hoy</w:t>
      </w:r>
      <w:r w:rsidR="009215C2" w:rsidRPr="009B2B01">
        <w:rPr>
          <w:i/>
          <w:iCs/>
          <w:sz w:val="20"/>
          <w:szCs w:val="20"/>
        </w:rPr>
        <w:t>”</w:t>
      </w:r>
      <w:r w:rsidR="00857C17" w:rsidRPr="009B2B01">
        <w:rPr>
          <w:i/>
          <w:iCs/>
          <w:sz w:val="20"/>
          <w:szCs w:val="20"/>
        </w:rPr>
        <w:t xml:space="preserve"> (Sic.)</w:t>
      </w:r>
    </w:p>
    <w:p w14:paraId="5E88ED39" w14:textId="77777777" w:rsidR="00BF362A" w:rsidRPr="009B2B01" w:rsidRDefault="00BF362A" w:rsidP="007808E0">
      <w:pPr>
        <w:tabs>
          <w:tab w:val="left" w:pos="4667"/>
        </w:tabs>
        <w:spacing w:after="0" w:line="360" w:lineRule="auto"/>
        <w:ind w:left="567" w:right="567"/>
        <w:rPr>
          <w:rFonts w:eastAsia="Times New Roman" w:cs="Tahoma"/>
          <w:b/>
          <w:bCs/>
          <w:i/>
          <w:iCs/>
          <w:sz w:val="20"/>
          <w:lang w:eastAsia="es-ES"/>
        </w:rPr>
      </w:pPr>
    </w:p>
    <w:p w14:paraId="6C0DE105" w14:textId="3FEE2196" w:rsidR="00E22EA8" w:rsidRPr="009B2B01" w:rsidRDefault="00125F26" w:rsidP="007808E0">
      <w:pPr>
        <w:tabs>
          <w:tab w:val="left" w:pos="4667"/>
        </w:tabs>
        <w:spacing w:after="0" w:line="360" w:lineRule="auto"/>
        <w:ind w:left="567" w:right="567"/>
        <w:rPr>
          <w:rFonts w:eastAsia="Times New Roman" w:cs="Tahoma"/>
          <w:b/>
          <w:bCs/>
          <w:i/>
          <w:iCs/>
          <w:sz w:val="20"/>
          <w:lang w:eastAsia="es-ES"/>
        </w:rPr>
      </w:pPr>
      <w:r w:rsidRPr="009B2B01">
        <w:rPr>
          <w:rFonts w:eastAsia="Times New Roman" w:cs="Tahoma"/>
          <w:b/>
          <w:bCs/>
          <w:i/>
          <w:iCs/>
          <w:sz w:val="20"/>
          <w:lang w:eastAsia="es-ES"/>
        </w:rPr>
        <w:t>“</w:t>
      </w:r>
      <w:r w:rsidR="00E22EA8" w:rsidRPr="009B2B01">
        <w:rPr>
          <w:rFonts w:eastAsia="Times New Roman" w:cs="Tahoma"/>
          <w:b/>
          <w:bCs/>
          <w:i/>
          <w:iCs/>
          <w:sz w:val="20"/>
          <w:lang w:eastAsia="es-ES"/>
        </w:rPr>
        <w:t>MODALIDAD DE ENTREGA</w:t>
      </w:r>
    </w:p>
    <w:p w14:paraId="3CA8F82F" w14:textId="1B5A8200" w:rsidR="00EB386A" w:rsidRPr="009B2B01" w:rsidRDefault="00BB6693" w:rsidP="007808E0">
      <w:pPr>
        <w:spacing w:after="0" w:line="360" w:lineRule="auto"/>
        <w:ind w:left="567" w:right="567"/>
        <w:rPr>
          <w:rFonts w:eastAsia="Times New Roman" w:cs="Arial"/>
          <w:bCs/>
          <w:i/>
          <w:iCs/>
          <w:sz w:val="20"/>
          <w:lang w:eastAsia="es-ES"/>
        </w:rPr>
      </w:pPr>
      <w:r w:rsidRPr="009B2B01">
        <w:rPr>
          <w:rFonts w:eastAsia="Times New Roman" w:cs="Arial"/>
          <w:bCs/>
          <w:i/>
          <w:iCs/>
          <w:sz w:val="20"/>
          <w:lang w:eastAsia="es-ES"/>
        </w:rPr>
        <w:t>A través del SAIMEX</w:t>
      </w:r>
      <w:r w:rsidR="00E22EA8" w:rsidRPr="009B2B01">
        <w:rPr>
          <w:rFonts w:eastAsia="Times New Roman" w:cs="Arial"/>
          <w:bCs/>
          <w:i/>
          <w:iCs/>
          <w:sz w:val="20"/>
          <w:lang w:eastAsia="es-ES"/>
        </w:rPr>
        <w:t>”</w:t>
      </w:r>
    </w:p>
    <w:p w14:paraId="32BA62A6" w14:textId="77777777" w:rsidR="002529FA" w:rsidRPr="009B2B01" w:rsidRDefault="002529FA" w:rsidP="002529FA">
      <w:pPr>
        <w:spacing w:after="0" w:line="360" w:lineRule="auto"/>
        <w:ind w:right="567"/>
        <w:rPr>
          <w:rFonts w:eastAsia="Times New Roman" w:cs="Arial"/>
          <w:bCs/>
          <w:i/>
          <w:iCs/>
          <w:sz w:val="20"/>
          <w:lang w:eastAsia="es-ES"/>
        </w:rPr>
      </w:pPr>
    </w:p>
    <w:p w14:paraId="4FB91449" w14:textId="006B7412" w:rsidR="002529FA" w:rsidRPr="009B2B01" w:rsidRDefault="002529FA" w:rsidP="002529FA">
      <w:pPr>
        <w:pStyle w:val="Ttulo2"/>
        <w:spacing w:before="0" w:line="360" w:lineRule="auto"/>
        <w:rPr>
          <w:rFonts w:eastAsia="Calibri"/>
          <w:b w:val="0"/>
          <w:bCs/>
          <w:color w:val="auto"/>
          <w:sz w:val="22"/>
          <w:szCs w:val="22"/>
        </w:rPr>
      </w:pPr>
      <w:bookmarkStart w:id="3" w:name="_Toc189042481"/>
      <w:bookmarkStart w:id="4" w:name="_Toc209097574"/>
      <w:r w:rsidRPr="009B2B01">
        <w:rPr>
          <w:rFonts w:eastAsia="Calibri"/>
          <w:bCs/>
          <w:color w:val="auto"/>
          <w:sz w:val="22"/>
          <w:szCs w:val="22"/>
        </w:rPr>
        <w:lastRenderedPageBreak/>
        <w:t>II. Prórroga para atender la solicitud de información</w:t>
      </w:r>
      <w:bookmarkEnd w:id="3"/>
      <w:bookmarkEnd w:id="4"/>
    </w:p>
    <w:p w14:paraId="0A4C1EC1" w14:textId="77777777" w:rsidR="002529FA" w:rsidRPr="009B2B01" w:rsidRDefault="002529FA" w:rsidP="002529FA">
      <w:pPr>
        <w:spacing w:after="0" w:line="360" w:lineRule="auto"/>
        <w:contextualSpacing/>
        <w:rPr>
          <w:rFonts w:eastAsia="Calibri" w:cs="Tahoma"/>
          <w:b/>
          <w:bCs/>
        </w:rPr>
      </w:pPr>
    </w:p>
    <w:p w14:paraId="25447CD3" w14:textId="19D2D991" w:rsidR="002529FA" w:rsidRPr="009B2B01" w:rsidRDefault="002529FA" w:rsidP="002529FA">
      <w:pPr>
        <w:spacing w:after="0" w:line="360" w:lineRule="auto"/>
        <w:contextualSpacing/>
      </w:pPr>
      <w:r w:rsidRPr="009B2B01">
        <w:rPr>
          <w:rFonts w:eastAsia="Calibri" w:cs="Tahoma"/>
          <w:bCs/>
        </w:rPr>
        <w:t xml:space="preserve">El </w:t>
      </w:r>
      <w:r w:rsidR="00673F73" w:rsidRPr="009B2B01">
        <w:rPr>
          <w:rFonts w:eastAsia="Calibri" w:cs="Tahoma"/>
          <w:bCs/>
        </w:rPr>
        <w:t>ocho de abril</w:t>
      </w:r>
      <w:r w:rsidRPr="009B2B01">
        <w:rPr>
          <w:rFonts w:eastAsia="Calibri" w:cs="Tahoma"/>
          <w:bCs/>
        </w:rPr>
        <w:t xml:space="preserve"> de dos mil veintic</w:t>
      </w:r>
      <w:r w:rsidR="00673F73" w:rsidRPr="009B2B01">
        <w:rPr>
          <w:rFonts w:eastAsia="Calibri" w:cs="Tahoma"/>
          <w:bCs/>
        </w:rPr>
        <w:t>inco</w:t>
      </w:r>
      <w:r w:rsidRPr="009B2B01">
        <w:rPr>
          <w:rFonts w:cs="Tahoma"/>
        </w:rPr>
        <w:t xml:space="preserve">, el Sujeto Obligado, a través del Sistema de Acceso a la Información Mexiquense (SAIMEX), notificó </w:t>
      </w:r>
      <w:r w:rsidR="00673F73" w:rsidRPr="009B2B01">
        <w:rPr>
          <w:rFonts w:cs="Tahoma"/>
        </w:rPr>
        <w:t>una</w:t>
      </w:r>
      <w:r w:rsidRPr="009B2B01">
        <w:rPr>
          <w:rFonts w:cs="Tahoma"/>
        </w:rPr>
        <w:t xml:space="preserve"> prórroga, mediante la cual aprueba la ampliación de término para atender la solicitud de información</w:t>
      </w:r>
      <w:r w:rsidRPr="009B2B01">
        <w:rPr>
          <w:rFonts w:eastAsia="Calibri" w:cs="Tahoma"/>
          <w:bCs/>
        </w:rPr>
        <w:t xml:space="preserve"> por el Comité de Transparencia del Ayuntamiento de </w:t>
      </w:r>
      <w:r w:rsidR="00673F73" w:rsidRPr="009B2B01">
        <w:rPr>
          <w:rFonts w:eastAsia="Calibri" w:cs="Tahoma"/>
          <w:bCs/>
        </w:rPr>
        <w:t>Toluca</w:t>
      </w:r>
      <w:r w:rsidRPr="009B2B01">
        <w:rPr>
          <w:rFonts w:eastAsia="Calibri" w:cs="Tahoma"/>
          <w:bCs/>
        </w:rPr>
        <w:t xml:space="preserve">, mediante </w:t>
      </w:r>
      <w:r w:rsidR="00673F73" w:rsidRPr="009B2B01">
        <w:rPr>
          <w:rFonts w:eastAsia="Calibri" w:cs="Tahoma"/>
          <w:bCs/>
        </w:rPr>
        <w:t>el acuerdo número CT/SE/375 /2025 de la Tricentésima Septuagésima Quinta Sesión Extraordinaria.</w:t>
      </w:r>
    </w:p>
    <w:p w14:paraId="1F27D4B3" w14:textId="77777777" w:rsidR="002529FA" w:rsidRPr="009B2B01" w:rsidRDefault="002529FA" w:rsidP="002529FA">
      <w:pPr>
        <w:spacing w:after="0" w:line="360" w:lineRule="auto"/>
        <w:ind w:right="567"/>
        <w:rPr>
          <w:rFonts w:eastAsia="Times New Roman" w:cs="Arial"/>
          <w:bCs/>
          <w:i/>
          <w:iCs/>
          <w:sz w:val="20"/>
          <w:lang w:eastAsia="es-ES"/>
        </w:rPr>
      </w:pPr>
    </w:p>
    <w:p w14:paraId="0A604AAC" w14:textId="3550963B" w:rsidR="00E22EA8" w:rsidRPr="009B2B01" w:rsidRDefault="000B3C56" w:rsidP="007808E0">
      <w:pPr>
        <w:pStyle w:val="Ttulo2"/>
        <w:spacing w:before="0" w:after="0" w:line="360" w:lineRule="auto"/>
        <w:rPr>
          <w:sz w:val="22"/>
          <w:szCs w:val="22"/>
        </w:rPr>
      </w:pPr>
      <w:bookmarkStart w:id="5" w:name="_Toc209097575"/>
      <w:r w:rsidRPr="009B2B01">
        <w:rPr>
          <w:rFonts w:cs="Tahoma"/>
          <w:sz w:val="22"/>
          <w:szCs w:val="22"/>
        </w:rPr>
        <w:t>I</w:t>
      </w:r>
      <w:r w:rsidR="002207FA" w:rsidRPr="009B2B01">
        <w:rPr>
          <w:rFonts w:cs="Tahoma"/>
          <w:sz w:val="22"/>
          <w:szCs w:val="22"/>
        </w:rPr>
        <w:t>I</w:t>
      </w:r>
      <w:r w:rsidR="002529FA" w:rsidRPr="009B2B01">
        <w:rPr>
          <w:rFonts w:cs="Tahoma"/>
          <w:sz w:val="22"/>
          <w:szCs w:val="22"/>
        </w:rPr>
        <w:t>I</w:t>
      </w:r>
      <w:r w:rsidR="00E22EA8" w:rsidRPr="009B2B01">
        <w:rPr>
          <w:rFonts w:cs="Tahoma"/>
          <w:sz w:val="22"/>
          <w:szCs w:val="22"/>
        </w:rPr>
        <w:t>.</w:t>
      </w:r>
      <w:r w:rsidR="00E22EA8" w:rsidRPr="009B2B01">
        <w:rPr>
          <w:sz w:val="22"/>
          <w:szCs w:val="22"/>
        </w:rPr>
        <w:t xml:space="preserve"> Respuesta del Sujeto Obligado</w:t>
      </w:r>
      <w:bookmarkEnd w:id="5"/>
    </w:p>
    <w:p w14:paraId="10CE94A9" w14:textId="77777777" w:rsidR="00C06004" w:rsidRPr="009B2B01" w:rsidRDefault="00C06004" w:rsidP="007808E0">
      <w:pPr>
        <w:autoSpaceDE w:val="0"/>
        <w:autoSpaceDN w:val="0"/>
        <w:adjustRightInd w:val="0"/>
        <w:spacing w:after="0" w:line="360" w:lineRule="auto"/>
        <w:rPr>
          <w:b/>
          <w:bCs/>
        </w:rPr>
      </w:pPr>
    </w:p>
    <w:p w14:paraId="69316817" w14:textId="090826AD" w:rsidR="0078722C" w:rsidRPr="009B2B01" w:rsidRDefault="00EB386A" w:rsidP="00322E84">
      <w:pPr>
        <w:spacing w:after="0" w:line="360" w:lineRule="auto"/>
      </w:pPr>
      <w:r w:rsidRPr="009B2B01">
        <w:t xml:space="preserve">El </w:t>
      </w:r>
      <w:r w:rsidR="00B248F0" w:rsidRPr="009B2B01">
        <w:t>o</w:t>
      </w:r>
      <w:r w:rsidR="0078722C" w:rsidRPr="009B2B01">
        <w:t>nce de abril</w:t>
      </w:r>
      <w:r w:rsidR="00CD4DE8" w:rsidRPr="009B2B01">
        <w:t xml:space="preserve"> de dos mil veinticinco</w:t>
      </w:r>
      <w:r w:rsidR="00E22EA8" w:rsidRPr="009B2B01">
        <w:t xml:space="preserve">, el Sujeto Obligado notificó, a través del Sistema de Acceso a la Información Mexiquense (SAIMEX), la respuesta a la solicitud de acceso a la información pública, </w:t>
      </w:r>
      <w:r w:rsidR="00D768A4" w:rsidRPr="009B2B01">
        <w:t>a través de</w:t>
      </w:r>
      <w:r w:rsidR="0078722C" w:rsidRPr="009B2B01">
        <w:t xml:space="preserve"> los documentos siguientes:</w:t>
      </w:r>
    </w:p>
    <w:p w14:paraId="26E853C3" w14:textId="77777777" w:rsidR="0078722C" w:rsidRPr="009B2B01" w:rsidRDefault="0078722C" w:rsidP="00322E84">
      <w:pPr>
        <w:spacing w:after="0" w:line="360" w:lineRule="auto"/>
      </w:pPr>
    </w:p>
    <w:p w14:paraId="32258F6D" w14:textId="267D7740" w:rsidR="0078722C" w:rsidRPr="009B2B01" w:rsidRDefault="0078722C" w:rsidP="00322E84">
      <w:pPr>
        <w:spacing w:after="0" w:line="360" w:lineRule="auto"/>
      </w:pPr>
      <w:r w:rsidRPr="009B2B01">
        <w:t xml:space="preserve">i. </w:t>
      </w:r>
      <w:r w:rsidR="003D4722" w:rsidRPr="009B2B01">
        <w:t>Oficio sin número, del diez de abril de dos mil veinticinco, suscrito por el Titular de la Unidad de Transparencia y dirigido al Solicitante, por medio del cual mencionó lo siguiente:</w:t>
      </w:r>
    </w:p>
    <w:p w14:paraId="64501A18" w14:textId="77777777" w:rsidR="003D4722" w:rsidRPr="009B2B01" w:rsidRDefault="003D4722" w:rsidP="00322E84">
      <w:pPr>
        <w:spacing w:after="0" w:line="360" w:lineRule="auto"/>
      </w:pPr>
    </w:p>
    <w:p w14:paraId="2E62E502" w14:textId="774B68E2" w:rsidR="003D4722" w:rsidRPr="009B2B01" w:rsidRDefault="003D4722" w:rsidP="00836427">
      <w:pPr>
        <w:spacing w:after="0" w:line="360" w:lineRule="auto"/>
        <w:ind w:left="567" w:right="567"/>
        <w:rPr>
          <w:i/>
          <w:iCs/>
          <w:sz w:val="20"/>
          <w:szCs w:val="20"/>
        </w:rPr>
      </w:pPr>
      <w:r w:rsidRPr="009B2B01">
        <w:rPr>
          <w:i/>
          <w:iCs/>
          <w:sz w:val="20"/>
          <w:szCs w:val="20"/>
        </w:rPr>
        <w:t>“…hago de su conocimiento que la Secretaría del Ayuntamiento y Servidor Público Habilitado, informó que se procedió a realizar la búsqueda exhaustiva y razonable en los archivos que obran en esta Unidad Administrativa, en este sentido y de acuerdo a las facultades, competencias y funciones, se hace del conocimiento que se cuenta con la expresión documental que se adjunta al presente, misma que da por atendida la pretensión del C. Solicitante, al hacer entrega de los documentos denominados "Visto Bueno de Plan de Emergencia" emitidos por la Coordinación Municipal de Protección Civil y Bomberos de la Secretaría del Ayuntamiento.</w:t>
      </w:r>
    </w:p>
    <w:p w14:paraId="5D2DEFF6" w14:textId="65619799" w:rsidR="003D4722" w:rsidRPr="009B2B01" w:rsidRDefault="003D4722" w:rsidP="00836427">
      <w:pPr>
        <w:spacing w:after="0" w:line="360" w:lineRule="auto"/>
        <w:ind w:left="567" w:right="567"/>
        <w:rPr>
          <w:i/>
          <w:iCs/>
          <w:sz w:val="20"/>
          <w:szCs w:val="20"/>
        </w:rPr>
      </w:pPr>
      <w:r w:rsidRPr="009B2B01">
        <w:rPr>
          <w:i/>
          <w:iCs/>
          <w:sz w:val="20"/>
          <w:szCs w:val="20"/>
        </w:rPr>
        <w:t>…”</w:t>
      </w:r>
    </w:p>
    <w:p w14:paraId="0A9491E2" w14:textId="77777777" w:rsidR="0078722C" w:rsidRPr="009B2B01" w:rsidRDefault="0078722C" w:rsidP="00322E84">
      <w:pPr>
        <w:spacing w:after="0" w:line="360" w:lineRule="auto"/>
      </w:pPr>
    </w:p>
    <w:p w14:paraId="1711E6CD" w14:textId="6B32E09D" w:rsidR="00282B4C" w:rsidRPr="009B2B01" w:rsidRDefault="00856D1C" w:rsidP="00322E84">
      <w:pPr>
        <w:spacing w:after="0" w:line="360" w:lineRule="auto"/>
      </w:pPr>
      <w:r w:rsidRPr="009B2B01">
        <w:lastRenderedPageBreak/>
        <w:t xml:space="preserve">ii. </w:t>
      </w:r>
      <w:r w:rsidR="00282B4C" w:rsidRPr="009B2B01">
        <w:t>Noventa y seis hojas que contienen los documentos del Vista Bueno del Plan de Emergencia, del ejercicio fiscal dos mil veintitrés.</w:t>
      </w:r>
    </w:p>
    <w:p w14:paraId="5D410815" w14:textId="77777777" w:rsidR="00282B4C" w:rsidRPr="009B2B01" w:rsidRDefault="00282B4C" w:rsidP="00322E84">
      <w:pPr>
        <w:spacing w:after="0" w:line="360" w:lineRule="auto"/>
      </w:pPr>
    </w:p>
    <w:p w14:paraId="127177FE" w14:textId="41B7D95D" w:rsidR="0078722C" w:rsidRPr="009B2B01" w:rsidRDefault="00282B4C" w:rsidP="00322E84">
      <w:pPr>
        <w:spacing w:after="0" w:line="360" w:lineRule="auto"/>
      </w:pPr>
      <w:r w:rsidRPr="009B2B01">
        <w:t>iii. Doscientos treinta y tres hojas que contienen los documentos del Vista Bueno del Plan de Emergencia, del ejercicio fiscal dos mil veinticuatro y del primero de enero al once marzo de dos mil veinticinco.</w:t>
      </w:r>
    </w:p>
    <w:p w14:paraId="0E38EDA6" w14:textId="77777777" w:rsidR="00794B3F" w:rsidRPr="009B2B01" w:rsidRDefault="00794B3F" w:rsidP="00EC7CBF">
      <w:pPr>
        <w:spacing w:after="0" w:line="360" w:lineRule="auto"/>
        <w:rPr>
          <w:i/>
          <w:iCs/>
          <w:sz w:val="20"/>
          <w:szCs w:val="20"/>
        </w:rPr>
      </w:pPr>
    </w:p>
    <w:p w14:paraId="7E7FBB31" w14:textId="592F5AEA" w:rsidR="00E22EA8" w:rsidRPr="009B2B01" w:rsidRDefault="002207FA" w:rsidP="007808E0">
      <w:pPr>
        <w:pStyle w:val="Ttulo2"/>
        <w:spacing w:before="0" w:after="0" w:line="360" w:lineRule="auto"/>
        <w:rPr>
          <w:sz w:val="22"/>
          <w:szCs w:val="22"/>
        </w:rPr>
      </w:pPr>
      <w:bookmarkStart w:id="6" w:name="_Toc209097576"/>
      <w:r w:rsidRPr="009B2B01">
        <w:rPr>
          <w:sz w:val="22"/>
          <w:szCs w:val="22"/>
        </w:rPr>
        <w:t>I</w:t>
      </w:r>
      <w:r w:rsidR="002529FA" w:rsidRPr="009B2B01">
        <w:rPr>
          <w:sz w:val="22"/>
          <w:szCs w:val="22"/>
        </w:rPr>
        <w:t>V</w:t>
      </w:r>
      <w:r w:rsidR="00E22EA8" w:rsidRPr="009B2B01">
        <w:rPr>
          <w:sz w:val="22"/>
          <w:szCs w:val="22"/>
        </w:rPr>
        <w:t>. Interposición del Recurso de Revisión</w:t>
      </w:r>
      <w:bookmarkEnd w:id="6"/>
    </w:p>
    <w:p w14:paraId="053D45CF" w14:textId="77777777" w:rsidR="00E22EA8" w:rsidRPr="009B2B01" w:rsidRDefault="00E22EA8" w:rsidP="007808E0">
      <w:pPr>
        <w:spacing w:after="0" w:line="360" w:lineRule="auto"/>
        <w:rPr>
          <w:b/>
        </w:rPr>
      </w:pPr>
    </w:p>
    <w:p w14:paraId="355C8CC6" w14:textId="3C9146E3" w:rsidR="009C5A71" w:rsidRPr="009B2B01" w:rsidRDefault="00083169" w:rsidP="007808E0">
      <w:pPr>
        <w:spacing w:after="0" w:line="360" w:lineRule="auto"/>
        <w:rPr>
          <w:bCs/>
        </w:rPr>
      </w:pPr>
      <w:r w:rsidRPr="009B2B01">
        <w:rPr>
          <w:bCs/>
        </w:rPr>
        <w:t>El</w:t>
      </w:r>
      <w:r w:rsidR="008E5E71" w:rsidRPr="009B2B01">
        <w:rPr>
          <w:bCs/>
        </w:rPr>
        <w:t xml:space="preserve"> </w:t>
      </w:r>
      <w:r w:rsidR="00E92D0C" w:rsidRPr="009B2B01">
        <w:t>trece de mayo</w:t>
      </w:r>
      <w:r w:rsidR="00C2045C" w:rsidRPr="009B2B01">
        <w:t xml:space="preserve"> </w:t>
      </w:r>
      <w:r w:rsidR="008E5E71" w:rsidRPr="009B2B01">
        <w:t>de dos mil</w:t>
      </w:r>
      <w:r w:rsidR="00A51A71" w:rsidRPr="009B2B01">
        <w:t xml:space="preserve"> veinticinco</w:t>
      </w:r>
      <w:r w:rsidR="00E22EA8" w:rsidRPr="009B2B01">
        <w:rPr>
          <w:bCs/>
        </w:rPr>
        <w:t xml:space="preserve">, se recibió en este Instituto, a través del </w:t>
      </w:r>
      <w:r w:rsidR="00E22EA8" w:rsidRPr="009B2B01">
        <w:rPr>
          <w:bCs/>
          <w:lang w:val="es-ES"/>
        </w:rPr>
        <w:t>Sistema de Acceso a la Información Mexiquense (SAIMEX)</w:t>
      </w:r>
      <w:r w:rsidR="00E22EA8" w:rsidRPr="009B2B01">
        <w:rPr>
          <w:bCs/>
        </w:rPr>
        <w:t xml:space="preserve">, </w:t>
      </w:r>
      <w:r w:rsidR="009019A8" w:rsidRPr="009B2B01">
        <w:rPr>
          <w:bCs/>
        </w:rPr>
        <w:t xml:space="preserve">el </w:t>
      </w:r>
      <w:r w:rsidR="00E22EA8" w:rsidRPr="009B2B01">
        <w:rPr>
          <w:bCs/>
        </w:rPr>
        <w:t>Recurso de Revisión interpuesto por la p</w:t>
      </w:r>
      <w:r w:rsidRPr="009B2B01">
        <w:rPr>
          <w:bCs/>
        </w:rPr>
        <w:t>ersona</w:t>
      </w:r>
      <w:r w:rsidR="00E22EA8" w:rsidRPr="009B2B01">
        <w:rPr>
          <w:bCs/>
        </w:rPr>
        <w:t xml:space="preserve"> Recurrente, en contra de la respuesta por el Sujeto Obligado, a la solicitud de información</w:t>
      </w:r>
      <w:r w:rsidR="00F43789" w:rsidRPr="009B2B01">
        <w:rPr>
          <w:rFonts w:eastAsia="Calibri" w:cs="Times New Roman"/>
        </w:rPr>
        <w:t xml:space="preserve">, </w:t>
      </w:r>
      <w:r w:rsidR="00E22EA8" w:rsidRPr="009B2B01">
        <w:rPr>
          <w:bCs/>
        </w:rPr>
        <w:t>en los siguientes términos:</w:t>
      </w:r>
    </w:p>
    <w:p w14:paraId="499DDBDB" w14:textId="77777777" w:rsidR="008E5E71" w:rsidRPr="009B2B01" w:rsidRDefault="008E5E71" w:rsidP="007808E0">
      <w:pPr>
        <w:spacing w:after="0" w:line="360" w:lineRule="auto"/>
        <w:ind w:left="567" w:right="567"/>
        <w:rPr>
          <w:b/>
          <w:bCs/>
          <w:i/>
          <w:sz w:val="20"/>
          <w:szCs w:val="20"/>
        </w:rPr>
      </w:pPr>
    </w:p>
    <w:p w14:paraId="1B2CCD45" w14:textId="1F34B3A9" w:rsidR="00E22EA8" w:rsidRPr="009B2B01" w:rsidRDefault="00E12804" w:rsidP="007808E0">
      <w:pPr>
        <w:spacing w:after="0" w:line="360" w:lineRule="auto"/>
        <w:ind w:left="567" w:right="567"/>
        <w:rPr>
          <w:bCs/>
          <w:i/>
          <w:sz w:val="20"/>
          <w:szCs w:val="20"/>
        </w:rPr>
      </w:pPr>
      <w:r w:rsidRPr="009B2B01">
        <w:rPr>
          <w:b/>
          <w:bCs/>
          <w:i/>
          <w:sz w:val="20"/>
          <w:szCs w:val="20"/>
        </w:rPr>
        <w:t>‘’</w:t>
      </w:r>
      <w:r w:rsidR="00E22EA8" w:rsidRPr="009B2B01">
        <w:rPr>
          <w:b/>
          <w:bCs/>
          <w:i/>
          <w:sz w:val="20"/>
          <w:szCs w:val="20"/>
        </w:rPr>
        <w:t>ACTO IMPUGNADO</w:t>
      </w:r>
    </w:p>
    <w:p w14:paraId="20CB87D1" w14:textId="09740B5E" w:rsidR="00E22EA8" w:rsidRPr="009B2B01" w:rsidRDefault="00E92D0C" w:rsidP="007808E0">
      <w:pPr>
        <w:spacing w:after="0" w:line="360" w:lineRule="auto"/>
        <w:ind w:left="567" w:right="567"/>
        <w:rPr>
          <w:i/>
          <w:sz w:val="20"/>
          <w:szCs w:val="20"/>
        </w:rPr>
      </w:pPr>
      <w:r w:rsidRPr="009B2B01">
        <w:rPr>
          <w:i/>
          <w:iCs/>
          <w:sz w:val="20"/>
          <w:szCs w:val="20"/>
        </w:rPr>
        <w:t xml:space="preserve">PRIMERO LA PRORROGA FUERA DEL PALZO ESTABLECIDO Y </w:t>
      </w:r>
      <w:proofErr w:type="gramStart"/>
      <w:r w:rsidRPr="009B2B01">
        <w:rPr>
          <w:i/>
          <w:iCs/>
          <w:sz w:val="20"/>
          <w:szCs w:val="20"/>
        </w:rPr>
        <w:t>D¿</w:t>
      </w:r>
      <w:proofErr w:type="gramEnd"/>
      <w:r w:rsidRPr="009B2B01">
        <w:rPr>
          <w:i/>
          <w:iCs/>
          <w:sz w:val="20"/>
          <w:szCs w:val="20"/>
        </w:rPr>
        <w:t>SEGUNDO LA INFORMACIÓN ESTA INCOMPLETA Y SU PRIMER ARCHIVO DE ANEXO NO ABRE</w:t>
      </w:r>
      <w:r w:rsidR="00E22EA8" w:rsidRPr="009B2B01">
        <w:rPr>
          <w:i/>
          <w:iCs/>
          <w:sz w:val="20"/>
          <w:szCs w:val="20"/>
        </w:rPr>
        <w:t>”</w:t>
      </w:r>
      <w:r w:rsidR="002D6CA6" w:rsidRPr="009B2B01">
        <w:rPr>
          <w:i/>
          <w:iCs/>
          <w:sz w:val="20"/>
          <w:szCs w:val="20"/>
        </w:rPr>
        <w:t xml:space="preserve"> (Sic.)</w:t>
      </w:r>
    </w:p>
    <w:p w14:paraId="3B2615CC" w14:textId="77777777" w:rsidR="00E22EA8" w:rsidRPr="009B2B01" w:rsidRDefault="00E22EA8" w:rsidP="007808E0">
      <w:pPr>
        <w:spacing w:after="0" w:line="360" w:lineRule="auto"/>
        <w:ind w:left="567" w:right="567"/>
        <w:rPr>
          <w:i/>
          <w:sz w:val="20"/>
          <w:szCs w:val="20"/>
        </w:rPr>
      </w:pPr>
    </w:p>
    <w:p w14:paraId="3F1F07C7" w14:textId="49F2AE96" w:rsidR="00E22EA8" w:rsidRPr="009B2B01" w:rsidRDefault="00E12804" w:rsidP="007808E0">
      <w:pPr>
        <w:spacing w:after="0" w:line="360" w:lineRule="auto"/>
        <w:ind w:left="567" w:right="567"/>
        <w:rPr>
          <w:b/>
          <w:i/>
          <w:sz w:val="20"/>
          <w:szCs w:val="20"/>
        </w:rPr>
      </w:pPr>
      <w:r w:rsidRPr="009B2B01">
        <w:rPr>
          <w:b/>
          <w:i/>
          <w:sz w:val="20"/>
          <w:szCs w:val="20"/>
        </w:rPr>
        <w:t>‘’</w:t>
      </w:r>
      <w:r w:rsidR="00E22EA8" w:rsidRPr="009B2B01">
        <w:rPr>
          <w:b/>
          <w:i/>
          <w:sz w:val="20"/>
          <w:szCs w:val="20"/>
        </w:rPr>
        <w:t>RAZONES O MOTIVOS DE LA INCONFORMIDAD</w:t>
      </w:r>
    </w:p>
    <w:p w14:paraId="31B716B5" w14:textId="386BE707" w:rsidR="00E12804" w:rsidRPr="009B2B01" w:rsidRDefault="00E92D0C" w:rsidP="007808E0">
      <w:pPr>
        <w:spacing w:after="0" w:line="360" w:lineRule="auto"/>
        <w:ind w:left="567" w:right="567"/>
        <w:rPr>
          <w:i/>
          <w:iCs/>
          <w:sz w:val="20"/>
          <w:szCs w:val="20"/>
        </w:rPr>
      </w:pPr>
      <w:r w:rsidRPr="009B2B01">
        <w:rPr>
          <w:i/>
          <w:iCs/>
          <w:sz w:val="20"/>
          <w:szCs w:val="20"/>
        </w:rPr>
        <w:t xml:space="preserve">PRIMERO LA PRORROGA FUERA DEL PALZO ESTABLECIDO Y </w:t>
      </w:r>
      <w:proofErr w:type="gramStart"/>
      <w:r w:rsidRPr="009B2B01">
        <w:rPr>
          <w:i/>
          <w:iCs/>
          <w:sz w:val="20"/>
          <w:szCs w:val="20"/>
        </w:rPr>
        <w:t>D¿</w:t>
      </w:r>
      <w:proofErr w:type="gramEnd"/>
      <w:r w:rsidRPr="009B2B01">
        <w:rPr>
          <w:i/>
          <w:iCs/>
          <w:sz w:val="20"/>
          <w:szCs w:val="20"/>
        </w:rPr>
        <w:t>SEGUNDO LA INFORMACIÓN ESTA INCOMPLETA Y SU PRIMER ARCHIVO DE ANEXO NO ABRE</w:t>
      </w:r>
      <w:r w:rsidR="003C5F59" w:rsidRPr="009B2B01">
        <w:rPr>
          <w:i/>
          <w:iCs/>
          <w:sz w:val="20"/>
          <w:szCs w:val="20"/>
        </w:rPr>
        <w:t>”</w:t>
      </w:r>
      <w:r w:rsidR="002D6CA6" w:rsidRPr="009B2B01">
        <w:rPr>
          <w:i/>
          <w:iCs/>
          <w:sz w:val="20"/>
          <w:szCs w:val="20"/>
        </w:rPr>
        <w:t xml:space="preserve"> (Sic.)</w:t>
      </w:r>
    </w:p>
    <w:p w14:paraId="3111F1DF" w14:textId="77777777" w:rsidR="00A9319B" w:rsidRPr="009B2B01" w:rsidRDefault="00A9319B" w:rsidP="00A9319B">
      <w:pPr>
        <w:spacing w:after="0" w:line="360" w:lineRule="auto"/>
        <w:ind w:right="567"/>
        <w:rPr>
          <w:i/>
          <w:sz w:val="20"/>
          <w:szCs w:val="20"/>
        </w:rPr>
      </w:pPr>
    </w:p>
    <w:p w14:paraId="009DB65C" w14:textId="08BFA757" w:rsidR="00E22EA8" w:rsidRPr="009B2B01" w:rsidRDefault="00E22EA8" w:rsidP="007808E0">
      <w:pPr>
        <w:pStyle w:val="Ttulo2"/>
        <w:spacing w:before="0" w:after="0" w:line="360" w:lineRule="auto"/>
        <w:rPr>
          <w:sz w:val="22"/>
          <w:szCs w:val="22"/>
        </w:rPr>
      </w:pPr>
      <w:bookmarkStart w:id="7" w:name="_Toc209097577"/>
      <w:r w:rsidRPr="009B2B01">
        <w:rPr>
          <w:sz w:val="22"/>
          <w:szCs w:val="22"/>
        </w:rPr>
        <w:t>V. Trámite del Recurso de Revisión ante este Instituto</w:t>
      </w:r>
      <w:bookmarkEnd w:id="7"/>
    </w:p>
    <w:p w14:paraId="5C9B63F8" w14:textId="77777777" w:rsidR="009B2DAB" w:rsidRPr="009B2B01" w:rsidRDefault="009B2DAB" w:rsidP="007808E0">
      <w:pPr>
        <w:spacing w:after="0" w:line="360" w:lineRule="auto"/>
        <w:rPr>
          <w:b/>
          <w:bCs/>
        </w:rPr>
      </w:pPr>
    </w:p>
    <w:p w14:paraId="173768ED" w14:textId="69591CCE" w:rsidR="00E22EA8" w:rsidRPr="009B2B01" w:rsidRDefault="00E22EA8" w:rsidP="007808E0">
      <w:pPr>
        <w:spacing w:after="0" w:line="360" w:lineRule="auto"/>
        <w:rPr>
          <w:bCs/>
        </w:rPr>
      </w:pPr>
      <w:r w:rsidRPr="009B2B01">
        <w:rPr>
          <w:b/>
          <w:bCs/>
        </w:rPr>
        <w:t>a) Turno del Medio de Impugnación.</w:t>
      </w:r>
      <w:r w:rsidR="000A706F" w:rsidRPr="009B2B01">
        <w:rPr>
          <w:bCs/>
        </w:rPr>
        <w:t xml:space="preserve"> </w:t>
      </w:r>
      <w:r w:rsidR="003C5F59" w:rsidRPr="009B2B01">
        <w:rPr>
          <w:bCs/>
        </w:rPr>
        <w:t xml:space="preserve">El </w:t>
      </w:r>
      <w:r w:rsidR="00E92D0C" w:rsidRPr="009B2B01">
        <w:rPr>
          <w:bCs/>
        </w:rPr>
        <w:t>trece de mayo</w:t>
      </w:r>
      <w:r w:rsidR="00E64E18" w:rsidRPr="009B2B01">
        <w:t xml:space="preserve"> de dos mil veinticinco</w:t>
      </w:r>
      <w:r w:rsidRPr="009B2B01">
        <w:rPr>
          <w:bCs/>
        </w:rPr>
        <w:t xml:space="preserve">, el </w:t>
      </w:r>
      <w:r w:rsidRPr="009B2B01">
        <w:rPr>
          <w:lang w:val="es-ES"/>
        </w:rPr>
        <w:t>Sistema de Acceso a la Información Mexiquense (SAIMEX),</w:t>
      </w:r>
      <w:r w:rsidRPr="009B2B01">
        <w:rPr>
          <w:bCs/>
        </w:rPr>
        <w:t xml:space="preserve"> asignó el número de expediente </w:t>
      </w:r>
      <w:r w:rsidR="002D6CA6" w:rsidRPr="009B2B01">
        <w:rPr>
          <w:b/>
          <w:bCs/>
        </w:rPr>
        <w:lastRenderedPageBreak/>
        <w:t>0</w:t>
      </w:r>
      <w:r w:rsidR="00364788" w:rsidRPr="009B2B01">
        <w:rPr>
          <w:b/>
          <w:bCs/>
        </w:rPr>
        <w:t>5451</w:t>
      </w:r>
      <w:r w:rsidR="000D392E" w:rsidRPr="009B2B01">
        <w:rPr>
          <w:b/>
          <w:bCs/>
        </w:rPr>
        <w:t>/INFOEM/IP/RR/2025</w:t>
      </w:r>
      <w:r w:rsidRPr="009B2B01">
        <w:rPr>
          <w:bCs/>
        </w:rPr>
        <w:t xml:space="preserve">, al medio de impugnación que nos ocupa, con base en el sistema aprobado por el Pleno de este </w:t>
      </w:r>
      <w:r w:rsidR="00B65BCA" w:rsidRPr="009B2B01">
        <w:rPr>
          <w:bCs/>
        </w:rPr>
        <w:t>Organismo</w:t>
      </w:r>
      <w:r w:rsidRPr="009B2B01">
        <w:rPr>
          <w:bCs/>
        </w:rPr>
        <w:t xml:space="preserve"> Garante y lo turnó al Comisionado Ponente Luis Gustavo Parra Noriega, para los efectos del artículo 185, fracción I de la Ley de Transparencia y Acceso a la Información Pública del Estado de México y Municipios.</w:t>
      </w:r>
    </w:p>
    <w:p w14:paraId="59FB24F3" w14:textId="77777777" w:rsidR="005914EE" w:rsidRPr="009B2B01" w:rsidRDefault="005914EE" w:rsidP="007808E0">
      <w:pPr>
        <w:spacing w:after="0" w:line="360" w:lineRule="auto"/>
        <w:rPr>
          <w:b/>
          <w:bCs/>
        </w:rPr>
      </w:pPr>
    </w:p>
    <w:p w14:paraId="61891480" w14:textId="56771AF3" w:rsidR="00E22EA8" w:rsidRPr="009B2B01" w:rsidRDefault="00E22EA8" w:rsidP="007808E0">
      <w:pPr>
        <w:spacing w:after="0" w:line="360" w:lineRule="auto"/>
      </w:pPr>
      <w:r w:rsidRPr="009B2B01">
        <w:rPr>
          <w:b/>
          <w:bCs/>
        </w:rPr>
        <w:t>b) Admisión del Recurso de Revisión</w:t>
      </w:r>
      <w:r w:rsidRPr="009B2B01">
        <w:rPr>
          <w:b/>
          <w:bCs/>
          <w:lang w:val="es-ES_tradnl"/>
        </w:rPr>
        <w:t xml:space="preserve">. </w:t>
      </w:r>
      <w:r w:rsidR="003C5F59" w:rsidRPr="009B2B01">
        <w:t xml:space="preserve">El </w:t>
      </w:r>
      <w:r w:rsidR="003C673A" w:rsidRPr="009B2B01">
        <w:t>quince</w:t>
      </w:r>
      <w:r w:rsidR="00364788" w:rsidRPr="009B2B01">
        <w:t xml:space="preserve"> de mayo</w:t>
      </w:r>
      <w:r w:rsidR="00E64E18" w:rsidRPr="009B2B01">
        <w:t xml:space="preserve"> de dos mil veinticinco</w:t>
      </w:r>
      <w:r w:rsidRPr="009B2B01">
        <w:rPr>
          <w:bCs/>
          <w:lang w:val="es-ES_tradnl"/>
        </w:rPr>
        <w:t xml:space="preserve">, se acordó la admisión del Recurso de Revisión interpuesto por </w:t>
      </w:r>
      <w:r w:rsidR="00261B92" w:rsidRPr="009B2B01">
        <w:rPr>
          <w:bCs/>
          <w:lang w:val="es-ES_tradnl"/>
        </w:rPr>
        <w:t>la persona</w:t>
      </w:r>
      <w:r w:rsidRPr="009B2B01">
        <w:rPr>
          <w:bCs/>
          <w:lang w:val="es-ES_tradnl"/>
        </w:rPr>
        <w:t xml:space="preserve"> Recurrente en contra del Sujeto Obligado, en términos del artículo 185, fracciones I y II de la Ley de Transparencia y Acceso a la Información Pública del Estado de México y Municipios, el cual fue notificado a las partes </w:t>
      </w:r>
      <w:r w:rsidR="00E10780" w:rsidRPr="009B2B01">
        <w:rPr>
          <w:bCs/>
          <w:lang w:val="es-ES_tradnl"/>
        </w:rPr>
        <w:t>el</w:t>
      </w:r>
      <w:r w:rsidR="007C4D4E" w:rsidRPr="009B2B01">
        <w:rPr>
          <w:bCs/>
          <w:lang w:val="es-ES_tradnl"/>
        </w:rPr>
        <w:t xml:space="preserve"> mismo día</w:t>
      </w:r>
      <w:r w:rsidRPr="009B2B01">
        <w:rPr>
          <w:bCs/>
          <w:lang w:val="es-ES_tradnl"/>
        </w:rPr>
        <w:t>, a través del Sistema de Acceso a la Información Mexiquense (SAIMEX), en el que se les otorgó un plazo de siete días hábiles posteriores a la misma, para que manifestaran lo que a su derecho conviniera y formularan alegatos.</w:t>
      </w:r>
    </w:p>
    <w:p w14:paraId="07DA89A0" w14:textId="77777777" w:rsidR="00E22EA8" w:rsidRPr="009B2B01" w:rsidRDefault="00E22EA8" w:rsidP="007808E0">
      <w:pPr>
        <w:spacing w:after="0" w:line="360" w:lineRule="auto"/>
        <w:rPr>
          <w:rFonts w:cs="Tahoma"/>
          <w:lang w:val="es-ES_tradnl"/>
        </w:rPr>
      </w:pPr>
    </w:p>
    <w:p w14:paraId="18E5A1C0" w14:textId="3087C9C6" w:rsidR="00364788" w:rsidRPr="009B2B01" w:rsidRDefault="000410E6" w:rsidP="00C16DD7">
      <w:pPr>
        <w:spacing w:after="0" w:line="360" w:lineRule="auto"/>
      </w:pPr>
      <w:r w:rsidRPr="009B2B01">
        <w:rPr>
          <w:b/>
        </w:rPr>
        <w:t>c) Informe Justificado</w:t>
      </w:r>
      <w:r w:rsidR="00364788" w:rsidRPr="009B2B01">
        <w:rPr>
          <w:b/>
        </w:rPr>
        <w:t xml:space="preserve">. </w:t>
      </w:r>
      <w:r w:rsidR="00C16DD7" w:rsidRPr="009B2B01">
        <w:t>El veintitrés de mayo</w:t>
      </w:r>
      <w:r w:rsidR="00364788" w:rsidRPr="009B2B01">
        <w:t xml:space="preserve"> de dos mil veinticinco, se recibió, a través del Sistema de Acceso a la Información Mexiquense (SAIMEX), el Informe Justificado del S</w:t>
      </w:r>
      <w:r w:rsidR="00C16DD7" w:rsidRPr="009B2B01">
        <w:t>ujeto Obligado, a través de un oficio sin número del veintitrés de mayo de dos mil veinticinco, suscrito por el Titular de la Unida de Transparencia y dirigido al Comisionado Ponente por medio del cual ratificó su respuesta.</w:t>
      </w:r>
    </w:p>
    <w:p w14:paraId="3C7B0FED" w14:textId="77777777" w:rsidR="00364788" w:rsidRPr="009B2B01" w:rsidRDefault="00364788" w:rsidP="00364788">
      <w:pPr>
        <w:spacing w:after="0" w:line="360" w:lineRule="auto"/>
      </w:pPr>
    </w:p>
    <w:p w14:paraId="581ED462" w14:textId="36A30FEC" w:rsidR="00364788" w:rsidRPr="009B2B01" w:rsidRDefault="00364788" w:rsidP="00364788">
      <w:pPr>
        <w:spacing w:after="0" w:line="360" w:lineRule="auto"/>
      </w:pPr>
      <w:r w:rsidRPr="009B2B01">
        <w:rPr>
          <w:b/>
        </w:rPr>
        <w:t>d) Vista del Informe Justificado.</w:t>
      </w:r>
      <w:r w:rsidR="00C16DD7" w:rsidRPr="009B2B01">
        <w:t xml:space="preserve"> El nueve de septiembre</w:t>
      </w:r>
      <w:r w:rsidRPr="009B2B01">
        <w:t xml:space="preserve"> de dos mil veinticinco, se dictó acuerdo mediante el cual se puso a la vista del Particular el Informe Justificado, entregado por el Sujeto Obligado, así como los documentos adjuntos, el cual fue notificado a las partes, a través del Sistema de Acceso a la Información Mexiquense (SAIMEX). Cabe señalar que el Particular fue omiso en realizar manifestación alguna.</w:t>
      </w:r>
    </w:p>
    <w:p w14:paraId="31C692E9" w14:textId="77777777" w:rsidR="00364788" w:rsidRPr="009B2B01" w:rsidRDefault="00364788" w:rsidP="00364788">
      <w:pPr>
        <w:spacing w:after="0" w:line="360" w:lineRule="auto"/>
      </w:pPr>
    </w:p>
    <w:p w14:paraId="24C398FA" w14:textId="5500456A" w:rsidR="000B20C2" w:rsidRPr="009B2B01" w:rsidRDefault="00364788" w:rsidP="00364788">
      <w:pPr>
        <w:spacing w:after="0" w:line="360" w:lineRule="auto"/>
        <w:rPr>
          <w:rFonts w:cs="Tahoma"/>
        </w:rPr>
      </w:pPr>
      <w:r w:rsidRPr="009B2B01">
        <w:rPr>
          <w:b/>
        </w:rPr>
        <w:lastRenderedPageBreak/>
        <w:t>e) Ampliación de plazo para resolver.</w:t>
      </w:r>
      <w:r w:rsidRPr="009B2B01">
        <w:t xml:space="preserve"> El </w:t>
      </w:r>
      <w:r w:rsidR="00C16DD7" w:rsidRPr="009B2B01">
        <w:t>nueve de septiembre</w:t>
      </w:r>
      <w:r w:rsidRPr="009B2B01">
        <w:t xml:space="preserve"> de dos mil veinticinco, el Comisionado Ponente, con fundamento en lo dispuesto por el artículo 181, párrafo tercero, de la Ley de Transparencia y Acceso a la Información Pública del Estado de México y Municipios, acordó ampliar por un periodo</w:t>
      </w:r>
      <w:r w:rsidR="00C16DD7" w:rsidRPr="009B2B01">
        <w:t xml:space="preserve"> razonable</w:t>
      </w:r>
      <w:r w:rsidRPr="009B2B01">
        <w:t>, el plazo para resolver el Recurso de Revisión que nos ocupa; acto que fue notificado a las partes el mismo día, mediante el Sistema de Acceso a la Información Mexiquense (SAIMEX).</w:t>
      </w:r>
    </w:p>
    <w:p w14:paraId="6EFC71EC" w14:textId="77777777" w:rsidR="003C5FE0" w:rsidRPr="009B2B01" w:rsidRDefault="003C5FE0" w:rsidP="0037738F">
      <w:pPr>
        <w:spacing w:after="0" w:line="360" w:lineRule="auto"/>
        <w:rPr>
          <w:b/>
          <w:color w:val="000000"/>
        </w:rPr>
      </w:pPr>
      <w:bookmarkStart w:id="8" w:name="_Hlk182976945"/>
    </w:p>
    <w:p w14:paraId="1220E37C" w14:textId="6BBCC5FB" w:rsidR="003C5FE0" w:rsidRPr="009B2B01" w:rsidRDefault="00364788" w:rsidP="007808E0">
      <w:pPr>
        <w:spacing w:after="0" w:line="360" w:lineRule="auto"/>
        <w:contextualSpacing/>
      </w:pPr>
      <w:r w:rsidRPr="009B2B01">
        <w:rPr>
          <w:rFonts w:eastAsia="Batang" w:cs="Tahoma"/>
          <w:b/>
        </w:rPr>
        <w:t>f</w:t>
      </w:r>
      <w:r w:rsidR="003C5FE0" w:rsidRPr="009B2B01">
        <w:rPr>
          <w:rFonts w:eastAsia="Batang" w:cs="Tahoma"/>
          <w:b/>
        </w:rPr>
        <w:t xml:space="preserve">) </w:t>
      </w:r>
      <w:r w:rsidR="00002B20" w:rsidRPr="009B2B01">
        <w:rPr>
          <w:rFonts w:eastAsia="Times New Roman" w:cs="Tahoma"/>
          <w:b/>
          <w:szCs w:val="24"/>
          <w:lang w:eastAsia="es-ES"/>
        </w:rPr>
        <w:t>Cierre de instrucción.</w:t>
      </w:r>
      <w:r w:rsidR="00C06C06" w:rsidRPr="009B2B01">
        <w:rPr>
          <w:rFonts w:eastAsia="Times New Roman" w:cs="Tahoma"/>
          <w:szCs w:val="24"/>
          <w:lang w:eastAsia="es-ES"/>
        </w:rPr>
        <w:t xml:space="preserve"> El </w:t>
      </w:r>
      <w:r w:rsidR="00656245" w:rsidRPr="009B2B01">
        <w:rPr>
          <w:rFonts w:eastAsia="Times New Roman" w:cs="Tahoma"/>
          <w:szCs w:val="24"/>
          <w:lang w:eastAsia="es-ES"/>
        </w:rPr>
        <w:t>diecisiete</w:t>
      </w:r>
      <w:r w:rsidR="009C6DA9" w:rsidRPr="009B2B01">
        <w:rPr>
          <w:rFonts w:eastAsia="Times New Roman" w:cs="Tahoma"/>
          <w:szCs w:val="24"/>
          <w:lang w:eastAsia="es-ES"/>
        </w:rPr>
        <w:t xml:space="preserve"> de septiembre</w:t>
      </w:r>
      <w:r w:rsidR="00002B20" w:rsidRPr="009B2B01">
        <w:rPr>
          <w:rFonts w:eastAsia="Times New Roman" w:cs="Tahoma"/>
          <w:szCs w:val="24"/>
          <w:lang w:eastAsia="es-ES"/>
        </w:rPr>
        <w:t xml:space="preserv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002B20" w:rsidRPr="009B2B01">
        <w:rPr>
          <w:lang w:val="es-ES"/>
        </w:rPr>
        <w:t xml:space="preserve">acto que fue notificado a las partes, mediante el Sistema de Acceso a la Información Mexiquense (SAIMEX), el </w:t>
      </w:r>
      <w:r w:rsidR="005862B6" w:rsidRPr="009B2B01">
        <w:rPr>
          <w:lang w:val="es-ES"/>
        </w:rPr>
        <w:t xml:space="preserve">dieciocho del </w:t>
      </w:r>
      <w:r w:rsidR="00002B20" w:rsidRPr="009B2B01">
        <w:rPr>
          <w:lang w:val="es-ES"/>
        </w:rPr>
        <w:t>mi</w:t>
      </w:r>
      <w:r w:rsidR="005862B6" w:rsidRPr="009B2B01">
        <w:rPr>
          <w:lang w:val="es-ES"/>
        </w:rPr>
        <w:t>smo mes y año</w:t>
      </w:r>
      <w:r w:rsidR="00002B20" w:rsidRPr="009B2B01">
        <w:rPr>
          <w:lang w:val="es-ES"/>
        </w:rPr>
        <w:t>.</w:t>
      </w:r>
    </w:p>
    <w:bookmarkEnd w:id="8"/>
    <w:p w14:paraId="08D98E1D" w14:textId="77777777" w:rsidR="000410E6" w:rsidRPr="009B2B01" w:rsidRDefault="000410E6" w:rsidP="007808E0">
      <w:pPr>
        <w:spacing w:after="0" w:line="360" w:lineRule="auto"/>
        <w:rPr>
          <w:b/>
          <w:bCs/>
          <w:lang w:val="es-ES"/>
        </w:rPr>
      </w:pPr>
    </w:p>
    <w:p w14:paraId="1D2DAFCD" w14:textId="77777777" w:rsidR="000410E6" w:rsidRPr="009B2B01" w:rsidRDefault="000410E6" w:rsidP="007808E0">
      <w:pPr>
        <w:spacing w:after="0" w:line="360" w:lineRule="auto"/>
        <w:rPr>
          <w:color w:val="000000"/>
        </w:rPr>
      </w:pPr>
      <w:r w:rsidRPr="009B2B01">
        <w:rPr>
          <w:color w:val="000000"/>
        </w:rPr>
        <w:t>En razón de que fue debidamente sustanciado e integrado el expediente electrónico y no existe diligencia pendiente de desahogo, se emite la resolución que conforme a Derecho proceda, de acuerdo a los siguientes:</w:t>
      </w:r>
    </w:p>
    <w:p w14:paraId="3A10F1DA" w14:textId="77777777" w:rsidR="00674DAF" w:rsidRPr="009B2B01" w:rsidRDefault="00674DAF" w:rsidP="007808E0">
      <w:pPr>
        <w:spacing w:after="0" w:line="360" w:lineRule="auto"/>
        <w:rPr>
          <w:color w:val="000000"/>
        </w:rPr>
      </w:pPr>
    </w:p>
    <w:p w14:paraId="250F6589" w14:textId="3F880C72" w:rsidR="005C690F" w:rsidRPr="009B2B01" w:rsidRDefault="00CD6238" w:rsidP="007808E0">
      <w:pPr>
        <w:pStyle w:val="Ttulo1"/>
        <w:spacing w:before="0" w:after="0" w:line="360" w:lineRule="auto"/>
        <w:jc w:val="center"/>
        <w:rPr>
          <w:sz w:val="22"/>
          <w:szCs w:val="22"/>
        </w:rPr>
      </w:pPr>
      <w:bookmarkStart w:id="9" w:name="_Toc209097578"/>
      <w:r w:rsidRPr="009B2B01">
        <w:rPr>
          <w:sz w:val="22"/>
          <w:szCs w:val="22"/>
        </w:rPr>
        <w:t>C O N S I D E R A N D O S</w:t>
      </w:r>
      <w:bookmarkEnd w:id="9"/>
    </w:p>
    <w:p w14:paraId="5AB6ED71" w14:textId="77777777" w:rsidR="005C690F" w:rsidRPr="009B2B01" w:rsidRDefault="005C690F" w:rsidP="007808E0">
      <w:pPr>
        <w:spacing w:after="0" w:line="360" w:lineRule="auto"/>
        <w:jc w:val="center"/>
        <w:rPr>
          <w:b/>
          <w:color w:val="000000"/>
        </w:rPr>
      </w:pPr>
    </w:p>
    <w:p w14:paraId="36BFFC7E" w14:textId="2F0F17EA" w:rsidR="005C690F" w:rsidRPr="009B2B01" w:rsidRDefault="007D6307" w:rsidP="007808E0">
      <w:pPr>
        <w:pStyle w:val="Ttulo2"/>
        <w:spacing w:before="0" w:after="0" w:line="360" w:lineRule="auto"/>
        <w:rPr>
          <w:sz w:val="22"/>
          <w:szCs w:val="22"/>
        </w:rPr>
      </w:pPr>
      <w:bookmarkStart w:id="10" w:name="_Toc209097579"/>
      <w:r w:rsidRPr="009B2B01">
        <w:rPr>
          <w:sz w:val="22"/>
          <w:szCs w:val="22"/>
        </w:rPr>
        <w:t xml:space="preserve">PRIMERO. </w:t>
      </w:r>
      <w:r w:rsidR="00CD6238" w:rsidRPr="009B2B01">
        <w:rPr>
          <w:sz w:val="22"/>
          <w:szCs w:val="22"/>
        </w:rPr>
        <w:t>Competencia</w:t>
      </w:r>
      <w:bookmarkEnd w:id="10"/>
    </w:p>
    <w:p w14:paraId="34E42005" w14:textId="77777777" w:rsidR="0084143D" w:rsidRPr="009B2B01" w:rsidRDefault="0084143D" w:rsidP="007808E0">
      <w:pPr>
        <w:spacing w:after="0" w:line="360" w:lineRule="auto"/>
        <w:contextualSpacing/>
        <w:rPr>
          <w:rFonts w:eastAsia="Times New Roman" w:cs="Tahoma"/>
          <w:bCs/>
          <w:lang w:eastAsia="es-ES"/>
        </w:rPr>
      </w:pPr>
      <w:bookmarkStart w:id="11" w:name="_heading=h.30j0zll" w:colFirst="0" w:colLast="0"/>
      <w:bookmarkEnd w:id="11"/>
    </w:p>
    <w:p w14:paraId="6DB5C24B" w14:textId="06F67911" w:rsidR="00A576F9" w:rsidRPr="009B2B01" w:rsidRDefault="00A576F9" w:rsidP="007808E0">
      <w:pPr>
        <w:spacing w:after="0" w:line="360" w:lineRule="auto"/>
        <w:contextualSpacing/>
        <w:rPr>
          <w:rFonts w:eastAsia="Times New Roman" w:cs="Tahoma"/>
          <w:bCs/>
          <w:lang w:eastAsia="es-ES"/>
        </w:rPr>
      </w:pPr>
      <w:r w:rsidRPr="009B2B01">
        <w:rPr>
          <w:rFonts w:eastAsia="Times New Roman" w:cs="Tahoma"/>
          <w:bCs/>
          <w:lang w:eastAsia="es-ES"/>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w:t>
      </w:r>
      <w:r w:rsidRPr="009B2B01">
        <w:rPr>
          <w:rFonts w:eastAsia="Times New Roman" w:cs="Tahoma"/>
          <w:bCs/>
          <w:lang w:eastAsia="es-ES"/>
        </w:rPr>
        <w:lastRenderedPageBreak/>
        <w:t xml:space="preserve">en los artículos 5°, párrafos trigésimo </w:t>
      </w:r>
      <w:r w:rsidR="00384E34" w:rsidRPr="009B2B01">
        <w:rPr>
          <w:rFonts w:eastAsia="Times New Roman" w:cs="Tahoma"/>
          <w:bCs/>
          <w:lang w:eastAsia="es-ES"/>
        </w:rPr>
        <w:t>noveno</w:t>
      </w:r>
      <w:r w:rsidRPr="009B2B01">
        <w:rPr>
          <w:rFonts w:eastAsia="Times New Roman" w:cs="Tahoma"/>
          <w:bCs/>
          <w:lang w:eastAsia="es-ES"/>
        </w:rPr>
        <w:t xml:space="preserve">, </w:t>
      </w:r>
      <w:r w:rsidR="00384E34" w:rsidRPr="009B2B01">
        <w:rPr>
          <w:rFonts w:eastAsia="Times New Roman" w:cs="Tahoma"/>
          <w:bCs/>
          <w:lang w:eastAsia="es-ES"/>
        </w:rPr>
        <w:t>cuadragésimo</w:t>
      </w:r>
      <w:r w:rsidRPr="009B2B01">
        <w:rPr>
          <w:rFonts w:eastAsia="Times New Roman" w:cs="Tahoma"/>
          <w:bCs/>
          <w:lang w:eastAsia="es-ES"/>
        </w:rPr>
        <w:t xml:space="preserve"> y </w:t>
      </w:r>
      <w:r w:rsidR="00384E34" w:rsidRPr="009B2B01">
        <w:rPr>
          <w:rFonts w:eastAsia="Times New Roman" w:cs="Tahoma"/>
          <w:bCs/>
          <w:lang w:eastAsia="es-ES"/>
        </w:rPr>
        <w:t>cuadragésimo primero</w:t>
      </w:r>
      <w:r w:rsidRPr="009B2B01">
        <w:rPr>
          <w:rFonts w:eastAsia="Times New Roman" w:cs="Tahoma"/>
          <w:bCs/>
          <w:lang w:eastAsia="es-ES"/>
        </w:rPr>
        <w:t>, fracciones I, II, III, IV y V de la Constitución Política del Estado Libre y Soberano de México;</w:t>
      </w:r>
      <w:r w:rsidR="00384E34" w:rsidRPr="009B2B01">
        <w:rPr>
          <w:rFonts w:eastAsia="Times New Roman" w:cs="Tahoma"/>
          <w:bCs/>
          <w:lang w:eastAsia="es-ES"/>
        </w:rPr>
        <w:t xml:space="preserve"> </w:t>
      </w:r>
      <w:r w:rsidRPr="009B2B01">
        <w:rPr>
          <w:rFonts w:eastAsia="Times New Roman" w:cs="Tahoma"/>
          <w:bCs/>
          <w:lang w:eastAsia="es-ES"/>
        </w:rPr>
        <w:t>1°, 2°, fracciones II y IV; 13, 29</w:t>
      </w:r>
      <w:r w:rsidR="00E50794" w:rsidRPr="009B2B01">
        <w:rPr>
          <w:rFonts w:eastAsia="Times New Roman" w:cs="Tahoma"/>
          <w:bCs/>
          <w:lang w:eastAsia="es-ES"/>
        </w:rPr>
        <w:t>,</w:t>
      </w:r>
      <w:r w:rsidRPr="009B2B01">
        <w:rPr>
          <w:rFonts w:eastAsia="Times New Roman" w:cs="Tahoma"/>
          <w:bCs/>
          <w:lang w:eastAsia="es-ES"/>
        </w:rPr>
        <w:t xml:space="preserve">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225FD09" w14:textId="77777777" w:rsidR="005C690F" w:rsidRPr="009B2B01" w:rsidRDefault="005C690F" w:rsidP="007808E0">
      <w:pPr>
        <w:spacing w:after="0" w:line="360" w:lineRule="auto"/>
        <w:rPr>
          <w:b/>
          <w:color w:val="000000"/>
        </w:rPr>
      </w:pPr>
    </w:p>
    <w:p w14:paraId="46691DD5" w14:textId="4C1C70AD" w:rsidR="005C690F" w:rsidRPr="009B2B01" w:rsidRDefault="007D6307" w:rsidP="007808E0">
      <w:pPr>
        <w:pStyle w:val="Ttulo2"/>
        <w:spacing w:before="0" w:after="0" w:line="360" w:lineRule="auto"/>
        <w:rPr>
          <w:sz w:val="22"/>
          <w:szCs w:val="22"/>
        </w:rPr>
      </w:pPr>
      <w:bookmarkStart w:id="12" w:name="_Toc209097580"/>
      <w:r w:rsidRPr="009B2B01">
        <w:rPr>
          <w:sz w:val="22"/>
          <w:szCs w:val="22"/>
        </w:rPr>
        <w:t>SEGUNDO. Causales de</w:t>
      </w:r>
      <w:r w:rsidR="00CD6238" w:rsidRPr="009B2B01">
        <w:rPr>
          <w:sz w:val="22"/>
          <w:szCs w:val="22"/>
        </w:rPr>
        <w:t xml:space="preserve"> improcedencia y sobreseimiento</w:t>
      </w:r>
      <w:bookmarkEnd w:id="12"/>
    </w:p>
    <w:p w14:paraId="49AA4CDE" w14:textId="77777777" w:rsidR="005C690F" w:rsidRPr="009B2B01" w:rsidRDefault="005C690F" w:rsidP="007808E0">
      <w:pPr>
        <w:spacing w:after="0" w:line="360" w:lineRule="auto"/>
        <w:rPr>
          <w:color w:val="000000"/>
        </w:rPr>
      </w:pPr>
    </w:p>
    <w:p w14:paraId="2553CE58" w14:textId="77777777" w:rsidR="005C690F" w:rsidRPr="009B2B01" w:rsidRDefault="007D6307" w:rsidP="007808E0">
      <w:pPr>
        <w:spacing w:after="0" w:line="360" w:lineRule="auto"/>
        <w:rPr>
          <w:color w:val="000000"/>
        </w:rPr>
      </w:pPr>
      <w:r w:rsidRPr="009B2B01">
        <w:rPr>
          <w:color w:val="000000"/>
        </w:rPr>
        <w:t xml:space="preserve">De las constancias que forma parte del Recurso de Revisión que se analiza, se advierte que previo al estudio del fondo de la </w:t>
      </w:r>
      <w:proofErr w:type="spellStart"/>
      <w:r w:rsidRPr="009B2B01">
        <w:rPr>
          <w:i/>
          <w:color w:val="000000"/>
        </w:rPr>
        <w:t>litis</w:t>
      </w:r>
      <w:proofErr w:type="spellEnd"/>
      <w:r w:rsidRPr="009B2B01">
        <w:rPr>
          <w:color w:val="000000"/>
        </w:rPr>
        <w:t>, es necesario estudiar las causales de improcedencia y sobreseimiento que se adviertan, para determinar lo que en Derecho proceda.</w:t>
      </w:r>
    </w:p>
    <w:p w14:paraId="35A30074" w14:textId="77777777" w:rsidR="009B2DAB" w:rsidRPr="009B2B01" w:rsidRDefault="009B2DAB" w:rsidP="007808E0">
      <w:pPr>
        <w:spacing w:after="0" w:line="360" w:lineRule="auto"/>
        <w:rPr>
          <w:color w:val="000000"/>
        </w:rPr>
      </w:pPr>
    </w:p>
    <w:p w14:paraId="3066DF0C" w14:textId="77777777" w:rsidR="005C690F" w:rsidRPr="009B2B01" w:rsidRDefault="007D6307" w:rsidP="007808E0">
      <w:pPr>
        <w:spacing w:after="0" w:line="360" w:lineRule="auto"/>
        <w:rPr>
          <w:b/>
        </w:rPr>
      </w:pPr>
      <w:r w:rsidRPr="009B2B01">
        <w:rPr>
          <w:b/>
        </w:rPr>
        <w:t>Causales de improcedencia</w:t>
      </w:r>
    </w:p>
    <w:p w14:paraId="706394D4" w14:textId="77777777" w:rsidR="00304DE6" w:rsidRPr="009B2B01" w:rsidRDefault="00304DE6" w:rsidP="007808E0">
      <w:pPr>
        <w:spacing w:after="0" w:line="360" w:lineRule="auto"/>
        <w:rPr>
          <w:b/>
        </w:rPr>
      </w:pPr>
    </w:p>
    <w:p w14:paraId="6C56CA88" w14:textId="77777777" w:rsidR="005C690F" w:rsidRPr="009B2B01" w:rsidRDefault="007D6307" w:rsidP="007808E0">
      <w:pPr>
        <w:spacing w:after="0" w:line="360" w:lineRule="auto"/>
        <w:rPr>
          <w:color w:val="000000"/>
        </w:rPr>
      </w:pPr>
      <w:r w:rsidRPr="009B2B01">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8A4A8EF" w14:textId="77777777" w:rsidR="005C690F" w:rsidRPr="009B2B01" w:rsidRDefault="005C690F" w:rsidP="007808E0">
      <w:pPr>
        <w:spacing w:after="0" w:line="360" w:lineRule="auto"/>
        <w:rPr>
          <w:color w:val="000000"/>
        </w:rPr>
      </w:pPr>
    </w:p>
    <w:p w14:paraId="22563DDB" w14:textId="33D3D011" w:rsidR="008D3B3F" w:rsidRPr="009B2B01" w:rsidRDefault="007D6307" w:rsidP="007808E0">
      <w:pPr>
        <w:spacing w:after="0" w:line="360" w:lineRule="auto"/>
        <w:rPr>
          <w:color w:val="000000"/>
        </w:rPr>
      </w:pPr>
      <w:r w:rsidRPr="009B2B01">
        <w:rPr>
          <w:color w:val="000000"/>
        </w:rPr>
        <w:lastRenderedPageBreak/>
        <w:t>En el presente caso, </w:t>
      </w:r>
      <w:r w:rsidRPr="009B2B01">
        <w:rPr>
          <w:b/>
          <w:color w:val="000000"/>
        </w:rPr>
        <w:t>no se actualiza ninguna de las causales de improcedencia</w:t>
      </w:r>
      <w:r w:rsidRPr="009B2B01">
        <w:rPr>
          <w:color w:val="000000"/>
        </w:rPr>
        <w:t> establecidas en el ordenamiento jurídico previamente señalado, toda vez que: este Instituto no tiene conocimiento de que se encuentre en trámite algún medio de defensa presentado por la</w:t>
      </w:r>
      <w:r w:rsidR="00261B92" w:rsidRPr="009B2B01">
        <w:rPr>
          <w:color w:val="000000"/>
        </w:rPr>
        <w:t xml:space="preserve"> persona</w:t>
      </w:r>
      <w:r w:rsidRPr="009B2B01">
        <w:rPr>
          <w:color w:val="000000"/>
        </w:rPr>
        <w:t xml:space="preserve"> Recurrente ante otra instancia; no existió prevención alguna; la veracidad de la respuesta no formó parte del agravio; ni se realizó una consulta o ampliación a los alcances del requerimiento informativo.</w:t>
      </w:r>
    </w:p>
    <w:p w14:paraId="21CC7CEB" w14:textId="77777777" w:rsidR="00874D8A" w:rsidRPr="009B2B01" w:rsidRDefault="00874D8A" w:rsidP="007808E0">
      <w:pPr>
        <w:spacing w:after="0" w:line="360" w:lineRule="auto"/>
        <w:rPr>
          <w:color w:val="000000"/>
        </w:rPr>
      </w:pPr>
    </w:p>
    <w:p w14:paraId="1593A12B" w14:textId="5232912A" w:rsidR="00304DE6" w:rsidRPr="009B2B01" w:rsidRDefault="007D6307" w:rsidP="007808E0">
      <w:pPr>
        <w:spacing w:after="0" w:line="360" w:lineRule="auto"/>
      </w:pPr>
      <w:r w:rsidRPr="009B2B01">
        <w:t>Por lo cual, se actualiza la causal de procedencia del Recurso de Revisión señal</w:t>
      </w:r>
      <w:r w:rsidR="00261DF6" w:rsidRPr="009B2B01">
        <w:t>ada en el artículo 179, fracci</w:t>
      </w:r>
      <w:r w:rsidR="0060180F" w:rsidRPr="009B2B01">
        <w:t>ón V</w:t>
      </w:r>
      <w:r w:rsidRPr="009B2B01">
        <w:t>, de la Ley en cita, pues la p</w:t>
      </w:r>
      <w:r w:rsidR="00261B92" w:rsidRPr="009B2B01">
        <w:t>ersona</w:t>
      </w:r>
      <w:r w:rsidRPr="009B2B01">
        <w:t xml:space="preserve"> Recurrente se inconformó </w:t>
      </w:r>
      <w:r w:rsidR="00321E54" w:rsidRPr="009B2B01">
        <w:t xml:space="preserve">de la </w:t>
      </w:r>
      <w:r w:rsidR="0060180F" w:rsidRPr="009B2B01">
        <w:t>entrega de información incompleta.</w:t>
      </w:r>
    </w:p>
    <w:p w14:paraId="7B59B025" w14:textId="77777777" w:rsidR="00712ED6" w:rsidRPr="009B2B01" w:rsidRDefault="00712ED6" w:rsidP="007808E0">
      <w:pPr>
        <w:spacing w:after="0" w:line="360" w:lineRule="auto"/>
      </w:pPr>
    </w:p>
    <w:p w14:paraId="55FF691A" w14:textId="6D373E30" w:rsidR="005C690F" w:rsidRPr="009B2B01" w:rsidRDefault="007D6307" w:rsidP="007808E0">
      <w:pPr>
        <w:spacing w:after="0" w:line="360" w:lineRule="auto"/>
        <w:rPr>
          <w:color w:val="0D0D0D"/>
        </w:rPr>
      </w:pPr>
      <w:r w:rsidRPr="009B2B01">
        <w:rPr>
          <w:b/>
          <w:color w:val="0D0D0D"/>
        </w:rPr>
        <w:t>Ca</w:t>
      </w:r>
      <w:r w:rsidR="00CD6238" w:rsidRPr="009B2B01">
        <w:rPr>
          <w:b/>
          <w:color w:val="0D0D0D"/>
        </w:rPr>
        <w:t>usales de sobreseimiento</w:t>
      </w:r>
    </w:p>
    <w:p w14:paraId="426FEE7A" w14:textId="77777777" w:rsidR="005C690F" w:rsidRPr="009B2B01" w:rsidRDefault="005C690F" w:rsidP="007808E0">
      <w:pPr>
        <w:spacing w:after="0" w:line="360" w:lineRule="auto"/>
        <w:rPr>
          <w:color w:val="0D0D0D"/>
        </w:rPr>
      </w:pPr>
    </w:p>
    <w:p w14:paraId="5B1C849A" w14:textId="77777777" w:rsidR="005C690F" w:rsidRPr="009B2B01" w:rsidRDefault="007D6307" w:rsidP="007808E0">
      <w:pPr>
        <w:spacing w:after="0" w:line="360" w:lineRule="auto"/>
        <w:rPr>
          <w:color w:val="0D0D0D"/>
        </w:rPr>
      </w:pPr>
      <w:r w:rsidRPr="009B2B01">
        <w:rPr>
          <w:color w:val="0D0D0D"/>
        </w:rPr>
        <w:t>Por ser de previo y especial pronunciamiento, este Instituto analiza si se actualiza alguna causal de sobreseimiento.</w:t>
      </w:r>
    </w:p>
    <w:p w14:paraId="5CEDF034" w14:textId="77777777" w:rsidR="00A96A4E" w:rsidRPr="009B2B01" w:rsidRDefault="00A96A4E" w:rsidP="007808E0">
      <w:pPr>
        <w:spacing w:after="0" w:line="360" w:lineRule="auto"/>
        <w:rPr>
          <w:color w:val="0D0D0D"/>
        </w:rPr>
      </w:pPr>
    </w:p>
    <w:p w14:paraId="766AB72D" w14:textId="77777777" w:rsidR="00BC038B" w:rsidRPr="009B2B01" w:rsidRDefault="00BC038B" w:rsidP="00BC038B">
      <w:pPr>
        <w:spacing w:after="0" w:line="360" w:lineRule="auto"/>
        <w:rPr>
          <w:color w:val="000000"/>
        </w:rPr>
      </w:pPr>
      <w:r w:rsidRPr="009B2B01">
        <w:rPr>
          <w:color w:val="0D0D0D"/>
        </w:rPr>
        <w:t>Sobre el tema, e</w:t>
      </w:r>
      <w:r w:rsidRPr="009B2B01">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7702338D" w14:textId="77777777" w:rsidR="00BC038B" w:rsidRPr="009B2B01" w:rsidRDefault="00BC038B" w:rsidP="00BC038B">
      <w:pPr>
        <w:spacing w:after="0" w:line="360" w:lineRule="auto"/>
        <w:rPr>
          <w:color w:val="000000"/>
        </w:rPr>
      </w:pPr>
    </w:p>
    <w:p w14:paraId="5BDF3BB4" w14:textId="2A80B251" w:rsidR="00BC038B" w:rsidRPr="009B2B01" w:rsidRDefault="00BC038B" w:rsidP="00BC038B">
      <w:pPr>
        <w:spacing w:after="0" w:line="360" w:lineRule="auto"/>
        <w:rPr>
          <w:color w:val="0D0D0D"/>
        </w:rPr>
      </w:pPr>
      <w:r w:rsidRPr="009B2B01">
        <w:rPr>
          <w:color w:val="0D0D0D"/>
        </w:rPr>
        <w:t>Por tales motivos, se considera procedente entrar al fondo del presente asunto.</w:t>
      </w:r>
    </w:p>
    <w:p w14:paraId="275D3AA1" w14:textId="77777777" w:rsidR="001A44D1" w:rsidRPr="009B2B01" w:rsidRDefault="001A44D1" w:rsidP="007808E0">
      <w:pPr>
        <w:spacing w:after="0" w:line="360" w:lineRule="auto"/>
        <w:rPr>
          <w:b/>
          <w:color w:val="000000"/>
        </w:rPr>
      </w:pPr>
    </w:p>
    <w:p w14:paraId="0A6A0BAE" w14:textId="184EF292" w:rsidR="005C690F" w:rsidRPr="009B2B01" w:rsidRDefault="007D6307" w:rsidP="007808E0">
      <w:pPr>
        <w:pStyle w:val="Ttulo2"/>
        <w:spacing w:before="0" w:after="0" w:line="360" w:lineRule="auto"/>
        <w:rPr>
          <w:sz w:val="22"/>
          <w:szCs w:val="22"/>
        </w:rPr>
      </w:pPr>
      <w:bookmarkStart w:id="13" w:name="_Toc209097581"/>
      <w:r w:rsidRPr="009B2B01">
        <w:rPr>
          <w:sz w:val="22"/>
          <w:szCs w:val="22"/>
        </w:rPr>
        <w:t>TERCERO. De</w:t>
      </w:r>
      <w:r w:rsidR="00CD6238" w:rsidRPr="009B2B01">
        <w:rPr>
          <w:sz w:val="22"/>
          <w:szCs w:val="22"/>
        </w:rPr>
        <w:t>terminación de la Controversia</w:t>
      </w:r>
      <w:bookmarkEnd w:id="13"/>
    </w:p>
    <w:p w14:paraId="4A0739CB" w14:textId="77777777" w:rsidR="00897A05" w:rsidRPr="009B2B01" w:rsidRDefault="00897A05" w:rsidP="007808E0">
      <w:pPr>
        <w:spacing w:after="0" w:line="360" w:lineRule="auto"/>
        <w:rPr>
          <w:b/>
          <w:color w:val="000000"/>
        </w:rPr>
      </w:pPr>
    </w:p>
    <w:p w14:paraId="027F405D" w14:textId="0AB2AA15" w:rsidR="00F723DC" w:rsidRPr="009B2B01" w:rsidRDefault="007C7BAF" w:rsidP="00F723DC">
      <w:pPr>
        <w:spacing w:after="0" w:line="360" w:lineRule="auto"/>
        <w:rPr>
          <w:rFonts w:cs="Tahoma"/>
        </w:rPr>
      </w:pPr>
      <w:r w:rsidRPr="009B2B01">
        <w:rPr>
          <w:rFonts w:cs="Tahoma"/>
        </w:rPr>
        <w:t xml:space="preserve">Con el objetivo de ilustrar la controversia planteada, resulta conveniente precisar, que una vez realizado el estudio de las constancias que integran el expediente en el que se actúa, se desprende que el Particular </w:t>
      </w:r>
      <w:r w:rsidR="00DF59CE" w:rsidRPr="009B2B01">
        <w:rPr>
          <w:rFonts w:cs="Tahoma"/>
        </w:rPr>
        <w:t>requirió</w:t>
      </w:r>
      <w:r w:rsidR="003E63AC" w:rsidRPr="009B2B01">
        <w:rPr>
          <w:rFonts w:cs="Tahoma"/>
        </w:rPr>
        <w:t>,</w:t>
      </w:r>
      <w:r w:rsidR="00321E54" w:rsidRPr="009B2B01">
        <w:rPr>
          <w:rFonts w:cs="Tahoma"/>
        </w:rPr>
        <w:t xml:space="preserve"> </w:t>
      </w:r>
      <w:r w:rsidR="0060180F" w:rsidRPr="009B2B01">
        <w:rPr>
          <w:rFonts w:cs="Tahoma"/>
        </w:rPr>
        <w:t>los vistos buenos y autorizaciones emitidas por la Coordinación de Protección Civil y Bomberos, del primero de julio de dos mil veintitrés al once de marzo de dos mil veinticinco.</w:t>
      </w:r>
    </w:p>
    <w:p w14:paraId="25847767" w14:textId="77777777" w:rsidR="001260CE" w:rsidRPr="009B2B01" w:rsidRDefault="001260CE" w:rsidP="007808E0">
      <w:pPr>
        <w:spacing w:after="0" w:line="360" w:lineRule="auto"/>
        <w:rPr>
          <w:rFonts w:cs="Tahoma"/>
        </w:rPr>
      </w:pPr>
    </w:p>
    <w:p w14:paraId="28F82416" w14:textId="486C1180" w:rsidR="00972243" w:rsidRPr="009B2B01" w:rsidRDefault="007C7BAF" w:rsidP="007808E0">
      <w:pPr>
        <w:spacing w:after="0" w:line="360" w:lineRule="auto"/>
        <w:rPr>
          <w:rFonts w:cs="Tahoma"/>
          <w:lang w:val="es-ES"/>
        </w:rPr>
      </w:pPr>
      <w:r w:rsidRPr="009B2B01">
        <w:rPr>
          <w:color w:val="000000"/>
        </w:rPr>
        <w:t>En respuesta, el Sujeto Obligado,</w:t>
      </w:r>
      <w:r w:rsidR="00644832" w:rsidRPr="009B2B01">
        <w:rPr>
          <w:color w:val="000000"/>
        </w:rPr>
        <w:t xml:space="preserve"> </w:t>
      </w:r>
      <w:r w:rsidR="00C672CD" w:rsidRPr="009B2B01">
        <w:rPr>
          <w:color w:val="000000"/>
        </w:rPr>
        <w:t>a través de</w:t>
      </w:r>
      <w:r w:rsidR="00A26E75" w:rsidRPr="009B2B01">
        <w:rPr>
          <w:color w:val="000000"/>
        </w:rPr>
        <w:t xml:space="preserve"> </w:t>
      </w:r>
      <w:r w:rsidR="0060180F" w:rsidRPr="009B2B01">
        <w:rPr>
          <w:color w:val="000000"/>
        </w:rPr>
        <w:t>la Secretaría del Ayuntamiento mencionó que después de una búsqueda exhaustiva y razonable en sus archivos y después de una expresión documental se entregan los documentos denominados Visto Bueno del Plan de Emergencia emitidos por la Coordinación de Protección Civil y Bomberos y adjuntó noventa y seis hojas que contienen los documentos del Vista Bueno del Plan de Emergencia, del ejercicio fiscal dos mil veintitrés y doscientos treinta y tres hojas que contienen los documentos del Vista Bueno del Plan de Emergencia, del ejercicio fiscal dos mil veinticuatro y del primero de enero al on</w:t>
      </w:r>
      <w:r w:rsidR="00AE3A14" w:rsidRPr="009B2B01">
        <w:rPr>
          <w:color w:val="000000"/>
        </w:rPr>
        <w:t>ce marzo de dos mil veinticinco</w:t>
      </w:r>
      <w:r w:rsidR="00C672CD" w:rsidRPr="009B2B01">
        <w:rPr>
          <w:color w:val="000000"/>
          <w:sz w:val="24"/>
        </w:rPr>
        <w:t>;</w:t>
      </w:r>
      <w:r w:rsidRPr="009B2B01">
        <w:t xml:space="preserve"> </w:t>
      </w:r>
      <w:r w:rsidRPr="009B2B01">
        <w:rPr>
          <w:rFonts w:cs="Tahoma"/>
          <w:lang w:val="es-ES"/>
        </w:rPr>
        <w:t>ante dicha circunstancia, el Particular se inconformó</w:t>
      </w:r>
      <w:r w:rsidR="00644832" w:rsidRPr="009B2B01">
        <w:rPr>
          <w:rFonts w:cs="Tahoma"/>
          <w:lang w:val="es-ES"/>
        </w:rPr>
        <w:t xml:space="preserve"> </w:t>
      </w:r>
      <w:r w:rsidR="00966BF0" w:rsidRPr="009B2B01">
        <w:rPr>
          <w:rFonts w:cs="Tahoma"/>
          <w:lang w:val="es-ES"/>
        </w:rPr>
        <w:t>de</w:t>
      </w:r>
      <w:r w:rsidR="00105B6E" w:rsidRPr="009B2B01">
        <w:rPr>
          <w:rFonts w:cs="Tahoma"/>
          <w:lang w:val="es-ES"/>
        </w:rPr>
        <w:t xml:space="preserve"> la</w:t>
      </w:r>
      <w:r w:rsidR="009750E8" w:rsidRPr="009B2B01">
        <w:rPr>
          <w:rFonts w:cs="Tahoma"/>
          <w:lang w:val="es-ES"/>
        </w:rPr>
        <w:t xml:space="preserve"> </w:t>
      </w:r>
      <w:r w:rsidR="00AE3A14" w:rsidRPr="009B2B01">
        <w:rPr>
          <w:rFonts w:cs="Tahoma"/>
          <w:lang w:val="es-ES"/>
        </w:rPr>
        <w:t>entrega de información incompleta</w:t>
      </w:r>
      <w:r w:rsidR="001A7F04" w:rsidRPr="009B2B01">
        <w:rPr>
          <w:rFonts w:cs="Tahoma"/>
          <w:lang w:val="es-ES"/>
        </w:rPr>
        <w:t xml:space="preserve">, </w:t>
      </w:r>
      <w:r w:rsidRPr="009B2B01">
        <w:rPr>
          <w:rFonts w:cs="Tahoma"/>
          <w:lang w:val="es-ES"/>
        </w:rPr>
        <w:t xml:space="preserve">lo cual </w:t>
      </w:r>
      <w:r w:rsidRPr="009B2B01">
        <w:rPr>
          <w:rFonts w:eastAsia="Calibri" w:cs="Tahoma"/>
        </w:rPr>
        <w:t>actualiza la causal de proce</w:t>
      </w:r>
      <w:r w:rsidR="00413093" w:rsidRPr="009B2B01">
        <w:rPr>
          <w:rFonts w:eastAsia="Calibri" w:cs="Tahoma"/>
        </w:rPr>
        <w:t xml:space="preserve">dencia prevista en la fracción </w:t>
      </w:r>
      <w:r w:rsidR="00AE3A14" w:rsidRPr="009B2B01">
        <w:rPr>
          <w:rFonts w:eastAsia="Calibri" w:cs="Tahoma"/>
        </w:rPr>
        <w:t>V</w:t>
      </w:r>
      <w:r w:rsidRPr="009B2B01">
        <w:rPr>
          <w:rFonts w:eastAsia="Calibri" w:cs="Tahoma"/>
        </w:rPr>
        <w:t>, del artículo 179 de la Ley de Transparencia y Acceso a la Información Pública del Estado de México y Municipios</w:t>
      </w:r>
      <w:r w:rsidRPr="009B2B01">
        <w:rPr>
          <w:color w:val="0D0D0D"/>
        </w:rPr>
        <w:t xml:space="preserve">. </w:t>
      </w:r>
      <w:r w:rsidRPr="009B2B01">
        <w:rPr>
          <w:rFonts w:eastAsia="Calibri" w:cs="Tahoma"/>
        </w:rPr>
        <w:t>Así, las cosas, una vez admitido y notificado el Recurso de Revisión</w:t>
      </w:r>
      <w:r w:rsidR="00AE3A14" w:rsidRPr="009B2B01">
        <w:rPr>
          <w:rFonts w:eastAsia="Calibri" w:cs="Tahoma"/>
        </w:rPr>
        <w:t xml:space="preserve"> a las partes, el Sujeto Obligado ratificó su respuesta.</w:t>
      </w:r>
    </w:p>
    <w:p w14:paraId="2CDF3A4B" w14:textId="77777777" w:rsidR="00F723DC" w:rsidRPr="009B2B01" w:rsidRDefault="00F723DC" w:rsidP="007808E0">
      <w:pPr>
        <w:spacing w:after="0" w:line="360" w:lineRule="auto"/>
        <w:rPr>
          <w:color w:val="000000"/>
        </w:rPr>
      </w:pPr>
    </w:p>
    <w:p w14:paraId="22C5958E" w14:textId="56E4AB34" w:rsidR="007C7BAF" w:rsidRPr="009B2B01" w:rsidRDefault="007C7BAF" w:rsidP="007808E0">
      <w:pPr>
        <w:tabs>
          <w:tab w:val="left" w:pos="4962"/>
        </w:tabs>
        <w:spacing w:after="0" w:line="360" w:lineRule="auto"/>
        <w:rPr>
          <w:rFonts w:eastAsia="Calibri" w:cs="Tahoma"/>
          <w:iCs/>
          <w:lang w:val="es-ES" w:eastAsia="es-ES_tradnl"/>
        </w:rPr>
      </w:pPr>
      <w:r w:rsidRPr="009B2B01">
        <w:rPr>
          <w:rFonts w:eastAsia="Calibri" w:cs="Tahoma"/>
          <w:iCs/>
          <w:lang w:val="es-ES" w:eastAsia="es-ES_tradnl"/>
        </w:rPr>
        <w:t>Lo anterior, se desprende de las documentales que obran en el expediente de referencia, materia de la presente resolución, consistente en: la solic</w:t>
      </w:r>
      <w:r w:rsidR="00BB3F28" w:rsidRPr="009B2B01">
        <w:rPr>
          <w:rFonts w:eastAsia="Calibri" w:cs="Tahoma"/>
          <w:iCs/>
          <w:lang w:val="es-ES" w:eastAsia="es-ES_tradnl"/>
        </w:rPr>
        <w:t>i</w:t>
      </w:r>
      <w:r w:rsidR="0076190F" w:rsidRPr="009B2B01">
        <w:rPr>
          <w:rFonts w:eastAsia="Calibri" w:cs="Tahoma"/>
          <w:iCs/>
          <w:lang w:val="es-ES" w:eastAsia="es-ES_tradnl"/>
        </w:rPr>
        <w:t xml:space="preserve">tud de acceso a </w:t>
      </w:r>
      <w:r w:rsidR="004E2EF2" w:rsidRPr="009B2B01">
        <w:rPr>
          <w:rFonts w:eastAsia="Calibri" w:cs="Tahoma"/>
          <w:iCs/>
          <w:lang w:val="es-ES" w:eastAsia="es-ES_tradnl"/>
        </w:rPr>
        <w:t>la información</w:t>
      </w:r>
      <w:r w:rsidR="00AE3A14" w:rsidRPr="009B2B01">
        <w:rPr>
          <w:rFonts w:eastAsia="Calibri" w:cs="Tahoma"/>
          <w:iCs/>
          <w:lang w:val="es-ES" w:eastAsia="es-ES_tradnl"/>
        </w:rPr>
        <w:t xml:space="preserve">, </w:t>
      </w:r>
      <w:r w:rsidRPr="009B2B01">
        <w:rPr>
          <w:rFonts w:eastAsia="Calibri" w:cs="Tahoma"/>
          <w:iCs/>
          <w:lang w:eastAsia="es-ES_tradnl"/>
        </w:rPr>
        <w:t xml:space="preserve">el escrito </w:t>
      </w:r>
      <w:proofErr w:type="spellStart"/>
      <w:r w:rsidRPr="009B2B01">
        <w:rPr>
          <w:rFonts w:eastAsia="Calibri" w:cs="Tahoma"/>
          <w:iCs/>
          <w:lang w:eastAsia="es-ES_tradnl"/>
        </w:rPr>
        <w:t>recursal</w:t>
      </w:r>
      <w:proofErr w:type="spellEnd"/>
      <w:r w:rsidR="00AE3A14" w:rsidRPr="009B2B01">
        <w:rPr>
          <w:rFonts w:eastAsia="Calibri" w:cs="Tahoma"/>
          <w:iCs/>
          <w:lang w:eastAsia="es-ES_tradnl"/>
        </w:rPr>
        <w:t xml:space="preserve"> y el Informe Justificado</w:t>
      </w:r>
      <w:r w:rsidRPr="009B2B01">
        <w:rPr>
          <w:rFonts w:eastAsia="Calibri" w:cs="Tahoma"/>
          <w:iCs/>
          <w:lang w:eastAsia="es-ES_tradnl"/>
        </w:rPr>
        <w:t xml:space="preserve">; </w:t>
      </w:r>
      <w:r w:rsidRPr="009B2B01">
        <w:rPr>
          <w:rFonts w:eastAsia="Calibri" w:cs="Tahoma"/>
          <w:bCs/>
        </w:rPr>
        <w:t xml:space="preserve">instrumentales que se toman en cuenta a efecto de resolver el presente medio de impugnación, conforme a lo dispuesto por el artículo 185, </w:t>
      </w:r>
      <w:r w:rsidRPr="009B2B01">
        <w:rPr>
          <w:rFonts w:eastAsia="Calibri" w:cs="Tahoma"/>
          <w:bCs/>
        </w:rPr>
        <w:lastRenderedPageBreak/>
        <w:t>fracción IV, de la Ley de Transparencia y Acceso a la Información Pública del Estado de México y Municipios.</w:t>
      </w:r>
    </w:p>
    <w:p w14:paraId="766B3A4D" w14:textId="7FD5AF07" w:rsidR="00C672CD" w:rsidRPr="009B2B01" w:rsidRDefault="00C672CD" w:rsidP="007808E0">
      <w:pPr>
        <w:pStyle w:val="Ttulo2"/>
        <w:spacing w:before="0" w:after="0" w:line="360" w:lineRule="auto"/>
        <w:rPr>
          <w:sz w:val="22"/>
          <w:szCs w:val="22"/>
        </w:rPr>
      </w:pPr>
    </w:p>
    <w:p w14:paraId="36DCBD9D" w14:textId="0AA8912A" w:rsidR="005C690F" w:rsidRPr="009B2B01" w:rsidRDefault="007D6307" w:rsidP="007808E0">
      <w:pPr>
        <w:pStyle w:val="Ttulo2"/>
        <w:spacing w:before="0" w:after="0" w:line="360" w:lineRule="auto"/>
        <w:rPr>
          <w:sz w:val="22"/>
          <w:szCs w:val="22"/>
        </w:rPr>
      </w:pPr>
      <w:bookmarkStart w:id="14" w:name="_Toc209097582"/>
      <w:r w:rsidRPr="009B2B01">
        <w:rPr>
          <w:sz w:val="22"/>
          <w:szCs w:val="22"/>
        </w:rPr>
        <w:t xml:space="preserve">CUARTO. Marco normativo aplicable en materia de transparencia y </w:t>
      </w:r>
      <w:r w:rsidR="00CD6238" w:rsidRPr="009B2B01">
        <w:rPr>
          <w:sz w:val="22"/>
          <w:szCs w:val="22"/>
        </w:rPr>
        <w:t>acceso a la información pública</w:t>
      </w:r>
      <w:bookmarkEnd w:id="14"/>
    </w:p>
    <w:p w14:paraId="4D62F8F1" w14:textId="77777777" w:rsidR="005C690F" w:rsidRPr="009B2B01" w:rsidRDefault="005C690F" w:rsidP="007808E0">
      <w:pPr>
        <w:spacing w:after="0" w:line="360" w:lineRule="auto"/>
        <w:rPr>
          <w:color w:val="000000"/>
        </w:rPr>
      </w:pPr>
    </w:p>
    <w:p w14:paraId="68F50546" w14:textId="77777777" w:rsidR="005C690F" w:rsidRPr="009B2B01" w:rsidRDefault="007D6307" w:rsidP="007808E0">
      <w:pPr>
        <w:spacing w:after="0" w:line="360" w:lineRule="auto"/>
        <w:rPr>
          <w:color w:val="000000"/>
        </w:rPr>
      </w:pPr>
      <w:r w:rsidRPr="009B2B01">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92A5D2D" w14:textId="77777777" w:rsidR="005C690F" w:rsidRPr="009B2B01" w:rsidRDefault="005C690F" w:rsidP="007808E0">
      <w:pPr>
        <w:spacing w:after="0" w:line="360" w:lineRule="auto"/>
        <w:rPr>
          <w:color w:val="000000"/>
        </w:rPr>
      </w:pPr>
    </w:p>
    <w:p w14:paraId="69458899" w14:textId="77777777" w:rsidR="005C690F" w:rsidRPr="009B2B01" w:rsidRDefault="007D6307" w:rsidP="007808E0">
      <w:pPr>
        <w:spacing w:after="0" w:line="360" w:lineRule="auto"/>
        <w:rPr>
          <w:color w:val="000000"/>
        </w:rPr>
      </w:pPr>
      <w:r w:rsidRPr="009B2B01">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B963C29" w14:textId="77777777" w:rsidR="005C690F" w:rsidRPr="009B2B01" w:rsidRDefault="005C690F" w:rsidP="007808E0">
      <w:pPr>
        <w:spacing w:after="0" w:line="360" w:lineRule="auto"/>
        <w:rPr>
          <w:color w:val="000000"/>
        </w:rPr>
      </w:pPr>
    </w:p>
    <w:p w14:paraId="3D8EBDEC" w14:textId="77777777" w:rsidR="005C690F" w:rsidRPr="009B2B01" w:rsidRDefault="007D6307" w:rsidP="007808E0">
      <w:pPr>
        <w:spacing w:after="0" w:line="360" w:lineRule="auto"/>
        <w:rPr>
          <w:color w:val="000000"/>
        </w:rPr>
      </w:pPr>
      <w:r w:rsidRPr="009B2B01">
        <w:rPr>
          <w:color w:val="000000"/>
        </w:rPr>
        <w:t>Por su parte, la Ley de Transparencia y Acceso a la Información Pública del Estado de México y Municipios (Reglamentaria del artículo 5° de la Constitución Local), establece lo siguiente:</w:t>
      </w:r>
    </w:p>
    <w:p w14:paraId="2818D616" w14:textId="77777777" w:rsidR="005C690F" w:rsidRPr="009B2B01" w:rsidRDefault="005C690F" w:rsidP="007808E0">
      <w:pPr>
        <w:spacing w:after="0" w:line="360" w:lineRule="auto"/>
        <w:rPr>
          <w:color w:val="000000"/>
        </w:rPr>
      </w:pPr>
    </w:p>
    <w:p w14:paraId="5BD9CB2E" w14:textId="77777777" w:rsidR="005C690F" w:rsidRPr="009B2B01" w:rsidRDefault="007D6307" w:rsidP="007808E0">
      <w:pPr>
        <w:spacing w:after="0" w:line="360" w:lineRule="auto"/>
        <w:rPr>
          <w:color w:val="000000"/>
        </w:rPr>
      </w:pPr>
      <w:r w:rsidRPr="009B2B01">
        <w:rPr>
          <w:color w:val="000000"/>
        </w:rPr>
        <w:t>El artículo 12, que, quienes generen, recopilen, administren, manejen, procesen, archiven o conserven información pública serán responsables de la misma.</w:t>
      </w:r>
    </w:p>
    <w:p w14:paraId="6BD1FFBB" w14:textId="77777777" w:rsidR="007C02D1" w:rsidRPr="009B2B01" w:rsidRDefault="007C02D1" w:rsidP="007808E0">
      <w:pPr>
        <w:spacing w:after="0" w:line="360" w:lineRule="auto"/>
        <w:rPr>
          <w:color w:val="000000"/>
        </w:rPr>
      </w:pPr>
    </w:p>
    <w:p w14:paraId="3D899A16" w14:textId="77777777" w:rsidR="005C690F" w:rsidRPr="009B2B01" w:rsidRDefault="007D6307" w:rsidP="007808E0">
      <w:pPr>
        <w:widowControl w:val="0"/>
        <w:spacing w:after="0" w:line="360" w:lineRule="auto"/>
        <w:rPr>
          <w:color w:val="000000"/>
        </w:rPr>
      </w:pPr>
      <w:r w:rsidRPr="009B2B01">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1E2F11F7" w14:textId="77777777" w:rsidR="00B153FA" w:rsidRPr="009B2B01" w:rsidRDefault="00B153FA" w:rsidP="007808E0">
      <w:pPr>
        <w:widowControl w:val="0"/>
        <w:spacing w:after="0" w:line="360" w:lineRule="auto"/>
        <w:rPr>
          <w:color w:val="000000"/>
        </w:rPr>
      </w:pPr>
    </w:p>
    <w:p w14:paraId="70E5B643" w14:textId="378E2A57" w:rsidR="00B04A35" w:rsidRPr="009B2B01" w:rsidRDefault="007D6307" w:rsidP="007808E0">
      <w:pPr>
        <w:spacing w:after="0" w:line="360" w:lineRule="auto"/>
        <w:rPr>
          <w:color w:val="000000"/>
        </w:rPr>
      </w:pPr>
      <w:r w:rsidRPr="009B2B01">
        <w:rPr>
          <w:color w:val="000000"/>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0795D2E" w14:textId="77777777" w:rsidR="005C690F" w:rsidRPr="009B2B01" w:rsidRDefault="005C690F" w:rsidP="007808E0">
      <w:pPr>
        <w:spacing w:after="0" w:line="360" w:lineRule="auto"/>
      </w:pPr>
    </w:p>
    <w:p w14:paraId="3AF871E5" w14:textId="6FEB966D" w:rsidR="005C690F" w:rsidRPr="009B2B01" w:rsidRDefault="00CD6238" w:rsidP="007808E0">
      <w:pPr>
        <w:pStyle w:val="Ttulo2"/>
        <w:spacing w:before="0" w:after="0" w:line="360" w:lineRule="auto"/>
        <w:rPr>
          <w:sz w:val="22"/>
          <w:szCs w:val="22"/>
        </w:rPr>
      </w:pPr>
      <w:bookmarkStart w:id="15" w:name="_Toc209097583"/>
      <w:r w:rsidRPr="009B2B01">
        <w:rPr>
          <w:sz w:val="22"/>
          <w:szCs w:val="22"/>
        </w:rPr>
        <w:t>Q</w:t>
      </w:r>
      <w:r w:rsidR="0044017B" w:rsidRPr="009B2B01">
        <w:rPr>
          <w:sz w:val="22"/>
          <w:szCs w:val="22"/>
        </w:rPr>
        <w:t>UINTO</w:t>
      </w:r>
      <w:r w:rsidRPr="009B2B01">
        <w:rPr>
          <w:sz w:val="22"/>
          <w:szCs w:val="22"/>
        </w:rPr>
        <w:t>. Estudio de Fondo</w:t>
      </w:r>
      <w:bookmarkEnd w:id="15"/>
    </w:p>
    <w:p w14:paraId="2596B212" w14:textId="77777777" w:rsidR="00A56228" w:rsidRPr="009B2B01" w:rsidRDefault="00A56228" w:rsidP="007808E0">
      <w:pPr>
        <w:spacing w:after="0" w:line="360" w:lineRule="auto"/>
        <w:rPr>
          <w:b/>
          <w:color w:val="000000"/>
        </w:rPr>
      </w:pPr>
    </w:p>
    <w:p w14:paraId="63BCC1E3" w14:textId="100FCE1F" w:rsidR="00A6674B" w:rsidRPr="009B2B01" w:rsidRDefault="0064067B" w:rsidP="007808E0">
      <w:pPr>
        <w:spacing w:after="0" w:line="360" w:lineRule="auto"/>
        <w:rPr>
          <w:rFonts w:eastAsia="Times New Roman" w:cs="Tahoma"/>
          <w:bCs/>
          <w:iCs/>
          <w:lang w:eastAsia="es-ES"/>
        </w:rPr>
      </w:pPr>
      <w:r w:rsidRPr="009B2B01">
        <w:rPr>
          <w:color w:val="000000"/>
        </w:rPr>
        <w:t>Expuestas las posturas de las partes, se procede al análisis de los agravios hechos valer por la persona Recurrente</w:t>
      </w:r>
      <w:r w:rsidR="00731FB9" w:rsidRPr="009B2B01">
        <w:t xml:space="preserve">, </w:t>
      </w:r>
      <w:r w:rsidR="007F4407" w:rsidRPr="009B2B01">
        <w:rPr>
          <w:rFonts w:eastAsia="Times New Roman" w:cs="Tahoma"/>
          <w:bCs/>
          <w:iCs/>
          <w:lang w:eastAsia="es-ES"/>
        </w:rPr>
        <w:t>por lo que, en principio es necesario contextualizar la solicitud de información</w:t>
      </w:r>
      <w:r w:rsidR="00A6674B" w:rsidRPr="009B2B01">
        <w:rPr>
          <w:rFonts w:eastAsia="Times New Roman" w:cs="Tahoma"/>
          <w:bCs/>
          <w:iCs/>
          <w:lang w:eastAsia="es-ES"/>
        </w:rPr>
        <w:t>.</w:t>
      </w:r>
    </w:p>
    <w:p w14:paraId="0E05AF93" w14:textId="77777777" w:rsidR="007C0023" w:rsidRPr="009B2B01" w:rsidRDefault="007C0023" w:rsidP="007808E0">
      <w:pPr>
        <w:spacing w:after="0" w:line="360" w:lineRule="auto"/>
        <w:rPr>
          <w:rFonts w:eastAsia="Times New Roman" w:cs="Tahoma"/>
          <w:bCs/>
          <w:iCs/>
          <w:lang w:eastAsia="es-ES"/>
        </w:rPr>
      </w:pPr>
    </w:p>
    <w:p w14:paraId="60D3F543" w14:textId="73AC2F00" w:rsidR="00CD1990" w:rsidRPr="009B2B01" w:rsidRDefault="00CD1990" w:rsidP="00CD1990">
      <w:pPr>
        <w:spacing w:after="0" w:line="360" w:lineRule="auto"/>
        <w:rPr>
          <w:rFonts w:eastAsia="Times New Roman" w:cs="Tahoma"/>
          <w:bCs/>
          <w:iCs/>
          <w:lang w:eastAsia="es-ES"/>
        </w:rPr>
      </w:pPr>
      <w:r w:rsidRPr="009B2B01">
        <w:rPr>
          <w:rFonts w:eastAsia="Times New Roman" w:cs="Tahoma"/>
          <w:bCs/>
          <w:iCs/>
          <w:lang w:eastAsia="es-ES"/>
        </w:rPr>
        <w:t xml:space="preserve">Al respecto, de conformidad con lo dispuesto en la página oficial de la Coordinación General de Protección Civil y Gestión Integral del Riesgo, en la liga electrónica </w:t>
      </w:r>
      <w:hyperlink r:id="rId9" w:history="1">
        <w:r w:rsidRPr="009B2B01">
          <w:rPr>
            <w:rStyle w:val="Hipervnculo"/>
            <w:rFonts w:eastAsia="Times New Roman" w:cs="Tahoma"/>
            <w:bCs/>
            <w:iCs/>
            <w:lang w:eastAsia="es-ES"/>
          </w:rPr>
          <w:t>https://cgproteccioncivil.edomex.gob.mx/planes_emergencia</w:t>
        </w:r>
      </w:hyperlink>
      <w:r w:rsidRPr="009B2B01">
        <w:rPr>
          <w:rFonts w:eastAsia="Times New Roman" w:cs="Tahoma"/>
          <w:bCs/>
          <w:iCs/>
          <w:lang w:eastAsia="es-ES"/>
        </w:rPr>
        <w:t>, establece que, los Planes de Emergencia son la organización de las acciones, personas, servicios y recursos disponibles para la atención de un desastre, con base en la evaluación de riesgos, disponibilidad de recursos materiales y humanos, preparación de la comunidad, capacidad de respuesta local e internacional, etcétera, los pasos para la aplicación de un plan de emergencia son los siguientes:</w:t>
      </w:r>
    </w:p>
    <w:p w14:paraId="3E74E448" w14:textId="77777777" w:rsidR="00CD1990" w:rsidRPr="009B2B01" w:rsidRDefault="00CD1990" w:rsidP="00CD1990">
      <w:pPr>
        <w:spacing w:after="0" w:line="360" w:lineRule="auto"/>
        <w:rPr>
          <w:rFonts w:eastAsia="Times New Roman" w:cs="Tahoma"/>
          <w:bCs/>
          <w:iCs/>
          <w:lang w:eastAsia="es-ES"/>
        </w:rPr>
      </w:pPr>
    </w:p>
    <w:p w14:paraId="256668F0" w14:textId="77777777" w:rsidR="00CD1990" w:rsidRPr="009B2B01" w:rsidRDefault="00CD1990" w:rsidP="005862B6">
      <w:pPr>
        <w:pStyle w:val="Prrafodelista"/>
        <w:numPr>
          <w:ilvl w:val="0"/>
          <w:numId w:val="1"/>
        </w:numPr>
        <w:spacing w:line="360" w:lineRule="auto"/>
        <w:rPr>
          <w:rFonts w:cs="Tahoma"/>
          <w:bCs/>
          <w:iCs/>
        </w:rPr>
      </w:pPr>
      <w:r w:rsidRPr="009B2B01">
        <w:rPr>
          <w:rFonts w:cs="Tahoma"/>
          <w:bCs/>
          <w:iCs/>
        </w:rPr>
        <w:t>Evacuación</w:t>
      </w:r>
    </w:p>
    <w:p w14:paraId="64D47D4D" w14:textId="77777777" w:rsidR="00CD1990" w:rsidRPr="009B2B01" w:rsidRDefault="00CD1990" w:rsidP="005862B6">
      <w:pPr>
        <w:pStyle w:val="Prrafodelista"/>
        <w:numPr>
          <w:ilvl w:val="0"/>
          <w:numId w:val="1"/>
        </w:numPr>
        <w:spacing w:line="360" w:lineRule="auto"/>
        <w:rPr>
          <w:rFonts w:cs="Tahoma"/>
          <w:bCs/>
          <w:iCs/>
        </w:rPr>
      </w:pPr>
      <w:r w:rsidRPr="009B2B01">
        <w:rPr>
          <w:rFonts w:cs="Tahoma"/>
          <w:bCs/>
          <w:iCs/>
        </w:rPr>
        <w:t>Suspensión de actividades</w:t>
      </w:r>
    </w:p>
    <w:p w14:paraId="46D7E311" w14:textId="77777777" w:rsidR="00CD1990" w:rsidRPr="009B2B01" w:rsidRDefault="00CD1990" w:rsidP="005862B6">
      <w:pPr>
        <w:pStyle w:val="Prrafodelista"/>
        <w:numPr>
          <w:ilvl w:val="0"/>
          <w:numId w:val="1"/>
        </w:numPr>
        <w:spacing w:line="360" w:lineRule="auto"/>
        <w:rPr>
          <w:rFonts w:cs="Tahoma"/>
          <w:bCs/>
          <w:iCs/>
        </w:rPr>
      </w:pPr>
      <w:r w:rsidRPr="009B2B01">
        <w:rPr>
          <w:rFonts w:cs="Tahoma"/>
          <w:bCs/>
          <w:iCs/>
        </w:rPr>
        <w:t>Clausura temporal, parcial o total</w:t>
      </w:r>
    </w:p>
    <w:p w14:paraId="632ED2D3" w14:textId="77777777" w:rsidR="00CD1990" w:rsidRPr="009B2B01" w:rsidRDefault="00CD1990" w:rsidP="005862B6">
      <w:pPr>
        <w:pStyle w:val="Prrafodelista"/>
        <w:numPr>
          <w:ilvl w:val="0"/>
          <w:numId w:val="1"/>
        </w:numPr>
        <w:spacing w:line="360" w:lineRule="auto"/>
        <w:rPr>
          <w:rFonts w:cs="Tahoma"/>
          <w:bCs/>
          <w:iCs/>
        </w:rPr>
      </w:pPr>
      <w:r w:rsidRPr="009B2B01">
        <w:rPr>
          <w:rFonts w:cs="Tahoma"/>
          <w:bCs/>
          <w:iCs/>
        </w:rPr>
        <w:t>Desocupación de predios, casas, edificios o establecimientos</w:t>
      </w:r>
    </w:p>
    <w:p w14:paraId="165AC5B7" w14:textId="77777777" w:rsidR="00CD1990" w:rsidRPr="009B2B01" w:rsidRDefault="00CD1990" w:rsidP="005862B6">
      <w:pPr>
        <w:pStyle w:val="Prrafodelista"/>
        <w:numPr>
          <w:ilvl w:val="0"/>
          <w:numId w:val="1"/>
        </w:numPr>
        <w:spacing w:line="360" w:lineRule="auto"/>
        <w:rPr>
          <w:rFonts w:cs="Tahoma"/>
          <w:bCs/>
          <w:iCs/>
        </w:rPr>
      </w:pPr>
      <w:r w:rsidRPr="009B2B01">
        <w:rPr>
          <w:rFonts w:cs="Tahoma"/>
          <w:bCs/>
          <w:iCs/>
        </w:rPr>
        <w:t>Aseguramiento y destrucción de objetos, productos o sustancias</w:t>
      </w:r>
    </w:p>
    <w:p w14:paraId="13AB45C3" w14:textId="3D0F01C5" w:rsidR="00B5672A" w:rsidRPr="009B2B01" w:rsidRDefault="00CD1990" w:rsidP="005862B6">
      <w:pPr>
        <w:pStyle w:val="Prrafodelista"/>
        <w:numPr>
          <w:ilvl w:val="0"/>
          <w:numId w:val="1"/>
        </w:numPr>
        <w:spacing w:line="360" w:lineRule="auto"/>
        <w:rPr>
          <w:rFonts w:cs="Tahoma"/>
          <w:bCs/>
          <w:iCs/>
        </w:rPr>
      </w:pPr>
      <w:r w:rsidRPr="009B2B01">
        <w:rPr>
          <w:rFonts w:cs="Tahoma"/>
          <w:bCs/>
          <w:iCs/>
        </w:rPr>
        <w:t>Aislamiento de áreas afectadas</w:t>
      </w:r>
    </w:p>
    <w:p w14:paraId="03C3C301" w14:textId="77777777" w:rsidR="00B5672A" w:rsidRPr="009B2B01" w:rsidRDefault="00B5672A" w:rsidP="00B5672A">
      <w:pPr>
        <w:spacing w:line="360" w:lineRule="auto"/>
        <w:rPr>
          <w:rFonts w:cs="Tahoma"/>
          <w:bCs/>
          <w:iCs/>
        </w:rPr>
      </w:pPr>
    </w:p>
    <w:p w14:paraId="61FDEF04" w14:textId="120C0F97" w:rsidR="00CD43D1" w:rsidRPr="009B2B01" w:rsidRDefault="00B5672A" w:rsidP="006C350C">
      <w:pPr>
        <w:spacing w:after="0" w:line="360" w:lineRule="auto"/>
        <w:rPr>
          <w:rFonts w:cs="Tahoma"/>
          <w:bCs/>
          <w:iCs/>
        </w:rPr>
      </w:pPr>
      <w:r w:rsidRPr="009B2B01">
        <w:rPr>
          <w:rFonts w:cs="Tahoma"/>
          <w:bCs/>
          <w:iCs/>
        </w:rPr>
        <w:t>En ese sentido, de conformidad con la Norma Técnica de Protección Civil NTE-001-CGPC-2016</w:t>
      </w:r>
      <w:r w:rsidR="00CD43D1" w:rsidRPr="009B2B01">
        <w:rPr>
          <w:rFonts w:cs="Tahoma"/>
          <w:bCs/>
          <w:iCs/>
        </w:rPr>
        <w:t>, en la cual se establecen los Lineamientos y las Especificaciones para la Elaboración de Programas Internos o Específicos de Protección C</w:t>
      </w:r>
      <w:r w:rsidRPr="009B2B01">
        <w:rPr>
          <w:rFonts w:cs="Tahoma"/>
          <w:bCs/>
          <w:iCs/>
        </w:rPr>
        <w:t>ivi</w:t>
      </w:r>
      <w:r w:rsidR="00CD43D1" w:rsidRPr="009B2B01">
        <w:rPr>
          <w:rFonts w:cs="Tahoma"/>
          <w:bCs/>
          <w:iCs/>
        </w:rPr>
        <w:t>l, que deberán desarrollar las Dependencias, O</w:t>
      </w:r>
      <w:r w:rsidRPr="009B2B01">
        <w:rPr>
          <w:rFonts w:cs="Tahoma"/>
          <w:bCs/>
          <w:iCs/>
        </w:rPr>
        <w:t>rganismos, y Entidades de los Sectores Público, Social y Privado</w:t>
      </w:r>
      <w:r w:rsidR="00CD43D1" w:rsidRPr="009B2B01">
        <w:rPr>
          <w:rFonts w:cs="Tahoma"/>
          <w:bCs/>
          <w:iCs/>
        </w:rPr>
        <w:t xml:space="preserve">, encaminados a proteger a las personas que estén en sus instalaciones, así como sus bienes, a través de acciones de prevención, auxilio y recuperación, en caso de riesgo o desastre, define al Plan de Emergencia como la parte integrante del Subprograma de Auxilio que consiste en la organización de las acciones, servicios y recursos disponibles, tendientes a dar respuesta ante una situación de emergencia o desastre.  </w:t>
      </w:r>
    </w:p>
    <w:p w14:paraId="73BED26B" w14:textId="77777777" w:rsidR="006C350C" w:rsidRPr="009B2B01" w:rsidRDefault="006C350C" w:rsidP="006C350C">
      <w:pPr>
        <w:spacing w:after="0" w:line="360" w:lineRule="auto"/>
        <w:rPr>
          <w:rFonts w:cs="Tahoma"/>
          <w:bCs/>
          <w:iCs/>
        </w:rPr>
      </w:pPr>
    </w:p>
    <w:p w14:paraId="65665382" w14:textId="68222045" w:rsidR="00207F1E" w:rsidRPr="009B2B01" w:rsidRDefault="006C350C" w:rsidP="00783960">
      <w:pPr>
        <w:spacing w:after="0" w:line="360" w:lineRule="auto"/>
        <w:rPr>
          <w:rFonts w:cs="Tahoma"/>
          <w:bCs/>
          <w:iCs/>
        </w:rPr>
      </w:pPr>
      <w:r w:rsidRPr="009B2B01">
        <w:rPr>
          <w:rFonts w:cs="Tahoma"/>
          <w:bCs/>
          <w:iCs/>
        </w:rPr>
        <w:t>A</w:t>
      </w:r>
      <w:r w:rsidR="00207F1E" w:rsidRPr="009B2B01">
        <w:rPr>
          <w:rFonts w:cs="Tahoma"/>
          <w:bCs/>
          <w:iCs/>
        </w:rPr>
        <w:t xml:space="preserve">simismo, el artículo 81 de la Ley Orgánica Municipal del Estado de México, precisa que, </w:t>
      </w:r>
      <w:r w:rsidR="00783960" w:rsidRPr="009B2B01">
        <w:rPr>
          <w:rFonts w:cs="Tahoma"/>
          <w:bCs/>
          <w:iCs/>
        </w:rPr>
        <w:t>e</w:t>
      </w:r>
      <w:r w:rsidR="00207F1E" w:rsidRPr="009B2B01">
        <w:rPr>
          <w:rFonts w:cs="Tahoma"/>
          <w:bCs/>
          <w:iCs/>
        </w:rPr>
        <w:t>n cada municipio se establecerá una Coordinación</w:t>
      </w:r>
      <w:r w:rsidR="00783960" w:rsidRPr="009B2B01">
        <w:rPr>
          <w:rFonts w:cs="Tahoma"/>
          <w:bCs/>
          <w:iCs/>
        </w:rPr>
        <w:t xml:space="preserve"> Municipal de Protección Civil  </w:t>
      </w:r>
      <w:r w:rsidR="00207F1E" w:rsidRPr="009B2B01">
        <w:rPr>
          <w:rFonts w:cs="Tahoma"/>
          <w:bCs/>
          <w:iCs/>
        </w:rPr>
        <w:t>misma que se coordinará con las dependencias de la a</w:t>
      </w:r>
      <w:r w:rsidR="00783960" w:rsidRPr="009B2B01">
        <w:rPr>
          <w:rFonts w:cs="Tahoma"/>
          <w:bCs/>
          <w:iCs/>
        </w:rPr>
        <w:t xml:space="preserve">dministración pública que sean  </w:t>
      </w:r>
      <w:r w:rsidR="00207F1E" w:rsidRPr="009B2B01">
        <w:rPr>
          <w:rFonts w:cs="Tahoma"/>
          <w:bCs/>
          <w:iCs/>
        </w:rPr>
        <w:t>necesarias y cuyo jefe inmediat</w:t>
      </w:r>
      <w:r w:rsidR="00783960" w:rsidRPr="009B2B01">
        <w:rPr>
          <w:rFonts w:cs="Tahoma"/>
          <w:bCs/>
          <w:iCs/>
        </w:rPr>
        <w:t>o será el Presidente Municipal, l</w:t>
      </w:r>
      <w:r w:rsidR="00207F1E" w:rsidRPr="009B2B01">
        <w:rPr>
          <w:rFonts w:cs="Tahoma"/>
          <w:bCs/>
          <w:iCs/>
        </w:rPr>
        <w:t>as Coordinaciones Municipales de Protección Civil tendr</w:t>
      </w:r>
      <w:r w:rsidR="00783960" w:rsidRPr="009B2B01">
        <w:rPr>
          <w:rFonts w:cs="Tahoma"/>
          <w:bCs/>
          <w:iCs/>
        </w:rPr>
        <w:t xml:space="preserve">án a su cargo la organización, </w:t>
      </w:r>
      <w:r w:rsidR="00207F1E" w:rsidRPr="009B2B01">
        <w:rPr>
          <w:rFonts w:cs="Tahoma"/>
          <w:bCs/>
          <w:iCs/>
        </w:rPr>
        <w:t>coordinación y operación de programas municipales de pro</w:t>
      </w:r>
      <w:r w:rsidR="00783960" w:rsidRPr="009B2B01">
        <w:rPr>
          <w:rFonts w:cs="Tahoma"/>
          <w:bCs/>
          <w:iCs/>
        </w:rPr>
        <w:t xml:space="preserve">tección civil apoyándose en el  </w:t>
      </w:r>
      <w:r w:rsidR="00207F1E" w:rsidRPr="009B2B01">
        <w:rPr>
          <w:rFonts w:cs="Tahoma"/>
          <w:bCs/>
          <w:iCs/>
        </w:rPr>
        <w:t xml:space="preserve">respectivo Consejo Municipal.  </w:t>
      </w:r>
    </w:p>
    <w:p w14:paraId="2D17577E" w14:textId="77777777" w:rsidR="00783960" w:rsidRPr="009B2B01" w:rsidRDefault="00783960" w:rsidP="00783960">
      <w:pPr>
        <w:spacing w:after="0" w:line="360" w:lineRule="auto"/>
        <w:rPr>
          <w:rFonts w:cs="Tahoma"/>
          <w:bCs/>
          <w:iCs/>
        </w:rPr>
      </w:pPr>
    </w:p>
    <w:p w14:paraId="73845676" w14:textId="2C71EE95" w:rsidR="00783960" w:rsidRPr="009B2B01" w:rsidRDefault="00783960" w:rsidP="00D36181">
      <w:pPr>
        <w:spacing w:after="0" w:line="360" w:lineRule="auto"/>
        <w:rPr>
          <w:rFonts w:cs="Tahoma"/>
          <w:bCs/>
          <w:iCs/>
        </w:rPr>
      </w:pPr>
      <w:r w:rsidRPr="009B2B01">
        <w:rPr>
          <w:rFonts w:cs="Tahoma"/>
          <w:bCs/>
          <w:iCs/>
        </w:rPr>
        <w:t>Ahora bien, el artículo 3.14 del Código Reglamentario de Toluca, dos mil veinticinco, en relación con el Manual de Organización de la Dirección General de Seguridad y Protección, precisa que, la Secretaría del Ayuntamiento, para el cumplimiento de sus atribuciones, se auxiliará de una Coordinación de Protección Civil y Bomberos encargada de proporcionar asesoría y capacitación a los sectores público, privado y social en materia de protección civil y prevención de riesgos, así como la validación de sus planes de emergencia.</w:t>
      </w:r>
    </w:p>
    <w:p w14:paraId="29DA8DCA" w14:textId="77777777" w:rsidR="00783960" w:rsidRPr="009B2B01" w:rsidRDefault="00783960" w:rsidP="00D36181">
      <w:pPr>
        <w:spacing w:after="0" w:line="360" w:lineRule="auto"/>
        <w:rPr>
          <w:rFonts w:cs="Tahoma"/>
          <w:bCs/>
          <w:iCs/>
        </w:rPr>
      </w:pPr>
    </w:p>
    <w:p w14:paraId="407E590C" w14:textId="506AD431" w:rsidR="00783960" w:rsidRPr="009B2B01" w:rsidRDefault="00D36181" w:rsidP="00D36181">
      <w:pPr>
        <w:spacing w:after="0" w:line="360" w:lineRule="auto"/>
        <w:rPr>
          <w:rFonts w:cs="Tahoma"/>
          <w:bCs/>
          <w:iCs/>
        </w:rPr>
      </w:pPr>
      <w:r w:rsidRPr="009B2B01">
        <w:rPr>
          <w:rFonts w:cs="Tahoma"/>
          <w:bCs/>
          <w:iCs/>
        </w:rPr>
        <w:lastRenderedPageBreak/>
        <w:t>En ese sentido, se realizó una búsqueda en la página oficial del Ayu</w:t>
      </w:r>
      <w:r w:rsidR="009D44D4" w:rsidRPr="009B2B01">
        <w:rPr>
          <w:rFonts w:cs="Tahoma"/>
          <w:bCs/>
          <w:iCs/>
        </w:rPr>
        <w:t>ntamiento en el apartado de Trámites y Servicios (</w:t>
      </w:r>
      <w:proofErr w:type="spellStart"/>
      <w:r w:rsidR="009D44D4" w:rsidRPr="009B2B01">
        <w:rPr>
          <w:rFonts w:cs="Tahoma"/>
          <w:bCs/>
          <w:iCs/>
        </w:rPr>
        <w:t>Remtys</w:t>
      </w:r>
      <w:proofErr w:type="spellEnd"/>
      <w:r w:rsidR="009D44D4" w:rsidRPr="009B2B01">
        <w:rPr>
          <w:rFonts w:cs="Tahoma"/>
          <w:bCs/>
          <w:iCs/>
        </w:rPr>
        <w:t xml:space="preserve">) </w:t>
      </w:r>
      <w:hyperlink r:id="rId10" w:history="1">
        <w:r w:rsidR="009D44D4" w:rsidRPr="009B2B01">
          <w:rPr>
            <w:rStyle w:val="Hipervnculo"/>
            <w:rFonts w:cs="Tahoma"/>
            <w:bCs/>
            <w:iCs/>
          </w:rPr>
          <w:t>http://187.174.218.138/RMTYS/PAGINA/index.php?NUM_CEDULA=857</w:t>
        </w:r>
      </w:hyperlink>
      <w:r w:rsidR="009D44D4" w:rsidRPr="009B2B01">
        <w:rPr>
          <w:rFonts w:cs="Tahoma"/>
          <w:bCs/>
          <w:iCs/>
        </w:rPr>
        <w:t>, donde se localizó el trámite de validación del Plan de Emergencia para establecimientos y el documento a obtener es el oficio de validación del Plan de Emergencia</w:t>
      </w:r>
      <w:r w:rsidR="007F2BCB" w:rsidRPr="009B2B01">
        <w:rPr>
          <w:rFonts w:cs="Tahoma"/>
          <w:bCs/>
          <w:iCs/>
        </w:rPr>
        <w:t>.</w:t>
      </w:r>
    </w:p>
    <w:p w14:paraId="0F3D2267" w14:textId="77777777" w:rsidR="009B3320" w:rsidRPr="009B2B01" w:rsidRDefault="009B3320" w:rsidP="007808E0">
      <w:pPr>
        <w:spacing w:after="0" w:line="360" w:lineRule="auto"/>
        <w:rPr>
          <w:rFonts w:eastAsia="Times New Roman" w:cs="Tahoma"/>
          <w:bCs/>
          <w:iCs/>
          <w:lang w:eastAsia="es-ES"/>
        </w:rPr>
      </w:pPr>
    </w:p>
    <w:p w14:paraId="172292FF" w14:textId="070543C9" w:rsidR="006271FF" w:rsidRPr="009B2B01" w:rsidRDefault="00B0601E" w:rsidP="000811E7">
      <w:pPr>
        <w:spacing w:after="0" w:line="360" w:lineRule="auto"/>
        <w:rPr>
          <w:rFonts w:eastAsia="Times New Roman" w:cs="Tahoma"/>
          <w:bCs/>
          <w:iCs/>
          <w:lang w:eastAsia="es-ES"/>
        </w:rPr>
      </w:pPr>
      <w:r w:rsidRPr="009B2B01">
        <w:rPr>
          <w:rFonts w:eastAsia="Times New Roman" w:cs="Tahoma"/>
          <w:bCs/>
          <w:iCs/>
          <w:lang w:eastAsia="es-ES"/>
        </w:rPr>
        <w:t xml:space="preserve">De tales circunstancias, se logra vislumbrar que la pretensión de la persona Recurrente es obtener, </w:t>
      </w:r>
      <w:r w:rsidR="006271FF" w:rsidRPr="009B2B01">
        <w:rPr>
          <w:rFonts w:eastAsia="Times New Roman" w:cs="Tahoma"/>
          <w:bCs/>
          <w:iCs/>
          <w:lang w:eastAsia="es-ES"/>
        </w:rPr>
        <w:t>los oficios de validación del Plan de Emergencia emitidos por la Coordinación de Protección Civil y Bomberos, del primero de julio de dos mil veintitrés al once de marzo de dos mil veinticinco.</w:t>
      </w:r>
    </w:p>
    <w:p w14:paraId="2E76F879" w14:textId="77777777" w:rsidR="00366D05" w:rsidRPr="009B2B01" w:rsidRDefault="00366D05" w:rsidP="00B0601E">
      <w:pPr>
        <w:spacing w:after="0" w:line="360" w:lineRule="auto"/>
        <w:rPr>
          <w:rFonts w:eastAsia="Times New Roman" w:cs="Tahoma"/>
          <w:bCs/>
          <w:iCs/>
          <w:lang w:eastAsia="es-ES"/>
        </w:rPr>
      </w:pPr>
    </w:p>
    <w:p w14:paraId="70511778" w14:textId="0CE9C3BD" w:rsidR="00B0601E" w:rsidRPr="009B2B01" w:rsidRDefault="00B0601E" w:rsidP="00B0601E">
      <w:pPr>
        <w:spacing w:after="0" w:line="360" w:lineRule="auto"/>
        <w:rPr>
          <w:rFonts w:eastAsia="Times New Roman" w:cs="Tahoma"/>
          <w:bCs/>
          <w:iCs/>
          <w:lang w:eastAsia="es-ES"/>
        </w:rPr>
      </w:pPr>
      <w:r w:rsidRPr="009B2B01">
        <w:rPr>
          <w:rFonts w:eastAsia="Times New Roman" w:cs="Tahoma"/>
          <w:bCs/>
          <w:iCs/>
          <w:lang w:eastAsia="es-ES"/>
        </w:rPr>
        <w:t>Establecida dicha circunstancia, de las constancias que obran en el expediente electrónico, se advierte que el Sujeto Obligado</w:t>
      </w:r>
      <w:r w:rsidR="00DF277D" w:rsidRPr="009B2B01">
        <w:rPr>
          <w:rFonts w:eastAsia="Times New Roman" w:cs="Tahoma"/>
          <w:bCs/>
          <w:iCs/>
          <w:lang w:eastAsia="es-ES"/>
        </w:rPr>
        <w:t xml:space="preserve"> turno la solicitud de información a la</w:t>
      </w:r>
      <w:r w:rsidR="006271FF" w:rsidRPr="009B2B01">
        <w:rPr>
          <w:rFonts w:eastAsia="Times New Roman" w:cs="Tahoma"/>
          <w:bCs/>
          <w:iCs/>
          <w:lang w:eastAsia="es-ES"/>
        </w:rPr>
        <w:t xml:space="preserve"> Secretaría del Ayuntamiento</w:t>
      </w:r>
      <w:r w:rsidRPr="009B2B01">
        <w:rPr>
          <w:rFonts w:eastAsia="Times New Roman" w:cs="Tahoma"/>
          <w:bCs/>
          <w:iCs/>
          <w:lang w:eastAsia="es-ES"/>
        </w:rPr>
        <w:t>; por lo que, 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71FE3CDE" w14:textId="77777777" w:rsidR="00B0601E" w:rsidRPr="009B2B01" w:rsidRDefault="00B0601E" w:rsidP="00B0601E">
      <w:pPr>
        <w:spacing w:after="0" w:line="360" w:lineRule="auto"/>
        <w:rPr>
          <w:rFonts w:eastAsia="Times New Roman" w:cs="Tahoma"/>
          <w:bCs/>
          <w:iCs/>
          <w:lang w:eastAsia="es-ES"/>
        </w:rPr>
      </w:pPr>
    </w:p>
    <w:p w14:paraId="3A404F9F" w14:textId="67FA4956" w:rsidR="008A519E" w:rsidRPr="009B2B01" w:rsidRDefault="00B0601E" w:rsidP="00B0601E">
      <w:pPr>
        <w:spacing w:after="0" w:line="360" w:lineRule="auto"/>
        <w:rPr>
          <w:rFonts w:eastAsia="Times New Roman" w:cs="Tahoma"/>
          <w:bCs/>
          <w:iCs/>
          <w:lang w:eastAsia="es-ES"/>
        </w:rPr>
      </w:pPr>
      <w:r w:rsidRPr="009B2B01">
        <w:rPr>
          <w:rFonts w:eastAsia="Times New Roman" w:cs="Tahoma"/>
          <w:bCs/>
          <w:iCs/>
          <w:lang w:eastAsia="es-ES"/>
        </w:rPr>
        <w:t>Así y de lo plasmado en párrafos anteriores, se logra</w:t>
      </w:r>
      <w:r w:rsidR="006271FF" w:rsidRPr="009B2B01">
        <w:rPr>
          <w:rFonts w:eastAsia="Times New Roman" w:cs="Tahoma"/>
          <w:bCs/>
          <w:iCs/>
          <w:lang w:eastAsia="es-ES"/>
        </w:rPr>
        <w:t xml:space="preserve"> colegir que el Sujeto Obligado</w:t>
      </w:r>
      <w:r w:rsidR="00282C2E" w:rsidRPr="009B2B01">
        <w:rPr>
          <w:rFonts w:eastAsia="Times New Roman" w:cs="Tahoma"/>
          <w:bCs/>
          <w:iCs/>
          <w:lang w:eastAsia="es-ES"/>
        </w:rPr>
        <w:t xml:space="preserve"> </w:t>
      </w:r>
      <w:r w:rsidRPr="009B2B01">
        <w:rPr>
          <w:rFonts w:eastAsia="Times New Roman" w:cs="Tahoma"/>
          <w:bCs/>
          <w:iCs/>
          <w:lang w:eastAsia="es-ES"/>
        </w:rPr>
        <w:t>cumplió con el procedimiento de búsqueda establecido en el artículo 162 de la Ley de Transparencia y Acceso a la Información Pública del Estado de</w:t>
      </w:r>
      <w:r w:rsidR="008A519E" w:rsidRPr="009B2B01">
        <w:rPr>
          <w:rFonts w:eastAsia="Times New Roman" w:cs="Tahoma"/>
          <w:bCs/>
          <w:iCs/>
          <w:lang w:eastAsia="es-ES"/>
        </w:rPr>
        <w:t xml:space="preserve"> Méx</w:t>
      </w:r>
      <w:r w:rsidR="006271FF" w:rsidRPr="009B2B01">
        <w:rPr>
          <w:rFonts w:eastAsia="Times New Roman" w:cs="Tahoma"/>
          <w:bCs/>
          <w:iCs/>
          <w:lang w:eastAsia="es-ES"/>
        </w:rPr>
        <w:t xml:space="preserve">ico y Municipios, toda vez que turno la solicitud de información a la Secretaría del Ayuntamiento que a través de su Coordinación </w:t>
      </w:r>
      <w:r w:rsidR="006271FF" w:rsidRPr="009B2B01">
        <w:rPr>
          <w:rFonts w:eastAsia="Times New Roman" w:cs="Tahoma"/>
          <w:bCs/>
          <w:iCs/>
          <w:lang w:eastAsia="es-ES"/>
        </w:rPr>
        <w:lastRenderedPageBreak/>
        <w:t>de Protección Civil y Bomberos se encargará de validar los planes de emergencia de los sectores público, privado y social en materia de protección civil y prevención de riesgos.</w:t>
      </w:r>
    </w:p>
    <w:p w14:paraId="07DC4C80" w14:textId="66A29BC6" w:rsidR="006271FF" w:rsidRPr="009B2B01" w:rsidRDefault="00B83D05" w:rsidP="00B418F0">
      <w:pPr>
        <w:spacing w:after="0" w:line="360" w:lineRule="auto"/>
        <w:rPr>
          <w:rFonts w:eastAsia="Times New Roman" w:cs="Tahoma"/>
          <w:bCs/>
          <w:iCs/>
          <w:lang w:eastAsia="es-ES"/>
        </w:rPr>
      </w:pPr>
      <w:r w:rsidRPr="009B2B01">
        <w:rPr>
          <w:rFonts w:eastAsia="Times New Roman" w:cs="Tahoma"/>
          <w:bCs/>
          <w:iCs/>
          <w:lang w:eastAsia="es-ES"/>
        </w:rPr>
        <w:t>Ahora bien,</w:t>
      </w:r>
      <w:r w:rsidR="003303EB" w:rsidRPr="009B2B01">
        <w:rPr>
          <w:rFonts w:eastAsia="Times New Roman" w:cs="Tahoma"/>
          <w:bCs/>
          <w:iCs/>
          <w:lang w:eastAsia="es-ES"/>
        </w:rPr>
        <w:t xml:space="preserve"> tanto</w:t>
      </w:r>
      <w:r w:rsidRPr="009B2B01">
        <w:rPr>
          <w:rFonts w:eastAsia="Times New Roman" w:cs="Tahoma"/>
          <w:bCs/>
          <w:iCs/>
          <w:lang w:eastAsia="es-ES"/>
        </w:rPr>
        <w:t xml:space="preserve"> en respuesta</w:t>
      </w:r>
      <w:r w:rsidR="003303EB" w:rsidRPr="009B2B01">
        <w:rPr>
          <w:rFonts w:eastAsia="Times New Roman" w:cs="Tahoma"/>
          <w:bCs/>
          <w:iCs/>
          <w:lang w:eastAsia="es-ES"/>
        </w:rPr>
        <w:t>,</w:t>
      </w:r>
      <w:r w:rsidR="00BF2CD0" w:rsidRPr="009B2B01">
        <w:rPr>
          <w:rFonts w:eastAsia="Times New Roman" w:cs="Tahoma"/>
          <w:bCs/>
          <w:iCs/>
          <w:lang w:eastAsia="es-ES"/>
        </w:rPr>
        <w:t xml:space="preserve"> como en Informe Justificado,</w:t>
      </w:r>
      <w:r w:rsidR="00033186" w:rsidRPr="009B2B01">
        <w:rPr>
          <w:rFonts w:eastAsia="Times New Roman" w:cs="Tahoma"/>
          <w:bCs/>
          <w:iCs/>
          <w:lang w:eastAsia="es-ES"/>
        </w:rPr>
        <w:t xml:space="preserve"> la </w:t>
      </w:r>
      <w:r w:rsidR="006271FF" w:rsidRPr="009B2B01">
        <w:rPr>
          <w:rFonts w:eastAsia="Times New Roman" w:cs="Tahoma"/>
          <w:bCs/>
          <w:iCs/>
          <w:lang w:eastAsia="es-ES"/>
        </w:rPr>
        <w:t>Secretaría del Ayuntamiento mencionó que después de una búsqueda exhaustiva y razonable en sus archivos y después de una expresión documental se entregan los documentos denominados Visto Bueno del Plan de Emergencia emitidos por la Coordinación de Protección Civil y Bomberos y adjuntó noventa y seis hojas que contienen los documentos del Vista Bueno del Plan de Emergencia, del ejercicio fiscal dos mil veintitrés y doscientos treinta y tres hojas que contienen los documentos del Vista Bueno del Plan de Emergencia, del ejercicio fiscal dos mil veinticuatro y del primero de enero al once marzo de dos mil veinticinco, en versión pública, tal y como se muestra en los extractos siguientes:</w:t>
      </w:r>
    </w:p>
    <w:p w14:paraId="073EF30B" w14:textId="77777777" w:rsidR="006271FF" w:rsidRPr="009B2B01" w:rsidRDefault="006271FF" w:rsidP="00B418F0">
      <w:pPr>
        <w:spacing w:after="0" w:line="360" w:lineRule="auto"/>
        <w:rPr>
          <w:rFonts w:eastAsia="Times New Roman" w:cs="Tahoma"/>
          <w:bCs/>
          <w:iCs/>
          <w:lang w:eastAsia="es-ES"/>
        </w:rPr>
      </w:pPr>
    </w:p>
    <w:p w14:paraId="202DEC7E" w14:textId="1CD669E7" w:rsidR="006271FF" w:rsidRPr="009B2B01" w:rsidRDefault="006271FF" w:rsidP="006271FF">
      <w:pPr>
        <w:spacing w:after="0" w:line="360" w:lineRule="auto"/>
        <w:jc w:val="center"/>
        <w:rPr>
          <w:rFonts w:eastAsia="Times New Roman" w:cs="Tahoma"/>
          <w:bCs/>
          <w:iCs/>
          <w:lang w:eastAsia="es-ES"/>
        </w:rPr>
      </w:pPr>
      <w:r w:rsidRPr="009B2B01">
        <w:rPr>
          <w:rFonts w:eastAsia="Times New Roman" w:cs="Tahoma"/>
          <w:bCs/>
          <w:iCs/>
          <w:noProof/>
        </w:rPr>
        <w:drawing>
          <wp:inline distT="0" distB="0" distL="0" distR="0" wp14:anchorId="3B2F279B" wp14:editId="499F5C48">
            <wp:extent cx="3886200" cy="3257138"/>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389999.tmp"/>
                    <pic:cNvPicPr/>
                  </pic:nvPicPr>
                  <pic:blipFill>
                    <a:blip r:embed="rId11">
                      <a:extLst>
                        <a:ext uri="{28A0092B-C50C-407E-A947-70E740481C1C}">
                          <a14:useLocalDpi xmlns:a14="http://schemas.microsoft.com/office/drawing/2010/main" val="0"/>
                        </a:ext>
                      </a:extLst>
                    </a:blip>
                    <a:stretch>
                      <a:fillRect/>
                    </a:stretch>
                  </pic:blipFill>
                  <pic:spPr>
                    <a:xfrm>
                      <a:off x="0" y="0"/>
                      <a:ext cx="3915203" cy="3281447"/>
                    </a:xfrm>
                    <a:prstGeom prst="rect">
                      <a:avLst/>
                    </a:prstGeom>
                  </pic:spPr>
                </pic:pic>
              </a:graphicData>
            </a:graphic>
          </wp:inline>
        </w:drawing>
      </w:r>
    </w:p>
    <w:p w14:paraId="68A98B5F" w14:textId="77777777" w:rsidR="006271FF" w:rsidRPr="009B2B01" w:rsidRDefault="006271FF" w:rsidP="006271FF">
      <w:pPr>
        <w:spacing w:after="0" w:line="360" w:lineRule="auto"/>
        <w:jc w:val="center"/>
        <w:rPr>
          <w:rFonts w:eastAsia="Times New Roman" w:cs="Tahoma"/>
          <w:bCs/>
          <w:iCs/>
          <w:lang w:eastAsia="es-ES"/>
        </w:rPr>
      </w:pPr>
    </w:p>
    <w:p w14:paraId="5AA31E3E" w14:textId="254CC0CA" w:rsidR="006271FF" w:rsidRPr="009B2B01" w:rsidRDefault="006271FF" w:rsidP="006271FF">
      <w:pPr>
        <w:spacing w:after="0" w:line="360" w:lineRule="auto"/>
        <w:jc w:val="center"/>
        <w:rPr>
          <w:rFonts w:eastAsia="Times New Roman" w:cs="Tahoma"/>
          <w:bCs/>
          <w:iCs/>
          <w:lang w:eastAsia="es-ES"/>
        </w:rPr>
      </w:pPr>
      <w:r w:rsidRPr="009B2B01">
        <w:rPr>
          <w:rFonts w:eastAsia="Times New Roman" w:cs="Tahoma"/>
          <w:bCs/>
          <w:iCs/>
          <w:noProof/>
        </w:rPr>
        <w:lastRenderedPageBreak/>
        <w:drawing>
          <wp:inline distT="0" distB="0" distL="0" distR="0" wp14:anchorId="20C9282F" wp14:editId="0DE6A129">
            <wp:extent cx="3562350" cy="2741467"/>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38F6CD.tmp"/>
                    <pic:cNvPicPr/>
                  </pic:nvPicPr>
                  <pic:blipFill>
                    <a:blip r:embed="rId12">
                      <a:extLst>
                        <a:ext uri="{28A0092B-C50C-407E-A947-70E740481C1C}">
                          <a14:useLocalDpi xmlns:a14="http://schemas.microsoft.com/office/drawing/2010/main" val="0"/>
                        </a:ext>
                      </a:extLst>
                    </a:blip>
                    <a:stretch>
                      <a:fillRect/>
                    </a:stretch>
                  </pic:blipFill>
                  <pic:spPr>
                    <a:xfrm>
                      <a:off x="0" y="0"/>
                      <a:ext cx="3586206" cy="2759826"/>
                    </a:xfrm>
                    <a:prstGeom prst="rect">
                      <a:avLst/>
                    </a:prstGeom>
                  </pic:spPr>
                </pic:pic>
              </a:graphicData>
            </a:graphic>
          </wp:inline>
        </w:drawing>
      </w:r>
    </w:p>
    <w:p w14:paraId="6A837715" w14:textId="4D81E9B9" w:rsidR="006271FF" w:rsidRPr="009B2B01" w:rsidRDefault="006271FF" w:rsidP="006271FF">
      <w:pPr>
        <w:spacing w:after="0" w:line="360" w:lineRule="auto"/>
        <w:jc w:val="center"/>
        <w:rPr>
          <w:rFonts w:eastAsia="Times New Roman" w:cs="Tahoma"/>
          <w:bCs/>
          <w:iCs/>
          <w:lang w:eastAsia="es-ES"/>
        </w:rPr>
      </w:pPr>
      <w:r w:rsidRPr="009B2B01">
        <w:rPr>
          <w:rFonts w:eastAsia="Times New Roman" w:cs="Tahoma"/>
          <w:bCs/>
          <w:iCs/>
          <w:noProof/>
        </w:rPr>
        <w:drawing>
          <wp:inline distT="0" distB="0" distL="0" distR="0" wp14:anchorId="0BF04BD5" wp14:editId="1F8DFDC2">
            <wp:extent cx="3557349" cy="2867025"/>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3866FD.tmp"/>
                    <pic:cNvPicPr/>
                  </pic:nvPicPr>
                  <pic:blipFill>
                    <a:blip r:embed="rId13">
                      <a:extLst>
                        <a:ext uri="{28A0092B-C50C-407E-A947-70E740481C1C}">
                          <a14:useLocalDpi xmlns:a14="http://schemas.microsoft.com/office/drawing/2010/main" val="0"/>
                        </a:ext>
                      </a:extLst>
                    </a:blip>
                    <a:stretch>
                      <a:fillRect/>
                    </a:stretch>
                  </pic:blipFill>
                  <pic:spPr>
                    <a:xfrm>
                      <a:off x="0" y="0"/>
                      <a:ext cx="3571344" cy="2878304"/>
                    </a:xfrm>
                    <a:prstGeom prst="rect">
                      <a:avLst/>
                    </a:prstGeom>
                  </pic:spPr>
                </pic:pic>
              </a:graphicData>
            </a:graphic>
          </wp:inline>
        </w:drawing>
      </w:r>
    </w:p>
    <w:p w14:paraId="4BBFE002" w14:textId="77777777" w:rsidR="006271FF" w:rsidRPr="009B2B01" w:rsidRDefault="006271FF" w:rsidP="00B418F0">
      <w:pPr>
        <w:spacing w:after="0" w:line="360" w:lineRule="auto"/>
        <w:rPr>
          <w:rFonts w:eastAsia="Times New Roman" w:cs="Tahoma"/>
          <w:bCs/>
          <w:iCs/>
          <w:sz w:val="20"/>
          <w:lang w:eastAsia="es-ES"/>
        </w:rPr>
      </w:pPr>
    </w:p>
    <w:p w14:paraId="406F9DE1" w14:textId="18623B00" w:rsidR="008469C9" w:rsidRPr="009B2B01" w:rsidRDefault="00256B48" w:rsidP="008469C9">
      <w:pPr>
        <w:spacing w:after="0" w:line="360" w:lineRule="auto"/>
        <w:rPr>
          <w:rFonts w:eastAsia="Times New Roman" w:cs="Tahoma"/>
          <w:bCs/>
          <w:iCs/>
          <w:lang w:eastAsia="es-ES"/>
        </w:rPr>
      </w:pPr>
      <w:r w:rsidRPr="009B2B01">
        <w:rPr>
          <w:rFonts w:eastAsia="Times New Roman" w:cs="Tahoma"/>
          <w:bCs/>
          <w:iCs/>
          <w:lang w:eastAsia="es-ES"/>
        </w:rPr>
        <w:t>De lo anterior se observa que,</w:t>
      </w:r>
      <w:r w:rsidR="008469C9" w:rsidRPr="009B2B01">
        <w:rPr>
          <w:rFonts w:eastAsia="Times New Roman" w:cs="Tahoma"/>
          <w:bCs/>
          <w:iCs/>
          <w:lang w:eastAsia="es-ES"/>
        </w:rPr>
        <w:t xml:space="preserve"> el Sujeto Obligado entrego </w:t>
      </w:r>
      <w:r w:rsidRPr="009B2B01">
        <w:rPr>
          <w:rFonts w:eastAsia="Times New Roman" w:cs="Tahoma"/>
          <w:bCs/>
          <w:iCs/>
          <w:lang w:eastAsia="es-ES"/>
        </w:rPr>
        <w:t xml:space="preserve">los documentos que obraban en sus archivos del primero de julio de dos mil veintitrés al once de marzo de dos mil veinticinco y </w:t>
      </w:r>
      <w:r w:rsidR="008469C9" w:rsidRPr="009B2B01">
        <w:rPr>
          <w:rFonts w:eastAsia="Times New Roman" w:cs="Tahoma"/>
          <w:bCs/>
          <w:iCs/>
          <w:lang w:eastAsia="es-ES"/>
        </w:rPr>
        <w:t>que contiene</w:t>
      </w:r>
      <w:r w:rsidRPr="009B2B01">
        <w:rPr>
          <w:rFonts w:eastAsia="Times New Roman" w:cs="Tahoma"/>
          <w:bCs/>
          <w:iCs/>
          <w:lang w:eastAsia="es-ES"/>
        </w:rPr>
        <w:t>n</w:t>
      </w:r>
      <w:r w:rsidR="008469C9" w:rsidRPr="009B2B01">
        <w:rPr>
          <w:rFonts w:eastAsia="Times New Roman" w:cs="Tahoma"/>
          <w:bCs/>
          <w:iCs/>
          <w:lang w:eastAsia="es-ES"/>
        </w:rPr>
        <w:t xml:space="preserve"> la información solicitada</w:t>
      </w:r>
      <w:r w:rsidRPr="009B2B01">
        <w:rPr>
          <w:rFonts w:eastAsia="Times New Roman" w:cs="Tahoma"/>
          <w:bCs/>
          <w:iCs/>
          <w:lang w:eastAsia="es-ES"/>
        </w:rPr>
        <w:t>, es decir, los oficios de validación del Plan de Emergencia</w:t>
      </w:r>
      <w:r w:rsidR="008469C9" w:rsidRPr="009B2B01">
        <w:rPr>
          <w:rFonts w:eastAsia="Times New Roman" w:cs="Tahoma"/>
          <w:bCs/>
          <w:iCs/>
          <w:lang w:eastAsia="es-ES"/>
        </w:rPr>
        <w:t xml:space="preserve">; dicha determinación toma relevancia, pues conforme al artículo 12 de la Ley de Transparencia y Acceso a la Información Pública del Estado de México y Municipios, los </w:t>
      </w:r>
      <w:r w:rsidR="008469C9" w:rsidRPr="009B2B01">
        <w:rPr>
          <w:rFonts w:eastAsia="Times New Roman" w:cs="Tahoma"/>
          <w:bCs/>
          <w:iCs/>
          <w:lang w:eastAsia="es-ES"/>
        </w:rPr>
        <w:lastRenderedPageBreak/>
        <w:t>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150891AA" w14:textId="77777777" w:rsidR="008469C9" w:rsidRPr="009B2B01" w:rsidRDefault="008469C9" w:rsidP="008469C9">
      <w:pPr>
        <w:spacing w:after="0" w:line="360" w:lineRule="auto"/>
        <w:rPr>
          <w:rFonts w:eastAsia="Times New Roman" w:cs="Tahoma"/>
          <w:bCs/>
          <w:iCs/>
          <w:lang w:eastAsia="es-ES"/>
        </w:rPr>
      </w:pPr>
    </w:p>
    <w:p w14:paraId="04C8E0D5" w14:textId="77777777" w:rsidR="008469C9" w:rsidRPr="009B2B01" w:rsidRDefault="008469C9" w:rsidP="008469C9">
      <w:pPr>
        <w:spacing w:after="0" w:line="360" w:lineRule="auto"/>
        <w:rPr>
          <w:rFonts w:eastAsia="Times New Roman" w:cs="Tahoma"/>
          <w:bCs/>
          <w:iCs/>
          <w:lang w:eastAsia="es-ES"/>
        </w:rPr>
      </w:pPr>
      <w:r w:rsidRPr="009B2B01">
        <w:rPr>
          <w:rFonts w:eastAsia="Times New Roman" w:cs="Tahoma"/>
          <w:bCs/>
          <w:iCs/>
          <w:lang w:eastAsia="es-ES"/>
        </w:rPr>
        <w:t>De esta manera, el derecho de acceso a la información pública se satisface en aquellos casos en que se entregue el soporte documental en el que conste la información solicitada, sin necesidad de elaborar documentos ad hoc,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2965F617" w14:textId="77777777" w:rsidR="008469C9" w:rsidRPr="009B2B01" w:rsidRDefault="008469C9" w:rsidP="008469C9">
      <w:pPr>
        <w:spacing w:after="0" w:line="360" w:lineRule="auto"/>
        <w:rPr>
          <w:rFonts w:eastAsia="Times New Roman" w:cs="Tahoma"/>
          <w:bCs/>
          <w:iCs/>
          <w:lang w:eastAsia="es-ES"/>
        </w:rPr>
      </w:pPr>
    </w:p>
    <w:p w14:paraId="5704D8CE" w14:textId="70DA6975" w:rsidR="00A80419" w:rsidRPr="009B2B01" w:rsidRDefault="008469C9" w:rsidP="008469C9">
      <w:pPr>
        <w:spacing w:after="0" w:line="360" w:lineRule="auto"/>
        <w:rPr>
          <w:rFonts w:eastAsia="Times New Roman" w:cs="Tahoma"/>
          <w:bCs/>
          <w:iCs/>
          <w:lang w:eastAsia="es-ES"/>
        </w:rPr>
      </w:pPr>
      <w:r w:rsidRPr="009B2B01">
        <w:rPr>
          <w:rFonts w:eastAsia="Times New Roman" w:cs="Tahoma"/>
          <w:bCs/>
          <w:iCs/>
          <w:lang w:eastAsia="es-ES"/>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entregó </w:t>
      </w:r>
      <w:r w:rsidR="00A80419" w:rsidRPr="009B2B01">
        <w:rPr>
          <w:rFonts w:eastAsia="Times New Roman" w:cs="Tahoma"/>
          <w:bCs/>
          <w:iCs/>
          <w:lang w:eastAsia="es-ES"/>
        </w:rPr>
        <w:t>los oficios de validación del Plan de Emergencia de la temporalidad solicitada.</w:t>
      </w:r>
    </w:p>
    <w:p w14:paraId="2A47F09E" w14:textId="77777777" w:rsidR="008469C9" w:rsidRPr="009B2B01" w:rsidRDefault="008469C9" w:rsidP="008469C9">
      <w:pPr>
        <w:spacing w:after="0" w:line="360" w:lineRule="auto"/>
        <w:rPr>
          <w:rFonts w:eastAsia="Times New Roman" w:cs="Tahoma"/>
          <w:bCs/>
          <w:iCs/>
          <w:lang w:eastAsia="es-ES"/>
        </w:rPr>
      </w:pPr>
    </w:p>
    <w:p w14:paraId="62BF50A0" w14:textId="24E6A628" w:rsidR="0069505A" w:rsidRPr="009B2B01" w:rsidRDefault="008469C9" w:rsidP="008469C9">
      <w:pPr>
        <w:spacing w:after="0" w:line="360" w:lineRule="auto"/>
        <w:rPr>
          <w:rFonts w:eastAsia="Times New Roman" w:cs="Tahoma"/>
          <w:bCs/>
          <w:iCs/>
          <w:lang w:eastAsia="es-ES"/>
        </w:rPr>
      </w:pPr>
      <w:r w:rsidRPr="009B2B01">
        <w:rPr>
          <w:rFonts w:eastAsia="Times New Roman" w:cs="Tahoma"/>
          <w:bCs/>
          <w:iCs/>
          <w:lang w:eastAsia="es-ES"/>
        </w:rPr>
        <w:t>Ahora bien, de la revisión de dichos documentos se testaron los datos siguientes:</w:t>
      </w:r>
    </w:p>
    <w:p w14:paraId="02A74A7A" w14:textId="77777777" w:rsidR="006D717C" w:rsidRPr="009B2B01" w:rsidRDefault="006D717C" w:rsidP="008469C9">
      <w:pPr>
        <w:spacing w:after="0" w:line="360" w:lineRule="auto"/>
        <w:rPr>
          <w:rFonts w:eastAsia="Times New Roman" w:cs="Tahoma"/>
          <w:bCs/>
          <w:iCs/>
          <w:lang w:eastAsia="es-ES"/>
        </w:rPr>
      </w:pPr>
    </w:p>
    <w:p w14:paraId="66E0E9C8" w14:textId="524A129C" w:rsidR="006D717C" w:rsidRPr="009B2B01" w:rsidRDefault="006D717C" w:rsidP="005862B6">
      <w:pPr>
        <w:pStyle w:val="Prrafodelista"/>
        <w:numPr>
          <w:ilvl w:val="0"/>
          <w:numId w:val="2"/>
        </w:numPr>
        <w:spacing w:line="360" w:lineRule="auto"/>
        <w:rPr>
          <w:rFonts w:cs="Tahoma"/>
          <w:bCs/>
          <w:iCs/>
        </w:rPr>
      </w:pPr>
      <w:r w:rsidRPr="009B2B01">
        <w:rPr>
          <w:rFonts w:cs="Tahoma"/>
          <w:bCs/>
          <w:iCs/>
        </w:rPr>
        <w:t>Nombre</w:t>
      </w:r>
      <w:r w:rsidR="00430938" w:rsidRPr="009B2B01">
        <w:rPr>
          <w:rFonts w:cs="Tahoma"/>
          <w:bCs/>
          <w:iCs/>
        </w:rPr>
        <w:t xml:space="preserve"> de</w:t>
      </w:r>
      <w:r w:rsidR="007127CD" w:rsidRPr="009B2B01">
        <w:rPr>
          <w:rFonts w:cs="Tahoma"/>
          <w:bCs/>
          <w:iCs/>
        </w:rPr>
        <w:t>l Titular;</w:t>
      </w:r>
    </w:p>
    <w:p w14:paraId="3D5E1ACE" w14:textId="3105830B" w:rsidR="006D717C" w:rsidRPr="009B2B01" w:rsidRDefault="006D717C" w:rsidP="005862B6">
      <w:pPr>
        <w:pStyle w:val="Prrafodelista"/>
        <w:numPr>
          <w:ilvl w:val="0"/>
          <w:numId w:val="2"/>
        </w:numPr>
        <w:spacing w:line="360" w:lineRule="auto"/>
        <w:rPr>
          <w:rFonts w:cs="Tahoma"/>
          <w:bCs/>
          <w:iCs/>
        </w:rPr>
      </w:pPr>
      <w:r w:rsidRPr="009B2B01">
        <w:rPr>
          <w:rFonts w:cs="Tahoma"/>
          <w:bCs/>
          <w:iCs/>
        </w:rPr>
        <w:t>Ubicación de establecimiento</w:t>
      </w:r>
      <w:r w:rsidR="00196F6A" w:rsidRPr="009B2B01">
        <w:rPr>
          <w:rFonts w:cs="Tahoma"/>
          <w:bCs/>
          <w:iCs/>
        </w:rPr>
        <w:t>, y</w:t>
      </w:r>
    </w:p>
    <w:p w14:paraId="64E781C4" w14:textId="69791717" w:rsidR="006D717C" w:rsidRPr="009B2B01" w:rsidRDefault="006D717C" w:rsidP="005862B6">
      <w:pPr>
        <w:pStyle w:val="Prrafodelista"/>
        <w:numPr>
          <w:ilvl w:val="0"/>
          <w:numId w:val="2"/>
        </w:numPr>
        <w:spacing w:line="360" w:lineRule="auto"/>
        <w:rPr>
          <w:rFonts w:cs="Tahoma"/>
          <w:bCs/>
          <w:iCs/>
        </w:rPr>
      </w:pPr>
      <w:r w:rsidRPr="009B2B01">
        <w:rPr>
          <w:rFonts w:cs="Tahoma"/>
          <w:bCs/>
          <w:iCs/>
        </w:rPr>
        <w:t>Folio de la Cédula Informativa de Zonificación, Licencia de Funcionamiento y Licencia de Uso de Suelo</w:t>
      </w:r>
      <w:r w:rsidR="00196F6A" w:rsidRPr="009B2B01">
        <w:rPr>
          <w:rFonts w:cs="Tahoma"/>
          <w:bCs/>
          <w:iCs/>
        </w:rPr>
        <w:t>.</w:t>
      </w:r>
    </w:p>
    <w:p w14:paraId="586FADCA" w14:textId="77777777" w:rsidR="00196F6A" w:rsidRPr="009B2B01" w:rsidRDefault="00196F6A" w:rsidP="00196F6A">
      <w:pPr>
        <w:pStyle w:val="Prrafodelista"/>
        <w:spacing w:line="360" w:lineRule="auto"/>
        <w:rPr>
          <w:rFonts w:cs="Tahoma"/>
          <w:bCs/>
          <w:iCs/>
        </w:rPr>
      </w:pPr>
    </w:p>
    <w:p w14:paraId="1A6A7659" w14:textId="77777777" w:rsidR="006D717C" w:rsidRPr="009B2B01" w:rsidRDefault="006D717C" w:rsidP="006D717C">
      <w:pPr>
        <w:spacing w:after="0" w:line="360" w:lineRule="auto"/>
        <w:rPr>
          <w:rFonts w:cs="Tahoma"/>
          <w:bCs/>
          <w:iCs/>
        </w:rPr>
      </w:pPr>
      <w:r w:rsidRPr="009B2B01">
        <w:rPr>
          <w:rFonts w:cs="Tahoma"/>
          <w:bCs/>
          <w:iCs/>
        </w:rPr>
        <w:lastRenderedPageBreak/>
        <w:t>De lo anterior, resulta procedente analizar si dichos datos son públicos o privados; al respecto, cabe mencionar que el artículo 143, fracción I, de la Ley previamente citada, establece que la información privada y los datos personales, concernientes a una persona física o jurídica colectiva identificada o identificable son confidenciales.</w:t>
      </w:r>
    </w:p>
    <w:p w14:paraId="014AED0F" w14:textId="77777777" w:rsidR="006D717C" w:rsidRPr="009B2B01" w:rsidRDefault="006D717C" w:rsidP="006D717C">
      <w:pPr>
        <w:spacing w:after="0" w:line="360" w:lineRule="auto"/>
        <w:rPr>
          <w:rFonts w:cs="Tahoma"/>
          <w:bCs/>
          <w:iCs/>
        </w:rPr>
      </w:pPr>
    </w:p>
    <w:p w14:paraId="3274F8D2" w14:textId="77777777" w:rsidR="006D717C" w:rsidRPr="009B2B01" w:rsidRDefault="006D717C" w:rsidP="006D717C">
      <w:pPr>
        <w:spacing w:after="0" w:line="360" w:lineRule="auto"/>
        <w:rPr>
          <w:rFonts w:cs="Tahoma"/>
          <w:bCs/>
          <w:iCs/>
        </w:rPr>
      </w:pPr>
      <w:r w:rsidRPr="009B2B01">
        <w:rPr>
          <w:rFonts w:cs="Tahoma"/>
          <w:bCs/>
          <w:iCs/>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4C7A55C0" w14:textId="77777777" w:rsidR="006D717C" w:rsidRPr="009B2B01" w:rsidRDefault="006D717C" w:rsidP="006D717C">
      <w:pPr>
        <w:spacing w:after="0" w:line="360" w:lineRule="auto"/>
        <w:rPr>
          <w:rFonts w:cs="Tahoma"/>
          <w:bCs/>
          <w:iCs/>
        </w:rPr>
      </w:pPr>
    </w:p>
    <w:p w14:paraId="0C387457" w14:textId="77777777" w:rsidR="006D717C" w:rsidRPr="009B2B01" w:rsidRDefault="006D717C" w:rsidP="006D717C">
      <w:pPr>
        <w:spacing w:after="0" w:line="360" w:lineRule="auto"/>
        <w:rPr>
          <w:rFonts w:cs="Tahoma"/>
          <w:bCs/>
          <w:iCs/>
        </w:rPr>
      </w:pPr>
      <w:r w:rsidRPr="009B2B01">
        <w:rPr>
          <w:rFonts w:cs="Tahoma"/>
          <w:bCs/>
          <w:iCs/>
        </w:rPr>
        <w:t>En términos de lo expuesto, la documentación y aquellos datos que se consideren confidenciales, serán una limitante del derecho de acceso a la información, siempre y cuando:</w:t>
      </w:r>
    </w:p>
    <w:p w14:paraId="6CD3F7A2" w14:textId="77777777" w:rsidR="006D717C" w:rsidRPr="009B2B01" w:rsidRDefault="006D717C" w:rsidP="006D717C">
      <w:pPr>
        <w:spacing w:after="0" w:line="360" w:lineRule="auto"/>
        <w:rPr>
          <w:rFonts w:cs="Tahoma"/>
          <w:bCs/>
          <w:iCs/>
        </w:rPr>
      </w:pPr>
    </w:p>
    <w:p w14:paraId="1ACFED60" w14:textId="18AAA572" w:rsidR="006D717C" w:rsidRPr="009B2B01" w:rsidRDefault="006D717C" w:rsidP="005862B6">
      <w:pPr>
        <w:pStyle w:val="Prrafodelista"/>
        <w:numPr>
          <w:ilvl w:val="0"/>
          <w:numId w:val="3"/>
        </w:numPr>
        <w:spacing w:line="360" w:lineRule="auto"/>
        <w:rPr>
          <w:rFonts w:cs="Tahoma"/>
          <w:bCs/>
          <w:iCs/>
        </w:rPr>
      </w:pPr>
      <w:r w:rsidRPr="009B2B01">
        <w:rPr>
          <w:rFonts w:cs="Tahoma"/>
          <w:bCs/>
          <w:iCs/>
        </w:rPr>
        <w:t xml:space="preserve">Se trate de datos personales o información privada; esto es, información concerniente a una persona física o jurídico colectiva y que esta sea identificada o identificable. </w:t>
      </w:r>
    </w:p>
    <w:p w14:paraId="35D24887" w14:textId="72221C18" w:rsidR="006D717C" w:rsidRPr="009B2B01" w:rsidRDefault="006D717C" w:rsidP="005862B6">
      <w:pPr>
        <w:pStyle w:val="Prrafodelista"/>
        <w:numPr>
          <w:ilvl w:val="0"/>
          <w:numId w:val="3"/>
        </w:numPr>
        <w:spacing w:line="360" w:lineRule="auto"/>
        <w:rPr>
          <w:rFonts w:cs="Tahoma"/>
          <w:bCs/>
          <w:iCs/>
        </w:rPr>
      </w:pPr>
      <w:r w:rsidRPr="009B2B01">
        <w:rPr>
          <w:rFonts w:cs="Tahoma"/>
          <w:bCs/>
          <w:iCs/>
        </w:rPr>
        <w:t xml:space="preserve">Para la difusión de los datos, se requiera el consentimiento del titular. </w:t>
      </w:r>
    </w:p>
    <w:p w14:paraId="5F3535E9" w14:textId="77777777" w:rsidR="006D717C" w:rsidRPr="009B2B01" w:rsidRDefault="006D717C" w:rsidP="006D717C">
      <w:pPr>
        <w:spacing w:after="0" w:line="360" w:lineRule="auto"/>
        <w:rPr>
          <w:rFonts w:cs="Tahoma"/>
          <w:bCs/>
          <w:iCs/>
        </w:rPr>
      </w:pPr>
    </w:p>
    <w:p w14:paraId="176227CE" w14:textId="77777777" w:rsidR="006D717C" w:rsidRPr="009B2B01" w:rsidRDefault="006D717C" w:rsidP="006D717C">
      <w:pPr>
        <w:spacing w:after="0" w:line="360" w:lineRule="auto"/>
        <w:rPr>
          <w:rFonts w:cs="Tahoma"/>
          <w:bCs/>
          <w:iCs/>
        </w:rPr>
      </w:pPr>
      <w:r w:rsidRPr="009B2B01">
        <w:rPr>
          <w:rFonts w:cs="Tahoma"/>
          <w:bCs/>
          <w:iC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w:t>
      </w:r>
      <w:r w:rsidRPr="009B2B01">
        <w:rPr>
          <w:rFonts w:cs="Tahoma"/>
          <w:bCs/>
          <w:iCs/>
        </w:rPr>
        <w:lastRenderedPageBreak/>
        <w:t xml:space="preserve">o identificable (cuando su identidad pueda determinarse directa o indirectamente a través de cualquier documento informativo físico o electrónico), establecida en cualquier formato o modalidad. </w:t>
      </w:r>
    </w:p>
    <w:p w14:paraId="2B9DBC7D" w14:textId="77777777" w:rsidR="006D717C" w:rsidRPr="009B2B01" w:rsidRDefault="006D717C" w:rsidP="006D717C">
      <w:pPr>
        <w:spacing w:after="0" w:line="360" w:lineRule="auto"/>
        <w:rPr>
          <w:rFonts w:cs="Tahoma"/>
          <w:bCs/>
          <w:iCs/>
        </w:rPr>
      </w:pPr>
    </w:p>
    <w:p w14:paraId="5D54D928" w14:textId="77777777" w:rsidR="006D717C" w:rsidRPr="009B2B01" w:rsidRDefault="006D717C" w:rsidP="006D717C">
      <w:pPr>
        <w:spacing w:after="0" w:line="360" w:lineRule="auto"/>
        <w:rPr>
          <w:rFonts w:cs="Tahoma"/>
          <w:bCs/>
          <w:iCs/>
        </w:rPr>
      </w:pPr>
      <w:r w:rsidRPr="009B2B01">
        <w:rPr>
          <w:rFonts w:cs="Tahoma"/>
          <w:bCs/>
          <w:iCs/>
        </w:rPr>
        <w:t>Además, en el artículo 5° de dicho ordenamiento jurídico, establece que es la Ley aplicable para todo tratamiento de datos personales.</w:t>
      </w:r>
    </w:p>
    <w:p w14:paraId="1B1BB3E4" w14:textId="77777777" w:rsidR="006D717C" w:rsidRPr="009B2B01" w:rsidRDefault="006D717C" w:rsidP="006D717C">
      <w:pPr>
        <w:spacing w:after="0" w:line="360" w:lineRule="auto"/>
        <w:rPr>
          <w:rFonts w:cs="Tahoma"/>
          <w:bCs/>
          <w:iCs/>
        </w:rPr>
      </w:pPr>
    </w:p>
    <w:p w14:paraId="4340268A" w14:textId="10D0FBEF" w:rsidR="006D717C" w:rsidRPr="009B2B01" w:rsidRDefault="006D717C" w:rsidP="006D717C">
      <w:pPr>
        <w:spacing w:after="0" w:line="360" w:lineRule="auto"/>
        <w:rPr>
          <w:rFonts w:cs="Tahoma"/>
          <w:bCs/>
          <w:iCs/>
        </w:rPr>
      </w:pPr>
      <w:r w:rsidRPr="009B2B01">
        <w:rPr>
          <w:rFonts w:cs="Tahoma"/>
          <w:bCs/>
          <w:iCs/>
        </w:rPr>
        <w:t>Bajo ese contexto, se analizarán los datos personales encontrados en el documento entregado; esto es, verificar si actualizan la causal de clasificación establecida en el artículo 143, fracción I, de la Ley de Transparencia y Acceso a la Información Pública del Estado de México y Municipios.</w:t>
      </w:r>
    </w:p>
    <w:p w14:paraId="5B1CE302" w14:textId="77777777" w:rsidR="00430938" w:rsidRPr="009B2B01" w:rsidRDefault="00430938" w:rsidP="007127CD">
      <w:pPr>
        <w:spacing w:after="0" w:line="360" w:lineRule="auto"/>
        <w:rPr>
          <w:rFonts w:cs="Tahoma"/>
          <w:bCs/>
          <w:iCs/>
        </w:rPr>
      </w:pPr>
    </w:p>
    <w:p w14:paraId="023A752D" w14:textId="0BF94217" w:rsidR="007127CD" w:rsidRPr="009B2B01" w:rsidRDefault="007127CD" w:rsidP="005862B6">
      <w:pPr>
        <w:pStyle w:val="Prrafodelista"/>
        <w:numPr>
          <w:ilvl w:val="0"/>
          <w:numId w:val="4"/>
        </w:numPr>
        <w:spacing w:line="360" w:lineRule="auto"/>
        <w:rPr>
          <w:rFonts w:cs="Tahoma"/>
          <w:b/>
          <w:bCs/>
          <w:iCs/>
        </w:rPr>
      </w:pPr>
      <w:r w:rsidRPr="009B2B01">
        <w:rPr>
          <w:rFonts w:cs="Tahoma"/>
          <w:b/>
          <w:bCs/>
          <w:iCs/>
        </w:rPr>
        <w:t xml:space="preserve">Nombre del titular de la Licencia de funcionamiento </w:t>
      </w:r>
    </w:p>
    <w:p w14:paraId="17ADECAF" w14:textId="77777777" w:rsidR="007127CD" w:rsidRPr="009B2B01" w:rsidRDefault="007127CD" w:rsidP="007127CD">
      <w:pPr>
        <w:spacing w:after="0" w:line="360" w:lineRule="auto"/>
        <w:rPr>
          <w:rFonts w:cs="Tahoma"/>
          <w:bCs/>
          <w:iCs/>
        </w:rPr>
      </w:pPr>
    </w:p>
    <w:p w14:paraId="065DA4EF" w14:textId="77777777" w:rsidR="007127CD" w:rsidRPr="009B2B01" w:rsidRDefault="007127CD" w:rsidP="007127CD">
      <w:pPr>
        <w:spacing w:after="0" w:line="360" w:lineRule="auto"/>
        <w:rPr>
          <w:rFonts w:cs="Tahoma"/>
          <w:b/>
          <w:bCs/>
          <w:iCs/>
        </w:rPr>
      </w:pPr>
      <w:r w:rsidRPr="009B2B01">
        <w:rPr>
          <w:rFonts w:cs="Tahoma"/>
          <w:b/>
          <w:bCs/>
          <w:iCs/>
        </w:rPr>
        <w:t>Persona física</w:t>
      </w:r>
    </w:p>
    <w:p w14:paraId="518D2782" w14:textId="77777777" w:rsidR="007127CD" w:rsidRPr="009B2B01" w:rsidRDefault="007127CD" w:rsidP="007127CD">
      <w:pPr>
        <w:spacing w:after="0" w:line="360" w:lineRule="auto"/>
        <w:rPr>
          <w:rFonts w:cs="Tahoma"/>
          <w:bCs/>
          <w:iCs/>
        </w:rPr>
      </w:pPr>
    </w:p>
    <w:p w14:paraId="2F319965" w14:textId="77777777" w:rsidR="007127CD" w:rsidRPr="009B2B01" w:rsidRDefault="007127CD" w:rsidP="007127CD">
      <w:pPr>
        <w:spacing w:after="0" w:line="360" w:lineRule="auto"/>
        <w:rPr>
          <w:rFonts w:cs="Tahoma"/>
          <w:bCs/>
          <w:iCs/>
        </w:rPr>
      </w:pPr>
      <w:r w:rsidRPr="009B2B01">
        <w:rPr>
          <w:rFonts w:cs="Tahoma"/>
          <w:bCs/>
          <w:iCs/>
        </w:rPr>
        <w:t>Al respecto, se considera que el nombre de una persona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w:t>
      </w:r>
    </w:p>
    <w:p w14:paraId="1CD67223" w14:textId="77777777" w:rsidR="007127CD" w:rsidRPr="009B2B01" w:rsidRDefault="007127CD" w:rsidP="007127CD">
      <w:pPr>
        <w:spacing w:after="0" w:line="360" w:lineRule="auto"/>
        <w:rPr>
          <w:rFonts w:cs="Tahoma"/>
          <w:bCs/>
          <w:iCs/>
        </w:rPr>
      </w:pPr>
    </w:p>
    <w:p w14:paraId="69E57643" w14:textId="77777777" w:rsidR="007127CD" w:rsidRPr="009B2B01" w:rsidRDefault="007127CD" w:rsidP="007127CD">
      <w:pPr>
        <w:spacing w:after="0" w:line="360" w:lineRule="auto"/>
        <w:rPr>
          <w:rFonts w:cs="Tahoma"/>
          <w:bCs/>
          <w:iCs/>
        </w:rPr>
      </w:pPr>
      <w:r w:rsidRPr="009B2B01">
        <w:rPr>
          <w:rFonts w:cs="Tahoma"/>
          <w:bCs/>
          <w:iCs/>
        </w:rPr>
        <w:t xml:space="preserve">Sobre el tema, se tiene presente que este Instituto emitió el Criterio Relevante 01/18, de la Segunda Época de este Instituto, que establece que el nombre del titular de una licencia </w:t>
      </w:r>
      <w:r w:rsidRPr="009B2B01">
        <w:rPr>
          <w:rFonts w:cs="Tahoma"/>
          <w:bCs/>
          <w:iCs/>
        </w:rPr>
        <w:lastRenderedPageBreak/>
        <w:t>(persona física), como en el caso que nos ocupa, es información confidencial, cuando no involucra aprovechamiento de recursos públicos.</w:t>
      </w:r>
    </w:p>
    <w:p w14:paraId="22F6E878" w14:textId="77777777" w:rsidR="007127CD" w:rsidRPr="009B2B01" w:rsidRDefault="007127CD" w:rsidP="007127CD">
      <w:pPr>
        <w:spacing w:after="0" w:line="360" w:lineRule="auto"/>
        <w:rPr>
          <w:rFonts w:cs="Tahoma"/>
          <w:bCs/>
          <w:iCs/>
        </w:rPr>
      </w:pPr>
    </w:p>
    <w:p w14:paraId="75410E4B" w14:textId="77777777" w:rsidR="007127CD" w:rsidRPr="009B2B01" w:rsidRDefault="007127CD" w:rsidP="007127CD">
      <w:pPr>
        <w:spacing w:after="0" w:line="360" w:lineRule="auto"/>
        <w:ind w:left="720"/>
        <w:rPr>
          <w:rFonts w:cs="Tahoma"/>
          <w:bCs/>
          <w:i/>
          <w:iCs/>
        </w:rPr>
      </w:pPr>
      <w:r w:rsidRPr="009B2B01">
        <w:rPr>
          <w:rFonts w:cs="Tahoma"/>
          <w:bCs/>
          <w:i/>
          <w:iCs/>
          <w:sz w:val="20"/>
        </w:rPr>
        <w:t>“Nombre del titular de una licencia que no involucre el aprovechamiento de bienes, servicios y/o recursos públicos, constituye un dato personal susceptible de clasificar como confidencial.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5BCE571E" w14:textId="77777777" w:rsidR="007127CD" w:rsidRPr="009B2B01" w:rsidRDefault="007127CD" w:rsidP="007127CD">
      <w:pPr>
        <w:spacing w:after="0" w:line="360" w:lineRule="auto"/>
        <w:rPr>
          <w:rFonts w:cs="Tahoma"/>
          <w:bCs/>
          <w:iCs/>
        </w:rPr>
      </w:pPr>
    </w:p>
    <w:p w14:paraId="15F10E1D" w14:textId="77777777" w:rsidR="007127CD" w:rsidRPr="009B2B01" w:rsidRDefault="007127CD" w:rsidP="007127CD">
      <w:pPr>
        <w:spacing w:after="0" w:line="360" w:lineRule="auto"/>
        <w:rPr>
          <w:rFonts w:cs="Tahoma"/>
          <w:bCs/>
          <w:iCs/>
        </w:rPr>
      </w:pPr>
      <w:r w:rsidRPr="009B2B01">
        <w:rPr>
          <w:rFonts w:cs="Tahoma"/>
          <w:bCs/>
          <w:iCs/>
        </w:rPr>
        <w:t xml:space="preserve">En el Criterio en cita, se argumenta que si bien el nombre de los titulares de las licencias es un dato de carácter público, en términos del artículo 92, fracción XXXII de la Ley de Transparencia y Acceso a la Información Pública del Estado de México y Municipios, dicho </w:t>
      </w:r>
      <w:r w:rsidRPr="009B2B01">
        <w:rPr>
          <w:rFonts w:cs="Tahoma"/>
          <w:bCs/>
          <w:iCs/>
        </w:rPr>
        <w:lastRenderedPageBreak/>
        <w:t>precepto legal debe ser interpretado de manera armónica y sistemática, pues la intromisión a los datos personales de particulares únicamente se verá justificada cuando involucre el aprovechamiento de bienes, servicios o recursos públicos; por lo que constituye un dato personal, a menos que se actualice alguno de los supuestos previamente señalados.</w:t>
      </w:r>
    </w:p>
    <w:p w14:paraId="5BB73DCF" w14:textId="77777777" w:rsidR="007127CD" w:rsidRPr="009B2B01" w:rsidRDefault="007127CD" w:rsidP="007127CD">
      <w:pPr>
        <w:spacing w:after="0" w:line="360" w:lineRule="auto"/>
        <w:rPr>
          <w:rFonts w:cs="Tahoma"/>
          <w:bCs/>
          <w:iCs/>
        </w:rPr>
      </w:pPr>
    </w:p>
    <w:p w14:paraId="1FCB0EC9" w14:textId="24F8D460" w:rsidR="007127CD" w:rsidRPr="009B2B01" w:rsidRDefault="007127CD" w:rsidP="007127CD">
      <w:pPr>
        <w:spacing w:after="0" w:line="360" w:lineRule="auto"/>
        <w:rPr>
          <w:rFonts w:cs="Tahoma"/>
          <w:bCs/>
          <w:iCs/>
        </w:rPr>
      </w:pPr>
      <w:r w:rsidRPr="009B2B01">
        <w:rPr>
          <w:rFonts w:cs="Tahoma"/>
          <w:bCs/>
          <w:iCs/>
        </w:rPr>
        <w:t>No obstante, se considera que el nombre localizado en un documento público, guarda cierto interés público, dado que cualquier actividad comercial, industrial o económica, es regulada por el Municipio de Toluca dentro de su circunscripción territorial, pues ayuda a transparentar la gestión pública.</w:t>
      </w:r>
    </w:p>
    <w:p w14:paraId="4C02EDAA" w14:textId="77777777" w:rsidR="007127CD" w:rsidRPr="009B2B01" w:rsidRDefault="007127CD" w:rsidP="007127CD">
      <w:pPr>
        <w:spacing w:after="0" w:line="360" w:lineRule="auto"/>
        <w:rPr>
          <w:rFonts w:cs="Tahoma"/>
          <w:bCs/>
          <w:iCs/>
        </w:rPr>
      </w:pPr>
    </w:p>
    <w:p w14:paraId="276478E3" w14:textId="77777777" w:rsidR="007127CD" w:rsidRPr="009B2B01" w:rsidRDefault="007127CD" w:rsidP="007127CD">
      <w:pPr>
        <w:spacing w:after="0" w:line="360" w:lineRule="auto"/>
        <w:rPr>
          <w:rFonts w:cs="Tahoma"/>
          <w:bCs/>
          <w:iCs/>
        </w:rPr>
      </w:pPr>
      <w:r w:rsidRPr="009B2B01">
        <w:rPr>
          <w:rFonts w:cs="Tahoma"/>
          <w:bCs/>
          <w:iCs/>
        </w:rPr>
        <w:t>Al respecto, cabe puntualizar que las licencias, tal como se estableció en párrafos anteriores, se refiere a los documentos que contienen la autorización por parte del Ayuntamiento de Toluca, a través de la Dirección General de Desarrollo Económico, para que un particular o persona jurídica colectiva pueda realizar una actividad económica, comercial o industrial, regulada por las Leyes respectivas.</w:t>
      </w:r>
    </w:p>
    <w:p w14:paraId="547E660B" w14:textId="77777777" w:rsidR="007127CD" w:rsidRPr="009B2B01" w:rsidRDefault="007127CD" w:rsidP="007127CD">
      <w:pPr>
        <w:spacing w:after="0" w:line="360" w:lineRule="auto"/>
        <w:rPr>
          <w:rFonts w:cs="Tahoma"/>
          <w:bCs/>
          <w:iCs/>
        </w:rPr>
      </w:pPr>
    </w:p>
    <w:p w14:paraId="101D9C13" w14:textId="77777777" w:rsidR="007127CD" w:rsidRPr="009B2B01" w:rsidRDefault="007127CD" w:rsidP="007127CD">
      <w:pPr>
        <w:spacing w:after="0" w:line="360" w:lineRule="auto"/>
        <w:rPr>
          <w:rFonts w:cs="Tahoma"/>
          <w:bCs/>
          <w:iCs/>
        </w:rPr>
      </w:pPr>
      <w:r w:rsidRPr="009B2B01">
        <w:rPr>
          <w:rFonts w:cs="Tahoma"/>
          <w:bCs/>
          <w:iCs/>
        </w:rPr>
        <w:t xml:space="preserve">En ese sentido, de acuerdo con el artículo 92, fracción XXXII de la Ley en cita, el legislador contempló como información de interés público y que debe estar disponible para consulta, aquellas licencias otorgadas, especificando el nombre de su titular y las características principales. Lo anterior, en concordancia a lo establecido en la Ley General de Transparencia y Acceso a la Información Pública. </w:t>
      </w:r>
    </w:p>
    <w:p w14:paraId="5AF943D7" w14:textId="77777777" w:rsidR="007127CD" w:rsidRPr="009B2B01" w:rsidRDefault="007127CD" w:rsidP="007127CD">
      <w:pPr>
        <w:spacing w:after="0" w:line="360" w:lineRule="auto"/>
        <w:rPr>
          <w:rFonts w:cs="Tahoma"/>
          <w:bCs/>
          <w:iCs/>
        </w:rPr>
      </w:pPr>
    </w:p>
    <w:p w14:paraId="27AC7F20" w14:textId="77777777" w:rsidR="007127CD" w:rsidRPr="009B2B01" w:rsidRDefault="007127CD" w:rsidP="007127CD">
      <w:pPr>
        <w:spacing w:after="0" w:line="360" w:lineRule="auto"/>
        <w:rPr>
          <w:rFonts w:cs="Tahoma"/>
          <w:bCs/>
          <w:iCs/>
        </w:rPr>
      </w:pPr>
      <w:r w:rsidRPr="009B2B01">
        <w:rPr>
          <w:rFonts w:cs="Tahoma"/>
          <w:bCs/>
          <w:iCs/>
        </w:rPr>
        <w:t xml:space="preserve">Ello, con la finalidad de asegurar su mayor difusión, que permita a los ciudadanos evaluar de manera permanente los indicadores más importantes de la gestión pública, como lo son, la autorización de licencias de funcionamiento, pues es facultad exclusiva de los Municipios, ver las cuestiones relacionadas con el tema en cuestión. Además, se incluyó el deber para los </w:t>
      </w:r>
      <w:r w:rsidRPr="009B2B01">
        <w:rPr>
          <w:rFonts w:cs="Tahoma"/>
          <w:bCs/>
          <w:iCs/>
        </w:rPr>
        <w:lastRenderedPageBreak/>
        <w:t>sujetos obligados de proporcionar, en la medida de lo posible, esta información con valor agregado, a efecto de facilitar su uso, comprensión y permitir evaluar su calidad, confiabilidad, oportunidad y veracidad.</w:t>
      </w:r>
    </w:p>
    <w:p w14:paraId="1F95B74F" w14:textId="77777777" w:rsidR="007127CD" w:rsidRPr="009B2B01" w:rsidRDefault="007127CD" w:rsidP="007127CD">
      <w:pPr>
        <w:spacing w:after="0" w:line="360" w:lineRule="auto"/>
        <w:rPr>
          <w:rFonts w:cs="Tahoma"/>
          <w:bCs/>
          <w:iCs/>
        </w:rPr>
      </w:pPr>
    </w:p>
    <w:p w14:paraId="4DA60C84" w14:textId="77777777" w:rsidR="007127CD" w:rsidRPr="009B2B01" w:rsidRDefault="007127CD" w:rsidP="007127CD">
      <w:pPr>
        <w:spacing w:after="0" w:line="360" w:lineRule="auto"/>
        <w:rPr>
          <w:rFonts w:cs="Tahoma"/>
          <w:bCs/>
          <w:iCs/>
        </w:rPr>
      </w:pPr>
      <w:r w:rsidRPr="009B2B01">
        <w:rPr>
          <w:rFonts w:cs="Tahoma"/>
          <w:bCs/>
          <w:iCs/>
        </w:rPr>
        <w:t>Toma sustento, dicha situación, en el Dictamen de las Comisiones Unidas de Anticorrupción y Participación Ciudadana, de Gobernación y de Estudios Legislativos, segunda; relativo a la iniciativa que contiene el proyecto de Decreto por el que se expide la Ley General de Transparencia y Acceso a la Información Pública, ya que de este se desprende que el Poder Legislativo consideró que una de las principales contribuciones que trajo dicha Ley, es el catálogo de las obligaciones de transparencia, a través de un listado amplio, completo, detallado y preciso para todos los sujetos obligados del país, que permitan garantizar, el efectivo ejercicio del derecho de acceso a la información.</w:t>
      </w:r>
    </w:p>
    <w:p w14:paraId="763B1458" w14:textId="77777777" w:rsidR="007127CD" w:rsidRPr="009B2B01" w:rsidRDefault="007127CD" w:rsidP="007127CD">
      <w:pPr>
        <w:spacing w:after="0" w:line="360" w:lineRule="auto"/>
        <w:rPr>
          <w:rFonts w:cs="Tahoma"/>
          <w:bCs/>
          <w:iCs/>
        </w:rPr>
      </w:pPr>
    </w:p>
    <w:p w14:paraId="53885F7D" w14:textId="77777777" w:rsidR="007127CD" w:rsidRPr="009B2B01" w:rsidRDefault="007127CD" w:rsidP="007127CD">
      <w:pPr>
        <w:spacing w:after="0" w:line="360" w:lineRule="auto"/>
        <w:rPr>
          <w:rFonts w:cs="Tahoma"/>
          <w:bCs/>
          <w:iCs/>
        </w:rPr>
      </w:pPr>
      <w:r w:rsidRPr="009B2B01">
        <w:rPr>
          <w:rFonts w:cs="Tahoma"/>
          <w:bCs/>
          <w:iCs/>
        </w:rPr>
        <w:t>Igualmente, se destacó que aún determinando causales de reserva en las leyes especiales diversas a la Ley General o las Estatales de Transparencia, todos los sujetos obligados deben de dar cumplimiento con todos los principios y procedimientos establecidos en la Ley General de Transparencia y Acceso a la Información Pública, así como con los recursos y criterios de la misma.</w:t>
      </w:r>
    </w:p>
    <w:p w14:paraId="31C4316D" w14:textId="77777777" w:rsidR="007127CD" w:rsidRPr="009B2B01" w:rsidRDefault="007127CD" w:rsidP="007127CD">
      <w:pPr>
        <w:spacing w:after="0" w:line="360" w:lineRule="auto"/>
        <w:rPr>
          <w:rFonts w:cs="Tahoma"/>
          <w:bCs/>
          <w:iCs/>
        </w:rPr>
      </w:pPr>
    </w:p>
    <w:p w14:paraId="4EA8F578" w14:textId="77777777" w:rsidR="007127CD" w:rsidRPr="009B2B01" w:rsidRDefault="007127CD" w:rsidP="007127CD">
      <w:pPr>
        <w:spacing w:after="0" w:line="360" w:lineRule="auto"/>
        <w:rPr>
          <w:rFonts w:cs="Tahoma"/>
          <w:bCs/>
          <w:iCs/>
        </w:rPr>
      </w:pPr>
      <w:r w:rsidRPr="009B2B01">
        <w:rPr>
          <w:rFonts w:cs="Tahoma"/>
          <w:bCs/>
          <w:iCs/>
        </w:rPr>
        <w:t>Bajo tal premisa, podría concluirse que la hipótesis normativa del artículo 92, fracción XXXII de la Ley de Transparencia y Acceso a la Información Pública del Estado de México y los Municipios, se traduce en una excepción a la información personal que debe ser protegida, tal como es en el caso que nos ocupa el nombre del titular persona física de una licencia de funcionamiento, por lo que no es dable, como se asienta en el Criterio Relevante, considerar que el nombre de los titulares estas, deba ser considerado confidencial, aún y cuando el mismo no involucre aprovechamiento de bienes o recursos públicos.</w:t>
      </w:r>
    </w:p>
    <w:p w14:paraId="42DDD263" w14:textId="77777777" w:rsidR="007127CD" w:rsidRPr="009B2B01" w:rsidRDefault="007127CD" w:rsidP="007127CD">
      <w:pPr>
        <w:spacing w:after="0" w:line="360" w:lineRule="auto"/>
        <w:rPr>
          <w:rFonts w:cs="Tahoma"/>
          <w:bCs/>
          <w:iCs/>
        </w:rPr>
      </w:pPr>
    </w:p>
    <w:p w14:paraId="52DCF8FB" w14:textId="77777777" w:rsidR="007127CD" w:rsidRPr="009B2B01" w:rsidRDefault="007127CD" w:rsidP="007127CD">
      <w:pPr>
        <w:spacing w:after="0" w:line="360" w:lineRule="auto"/>
        <w:rPr>
          <w:rFonts w:cs="Tahoma"/>
          <w:bCs/>
          <w:iCs/>
        </w:rPr>
      </w:pPr>
      <w:r w:rsidRPr="009B2B01">
        <w:rPr>
          <w:rFonts w:cs="Tahoma"/>
          <w:bCs/>
          <w:iCs/>
        </w:rPr>
        <w:t>A mayor abundamiento se puede referir que, el artículo 91 de dicho ordenamiento jurídico, establece que la información pública será restringida excepcionalmente, cuando ésta sea clasificada como reservada o confidencial; por lo que, se colige que las obligaciones de transparencia no superan de forma automática la prohibición de no difundir datos personales sin el consentimiento de su titular, como sucede en el caso concreto.</w:t>
      </w:r>
    </w:p>
    <w:p w14:paraId="024886EF" w14:textId="77777777" w:rsidR="007127CD" w:rsidRPr="009B2B01" w:rsidRDefault="007127CD" w:rsidP="007127CD">
      <w:pPr>
        <w:spacing w:after="0" w:line="360" w:lineRule="auto"/>
        <w:rPr>
          <w:rFonts w:cs="Tahoma"/>
          <w:bCs/>
          <w:iCs/>
        </w:rPr>
      </w:pPr>
    </w:p>
    <w:p w14:paraId="336D38D2" w14:textId="77777777" w:rsidR="007127CD" w:rsidRPr="009B2B01" w:rsidRDefault="007127CD" w:rsidP="007127CD">
      <w:pPr>
        <w:spacing w:after="0" w:line="360" w:lineRule="auto"/>
        <w:rPr>
          <w:rFonts w:cs="Tahoma"/>
          <w:bCs/>
          <w:iCs/>
        </w:rPr>
      </w:pPr>
      <w:r w:rsidRPr="009B2B01">
        <w:rPr>
          <w:rFonts w:cs="Tahoma"/>
          <w:bCs/>
          <w:iCs/>
        </w:rPr>
        <w:t>Ante tales circunstancias, se desprende que, en el caso concreto, sobreviene una colisión de derechos fundamentales, esto es, por una parte, se tiene el derecho de acceso a la información del Particular para conocer el nombre de la persona a la cual se le otorgó una licencia para desarrollar determinada actividad, y por la otra, el derecho a la protección de los nombres de aquellas a quienes obtuvieron una autorización específica, lo cual implica dar a conocer datos personales confidenciales consistentes, en el nombre de personas físicas y este vincularlo en la actividad que desarrollan y el lugar en el que se ubica su establecimiento.</w:t>
      </w:r>
    </w:p>
    <w:p w14:paraId="00299A66" w14:textId="77777777" w:rsidR="007127CD" w:rsidRPr="009B2B01" w:rsidRDefault="007127CD" w:rsidP="007127CD">
      <w:pPr>
        <w:spacing w:after="0" w:line="360" w:lineRule="auto"/>
        <w:rPr>
          <w:rFonts w:cs="Tahoma"/>
          <w:bCs/>
          <w:iCs/>
        </w:rPr>
      </w:pPr>
    </w:p>
    <w:p w14:paraId="5714F7D2" w14:textId="77777777" w:rsidR="007127CD" w:rsidRPr="009B2B01" w:rsidRDefault="007127CD" w:rsidP="007127CD">
      <w:pPr>
        <w:spacing w:after="0" w:line="360" w:lineRule="auto"/>
        <w:rPr>
          <w:rFonts w:cs="Tahoma"/>
          <w:bCs/>
          <w:iCs/>
        </w:rPr>
      </w:pPr>
      <w:r w:rsidRPr="009B2B01">
        <w:rPr>
          <w:rFonts w:cs="Tahoma"/>
          <w:bCs/>
          <w:iCs/>
        </w:rPr>
        <w:t>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w:t>
      </w:r>
    </w:p>
    <w:p w14:paraId="5A74190B" w14:textId="77777777" w:rsidR="007127CD" w:rsidRPr="009B2B01" w:rsidRDefault="007127CD" w:rsidP="007127CD">
      <w:pPr>
        <w:spacing w:after="0" w:line="360" w:lineRule="auto"/>
        <w:rPr>
          <w:rFonts w:cs="Tahoma"/>
          <w:bCs/>
          <w:iCs/>
        </w:rPr>
      </w:pPr>
    </w:p>
    <w:p w14:paraId="32F1967C" w14:textId="77777777" w:rsidR="007127CD" w:rsidRPr="009B2B01" w:rsidRDefault="007127CD" w:rsidP="007127CD">
      <w:pPr>
        <w:spacing w:after="0" w:line="360" w:lineRule="auto"/>
        <w:rPr>
          <w:rFonts w:cs="Tahoma"/>
          <w:bCs/>
          <w:iCs/>
        </w:rPr>
      </w:pPr>
      <w:r w:rsidRPr="009B2B01">
        <w:rPr>
          <w:rFonts w:cs="Tahoma"/>
          <w:bCs/>
          <w:iCs/>
        </w:rPr>
        <w:t xml:space="preserve">Por cuanto hace a la colisión entre el derecho a la información y el derecho a la intimidad o a la vida privada, el Poder Judicial de la Federación ha sostenido la 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atendiendo a las circunstancias de cada caso en concreto, tal y como se </w:t>
      </w:r>
      <w:r w:rsidRPr="009B2B01">
        <w:rPr>
          <w:rFonts w:cs="Tahoma"/>
          <w:bCs/>
          <w:iCs/>
        </w:rPr>
        <w:lastRenderedPageBreak/>
        <w:t>desprende de la tesis 1a. XLIII/2010, emitida por la Primera Sala de la Suprema Corte de Justicia de la Nación, publicada en el Semanario Judicial de la Federación y su Gaceta, Tomo XXXI, página 928, de marzo de 2010, Novena Época, materia constitucional.</w:t>
      </w:r>
    </w:p>
    <w:p w14:paraId="7926E491" w14:textId="77777777" w:rsidR="007127CD" w:rsidRPr="009B2B01" w:rsidRDefault="007127CD" w:rsidP="007127CD">
      <w:pPr>
        <w:spacing w:after="0" w:line="360" w:lineRule="auto"/>
        <w:rPr>
          <w:rFonts w:cs="Tahoma"/>
          <w:bCs/>
          <w:iCs/>
        </w:rPr>
      </w:pPr>
    </w:p>
    <w:p w14:paraId="641B807D" w14:textId="77777777" w:rsidR="007127CD" w:rsidRPr="009B2B01" w:rsidRDefault="007127CD" w:rsidP="007127CD">
      <w:pPr>
        <w:spacing w:after="0" w:line="360" w:lineRule="auto"/>
        <w:rPr>
          <w:rFonts w:cs="Tahoma"/>
          <w:bCs/>
          <w:iCs/>
        </w:rPr>
      </w:pPr>
      <w:r w:rsidRPr="009B2B01">
        <w:rPr>
          <w:rFonts w:cs="Tahoma"/>
          <w:bCs/>
          <w:iCs/>
        </w:rPr>
        <w:t xml:space="preserve">En ese mismo sentido y atendiendo a la naturaleza del derecho a la protección de datos personales, por analogía, este debe ceder cuando exista un interés público mayor de acuerdo a las circunstancias del caso. Precisado lo anterior, resulta necesario realizar una ponderación de los dos intereses jurídicos tutelados que convergen en la controversia que se dirime; para lo cual, el artículo 184 de la Ley de Transparencia y Acceso a la Información Pública del Estado de México y Municipios prevé que cuando exista una colisión de derechos, este Instituto, al resolver el recurso de revisión, debe aplicar una prueba de interés público con base en elementos de idoneidad, necesidad y proporcionalidad. Para estos efectos, se entenderá por: </w:t>
      </w:r>
    </w:p>
    <w:p w14:paraId="0E1D3852" w14:textId="77777777" w:rsidR="007127CD" w:rsidRPr="009B2B01" w:rsidRDefault="007127CD" w:rsidP="007127CD">
      <w:pPr>
        <w:spacing w:after="0" w:line="360" w:lineRule="auto"/>
        <w:rPr>
          <w:rFonts w:cs="Tahoma"/>
          <w:bCs/>
          <w:iCs/>
        </w:rPr>
      </w:pPr>
    </w:p>
    <w:p w14:paraId="12064D67" w14:textId="25ADE7A3" w:rsidR="007127CD" w:rsidRPr="009B2B01" w:rsidRDefault="007127CD" w:rsidP="005862B6">
      <w:pPr>
        <w:pStyle w:val="Prrafodelista"/>
        <w:numPr>
          <w:ilvl w:val="0"/>
          <w:numId w:val="5"/>
        </w:numPr>
        <w:spacing w:line="360" w:lineRule="auto"/>
        <w:rPr>
          <w:rFonts w:cs="Tahoma"/>
          <w:bCs/>
          <w:iCs/>
        </w:rPr>
      </w:pPr>
      <w:r w:rsidRPr="009B2B01">
        <w:rPr>
          <w:rFonts w:cs="Tahoma"/>
          <w:bCs/>
          <w:iCs/>
        </w:rPr>
        <w:t>Idoneidad: La legitimidad del derecho adoptado como preferente, que sea el adecuado para el logro de un fin constitucionalmente válido o apto para conseguir el fin pretendido;</w:t>
      </w:r>
    </w:p>
    <w:p w14:paraId="16D410F5" w14:textId="77777777" w:rsidR="007127CD" w:rsidRPr="009B2B01" w:rsidRDefault="007127CD" w:rsidP="007127CD">
      <w:pPr>
        <w:spacing w:after="0" w:line="360" w:lineRule="auto"/>
        <w:rPr>
          <w:rFonts w:cs="Tahoma"/>
          <w:bCs/>
          <w:iCs/>
        </w:rPr>
      </w:pPr>
    </w:p>
    <w:p w14:paraId="609B44BE" w14:textId="3C08C3B0" w:rsidR="007127CD" w:rsidRPr="009B2B01" w:rsidRDefault="007127CD" w:rsidP="005862B6">
      <w:pPr>
        <w:pStyle w:val="Prrafodelista"/>
        <w:numPr>
          <w:ilvl w:val="0"/>
          <w:numId w:val="5"/>
        </w:numPr>
        <w:spacing w:line="360" w:lineRule="auto"/>
        <w:rPr>
          <w:rFonts w:cs="Tahoma"/>
          <w:bCs/>
          <w:iCs/>
        </w:rPr>
      </w:pPr>
      <w:r w:rsidRPr="009B2B01">
        <w:rPr>
          <w:rFonts w:cs="Tahoma"/>
          <w:bCs/>
          <w:iCs/>
        </w:rPr>
        <w:t>Necesidad: La falta de un medio alternativo menos lesivo a la apertura de la información, para satisfacer el interés público, y</w:t>
      </w:r>
    </w:p>
    <w:p w14:paraId="3FA920A3" w14:textId="77777777" w:rsidR="007127CD" w:rsidRPr="009B2B01" w:rsidRDefault="007127CD" w:rsidP="007127CD">
      <w:pPr>
        <w:spacing w:after="0" w:line="360" w:lineRule="auto"/>
        <w:rPr>
          <w:rFonts w:cs="Tahoma"/>
          <w:bCs/>
          <w:iCs/>
        </w:rPr>
      </w:pPr>
    </w:p>
    <w:p w14:paraId="5655F178" w14:textId="1C1FFA38" w:rsidR="007127CD" w:rsidRPr="009B2B01" w:rsidRDefault="007127CD" w:rsidP="005862B6">
      <w:pPr>
        <w:pStyle w:val="Prrafodelista"/>
        <w:numPr>
          <w:ilvl w:val="0"/>
          <w:numId w:val="5"/>
        </w:numPr>
        <w:spacing w:line="360" w:lineRule="auto"/>
        <w:rPr>
          <w:rFonts w:cs="Tahoma"/>
          <w:bCs/>
          <w:iCs/>
        </w:rPr>
      </w:pPr>
      <w:r w:rsidRPr="009B2B01">
        <w:rPr>
          <w:rFonts w:cs="Tahoma"/>
          <w:bCs/>
          <w:iCs/>
        </w:rPr>
        <w:t>Proporcionalidad: El equilibrio entre perjuicio y beneficio a favor del interés público, a fin de que la decisión tomada represente un beneficio mayor al perjuicio que podría causar a la población.</w:t>
      </w:r>
    </w:p>
    <w:p w14:paraId="3A1D63C8" w14:textId="77777777" w:rsidR="007127CD" w:rsidRPr="009B2B01" w:rsidRDefault="007127CD" w:rsidP="007127CD">
      <w:pPr>
        <w:spacing w:after="0" w:line="360" w:lineRule="auto"/>
        <w:rPr>
          <w:rFonts w:cs="Tahoma"/>
          <w:bCs/>
          <w:iCs/>
        </w:rPr>
      </w:pPr>
    </w:p>
    <w:p w14:paraId="1489CBAC" w14:textId="77777777" w:rsidR="007127CD" w:rsidRPr="009B2B01" w:rsidRDefault="007127CD" w:rsidP="007127CD">
      <w:pPr>
        <w:spacing w:after="0" w:line="360" w:lineRule="auto"/>
        <w:rPr>
          <w:rFonts w:cs="Tahoma"/>
          <w:bCs/>
          <w:iCs/>
        </w:rPr>
      </w:pPr>
      <w:r w:rsidRPr="009B2B01">
        <w:rPr>
          <w:rFonts w:cs="Tahoma"/>
          <w:bCs/>
          <w:iCs/>
        </w:rPr>
        <w:lastRenderedPageBreak/>
        <w:t>En ese orden de ideas, resulta procedente analizar cada uno de los elementos referidos, partiendo de que, en el caso concreto, se estima como preferente el derecho de acceso a la información, bajo las consideraciones que se verterán a continuación.</w:t>
      </w:r>
    </w:p>
    <w:p w14:paraId="05573B10" w14:textId="77777777" w:rsidR="007127CD" w:rsidRPr="009B2B01" w:rsidRDefault="007127CD" w:rsidP="007127CD">
      <w:pPr>
        <w:spacing w:after="0" w:line="360" w:lineRule="auto"/>
        <w:rPr>
          <w:rFonts w:cs="Tahoma"/>
          <w:bCs/>
          <w:iCs/>
        </w:rPr>
      </w:pPr>
    </w:p>
    <w:p w14:paraId="7E81836A" w14:textId="77777777" w:rsidR="007127CD" w:rsidRPr="009B2B01" w:rsidRDefault="007127CD" w:rsidP="007127CD">
      <w:pPr>
        <w:spacing w:after="0" w:line="360" w:lineRule="auto"/>
        <w:rPr>
          <w:rFonts w:cs="Tahoma"/>
          <w:bCs/>
          <w:iCs/>
        </w:rPr>
      </w:pPr>
      <w:r w:rsidRPr="009B2B01">
        <w:rPr>
          <w:rFonts w:cs="Tahoma"/>
          <w:b/>
          <w:bCs/>
          <w:iCs/>
        </w:rPr>
        <w:t>a) Idoneidad</w:t>
      </w:r>
      <w:r w:rsidRPr="009B2B01">
        <w:rPr>
          <w:rFonts w:cs="Tahoma"/>
          <w:bCs/>
          <w:iCs/>
        </w:rPr>
        <w:t>. Existe un fin constitucionalmente válido para dar a conocer el nombre de aquellas personas físicas a quienes les fue otorgada una licencia para realizar una actividad económica, comercial o industrial en el Municipios del Malinalco; dicho fin la rendición de cuentas sobre el quehacer gubernamental que permita identificar a aquellas personas que han sido autorizadas por el Ayuntamiento, para realizar actividades lícitas; esto es, las localizadas en el Catálogo Mexiquense de Actividades Industriales, Comerciales y de Servicios, a efecto de determinar si la misma se realizó atendiendo a la normatividad aplicable.</w:t>
      </w:r>
    </w:p>
    <w:p w14:paraId="499B78F6" w14:textId="77777777" w:rsidR="007127CD" w:rsidRPr="009B2B01" w:rsidRDefault="007127CD" w:rsidP="007127CD">
      <w:pPr>
        <w:spacing w:after="0" w:line="360" w:lineRule="auto"/>
        <w:rPr>
          <w:rFonts w:cs="Tahoma"/>
          <w:bCs/>
          <w:iCs/>
        </w:rPr>
      </w:pPr>
    </w:p>
    <w:p w14:paraId="6C7C4E28" w14:textId="77777777" w:rsidR="007127CD" w:rsidRPr="009B2B01" w:rsidRDefault="007127CD" w:rsidP="007127CD">
      <w:pPr>
        <w:spacing w:after="0" w:line="360" w:lineRule="auto"/>
        <w:rPr>
          <w:rFonts w:cs="Tahoma"/>
          <w:bCs/>
          <w:iCs/>
        </w:rPr>
      </w:pPr>
      <w:r w:rsidRPr="009B2B01">
        <w:rPr>
          <w:rFonts w:cs="Tahoma"/>
          <w:bCs/>
          <w:iCs/>
        </w:rPr>
        <w:t>Al respecto, es de señalar que la transparencia está orientada a maximizar el uso social de la información de los organismos gubernamentales, misma que sirve para exigir cuentas a las autoridades; mientras que la rendición de cuentas debe entenderse como la obligación de los funcionarios de responder por lo que hacen y la que atañe al poder de los ciudadanos para sancionar los resultados de la gestión en caso de que los servidores públicos hayan violado sus deberes públicos. Por lo que, estos dos conceptos están asociados de manera notable y por tanto, los gobernados requieren información para evaluar críticamente a sus gobernantes y exigirles cuentas.</w:t>
      </w:r>
    </w:p>
    <w:p w14:paraId="77CF37BC" w14:textId="77777777" w:rsidR="007127CD" w:rsidRPr="009B2B01" w:rsidRDefault="007127CD" w:rsidP="007127CD">
      <w:pPr>
        <w:spacing w:after="0" w:line="360" w:lineRule="auto"/>
        <w:rPr>
          <w:rFonts w:cs="Tahoma"/>
          <w:bCs/>
          <w:iCs/>
        </w:rPr>
      </w:pPr>
    </w:p>
    <w:p w14:paraId="639A1404" w14:textId="77777777" w:rsidR="007127CD" w:rsidRPr="009B2B01" w:rsidRDefault="007127CD" w:rsidP="007127CD">
      <w:pPr>
        <w:spacing w:after="0" w:line="360" w:lineRule="auto"/>
        <w:rPr>
          <w:rFonts w:cs="Tahoma"/>
          <w:bCs/>
          <w:iCs/>
        </w:rPr>
      </w:pPr>
      <w:r w:rsidRPr="009B2B01">
        <w:rPr>
          <w:rFonts w:cs="Tahoma"/>
          <w:bCs/>
          <w:iCs/>
        </w:rPr>
        <w:t xml:space="preserve">En ese orden de ideas, la transparencia, al permitir y ayudar a la rendición de cuentas, funciona de doble manera, capacitadora, al permitir a la sociedad premiar o castigar el desempeño de los entes públicos, y cómo inhibidora de conductas y acciones que atenten contra el interés público. </w:t>
      </w:r>
    </w:p>
    <w:p w14:paraId="28FECCE0" w14:textId="77777777" w:rsidR="007127CD" w:rsidRPr="009B2B01" w:rsidRDefault="007127CD" w:rsidP="007127CD">
      <w:pPr>
        <w:spacing w:after="0" w:line="360" w:lineRule="auto"/>
        <w:rPr>
          <w:rFonts w:cs="Tahoma"/>
          <w:bCs/>
          <w:iCs/>
        </w:rPr>
      </w:pPr>
    </w:p>
    <w:p w14:paraId="520664AC" w14:textId="77777777" w:rsidR="007127CD" w:rsidRPr="009B2B01" w:rsidRDefault="007127CD" w:rsidP="007127CD">
      <w:pPr>
        <w:spacing w:after="0" w:line="360" w:lineRule="auto"/>
        <w:rPr>
          <w:rFonts w:cs="Tahoma"/>
          <w:bCs/>
          <w:iCs/>
        </w:rPr>
      </w:pPr>
      <w:r w:rsidRPr="009B2B01">
        <w:rPr>
          <w:rFonts w:cs="Tahoma"/>
          <w:bCs/>
          <w:iCs/>
        </w:rPr>
        <w:t>Ahora bien, tal como se estableció en párrafos anteriores, cualquier actividad comercial, industrial o económica, únicamente podrá ser llevada a cabo, bajo el amparo de una licencia de funcionamiento expedida, en el presente caso, por el Ayuntamiento de Toluca, siempre y cuando cumplan con los requisitos establecidos en la Ley de Competitividad y Ordenamiento Comercial del Estado de México, su Reglamento, entre otras normatividades; en tal virtud, los nombres de las personas que tienen una autorización para poder realizar diversas unidades económicas, se traduce en información que permite transparentar el otorgamiento por parte del Estado de dichos documentos a diversos particulares.</w:t>
      </w:r>
    </w:p>
    <w:p w14:paraId="5A50F645" w14:textId="77777777" w:rsidR="007127CD" w:rsidRPr="009B2B01" w:rsidRDefault="007127CD" w:rsidP="007127CD">
      <w:pPr>
        <w:spacing w:after="0" w:line="360" w:lineRule="auto"/>
        <w:rPr>
          <w:rFonts w:cs="Tahoma"/>
          <w:bCs/>
          <w:iCs/>
        </w:rPr>
      </w:pPr>
    </w:p>
    <w:p w14:paraId="6F04A276" w14:textId="77777777" w:rsidR="007127CD" w:rsidRPr="009B2B01" w:rsidRDefault="007127CD" w:rsidP="007127CD">
      <w:pPr>
        <w:spacing w:after="0" w:line="360" w:lineRule="auto"/>
        <w:rPr>
          <w:rFonts w:cs="Tahoma"/>
          <w:bCs/>
          <w:iCs/>
        </w:rPr>
      </w:pPr>
      <w:r w:rsidRPr="009B2B01">
        <w:rPr>
          <w:rFonts w:cs="Tahoma"/>
          <w:bCs/>
          <w:iCs/>
        </w:rPr>
        <w:t>En ese orden de ideas, la Suprema Corte de Justicia de la Nación, ha definido el acceso a la información como un derecho en sí mismo y como un medio o instrumento para el ejercicio de otros derechos, para que los gobernados ejerzan un control respecto del funcionamiento institucional de los poderes públicos, por lo que se constituye como una exigencia social de todo Estado de Derecho, y como un derecho colectivo o garantía social, a fin de lograr la publicidad de los actos de gobierno y la transparencia de la administración pública. Lo anterior, a través de la jurisprudencia número P</w:t>
      </w:r>
      <w:proofErr w:type="gramStart"/>
      <w:r w:rsidRPr="009B2B01">
        <w:rPr>
          <w:rFonts w:cs="Tahoma"/>
          <w:bCs/>
          <w:iCs/>
        </w:rPr>
        <w:t>./</w:t>
      </w:r>
      <w:proofErr w:type="gramEnd"/>
      <w:r w:rsidRPr="009B2B01">
        <w:rPr>
          <w:rFonts w:cs="Tahoma"/>
          <w:bCs/>
          <w:iCs/>
        </w:rPr>
        <w:t>J. 54/2008, publicada en el Semanario Judicial de la Federación y su Gaceta, Tomo XXVII, página 743, Novena Época, en junio de dos mil ocho.</w:t>
      </w:r>
    </w:p>
    <w:p w14:paraId="1FD96A34" w14:textId="77777777" w:rsidR="007127CD" w:rsidRPr="009B2B01" w:rsidRDefault="007127CD" w:rsidP="007127CD">
      <w:pPr>
        <w:spacing w:after="0" w:line="360" w:lineRule="auto"/>
        <w:rPr>
          <w:rFonts w:cs="Tahoma"/>
          <w:bCs/>
          <w:iCs/>
        </w:rPr>
      </w:pPr>
    </w:p>
    <w:p w14:paraId="72CBFE91" w14:textId="77777777" w:rsidR="007127CD" w:rsidRPr="009B2B01" w:rsidRDefault="007127CD" w:rsidP="007127CD">
      <w:pPr>
        <w:spacing w:after="0" w:line="360" w:lineRule="auto"/>
        <w:rPr>
          <w:rFonts w:cs="Tahoma"/>
          <w:bCs/>
          <w:iCs/>
        </w:rPr>
      </w:pPr>
      <w:r w:rsidRPr="009B2B01">
        <w:rPr>
          <w:rFonts w:cs="Tahoma"/>
          <w:bCs/>
          <w:iCs/>
        </w:rPr>
        <w:t>A mayor precisión, la transparencia de la información requerida permitiría a la sociedad, en general, conocer los nombres de las personas que acreditaron los elementos necesarios para poder realizar una actividad económica dentro del territorio del Municipio; esto es, de los requisitos establecidos en las leyes respectivas.</w:t>
      </w:r>
    </w:p>
    <w:p w14:paraId="16F1EAED" w14:textId="77777777" w:rsidR="007127CD" w:rsidRPr="009B2B01" w:rsidRDefault="007127CD" w:rsidP="007127CD">
      <w:pPr>
        <w:spacing w:after="0" w:line="360" w:lineRule="auto"/>
        <w:rPr>
          <w:rFonts w:cs="Tahoma"/>
          <w:bCs/>
          <w:iCs/>
        </w:rPr>
      </w:pPr>
    </w:p>
    <w:p w14:paraId="59CE4F74" w14:textId="77777777" w:rsidR="007127CD" w:rsidRPr="009B2B01" w:rsidRDefault="007127CD" w:rsidP="007127CD">
      <w:pPr>
        <w:spacing w:after="0" w:line="360" w:lineRule="auto"/>
        <w:rPr>
          <w:rFonts w:cs="Tahoma"/>
          <w:bCs/>
          <w:iCs/>
        </w:rPr>
      </w:pPr>
      <w:r w:rsidRPr="009B2B01">
        <w:rPr>
          <w:rFonts w:cs="Tahoma"/>
          <w:bCs/>
          <w:iCs/>
        </w:rPr>
        <w:lastRenderedPageBreak/>
        <w:t xml:space="preserve">En ese orden de ideas, resulta necesario precisar, que en el artículo 21, fracción III de la Ley de Competitividad y Ordenamiento Comercial del Estado de México, prevé que es obligación de los propietarios de establecimientos, tener en un lugar visible dentro de la unidad económica, el original o copia certificada de la licencia de funcionamiento. </w:t>
      </w:r>
    </w:p>
    <w:p w14:paraId="5ACAE84F" w14:textId="77777777" w:rsidR="007127CD" w:rsidRPr="009B2B01" w:rsidRDefault="007127CD" w:rsidP="007127CD">
      <w:pPr>
        <w:spacing w:after="0" w:line="360" w:lineRule="auto"/>
        <w:rPr>
          <w:rFonts w:cs="Tahoma"/>
          <w:bCs/>
          <w:iCs/>
        </w:rPr>
      </w:pPr>
    </w:p>
    <w:p w14:paraId="353F105E" w14:textId="77777777" w:rsidR="007127CD" w:rsidRPr="009B2B01" w:rsidRDefault="007127CD" w:rsidP="007127CD">
      <w:pPr>
        <w:spacing w:after="0" w:line="360" w:lineRule="auto"/>
        <w:rPr>
          <w:rFonts w:cs="Tahoma"/>
          <w:bCs/>
          <w:iCs/>
        </w:rPr>
      </w:pPr>
      <w:r w:rsidRPr="009B2B01">
        <w:rPr>
          <w:rFonts w:cs="Tahoma"/>
          <w:bCs/>
          <w:iCs/>
        </w:rPr>
        <w:t>Por ende, otorgar el nombre de la persona autorizada, a través de una licencia de funcionamiento, permite corroborar que la exhibida en el establecimiento comercial, fue emitida efectivamente por la autoridad competente, en el presente caso, por el Municipio de Toluca.</w:t>
      </w:r>
    </w:p>
    <w:p w14:paraId="4F63AEAE" w14:textId="77777777" w:rsidR="007127CD" w:rsidRPr="009B2B01" w:rsidRDefault="007127CD" w:rsidP="007127CD">
      <w:pPr>
        <w:spacing w:after="0" w:line="360" w:lineRule="auto"/>
        <w:rPr>
          <w:rFonts w:cs="Tahoma"/>
          <w:bCs/>
          <w:iCs/>
        </w:rPr>
      </w:pPr>
    </w:p>
    <w:p w14:paraId="3E311C75" w14:textId="77777777" w:rsidR="007127CD" w:rsidRPr="009B2B01" w:rsidRDefault="007127CD" w:rsidP="007127CD">
      <w:pPr>
        <w:spacing w:after="0" w:line="360" w:lineRule="auto"/>
        <w:rPr>
          <w:rFonts w:cs="Tahoma"/>
          <w:bCs/>
          <w:iCs/>
        </w:rPr>
      </w:pPr>
      <w:r w:rsidRPr="009B2B01">
        <w:rPr>
          <w:rFonts w:cs="Tahoma"/>
          <w:bCs/>
          <w:iCs/>
        </w:rPr>
        <w:t>Bajo esa premisa, se entiende que la materia sobre la cual versa la presente solicitud, reviste un interés colectivo para la sociedad, dado que el Estado a nivel municipal, es el encargado de regular los establecimientos comerciales o industriales dentro de extensión territorial.</w:t>
      </w:r>
    </w:p>
    <w:p w14:paraId="7D1D86C6" w14:textId="77777777" w:rsidR="007127CD" w:rsidRPr="009B2B01" w:rsidRDefault="007127CD" w:rsidP="007127CD">
      <w:pPr>
        <w:spacing w:after="0" w:line="360" w:lineRule="auto"/>
        <w:rPr>
          <w:rFonts w:cs="Tahoma"/>
          <w:bCs/>
          <w:iCs/>
        </w:rPr>
      </w:pPr>
    </w:p>
    <w:p w14:paraId="70C844B3" w14:textId="77777777" w:rsidR="007127CD" w:rsidRPr="009B2B01" w:rsidRDefault="007127CD" w:rsidP="007127CD">
      <w:pPr>
        <w:spacing w:after="0" w:line="360" w:lineRule="auto"/>
        <w:rPr>
          <w:rFonts w:cs="Tahoma"/>
          <w:bCs/>
          <w:iCs/>
        </w:rPr>
      </w:pPr>
      <w:r w:rsidRPr="009B2B01">
        <w:rPr>
          <w:rFonts w:cs="Tahoma"/>
          <w:bCs/>
          <w:iCs/>
        </w:rPr>
        <w:t>Así, mediante la difusión de los nombres de aquellas personas que cuentan con la licencia de funcionamiento, permitiría una debida rendición de cuentas, pues es indispensable que se conozcan aquellos que están autorizados por parte del Municipio de Toluca para realizar actividades económicas, mismas que se encuentran reguladas, por lo que, con ello se garantizaría que la sociedad tenga certeza de que las autorizaciones colocadas en los establecimientos, fueron efectivamente emitidas por el sujeto obligado, y no funcionan fuera del marco de la normatividad aplicable.</w:t>
      </w:r>
    </w:p>
    <w:p w14:paraId="4E008116" w14:textId="77777777" w:rsidR="007127CD" w:rsidRPr="009B2B01" w:rsidRDefault="007127CD" w:rsidP="007127CD">
      <w:pPr>
        <w:spacing w:after="0" w:line="360" w:lineRule="auto"/>
        <w:rPr>
          <w:rFonts w:cs="Tahoma"/>
          <w:bCs/>
          <w:iCs/>
        </w:rPr>
      </w:pPr>
    </w:p>
    <w:p w14:paraId="0464FECA" w14:textId="77777777" w:rsidR="007127CD" w:rsidRPr="009B2B01" w:rsidRDefault="007127CD" w:rsidP="007127CD">
      <w:pPr>
        <w:spacing w:after="0" w:line="360" w:lineRule="auto"/>
        <w:rPr>
          <w:rFonts w:cs="Tahoma"/>
          <w:bCs/>
          <w:iCs/>
        </w:rPr>
      </w:pPr>
      <w:r w:rsidRPr="009B2B01">
        <w:rPr>
          <w:rFonts w:cs="Tahoma"/>
          <w:bCs/>
          <w:iCs/>
        </w:rPr>
        <w:t xml:space="preserve">Es bajo ese contexto, que se considera que el derecho de acceso a la información debe prevalecer frente a la protección del nombre de los titules de licencias de funcionamiento, pues resulta de interés público, el que la sociedad pueda identificar a quiénes están </w:t>
      </w:r>
      <w:r w:rsidRPr="009B2B01">
        <w:rPr>
          <w:rFonts w:cs="Tahoma"/>
          <w:bCs/>
          <w:iCs/>
        </w:rPr>
        <w:lastRenderedPageBreak/>
        <w:t>autorizados para ejercer la actividad comercial; lo cual permite corroborar que la localizada en el establecimiento fue efectivamente emitida por el Sujeto Obligado.</w:t>
      </w:r>
    </w:p>
    <w:p w14:paraId="318F3E09" w14:textId="77777777" w:rsidR="007127CD" w:rsidRPr="009B2B01" w:rsidRDefault="007127CD" w:rsidP="007127CD">
      <w:pPr>
        <w:spacing w:after="0" w:line="360" w:lineRule="auto"/>
        <w:rPr>
          <w:rFonts w:cs="Tahoma"/>
          <w:bCs/>
          <w:iCs/>
        </w:rPr>
      </w:pPr>
    </w:p>
    <w:p w14:paraId="5F4BB104" w14:textId="77777777" w:rsidR="007127CD" w:rsidRPr="009B2B01" w:rsidRDefault="007127CD" w:rsidP="007127CD">
      <w:pPr>
        <w:spacing w:after="0" w:line="360" w:lineRule="auto"/>
        <w:rPr>
          <w:rFonts w:cs="Tahoma"/>
          <w:bCs/>
          <w:iCs/>
        </w:rPr>
      </w:pPr>
      <w:r w:rsidRPr="009B2B01">
        <w:rPr>
          <w:rFonts w:cs="Tahoma"/>
          <w:bCs/>
          <w:iCs/>
        </w:rPr>
        <w:t>Igualmente, permitiría el escrutinio de la actividad de la autoridad encargada de emitir dichas licencias, en tanto que la sociedad podría advertir si se autorizaron a quienes cumplen con los requisitos establecidos la normatividad aplicable e incluso si dicha licencia se encuentra vigente.</w:t>
      </w:r>
    </w:p>
    <w:p w14:paraId="75D2C6CF" w14:textId="77777777" w:rsidR="007127CD" w:rsidRPr="009B2B01" w:rsidRDefault="007127CD" w:rsidP="007127CD">
      <w:pPr>
        <w:spacing w:after="0" w:line="360" w:lineRule="auto"/>
        <w:rPr>
          <w:rFonts w:cs="Tahoma"/>
          <w:bCs/>
          <w:iCs/>
        </w:rPr>
      </w:pPr>
    </w:p>
    <w:p w14:paraId="3221E3AB" w14:textId="77777777" w:rsidR="007127CD" w:rsidRPr="009B2B01" w:rsidRDefault="007127CD" w:rsidP="007127CD">
      <w:pPr>
        <w:spacing w:after="0" w:line="360" w:lineRule="auto"/>
        <w:rPr>
          <w:rFonts w:cs="Tahoma"/>
          <w:bCs/>
          <w:iCs/>
        </w:rPr>
      </w:pPr>
      <w:r w:rsidRPr="009B2B01">
        <w:rPr>
          <w:rFonts w:cs="Tahoma"/>
          <w:b/>
          <w:bCs/>
          <w:iCs/>
        </w:rPr>
        <w:t>b) Necesidad</w:t>
      </w:r>
      <w:r w:rsidRPr="009B2B01">
        <w:rPr>
          <w:rFonts w:cs="Tahoma"/>
          <w:bCs/>
          <w:iCs/>
        </w:rPr>
        <w:t>. El sacrifico de la protección del nombre de aquellas personas que se les otorgó una licencia de funcionamiento, como medio para lograr el fin constitucionalmente válido señalado previamente, se justifica en razón de que se satisface el interés mayor de los ciudadanos de conocer si los establecimientos comerciales cuentan con la autorización correspondiente. Además, corrobora si la localizada en el inmueble para llevar a cabo la actividad, fue emitida por el Sujeto Obligado, como regulador de las actividades económicas del Municipio, además de que permite identificar a las personas que acceden al servicio quién es el responsable del local.</w:t>
      </w:r>
    </w:p>
    <w:p w14:paraId="5927E352" w14:textId="77777777" w:rsidR="007127CD" w:rsidRPr="009B2B01" w:rsidRDefault="007127CD" w:rsidP="007127CD">
      <w:pPr>
        <w:spacing w:after="0" w:line="360" w:lineRule="auto"/>
        <w:rPr>
          <w:rFonts w:cs="Tahoma"/>
          <w:bCs/>
          <w:iCs/>
        </w:rPr>
      </w:pPr>
    </w:p>
    <w:p w14:paraId="6A48B693" w14:textId="77777777" w:rsidR="007127CD" w:rsidRPr="009B2B01" w:rsidRDefault="007127CD" w:rsidP="007127CD">
      <w:pPr>
        <w:spacing w:after="0" w:line="360" w:lineRule="auto"/>
        <w:rPr>
          <w:rFonts w:cs="Tahoma"/>
          <w:bCs/>
          <w:iCs/>
        </w:rPr>
      </w:pPr>
      <w:r w:rsidRPr="009B2B01">
        <w:rPr>
          <w:rFonts w:cs="Tahoma"/>
          <w:bCs/>
          <w:iCs/>
        </w:rPr>
        <w:t>Sobre el particular, el artículo 2° de la Ley de Transparencia y Acceso a la Información Pública del Estado de México y Municipios, dispone que entre los objetivos de la misma, se encuentran: i) transparentar la gestión pública mediante la difusión de la información generada por los Sujetos Obligados; ii) promover, fomentar y la cultura de la transparencia, el acceso a la información y a la rendición de cuentas y, iii) propiciar la participación ciudadana en la toma de las decisiones públicas, a fin de contribuir a la consolidación de la democracia.</w:t>
      </w:r>
    </w:p>
    <w:p w14:paraId="029113ED" w14:textId="77777777" w:rsidR="007127CD" w:rsidRPr="009B2B01" w:rsidRDefault="007127CD" w:rsidP="007127CD">
      <w:pPr>
        <w:spacing w:after="0" w:line="360" w:lineRule="auto"/>
        <w:rPr>
          <w:rFonts w:cs="Tahoma"/>
          <w:bCs/>
          <w:iCs/>
        </w:rPr>
      </w:pPr>
    </w:p>
    <w:p w14:paraId="12B61B81" w14:textId="77777777" w:rsidR="007127CD" w:rsidRPr="009B2B01" w:rsidRDefault="007127CD" w:rsidP="007127CD">
      <w:pPr>
        <w:spacing w:after="0" w:line="360" w:lineRule="auto"/>
        <w:rPr>
          <w:rFonts w:cs="Tahoma"/>
          <w:bCs/>
          <w:iCs/>
        </w:rPr>
      </w:pPr>
      <w:r w:rsidRPr="009B2B01">
        <w:rPr>
          <w:rFonts w:cs="Tahoma"/>
          <w:bCs/>
          <w:iCs/>
        </w:rPr>
        <w:lastRenderedPageBreak/>
        <w:t>En el caso concreto, se considera que no existe un medio menos oneroso que el ejercicio del derecho de acceso a la información para lograr el fin constitucionalmente válido, que es transparentar y rendir cuentas a la sociedad sobre las personas a quiénes se les otorgaron licencias, por parte del Municipio de Toluca, a través de la Dirección General de Desarrollo Económico, para que pudieran realizar actividades económicas, comerciales o industriales, pues sólo por esta vía se puede conocer la forma en la cual el ente recurrido ejerció sus facultades emanadas en los diversos ordenamientos jurídicos, lo cual permitiría comprobar que las licencias localizadas en los respectivos establecimientos cumplieron con los requisitos establecidos en los mismos.</w:t>
      </w:r>
    </w:p>
    <w:p w14:paraId="6F49E460" w14:textId="77777777" w:rsidR="007127CD" w:rsidRPr="009B2B01" w:rsidRDefault="007127CD" w:rsidP="007127CD">
      <w:pPr>
        <w:spacing w:after="0" w:line="360" w:lineRule="auto"/>
        <w:rPr>
          <w:rFonts w:cs="Tahoma"/>
          <w:bCs/>
          <w:iCs/>
        </w:rPr>
      </w:pPr>
    </w:p>
    <w:p w14:paraId="00CB36C8" w14:textId="77777777" w:rsidR="007127CD" w:rsidRPr="009B2B01" w:rsidRDefault="007127CD" w:rsidP="007127CD">
      <w:pPr>
        <w:spacing w:after="0" w:line="360" w:lineRule="auto"/>
        <w:rPr>
          <w:rFonts w:cs="Tahoma"/>
          <w:bCs/>
          <w:iCs/>
        </w:rPr>
      </w:pPr>
      <w:r w:rsidRPr="009B2B01">
        <w:rPr>
          <w:rFonts w:cs="Tahoma"/>
          <w:bCs/>
          <w:iCs/>
        </w:rPr>
        <w:t>En otras palabras, se considera que sólo con la difusión del nombre del titular de las licencias de funcionamiento, se podrían aportar los elementos necesarios a la ciudadanía para conocer que cualquier establecimiento comercial cuenta con la autorización emitida por el Ayuntamiento.</w:t>
      </w:r>
    </w:p>
    <w:p w14:paraId="0F014C88" w14:textId="77777777" w:rsidR="007127CD" w:rsidRPr="009B2B01" w:rsidRDefault="007127CD" w:rsidP="007127CD">
      <w:pPr>
        <w:spacing w:after="0" w:line="360" w:lineRule="auto"/>
        <w:rPr>
          <w:rFonts w:cs="Tahoma"/>
          <w:bCs/>
          <w:iCs/>
        </w:rPr>
      </w:pPr>
    </w:p>
    <w:p w14:paraId="3FE1C7E3" w14:textId="77777777" w:rsidR="007127CD" w:rsidRPr="009B2B01" w:rsidRDefault="007127CD" w:rsidP="007127CD">
      <w:pPr>
        <w:spacing w:after="0" w:line="360" w:lineRule="auto"/>
        <w:rPr>
          <w:rFonts w:cs="Tahoma"/>
          <w:bCs/>
          <w:iCs/>
        </w:rPr>
      </w:pPr>
      <w:r w:rsidRPr="009B2B01">
        <w:rPr>
          <w:rFonts w:cs="Tahoma"/>
          <w:bCs/>
          <w:iCs/>
        </w:rPr>
        <w:t>Es decir, si se negara el derecho de acceso a la información al nombre localizado en dicho documento, se impediría que los ciudadanos pudieran corroborar que las autorizaciones, que por Ley deben de estar visibles en los establecimientos, efectivamente fueron emitidas por el Sujeto Obligado, pues al proteger dicho dato no se tendría certeza de que el titular corresponda con el emitido por el Municipio en comento, además de que impediría conocer o identificar a la persona responsable del mismo, para atender asuntos relacionados con este, pues debe tener presente que la licencia de funcionamiento se entrega para brindar servicios a terceros, de ahí que se advierta un tema de interés público y que resulte imperativo la difusión de la información, advirtiéndose una desventaja de menor proporción en cuanto a la afectación de la protección de los datos personales.</w:t>
      </w:r>
    </w:p>
    <w:p w14:paraId="53BE2392" w14:textId="77777777" w:rsidR="007127CD" w:rsidRPr="009B2B01" w:rsidRDefault="007127CD" w:rsidP="007127CD">
      <w:pPr>
        <w:spacing w:after="0" w:line="360" w:lineRule="auto"/>
        <w:rPr>
          <w:rFonts w:cs="Tahoma"/>
          <w:bCs/>
          <w:iCs/>
        </w:rPr>
      </w:pPr>
    </w:p>
    <w:p w14:paraId="406780F0" w14:textId="77777777" w:rsidR="007127CD" w:rsidRPr="009B2B01" w:rsidRDefault="007127CD" w:rsidP="007127CD">
      <w:pPr>
        <w:spacing w:after="0" w:line="360" w:lineRule="auto"/>
        <w:rPr>
          <w:rFonts w:cs="Tahoma"/>
          <w:bCs/>
          <w:iCs/>
        </w:rPr>
      </w:pPr>
      <w:r w:rsidRPr="009B2B01">
        <w:rPr>
          <w:rFonts w:cs="Tahoma"/>
          <w:b/>
          <w:bCs/>
          <w:iCs/>
        </w:rPr>
        <w:lastRenderedPageBreak/>
        <w:t>c) Proporcionalidad en sentido estricto</w:t>
      </w:r>
      <w:r w:rsidRPr="009B2B01">
        <w:rPr>
          <w:rFonts w:cs="Tahoma"/>
          <w:bCs/>
          <w:iCs/>
        </w:rPr>
        <w:t>. El sacrificio de la protección al nombre de aquellas personas que se les otorgó una licencia para realizar actividades económicas, como medio para lograr el fin constitucionalmente válido señalado previamente, se justifica en razón de que se satisface el interés mayor de los ciudadanos de conocer si los comerciantes cuentan con la autorización correspondiente para llevar a cabo dichas actividades, las cuales son reguladas, específicamente por los Municipios del Estado de México.</w:t>
      </w:r>
    </w:p>
    <w:p w14:paraId="5DCA5C6A" w14:textId="77777777" w:rsidR="007127CD" w:rsidRPr="009B2B01" w:rsidRDefault="007127CD" w:rsidP="007127CD">
      <w:pPr>
        <w:spacing w:after="0" w:line="360" w:lineRule="auto"/>
        <w:rPr>
          <w:rFonts w:cs="Tahoma"/>
          <w:bCs/>
          <w:iCs/>
        </w:rPr>
      </w:pPr>
    </w:p>
    <w:p w14:paraId="3748378F" w14:textId="77777777" w:rsidR="007127CD" w:rsidRPr="009B2B01" w:rsidRDefault="007127CD" w:rsidP="007127CD">
      <w:pPr>
        <w:spacing w:after="0" w:line="360" w:lineRule="auto"/>
        <w:rPr>
          <w:rFonts w:cs="Tahoma"/>
          <w:bCs/>
          <w:iCs/>
        </w:rPr>
      </w:pPr>
      <w:r w:rsidRPr="009B2B01">
        <w:rPr>
          <w:rFonts w:cs="Tahoma"/>
          <w:bCs/>
          <w:iCs/>
        </w:rPr>
        <w:t>Aunado a ello, se aportarían elementos para determinar si esas autorizaciones se emitieron conforme a derecho y que las que se encuentran visibles en los establecimientos fueron efectivamente emitidas por el Ayuntamiento, esto es, que se cumplen con los requisitos legales que marcan las disposiciones antes estudiadas.</w:t>
      </w:r>
    </w:p>
    <w:p w14:paraId="688835C0" w14:textId="77777777" w:rsidR="007127CD" w:rsidRPr="009B2B01" w:rsidRDefault="007127CD" w:rsidP="007127CD">
      <w:pPr>
        <w:spacing w:after="0" w:line="360" w:lineRule="auto"/>
        <w:rPr>
          <w:rFonts w:cs="Tahoma"/>
          <w:bCs/>
          <w:iCs/>
        </w:rPr>
      </w:pPr>
    </w:p>
    <w:p w14:paraId="4C82E78F" w14:textId="77777777" w:rsidR="007127CD" w:rsidRPr="009B2B01" w:rsidRDefault="007127CD" w:rsidP="007127CD">
      <w:pPr>
        <w:spacing w:after="0" w:line="360" w:lineRule="auto"/>
        <w:rPr>
          <w:rFonts w:cs="Tahoma"/>
          <w:bCs/>
          <w:iCs/>
        </w:rPr>
      </w:pPr>
      <w:r w:rsidRPr="009B2B01">
        <w:rPr>
          <w:rFonts w:cs="Tahoma"/>
          <w:bCs/>
          <w:iCs/>
        </w:rPr>
        <w:t>Conforme a lo anterior, el bien jurídico tutelado por el supuesto de confidencialidad previsto en el artículo 143, fracción I de la Ley de la materia, debe ceder frente al derecho de la sociedad de obtener información, en tanto que es mayor el beneficio que representa su publicidad, pues la misma da cuenta del correcto actuar del Sujeto Obligado como regulador de las actividades comerciales en la extensión territorial del Municipio de Toluca y permite a los usuarios del local comercial identificar al responsable del mismo.</w:t>
      </w:r>
    </w:p>
    <w:p w14:paraId="54FA2680" w14:textId="77777777" w:rsidR="007127CD" w:rsidRPr="009B2B01" w:rsidRDefault="007127CD" w:rsidP="007127CD">
      <w:pPr>
        <w:spacing w:after="0" w:line="360" w:lineRule="auto"/>
        <w:rPr>
          <w:rFonts w:cs="Tahoma"/>
          <w:bCs/>
          <w:iCs/>
        </w:rPr>
      </w:pPr>
    </w:p>
    <w:p w14:paraId="1BA3D644" w14:textId="77777777" w:rsidR="007127CD" w:rsidRPr="009B2B01" w:rsidRDefault="007127CD" w:rsidP="007127CD">
      <w:pPr>
        <w:spacing w:after="0" w:line="360" w:lineRule="auto"/>
        <w:rPr>
          <w:rFonts w:cs="Tahoma"/>
          <w:bCs/>
          <w:iCs/>
        </w:rPr>
      </w:pPr>
      <w:r w:rsidRPr="009B2B01">
        <w:rPr>
          <w:rFonts w:cs="Tahoma"/>
          <w:bCs/>
          <w:iCs/>
        </w:rPr>
        <w:t xml:space="preserve">En ese sentido, la difusión del nombre de los titulares de las licencias de funcionamiento revisten un claro interés público, puesto que existe una necesidad colectiva de conocer y evaluar la emisión de dichas autorizaciones; en razón de que se trata de información generada con motivo del ejercicio de las funciones del Ente Recurrido, a través de la Dirección General de Desarrollo Económico, como regulador de cualquier actividad económica, comercial o industrial dentro de su territorio; lo anterior, conforme a la Ley Orgánica </w:t>
      </w:r>
      <w:r w:rsidRPr="009B2B01">
        <w:rPr>
          <w:rFonts w:cs="Tahoma"/>
          <w:bCs/>
          <w:iCs/>
        </w:rPr>
        <w:lastRenderedPageBreak/>
        <w:t>Municipal el Estado de México, la Ley de Competitividad y Ordenamiento Comercial del Estado de México y su Reglamento y el Bando Municipal de Toluca.</w:t>
      </w:r>
    </w:p>
    <w:p w14:paraId="775FB967" w14:textId="77777777" w:rsidR="007127CD" w:rsidRPr="009B2B01" w:rsidRDefault="007127CD" w:rsidP="007127CD">
      <w:pPr>
        <w:spacing w:after="0" w:line="360" w:lineRule="auto"/>
        <w:rPr>
          <w:rFonts w:cs="Tahoma"/>
          <w:bCs/>
          <w:iCs/>
        </w:rPr>
      </w:pPr>
    </w:p>
    <w:p w14:paraId="2E58A84B" w14:textId="6780C027" w:rsidR="007127CD" w:rsidRPr="009B2B01" w:rsidRDefault="007127CD" w:rsidP="007127CD">
      <w:pPr>
        <w:spacing w:after="0" w:line="360" w:lineRule="auto"/>
        <w:rPr>
          <w:rFonts w:cs="Tahoma"/>
          <w:bCs/>
          <w:iCs/>
        </w:rPr>
      </w:pPr>
      <w:r w:rsidRPr="009B2B01">
        <w:rPr>
          <w:rFonts w:cs="Tahoma"/>
          <w:bCs/>
          <w:iCs/>
        </w:rPr>
        <w:t xml:space="preserve">Por todo lo expuesto, dar a conocer el nombre de los titulares de licencias, prevalece sobre la protección de los datos personales confidenciales de dichas personas, en razón del interés público que reviste; por lo que, no resulta aplicable, en el presente caso, el artículo 143, fracción I, de la Ley de Transparencia y Acceso a la Información Pública del Estado de México y Municipios. </w:t>
      </w:r>
    </w:p>
    <w:p w14:paraId="1A3D1319" w14:textId="77777777" w:rsidR="007127CD" w:rsidRPr="009B2B01" w:rsidRDefault="007127CD" w:rsidP="007127CD">
      <w:pPr>
        <w:spacing w:after="0" w:line="360" w:lineRule="auto"/>
        <w:rPr>
          <w:rFonts w:cs="Tahoma"/>
          <w:bCs/>
          <w:iCs/>
        </w:rPr>
      </w:pPr>
    </w:p>
    <w:p w14:paraId="3412755B" w14:textId="77777777" w:rsidR="007127CD" w:rsidRPr="009B2B01" w:rsidRDefault="007127CD" w:rsidP="007127CD">
      <w:pPr>
        <w:spacing w:after="0" w:line="360" w:lineRule="auto"/>
        <w:rPr>
          <w:rFonts w:cs="Tahoma"/>
          <w:b/>
          <w:bCs/>
          <w:iCs/>
        </w:rPr>
      </w:pPr>
      <w:r w:rsidRPr="009B2B01">
        <w:rPr>
          <w:rFonts w:cs="Tahoma"/>
          <w:b/>
          <w:bCs/>
          <w:iCs/>
        </w:rPr>
        <w:t>Nombre de representante legal</w:t>
      </w:r>
    </w:p>
    <w:p w14:paraId="432D04A4" w14:textId="77777777" w:rsidR="007127CD" w:rsidRPr="009B2B01" w:rsidRDefault="007127CD" w:rsidP="007127CD">
      <w:pPr>
        <w:spacing w:after="0" w:line="360" w:lineRule="auto"/>
        <w:rPr>
          <w:rFonts w:cs="Tahoma"/>
          <w:bCs/>
          <w:iCs/>
        </w:rPr>
      </w:pPr>
    </w:p>
    <w:p w14:paraId="3117E697" w14:textId="77777777" w:rsidR="007127CD" w:rsidRPr="009B2B01" w:rsidRDefault="007127CD" w:rsidP="007127CD">
      <w:pPr>
        <w:spacing w:after="0" w:line="360" w:lineRule="auto"/>
        <w:rPr>
          <w:rFonts w:cs="Tahoma"/>
          <w:bCs/>
          <w:iCs/>
        </w:rPr>
      </w:pPr>
      <w:r w:rsidRPr="009B2B01">
        <w:rPr>
          <w:rFonts w:cs="Tahoma"/>
          <w:bCs/>
          <w:iCs/>
        </w:rPr>
        <w:t>Al respecto, resulta necesario señalar que las personas morales son representadas mediante personas físicas, debidamente acreditadas para realizar determinados actos a nombre de la jurídico-colectiva, por lo que, el nombre de dichos individuos no puede ser objeto de clasificación, en virtud de que la representación persigue la finalidad de dar certeza jurídica a los actos que realiza, en el presente caso, aceptar y recibir una Licencia de Funcionamiento, a nombre de la persona moral.</w:t>
      </w:r>
    </w:p>
    <w:p w14:paraId="7CF5EE9E" w14:textId="77777777" w:rsidR="007127CD" w:rsidRPr="009B2B01" w:rsidRDefault="007127CD" w:rsidP="007127CD">
      <w:pPr>
        <w:spacing w:after="0" w:line="360" w:lineRule="auto"/>
        <w:rPr>
          <w:rFonts w:cs="Tahoma"/>
          <w:bCs/>
          <w:iCs/>
        </w:rPr>
      </w:pPr>
    </w:p>
    <w:p w14:paraId="01D01358" w14:textId="77777777" w:rsidR="007127CD" w:rsidRPr="009B2B01" w:rsidRDefault="007127CD" w:rsidP="007127CD">
      <w:pPr>
        <w:spacing w:after="0" w:line="360" w:lineRule="auto"/>
        <w:rPr>
          <w:rFonts w:cs="Tahoma"/>
          <w:bCs/>
          <w:iCs/>
        </w:rPr>
      </w:pPr>
      <w:r w:rsidRPr="009B2B01">
        <w:rPr>
          <w:rFonts w:cs="Tahoma"/>
          <w:bCs/>
          <w:iCs/>
        </w:rPr>
        <w:t>En ese sentido, el artículo 10 de la Ley General de Sociedades Mercantiles, establece que la representación de toda sociedad mercantil corresponderá a su administrador o administradores, quiénes podrán realizar todas las operaciones inherentes al objeto de la sociedad; por lo que, para que surtan efectos los poderes que otorgue dicha empresa bastará su protocolización ante notario público.</w:t>
      </w:r>
    </w:p>
    <w:p w14:paraId="2682D8D5" w14:textId="77777777" w:rsidR="007127CD" w:rsidRPr="009B2B01" w:rsidRDefault="007127CD" w:rsidP="007127CD">
      <w:pPr>
        <w:spacing w:after="0" w:line="360" w:lineRule="auto"/>
        <w:rPr>
          <w:rFonts w:cs="Tahoma"/>
          <w:bCs/>
          <w:iCs/>
        </w:rPr>
      </w:pPr>
    </w:p>
    <w:p w14:paraId="04C53043" w14:textId="77777777" w:rsidR="007127CD" w:rsidRPr="009B2B01" w:rsidRDefault="007127CD" w:rsidP="007127CD">
      <w:pPr>
        <w:spacing w:after="0" w:line="360" w:lineRule="auto"/>
        <w:rPr>
          <w:rFonts w:cs="Tahoma"/>
          <w:bCs/>
          <w:iCs/>
        </w:rPr>
      </w:pPr>
      <w:r w:rsidRPr="009B2B01">
        <w:rPr>
          <w:rFonts w:cs="Tahoma"/>
          <w:bCs/>
          <w:iCs/>
        </w:rPr>
        <w:lastRenderedPageBreak/>
        <w:t>En esa tesitura, la representación de las personas morales se realizará por medio de representantes o apoderados, y en el caso específico de las sociedades mercantiles, dicha representación se otorgará mediante instrumento público.</w:t>
      </w:r>
    </w:p>
    <w:p w14:paraId="1BD92C65" w14:textId="77777777" w:rsidR="007127CD" w:rsidRPr="009B2B01" w:rsidRDefault="007127CD" w:rsidP="007127CD">
      <w:pPr>
        <w:spacing w:after="0" w:line="360" w:lineRule="auto"/>
        <w:rPr>
          <w:rFonts w:cs="Tahoma"/>
          <w:bCs/>
          <w:iCs/>
        </w:rPr>
      </w:pPr>
    </w:p>
    <w:p w14:paraId="7588DF0D" w14:textId="77777777" w:rsidR="007127CD" w:rsidRPr="009B2B01" w:rsidRDefault="007127CD" w:rsidP="007127CD">
      <w:pPr>
        <w:spacing w:after="0" w:line="360" w:lineRule="auto"/>
        <w:rPr>
          <w:rFonts w:cs="Tahoma"/>
          <w:bCs/>
          <w:iCs/>
        </w:rPr>
      </w:pPr>
      <w:r w:rsidRPr="009B2B01">
        <w:rPr>
          <w:rFonts w:cs="Tahoma"/>
          <w:bCs/>
          <w:iCs/>
        </w:rPr>
        <w:t>Ello, toda vez que la representación legal debe ser conocida para surtir efectos ante terceros; es decir, la publicidad de la misma tiene por objeto dar certeza a quienes se relacionan con la persona jurídico colectiva representada, que las actuaciones de su representante están previamente autorizadas y que surtirán efectos legales a que constriñe cada acto.</w:t>
      </w:r>
    </w:p>
    <w:p w14:paraId="1EE1F70D" w14:textId="77777777" w:rsidR="007127CD" w:rsidRPr="009B2B01" w:rsidRDefault="007127CD" w:rsidP="007127CD">
      <w:pPr>
        <w:spacing w:after="0" w:line="360" w:lineRule="auto"/>
        <w:rPr>
          <w:rFonts w:cs="Tahoma"/>
          <w:bCs/>
          <w:iCs/>
        </w:rPr>
      </w:pPr>
    </w:p>
    <w:p w14:paraId="5DCF74FA" w14:textId="77777777" w:rsidR="007127CD" w:rsidRPr="009B2B01" w:rsidRDefault="007127CD" w:rsidP="007127CD">
      <w:pPr>
        <w:spacing w:after="0" w:line="360" w:lineRule="auto"/>
        <w:rPr>
          <w:rFonts w:cs="Tahoma"/>
          <w:bCs/>
          <w:iCs/>
        </w:rPr>
      </w:pPr>
      <w:r w:rsidRPr="009B2B01">
        <w:rPr>
          <w:rFonts w:cs="Tahoma"/>
          <w:bCs/>
          <w:iCs/>
        </w:rPr>
        <w:t xml:space="preserve">En ese orden de ideas, se estima que si bien, el nombre es uno de los atributos de la personalidad y la manifestación principal del derecho subjetivo a la identidad, en virtud de que hace una persona física identificada o identificable; lo cierto es que el nombre del apoderado legal de una empresa, es público, toda vez que por conducto de este, una persona jurídico-colectiva realiza cualquier acto jurídico; es decir, la publicidad de dicho dato da certeza a quienes se relacionan con la persona representada, partiendo del supuesto de que las actuaciones de su representante están previamente autorizadas y que surtirán los efectos legales a que se constriñe en cada acto. </w:t>
      </w:r>
    </w:p>
    <w:p w14:paraId="7AC7910E" w14:textId="77777777" w:rsidR="007127CD" w:rsidRPr="009B2B01" w:rsidRDefault="007127CD" w:rsidP="007127CD">
      <w:pPr>
        <w:spacing w:after="0" w:line="360" w:lineRule="auto"/>
        <w:rPr>
          <w:rFonts w:cs="Tahoma"/>
          <w:bCs/>
          <w:iCs/>
        </w:rPr>
      </w:pPr>
    </w:p>
    <w:p w14:paraId="5514B80D" w14:textId="77777777" w:rsidR="007127CD" w:rsidRPr="009B2B01" w:rsidRDefault="007127CD" w:rsidP="007127CD">
      <w:pPr>
        <w:spacing w:after="0" w:line="360" w:lineRule="auto"/>
        <w:rPr>
          <w:rFonts w:cs="Tahoma"/>
          <w:bCs/>
          <w:iCs/>
        </w:rPr>
      </w:pPr>
      <w:r w:rsidRPr="009B2B01">
        <w:rPr>
          <w:rFonts w:cs="Tahoma"/>
          <w:bCs/>
          <w:iCs/>
        </w:rPr>
        <w:t>Lo anterior, se robustece con el Criterio Orientador, de la Segunda Época, con clave de control SO/001/2019, emitido por el entonces Instituto Nacional de Transparencia, Acceso a la Información y Protección de Datos Personales, que establece lo siguiente:</w:t>
      </w:r>
    </w:p>
    <w:p w14:paraId="16E5AF34" w14:textId="77777777" w:rsidR="007127CD" w:rsidRPr="009B2B01" w:rsidRDefault="007127CD" w:rsidP="007127CD">
      <w:pPr>
        <w:spacing w:after="0" w:line="360" w:lineRule="auto"/>
        <w:rPr>
          <w:rFonts w:cs="Tahoma"/>
          <w:bCs/>
          <w:iCs/>
        </w:rPr>
      </w:pPr>
    </w:p>
    <w:p w14:paraId="047F27A0" w14:textId="77777777" w:rsidR="007127CD" w:rsidRPr="009B2B01" w:rsidRDefault="007127CD" w:rsidP="0064644A">
      <w:pPr>
        <w:spacing w:after="0" w:line="360" w:lineRule="auto"/>
        <w:ind w:left="720"/>
        <w:rPr>
          <w:rFonts w:cs="Tahoma"/>
          <w:bCs/>
          <w:i/>
          <w:iCs/>
          <w:sz w:val="20"/>
        </w:rPr>
      </w:pPr>
      <w:r w:rsidRPr="009B2B01">
        <w:rPr>
          <w:rFonts w:cs="Tahoma"/>
          <w:bCs/>
          <w:i/>
          <w:iCs/>
          <w:sz w:val="20"/>
        </w:rPr>
        <w:t>“Datos de identificación del representante o apoderado legal. Naturaleza jurídica. 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1D1FCE6A" w14:textId="77777777" w:rsidR="007127CD" w:rsidRPr="009B2B01" w:rsidRDefault="007127CD" w:rsidP="007127CD">
      <w:pPr>
        <w:spacing w:after="0" w:line="360" w:lineRule="auto"/>
        <w:rPr>
          <w:rFonts w:cs="Tahoma"/>
          <w:bCs/>
          <w:iCs/>
        </w:rPr>
      </w:pPr>
    </w:p>
    <w:p w14:paraId="683E6F34" w14:textId="77777777" w:rsidR="007127CD" w:rsidRPr="009B2B01" w:rsidRDefault="007127CD" w:rsidP="007127CD">
      <w:pPr>
        <w:spacing w:after="0" w:line="360" w:lineRule="auto"/>
        <w:rPr>
          <w:rFonts w:cs="Tahoma"/>
          <w:bCs/>
          <w:iCs/>
        </w:rPr>
      </w:pPr>
      <w:r w:rsidRPr="009B2B01">
        <w:rPr>
          <w:rFonts w:cs="Tahoma"/>
          <w:bCs/>
          <w:iCs/>
        </w:rPr>
        <w:t>Ante tales situaciones, el nombre del representante legal, de una persona jurídica colectiva a la cual se le emitió una Licencia de Funcionamiento, no es susceptible de ser clasificado como confidencial, en términos del artículo 143, fracción I, de la Ley Federal de Transparencia y Acceso a la Información Pública.</w:t>
      </w:r>
    </w:p>
    <w:p w14:paraId="3E3D0EA8" w14:textId="77777777" w:rsidR="007127CD" w:rsidRPr="009B2B01" w:rsidRDefault="007127CD" w:rsidP="007127CD">
      <w:pPr>
        <w:spacing w:after="0" w:line="360" w:lineRule="auto"/>
        <w:rPr>
          <w:rFonts w:cs="Tahoma"/>
          <w:bCs/>
          <w:iCs/>
        </w:rPr>
      </w:pPr>
    </w:p>
    <w:p w14:paraId="47682B08" w14:textId="4BC3C9BF" w:rsidR="007127CD" w:rsidRPr="009B2B01" w:rsidRDefault="0064644A" w:rsidP="007127CD">
      <w:pPr>
        <w:spacing w:after="0" w:line="360" w:lineRule="auto"/>
        <w:rPr>
          <w:rFonts w:cs="Tahoma"/>
          <w:b/>
          <w:bCs/>
          <w:iCs/>
        </w:rPr>
      </w:pPr>
      <w:r w:rsidRPr="009B2B01">
        <w:rPr>
          <w:rFonts w:cs="Tahoma"/>
          <w:b/>
          <w:bCs/>
          <w:iCs/>
        </w:rPr>
        <w:t>Persona Jurídico-Colectiva</w:t>
      </w:r>
    </w:p>
    <w:p w14:paraId="0247B03F" w14:textId="77777777" w:rsidR="007127CD" w:rsidRPr="009B2B01" w:rsidRDefault="007127CD" w:rsidP="007127CD">
      <w:pPr>
        <w:spacing w:after="0" w:line="360" w:lineRule="auto"/>
        <w:rPr>
          <w:rFonts w:cs="Tahoma"/>
          <w:bCs/>
          <w:iCs/>
        </w:rPr>
      </w:pPr>
    </w:p>
    <w:p w14:paraId="1341084D" w14:textId="77777777" w:rsidR="007127CD" w:rsidRPr="009B2B01" w:rsidRDefault="007127CD" w:rsidP="007127CD">
      <w:pPr>
        <w:spacing w:after="0" w:line="360" w:lineRule="auto"/>
        <w:rPr>
          <w:rFonts w:cs="Tahoma"/>
          <w:bCs/>
          <w:iCs/>
        </w:rPr>
      </w:pPr>
      <w:r w:rsidRPr="009B2B01">
        <w:rPr>
          <w:rFonts w:cs="Tahoma"/>
          <w:bCs/>
          <w:iCs/>
        </w:rPr>
        <w:t>Al respecto, se considera que la denominación o razón social de una persona moral, es pública, pues dichos datos se encuentran inscritos en el Registro Público del Comercio; lo anterior, toma sustento en el Criterio de interpretación, con clave de control SO/008/2019, de la Segunda Época, emitido por el Pleno del Instituto Nacional de Transparencia, Acceso a la Información y Protección de Datos Personales, el cual establece lo siguiente:</w:t>
      </w:r>
    </w:p>
    <w:p w14:paraId="40E83A48" w14:textId="77777777" w:rsidR="007127CD" w:rsidRPr="009B2B01" w:rsidRDefault="007127CD" w:rsidP="007127CD">
      <w:pPr>
        <w:spacing w:after="0" w:line="360" w:lineRule="auto"/>
        <w:rPr>
          <w:rFonts w:cs="Tahoma"/>
          <w:bCs/>
          <w:iCs/>
        </w:rPr>
      </w:pPr>
    </w:p>
    <w:p w14:paraId="2810B180" w14:textId="77777777" w:rsidR="007127CD" w:rsidRPr="009B2B01" w:rsidRDefault="007127CD" w:rsidP="008F25FE">
      <w:pPr>
        <w:spacing w:after="0" w:line="360" w:lineRule="auto"/>
        <w:ind w:left="720"/>
        <w:rPr>
          <w:rFonts w:cs="Tahoma"/>
          <w:bCs/>
          <w:i/>
          <w:iCs/>
          <w:sz w:val="20"/>
        </w:rPr>
      </w:pPr>
      <w:r w:rsidRPr="009B2B01">
        <w:rPr>
          <w:rFonts w:cs="Tahoma"/>
          <w:bCs/>
          <w:i/>
          <w:iCs/>
          <w:sz w:val="20"/>
        </w:rPr>
        <w:t>“Razón social y RFC de personas morales. 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14:paraId="23765112" w14:textId="77777777" w:rsidR="007127CD" w:rsidRPr="009B2B01" w:rsidRDefault="007127CD" w:rsidP="007127CD">
      <w:pPr>
        <w:spacing w:after="0" w:line="360" w:lineRule="auto"/>
        <w:rPr>
          <w:rFonts w:cs="Tahoma"/>
          <w:bCs/>
          <w:iCs/>
        </w:rPr>
      </w:pPr>
    </w:p>
    <w:p w14:paraId="5BFA356A" w14:textId="4571BC9E" w:rsidR="007127CD" w:rsidRPr="009B2B01" w:rsidRDefault="007127CD" w:rsidP="007127CD">
      <w:pPr>
        <w:spacing w:after="0" w:line="360" w:lineRule="auto"/>
        <w:rPr>
          <w:rFonts w:cs="Tahoma"/>
          <w:bCs/>
          <w:iCs/>
        </w:rPr>
      </w:pPr>
      <w:r w:rsidRPr="009B2B01">
        <w:rPr>
          <w:rFonts w:cs="Tahoma"/>
          <w:bCs/>
          <w:iCs/>
        </w:rPr>
        <w:t xml:space="preserve">Lo anterior, se robustece con el hecho de que el Ente Recurrido tiene como obligación común de transparencia, poner a disposición del público las concesiones, contratos, convenios, permisos, licencias o autorizaciones, el cual debe incluir la razón social del titular, de conformidad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den de difundir los sujetos obligados en los portales de Internet y en la </w:t>
      </w:r>
      <w:r w:rsidRPr="009B2B01">
        <w:rPr>
          <w:rFonts w:cs="Tahoma"/>
          <w:bCs/>
          <w:iCs/>
        </w:rPr>
        <w:lastRenderedPageBreak/>
        <w:t xml:space="preserve">Plataforma Nacional de Transparencia –Lineamientos técnicos generales-, tal </w:t>
      </w:r>
      <w:r w:rsidR="008F25FE" w:rsidRPr="009B2B01">
        <w:rPr>
          <w:rFonts w:cs="Tahoma"/>
          <w:bCs/>
          <w:iCs/>
        </w:rPr>
        <w:t>como se observa a continuación:</w:t>
      </w:r>
    </w:p>
    <w:p w14:paraId="28E002BE" w14:textId="752F8BD0" w:rsidR="007127CD" w:rsidRPr="009B2B01" w:rsidRDefault="008F25FE" w:rsidP="007127CD">
      <w:pPr>
        <w:spacing w:after="0" w:line="360" w:lineRule="auto"/>
        <w:rPr>
          <w:rFonts w:cs="Tahoma"/>
          <w:bCs/>
          <w:iCs/>
        </w:rPr>
      </w:pPr>
      <w:r w:rsidRPr="009B2B01">
        <w:rPr>
          <w:noProof/>
        </w:rPr>
        <mc:AlternateContent>
          <mc:Choice Requires="wps">
            <w:drawing>
              <wp:anchor distT="0" distB="0" distL="114300" distR="114300" simplePos="0" relativeHeight="251659264" behindDoc="0" locked="0" layoutInCell="1" allowOverlap="1" wp14:anchorId="71EDFEA1" wp14:editId="6650CB33">
                <wp:simplePos x="0" y="0"/>
                <wp:positionH relativeFrom="column">
                  <wp:posOffset>3762375</wp:posOffset>
                </wp:positionH>
                <wp:positionV relativeFrom="paragraph">
                  <wp:posOffset>1099820</wp:posOffset>
                </wp:positionV>
                <wp:extent cx="933450" cy="457200"/>
                <wp:effectExtent l="19050" t="19050" r="38100" b="38100"/>
                <wp:wrapNone/>
                <wp:docPr id="10" name="Rectángulo 2"/>
                <wp:cNvGraphicFramePr/>
                <a:graphic xmlns:a="http://schemas.openxmlformats.org/drawingml/2006/main">
                  <a:graphicData uri="http://schemas.microsoft.com/office/word/2010/wordprocessingShape">
                    <wps:wsp>
                      <wps:cNvSpPr/>
                      <wps:spPr>
                        <a:xfrm>
                          <a:off x="0" y="0"/>
                          <a:ext cx="933450" cy="457200"/>
                        </a:xfrm>
                        <a:prstGeom prst="rect">
                          <a:avLst/>
                        </a:prstGeom>
                        <a:noFill/>
                        <a:ln w="5715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5EFF31" id="Rectángulo 2" o:spid="_x0000_s1026" style="position:absolute;margin-left:296.25pt;margin-top:86.6pt;width:73.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" filled="f" strokecolor="windowText" strokeweight="4.5pt"/>
            </w:pict>
          </mc:Fallback>
        </mc:AlternateContent>
      </w:r>
      <w:r w:rsidR="007127CD" w:rsidRPr="009B2B01">
        <w:rPr>
          <w:rFonts w:cs="Tahoma"/>
          <w:bCs/>
          <w:iCs/>
        </w:rPr>
        <w:t xml:space="preserve"> </w:t>
      </w:r>
      <w:r w:rsidRPr="009B2B01">
        <w:rPr>
          <w:rFonts w:ascii="Times New Roman" w:eastAsia="Times New Roman" w:hAnsi="Times New Roman" w:cs="Times New Roman"/>
          <w:noProof/>
          <w:sz w:val="20"/>
          <w:szCs w:val="20"/>
        </w:rPr>
        <w:drawing>
          <wp:inline distT="0" distB="0" distL="0" distR="0" wp14:anchorId="17DB5A1D" wp14:editId="126F27C0">
            <wp:extent cx="5671185" cy="1354313"/>
            <wp:effectExtent l="0" t="0" r="5715" b="0"/>
            <wp:docPr id="47723310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33107" name="Imagen 1" descr="Tabl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1185" cy="1354313"/>
                    </a:xfrm>
                    <a:prstGeom prst="rect">
                      <a:avLst/>
                    </a:prstGeom>
                    <a:noFill/>
                    <a:ln>
                      <a:noFill/>
                    </a:ln>
                  </pic:spPr>
                </pic:pic>
              </a:graphicData>
            </a:graphic>
          </wp:inline>
        </w:drawing>
      </w:r>
    </w:p>
    <w:p w14:paraId="34D607B2" w14:textId="16E89F2F" w:rsidR="007127CD" w:rsidRPr="009B2B01" w:rsidRDefault="007127CD" w:rsidP="007127CD">
      <w:pPr>
        <w:spacing w:after="0" w:line="360" w:lineRule="auto"/>
        <w:rPr>
          <w:rFonts w:cs="Tahoma"/>
          <w:bCs/>
          <w:iCs/>
        </w:rPr>
      </w:pPr>
    </w:p>
    <w:p w14:paraId="7EB8CACD" w14:textId="11F1F4E2" w:rsidR="007127CD" w:rsidRPr="009B2B01" w:rsidRDefault="007127CD" w:rsidP="007127CD">
      <w:pPr>
        <w:spacing w:after="0" w:line="360" w:lineRule="auto"/>
        <w:rPr>
          <w:rFonts w:cs="Tahoma"/>
          <w:bCs/>
          <w:iCs/>
        </w:rPr>
      </w:pPr>
      <w:r w:rsidRPr="009B2B01">
        <w:rPr>
          <w:rFonts w:cs="Tahoma"/>
          <w:bCs/>
          <w:iCs/>
        </w:rPr>
        <w:t>Por lo tanto, no procede la clasificación del nombre de las personas morales localizadas en las licencias de funcionamiento, en términos del artículo 143, fracción I de la Ley de Transparencia y Acceso a la Información Pública del Estado de México y Municipios; situación que se robustece, con el hecho de que permite corroborar que la exhibida en el establecimiento comercial, fue emitida efectivamente por la autoridad competente y que su titular corresponde al establecimiento en cuestión.</w:t>
      </w:r>
    </w:p>
    <w:p w14:paraId="57E5B367" w14:textId="77777777" w:rsidR="007F0ACC" w:rsidRPr="009B2B01" w:rsidRDefault="007F0ACC" w:rsidP="007127CD">
      <w:pPr>
        <w:spacing w:after="0" w:line="360" w:lineRule="auto"/>
        <w:rPr>
          <w:rFonts w:cs="Tahoma"/>
          <w:bCs/>
          <w:iCs/>
        </w:rPr>
      </w:pPr>
    </w:p>
    <w:p w14:paraId="432C8F56" w14:textId="5AB5EEE4" w:rsidR="007F0ACC" w:rsidRPr="009B2B01" w:rsidRDefault="007F0ACC" w:rsidP="007127CD">
      <w:pPr>
        <w:spacing w:after="0" w:line="360" w:lineRule="auto"/>
        <w:rPr>
          <w:rFonts w:cs="Tahoma"/>
          <w:bCs/>
          <w:iCs/>
        </w:rPr>
      </w:pPr>
      <w:r w:rsidRPr="009B2B01">
        <w:rPr>
          <w:rFonts w:cs="Tahoma"/>
          <w:bCs/>
          <w:iCs/>
        </w:rPr>
        <w:t>Ahora bien, para el caso que, los establecimientos que se identificaron exhibiendo Licencias de Funcionamiento, el nombre del titular es meramente público, sin embargo, los establecimientos que se identificaron exhibiendo Licencias de uso de suelo y Cédulas Informativas de Zonificación, y no cuenten con la Licencia de Funcionamiento, porque no se las otorgaron o se encuentra en proceso, el nombre del titular será clasificado como confidencial.</w:t>
      </w:r>
    </w:p>
    <w:p w14:paraId="109A7460" w14:textId="77777777" w:rsidR="007F0ACC" w:rsidRPr="009B2B01" w:rsidRDefault="007F0ACC" w:rsidP="007127CD">
      <w:pPr>
        <w:spacing w:after="0" w:line="360" w:lineRule="auto"/>
        <w:rPr>
          <w:rFonts w:cs="Tahoma"/>
          <w:bCs/>
          <w:iCs/>
        </w:rPr>
      </w:pPr>
    </w:p>
    <w:p w14:paraId="024235E4" w14:textId="1E242B9E" w:rsidR="000867A0" w:rsidRPr="009B2B01" w:rsidRDefault="000867A0" w:rsidP="005862B6">
      <w:pPr>
        <w:pStyle w:val="Prrafodelista"/>
        <w:numPr>
          <w:ilvl w:val="0"/>
          <w:numId w:val="6"/>
        </w:numPr>
        <w:spacing w:line="360" w:lineRule="auto"/>
        <w:rPr>
          <w:rFonts w:cs="Tahoma"/>
          <w:b/>
          <w:bCs/>
          <w:iCs/>
        </w:rPr>
      </w:pPr>
      <w:r w:rsidRPr="009B2B01">
        <w:rPr>
          <w:rFonts w:cs="Tahoma"/>
          <w:b/>
          <w:bCs/>
          <w:iCs/>
        </w:rPr>
        <w:t>Ubicación del Establecimiento</w:t>
      </w:r>
    </w:p>
    <w:p w14:paraId="411A2453" w14:textId="77777777" w:rsidR="000867A0" w:rsidRPr="009B2B01" w:rsidRDefault="000867A0" w:rsidP="000867A0">
      <w:pPr>
        <w:spacing w:after="0" w:line="360" w:lineRule="auto"/>
        <w:rPr>
          <w:rFonts w:cs="Tahoma"/>
          <w:bCs/>
          <w:iCs/>
        </w:rPr>
      </w:pPr>
    </w:p>
    <w:p w14:paraId="22F05C59" w14:textId="77777777" w:rsidR="000867A0" w:rsidRPr="009B2B01" w:rsidRDefault="000867A0" w:rsidP="000867A0">
      <w:pPr>
        <w:spacing w:after="0" w:line="360" w:lineRule="auto"/>
        <w:rPr>
          <w:rFonts w:cs="Tahoma"/>
          <w:bCs/>
          <w:iCs/>
        </w:rPr>
      </w:pPr>
      <w:r w:rsidRPr="009B2B01">
        <w:rPr>
          <w:rFonts w:cs="Tahoma"/>
          <w:bCs/>
          <w:iCs/>
        </w:rPr>
        <w:lastRenderedPageBreak/>
        <w:t>Sobre dicho dato, resulta necesario precisar que el domicilio establecido en los permisos, autorizaciones o licencias de funcionamiento, no corresponde al domicilio particular del titular de dichas autorizaciones, sino que corresponde a aquel donde se localiza la unidad económica, es decir, en el lugar en donde se realizará la actividad comercial, industrial o de servicios.</w:t>
      </w:r>
    </w:p>
    <w:p w14:paraId="7A1384CA" w14:textId="77777777" w:rsidR="000867A0" w:rsidRPr="009B2B01" w:rsidRDefault="000867A0" w:rsidP="000867A0">
      <w:pPr>
        <w:spacing w:after="0" w:line="360" w:lineRule="auto"/>
        <w:rPr>
          <w:rFonts w:cs="Tahoma"/>
          <w:bCs/>
          <w:iCs/>
        </w:rPr>
      </w:pPr>
    </w:p>
    <w:p w14:paraId="59DA3E01" w14:textId="77777777" w:rsidR="000867A0" w:rsidRPr="009B2B01" w:rsidRDefault="000867A0" w:rsidP="000867A0">
      <w:pPr>
        <w:spacing w:after="0" w:line="360" w:lineRule="auto"/>
        <w:rPr>
          <w:rFonts w:cs="Tahoma"/>
          <w:bCs/>
          <w:iCs/>
        </w:rPr>
      </w:pPr>
      <w:r w:rsidRPr="009B2B01">
        <w:rPr>
          <w:rFonts w:cs="Tahoma"/>
          <w:bCs/>
          <w:iCs/>
        </w:rPr>
        <w:t>Por lo cual, el dato en comento únicamente identifica la ubicación donde se realiza una actividad económica regulada por el Municipio, respecto del cual se pretendió expedir una licencia o permiso, el cual, en el presente caso, corresponde a una vía pública.</w:t>
      </w:r>
    </w:p>
    <w:p w14:paraId="248999B0" w14:textId="77777777" w:rsidR="000867A0" w:rsidRPr="009B2B01" w:rsidRDefault="000867A0" w:rsidP="000867A0">
      <w:pPr>
        <w:spacing w:after="0" w:line="360" w:lineRule="auto"/>
        <w:rPr>
          <w:rFonts w:cs="Tahoma"/>
          <w:bCs/>
          <w:iCs/>
        </w:rPr>
      </w:pPr>
    </w:p>
    <w:p w14:paraId="106F4EA9" w14:textId="4DD9A8F0" w:rsidR="007F0ACC" w:rsidRPr="009B2B01" w:rsidRDefault="000867A0" w:rsidP="000867A0">
      <w:pPr>
        <w:spacing w:after="0" w:line="360" w:lineRule="auto"/>
        <w:rPr>
          <w:rFonts w:cs="Tahoma"/>
          <w:bCs/>
          <w:iCs/>
        </w:rPr>
      </w:pPr>
      <w:r w:rsidRPr="009B2B01">
        <w:rPr>
          <w:rFonts w:cs="Tahoma"/>
          <w:bCs/>
          <w:iCs/>
        </w:rPr>
        <w:t>De tales circunstancias, dicho dato guarda la naturaleza de pública, pues permite identificar, la ubicación de la unidad económica (puesto o establecimiento) que se pretendía obtener un permiso; además, que, en el presente caso, no hace ubicable a una persona, pues se trata de un lugar en la vía pública, al tratarse de un permiso de ambulantaje; por lo tanto, se trata de un dato de acceso a público, pues como se precisó dichos documentos deben de estar a la vista del público en general. Así no resulta procedente, la clasificación, en términos del artículo 143, fracción I de la Ley de Transparencia y Acceso a la Información Pública del Estado de México y Municipios.</w:t>
      </w:r>
    </w:p>
    <w:p w14:paraId="1FFE6B79" w14:textId="77777777" w:rsidR="00C5545E" w:rsidRPr="009B2B01" w:rsidRDefault="00C5545E" w:rsidP="000867A0">
      <w:pPr>
        <w:spacing w:after="0" w:line="360" w:lineRule="auto"/>
        <w:rPr>
          <w:rFonts w:cs="Tahoma"/>
          <w:bCs/>
          <w:iCs/>
        </w:rPr>
      </w:pPr>
    </w:p>
    <w:p w14:paraId="271AC142" w14:textId="6056C1C8" w:rsidR="00C5545E" w:rsidRPr="009B2B01" w:rsidRDefault="00C5545E" w:rsidP="005862B6">
      <w:pPr>
        <w:pStyle w:val="Prrafodelista"/>
        <w:numPr>
          <w:ilvl w:val="0"/>
          <w:numId w:val="7"/>
        </w:numPr>
        <w:spacing w:line="360" w:lineRule="auto"/>
        <w:rPr>
          <w:rFonts w:cs="Tahoma"/>
          <w:bCs/>
          <w:iCs/>
        </w:rPr>
      </w:pPr>
      <w:r w:rsidRPr="009B2B01">
        <w:rPr>
          <w:rFonts w:cs="Tahoma"/>
          <w:b/>
          <w:iCs/>
        </w:rPr>
        <w:t>Folio de la Cédula Informativa de Zonificación, Licencia de Funcionamiento y Licencia de Uso de Suelo</w:t>
      </w:r>
    </w:p>
    <w:p w14:paraId="548477DE" w14:textId="77777777" w:rsidR="00C5545E" w:rsidRPr="009B2B01" w:rsidRDefault="00C5545E" w:rsidP="000D1B7A">
      <w:pPr>
        <w:spacing w:after="0" w:line="360" w:lineRule="auto"/>
        <w:rPr>
          <w:rFonts w:cs="Tahoma"/>
          <w:bCs/>
          <w:iCs/>
        </w:rPr>
      </w:pPr>
    </w:p>
    <w:p w14:paraId="6BA01145" w14:textId="71C47632" w:rsidR="00C5545E" w:rsidRPr="009B2B01" w:rsidRDefault="00C5545E" w:rsidP="000D1B7A">
      <w:pPr>
        <w:spacing w:after="0" w:line="360" w:lineRule="auto"/>
        <w:rPr>
          <w:rFonts w:cs="Tahoma"/>
          <w:bCs/>
          <w:iCs/>
        </w:rPr>
      </w:pPr>
      <w:r w:rsidRPr="009B2B01">
        <w:rPr>
          <w:rFonts w:cs="Tahoma"/>
          <w:bCs/>
          <w:iCs/>
        </w:rPr>
        <w:t xml:space="preserve">Al respecto, el folio contenido en las Licencias de Funcionamiento, Uso de Suelo o la Cédula Informativa de Zonificación, es un número de identificación único que se le asigna a cada documento, en el caso de la Licencia de Funcionamiento es un permiso para operar un negocio o actividad económica, para la Licencia de Uso de Suelo número o código único de </w:t>
      </w:r>
      <w:r w:rsidRPr="009B2B01">
        <w:rPr>
          <w:rFonts w:cs="Tahoma"/>
          <w:bCs/>
          <w:iCs/>
        </w:rPr>
        <w:lastRenderedPageBreak/>
        <w:t>identificación de dicho documento, que certifica el tipo de actividad (habitacional, comercial, industrial, etc.) permitida en un predio, su superficie máxima de construcción, altura, y otras restricciones, según los planes de desarrollo urbano del municipio y la Cédula Informativa de Zonificación es un documento necesario donde se obtiene la información de los usos de suelo permitidos en predios determinados</w:t>
      </w:r>
      <w:r w:rsidR="000D1B7A" w:rsidRPr="009B2B01">
        <w:rPr>
          <w:rFonts w:cs="Tahoma"/>
          <w:bCs/>
          <w:iCs/>
        </w:rPr>
        <w:t>.</w:t>
      </w:r>
    </w:p>
    <w:p w14:paraId="60B4211A" w14:textId="77777777" w:rsidR="000D1B7A" w:rsidRPr="009B2B01" w:rsidRDefault="000D1B7A" w:rsidP="000D1B7A">
      <w:pPr>
        <w:spacing w:after="0" w:line="360" w:lineRule="auto"/>
        <w:rPr>
          <w:rFonts w:cs="Tahoma"/>
          <w:bCs/>
          <w:iCs/>
        </w:rPr>
      </w:pPr>
    </w:p>
    <w:p w14:paraId="5E31AA47" w14:textId="48AF1E51" w:rsidR="00F06FBD" w:rsidRPr="009B2B01" w:rsidRDefault="000D1B7A" w:rsidP="000D1B7A">
      <w:pPr>
        <w:spacing w:after="0" w:line="360" w:lineRule="auto"/>
        <w:rPr>
          <w:rFonts w:cs="Tahoma"/>
          <w:bCs/>
          <w:iCs/>
        </w:rPr>
      </w:pPr>
      <w:r w:rsidRPr="009B2B01">
        <w:rPr>
          <w:rFonts w:cs="Tahoma"/>
          <w:bCs/>
          <w:iCs/>
        </w:rPr>
        <w:t xml:space="preserve">Por lo tanto, son documentos oficiales y públicos </w:t>
      </w:r>
      <w:r w:rsidR="00F06FBD" w:rsidRPr="009B2B01">
        <w:rPr>
          <w:rFonts w:cs="Tahoma"/>
          <w:bCs/>
          <w:iCs/>
        </w:rPr>
        <w:t>y el folio sirve para a identificación de cada uno, por lo que, se trata de un dato de acceso al público, por tal motivo, no es procedente la clasificación, en términos del artículo 143, fracción I de la Ley de Transparencia y Acceso a la Información Pública del Estado de México y Municipios.</w:t>
      </w:r>
    </w:p>
    <w:p w14:paraId="71D41D9D" w14:textId="77777777" w:rsidR="006210E6" w:rsidRPr="009B2B01" w:rsidRDefault="006210E6" w:rsidP="000D1B7A">
      <w:pPr>
        <w:spacing w:after="0" w:line="360" w:lineRule="auto"/>
        <w:rPr>
          <w:rFonts w:cs="Tahoma"/>
          <w:bCs/>
          <w:iCs/>
        </w:rPr>
      </w:pPr>
    </w:p>
    <w:p w14:paraId="46ADC157" w14:textId="06B50551" w:rsidR="006210E6" w:rsidRPr="009B2B01" w:rsidRDefault="006210E6" w:rsidP="006210E6">
      <w:pPr>
        <w:spacing w:after="0" w:line="360" w:lineRule="auto"/>
        <w:rPr>
          <w:b/>
          <w:bCs/>
          <w:color w:val="000000"/>
          <w:lang w:eastAsia="es-ES_tradnl"/>
        </w:rPr>
      </w:pPr>
      <w:r w:rsidRPr="009B2B01">
        <w:rPr>
          <w:color w:val="000000"/>
          <w:lang w:eastAsia="es-ES_tradnl"/>
        </w:rPr>
        <w:t xml:space="preserve">Conforme a lo anterior, se logra vislumbrar que el Sujeto Obligado clasificó datos de naturaleza pública, a saber, </w:t>
      </w:r>
      <w:r w:rsidR="00836427" w:rsidRPr="009B2B01">
        <w:rPr>
          <w:color w:val="000000"/>
          <w:lang w:eastAsia="es-ES_tradnl"/>
        </w:rPr>
        <w:t xml:space="preserve">el nombre del titular de la licencia de </w:t>
      </w:r>
      <w:proofErr w:type="spellStart"/>
      <w:r w:rsidR="00836427" w:rsidRPr="009B2B01">
        <w:rPr>
          <w:color w:val="000000"/>
          <w:lang w:eastAsia="es-ES_tradnl"/>
        </w:rPr>
        <w:t>funcuonamiento</w:t>
      </w:r>
      <w:proofErr w:type="spellEnd"/>
      <w:r w:rsidR="00836427" w:rsidRPr="009B2B01">
        <w:rPr>
          <w:color w:val="000000"/>
          <w:lang w:eastAsia="es-ES_tradnl"/>
        </w:rPr>
        <w:t xml:space="preserve">, </w:t>
      </w:r>
      <w:r w:rsidR="0073274C" w:rsidRPr="009B2B01">
        <w:rPr>
          <w:color w:val="000000"/>
          <w:lang w:eastAsia="es-ES_tradnl"/>
        </w:rPr>
        <w:t>la ubicación de los establecimientos y folios de los documentos exhibidos</w:t>
      </w:r>
      <w:r w:rsidR="00836427" w:rsidRPr="009B2B01">
        <w:rPr>
          <w:color w:val="000000"/>
          <w:lang w:eastAsia="es-ES_tradnl"/>
        </w:rPr>
        <w:t xml:space="preserve">, y </w:t>
      </w:r>
      <w:r w:rsidR="00836427" w:rsidRPr="009B2B01">
        <w:rPr>
          <w:b/>
          <w:bCs/>
          <w:color w:val="000000"/>
          <w:lang w:eastAsia="es-ES_tradnl"/>
        </w:rPr>
        <w:t>únicamente podrá clasificar el nombre de aquellos a los que no se les haya otorgado algún permiso o licencia de funcionamiento.</w:t>
      </w:r>
    </w:p>
    <w:p w14:paraId="12DF06BE" w14:textId="77777777" w:rsidR="006210E6" w:rsidRPr="009B2B01" w:rsidRDefault="006210E6" w:rsidP="006210E6">
      <w:pPr>
        <w:spacing w:after="0" w:line="360" w:lineRule="auto"/>
        <w:rPr>
          <w:color w:val="000000"/>
          <w:lang w:eastAsia="es-ES_tradnl"/>
        </w:rPr>
      </w:pPr>
    </w:p>
    <w:p w14:paraId="7FCBC0BB" w14:textId="11125C3A" w:rsidR="006210E6" w:rsidRPr="009B2B01" w:rsidRDefault="006210E6" w:rsidP="006210E6">
      <w:pPr>
        <w:spacing w:after="0" w:line="360" w:lineRule="auto"/>
        <w:rPr>
          <w:rFonts w:cs="Tahoma"/>
          <w:bCs/>
          <w:iCs/>
        </w:rPr>
      </w:pPr>
      <w:r w:rsidRPr="009B2B01">
        <w:rPr>
          <w:color w:val="000000"/>
          <w:lang w:eastAsia="es-ES_tradnl"/>
        </w:rPr>
        <w:t>Por lo que, para atender el requerimiento deberá proporcionar los documentos solicitados en versión pública; 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manera enunciativa más no limitativa los datos previamente señalados, fundando y motivando la clasificación.</w:t>
      </w:r>
    </w:p>
    <w:p w14:paraId="2AA3461B" w14:textId="77777777" w:rsidR="00167D99" w:rsidRPr="009B2B01" w:rsidRDefault="00167D99" w:rsidP="00167D99">
      <w:pPr>
        <w:spacing w:after="0" w:line="360" w:lineRule="auto"/>
        <w:rPr>
          <w:rFonts w:cs="Tahoma"/>
          <w:bCs/>
          <w:iCs/>
        </w:rPr>
      </w:pPr>
    </w:p>
    <w:p w14:paraId="54C5567E" w14:textId="77777777" w:rsidR="00167D99" w:rsidRPr="009B2B01" w:rsidRDefault="00167D99" w:rsidP="00167D99">
      <w:pPr>
        <w:spacing w:after="0" w:line="360" w:lineRule="auto"/>
        <w:rPr>
          <w:rFonts w:cs="Tahoma"/>
          <w:bCs/>
          <w:iCs/>
        </w:rPr>
      </w:pPr>
      <w:r w:rsidRPr="009B2B01">
        <w:rPr>
          <w:rFonts w:cs="Tahoma"/>
          <w:bCs/>
          <w:iCs/>
        </w:rPr>
        <w:lastRenderedPageBreak/>
        <w:t xml:space="preserve">Cabe destacar que, el Particular se inconformó de que se solicitó la prórroga fuera de tiempo, en ese sentido cabe traer a colación el artículo 163 de la Ley de Transparencia y Acceso a la Información Pública del Estado de México y Municipios, donde establece que, la Unidad de Transparencia deberá notificar la respuesta a la solicitud al interesado en el menor tiempo posible, que no podrá exceder de quince días hábiles, contados a partir del día siguiente a la presentación de aquélla. </w:t>
      </w:r>
    </w:p>
    <w:p w14:paraId="31941410" w14:textId="77777777" w:rsidR="00167D99" w:rsidRPr="009B2B01" w:rsidRDefault="00167D99" w:rsidP="00167D99">
      <w:pPr>
        <w:spacing w:after="0" w:line="360" w:lineRule="auto"/>
        <w:rPr>
          <w:rFonts w:cs="Tahoma"/>
          <w:bCs/>
          <w:iCs/>
        </w:rPr>
      </w:pPr>
    </w:p>
    <w:p w14:paraId="18D2800F" w14:textId="77777777" w:rsidR="00167D99" w:rsidRPr="009B2B01" w:rsidRDefault="00167D99" w:rsidP="00167D99">
      <w:pPr>
        <w:spacing w:after="0" w:line="360" w:lineRule="auto"/>
        <w:rPr>
          <w:rFonts w:cs="Tahoma"/>
          <w:bCs/>
          <w:iCs/>
        </w:rPr>
      </w:pPr>
      <w:r w:rsidRPr="009B2B01">
        <w:rPr>
          <w:rFonts w:cs="Tahoma"/>
          <w:bCs/>
          <w:iCs/>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5E87758C" w14:textId="77777777" w:rsidR="00167D99" w:rsidRPr="009B2B01" w:rsidRDefault="00167D99" w:rsidP="00167D99">
      <w:pPr>
        <w:spacing w:after="0" w:line="360" w:lineRule="auto"/>
        <w:rPr>
          <w:rFonts w:cs="Tahoma"/>
          <w:bCs/>
          <w:iCs/>
        </w:rPr>
      </w:pPr>
    </w:p>
    <w:p w14:paraId="509EE3E8" w14:textId="0FDC8A7B" w:rsidR="00167D99" w:rsidRPr="009B2B01" w:rsidRDefault="00167D99" w:rsidP="00167D99">
      <w:pPr>
        <w:spacing w:after="0" w:line="360" w:lineRule="auto"/>
        <w:rPr>
          <w:rFonts w:cs="Tahoma"/>
          <w:bCs/>
          <w:iCs/>
        </w:rPr>
      </w:pPr>
      <w:r w:rsidRPr="009B2B01">
        <w:rPr>
          <w:rFonts w:cs="Tahoma"/>
          <w:bCs/>
          <w:iCs/>
        </w:rPr>
        <w:t xml:space="preserve">En ese sentido, si bien la solicitud de información es del </w:t>
      </w:r>
      <w:r w:rsidR="0073274C" w:rsidRPr="009B2B01">
        <w:rPr>
          <w:rFonts w:cs="Tahoma"/>
          <w:bCs/>
          <w:iCs/>
        </w:rPr>
        <w:t>once</w:t>
      </w:r>
      <w:r w:rsidRPr="009B2B01">
        <w:rPr>
          <w:rFonts w:cs="Tahoma"/>
          <w:bCs/>
          <w:iCs/>
        </w:rPr>
        <w:t xml:space="preserve"> de marzo de dos mil veinticinco, el plazo para dar respuesta transcurrió del </w:t>
      </w:r>
      <w:r w:rsidR="0073274C" w:rsidRPr="009B2B01">
        <w:rPr>
          <w:rFonts w:cs="Tahoma"/>
          <w:bCs/>
          <w:iCs/>
        </w:rPr>
        <w:t xml:space="preserve">doce de marzo al dos de abril </w:t>
      </w:r>
      <w:r w:rsidRPr="009B2B01">
        <w:rPr>
          <w:rFonts w:cs="Tahoma"/>
          <w:bCs/>
          <w:iCs/>
        </w:rPr>
        <w:t xml:space="preserve">de dos mil veinticinco, asimismo, la prórroga se notificó el </w:t>
      </w:r>
      <w:r w:rsidR="0073274C" w:rsidRPr="009B2B01">
        <w:rPr>
          <w:rFonts w:cs="Tahoma"/>
          <w:bCs/>
          <w:iCs/>
        </w:rPr>
        <w:t>ocho</w:t>
      </w:r>
      <w:r w:rsidRPr="009B2B01">
        <w:rPr>
          <w:rFonts w:cs="Tahoma"/>
          <w:bCs/>
          <w:iCs/>
        </w:rPr>
        <w:t xml:space="preserve"> de abril de dos mil veinticinco, es decir, no se notificó dentro del plazo de quince días hábiles, pues debe ser antes de su vencimiento, sin embargo, nos encontramos en una cuestión inatendible y de imposible reparación.</w:t>
      </w:r>
    </w:p>
    <w:p w14:paraId="10549369" w14:textId="77777777" w:rsidR="00DA2C1D" w:rsidRPr="009B2B01" w:rsidRDefault="00DA2C1D" w:rsidP="00287797">
      <w:pPr>
        <w:spacing w:after="0" w:line="360" w:lineRule="auto"/>
        <w:rPr>
          <w:rFonts w:cs="Tahoma"/>
          <w:bCs/>
          <w:iCs/>
        </w:rPr>
      </w:pPr>
    </w:p>
    <w:p w14:paraId="0CCF70E8" w14:textId="77777777" w:rsidR="00D1318A" w:rsidRPr="009B2B01" w:rsidRDefault="00D1318A" w:rsidP="007808E0">
      <w:pPr>
        <w:pStyle w:val="Ttulo2"/>
        <w:spacing w:before="0" w:after="0" w:line="360" w:lineRule="auto"/>
        <w:rPr>
          <w:sz w:val="22"/>
          <w:szCs w:val="22"/>
        </w:rPr>
      </w:pPr>
      <w:bookmarkStart w:id="16" w:name="_Toc209097584"/>
      <w:r w:rsidRPr="009B2B01">
        <w:rPr>
          <w:sz w:val="22"/>
          <w:szCs w:val="22"/>
        </w:rPr>
        <w:t>SEXTO. Decisión</w:t>
      </w:r>
      <w:bookmarkEnd w:id="16"/>
    </w:p>
    <w:p w14:paraId="0D2B29DC" w14:textId="77777777" w:rsidR="00D1318A" w:rsidRPr="009B2B01" w:rsidRDefault="00D1318A" w:rsidP="007808E0">
      <w:pPr>
        <w:spacing w:after="0" w:line="360" w:lineRule="auto"/>
        <w:contextualSpacing/>
        <w:rPr>
          <w:rFonts w:eastAsia="Calibri" w:cs="Tahoma"/>
          <w:b/>
        </w:rPr>
      </w:pPr>
    </w:p>
    <w:p w14:paraId="4BF18B87" w14:textId="75352175" w:rsidR="00D1318A" w:rsidRPr="009B2B01" w:rsidRDefault="00D1318A" w:rsidP="007808E0">
      <w:pPr>
        <w:spacing w:after="0" w:line="360" w:lineRule="auto"/>
      </w:pPr>
      <w:r w:rsidRPr="009B2B01">
        <w:t xml:space="preserve">De acuerdo con lo expuesto y, con fundamento en el artículo 186, fracción III, de la Ley de Transparencia y Acceso a la Información Pública del Estado de México y Municipios, este Instituto considera procedente </w:t>
      </w:r>
      <w:r w:rsidR="00E13CFC" w:rsidRPr="009B2B01">
        <w:rPr>
          <w:b/>
        </w:rPr>
        <w:t>MODIFICAR</w:t>
      </w:r>
      <w:r w:rsidRPr="009B2B01">
        <w:rPr>
          <w:b/>
        </w:rPr>
        <w:t xml:space="preserve"> </w:t>
      </w:r>
      <w:r w:rsidRPr="009B2B01">
        <w:t>la resp</w:t>
      </w:r>
      <w:r w:rsidR="00655068" w:rsidRPr="009B2B01">
        <w:t>uesta del</w:t>
      </w:r>
      <w:r w:rsidR="00F66940" w:rsidRPr="009B2B01">
        <w:t xml:space="preserve"> Ayuntamiento de </w:t>
      </w:r>
      <w:r w:rsidR="00287797" w:rsidRPr="009B2B01">
        <w:t>T</w:t>
      </w:r>
      <w:r w:rsidR="00DA2C1D" w:rsidRPr="009B2B01">
        <w:t>oluca</w:t>
      </w:r>
      <w:r w:rsidRPr="009B2B01">
        <w:rPr>
          <w:b/>
        </w:rPr>
        <w:t xml:space="preserve">, </w:t>
      </w:r>
      <w:r w:rsidRPr="009B2B01">
        <w:t xml:space="preserve">a efecto de que </w:t>
      </w:r>
      <w:r w:rsidR="004076BD" w:rsidRPr="009B2B01">
        <w:t>entregue</w:t>
      </w:r>
      <w:r w:rsidR="00287797" w:rsidRPr="009B2B01">
        <w:t xml:space="preserve"> la información </w:t>
      </w:r>
      <w:r w:rsidR="00B51E75" w:rsidRPr="009B2B01">
        <w:t>correcta</w:t>
      </w:r>
      <w:r w:rsidR="001C6B7A" w:rsidRPr="009B2B01">
        <w:t>.</w:t>
      </w:r>
    </w:p>
    <w:p w14:paraId="0C829323" w14:textId="77777777" w:rsidR="00D1318A" w:rsidRPr="009B2B01" w:rsidRDefault="00D1318A" w:rsidP="007808E0">
      <w:pPr>
        <w:spacing w:after="0" w:line="360" w:lineRule="auto"/>
        <w:contextualSpacing/>
        <w:rPr>
          <w:rFonts w:eastAsia="Calibri" w:cs="Tahoma"/>
          <w:b/>
          <w:bCs/>
        </w:rPr>
      </w:pPr>
      <w:r w:rsidRPr="009B2B01">
        <w:rPr>
          <w:rFonts w:eastAsia="Calibri" w:cs="Tahoma"/>
          <w:b/>
          <w:bCs/>
        </w:rPr>
        <w:lastRenderedPageBreak/>
        <w:t>Términos de la Resolución para conocimiento del Particular</w:t>
      </w:r>
    </w:p>
    <w:p w14:paraId="08535812" w14:textId="77777777" w:rsidR="00D1318A" w:rsidRPr="009B2B01" w:rsidRDefault="00D1318A" w:rsidP="007808E0">
      <w:pPr>
        <w:spacing w:after="0" w:line="360" w:lineRule="auto"/>
        <w:contextualSpacing/>
        <w:rPr>
          <w:rFonts w:eastAsia="Calibri" w:cs="Tahoma"/>
          <w:b/>
          <w:bCs/>
        </w:rPr>
      </w:pPr>
    </w:p>
    <w:p w14:paraId="3B668E85" w14:textId="0900A3B6" w:rsidR="00D1318A" w:rsidRPr="009B2B01" w:rsidRDefault="00D1318A" w:rsidP="007808E0">
      <w:pPr>
        <w:spacing w:after="0" w:line="360" w:lineRule="auto"/>
      </w:pPr>
      <w:r w:rsidRPr="009B2B01">
        <w:t xml:space="preserve">Se le hace del conocimiento a la persona Recurrente que, en el presente asunto, se le da </w:t>
      </w:r>
      <w:r w:rsidR="001C6B7A" w:rsidRPr="009B2B01">
        <w:t xml:space="preserve">parcialmente </w:t>
      </w:r>
      <w:r w:rsidRPr="009B2B01">
        <w:t xml:space="preserve">la razón, pues </w:t>
      </w:r>
      <w:r w:rsidR="00715343" w:rsidRPr="009B2B01">
        <w:t xml:space="preserve">si bien </w:t>
      </w:r>
      <w:r w:rsidR="004076BD" w:rsidRPr="009B2B01">
        <w:t>el Sujeto Obligado</w:t>
      </w:r>
      <w:r w:rsidR="00BF460D" w:rsidRPr="009B2B01">
        <w:t xml:space="preserve"> </w:t>
      </w:r>
      <w:r w:rsidR="00B51E75" w:rsidRPr="009B2B01">
        <w:t xml:space="preserve">entrego los documentos que dan cuenta de lo solicitado, testo información </w:t>
      </w:r>
      <w:r w:rsidR="00B66A6D" w:rsidRPr="009B2B01">
        <w:t xml:space="preserve">de naturaleza </w:t>
      </w:r>
      <w:r w:rsidR="00B51E75" w:rsidRPr="009B2B01">
        <w:t>pública</w:t>
      </w:r>
      <w:r w:rsidRPr="009B2B01">
        <w:t>, por lo que, deberá hacer la entre</w:t>
      </w:r>
      <w:r w:rsidR="00655068" w:rsidRPr="009B2B01">
        <w:t>ga</w:t>
      </w:r>
      <w:r w:rsidR="00287797" w:rsidRPr="009B2B01">
        <w:t xml:space="preserve"> de la información </w:t>
      </w:r>
      <w:r w:rsidR="00B66A6D" w:rsidRPr="009B2B01">
        <w:t>correcta</w:t>
      </w:r>
      <w:r w:rsidR="00655068" w:rsidRPr="009B2B01">
        <w:t>.</w:t>
      </w:r>
      <w:r w:rsidR="00F712A4" w:rsidRPr="009B2B01">
        <w:t xml:space="preserve"> </w:t>
      </w:r>
      <w:r w:rsidRPr="009B2B01">
        <w:rPr>
          <w:color w:val="000000"/>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51AD938A" w14:textId="77777777" w:rsidR="00E50794" w:rsidRPr="009B2B01" w:rsidRDefault="00E50794" w:rsidP="007808E0">
      <w:pPr>
        <w:spacing w:after="0" w:line="360" w:lineRule="auto"/>
      </w:pPr>
    </w:p>
    <w:p w14:paraId="1C805ED0" w14:textId="77777777" w:rsidR="00D1318A" w:rsidRPr="009B2B01" w:rsidRDefault="00D1318A" w:rsidP="007808E0">
      <w:pPr>
        <w:spacing w:after="0" w:line="360" w:lineRule="auto"/>
        <w:contextualSpacing/>
        <w:rPr>
          <w:rFonts w:eastAsia="Calibri"/>
        </w:rPr>
      </w:pPr>
      <w:r w:rsidRPr="009B2B01">
        <w:rPr>
          <w:rFonts w:eastAsia="Calibri"/>
        </w:rPr>
        <w:t>Por lo expuesto y fundado, este Pleno:</w:t>
      </w:r>
    </w:p>
    <w:p w14:paraId="7E4B6E8F" w14:textId="77777777" w:rsidR="00057905" w:rsidRPr="009B2B01" w:rsidRDefault="00057905" w:rsidP="007808E0">
      <w:pPr>
        <w:spacing w:after="0" w:line="360" w:lineRule="auto"/>
        <w:contextualSpacing/>
        <w:rPr>
          <w:rFonts w:eastAsia="Calibri"/>
        </w:rPr>
      </w:pPr>
    </w:p>
    <w:p w14:paraId="4969F2B6" w14:textId="77777777" w:rsidR="00D1318A" w:rsidRPr="009B2B01" w:rsidRDefault="00D1318A" w:rsidP="007808E0">
      <w:pPr>
        <w:pStyle w:val="Ttulo1"/>
        <w:spacing w:before="0" w:after="0" w:line="360" w:lineRule="auto"/>
        <w:jc w:val="center"/>
        <w:rPr>
          <w:sz w:val="22"/>
          <w:szCs w:val="22"/>
        </w:rPr>
      </w:pPr>
      <w:bookmarkStart w:id="17" w:name="_Toc209097585"/>
      <w:r w:rsidRPr="009B2B01">
        <w:rPr>
          <w:sz w:val="22"/>
          <w:szCs w:val="22"/>
        </w:rPr>
        <w:t>R E S U E L V E</w:t>
      </w:r>
      <w:bookmarkEnd w:id="17"/>
    </w:p>
    <w:p w14:paraId="00911B7E" w14:textId="77777777" w:rsidR="00D1318A" w:rsidRPr="009B2B01" w:rsidRDefault="00D1318A" w:rsidP="007808E0">
      <w:pPr>
        <w:spacing w:after="0" w:line="360" w:lineRule="auto"/>
        <w:contextualSpacing/>
        <w:rPr>
          <w:rFonts w:eastAsia="Calibri"/>
          <w:b/>
          <w:bCs/>
        </w:rPr>
      </w:pPr>
    </w:p>
    <w:p w14:paraId="59D86F6A" w14:textId="25900B02" w:rsidR="00D1318A" w:rsidRPr="009B2B01" w:rsidRDefault="00D1318A" w:rsidP="007808E0">
      <w:pPr>
        <w:spacing w:after="0" w:line="360" w:lineRule="auto"/>
        <w:contextualSpacing/>
        <w:rPr>
          <w:bCs/>
        </w:rPr>
      </w:pPr>
      <w:r w:rsidRPr="009B2B01">
        <w:rPr>
          <w:rFonts w:cs="Tahoma"/>
          <w:b/>
          <w:bCs/>
        </w:rPr>
        <w:t xml:space="preserve">PRIMERO. </w:t>
      </w:r>
      <w:r w:rsidRPr="009B2B01">
        <w:rPr>
          <w:rFonts w:cs="Tahoma"/>
          <w:bCs/>
        </w:rPr>
        <w:t xml:space="preserve">Se </w:t>
      </w:r>
      <w:r w:rsidR="00B66A6D" w:rsidRPr="009B2B01">
        <w:rPr>
          <w:rFonts w:cs="Tahoma"/>
          <w:b/>
          <w:bCs/>
        </w:rPr>
        <w:t>MODIFICA</w:t>
      </w:r>
      <w:r w:rsidRPr="009B2B01">
        <w:rPr>
          <w:rFonts w:cs="Tahoma"/>
          <w:b/>
          <w:bCs/>
        </w:rPr>
        <w:t xml:space="preserve"> </w:t>
      </w:r>
      <w:r w:rsidRPr="009B2B01">
        <w:rPr>
          <w:rFonts w:cs="Tahoma"/>
          <w:bCs/>
        </w:rPr>
        <w:t>la respuesta entrega</w:t>
      </w:r>
      <w:r w:rsidR="00655068" w:rsidRPr="009B2B01">
        <w:rPr>
          <w:rFonts w:cs="Tahoma"/>
          <w:bCs/>
        </w:rPr>
        <w:t>da por el</w:t>
      </w:r>
      <w:r w:rsidR="004076BD" w:rsidRPr="009B2B01">
        <w:rPr>
          <w:rFonts w:cs="Tahoma"/>
          <w:bCs/>
        </w:rPr>
        <w:t xml:space="preserve"> Ayuntamiento de </w:t>
      </w:r>
      <w:r w:rsidR="00287797" w:rsidRPr="009B2B01">
        <w:rPr>
          <w:rFonts w:cs="Tahoma"/>
          <w:bCs/>
        </w:rPr>
        <w:t>T</w:t>
      </w:r>
      <w:r w:rsidR="00DA2C1D" w:rsidRPr="009B2B01">
        <w:rPr>
          <w:rFonts w:cs="Tahoma"/>
          <w:bCs/>
        </w:rPr>
        <w:t>oluca</w:t>
      </w:r>
      <w:r w:rsidRPr="009B2B01">
        <w:rPr>
          <w:rFonts w:cs="Tahoma"/>
          <w:bCs/>
        </w:rPr>
        <w:t>, a la solicitud de información</w:t>
      </w:r>
      <w:r w:rsidR="00655068" w:rsidRPr="009B2B01">
        <w:t xml:space="preserve"> </w:t>
      </w:r>
      <w:r w:rsidR="004068E7" w:rsidRPr="009B2B01">
        <w:t>0</w:t>
      </w:r>
      <w:r w:rsidR="00B66A6D" w:rsidRPr="009B2B01">
        <w:t>1492</w:t>
      </w:r>
      <w:r w:rsidR="004068E7" w:rsidRPr="009B2B01">
        <w:t>/</w:t>
      </w:r>
      <w:r w:rsidR="00287797" w:rsidRPr="009B2B01">
        <w:t>T</w:t>
      </w:r>
      <w:r w:rsidR="00DA2C1D" w:rsidRPr="009B2B01">
        <w:t>OLUCA</w:t>
      </w:r>
      <w:r w:rsidR="000D392E" w:rsidRPr="009B2B01">
        <w:t>/IP/2025</w:t>
      </w:r>
      <w:r w:rsidRPr="009B2B01">
        <w:rPr>
          <w:bCs/>
        </w:rPr>
        <w:t xml:space="preserve">, por resultar </w:t>
      </w:r>
      <w:r w:rsidRPr="009B2B01">
        <w:rPr>
          <w:b/>
          <w:bCs/>
        </w:rPr>
        <w:t>FUNDADAS</w:t>
      </w:r>
      <w:r w:rsidRPr="009B2B01">
        <w:rPr>
          <w:rFonts w:cs="Tahoma"/>
          <w:b/>
          <w:bCs/>
        </w:rPr>
        <w:t xml:space="preserve"> </w:t>
      </w:r>
      <w:r w:rsidRPr="009B2B01">
        <w:rPr>
          <w:rFonts w:eastAsia="Calibri" w:cs="Tahoma"/>
          <w:bCs/>
        </w:rPr>
        <w:t>las razones o motivos de inconformidad hechos valer por el Recurrente</w:t>
      </w:r>
      <w:r w:rsidRPr="009B2B01">
        <w:rPr>
          <w:rFonts w:cs="Tahoma"/>
          <w:bCs/>
        </w:rPr>
        <w:t xml:space="preserve">, </w:t>
      </w:r>
      <w:r w:rsidRPr="009B2B01">
        <w:rPr>
          <w:rFonts w:eastAsia="Calibri" w:cs="Tahoma"/>
          <w:bCs/>
        </w:rPr>
        <w:t>en términos de los considerandos QUINTO y SEXTO de la presente Resolución.</w:t>
      </w:r>
    </w:p>
    <w:p w14:paraId="5F3709A7" w14:textId="77777777" w:rsidR="00D1318A" w:rsidRPr="009B2B01" w:rsidRDefault="00D1318A" w:rsidP="007808E0">
      <w:pPr>
        <w:spacing w:after="0" w:line="360" w:lineRule="auto"/>
        <w:contextualSpacing/>
        <w:rPr>
          <w:rFonts w:eastAsia="Times New Roman" w:cs="Tahoma"/>
          <w:bCs/>
          <w:lang w:eastAsia="es-ES"/>
        </w:rPr>
      </w:pPr>
    </w:p>
    <w:p w14:paraId="049F33F3" w14:textId="65054A56" w:rsidR="00B66A6D" w:rsidRPr="009B2B01" w:rsidRDefault="00D1318A" w:rsidP="00F712A4">
      <w:pPr>
        <w:spacing w:after="0" w:line="360" w:lineRule="auto"/>
      </w:pPr>
      <w:r w:rsidRPr="009B2B01">
        <w:rPr>
          <w:rFonts w:cs="Tahoma"/>
          <w:b/>
          <w:bCs/>
        </w:rPr>
        <w:t xml:space="preserve">SEGUNDO. </w:t>
      </w:r>
      <w:r w:rsidRPr="009B2B01">
        <w:t xml:space="preserve">Se </w:t>
      </w:r>
      <w:r w:rsidRPr="009B2B01">
        <w:rPr>
          <w:b/>
        </w:rPr>
        <w:t>ORDENA</w:t>
      </w:r>
      <w:r w:rsidRPr="009B2B01">
        <w:t xml:space="preserve"> al Ente Recurrido</w:t>
      </w:r>
      <w:r w:rsidRPr="009B2B01">
        <w:rPr>
          <w:b/>
        </w:rPr>
        <w:t xml:space="preserve">, </w:t>
      </w:r>
      <w:r w:rsidR="004068E7" w:rsidRPr="009B2B01">
        <w:t>a efecto de que</w:t>
      </w:r>
      <w:r w:rsidR="00B66A6D" w:rsidRPr="009B2B01">
        <w:t xml:space="preserve"> entregue,</w:t>
      </w:r>
      <w:r w:rsidR="00287797" w:rsidRPr="009B2B01">
        <w:t xml:space="preserve"> </w:t>
      </w:r>
      <w:r w:rsidRPr="009B2B01">
        <w:t>a través del Sistema de Acceso a la I</w:t>
      </w:r>
      <w:r w:rsidR="00715343" w:rsidRPr="009B2B01">
        <w:t>nformación Mexiquense (SAIMEX)</w:t>
      </w:r>
      <w:r w:rsidR="004068E7" w:rsidRPr="009B2B01">
        <w:t xml:space="preserve">, </w:t>
      </w:r>
      <w:r w:rsidR="00282C2E" w:rsidRPr="009B2B01">
        <w:t xml:space="preserve">en </w:t>
      </w:r>
      <w:r w:rsidR="00E949CF" w:rsidRPr="009B2B01">
        <w:t xml:space="preserve">su caso, </w:t>
      </w:r>
      <w:r w:rsidR="00B17B55" w:rsidRPr="009B2B01">
        <w:t xml:space="preserve">versión pública, </w:t>
      </w:r>
      <w:r w:rsidR="00B66A6D" w:rsidRPr="009B2B01">
        <w:t>lo siguiente:</w:t>
      </w:r>
    </w:p>
    <w:p w14:paraId="07A80CF4" w14:textId="77777777" w:rsidR="00B66A6D" w:rsidRPr="009B2B01" w:rsidRDefault="00B66A6D" w:rsidP="00F712A4">
      <w:pPr>
        <w:spacing w:after="0" w:line="360" w:lineRule="auto"/>
      </w:pPr>
    </w:p>
    <w:p w14:paraId="55F038A5" w14:textId="3AF38F0B" w:rsidR="00B66A6D" w:rsidRPr="009B2B01" w:rsidRDefault="00B66A6D" w:rsidP="005862B6">
      <w:pPr>
        <w:pStyle w:val="Prrafodelista"/>
        <w:numPr>
          <w:ilvl w:val="0"/>
          <w:numId w:val="8"/>
        </w:numPr>
        <w:spacing w:line="360" w:lineRule="auto"/>
        <w:rPr>
          <w:rFonts w:cs="Tahoma"/>
          <w:bCs/>
          <w:iCs/>
        </w:rPr>
      </w:pPr>
      <w:r w:rsidRPr="009B2B01">
        <w:rPr>
          <w:rFonts w:cs="Tahoma"/>
          <w:bCs/>
          <w:iCs/>
        </w:rPr>
        <w:t>Los oficios de validación del Plan de Emergencia entregados en respuesta.</w:t>
      </w:r>
    </w:p>
    <w:p w14:paraId="3355E426" w14:textId="77777777" w:rsidR="00F712A4" w:rsidRPr="009B2B01" w:rsidRDefault="00F712A4" w:rsidP="00A46E2C">
      <w:pPr>
        <w:spacing w:after="0" w:line="360" w:lineRule="auto"/>
        <w:rPr>
          <w:rFonts w:cs="Tahoma"/>
          <w:bCs/>
          <w:iCs/>
        </w:rPr>
      </w:pPr>
    </w:p>
    <w:p w14:paraId="1B7AFA02" w14:textId="3878463B" w:rsidR="00B66A6D" w:rsidRPr="009B2B01" w:rsidRDefault="00B66A6D" w:rsidP="00B66A6D">
      <w:pPr>
        <w:spacing w:after="0" w:line="360" w:lineRule="auto"/>
        <w:ind w:right="-91"/>
        <w:rPr>
          <w:rFonts w:eastAsia="Calibri" w:cs="Tahoma"/>
          <w:bCs/>
        </w:rPr>
      </w:pPr>
      <w:r w:rsidRPr="009B2B01">
        <w:rPr>
          <w:rFonts w:eastAsia="Calibri" w:cs="Tahoma"/>
          <w:bCs/>
        </w:rPr>
        <w:t>Además, deberá proporcionar el Acuerdo de Clasificación donde el Comité de Transparencia, confirme la eliminación de los datos</w:t>
      </w:r>
      <w:r w:rsidR="00E949CF" w:rsidRPr="009B2B01">
        <w:rPr>
          <w:rFonts w:eastAsia="Calibri" w:cs="Tahoma"/>
          <w:bCs/>
        </w:rPr>
        <w:t xml:space="preserve">, en términos del </w:t>
      </w:r>
      <w:proofErr w:type="spellStart"/>
      <w:r w:rsidR="00E949CF" w:rsidRPr="009B2B01">
        <w:rPr>
          <w:rFonts w:eastAsia="Calibri" w:cs="Tahoma"/>
          <w:bCs/>
        </w:rPr>
        <w:t>Considernado</w:t>
      </w:r>
      <w:proofErr w:type="spellEnd"/>
      <w:r w:rsidR="00E949CF" w:rsidRPr="009B2B01">
        <w:rPr>
          <w:rFonts w:eastAsia="Calibri" w:cs="Tahoma"/>
          <w:bCs/>
        </w:rPr>
        <w:t xml:space="preserve"> QUINTO</w:t>
      </w:r>
      <w:r w:rsidRPr="009B2B01">
        <w:rPr>
          <w:rFonts w:eastAsia="Calibri" w:cs="Tahoma"/>
          <w:bCs/>
        </w:rPr>
        <w:t xml:space="preserve">, de </w:t>
      </w:r>
      <w:r w:rsidRPr="009B2B01">
        <w:rPr>
          <w:rFonts w:eastAsia="Calibri" w:cs="Tahoma"/>
          <w:bCs/>
        </w:rPr>
        <w:lastRenderedPageBreak/>
        <w:t>conformidad con los artículos 49, fracciones II y VIII y 132, fracción II de la Ley de Transparencia y Acceso a la Información Pública del Estado de México y Municipios.</w:t>
      </w:r>
    </w:p>
    <w:p w14:paraId="1E8FDD21" w14:textId="77777777" w:rsidR="00F712A4" w:rsidRPr="009B2B01" w:rsidRDefault="00F712A4" w:rsidP="00B66A6D">
      <w:pPr>
        <w:spacing w:after="0" w:line="360" w:lineRule="auto"/>
        <w:rPr>
          <w:rFonts w:cs="Tahoma"/>
          <w:bCs/>
          <w:iCs/>
        </w:rPr>
      </w:pPr>
    </w:p>
    <w:p w14:paraId="051F6055" w14:textId="77777777" w:rsidR="00E949CF" w:rsidRPr="009B2B01" w:rsidRDefault="00D1318A" w:rsidP="007808E0">
      <w:pPr>
        <w:spacing w:after="0" w:line="360" w:lineRule="auto"/>
        <w:ind w:right="-28"/>
        <w:contextualSpacing/>
        <w:rPr>
          <w:rFonts w:cs="Tahoma"/>
          <w:bCs/>
          <w:iCs/>
        </w:rPr>
      </w:pPr>
      <w:r w:rsidRPr="009B2B01">
        <w:rPr>
          <w:rFonts w:eastAsia="Calibri" w:cs="Tahoma"/>
          <w:b/>
          <w:bCs/>
        </w:rPr>
        <w:t xml:space="preserve">TERCERO. </w:t>
      </w:r>
      <w:r w:rsidRPr="009B2B01">
        <w:rPr>
          <w:rFonts w:cs="Tahoma"/>
          <w:b/>
          <w:bCs/>
          <w:iCs/>
        </w:rPr>
        <w:t xml:space="preserve">NOTIFÍQUESE POR SAIMEX </w:t>
      </w:r>
      <w:r w:rsidRPr="009B2B01">
        <w:rPr>
          <w:rFonts w:cs="Tahoma"/>
          <w:bCs/>
          <w:iCs/>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w:t>
      </w:r>
      <w:r w:rsidR="005B142C" w:rsidRPr="009B2B01">
        <w:rPr>
          <w:rFonts w:cs="Tahoma"/>
          <w:bCs/>
          <w:iCs/>
        </w:rPr>
        <w:t>Ley de Transparencia y Acceso a la Información Pública del Estado de México y Municipios.</w:t>
      </w:r>
      <w:r w:rsidR="00277CFA" w:rsidRPr="009B2B01">
        <w:rPr>
          <w:rFonts w:cs="Tahoma"/>
          <w:bCs/>
          <w:iCs/>
        </w:rPr>
        <w:t xml:space="preserve"> </w:t>
      </w:r>
    </w:p>
    <w:p w14:paraId="085B11AB" w14:textId="77777777" w:rsidR="00E949CF" w:rsidRPr="009B2B01" w:rsidRDefault="00E949CF" w:rsidP="007808E0">
      <w:pPr>
        <w:spacing w:after="0" w:line="360" w:lineRule="auto"/>
        <w:ind w:right="-28"/>
        <w:contextualSpacing/>
        <w:rPr>
          <w:rFonts w:cs="Tahoma"/>
          <w:bCs/>
          <w:iCs/>
        </w:rPr>
      </w:pPr>
    </w:p>
    <w:p w14:paraId="3EAE0142" w14:textId="1FBF48DD" w:rsidR="00D1318A" w:rsidRPr="009B2B01" w:rsidRDefault="00D1318A" w:rsidP="007808E0">
      <w:pPr>
        <w:spacing w:after="0" w:line="360" w:lineRule="auto"/>
        <w:ind w:right="-28"/>
        <w:contextualSpacing/>
        <w:rPr>
          <w:rFonts w:cs="Tahoma"/>
          <w:bCs/>
          <w:iCs/>
        </w:rPr>
      </w:pPr>
      <w:r w:rsidRPr="009B2B01">
        <w:rPr>
          <w:rFonts w:eastAsia="Calibri" w:cs="Tahoma"/>
          <w:iCs/>
          <w:color w:val="000000"/>
        </w:rPr>
        <w:t xml:space="preserve">De conformidad con el artículo 198 de la </w:t>
      </w:r>
      <w:r w:rsidR="005B142C" w:rsidRPr="009B2B01">
        <w:rPr>
          <w:rFonts w:cs="Tahoma"/>
          <w:bCs/>
          <w:iCs/>
        </w:rPr>
        <w:t>Ley de Transparencia y Acceso a la Información Pública del Estado de México y Municipios</w:t>
      </w:r>
      <w:r w:rsidRPr="009B2B01">
        <w:rPr>
          <w:rFonts w:eastAsia="Calibri" w:cs="Tahoma"/>
          <w:iCs/>
          <w:color w:val="000000"/>
        </w:rPr>
        <w:t>, de considerarlo procedente, el Sujeto Obligado de manera fundada y motivada, podrá solicitar una ampliación de plazo para el cumplimiento de la presente resolución.</w:t>
      </w:r>
    </w:p>
    <w:p w14:paraId="34731E30" w14:textId="77777777" w:rsidR="00D1318A" w:rsidRPr="009B2B01" w:rsidRDefault="00D1318A" w:rsidP="007808E0">
      <w:pPr>
        <w:spacing w:after="0" w:line="360" w:lineRule="auto"/>
        <w:contextualSpacing/>
        <w:rPr>
          <w:rFonts w:eastAsia="Calibri" w:cs="Tahoma"/>
          <w:color w:val="000000"/>
          <w:lang w:val="es-ES"/>
        </w:rPr>
      </w:pPr>
    </w:p>
    <w:p w14:paraId="3F59EFC7" w14:textId="77777777" w:rsidR="00D1318A" w:rsidRPr="009B2B01" w:rsidRDefault="00D1318A" w:rsidP="007808E0">
      <w:pPr>
        <w:spacing w:after="0" w:line="360" w:lineRule="auto"/>
        <w:contextualSpacing/>
        <w:rPr>
          <w:rFonts w:cs="Tahoma"/>
        </w:rPr>
      </w:pPr>
      <w:r w:rsidRPr="009B2B01">
        <w:rPr>
          <w:rFonts w:eastAsia="Calibri" w:cs="Tahoma"/>
          <w:b/>
        </w:rPr>
        <w:t>CUARTO</w:t>
      </w:r>
      <w:r w:rsidRPr="009B2B01">
        <w:rPr>
          <w:rFonts w:eastAsia="Calibri" w:cs="Tahoma"/>
          <w:b/>
          <w:bCs/>
        </w:rPr>
        <w:t xml:space="preserve">. </w:t>
      </w:r>
      <w:r w:rsidRPr="009B2B01">
        <w:rPr>
          <w:rFonts w:cs="Tahoma"/>
          <w:b/>
        </w:rPr>
        <w:t>NOTIFÍQUESE POR SAIMEX</w:t>
      </w:r>
      <w:r w:rsidRPr="009B2B01">
        <w:rPr>
          <w:rFonts w:cs="Tahoma"/>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850850C" w14:textId="77777777" w:rsidR="00D1318A" w:rsidRPr="009B2B01" w:rsidRDefault="00D1318A" w:rsidP="007808E0">
      <w:pPr>
        <w:spacing w:after="0" w:line="360" w:lineRule="auto"/>
        <w:contextualSpacing/>
        <w:rPr>
          <w:rFonts w:cs="Arial"/>
          <w:b/>
          <w:bCs/>
        </w:rPr>
      </w:pPr>
    </w:p>
    <w:p w14:paraId="440D22CF" w14:textId="21FFDF98" w:rsidR="00D1318A" w:rsidRDefault="00D1318A" w:rsidP="007808E0">
      <w:pPr>
        <w:spacing w:after="0" w:line="360" w:lineRule="auto"/>
        <w:contextualSpacing/>
        <w:rPr>
          <w:rFonts w:cs="Tahoma"/>
          <w:b/>
          <w:bCs/>
        </w:rPr>
      </w:pPr>
      <w:r w:rsidRPr="009B2B01">
        <w:rPr>
          <w:rFonts w:eastAsia="Calibri" w:cs="Tahoma"/>
          <w:bCs/>
        </w:rPr>
        <w:t>ASÍ LO RESUELVE, POR </w:t>
      </w:r>
      <w:r w:rsidRPr="009B2B01">
        <w:rPr>
          <w:rFonts w:eastAsia="Calibri" w:cs="Tahoma"/>
          <w:b/>
          <w:bCs/>
        </w:rPr>
        <w:t>UNANIMIDAD</w:t>
      </w:r>
      <w:r w:rsidRPr="009B2B01">
        <w:rPr>
          <w:rFonts w:eastAsia="Calibri" w:cs="Tahoma"/>
          <w:bCs/>
        </w:rPr>
        <w:t xml:space="preserve"> DE VOTOS EL PLENO DEL INSTITUTO DE TRANSPARENCIA, ACCESO A LA INFORMACIÓN PÚBLICA Y PROTECCIÓN DE DATOS PERSONALES DEL ESTADO DE MÉXICO Y MUNICIPIOS, CONFORMADO POR </w:t>
      </w:r>
      <w:r w:rsidRPr="009B2B01">
        <w:rPr>
          <w:rFonts w:eastAsia="Calibri" w:cs="Tahoma"/>
          <w:bCs/>
        </w:rPr>
        <w:lastRenderedPageBreak/>
        <w:t>LOS COMISIONADOS JOSÉ MARTÍNEZ VILCHIS, MARÍA DEL ROSARIO MEJÍA AYALA, SHARON CRISTINA MORALES MARTÍNEZ</w:t>
      </w:r>
      <w:r w:rsidR="009B2B01" w:rsidRPr="009B2B01">
        <w:rPr>
          <w:rFonts w:eastAsia="Calibri" w:cs="Tahoma"/>
          <w:bCs/>
        </w:rPr>
        <w:t xml:space="preserve"> </w:t>
      </w:r>
      <w:r w:rsidR="008E7D6A" w:rsidRPr="009B2B01">
        <w:rPr>
          <w:rFonts w:eastAsia="Calibri" w:cs="Tahoma"/>
          <w:bCs/>
        </w:rPr>
        <w:t xml:space="preserve"> </w:t>
      </w:r>
      <w:r w:rsidR="009B2B01" w:rsidRPr="009B2B01">
        <w:rPr>
          <w:rFonts w:eastAsia="Calibri" w:cs="Tahoma"/>
          <w:bCs/>
        </w:rPr>
        <w:t>(</w:t>
      </w:r>
      <w:r w:rsidR="008E7D6A" w:rsidRPr="009B2B01">
        <w:rPr>
          <w:rFonts w:eastAsia="Calibri" w:cs="Tahoma"/>
          <w:bCs/>
        </w:rPr>
        <w:t>AUSENCIA JUSTIFICADA)</w:t>
      </w:r>
      <w:r w:rsidRPr="009B2B01">
        <w:rPr>
          <w:rFonts w:eastAsia="Calibri" w:cs="Tahoma"/>
          <w:bCs/>
        </w:rPr>
        <w:t>, LUIS GUSTAVO PARRA NORIEGA Y GUADALUPE RAMÍREZ PEÑA</w:t>
      </w:r>
      <w:r w:rsidR="00CF7AA5" w:rsidRPr="009B2B01">
        <w:rPr>
          <w:rFonts w:eastAsia="Calibri" w:cs="Tahoma"/>
          <w:bCs/>
        </w:rPr>
        <w:t xml:space="preserve">, EN LA </w:t>
      </w:r>
      <w:r w:rsidR="0003288F" w:rsidRPr="009B2B01">
        <w:rPr>
          <w:rFonts w:eastAsia="Calibri" w:cs="Tahoma"/>
          <w:bCs/>
        </w:rPr>
        <w:t xml:space="preserve">TRIGÉSIMA </w:t>
      </w:r>
      <w:r w:rsidR="00277CFA" w:rsidRPr="009B2B01">
        <w:rPr>
          <w:rFonts w:eastAsia="Calibri" w:cs="Tahoma"/>
          <w:bCs/>
        </w:rPr>
        <w:t>TERCERA</w:t>
      </w:r>
      <w:r w:rsidR="00715343" w:rsidRPr="009B2B01">
        <w:rPr>
          <w:rFonts w:eastAsia="Calibri" w:cs="Tahoma"/>
          <w:bCs/>
        </w:rPr>
        <w:t xml:space="preserve"> </w:t>
      </w:r>
      <w:r w:rsidRPr="009B2B01">
        <w:rPr>
          <w:rFonts w:eastAsia="Calibri" w:cs="Tahoma"/>
          <w:bCs/>
        </w:rPr>
        <w:t>SESIÓN ORDINA</w:t>
      </w:r>
      <w:r w:rsidR="00715343" w:rsidRPr="009B2B01">
        <w:rPr>
          <w:rFonts w:eastAsia="Calibri" w:cs="Tahoma"/>
          <w:bCs/>
        </w:rPr>
        <w:t>RIA, C</w:t>
      </w:r>
      <w:r w:rsidR="0052714E" w:rsidRPr="009B2B01">
        <w:rPr>
          <w:rFonts w:eastAsia="Calibri" w:cs="Tahoma"/>
          <w:bCs/>
        </w:rPr>
        <w:t xml:space="preserve">ELEBRADA EL </w:t>
      </w:r>
      <w:r w:rsidR="0003288F" w:rsidRPr="009B2B01">
        <w:rPr>
          <w:rFonts w:eastAsia="Calibri" w:cs="Tahoma"/>
          <w:bCs/>
        </w:rPr>
        <w:t>DIE</w:t>
      </w:r>
      <w:r w:rsidR="00277CFA" w:rsidRPr="009B2B01">
        <w:rPr>
          <w:rFonts w:eastAsia="Calibri" w:cs="Tahoma"/>
          <w:bCs/>
        </w:rPr>
        <w:t>CIOCHO</w:t>
      </w:r>
      <w:r w:rsidR="0003288F" w:rsidRPr="009B2B01">
        <w:rPr>
          <w:rFonts w:eastAsia="Calibri" w:cs="Tahoma"/>
          <w:bCs/>
        </w:rPr>
        <w:t xml:space="preserve"> DE SEPTIEMBRE</w:t>
      </w:r>
      <w:r w:rsidR="00655068" w:rsidRPr="009B2B01">
        <w:rPr>
          <w:rFonts w:eastAsia="Calibri" w:cs="Tahoma"/>
          <w:bCs/>
        </w:rPr>
        <w:t xml:space="preserve"> </w:t>
      </w:r>
      <w:r w:rsidRPr="009B2B01">
        <w:rPr>
          <w:rFonts w:eastAsia="Calibri" w:cs="Tahoma"/>
          <w:bCs/>
        </w:rPr>
        <w:t>DE DOS MIL VEINTICINCO, ANTE EL SECRETARIO TÉCNICO DEL PLENO, ALEXIS TAPIA RAMÍREZ.</w:t>
      </w:r>
    </w:p>
    <w:p w14:paraId="2BA380C7" w14:textId="77777777" w:rsidR="00D1318A" w:rsidRPr="00D1318A" w:rsidRDefault="00D1318A" w:rsidP="007808E0">
      <w:pPr>
        <w:spacing w:after="0" w:line="360" w:lineRule="auto"/>
        <w:ind w:right="-28"/>
        <w:rPr>
          <w:color w:val="auto"/>
        </w:rPr>
      </w:pPr>
    </w:p>
    <w:p w14:paraId="1FFCF4F3" w14:textId="77777777" w:rsidR="00B02499" w:rsidRDefault="00B02499" w:rsidP="007808E0">
      <w:pPr>
        <w:spacing w:after="0" w:line="360" w:lineRule="auto"/>
        <w:rPr>
          <w:rFonts w:eastAsia="Calibri" w:cs="Times New Roman"/>
          <w:b/>
          <w:bCs/>
        </w:rPr>
      </w:pPr>
    </w:p>
    <w:p w14:paraId="654C889D" w14:textId="77777777" w:rsidR="00B02499" w:rsidRPr="00681B34" w:rsidRDefault="00B02499" w:rsidP="007808E0">
      <w:pPr>
        <w:spacing w:after="0" w:line="360" w:lineRule="auto"/>
        <w:rPr>
          <w:rFonts w:eastAsia="Calibri" w:cs="Times New Roman"/>
          <w:b/>
          <w:bCs/>
        </w:rPr>
      </w:pPr>
    </w:p>
    <w:p w14:paraId="097C707A" w14:textId="77777777" w:rsidR="004A10B0" w:rsidRDefault="004A10B0" w:rsidP="007808E0">
      <w:pPr>
        <w:spacing w:after="0" w:line="360" w:lineRule="auto"/>
        <w:contextualSpacing/>
        <w:rPr>
          <w:rFonts w:eastAsia="Calibri" w:cs="Times New Roman"/>
          <w:color w:val="000000"/>
        </w:rPr>
      </w:pPr>
    </w:p>
    <w:p w14:paraId="3677DBED" w14:textId="77777777" w:rsidR="004A10B0" w:rsidRDefault="004A10B0" w:rsidP="007808E0">
      <w:pPr>
        <w:spacing w:after="0" w:line="360" w:lineRule="auto"/>
        <w:contextualSpacing/>
        <w:rPr>
          <w:color w:val="000000"/>
        </w:rPr>
      </w:pPr>
    </w:p>
    <w:p w14:paraId="74E8DB3F" w14:textId="77777777" w:rsidR="00C556AB" w:rsidRDefault="00C556AB" w:rsidP="007808E0">
      <w:pPr>
        <w:spacing w:after="0" w:line="360" w:lineRule="auto"/>
      </w:pPr>
    </w:p>
    <w:p w14:paraId="1A555613" w14:textId="77777777" w:rsidR="00023BBD" w:rsidRPr="00E64957" w:rsidRDefault="00023BBD" w:rsidP="007808E0">
      <w:pPr>
        <w:spacing w:after="0" w:line="360" w:lineRule="auto"/>
      </w:pPr>
    </w:p>
    <w:p w14:paraId="2DB71CAF" w14:textId="49BEE08C" w:rsidR="001D4F21" w:rsidRDefault="001D4F21" w:rsidP="007808E0">
      <w:pPr>
        <w:spacing w:after="0" w:line="360" w:lineRule="auto"/>
        <w:rPr>
          <w:color w:val="000000"/>
        </w:rPr>
      </w:pPr>
    </w:p>
    <w:p w14:paraId="38B4EF2E" w14:textId="77777777" w:rsidR="001D4F21" w:rsidRDefault="001D4F21" w:rsidP="007808E0">
      <w:pPr>
        <w:spacing w:after="0" w:line="360" w:lineRule="auto"/>
        <w:rPr>
          <w:color w:val="000000"/>
        </w:rPr>
      </w:pPr>
    </w:p>
    <w:p w14:paraId="4201A0A0" w14:textId="77777777" w:rsidR="00E864E9" w:rsidRDefault="00E864E9" w:rsidP="007808E0">
      <w:pPr>
        <w:tabs>
          <w:tab w:val="right" w:pos="8931"/>
        </w:tabs>
        <w:spacing w:after="0" w:line="360" w:lineRule="auto"/>
      </w:pPr>
    </w:p>
    <w:p w14:paraId="543728D1" w14:textId="77777777" w:rsidR="00E864E9" w:rsidRDefault="00E864E9" w:rsidP="007808E0">
      <w:pPr>
        <w:tabs>
          <w:tab w:val="right" w:pos="8931"/>
        </w:tabs>
        <w:spacing w:after="0" w:line="360" w:lineRule="auto"/>
      </w:pPr>
    </w:p>
    <w:p w14:paraId="0E4439D0" w14:textId="5248D3C9" w:rsidR="007B58B9" w:rsidRDefault="007B58B9" w:rsidP="007808E0">
      <w:pPr>
        <w:spacing w:after="0" w:line="360" w:lineRule="auto"/>
      </w:pPr>
    </w:p>
    <w:p w14:paraId="26916C77" w14:textId="77777777" w:rsidR="00A37EDE" w:rsidRDefault="00A37EDE" w:rsidP="007808E0">
      <w:pPr>
        <w:spacing w:after="0" w:line="360" w:lineRule="auto"/>
      </w:pPr>
    </w:p>
    <w:p w14:paraId="70318961" w14:textId="77777777" w:rsidR="009B2B01" w:rsidRDefault="009B2B01" w:rsidP="007808E0">
      <w:pPr>
        <w:spacing w:after="0" w:line="360" w:lineRule="auto"/>
      </w:pPr>
    </w:p>
    <w:p w14:paraId="37705329" w14:textId="77777777" w:rsidR="009B2B01" w:rsidRDefault="009B2B01" w:rsidP="007808E0">
      <w:pPr>
        <w:spacing w:after="0" w:line="360" w:lineRule="auto"/>
      </w:pPr>
    </w:p>
    <w:p w14:paraId="6B332EB9" w14:textId="77777777" w:rsidR="009B2B01" w:rsidRDefault="009B2B01" w:rsidP="007808E0">
      <w:pPr>
        <w:spacing w:after="0" w:line="360" w:lineRule="auto"/>
      </w:pPr>
    </w:p>
    <w:p w14:paraId="25945F74" w14:textId="77777777" w:rsidR="009B2B01" w:rsidRDefault="009B2B01" w:rsidP="007808E0">
      <w:pPr>
        <w:spacing w:after="0" w:line="360" w:lineRule="auto"/>
      </w:pPr>
    </w:p>
    <w:p w14:paraId="481E9C83" w14:textId="77777777" w:rsidR="009B2B01" w:rsidRDefault="009B2B01" w:rsidP="007808E0">
      <w:pPr>
        <w:spacing w:after="0" w:line="360" w:lineRule="auto"/>
      </w:pPr>
    </w:p>
    <w:p w14:paraId="59673058" w14:textId="77777777" w:rsidR="009B2B01" w:rsidRDefault="009B2B01" w:rsidP="007808E0">
      <w:pPr>
        <w:spacing w:after="0" w:line="360" w:lineRule="auto"/>
      </w:pPr>
    </w:p>
    <w:p w14:paraId="66B6893E" w14:textId="77777777" w:rsidR="009B2B01" w:rsidRDefault="009B2B01" w:rsidP="007808E0">
      <w:pPr>
        <w:spacing w:after="0" w:line="360" w:lineRule="auto"/>
      </w:pPr>
    </w:p>
    <w:p w14:paraId="03BBF13C" w14:textId="77777777" w:rsidR="009B2B01" w:rsidRPr="007B58B9" w:rsidRDefault="009B2B01" w:rsidP="007808E0">
      <w:pPr>
        <w:spacing w:after="0" w:line="360" w:lineRule="auto"/>
      </w:pPr>
    </w:p>
    <w:sectPr w:rsidR="009B2B01" w:rsidRPr="007B58B9" w:rsidSect="000B49C4">
      <w:headerReference w:type="even" r:id="rId15"/>
      <w:headerReference w:type="default" r:id="rId16"/>
      <w:footerReference w:type="even" r:id="rId17"/>
      <w:footerReference w:type="default" r:id="rId18"/>
      <w:headerReference w:type="first" r:id="rId19"/>
      <w:footerReference w:type="first" r:id="rId20"/>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79E442" w14:textId="77777777" w:rsidR="000D08FA" w:rsidRDefault="000D08FA">
      <w:pPr>
        <w:spacing w:after="0" w:line="240" w:lineRule="auto"/>
      </w:pPr>
      <w:r>
        <w:separator/>
      </w:r>
    </w:p>
  </w:endnote>
  <w:endnote w:type="continuationSeparator" w:id="0">
    <w:p w14:paraId="2BFAAB4C" w14:textId="77777777" w:rsidR="000D08FA" w:rsidRDefault="000D0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C53DA" w14:textId="77777777" w:rsidR="0069505A" w:rsidRDefault="0069505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944226">
      <w:rPr>
        <w:b/>
        <w:color w:val="000000"/>
        <w:sz w:val="24"/>
        <w:szCs w:val="24"/>
      </w:rPr>
      <w:fldChar w:fldCharType="separate"/>
    </w:r>
    <w:r w:rsidR="00944226">
      <w:rPr>
        <w:b/>
        <w:noProof/>
        <w:color w:val="000000"/>
        <w:sz w:val="24"/>
        <w:szCs w:val="24"/>
      </w:rPr>
      <w:t>40</w:t>
    </w:r>
    <w:r>
      <w:rPr>
        <w:b/>
        <w:color w:val="000000"/>
        <w:sz w:val="24"/>
        <w:szCs w:val="24"/>
      </w:rPr>
      <w:fldChar w:fldCharType="end"/>
    </w:r>
  </w:p>
  <w:p w14:paraId="7EB9860B" w14:textId="77777777" w:rsidR="0069505A" w:rsidRDefault="0069505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28E74" w14:textId="39395077" w:rsidR="0069505A" w:rsidRDefault="0069505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44226">
      <w:rPr>
        <w:b/>
        <w:noProof/>
        <w:color w:val="000000"/>
        <w:sz w:val="24"/>
        <w:szCs w:val="24"/>
      </w:rPr>
      <w:t>39</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44226">
      <w:rPr>
        <w:b/>
        <w:noProof/>
        <w:color w:val="000000"/>
        <w:sz w:val="24"/>
        <w:szCs w:val="24"/>
      </w:rPr>
      <w:t>40</w:t>
    </w:r>
    <w:r>
      <w:rPr>
        <w:b/>
        <w:color w:val="000000"/>
        <w:sz w:val="24"/>
        <w:szCs w:val="24"/>
      </w:rPr>
      <w:fldChar w:fldCharType="end"/>
    </w:r>
  </w:p>
  <w:p w14:paraId="0D7FA8D9" w14:textId="77777777" w:rsidR="0069505A" w:rsidRDefault="0069505A">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ECEF7" w14:textId="77777777" w:rsidR="0069505A" w:rsidRDefault="0069505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944226">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944226">
      <w:rPr>
        <w:b/>
        <w:noProof/>
        <w:color w:val="000000"/>
        <w:sz w:val="24"/>
        <w:szCs w:val="24"/>
      </w:rPr>
      <w:t>40</w:t>
    </w:r>
    <w:r>
      <w:rPr>
        <w:b/>
        <w:color w:val="000000"/>
        <w:sz w:val="24"/>
        <w:szCs w:val="24"/>
      </w:rPr>
      <w:fldChar w:fldCharType="end"/>
    </w:r>
  </w:p>
  <w:p w14:paraId="6796AF5F" w14:textId="77777777" w:rsidR="0069505A" w:rsidRDefault="0069505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4F7457" w14:textId="77777777" w:rsidR="000D08FA" w:rsidRDefault="000D08FA">
      <w:pPr>
        <w:spacing w:after="0" w:line="240" w:lineRule="auto"/>
      </w:pPr>
      <w:r>
        <w:separator/>
      </w:r>
    </w:p>
  </w:footnote>
  <w:footnote w:type="continuationSeparator" w:id="0">
    <w:p w14:paraId="2EE0F3D8" w14:textId="77777777" w:rsidR="000D08FA" w:rsidRDefault="000D08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A9F14" w14:textId="77777777" w:rsidR="0069505A" w:rsidRDefault="0069505A">
    <w:pPr>
      <w:widowControl w:val="0"/>
      <w:pBdr>
        <w:top w:val="nil"/>
        <w:left w:val="nil"/>
        <w:bottom w:val="nil"/>
        <w:right w:val="nil"/>
        <w:between w:val="nil"/>
      </w:pBdr>
      <w:spacing w:after="0" w:line="276" w:lineRule="auto"/>
      <w:jc w:val="left"/>
      <w:rPr>
        <w:color w:val="000000"/>
      </w:rPr>
    </w:pPr>
  </w:p>
  <w:tbl>
    <w:tblPr>
      <w:tblStyle w:val="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69505A" w14:paraId="10C29E94" w14:textId="77777777">
      <w:trPr>
        <w:trHeight w:val="132"/>
      </w:trPr>
      <w:tc>
        <w:tcPr>
          <w:tcW w:w="2691" w:type="dxa"/>
        </w:tcPr>
        <w:p w14:paraId="7D85A4B8" w14:textId="77777777" w:rsidR="0069505A" w:rsidRDefault="0069505A">
          <w:pPr>
            <w:tabs>
              <w:tab w:val="right" w:pos="8838"/>
            </w:tabs>
            <w:ind w:right="-105"/>
            <w:rPr>
              <w:b/>
            </w:rPr>
          </w:pPr>
          <w:r>
            <w:rPr>
              <w:b/>
            </w:rPr>
            <w:t>Recurso de Revisión:</w:t>
          </w:r>
        </w:p>
      </w:tc>
      <w:tc>
        <w:tcPr>
          <w:tcW w:w="3405" w:type="dxa"/>
        </w:tcPr>
        <w:p w14:paraId="0B0D1A9D" w14:textId="77777777" w:rsidR="0069505A" w:rsidRDefault="0069505A">
          <w:pPr>
            <w:tabs>
              <w:tab w:val="right" w:pos="8838"/>
            </w:tabs>
            <w:ind w:left="-28" w:right="-32"/>
          </w:pPr>
          <w:r>
            <w:t>03846/INFOEM/IP/RR/2020</w:t>
          </w:r>
        </w:p>
      </w:tc>
    </w:tr>
    <w:tr w:rsidR="0069505A" w14:paraId="2F47AC72" w14:textId="77777777">
      <w:trPr>
        <w:trHeight w:val="261"/>
      </w:trPr>
      <w:tc>
        <w:tcPr>
          <w:tcW w:w="2691" w:type="dxa"/>
        </w:tcPr>
        <w:p w14:paraId="154A4752" w14:textId="77777777" w:rsidR="0069505A" w:rsidRDefault="0069505A">
          <w:pPr>
            <w:tabs>
              <w:tab w:val="right" w:pos="8838"/>
            </w:tabs>
            <w:ind w:right="-105"/>
            <w:rPr>
              <w:b/>
            </w:rPr>
          </w:pPr>
          <w:r>
            <w:rPr>
              <w:b/>
            </w:rPr>
            <w:t>Sujeto Obligado:</w:t>
          </w:r>
        </w:p>
      </w:tc>
      <w:tc>
        <w:tcPr>
          <w:tcW w:w="3405" w:type="dxa"/>
        </w:tcPr>
        <w:p w14:paraId="5D9EC711" w14:textId="77777777" w:rsidR="0069505A" w:rsidRDefault="0069505A">
          <w:pPr>
            <w:tabs>
              <w:tab w:val="right" w:pos="8838"/>
            </w:tabs>
            <w:ind w:right="-32"/>
          </w:pPr>
          <w:r>
            <w:t xml:space="preserve">Ayuntamiento de </w:t>
          </w:r>
          <w:proofErr w:type="spellStart"/>
          <w:r>
            <w:t>Temascalcingo</w:t>
          </w:r>
          <w:proofErr w:type="spellEnd"/>
        </w:p>
      </w:tc>
    </w:tr>
    <w:tr w:rsidR="0069505A" w14:paraId="11FBB450" w14:textId="77777777">
      <w:trPr>
        <w:trHeight w:val="261"/>
      </w:trPr>
      <w:tc>
        <w:tcPr>
          <w:tcW w:w="2691" w:type="dxa"/>
        </w:tcPr>
        <w:p w14:paraId="6BAF6003" w14:textId="77777777" w:rsidR="0069505A" w:rsidRDefault="0069505A">
          <w:pPr>
            <w:tabs>
              <w:tab w:val="right" w:pos="8838"/>
            </w:tabs>
            <w:ind w:right="-105"/>
            <w:rPr>
              <w:b/>
            </w:rPr>
          </w:pPr>
          <w:r>
            <w:rPr>
              <w:b/>
            </w:rPr>
            <w:t>Comisionado Ponente:</w:t>
          </w:r>
        </w:p>
      </w:tc>
      <w:tc>
        <w:tcPr>
          <w:tcW w:w="3405" w:type="dxa"/>
        </w:tcPr>
        <w:p w14:paraId="420341AF" w14:textId="77777777" w:rsidR="0069505A" w:rsidRDefault="0069505A">
          <w:pPr>
            <w:tabs>
              <w:tab w:val="right" w:pos="8838"/>
            </w:tabs>
            <w:ind w:right="-32"/>
            <w:rPr>
              <w:b/>
            </w:rPr>
          </w:pPr>
          <w:r>
            <w:t>Luis Gustavo Parra Noriega</w:t>
          </w:r>
        </w:p>
      </w:tc>
    </w:tr>
  </w:tbl>
  <w:p w14:paraId="00411D75" w14:textId="77777777" w:rsidR="0069505A" w:rsidRDefault="000D08FA">
    <w:pPr>
      <w:pBdr>
        <w:top w:val="nil"/>
        <w:left w:val="nil"/>
        <w:bottom w:val="nil"/>
        <w:right w:val="nil"/>
        <w:between w:val="nil"/>
      </w:pBdr>
      <w:tabs>
        <w:tab w:val="center" w:pos="4419"/>
        <w:tab w:val="right" w:pos="8838"/>
      </w:tabs>
      <w:spacing w:after="0" w:line="240" w:lineRule="auto"/>
      <w:rPr>
        <w:color w:val="000000"/>
      </w:rPr>
    </w:pPr>
    <w:r>
      <w:rPr>
        <w:color w:val="000000"/>
      </w:rPr>
      <w:pict w14:anchorId="390D4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8C837" w14:textId="67B323BB" w:rsidR="0069505A" w:rsidRDefault="000D08FA">
    <w:pPr>
      <w:widowControl w:val="0"/>
      <w:pBdr>
        <w:top w:val="nil"/>
        <w:left w:val="nil"/>
        <w:bottom w:val="nil"/>
        <w:right w:val="nil"/>
        <w:between w:val="nil"/>
      </w:pBdr>
      <w:spacing w:after="0" w:line="276" w:lineRule="auto"/>
      <w:jc w:val="left"/>
    </w:pPr>
    <w:r>
      <w:rPr>
        <w:color w:val="000000"/>
      </w:rPr>
      <w:pict w14:anchorId="4CAD8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MARCA DE AGUA - HOJA RESOLUCIÓN" style="position:absolute;margin-left:-85.35pt;margin-top:-137.45pt;width:663.5pt;height:12in;z-index:-251659776;mso-wrap-edited:f;mso-width-percent:0;mso-height-percent:0;mso-position-horizontal-relative:margin;mso-position-vertical-relative:margin;mso-width-percent:0;mso-height-percent:0">
          <v:imagedata r:id="rId1" o:title="image5"/>
          <w10:wrap anchorx="margin" anchory="margin"/>
        </v:shape>
      </w:pict>
    </w:r>
  </w:p>
  <w:tbl>
    <w:tblPr>
      <w:tblStyle w:val="3"/>
      <w:tblW w:w="6662"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69505A" w14:paraId="40D5D5A3" w14:textId="77777777" w:rsidTr="002529FA">
      <w:trPr>
        <w:trHeight w:val="138"/>
      </w:trPr>
      <w:tc>
        <w:tcPr>
          <w:tcW w:w="2693" w:type="dxa"/>
          <w:vAlign w:val="center"/>
        </w:tcPr>
        <w:p w14:paraId="43377EBE" w14:textId="77777777" w:rsidR="0069505A" w:rsidRDefault="0069505A" w:rsidP="008C266D">
          <w:pPr>
            <w:tabs>
              <w:tab w:val="right" w:pos="8838"/>
            </w:tabs>
            <w:ind w:left="-108" w:right="-105"/>
            <w:jc w:val="left"/>
            <w:rPr>
              <w:b/>
            </w:rPr>
          </w:pPr>
        </w:p>
        <w:p w14:paraId="1DB5C8D0" w14:textId="7E98B3D2" w:rsidR="0069505A" w:rsidRDefault="0069505A" w:rsidP="008C266D">
          <w:pPr>
            <w:tabs>
              <w:tab w:val="right" w:pos="8838"/>
            </w:tabs>
            <w:ind w:left="-108" w:right="-105"/>
            <w:jc w:val="left"/>
            <w:rPr>
              <w:b/>
            </w:rPr>
          </w:pPr>
          <w:r>
            <w:rPr>
              <w:b/>
            </w:rPr>
            <w:t>Recurso de Revisión:</w:t>
          </w:r>
        </w:p>
      </w:tc>
      <w:tc>
        <w:tcPr>
          <w:tcW w:w="3969" w:type="dxa"/>
        </w:tcPr>
        <w:p w14:paraId="5BCC69C4" w14:textId="77777777" w:rsidR="0069505A" w:rsidRPr="00EF0C39" w:rsidRDefault="0069505A" w:rsidP="008C266D">
          <w:pPr>
            <w:tabs>
              <w:tab w:val="right" w:pos="8838"/>
            </w:tabs>
            <w:ind w:right="57"/>
          </w:pPr>
        </w:p>
        <w:p w14:paraId="61E59D71" w14:textId="42D5E650" w:rsidR="0069505A" w:rsidRPr="00EF0C39" w:rsidRDefault="0069505A" w:rsidP="008C266D">
          <w:pPr>
            <w:tabs>
              <w:tab w:val="right" w:pos="8838"/>
            </w:tabs>
            <w:ind w:right="57"/>
          </w:pPr>
          <w:r>
            <w:t>05451/INFOEM/IP/RR/2025</w:t>
          </w:r>
        </w:p>
      </w:tc>
    </w:tr>
    <w:tr w:rsidR="0069505A" w14:paraId="7A281F30" w14:textId="77777777" w:rsidTr="002529FA">
      <w:trPr>
        <w:trHeight w:val="273"/>
      </w:trPr>
      <w:tc>
        <w:tcPr>
          <w:tcW w:w="2693" w:type="dxa"/>
        </w:tcPr>
        <w:p w14:paraId="6671A308" w14:textId="77777777" w:rsidR="0069505A" w:rsidRDefault="0069505A" w:rsidP="008C266D">
          <w:pPr>
            <w:tabs>
              <w:tab w:val="right" w:pos="8838"/>
            </w:tabs>
            <w:ind w:left="-108" w:right="-105"/>
            <w:rPr>
              <w:b/>
            </w:rPr>
          </w:pPr>
          <w:r>
            <w:rPr>
              <w:b/>
            </w:rPr>
            <w:t>Sujeto Obligado:</w:t>
          </w:r>
        </w:p>
      </w:tc>
      <w:tc>
        <w:tcPr>
          <w:tcW w:w="3969" w:type="dxa"/>
        </w:tcPr>
        <w:p w14:paraId="30885B6D" w14:textId="59C26A99" w:rsidR="0069505A" w:rsidRPr="00EF0C39" w:rsidRDefault="0069505A" w:rsidP="007B4717">
          <w:pPr>
            <w:tabs>
              <w:tab w:val="right" w:pos="8838"/>
            </w:tabs>
            <w:ind w:right="180"/>
          </w:pPr>
          <w:r>
            <w:t>Ayuntamiento de Toluca</w:t>
          </w:r>
        </w:p>
      </w:tc>
    </w:tr>
    <w:tr w:rsidR="0069505A" w14:paraId="00C22F2F" w14:textId="77777777" w:rsidTr="002529FA">
      <w:trPr>
        <w:trHeight w:val="273"/>
      </w:trPr>
      <w:tc>
        <w:tcPr>
          <w:tcW w:w="2693" w:type="dxa"/>
        </w:tcPr>
        <w:p w14:paraId="70417649" w14:textId="77777777" w:rsidR="0069505A" w:rsidRDefault="0069505A" w:rsidP="008C266D">
          <w:pPr>
            <w:tabs>
              <w:tab w:val="right" w:pos="8838"/>
            </w:tabs>
            <w:ind w:left="-108" w:right="-105"/>
            <w:rPr>
              <w:b/>
            </w:rPr>
          </w:pPr>
          <w:r>
            <w:rPr>
              <w:b/>
            </w:rPr>
            <w:t>Comisionado Ponente:</w:t>
          </w:r>
        </w:p>
      </w:tc>
      <w:tc>
        <w:tcPr>
          <w:tcW w:w="3969" w:type="dxa"/>
        </w:tcPr>
        <w:p w14:paraId="5E6EB38B" w14:textId="77777777" w:rsidR="0069505A" w:rsidRPr="00EF0C39" w:rsidRDefault="0069505A" w:rsidP="008C266D">
          <w:pPr>
            <w:tabs>
              <w:tab w:val="right" w:pos="8838"/>
            </w:tabs>
            <w:ind w:right="-170"/>
          </w:pPr>
          <w:r w:rsidRPr="00EF0C39">
            <w:t>Luis Gustavo Parra Noriega</w:t>
          </w:r>
        </w:p>
        <w:p w14:paraId="1A63C67B" w14:textId="77777777" w:rsidR="0069505A" w:rsidRPr="00EF0C39" w:rsidRDefault="0069505A" w:rsidP="008C266D">
          <w:pPr>
            <w:tabs>
              <w:tab w:val="right" w:pos="8838"/>
            </w:tabs>
            <w:ind w:right="-170"/>
            <w:rPr>
              <w:b/>
            </w:rPr>
          </w:pPr>
        </w:p>
      </w:tc>
    </w:tr>
  </w:tbl>
  <w:p w14:paraId="3498D107" w14:textId="7E17876C" w:rsidR="0069505A" w:rsidRDefault="0069505A" w:rsidP="008C266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AA3F9" w14:textId="77777777" w:rsidR="0069505A" w:rsidRDefault="0069505A">
    <w:pPr>
      <w:widowControl w:val="0"/>
      <w:pBdr>
        <w:top w:val="nil"/>
        <w:left w:val="nil"/>
        <w:bottom w:val="nil"/>
        <w:right w:val="nil"/>
        <w:between w:val="nil"/>
      </w:pBdr>
      <w:spacing w:after="0" w:line="276" w:lineRule="auto"/>
      <w:jc w:val="left"/>
      <w:rPr>
        <w:color w:val="000000"/>
      </w:rPr>
    </w:pPr>
  </w:p>
  <w:tbl>
    <w:tblPr>
      <w:tblStyle w:val="1"/>
      <w:tblW w:w="6804"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69505A" w14:paraId="6B3232BD" w14:textId="77777777" w:rsidTr="002529FA">
      <w:trPr>
        <w:trHeight w:val="132"/>
      </w:trPr>
      <w:tc>
        <w:tcPr>
          <w:tcW w:w="2551" w:type="dxa"/>
        </w:tcPr>
        <w:p w14:paraId="38F16E2F" w14:textId="77777777" w:rsidR="0069505A" w:rsidRDefault="0069505A">
          <w:pPr>
            <w:tabs>
              <w:tab w:val="right" w:pos="8838"/>
            </w:tabs>
            <w:ind w:right="-105"/>
            <w:rPr>
              <w:b/>
            </w:rPr>
          </w:pPr>
          <w:r>
            <w:rPr>
              <w:b/>
            </w:rPr>
            <w:t>Recurso de Revisión:</w:t>
          </w:r>
        </w:p>
      </w:tc>
      <w:tc>
        <w:tcPr>
          <w:tcW w:w="4253" w:type="dxa"/>
        </w:tcPr>
        <w:p w14:paraId="211CDC0A" w14:textId="0F73785B" w:rsidR="0069505A" w:rsidRPr="00026C6B" w:rsidRDefault="0069505A" w:rsidP="00026C6B">
          <w:r>
            <w:t>05451/INFOEM/IP/RR/2025</w:t>
          </w:r>
        </w:p>
      </w:tc>
    </w:tr>
    <w:tr w:rsidR="0069505A" w14:paraId="6AA3CC58" w14:textId="77777777" w:rsidTr="002529FA">
      <w:trPr>
        <w:trHeight w:val="132"/>
      </w:trPr>
      <w:tc>
        <w:tcPr>
          <w:tcW w:w="2551" w:type="dxa"/>
        </w:tcPr>
        <w:p w14:paraId="7FD164F5" w14:textId="77777777" w:rsidR="0069505A" w:rsidRDefault="0069505A">
          <w:pPr>
            <w:tabs>
              <w:tab w:val="left" w:pos="1875"/>
            </w:tabs>
            <w:ind w:right="-105"/>
            <w:rPr>
              <w:b/>
            </w:rPr>
          </w:pPr>
          <w:r>
            <w:rPr>
              <w:b/>
            </w:rPr>
            <w:t>Recurrente:</w:t>
          </w:r>
          <w:r>
            <w:rPr>
              <w:b/>
            </w:rPr>
            <w:tab/>
          </w:r>
        </w:p>
      </w:tc>
      <w:tc>
        <w:tcPr>
          <w:tcW w:w="4253" w:type="dxa"/>
        </w:tcPr>
        <w:p w14:paraId="1F1B0537" w14:textId="6D058FF5" w:rsidR="0069505A" w:rsidRPr="00EF0C39" w:rsidRDefault="0069505A" w:rsidP="006D7FDA">
          <w:pPr>
            <w:tabs>
              <w:tab w:val="right" w:pos="8838"/>
            </w:tabs>
            <w:ind w:right="-250"/>
          </w:pPr>
          <w:r>
            <w:t xml:space="preserve"> </w:t>
          </w:r>
        </w:p>
      </w:tc>
    </w:tr>
    <w:tr w:rsidR="0069505A" w14:paraId="5113CAA6" w14:textId="77777777" w:rsidTr="002529FA">
      <w:trPr>
        <w:trHeight w:val="261"/>
      </w:trPr>
      <w:tc>
        <w:tcPr>
          <w:tcW w:w="2551" w:type="dxa"/>
        </w:tcPr>
        <w:p w14:paraId="28E3431B" w14:textId="30EC7C18" w:rsidR="0069505A" w:rsidRDefault="0069505A">
          <w:pPr>
            <w:tabs>
              <w:tab w:val="right" w:pos="8838"/>
            </w:tabs>
            <w:ind w:right="-105"/>
            <w:rPr>
              <w:b/>
            </w:rPr>
          </w:pPr>
          <w:r>
            <w:rPr>
              <w:b/>
            </w:rPr>
            <w:t>Sujeto Obligado:</w:t>
          </w:r>
        </w:p>
      </w:tc>
      <w:tc>
        <w:tcPr>
          <w:tcW w:w="4253" w:type="dxa"/>
        </w:tcPr>
        <w:p w14:paraId="3192354E" w14:textId="3D3CA8F1" w:rsidR="0069505A" w:rsidRPr="00026C6B" w:rsidRDefault="0069505A" w:rsidP="00026C6B">
          <w:r>
            <w:t>Ayuntamiento de Toluca</w:t>
          </w:r>
        </w:p>
      </w:tc>
    </w:tr>
    <w:tr w:rsidR="0069505A" w14:paraId="5D4C2A35" w14:textId="77777777" w:rsidTr="002529FA">
      <w:trPr>
        <w:trHeight w:val="261"/>
      </w:trPr>
      <w:tc>
        <w:tcPr>
          <w:tcW w:w="2551" w:type="dxa"/>
        </w:tcPr>
        <w:p w14:paraId="7F522FEC" w14:textId="77777777" w:rsidR="0069505A" w:rsidRDefault="0069505A">
          <w:pPr>
            <w:tabs>
              <w:tab w:val="right" w:pos="8838"/>
            </w:tabs>
            <w:ind w:right="-105"/>
            <w:rPr>
              <w:b/>
            </w:rPr>
          </w:pPr>
          <w:r>
            <w:rPr>
              <w:b/>
            </w:rPr>
            <w:t>Comisionado Ponente:</w:t>
          </w:r>
        </w:p>
      </w:tc>
      <w:tc>
        <w:tcPr>
          <w:tcW w:w="4253" w:type="dxa"/>
        </w:tcPr>
        <w:p w14:paraId="0F0566F9" w14:textId="77777777" w:rsidR="0069505A" w:rsidRPr="00EF0C39" w:rsidRDefault="0069505A" w:rsidP="00C46A25">
          <w:pPr>
            <w:tabs>
              <w:tab w:val="right" w:pos="8838"/>
            </w:tabs>
            <w:ind w:right="-32"/>
            <w:rPr>
              <w:b/>
            </w:rPr>
          </w:pPr>
          <w:r w:rsidRPr="00EF0C39">
            <w:t>Luis Gustavo Parra Noriega</w:t>
          </w:r>
        </w:p>
      </w:tc>
    </w:tr>
  </w:tbl>
  <w:p w14:paraId="4DFC2598" w14:textId="77777777" w:rsidR="0069505A" w:rsidRDefault="000D08FA">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389CC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left:0;text-align:left;margin-left:-89.1pt;margin-top:-125pt;width:663.5pt;height:12in;z-index:-251658752;mso-wrap-edited:f;mso-width-percent:0;mso-height-percent:0;mso-position-horizontal-relative:margin;mso-position-vertical-relative:margin;mso-width-percent:0;mso-height-percent:0">
          <v:imagedata r:id="rId1" o:title="image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935EC2"/>
    <w:multiLevelType w:val="hybridMultilevel"/>
    <w:tmpl w:val="E17271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0697A42"/>
    <w:multiLevelType w:val="hybridMultilevel"/>
    <w:tmpl w:val="2F8C8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691A58"/>
    <w:multiLevelType w:val="hybridMultilevel"/>
    <w:tmpl w:val="BF2204BA"/>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A43F9B"/>
    <w:multiLevelType w:val="hybridMultilevel"/>
    <w:tmpl w:val="9F925502"/>
    <w:lvl w:ilvl="0" w:tplc="C8169A16">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D1B7F3C"/>
    <w:multiLevelType w:val="hybridMultilevel"/>
    <w:tmpl w:val="D30E5ACA"/>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06F217C"/>
    <w:multiLevelType w:val="hybridMultilevel"/>
    <w:tmpl w:val="239C966C"/>
    <w:lvl w:ilvl="0" w:tplc="C8169A16">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740358"/>
    <w:multiLevelType w:val="hybridMultilevel"/>
    <w:tmpl w:val="F0407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D063258"/>
    <w:multiLevelType w:val="hybridMultilevel"/>
    <w:tmpl w:val="47A040E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5"/>
  </w:num>
  <w:num w:numId="5">
    <w:abstractNumId w:val="4"/>
  </w:num>
  <w:num w:numId="6">
    <w:abstractNumId w:val="3"/>
  </w:num>
  <w:num w:numId="7">
    <w:abstractNumId w:val="2"/>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90F"/>
    <w:rsid w:val="00001ADF"/>
    <w:rsid w:val="00002B20"/>
    <w:rsid w:val="00003081"/>
    <w:rsid w:val="000053EA"/>
    <w:rsid w:val="0000637C"/>
    <w:rsid w:val="00006A45"/>
    <w:rsid w:val="0001108B"/>
    <w:rsid w:val="00011477"/>
    <w:rsid w:val="00011608"/>
    <w:rsid w:val="0001277E"/>
    <w:rsid w:val="00014169"/>
    <w:rsid w:val="00014EE2"/>
    <w:rsid w:val="00016290"/>
    <w:rsid w:val="00016B98"/>
    <w:rsid w:val="000201B0"/>
    <w:rsid w:val="00021BE0"/>
    <w:rsid w:val="00022B54"/>
    <w:rsid w:val="00023BBD"/>
    <w:rsid w:val="000255D3"/>
    <w:rsid w:val="0002588C"/>
    <w:rsid w:val="00026B5A"/>
    <w:rsid w:val="00026C6B"/>
    <w:rsid w:val="0003084A"/>
    <w:rsid w:val="000316C2"/>
    <w:rsid w:val="00031C06"/>
    <w:rsid w:val="0003288F"/>
    <w:rsid w:val="00033026"/>
    <w:rsid w:val="00033186"/>
    <w:rsid w:val="0003318A"/>
    <w:rsid w:val="00033683"/>
    <w:rsid w:val="00033AF2"/>
    <w:rsid w:val="00033F2C"/>
    <w:rsid w:val="0003740E"/>
    <w:rsid w:val="0003782D"/>
    <w:rsid w:val="000410E6"/>
    <w:rsid w:val="0004134C"/>
    <w:rsid w:val="000426D2"/>
    <w:rsid w:val="00047E2C"/>
    <w:rsid w:val="00050E2E"/>
    <w:rsid w:val="0005769F"/>
    <w:rsid w:val="00057905"/>
    <w:rsid w:val="000602BA"/>
    <w:rsid w:val="00061123"/>
    <w:rsid w:val="000709AA"/>
    <w:rsid w:val="000735F0"/>
    <w:rsid w:val="00073949"/>
    <w:rsid w:val="00075996"/>
    <w:rsid w:val="00075A71"/>
    <w:rsid w:val="00075CAF"/>
    <w:rsid w:val="00080524"/>
    <w:rsid w:val="000811E7"/>
    <w:rsid w:val="00081D01"/>
    <w:rsid w:val="0008295C"/>
    <w:rsid w:val="00082B5B"/>
    <w:rsid w:val="00083169"/>
    <w:rsid w:val="00084273"/>
    <w:rsid w:val="00085D44"/>
    <w:rsid w:val="000866B0"/>
    <w:rsid w:val="000867A0"/>
    <w:rsid w:val="00087074"/>
    <w:rsid w:val="00087EDB"/>
    <w:rsid w:val="0009167E"/>
    <w:rsid w:val="00092501"/>
    <w:rsid w:val="000946F3"/>
    <w:rsid w:val="00095FB6"/>
    <w:rsid w:val="00096C21"/>
    <w:rsid w:val="00096CFE"/>
    <w:rsid w:val="00097C52"/>
    <w:rsid w:val="000A2B9F"/>
    <w:rsid w:val="000A2EA2"/>
    <w:rsid w:val="000A3910"/>
    <w:rsid w:val="000A4DC8"/>
    <w:rsid w:val="000A5B44"/>
    <w:rsid w:val="000A706F"/>
    <w:rsid w:val="000B20C2"/>
    <w:rsid w:val="000B2470"/>
    <w:rsid w:val="000B3514"/>
    <w:rsid w:val="000B3C56"/>
    <w:rsid w:val="000B40C7"/>
    <w:rsid w:val="000B4503"/>
    <w:rsid w:val="000B49C4"/>
    <w:rsid w:val="000C0C98"/>
    <w:rsid w:val="000C0CBE"/>
    <w:rsid w:val="000C10A2"/>
    <w:rsid w:val="000C4A35"/>
    <w:rsid w:val="000C567D"/>
    <w:rsid w:val="000C7D5D"/>
    <w:rsid w:val="000D04D2"/>
    <w:rsid w:val="000D0539"/>
    <w:rsid w:val="000D08FA"/>
    <w:rsid w:val="000D1B7A"/>
    <w:rsid w:val="000D1EFD"/>
    <w:rsid w:val="000D257F"/>
    <w:rsid w:val="000D392E"/>
    <w:rsid w:val="000D3AD3"/>
    <w:rsid w:val="000D46ED"/>
    <w:rsid w:val="000D6774"/>
    <w:rsid w:val="000D7457"/>
    <w:rsid w:val="000D7CC0"/>
    <w:rsid w:val="000E1C4F"/>
    <w:rsid w:val="000E3169"/>
    <w:rsid w:val="000F3776"/>
    <w:rsid w:val="000F3B49"/>
    <w:rsid w:val="000F4583"/>
    <w:rsid w:val="000F4AC1"/>
    <w:rsid w:val="000F562C"/>
    <w:rsid w:val="000F6219"/>
    <w:rsid w:val="000F6E36"/>
    <w:rsid w:val="001055EA"/>
    <w:rsid w:val="00105B6E"/>
    <w:rsid w:val="001061B1"/>
    <w:rsid w:val="001065C6"/>
    <w:rsid w:val="0011010D"/>
    <w:rsid w:val="001135C1"/>
    <w:rsid w:val="001150A1"/>
    <w:rsid w:val="00115992"/>
    <w:rsid w:val="00116C35"/>
    <w:rsid w:val="001174B4"/>
    <w:rsid w:val="00117843"/>
    <w:rsid w:val="00122ED0"/>
    <w:rsid w:val="00122FBD"/>
    <w:rsid w:val="00123FD7"/>
    <w:rsid w:val="00124AF7"/>
    <w:rsid w:val="00125905"/>
    <w:rsid w:val="00125F26"/>
    <w:rsid w:val="001260CE"/>
    <w:rsid w:val="0012618B"/>
    <w:rsid w:val="00126A15"/>
    <w:rsid w:val="00126AD3"/>
    <w:rsid w:val="001325F3"/>
    <w:rsid w:val="00132F29"/>
    <w:rsid w:val="00134465"/>
    <w:rsid w:val="0013481F"/>
    <w:rsid w:val="001418BD"/>
    <w:rsid w:val="00141BAD"/>
    <w:rsid w:val="001425CB"/>
    <w:rsid w:val="001434E7"/>
    <w:rsid w:val="00146FC2"/>
    <w:rsid w:val="001479C0"/>
    <w:rsid w:val="00147F25"/>
    <w:rsid w:val="001502AB"/>
    <w:rsid w:val="001507E8"/>
    <w:rsid w:val="00150ADA"/>
    <w:rsid w:val="00153139"/>
    <w:rsid w:val="001548D6"/>
    <w:rsid w:val="001558BD"/>
    <w:rsid w:val="00155BD1"/>
    <w:rsid w:val="001566D4"/>
    <w:rsid w:val="001578F5"/>
    <w:rsid w:val="0016373E"/>
    <w:rsid w:val="00163D9F"/>
    <w:rsid w:val="00165AB2"/>
    <w:rsid w:val="0016642B"/>
    <w:rsid w:val="00166452"/>
    <w:rsid w:val="00166907"/>
    <w:rsid w:val="00166A42"/>
    <w:rsid w:val="0016727D"/>
    <w:rsid w:val="0016793F"/>
    <w:rsid w:val="00167D99"/>
    <w:rsid w:val="00170ACC"/>
    <w:rsid w:val="001710E2"/>
    <w:rsid w:val="00171D2A"/>
    <w:rsid w:val="0017245F"/>
    <w:rsid w:val="00175607"/>
    <w:rsid w:val="00175910"/>
    <w:rsid w:val="001805A9"/>
    <w:rsid w:val="00181D59"/>
    <w:rsid w:val="00184025"/>
    <w:rsid w:val="00184ED6"/>
    <w:rsid w:val="00185925"/>
    <w:rsid w:val="00192C48"/>
    <w:rsid w:val="00193CE3"/>
    <w:rsid w:val="00195EC3"/>
    <w:rsid w:val="00196F6A"/>
    <w:rsid w:val="0019787E"/>
    <w:rsid w:val="001A0321"/>
    <w:rsid w:val="001A2062"/>
    <w:rsid w:val="001A3934"/>
    <w:rsid w:val="001A3C87"/>
    <w:rsid w:val="001A44D1"/>
    <w:rsid w:val="001A5A72"/>
    <w:rsid w:val="001A5B6F"/>
    <w:rsid w:val="001A6C0E"/>
    <w:rsid w:val="001A7F04"/>
    <w:rsid w:val="001B2090"/>
    <w:rsid w:val="001B34AA"/>
    <w:rsid w:val="001B4144"/>
    <w:rsid w:val="001B7EFB"/>
    <w:rsid w:val="001C38FA"/>
    <w:rsid w:val="001C4DF4"/>
    <w:rsid w:val="001C638A"/>
    <w:rsid w:val="001C6B7A"/>
    <w:rsid w:val="001D1635"/>
    <w:rsid w:val="001D24CD"/>
    <w:rsid w:val="001D3FB9"/>
    <w:rsid w:val="001D4F21"/>
    <w:rsid w:val="001D5DBE"/>
    <w:rsid w:val="001D7D0E"/>
    <w:rsid w:val="001D7F0C"/>
    <w:rsid w:val="001E4284"/>
    <w:rsid w:val="001E4ECA"/>
    <w:rsid w:val="001E6077"/>
    <w:rsid w:val="001E6891"/>
    <w:rsid w:val="001F285F"/>
    <w:rsid w:val="001F5043"/>
    <w:rsid w:val="001F5610"/>
    <w:rsid w:val="001F6FD5"/>
    <w:rsid w:val="00200E63"/>
    <w:rsid w:val="002019AA"/>
    <w:rsid w:val="002025F4"/>
    <w:rsid w:val="00203520"/>
    <w:rsid w:val="00203F8C"/>
    <w:rsid w:val="00204DE3"/>
    <w:rsid w:val="0020727C"/>
    <w:rsid w:val="002075C1"/>
    <w:rsid w:val="00207F1E"/>
    <w:rsid w:val="00211CD8"/>
    <w:rsid w:val="00215D49"/>
    <w:rsid w:val="002207FA"/>
    <w:rsid w:val="002217AE"/>
    <w:rsid w:val="00223487"/>
    <w:rsid w:val="002238B8"/>
    <w:rsid w:val="00227456"/>
    <w:rsid w:val="00230985"/>
    <w:rsid w:val="00230B8F"/>
    <w:rsid w:val="002374A0"/>
    <w:rsid w:val="002374EE"/>
    <w:rsid w:val="00243764"/>
    <w:rsid w:val="002475DE"/>
    <w:rsid w:val="00251665"/>
    <w:rsid w:val="00252910"/>
    <w:rsid w:val="002529AD"/>
    <w:rsid w:val="002529FA"/>
    <w:rsid w:val="00252A2A"/>
    <w:rsid w:val="00253448"/>
    <w:rsid w:val="00253A9C"/>
    <w:rsid w:val="0025520C"/>
    <w:rsid w:val="00256B48"/>
    <w:rsid w:val="00257C2B"/>
    <w:rsid w:val="0026163E"/>
    <w:rsid w:val="00261B92"/>
    <w:rsid w:val="00261CB4"/>
    <w:rsid w:val="00261DF6"/>
    <w:rsid w:val="0026345D"/>
    <w:rsid w:val="00266E26"/>
    <w:rsid w:val="00267457"/>
    <w:rsid w:val="00271E85"/>
    <w:rsid w:val="00273A4E"/>
    <w:rsid w:val="00274745"/>
    <w:rsid w:val="00274EC1"/>
    <w:rsid w:val="002779C0"/>
    <w:rsid w:val="00277CFA"/>
    <w:rsid w:val="00280625"/>
    <w:rsid w:val="00280CF8"/>
    <w:rsid w:val="00282176"/>
    <w:rsid w:val="002822A3"/>
    <w:rsid w:val="0028277C"/>
    <w:rsid w:val="00282B4C"/>
    <w:rsid w:val="00282C2E"/>
    <w:rsid w:val="002845CF"/>
    <w:rsid w:val="00287374"/>
    <w:rsid w:val="00287797"/>
    <w:rsid w:val="0029130B"/>
    <w:rsid w:val="00291318"/>
    <w:rsid w:val="0029310D"/>
    <w:rsid w:val="00293A22"/>
    <w:rsid w:val="00294C03"/>
    <w:rsid w:val="00295482"/>
    <w:rsid w:val="0029784D"/>
    <w:rsid w:val="002A02CD"/>
    <w:rsid w:val="002A376A"/>
    <w:rsid w:val="002A3A8E"/>
    <w:rsid w:val="002A5DEB"/>
    <w:rsid w:val="002A6695"/>
    <w:rsid w:val="002B2FEA"/>
    <w:rsid w:val="002B5A2D"/>
    <w:rsid w:val="002B772B"/>
    <w:rsid w:val="002C061B"/>
    <w:rsid w:val="002C0C3A"/>
    <w:rsid w:val="002C3C0A"/>
    <w:rsid w:val="002C4A39"/>
    <w:rsid w:val="002C4D41"/>
    <w:rsid w:val="002C516D"/>
    <w:rsid w:val="002C7C43"/>
    <w:rsid w:val="002D2107"/>
    <w:rsid w:val="002D2619"/>
    <w:rsid w:val="002D2A77"/>
    <w:rsid w:val="002D6CA6"/>
    <w:rsid w:val="002E2627"/>
    <w:rsid w:val="002E2D9D"/>
    <w:rsid w:val="002E34B7"/>
    <w:rsid w:val="002E5C60"/>
    <w:rsid w:val="002E6125"/>
    <w:rsid w:val="002E6BEC"/>
    <w:rsid w:val="002E7C9D"/>
    <w:rsid w:val="002F0510"/>
    <w:rsid w:val="002F0526"/>
    <w:rsid w:val="002F08A1"/>
    <w:rsid w:val="002F12B4"/>
    <w:rsid w:val="002F389A"/>
    <w:rsid w:val="002F44A5"/>
    <w:rsid w:val="002F5845"/>
    <w:rsid w:val="002F5AA8"/>
    <w:rsid w:val="002F5CFB"/>
    <w:rsid w:val="002F72B7"/>
    <w:rsid w:val="0030116D"/>
    <w:rsid w:val="00302BCB"/>
    <w:rsid w:val="003037BC"/>
    <w:rsid w:val="00303A1B"/>
    <w:rsid w:val="00303BA0"/>
    <w:rsid w:val="00304DE6"/>
    <w:rsid w:val="00310366"/>
    <w:rsid w:val="00310A3F"/>
    <w:rsid w:val="00311CAF"/>
    <w:rsid w:val="0031200F"/>
    <w:rsid w:val="00312EFE"/>
    <w:rsid w:val="003131F2"/>
    <w:rsid w:val="00313684"/>
    <w:rsid w:val="00314919"/>
    <w:rsid w:val="003155C2"/>
    <w:rsid w:val="00316458"/>
    <w:rsid w:val="00320D4E"/>
    <w:rsid w:val="00321E54"/>
    <w:rsid w:val="0032276A"/>
    <w:rsid w:val="00322E84"/>
    <w:rsid w:val="0032438A"/>
    <w:rsid w:val="00325B13"/>
    <w:rsid w:val="00325D1E"/>
    <w:rsid w:val="003303EB"/>
    <w:rsid w:val="00330566"/>
    <w:rsid w:val="00330942"/>
    <w:rsid w:val="00333468"/>
    <w:rsid w:val="00333808"/>
    <w:rsid w:val="0033681E"/>
    <w:rsid w:val="00336E20"/>
    <w:rsid w:val="00341669"/>
    <w:rsid w:val="00342465"/>
    <w:rsid w:val="00345E3B"/>
    <w:rsid w:val="00352906"/>
    <w:rsid w:val="00353296"/>
    <w:rsid w:val="0035368D"/>
    <w:rsid w:val="00354255"/>
    <w:rsid w:val="00354FD0"/>
    <w:rsid w:val="00355D05"/>
    <w:rsid w:val="00356E1B"/>
    <w:rsid w:val="003602C9"/>
    <w:rsid w:val="0036042F"/>
    <w:rsid w:val="00364788"/>
    <w:rsid w:val="003657F4"/>
    <w:rsid w:val="003663BF"/>
    <w:rsid w:val="00366BB8"/>
    <w:rsid w:val="00366D05"/>
    <w:rsid w:val="00376AEF"/>
    <w:rsid w:val="0037738F"/>
    <w:rsid w:val="00381132"/>
    <w:rsid w:val="003814AE"/>
    <w:rsid w:val="0038398F"/>
    <w:rsid w:val="00384E34"/>
    <w:rsid w:val="00384E94"/>
    <w:rsid w:val="00385DD2"/>
    <w:rsid w:val="003860AA"/>
    <w:rsid w:val="003876F1"/>
    <w:rsid w:val="00390A24"/>
    <w:rsid w:val="00391317"/>
    <w:rsid w:val="003949BA"/>
    <w:rsid w:val="0039615C"/>
    <w:rsid w:val="00396517"/>
    <w:rsid w:val="00397991"/>
    <w:rsid w:val="003A103F"/>
    <w:rsid w:val="003A2B31"/>
    <w:rsid w:val="003A47C4"/>
    <w:rsid w:val="003A4BB8"/>
    <w:rsid w:val="003A4CF8"/>
    <w:rsid w:val="003A4EEC"/>
    <w:rsid w:val="003B3C6F"/>
    <w:rsid w:val="003B5A66"/>
    <w:rsid w:val="003B6E04"/>
    <w:rsid w:val="003B6F0C"/>
    <w:rsid w:val="003C13CD"/>
    <w:rsid w:val="003C28F2"/>
    <w:rsid w:val="003C331A"/>
    <w:rsid w:val="003C5F59"/>
    <w:rsid w:val="003C5FE0"/>
    <w:rsid w:val="003C673A"/>
    <w:rsid w:val="003C7338"/>
    <w:rsid w:val="003D0D51"/>
    <w:rsid w:val="003D1DC8"/>
    <w:rsid w:val="003D25DC"/>
    <w:rsid w:val="003D35DB"/>
    <w:rsid w:val="003D4722"/>
    <w:rsid w:val="003D6C3F"/>
    <w:rsid w:val="003E00B8"/>
    <w:rsid w:val="003E1523"/>
    <w:rsid w:val="003E1C9F"/>
    <w:rsid w:val="003E20C8"/>
    <w:rsid w:val="003E33FE"/>
    <w:rsid w:val="003E4CFD"/>
    <w:rsid w:val="003E540A"/>
    <w:rsid w:val="003E63AC"/>
    <w:rsid w:val="003E6941"/>
    <w:rsid w:val="003F0A87"/>
    <w:rsid w:val="003F18D5"/>
    <w:rsid w:val="003F1D74"/>
    <w:rsid w:val="003F2BF4"/>
    <w:rsid w:val="003F2C8E"/>
    <w:rsid w:val="003F4C6D"/>
    <w:rsid w:val="003F5F91"/>
    <w:rsid w:val="003F6C55"/>
    <w:rsid w:val="0040398B"/>
    <w:rsid w:val="00403F0E"/>
    <w:rsid w:val="00404B15"/>
    <w:rsid w:val="004068E7"/>
    <w:rsid w:val="004076BD"/>
    <w:rsid w:val="0041096D"/>
    <w:rsid w:val="004111B6"/>
    <w:rsid w:val="00413093"/>
    <w:rsid w:val="00417AAE"/>
    <w:rsid w:val="00417C0D"/>
    <w:rsid w:val="00417F3A"/>
    <w:rsid w:val="00420209"/>
    <w:rsid w:val="004214D5"/>
    <w:rsid w:val="00422311"/>
    <w:rsid w:val="0043065C"/>
    <w:rsid w:val="004306AC"/>
    <w:rsid w:val="00430938"/>
    <w:rsid w:val="00430DD8"/>
    <w:rsid w:val="004326F9"/>
    <w:rsid w:val="00434B43"/>
    <w:rsid w:val="004352C6"/>
    <w:rsid w:val="00436F80"/>
    <w:rsid w:val="0044017B"/>
    <w:rsid w:val="004415DA"/>
    <w:rsid w:val="00442432"/>
    <w:rsid w:val="0044320C"/>
    <w:rsid w:val="0044451C"/>
    <w:rsid w:val="00445A40"/>
    <w:rsid w:val="00446CA3"/>
    <w:rsid w:val="004475C6"/>
    <w:rsid w:val="004479B9"/>
    <w:rsid w:val="0045046D"/>
    <w:rsid w:val="00455EA5"/>
    <w:rsid w:val="00456B23"/>
    <w:rsid w:val="00461DF2"/>
    <w:rsid w:val="00462ED0"/>
    <w:rsid w:val="00463218"/>
    <w:rsid w:val="004649E0"/>
    <w:rsid w:val="0046597D"/>
    <w:rsid w:val="00467659"/>
    <w:rsid w:val="00471E99"/>
    <w:rsid w:val="004721AA"/>
    <w:rsid w:val="0047290D"/>
    <w:rsid w:val="00473151"/>
    <w:rsid w:val="00473542"/>
    <w:rsid w:val="00474793"/>
    <w:rsid w:val="00475E62"/>
    <w:rsid w:val="00481F23"/>
    <w:rsid w:val="00483320"/>
    <w:rsid w:val="00484E27"/>
    <w:rsid w:val="00487556"/>
    <w:rsid w:val="00487D86"/>
    <w:rsid w:val="00492333"/>
    <w:rsid w:val="0049696B"/>
    <w:rsid w:val="0049788F"/>
    <w:rsid w:val="004A10B0"/>
    <w:rsid w:val="004A10E6"/>
    <w:rsid w:val="004A5405"/>
    <w:rsid w:val="004B0C65"/>
    <w:rsid w:val="004B27E7"/>
    <w:rsid w:val="004B33EF"/>
    <w:rsid w:val="004B58D3"/>
    <w:rsid w:val="004B7343"/>
    <w:rsid w:val="004B73FB"/>
    <w:rsid w:val="004C1F42"/>
    <w:rsid w:val="004C21E6"/>
    <w:rsid w:val="004C465F"/>
    <w:rsid w:val="004C56AA"/>
    <w:rsid w:val="004C5FBB"/>
    <w:rsid w:val="004C60FE"/>
    <w:rsid w:val="004C6321"/>
    <w:rsid w:val="004C689B"/>
    <w:rsid w:val="004C74FA"/>
    <w:rsid w:val="004D1D8F"/>
    <w:rsid w:val="004D243B"/>
    <w:rsid w:val="004D63D9"/>
    <w:rsid w:val="004E0AD6"/>
    <w:rsid w:val="004E22FF"/>
    <w:rsid w:val="004E2EF2"/>
    <w:rsid w:val="004E3063"/>
    <w:rsid w:val="004E47CC"/>
    <w:rsid w:val="004F0490"/>
    <w:rsid w:val="004F2DE2"/>
    <w:rsid w:val="004F525F"/>
    <w:rsid w:val="004F56D3"/>
    <w:rsid w:val="004F59FB"/>
    <w:rsid w:val="004F76F4"/>
    <w:rsid w:val="004F7F19"/>
    <w:rsid w:val="00500B4F"/>
    <w:rsid w:val="005018D0"/>
    <w:rsid w:val="00501B98"/>
    <w:rsid w:val="00506126"/>
    <w:rsid w:val="005072F4"/>
    <w:rsid w:val="0051107B"/>
    <w:rsid w:val="00511E76"/>
    <w:rsid w:val="00512046"/>
    <w:rsid w:val="00512879"/>
    <w:rsid w:val="0051497B"/>
    <w:rsid w:val="00515399"/>
    <w:rsid w:val="00521F1D"/>
    <w:rsid w:val="00521F47"/>
    <w:rsid w:val="00522A47"/>
    <w:rsid w:val="00523008"/>
    <w:rsid w:val="00524283"/>
    <w:rsid w:val="00525A14"/>
    <w:rsid w:val="00526EC4"/>
    <w:rsid w:val="0052714E"/>
    <w:rsid w:val="00527563"/>
    <w:rsid w:val="005302BB"/>
    <w:rsid w:val="00530B10"/>
    <w:rsid w:val="0053198B"/>
    <w:rsid w:val="00531A8A"/>
    <w:rsid w:val="00535765"/>
    <w:rsid w:val="00535A8D"/>
    <w:rsid w:val="00536382"/>
    <w:rsid w:val="00536941"/>
    <w:rsid w:val="00537C32"/>
    <w:rsid w:val="00545D04"/>
    <w:rsid w:val="005501BA"/>
    <w:rsid w:val="00550C0B"/>
    <w:rsid w:val="005520E3"/>
    <w:rsid w:val="00552C67"/>
    <w:rsid w:val="005569DD"/>
    <w:rsid w:val="00556A90"/>
    <w:rsid w:val="00562D89"/>
    <w:rsid w:val="0056443F"/>
    <w:rsid w:val="00565861"/>
    <w:rsid w:val="005673D1"/>
    <w:rsid w:val="00572946"/>
    <w:rsid w:val="005732F8"/>
    <w:rsid w:val="00580345"/>
    <w:rsid w:val="005816DE"/>
    <w:rsid w:val="00582FC0"/>
    <w:rsid w:val="00585C29"/>
    <w:rsid w:val="005862B6"/>
    <w:rsid w:val="005867A9"/>
    <w:rsid w:val="0058767A"/>
    <w:rsid w:val="00590FB7"/>
    <w:rsid w:val="005914EE"/>
    <w:rsid w:val="00595FCC"/>
    <w:rsid w:val="005A0A77"/>
    <w:rsid w:val="005A3083"/>
    <w:rsid w:val="005A381E"/>
    <w:rsid w:val="005A39F4"/>
    <w:rsid w:val="005A79D9"/>
    <w:rsid w:val="005A7C36"/>
    <w:rsid w:val="005B0203"/>
    <w:rsid w:val="005B142C"/>
    <w:rsid w:val="005B21C9"/>
    <w:rsid w:val="005B6BFA"/>
    <w:rsid w:val="005C03D2"/>
    <w:rsid w:val="005C20B7"/>
    <w:rsid w:val="005C3BAC"/>
    <w:rsid w:val="005C43CB"/>
    <w:rsid w:val="005C4598"/>
    <w:rsid w:val="005C4CCD"/>
    <w:rsid w:val="005C6174"/>
    <w:rsid w:val="005C690F"/>
    <w:rsid w:val="005C6E2D"/>
    <w:rsid w:val="005C742E"/>
    <w:rsid w:val="005C757F"/>
    <w:rsid w:val="005D1E83"/>
    <w:rsid w:val="005D2071"/>
    <w:rsid w:val="005D22D8"/>
    <w:rsid w:val="005D31EC"/>
    <w:rsid w:val="005D38F1"/>
    <w:rsid w:val="005D4959"/>
    <w:rsid w:val="005D53B0"/>
    <w:rsid w:val="005D7325"/>
    <w:rsid w:val="005D73EF"/>
    <w:rsid w:val="005E0BD4"/>
    <w:rsid w:val="005E16CC"/>
    <w:rsid w:val="005F199D"/>
    <w:rsid w:val="005F36FE"/>
    <w:rsid w:val="005F38B6"/>
    <w:rsid w:val="005F4B93"/>
    <w:rsid w:val="005F5498"/>
    <w:rsid w:val="005F773E"/>
    <w:rsid w:val="005F785A"/>
    <w:rsid w:val="00600A20"/>
    <w:rsid w:val="0060180F"/>
    <w:rsid w:val="00601E94"/>
    <w:rsid w:val="00602E5C"/>
    <w:rsid w:val="006033D0"/>
    <w:rsid w:val="006037C1"/>
    <w:rsid w:val="006059DA"/>
    <w:rsid w:val="00606B1A"/>
    <w:rsid w:val="00611A0B"/>
    <w:rsid w:val="0061303E"/>
    <w:rsid w:val="006206A1"/>
    <w:rsid w:val="006207EF"/>
    <w:rsid w:val="006210E6"/>
    <w:rsid w:val="00621F2D"/>
    <w:rsid w:val="00622401"/>
    <w:rsid w:val="00622CFB"/>
    <w:rsid w:val="006241B8"/>
    <w:rsid w:val="006242F2"/>
    <w:rsid w:val="00624488"/>
    <w:rsid w:val="006245B4"/>
    <w:rsid w:val="0062539C"/>
    <w:rsid w:val="006271E6"/>
    <w:rsid w:val="006271FF"/>
    <w:rsid w:val="006272E2"/>
    <w:rsid w:val="00627513"/>
    <w:rsid w:val="00631035"/>
    <w:rsid w:val="00631EA9"/>
    <w:rsid w:val="00632F61"/>
    <w:rsid w:val="00635A27"/>
    <w:rsid w:val="00637B1E"/>
    <w:rsid w:val="00640115"/>
    <w:rsid w:val="006404F6"/>
    <w:rsid w:val="0064067B"/>
    <w:rsid w:val="006418B3"/>
    <w:rsid w:val="006430B1"/>
    <w:rsid w:val="00644832"/>
    <w:rsid w:val="00644B2E"/>
    <w:rsid w:val="0064644A"/>
    <w:rsid w:val="00654DE3"/>
    <w:rsid w:val="00655068"/>
    <w:rsid w:val="00655B7F"/>
    <w:rsid w:val="00656245"/>
    <w:rsid w:val="006573B9"/>
    <w:rsid w:val="00660AAD"/>
    <w:rsid w:val="00661603"/>
    <w:rsid w:val="0066178F"/>
    <w:rsid w:val="00661B94"/>
    <w:rsid w:val="00662C70"/>
    <w:rsid w:val="00662D89"/>
    <w:rsid w:val="0066640F"/>
    <w:rsid w:val="006664D4"/>
    <w:rsid w:val="00667F81"/>
    <w:rsid w:val="00670EAA"/>
    <w:rsid w:val="006715A0"/>
    <w:rsid w:val="00671B21"/>
    <w:rsid w:val="00671B38"/>
    <w:rsid w:val="00671BB1"/>
    <w:rsid w:val="006731C7"/>
    <w:rsid w:val="00673306"/>
    <w:rsid w:val="00673F73"/>
    <w:rsid w:val="00674DAF"/>
    <w:rsid w:val="00674E18"/>
    <w:rsid w:val="006771FF"/>
    <w:rsid w:val="00677F38"/>
    <w:rsid w:val="006800BB"/>
    <w:rsid w:val="00680F20"/>
    <w:rsid w:val="00684E69"/>
    <w:rsid w:val="00687BCB"/>
    <w:rsid w:val="00690202"/>
    <w:rsid w:val="0069037C"/>
    <w:rsid w:val="00692763"/>
    <w:rsid w:val="00692CEE"/>
    <w:rsid w:val="00694971"/>
    <w:rsid w:val="0069505A"/>
    <w:rsid w:val="0069657C"/>
    <w:rsid w:val="006A0CDD"/>
    <w:rsid w:val="006A40F4"/>
    <w:rsid w:val="006A707A"/>
    <w:rsid w:val="006B0607"/>
    <w:rsid w:val="006B083B"/>
    <w:rsid w:val="006B218E"/>
    <w:rsid w:val="006B3839"/>
    <w:rsid w:val="006B40EF"/>
    <w:rsid w:val="006B4C0B"/>
    <w:rsid w:val="006B634B"/>
    <w:rsid w:val="006B7D2D"/>
    <w:rsid w:val="006C0BD7"/>
    <w:rsid w:val="006C17DE"/>
    <w:rsid w:val="006C1E67"/>
    <w:rsid w:val="006C25E4"/>
    <w:rsid w:val="006C3470"/>
    <w:rsid w:val="006C350C"/>
    <w:rsid w:val="006C43E9"/>
    <w:rsid w:val="006C6EBC"/>
    <w:rsid w:val="006C7CD1"/>
    <w:rsid w:val="006C7E76"/>
    <w:rsid w:val="006D16BD"/>
    <w:rsid w:val="006D1CE7"/>
    <w:rsid w:val="006D2366"/>
    <w:rsid w:val="006D2960"/>
    <w:rsid w:val="006D2DF0"/>
    <w:rsid w:val="006D49E4"/>
    <w:rsid w:val="006D65A5"/>
    <w:rsid w:val="006D6790"/>
    <w:rsid w:val="006D717C"/>
    <w:rsid w:val="006D7FDA"/>
    <w:rsid w:val="006E33C5"/>
    <w:rsid w:val="006E72D4"/>
    <w:rsid w:val="006E7B27"/>
    <w:rsid w:val="006E7C4E"/>
    <w:rsid w:val="006E7CFC"/>
    <w:rsid w:val="006F134A"/>
    <w:rsid w:val="006F1838"/>
    <w:rsid w:val="006F272D"/>
    <w:rsid w:val="006F4CC9"/>
    <w:rsid w:val="006F60D5"/>
    <w:rsid w:val="006F79F1"/>
    <w:rsid w:val="006F7CBF"/>
    <w:rsid w:val="007001B2"/>
    <w:rsid w:val="00700D00"/>
    <w:rsid w:val="00702D5F"/>
    <w:rsid w:val="007041F9"/>
    <w:rsid w:val="00704B14"/>
    <w:rsid w:val="00705FBB"/>
    <w:rsid w:val="0070680E"/>
    <w:rsid w:val="0071036C"/>
    <w:rsid w:val="007127CD"/>
    <w:rsid w:val="00712ED6"/>
    <w:rsid w:val="00715343"/>
    <w:rsid w:val="00716DFD"/>
    <w:rsid w:val="007179C4"/>
    <w:rsid w:val="00717D87"/>
    <w:rsid w:val="00720109"/>
    <w:rsid w:val="007248C4"/>
    <w:rsid w:val="007279D2"/>
    <w:rsid w:val="0073003B"/>
    <w:rsid w:val="00730D6D"/>
    <w:rsid w:val="00731FB9"/>
    <w:rsid w:val="0073274C"/>
    <w:rsid w:val="007331D2"/>
    <w:rsid w:val="0073611B"/>
    <w:rsid w:val="00736B03"/>
    <w:rsid w:val="00741DC7"/>
    <w:rsid w:val="007428C7"/>
    <w:rsid w:val="00743915"/>
    <w:rsid w:val="0074523A"/>
    <w:rsid w:val="00747CDF"/>
    <w:rsid w:val="00751A94"/>
    <w:rsid w:val="00754B31"/>
    <w:rsid w:val="0076190F"/>
    <w:rsid w:val="00762A7C"/>
    <w:rsid w:val="00764BBE"/>
    <w:rsid w:val="0076657F"/>
    <w:rsid w:val="007709FF"/>
    <w:rsid w:val="00770BF5"/>
    <w:rsid w:val="00770DC0"/>
    <w:rsid w:val="00770E69"/>
    <w:rsid w:val="00771614"/>
    <w:rsid w:val="007723F6"/>
    <w:rsid w:val="00774229"/>
    <w:rsid w:val="00775391"/>
    <w:rsid w:val="0077760E"/>
    <w:rsid w:val="007808E0"/>
    <w:rsid w:val="00781F61"/>
    <w:rsid w:val="007823A6"/>
    <w:rsid w:val="00782D16"/>
    <w:rsid w:val="00783335"/>
    <w:rsid w:val="00783960"/>
    <w:rsid w:val="00784CEA"/>
    <w:rsid w:val="0078722C"/>
    <w:rsid w:val="00792220"/>
    <w:rsid w:val="00792309"/>
    <w:rsid w:val="00792DF8"/>
    <w:rsid w:val="00794774"/>
    <w:rsid w:val="00794B3F"/>
    <w:rsid w:val="00796030"/>
    <w:rsid w:val="007962A6"/>
    <w:rsid w:val="00796712"/>
    <w:rsid w:val="007A097D"/>
    <w:rsid w:val="007A0BC3"/>
    <w:rsid w:val="007A0D80"/>
    <w:rsid w:val="007A1ACB"/>
    <w:rsid w:val="007A2872"/>
    <w:rsid w:val="007A3334"/>
    <w:rsid w:val="007A51A0"/>
    <w:rsid w:val="007A540E"/>
    <w:rsid w:val="007A6A27"/>
    <w:rsid w:val="007B0293"/>
    <w:rsid w:val="007B24BB"/>
    <w:rsid w:val="007B38A7"/>
    <w:rsid w:val="007B4143"/>
    <w:rsid w:val="007B4717"/>
    <w:rsid w:val="007B4E28"/>
    <w:rsid w:val="007B58B9"/>
    <w:rsid w:val="007B5B46"/>
    <w:rsid w:val="007B5CE4"/>
    <w:rsid w:val="007B65AB"/>
    <w:rsid w:val="007B6891"/>
    <w:rsid w:val="007B6F45"/>
    <w:rsid w:val="007C0023"/>
    <w:rsid w:val="007C02D1"/>
    <w:rsid w:val="007C4D4E"/>
    <w:rsid w:val="007C636E"/>
    <w:rsid w:val="007C76F2"/>
    <w:rsid w:val="007C7BAF"/>
    <w:rsid w:val="007C7F1F"/>
    <w:rsid w:val="007D04B8"/>
    <w:rsid w:val="007D086D"/>
    <w:rsid w:val="007D354B"/>
    <w:rsid w:val="007D6307"/>
    <w:rsid w:val="007E0603"/>
    <w:rsid w:val="007E172B"/>
    <w:rsid w:val="007E1EF5"/>
    <w:rsid w:val="007E25E4"/>
    <w:rsid w:val="007E56C0"/>
    <w:rsid w:val="007E6087"/>
    <w:rsid w:val="007E6354"/>
    <w:rsid w:val="007E64DE"/>
    <w:rsid w:val="007E6532"/>
    <w:rsid w:val="007E65E1"/>
    <w:rsid w:val="007E79A0"/>
    <w:rsid w:val="007E7B3F"/>
    <w:rsid w:val="007E7D61"/>
    <w:rsid w:val="007F0ACC"/>
    <w:rsid w:val="007F2BCB"/>
    <w:rsid w:val="007F4407"/>
    <w:rsid w:val="007F6273"/>
    <w:rsid w:val="007F75BA"/>
    <w:rsid w:val="00800641"/>
    <w:rsid w:val="008027F2"/>
    <w:rsid w:val="00802C8A"/>
    <w:rsid w:val="00803119"/>
    <w:rsid w:val="00803884"/>
    <w:rsid w:val="0081186D"/>
    <w:rsid w:val="00812FF1"/>
    <w:rsid w:val="0081681D"/>
    <w:rsid w:val="0081756A"/>
    <w:rsid w:val="008201FA"/>
    <w:rsid w:val="008234EA"/>
    <w:rsid w:val="008246F7"/>
    <w:rsid w:val="00826071"/>
    <w:rsid w:val="00826E84"/>
    <w:rsid w:val="00830986"/>
    <w:rsid w:val="00832312"/>
    <w:rsid w:val="00836427"/>
    <w:rsid w:val="00836749"/>
    <w:rsid w:val="0084143D"/>
    <w:rsid w:val="008415EA"/>
    <w:rsid w:val="008416D9"/>
    <w:rsid w:val="008441D0"/>
    <w:rsid w:val="008449E4"/>
    <w:rsid w:val="008469C9"/>
    <w:rsid w:val="008473B9"/>
    <w:rsid w:val="00850BF6"/>
    <w:rsid w:val="00853828"/>
    <w:rsid w:val="00853A05"/>
    <w:rsid w:val="00853AA3"/>
    <w:rsid w:val="008546E5"/>
    <w:rsid w:val="0085490B"/>
    <w:rsid w:val="00856D1C"/>
    <w:rsid w:val="00857A87"/>
    <w:rsid w:val="00857B5B"/>
    <w:rsid w:val="00857C17"/>
    <w:rsid w:val="008614CC"/>
    <w:rsid w:val="0086265B"/>
    <w:rsid w:val="0086309F"/>
    <w:rsid w:val="008638A5"/>
    <w:rsid w:val="00864C7E"/>
    <w:rsid w:val="008659B7"/>
    <w:rsid w:val="008659CE"/>
    <w:rsid w:val="00865C80"/>
    <w:rsid w:val="0087213E"/>
    <w:rsid w:val="00874AAE"/>
    <w:rsid w:val="00874D8A"/>
    <w:rsid w:val="008758D4"/>
    <w:rsid w:val="00877B42"/>
    <w:rsid w:val="00877D7C"/>
    <w:rsid w:val="00881288"/>
    <w:rsid w:val="0088400C"/>
    <w:rsid w:val="00884148"/>
    <w:rsid w:val="00884812"/>
    <w:rsid w:val="00884B61"/>
    <w:rsid w:val="008870EB"/>
    <w:rsid w:val="008929B0"/>
    <w:rsid w:val="008932E1"/>
    <w:rsid w:val="00894181"/>
    <w:rsid w:val="008956AA"/>
    <w:rsid w:val="00897A05"/>
    <w:rsid w:val="008A0C5A"/>
    <w:rsid w:val="008A1159"/>
    <w:rsid w:val="008A1573"/>
    <w:rsid w:val="008A233A"/>
    <w:rsid w:val="008A460F"/>
    <w:rsid w:val="008A519E"/>
    <w:rsid w:val="008A60AE"/>
    <w:rsid w:val="008A64DD"/>
    <w:rsid w:val="008A78EA"/>
    <w:rsid w:val="008B21BC"/>
    <w:rsid w:val="008B270A"/>
    <w:rsid w:val="008B4F0B"/>
    <w:rsid w:val="008B5C71"/>
    <w:rsid w:val="008B7D4E"/>
    <w:rsid w:val="008C1F18"/>
    <w:rsid w:val="008C266D"/>
    <w:rsid w:val="008C37E8"/>
    <w:rsid w:val="008C40B1"/>
    <w:rsid w:val="008C584E"/>
    <w:rsid w:val="008D28E1"/>
    <w:rsid w:val="008D3B3F"/>
    <w:rsid w:val="008D43A8"/>
    <w:rsid w:val="008D46FC"/>
    <w:rsid w:val="008D58F4"/>
    <w:rsid w:val="008D7C22"/>
    <w:rsid w:val="008E0D53"/>
    <w:rsid w:val="008E0DC4"/>
    <w:rsid w:val="008E5E71"/>
    <w:rsid w:val="008E736C"/>
    <w:rsid w:val="008E7959"/>
    <w:rsid w:val="008E7D6A"/>
    <w:rsid w:val="008F0749"/>
    <w:rsid w:val="008F25FE"/>
    <w:rsid w:val="008F4E82"/>
    <w:rsid w:val="008F5691"/>
    <w:rsid w:val="008F5A51"/>
    <w:rsid w:val="00900916"/>
    <w:rsid w:val="009019A8"/>
    <w:rsid w:val="0090220A"/>
    <w:rsid w:val="00903BBE"/>
    <w:rsid w:val="00903E21"/>
    <w:rsid w:val="0090431D"/>
    <w:rsid w:val="009048A7"/>
    <w:rsid w:val="00905638"/>
    <w:rsid w:val="00910872"/>
    <w:rsid w:val="00913279"/>
    <w:rsid w:val="00913AC7"/>
    <w:rsid w:val="00915E1E"/>
    <w:rsid w:val="00916347"/>
    <w:rsid w:val="00916C99"/>
    <w:rsid w:val="009215C2"/>
    <w:rsid w:val="00922F61"/>
    <w:rsid w:val="00922F8C"/>
    <w:rsid w:val="00926758"/>
    <w:rsid w:val="00927131"/>
    <w:rsid w:val="009319F4"/>
    <w:rsid w:val="00933E27"/>
    <w:rsid w:val="00934D26"/>
    <w:rsid w:val="00937325"/>
    <w:rsid w:val="00937C87"/>
    <w:rsid w:val="00940831"/>
    <w:rsid w:val="00940E97"/>
    <w:rsid w:val="0094270E"/>
    <w:rsid w:val="00943435"/>
    <w:rsid w:val="00944226"/>
    <w:rsid w:val="00945CB8"/>
    <w:rsid w:val="009502F9"/>
    <w:rsid w:val="00950D76"/>
    <w:rsid w:val="00950ED4"/>
    <w:rsid w:val="00951B0D"/>
    <w:rsid w:val="0095477E"/>
    <w:rsid w:val="0095571A"/>
    <w:rsid w:val="00956E0E"/>
    <w:rsid w:val="00960DEA"/>
    <w:rsid w:val="00960E46"/>
    <w:rsid w:val="00962C51"/>
    <w:rsid w:val="00963E6F"/>
    <w:rsid w:val="009643D0"/>
    <w:rsid w:val="009644D7"/>
    <w:rsid w:val="00965741"/>
    <w:rsid w:val="0096639A"/>
    <w:rsid w:val="00966606"/>
    <w:rsid w:val="00966BF0"/>
    <w:rsid w:val="00972243"/>
    <w:rsid w:val="009739BA"/>
    <w:rsid w:val="009750E8"/>
    <w:rsid w:val="0097583D"/>
    <w:rsid w:val="00977989"/>
    <w:rsid w:val="00980877"/>
    <w:rsid w:val="00980C12"/>
    <w:rsid w:val="00983208"/>
    <w:rsid w:val="00983A37"/>
    <w:rsid w:val="00983F77"/>
    <w:rsid w:val="00986D91"/>
    <w:rsid w:val="00992901"/>
    <w:rsid w:val="009948FA"/>
    <w:rsid w:val="00996BDA"/>
    <w:rsid w:val="0099716B"/>
    <w:rsid w:val="009973CB"/>
    <w:rsid w:val="00997E6B"/>
    <w:rsid w:val="009A08E5"/>
    <w:rsid w:val="009A57D2"/>
    <w:rsid w:val="009A5A8E"/>
    <w:rsid w:val="009B19D8"/>
    <w:rsid w:val="009B1B0E"/>
    <w:rsid w:val="009B2B01"/>
    <w:rsid w:val="009B2DAB"/>
    <w:rsid w:val="009B3320"/>
    <w:rsid w:val="009B356F"/>
    <w:rsid w:val="009B3CF8"/>
    <w:rsid w:val="009B3E17"/>
    <w:rsid w:val="009B614F"/>
    <w:rsid w:val="009C04AF"/>
    <w:rsid w:val="009C11B4"/>
    <w:rsid w:val="009C1F1B"/>
    <w:rsid w:val="009C3818"/>
    <w:rsid w:val="009C3A1D"/>
    <w:rsid w:val="009C3C89"/>
    <w:rsid w:val="009C5A71"/>
    <w:rsid w:val="009C6467"/>
    <w:rsid w:val="009C6DA9"/>
    <w:rsid w:val="009D07C4"/>
    <w:rsid w:val="009D41AB"/>
    <w:rsid w:val="009D4333"/>
    <w:rsid w:val="009D443C"/>
    <w:rsid w:val="009D44D4"/>
    <w:rsid w:val="009D4BA7"/>
    <w:rsid w:val="009D7D07"/>
    <w:rsid w:val="009E03A4"/>
    <w:rsid w:val="009E0F24"/>
    <w:rsid w:val="009E263E"/>
    <w:rsid w:val="009E29E8"/>
    <w:rsid w:val="009E2E2A"/>
    <w:rsid w:val="009E4128"/>
    <w:rsid w:val="009E4A04"/>
    <w:rsid w:val="009F2202"/>
    <w:rsid w:val="009F3790"/>
    <w:rsid w:val="009F39DF"/>
    <w:rsid w:val="009F6813"/>
    <w:rsid w:val="00A02DDB"/>
    <w:rsid w:val="00A03F8F"/>
    <w:rsid w:val="00A042BC"/>
    <w:rsid w:val="00A045F2"/>
    <w:rsid w:val="00A071E9"/>
    <w:rsid w:val="00A130E9"/>
    <w:rsid w:val="00A1369B"/>
    <w:rsid w:val="00A1415D"/>
    <w:rsid w:val="00A15402"/>
    <w:rsid w:val="00A16D8E"/>
    <w:rsid w:val="00A20875"/>
    <w:rsid w:val="00A244C7"/>
    <w:rsid w:val="00A26E75"/>
    <w:rsid w:val="00A27FF0"/>
    <w:rsid w:val="00A32093"/>
    <w:rsid w:val="00A33F9B"/>
    <w:rsid w:val="00A34702"/>
    <w:rsid w:val="00A361DB"/>
    <w:rsid w:val="00A363DD"/>
    <w:rsid w:val="00A36DDE"/>
    <w:rsid w:val="00A36E65"/>
    <w:rsid w:val="00A37912"/>
    <w:rsid w:val="00A37EDE"/>
    <w:rsid w:val="00A41789"/>
    <w:rsid w:val="00A41A9E"/>
    <w:rsid w:val="00A43BA2"/>
    <w:rsid w:val="00A45EE8"/>
    <w:rsid w:val="00A462A9"/>
    <w:rsid w:val="00A46E2C"/>
    <w:rsid w:val="00A46FFB"/>
    <w:rsid w:val="00A47A50"/>
    <w:rsid w:val="00A51A71"/>
    <w:rsid w:val="00A51D86"/>
    <w:rsid w:val="00A52408"/>
    <w:rsid w:val="00A538A9"/>
    <w:rsid w:val="00A54AEE"/>
    <w:rsid w:val="00A55E82"/>
    <w:rsid w:val="00A55EFE"/>
    <w:rsid w:val="00A56228"/>
    <w:rsid w:val="00A576F9"/>
    <w:rsid w:val="00A60433"/>
    <w:rsid w:val="00A60BDF"/>
    <w:rsid w:val="00A620E2"/>
    <w:rsid w:val="00A6337A"/>
    <w:rsid w:val="00A63444"/>
    <w:rsid w:val="00A63E30"/>
    <w:rsid w:val="00A6488A"/>
    <w:rsid w:val="00A660B5"/>
    <w:rsid w:val="00A6674B"/>
    <w:rsid w:val="00A71C66"/>
    <w:rsid w:val="00A73E9A"/>
    <w:rsid w:val="00A7487F"/>
    <w:rsid w:val="00A753B3"/>
    <w:rsid w:val="00A75C5D"/>
    <w:rsid w:val="00A7749F"/>
    <w:rsid w:val="00A80419"/>
    <w:rsid w:val="00A805B7"/>
    <w:rsid w:val="00A8342D"/>
    <w:rsid w:val="00A84E9B"/>
    <w:rsid w:val="00A85D07"/>
    <w:rsid w:val="00A87E91"/>
    <w:rsid w:val="00A915DD"/>
    <w:rsid w:val="00A9286C"/>
    <w:rsid w:val="00A9319B"/>
    <w:rsid w:val="00A94490"/>
    <w:rsid w:val="00A95E07"/>
    <w:rsid w:val="00A96A4E"/>
    <w:rsid w:val="00AA21E0"/>
    <w:rsid w:val="00AA345B"/>
    <w:rsid w:val="00AA3CD8"/>
    <w:rsid w:val="00AA556D"/>
    <w:rsid w:val="00AA6BA1"/>
    <w:rsid w:val="00AB0BA1"/>
    <w:rsid w:val="00AB1C9F"/>
    <w:rsid w:val="00AB328F"/>
    <w:rsid w:val="00AB4AC2"/>
    <w:rsid w:val="00AB4F34"/>
    <w:rsid w:val="00AB51A8"/>
    <w:rsid w:val="00AC0AE0"/>
    <w:rsid w:val="00AC45E1"/>
    <w:rsid w:val="00AC4EC9"/>
    <w:rsid w:val="00AC5582"/>
    <w:rsid w:val="00AC5D01"/>
    <w:rsid w:val="00AC70CA"/>
    <w:rsid w:val="00AC7111"/>
    <w:rsid w:val="00AD3E0D"/>
    <w:rsid w:val="00AD468B"/>
    <w:rsid w:val="00AD4F7B"/>
    <w:rsid w:val="00AD7046"/>
    <w:rsid w:val="00AD7954"/>
    <w:rsid w:val="00AE0F80"/>
    <w:rsid w:val="00AE23FB"/>
    <w:rsid w:val="00AE256C"/>
    <w:rsid w:val="00AE3A14"/>
    <w:rsid w:val="00AE4EB7"/>
    <w:rsid w:val="00AE5058"/>
    <w:rsid w:val="00AE6691"/>
    <w:rsid w:val="00AE73C9"/>
    <w:rsid w:val="00AE7B9D"/>
    <w:rsid w:val="00AF1F40"/>
    <w:rsid w:val="00AF276F"/>
    <w:rsid w:val="00AF4BF2"/>
    <w:rsid w:val="00AF4DA4"/>
    <w:rsid w:val="00AF592A"/>
    <w:rsid w:val="00AF7546"/>
    <w:rsid w:val="00B0019F"/>
    <w:rsid w:val="00B00C4E"/>
    <w:rsid w:val="00B02499"/>
    <w:rsid w:val="00B02773"/>
    <w:rsid w:val="00B02796"/>
    <w:rsid w:val="00B02A3F"/>
    <w:rsid w:val="00B03235"/>
    <w:rsid w:val="00B03A57"/>
    <w:rsid w:val="00B04A35"/>
    <w:rsid w:val="00B04BE1"/>
    <w:rsid w:val="00B050D9"/>
    <w:rsid w:val="00B0601E"/>
    <w:rsid w:val="00B123FB"/>
    <w:rsid w:val="00B1247F"/>
    <w:rsid w:val="00B153FA"/>
    <w:rsid w:val="00B15D1C"/>
    <w:rsid w:val="00B1750B"/>
    <w:rsid w:val="00B179C3"/>
    <w:rsid w:val="00B17B55"/>
    <w:rsid w:val="00B20814"/>
    <w:rsid w:val="00B22A17"/>
    <w:rsid w:val="00B22B9F"/>
    <w:rsid w:val="00B22F78"/>
    <w:rsid w:val="00B248F0"/>
    <w:rsid w:val="00B27131"/>
    <w:rsid w:val="00B27951"/>
    <w:rsid w:val="00B31892"/>
    <w:rsid w:val="00B32602"/>
    <w:rsid w:val="00B32689"/>
    <w:rsid w:val="00B331EC"/>
    <w:rsid w:val="00B35DA2"/>
    <w:rsid w:val="00B35F83"/>
    <w:rsid w:val="00B36A30"/>
    <w:rsid w:val="00B37A6D"/>
    <w:rsid w:val="00B418F0"/>
    <w:rsid w:val="00B42F31"/>
    <w:rsid w:val="00B43C12"/>
    <w:rsid w:val="00B43D92"/>
    <w:rsid w:val="00B51050"/>
    <w:rsid w:val="00B51E75"/>
    <w:rsid w:val="00B52CAD"/>
    <w:rsid w:val="00B53EAF"/>
    <w:rsid w:val="00B554D6"/>
    <w:rsid w:val="00B5672A"/>
    <w:rsid w:val="00B60996"/>
    <w:rsid w:val="00B6454E"/>
    <w:rsid w:val="00B65BCA"/>
    <w:rsid w:val="00B6639B"/>
    <w:rsid w:val="00B66A6D"/>
    <w:rsid w:val="00B66F84"/>
    <w:rsid w:val="00B675A3"/>
    <w:rsid w:val="00B67947"/>
    <w:rsid w:val="00B7570D"/>
    <w:rsid w:val="00B75C77"/>
    <w:rsid w:val="00B80E36"/>
    <w:rsid w:val="00B83D05"/>
    <w:rsid w:val="00B84F6E"/>
    <w:rsid w:val="00B859EC"/>
    <w:rsid w:val="00B901B7"/>
    <w:rsid w:val="00B90713"/>
    <w:rsid w:val="00B92069"/>
    <w:rsid w:val="00B92FFF"/>
    <w:rsid w:val="00B9500B"/>
    <w:rsid w:val="00B970C0"/>
    <w:rsid w:val="00BA1D80"/>
    <w:rsid w:val="00BA4E6F"/>
    <w:rsid w:val="00BA56A8"/>
    <w:rsid w:val="00BA6C50"/>
    <w:rsid w:val="00BA784F"/>
    <w:rsid w:val="00BA7A1E"/>
    <w:rsid w:val="00BB05C0"/>
    <w:rsid w:val="00BB3F28"/>
    <w:rsid w:val="00BB4D05"/>
    <w:rsid w:val="00BB4FD9"/>
    <w:rsid w:val="00BB5711"/>
    <w:rsid w:val="00BB5722"/>
    <w:rsid w:val="00BB6693"/>
    <w:rsid w:val="00BB6BB6"/>
    <w:rsid w:val="00BB6CD0"/>
    <w:rsid w:val="00BB770F"/>
    <w:rsid w:val="00BC02E9"/>
    <w:rsid w:val="00BC038B"/>
    <w:rsid w:val="00BC17E4"/>
    <w:rsid w:val="00BC3EC5"/>
    <w:rsid w:val="00BC43BF"/>
    <w:rsid w:val="00BC46B6"/>
    <w:rsid w:val="00BC5546"/>
    <w:rsid w:val="00BC6C3F"/>
    <w:rsid w:val="00BC75AB"/>
    <w:rsid w:val="00BC7F67"/>
    <w:rsid w:val="00BD2771"/>
    <w:rsid w:val="00BD2C1B"/>
    <w:rsid w:val="00BD35AA"/>
    <w:rsid w:val="00BD3C78"/>
    <w:rsid w:val="00BD6505"/>
    <w:rsid w:val="00BE288A"/>
    <w:rsid w:val="00BE314D"/>
    <w:rsid w:val="00BE5634"/>
    <w:rsid w:val="00BE57BB"/>
    <w:rsid w:val="00BE7092"/>
    <w:rsid w:val="00BE7118"/>
    <w:rsid w:val="00BF03AB"/>
    <w:rsid w:val="00BF0C25"/>
    <w:rsid w:val="00BF2CD0"/>
    <w:rsid w:val="00BF362A"/>
    <w:rsid w:val="00BF381B"/>
    <w:rsid w:val="00BF460D"/>
    <w:rsid w:val="00BF5AD6"/>
    <w:rsid w:val="00BF7869"/>
    <w:rsid w:val="00C06004"/>
    <w:rsid w:val="00C06389"/>
    <w:rsid w:val="00C06C06"/>
    <w:rsid w:val="00C11279"/>
    <w:rsid w:val="00C11A18"/>
    <w:rsid w:val="00C12B98"/>
    <w:rsid w:val="00C13A67"/>
    <w:rsid w:val="00C13CD5"/>
    <w:rsid w:val="00C157A7"/>
    <w:rsid w:val="00C16735"/>
    <w:rsid w:val="00C16DD7"/>
    <w:rsid w:val="00C2045C"/>
    <w:rsid w:val="00C218B8"/>
    <w:rsid w:val="00C231AA"/>
    <w:rsid w:val="00C231EB"/>
    <w:rsid w:val="00C24DAF"/>
    <w:rsid w:val="00C25F9F"/>
    <w:rsid w:val="00C26633"/>
    <w:rsid w:val="00C27AAC"/>
    <w:rsid w:val="00C335A8"/>
    <w:rsid w:val="00C34810"/>
    <w:rsid w:val="00C362E2"/>
    <w:rsid w:val="00C4052B"/>
    <w:rsid w:val="00C409B6"/>
    <w:rsid w:val="00C40CD5"/>
    <w:rsid w:val="00C40DD3"/>
    <w:rsid w:val="00C41F61"/>
    <w:rsid w:val="00C42A8E"/>
    <w:rsid w:val="00C42E00"/>
    <w:rsid w:val="00C42EF8"/>
    <w:rsid w:val="00C44308"/>
    <w:rsid w:val="00C45AE6"/>
    <w:rsid w:val="00C46A25"/>
    <w:rsid w:val="00C47E88"/>
    <w:rsid w:val="00C500A8"/>
    <w:rsid w:val="00C51B7F"/>
    <w:rsid w:val="00C529B0"/>
    <w:rsid w:val="00C52E9B"/>
    <w:rsid w:val="00C53D9F"/>
    <w:rsid w:val="00C540CA"/>
    <w:rsid w:val="00C5545E"/>
    <w:rsid w:val="00C556AB"/>
    <w:rsid w:val="00C56B62"/>
    <w:rsid w:val="00C57D4C"/>
    <w:rsid w:val="00C60D14"/>
    <w:rsid w:val="00C64E46"/>
    <w:rsid w:val="00C650CF"/>
    <w:rsid w:val="00C65690"/>
    <w:rsid w:val="00C66F2D"/>
    <w:rsid w:val="00C672CD"/>
    <w:rsid w:val="00C67A41"/>
    <w:rsid w:val="00C67C95"/>
    <w:rsid w:val="00C67CE6"/>
    <w:rsid w:val="00C71154"/>
    <w:rsid w:val="00C71160"/>
    <w:rsid w:val="00C7208B"/>
    <w:rsid w:val="00C737F2"/>
    <w:rsid w:val="00C74467"/>
    <w:rsid w:val="00C74954"/>
    <w:rsid w:val="00C75DFF"/>
    <w:rsid w:val="00C77D00"/>
    <w:rsid w:val="00C8054F"/>
    <w:rsid w:val="00C8214A"/>
    <w:rsid w:val="00C825E5"/>
    <w:rsid w:val="00C8345C"/>
    <w:rsid w:val="00C849B4"/>
    <w:rsid w:val="00C85CD7"/>
    <w:rsid w:val="00C8729E"/>
    <w:rsid w:val="00C91A6F"/>
    <w:rsid w:val="00C91E33"/>
    <w:rsid w:val="00C930C8"/>
    <w:rsid w:val="00C95611"/>
    <w:rsid w:val="00C97FC1"/>
    <w:rsid w:val="00CA45CB"/>
    <w:rsid w:val="00CA4C3A"/>
    <w:rsid w:val="00CA4E57"/>
    <w:rsid w:val="00CA7AA6"/>
    <w:rsid w:val="00CA7ADA"/>
    <w:rsid w:val="00CA7C07"/>
    <w:rsid w:val="00CA7EAE"/>
    <w:rsid w:val="00CA7F1D"/>
    <w:rsid w:val="00CB19C6"/>
    <w:rsid w:val="00CB5C38"/>
    <w:rsid w:val="00CC1C87"/>
    <w:rsid w:val="00CC1F8C"/>
    <w:rsid w:val="00CC29B3"/>
    <w:rsid w:val="00CC2EA8"/>
    <w:rsid w:val="00CC442F"/>
    <w:rsid w:val="00CC5500"/>
    <w:rsid w:val="00CC6E48"/>
    <w:rsid w:val="00CD1990"/>
    <w:rsid w:val="00CD2B96"/>
    <w:rsid w:val="00CD43D1"/>
    <w:rsid w:val="00CD4DE8"/>
    <w:rsid w:val="00CD5841"/>
    <w:rsid w:val="00CD5A8F"/>
    <w:rsid w:val="00CD611D"/>
    <w:rsid w:val="00CD6238"/>
    <w:rsid w:val="00CD6617"/>
    <w:rsid w:val="00CD6876"/>
    <w:rsid w:val="00CD6D28"/>
    <w:rsid w:val="00CE0F1F"/>
    <w:rsid w:val="00CE2494"/>
    <w:rsid w:val="00CE2973"/>
    <w:rsid w:val="00CE3BC3"/>
    <w:rsid w:val="00CE4073"/>
    <w:rsid w:val="00CE719D"/>
    <w:rsid w:val="00CE724E"/>
    <w:rsid w:val="00CE7322"/>
    <w:rsid w:val="00CE7470"/>
    <w:rsid w:val="00CE7DD9"/>
    <w:rsid w:val="00CE7F68"/>
    <w:rsid w:val="00CF1FC5"/>
    <w:rsid w:val="00CF23A0"/>
    <w:rsid w:val="00CF463E"/>
    <w:rsid w:val="00CF4EFF"/>
    <w:rsid w:val="00CF55B7"/>
    <w:rsid w:val="00CF6B54"/>
    <w:rsid w:val="00CF723E"/>
    <w:rsid w:val="00CF74E9"/>
    <w:rsid w:val="00CF7AA5"/>
    <w:rsid w:val="00D02831"/>
    <w:rsid w:val="00D03CED"/>
    <w:rsid w:val="00D04C47"/>
    <w:rsid w:val="00D0654C"/>
    <w:rsid w:val="00D069F8"/>
    <w:rsid w:val="00D07E4B"/>
    <w:rsid w:val="00D11675"/>
    <w:rsid w:val="00D1305D"/>
    <w:rsid w:val="00D1318A"/>
    <w:rsid w:val="00D13CEA"/>
    <w:rsid w:val="00D13F20"/>
    <w:rsid w:val="00D144B1"/>
    <w:rsid w:val="00D15014"/>
    <w:rsid w:val="00D15AA1"/>
    <w:rsid w:val="00D164BC"/>
    <w:rsid w:val="00D203E4"/>
    <w:rsid w:val="00D23481"/>
    <w:rsid w:val="00D25C63"/>
    <w:rsid w:val="00D279F0"/>
    <w:rsid w:val="00D3496C"/>
    <w:rsid w:val="00D36181"/>
    <w:rsid w:val="00D36A13"/>
    <w:rsid w:val="00D36A9F"/>
    <w:rsid w:val="00D42E23"/>
    <w:rsid w:val="00D43A3A"/>
    <w:rsid w:val="00D466A8"/>
    <w:rsid w:val="00D46E14"/>
    <w:rsid w:val="00D474D0"/>
    <w:rsid w:val="00D51004"/>
    <w:rsid w:val="00D5128D"/>
    <w:rsid w:val="00D52E5B"/>
    <w:rsid w:val="00D52EC1"/>
    <w:rsid w:val="00D55A56"/>
    <w:rsid w:val="00D579E6"/>
    <w:rsid w:val="00D61CB8"/>
    <w:rsid w:val="00D61FF9"/>
    <w:rsid w:val="00D62480"/>
    <w:rsid w:val="00D629E3"/>
    <w:rsid w:val="00D64273"/>
    <w:rsid w:val="00D64C4F"/>
    <w:rsid w:val="00D66DDB"/>
    <w:rsid w:val="00D70766"/>
    <w:rsid w:val="00D708AE"/>
    <w:rsid w:val="00D72175"/>
    <w:rsid w:val="00D7252C"/>
    <w:rsid w:val="00D74D06"/>
    <w:rsid w:val="00D768A4"/>
    <w:rsid w:val="00D7768F"/>
    <w:rsid w:val="00D82691"/>
    <w:rsid w:val="00D837B0"/>
    <w:rsid w:val="00D839F9"/>
    <w:rsid w:val="00D83FBA"/>
    <w:rsid w:val="00D86931"/>
    <w:rsid w:val="00D906B2"/>
    <w:rsid w:val="00D91F3E"/>
    <w:rsid w:val="00D92325"/>
    <w:rsid w:val="00D93A2A"/>
    <w:rsid w:val="00D9526E"/>
    <w:rsid w:val="00D95A1B"/>
    <w:rsid w:val="00D96BA3"/>
    <w:rsid w:val="00DA1EA0"/>
    <w:rsid w:val="00DA2C1D"/>
    <w:rsid w:val="00DA2E83"/>
    <w:rsid w:val="00DA3868"/>
    <w:rsid w:val="00DA3A68"/>
    <w:rsid w:val="00DA4E7C"/>
    <w:rsid w:val="00DB271D"/>
    <w:rsid w:val="00DB277C"/>
    <w:rsid w:val="00DB3FB8"/>
    <w:rsid w:val="00DB5A7F"/>
    <w:rsid w:val="00DB7DC5"/>
    <w:rsid w:val="00DC0C32"/>
    <w:rsid w:val="00DC175C"/>
    <w:rsid w:val="00DC69D9"/>
    <w:rsid w:val="00DC7159"/>
    <w:rsid w:val="00DC7C06"/>
    <w:rsid w:val="00DC7E08"/>
    <w:rsid w:val="00DD0CD5"/>
    <w:rsid w:val="00DD1932"/>
    <w:rsid w:val="00DD1CC7"/>
    <w:rsid w:val="00DD2423"/>
    <w:rsid w:val="00DD4191"/>
    <w:rsid w:val="00DD732B"/>
    <w:rsid w:val="00DE00CB"/>
    <w:rsid w:val="00DE02CA"/>
    <w:rsid w:val="00DE224D"/>
    <w:rsid w:val="00DE379D"/>
    <w:rsid w:val="00DE41C5"/>
    <w:rsid w:val="00DF277D"/>
    <w:rsid w:val="00DF37DE"/>
    <w:rsid w:val="00DF43D9"/>
    <w:rsid w:val="00DF59CE"/>
    <w:rsid w:val="00DF60BC"/>
    <w:rsid w:val="00DF7F84"/>
    <w:rsid w:val="00E00BC4"/>
    <w:rsid w:val="00E022A1"/>
    <w:rsid w:val="00E0245B"/>
    <w:rsid w:val="00E02A52"/>
    <w:rsid w:val="00E0447A"/>
    <w:rsid w:val="00E052B8"/>
    <w:rsid w:val="00E10780"/>
    <w:rsid w:val="00E11168"/>
    <w:rsid w:val="00E12804"/>
    <w:rsid w:val="00E134FA"/>
    <w:rsid w:val="00E13CFC"/>
    <w:rsid w:val="00E14594"/>
    <w:rsid w:val="00E16729"/>
    <w:rsid w:val="00E21EC5"/>
    <w:rsid w:val="00E22006"/>
    <w:rsid w:val="00E22EA8"/>
    <w:rsid w:val="00E23058"/>
    <w:rsid w:val="00E24F0F"/>
    <w:rsid w:val="00E2568A"/>
    <w:rsid w:val="00E25D40"/>
    <w:rsid w:val="00E275EC"/>
    <w:rsid w:val="00E319EF"/>
    <w:rsid w:val="00E31CB8"/>
    <w:rsid w:val="00E332FF"/>
    <w:rsid w:val="00E354BF"/>
    <w:rsid w:val="00E35B2A"/>
    <w:rsid w:val="00E361ED"/>
    <w:rsid w:val="00E368CF"/>
    <w:rsid w:val="00E40395"/>
    <w:rsid w:val="00E40CA6"/>
    <w:rsid w:val="00E41747"/>
    <w:rsid w:val="00E44D06"/>
    <w:rsid w:val="00E46240"/>
    <w:rsid w:val="00E47AB2"/>
    <w:rsid w:val="00E50794"/>
    <w:rsid w:val="00E52B0F"/>
    <w:rsid w:val="00E54144"/>
    <w:rsid w:val="00E547F7"/>
    <w:rsid w:val="00E57404"/>
    <w:rsid w:val="00E57797"/>
    <w:rsid w:val="00E57A6E"/>
    <w:rsid w:val="00E64BEF"/>
    <w:rsid w:val="00E64E18"/>
    <w:rsid w:val="00E66BEB"/>
    <w:rsid w:val="00E71771"/>
    <w:rsid w:val="00E71F80"/>
    <w:rsid w:val="00E73985"/>
    <w:rsid w:val="00E7452D"/>
    <w:rsid w:val="00E74CB0"/>
    <w:rsid w:val="00E81B7C"/>
    <w:rsid w:val="00E85AC5"/>
    <w:rsid w:val="00E864E9"/>
    <w:rsid w:val="00E865E5"/>
    <w:rsid w:val="00E909E3"/>
    <w:rsid w:val="00E91C8A"/>
    <w:rsid w:val="00E91D41"/>
    <w:rsid w:val="00E92D0C"/>
    <w:rsid w:val="00E949CF"/>
    <w:rsid w:val="00E9742F"/>
    <w:rsid w:val="00EA372C"/>
    <w:rsid w:val="00EA3CD3"/>
    <w:rsid w:val="00EA5AC2"/>
    <w:rsid w:val="00EB020F"/>
    <w:rsid w:val="00EB2119"/>
    <w:rsid w:val="00EB33A4"/>
    <w:rsid w:val="00EB386A"/>
    <w:rsid w:val="00EB3E63"/>
    <w:rsid w:val="00EB6216"/>
    <w:rsid w:val="00EB67C3"/>
    <w:rsid w:val="00EB6CF0"/>
    <w:rsid w:val="00EB6DC9"/>
    <w:rsid w:val="00EB726D"/>
    <w:rsid w:val="00EC1274"/>
    <w:rsid w:val="00EC285A"/>
    <w:rsid w:val="00EC3047"/>
    <w:rsid w:val="00EC4067"/>
    <w:rsid w:val="00EC4F2E"/>
    <w:rsid w:val="00EC5C68"/>
    <w:rsid w:val="00EC6576"/>
    <w:rsid w:val="00EC7CBF"/>
    <w:rsid w:val="00ED3627"/>
    <w:rsid w:val="00ED37B8"/>
    <w:rsid w:val="00ED3C94"/>
    <w:rsid w:val="00ED5B5F"/>
    <w:rsid w:val="00ED67BB"/>
    <w:rsid w:val="00EE1006"/>
    <w:rsid w:val="00EE1B70"/>
    <w:rsid w:val="00EE3EC4"/>
    <w:rsid w:val="00EE53C1"/>
    <w:rsid w:val="00EF0C39"/>
    <w:rsid w:val="00EF36E1"/>
    <w:rsid w:val="00EF6C8B"/>
    <w:rsid w:val="00F028A5"/>
    <w:rsid w:val="00F02ACE"/>
    <w:rsid w:val="00F03463"/>
    <w:rsid w:val="00F03E2D"/>
    <w:rsid w:val="00F05082"/>
    <w:rsid w:val="00F056AD"/>
    <w:rsid w:val="00F06AF6"/>
    <w:rsid w:val="00F06FBD"/>
    <w:rsid w:val="00F104DF"/>
    <w:rsid w:val="00F10AC0"/>
    <w:rsid w:val="00F1561E"/>
    <w:rsid w:val="00F16F36"/>
    <w:rsid w:val="00F20567"/>
    <w:rsid w:val="00F21BA6"/>
    <w:rsid w:val="00F25709"/>
    <w:rsid w:val="00F26C65"/>
    <w:rsid w:val="00F316B5"/>
    <w:rsid w:val="00F3721C"/>
    <w:rsid w:val="00F378E3"/>
    <w:rsid w:val="00F41B36"/>
    <w:rsid w:val="00F42088"/>
    <w:rsid w:val="00F43789"/>
    <w:rsid w:val="00F47855"/>
    <w:rsid w:val="00F50072"/>
    <w:rsid w:val="00F507C6"/>
    <w:rsid w:val="00F515E4"/>
    <w:rsid w:val="00F51CCB"/>
    <w:rsid w:val="00F51D19"/>
    <w:rsid w:val="00F530A8"/>
    <w:rsid w:val="00F550A0"/>
    <w:rsid w:val="00F56036"/>
    <w:rsid w:val="00F56168"/>
    <w:rsid w:val="00F6097F"/>
    <w:rsid w:val="00F60A42"/>
    <w:rsid w:val="00F62018"/>
    <w:rsid w:val="00F62E83"/>
    <w:rsid w:val="00F65096"/>
    <w:rsid w:val="00F65D8D"/>
    <w:rsid w:val="00F65E70"/>
    <w:rsid w:val="00F66486"/>
    <w:rsid w:val="00F66940"/>
    <w:rsid w:val="00F70847"/>
    <w:rsid w:val="00F70A24"/>
    <w:rsid w:val="00F712A4"/>
    <w:rsid w:val="00F71565"/>
    <w:rsid w:val="00F7237E"/>
    <w:rsid w:val="00F723DC"/>
    <w:rsid w:val="00F73D29"/>
    <w:rsid w:val="00F7642B"/>
    <w:rsid w:val="00F76769"/>
    <w:rsid w:val="00F80790"/>
    <w:rsid w:val="00F8257C"/>
    <w:rsid w:val="00F84FFC"/>
    <w:rsid w:val="00F8788F"/>
    <w:rsid w:val="00F87926"/>
    <w:rsid w:val="00F908B7"/>
    <w:rsid w:val="00F91851"/>
    <w:rsid w:val="00F933B4"/>
    <w:rsid w:val="00F936DE"/>
    <w:rsid w:val="00F93F64"/>
    <w:rsid w:val="00F955F5"/>
    <w:rsid w:val="00FA03D1"/>
    <w:rsid w:val="00FA2ED3"/>
    <w:rsid w:val="00FA36A3"/>
    <w:rsid w:val="00FA3A0C"/>
    <w:rsid w:val="00FA3EA6"/>
    <w:rsid w:val="00FA6B8E"/>
    <w:rsid w:val="00FA7206"/>
    <w:rsid w:val="00FB0D59"/>
    <w:rsid w:val="00FB1BAA"/>
    <w:rsid w:val="00FB1BCD"/>
    <w:rsid w:val="00FB1D33"/>
    <w:rsid w:val="00FB7C3A"/>
    <w:rsid w:val="00FC01D5"/>
    <w:rsid w:val="00FC2034"/>
    <w:rsid w:val="00FC387F"/>
    <w:rsid w:val="00FC48F9"/>
    <w:rsid w:val="00FC6F1F"/>
    <w:rsid w:val="00FC7236"/>
    <w:rsid w:val="00FC74A2"/>
    <w:rsid w:val="00FD34DC"/>
    <w:rsid w:val="00FD3D7D"/>
    <w:rsid w:val="00FD5141"/>
    <w:rsid w:val="00FD5CCF"/>
    <w:rsid w:val="00FD667D"/>
    <w:rsid w:val="00FE58DC"/>
    <w:rsid w:val="00FE609B"/>
    <w:rsid w:val="00FE62B8"/>
    <w:rsid w:val="00FE7308"/>
    <w:rsid w:val="00FE7D39"/>
    <w:rsid w:val="00FF5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5B0F61"/>
  <w15:docId w15:val="{AC7952D2-BA0F-4FAD-97EA-516D766C9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A6D"/>
    <w:pPr>
      <w:spacing w:line="254" w:lineRule="auto"/>
    </w:pPr>
    <w:rPr>
      <w:color w:val="000000" w:themeColor="text1"/>
      <w:lang w:eastAsia="es-MX"/>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basedOn w:val="Ttulo1"/>
    <w:next w:val="Normal"/>
    <w:uiPriority w:val="39"/>
    <w:unhideWhenUsed/>
    <w:qFormat/>
    <w:rsid w:val="00C4052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character" w:customStyle="1" w:styleId="UnresolvedMention">
    <w:name w:val="Unresolved Mention"/>
    <w:basedOn w:val="Fuentedeprrafopredeter"/>
    <w:uiPriority w:val="99"/>
    <w:semiHidden/>
    <w:unhideWhenUsed/>
    <w:rsid w:val="00C554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8064">
      <w:bodyDiv w:val="1"/>
      <w:marLeft w:val="0"/>
      <w:marRight w:val="0"/>
      <w:marTop w:val="0"/>
      <w:marBottom w:val="0"/>
      <w:divBdr>
        <w:top w:val="none" w:sz="0" w:space="0" w:color="auto"/>
        <w:left w:val="none" w:sz="0" w:space="0" w:color="auto"/>
        <w:bottom w:val="none" w:sz="0" w:space="0" w:color="auto"/>
        <w:right w:val="none" w:sz="0" w:space="0" w:color="auto"/>
      </w:divBdr>
    </w:div>
    <w:div w:id="31005225">
      <w:bodyDiv w:val="1"/>
      <w:marLeft w:val="0"/>
      <w:marRight w:val="0"/>
      <w:marTop w:val="0"/>
      <w:marBottom w:val="0"/>
      <w:divBdr>
        <w:top w:val="none" w:sz="0" w:space="0" w:color="auto"/>
        <w:left w:val="none" w:sz="0" w:space="0" w:color="auto"/>
        <w:bottom w:val="none" w:sz="0" w:space="0" w:color="auto"/>
        <w:right w:val="none" w:sz="0" w:space="0" w:color="auto"/>
      </w:divBdr>
    </w:div>
    <w:div w:id="66348591">
      <w:bodyDiv w:val="1"/>
      <w:marLeft w:val="0"/>
      <w:marRight w:val="0"/>
      <w:marTop w:val="0"/>
      <w:marBottom w:val="0"/>
      <w:divBdr>
        <w:top w:val="none" w:sz="0" w:space="0" w:color="auto"/>
        <w:left w:val="none" w:sz="0" w:space="0" w:color="auto"/>
        <w:bottom w:val="none" w:sz="0" w:space="0" w:color="auto"/>
        <w:right w:val="none" w:sz="0" w:space="0" w:color="auto"/>
      </w:divBdr>
    </w:div>
    <w:div w:id="75444692">
      <w:bodyDiv w:val="1"/>
      <w:marLeft w:val="0"/>
      <w:marRight w:val="0"/>
      <w:marTop w:val="0"/>
      <w:marBottom w:val="0"/>
      <w:divBdr>
        <w:top w:val="none" w:sz="0" w:space="0" w:color="auto"/>
        <w:left w:val="none" w:sz="0" w:space="0" w:color="auto"/>
        <w:bottom w:val="none" w:sz="0" w:space="0" w:color="auto"/>
        <w:right w:val="none" w:sz="0" w:space="0" w:color="auto"/>
      </w:divBdr>
    </w:div>
    <w:div w:id="91513401">
      <w:bodyDiv w:val="1"/>
      <w:marLeft w:val="0"/>
      <w:marRight w:val="0"/>
      <w:marTop w:val="0"/>
      <w:marBottom w:val="0"/>
      <w:divBdr>
        <w:top w:val="none" w:sz="0" w:space="0" w:color="auto"/>
        <w:left w:val="none" w:sz="0" w:space="0" w:color="auto"/>
        <w:bottom w:val="none" w:sz="0" w:space="0" w:color="auto"/>
        <w:right w:val="none" w:sz="0" w:space="0" w:color="auto"/>
      </w:divBdr>
    </w:div>
    <w:div w:id="95179579">
      <w:bodyDiv w:val="1"/>
      <w:marLeft w:val="0"/>
      <w:marRight w:val="0"/>
      <w:marTop w:val="0"/>
      <w:marBottom w:val="0"/>
      <w:divBdr>
        <w:top w:val="none" w:sz="0" w:space="0" w:color="auto"/>
        <w:left w:val="none" w:sz="0" w:space="0" w:color="auto"/>
        <w:bottom w:val="none" w:sz="0" w:space="0" w:color="auto"/>
        <w:right w:val="none" w:sz="0" w:space="0" w:color="auto"/>
      </w:divBdr>
    </w:div>
    <w:div w:id="100809732">
      <w:bodyDiv w:val="1"/>
      <w:marLeft w:val="0"/>
      <w:marRight w:val="0"/>
      <w:marTop w:val="0"/>
      <w:marBottom w:val="0"/>
      <w:divBdr>
        <w:top w:val="none" w:sz="0" w:space="0" w:color="auto"/>
        <w:left w:val="none" w:sz="0" w:space="0" w:color="auto"/>
        <w:bottom w:val="none" w:sz="0" w:space="0" w:color="auto"/>
        <w:right w:val="none" w:sz="0" w:space="0" w:color="auto"/>
      </w:divBdr>
    </w:div>
    <w:div w:id="161548693">
      <w:bodyDiv w:val="1"/>
      <w:marLeft w:val="0"/>
      <w:marRight w:val="0"/>
      <w:marTop w:val="0"/>
      <w:marBottom w:val="0"/>
      <w:divBdr>
        <w:top w:val="none" w:sz="0" w:space="0" w:color="auto"/>
        <w:left w:val="none" w:sz="0" w:space="0" w:color="auto"/>
        <w:bottom w:val="none" w:sz="0" w:space="0" w:color="auto"/>
        <w:right w:val="none" w:sz="0" w:space="0" w:color="auto"/>
      </w:divBdr>
    </w:div>
    <w:div w:id="188031732">
      <w:bodyDiv w:val="1"/>
      <w:marLeft w:val="0"/>
      <w:marRight w:val="0"/>
      <w:marTop w:val="0"/>
      <w:marBottom w:val="0"/>
      <w:divBdr>
        <w:top w:val="none" w:sz="0" w:space="0" w:color="auto"/>
        <w:left w:val="none" w:sz="0" w:space="0" w:color="auto"/>
        <w:bottom w:val="none" w:sz="0" w:space="0" w:color="auto"/>
        <w:right w:val="none" w:sz="0" w:space="0" w:color="auto"/>
      </w:divBdr>
    </w:div>
    <w:div w:id="211500099">
      <w:bodyDiv w:val="1"/>
      <w:marLeft w:val="0"/>
      <w:marRight w:val="0"/>
      <w:marTop w:val="0"/>
      <w:marBottom w:val="0"/>
      <w:divBdr>
        <w:top w:val="none" w:sz="0" w:space="0" w:color="auto"/>
        <w:left w:val="none" w:sz="0" w:space="0" w:color="auto"/>
        <w:bottom w:val="none" w:sz="0" w:space="0" w:color="auto"/>
        <w:right w:val="none" w:sz="0" w:space="0" w:color="auto"/>
      </w:divBdr>
    </w:div>
    <w:div w:id="238367303">
      <w:bodyDiv w:val="1"/>
      <w:marLeft w:val="0"/>
      <w:marRight w:val="0"/>
      <w:marTop w:val="0"/>
      <w:marBottom w:val="0"/>
      <w:divBdr>
        <w:top w:val="none" w:sz="0" w:space="0" w:color="auto"/>
        <w:left w:val="none" w:sz="0" w:space="0" w:color="auto"/>
        <w:bottom w:val="none" w:sz="0" w:space="0" w:color="auto"/>
        <w:right w:val="none" w:sz="0" w:space="0" w:color="auto"/>
      </w:divBdr>
    </w:div>
    <w:div w:id="243883936">
      <w:bodyDiv w:val="1"/>
      <w:marLeft w:val="0"/>
      <w:marRight w:val="0"/>
      <w:marTop w:val="0"/>
      <w:marBottom w:val="0"/>
      <w:divBdr>
        <w:top w:val="none" w:sz="0" w:space="0" w:color="auto"/>
        <w:left w:val="none" w:sz="0" w:space="0" w:color="auto"/>
        <w:bottom w:val="none" w:sz="0" w:space="0" w:color="auto"/>
        <w:right w:val="none" w:sz="0" w:space="0" w:color="auto"/>
      </w:divBdr>
    </w:div>
    <w:div w:id="245192373">
      <w:bodyDiv w:val="1"/>
      <w:marLeft w:val="0"/>
      <w:marRight w:val="0"/>
      <w:marTop w:val="0"/>
      <w:marBottom w:val="0"/>
      <w:divBdr>
        <w:top w:val="none" w:sz="0" w:space="0" w:color="auto"/>
        <w:left w:val="none" w:sz="0" w:space="0" w:color="auto"/>
        <w:bottom w:val="none" w:sz="0" w:space="0" w:color="auto"/>
        <w:right w:val="none" w:sz="0" w:space="0" w:color="auto"/>
      </w:divBdr>
    </w:div>
    <w:div w:id="285963118">
      <w:bodyDiv w:val="1"/>
      <w:marLeft w:val="0"/>
      <w:marRight w:val="0"/>
      <w:marTop w:val="0"/>
      <w:marBottom w:val="0"/>
      <w:divBdr>
        <w:top w:val="none" w:sz="0" w:space="0" w:color="auto"/>
        <w:left w:val="none" w:sz="0" w:space="0" w:color="auto"/>
        <w:bottom w:val="none" w:sz="0" w:space="0" w:color="auto"/>
        <w:right w:val="none" w:sz="0" w:space="0" w:color="auto"/>
      </w:divBdr>
    </w:div>
    <w:div w:id="321813569">
      <w:bodyDiv w:val="1"/>
      <w:marLeft w:val="0"/>
      <w:marRight w:val="0"/>
      <w:marTop w:val="0"/>
      <w:marBottom w:val="0"/>
      <w:divBdr>
        <w:top w:val="none" w:sz="0" w:space="0" w:color="auto"/>
        <w:left w:val="none" w:sz="0" w:space="0" w:color="auto"/>
        <w:bottom w:val="none" w:sz="0" w:space="0" w:color="auto"/>
        <w:right w:val="none" w:sz="0" w:space="0" w:color="auto"/>
      </w:divBdr>
    </w:div>
    <w:div w:id="347029534">
      <w:bodyDiv w:val="1"/>
      <w:marLeft w:val="0"/>
      <w:marRight w:val="0"/>
      <w:marTop w:val="0"/>
      <w:marBottom w:val="0"/>
      <w:divBdr>
        <w:top w:val="none" w:sz="0" w:space="0" w:color="auto"/>
        <w:left w:val="none" w:sz="0" w:space="0" w:color="auto"/>
        <w:bottom w:val="none" w:sz="0" w:space="0" w:color="auto"/>
        <w:right w:val="none" w:sz="0" w:space="0" w:color="auto"/>
      </w:divBdr>
    </w:div>
    <w:div w:id="349069491">
      <w:bodyDiv w:val="1"/>
      <w:marLeft w:val="0"/>
      <w:marRight w:val="0"/>
      <w:marTop w:val="0"/>
      <w:marBottom w:val="0"/>
      <w:divBdr>
        <w:top w:val="none" w:sz="0" w:space="0" w:color="auto"/>
        <w:left w:val="none" w:sz="0" w:space="0" w:color="auto"/>
        <w:bottom w:val="none" w:sz="0" w:space="0" w:color="auto"/>
        <w:right w:val="none" w:sz="0" w:space="0" w:color="auto"/>
      </w:divBdr>
    </w:div>
    <w:div w:id="396781848">
      <w:bodyDiv w:val="1"/>
      <w:marLeft w:val="0"/>
      <w:marRight w:val="0"/>
      <w:marTop w:val="0"/>
      <w:marBottom w:val="0"/>
      <w:divBdr>
        <w:top w:val="none" w:sz="0" w:space="0" w:color="auto"/>
        <w:left w:val="none" w:sz="0" w:space="0" w:color="auto"/>
        <w:bottom w:val="none" w:sz="0" w:space="0" w:color="auto"/>
        <w:right w:val="none" w:sz="0" w:space="0" w:color="auto"/>
      </w:divBdr>
    </w:div>
    <w:div w:id="454718827">
      <w:bodyDiv w:val="1"/>
      <w:marLeft w:val="0"/>
      <w:marRight w:val="0"/>
      <w:marTop w:val="0"/>
      <w:marBottom w:val="0"/>
      <w:divBdr>
        <w:top w:val="none" w:sz="0" w:space="0" w:color="auto"/>
        <w:left w:val="none" w:sz="0" w:space="0" w:color="auto"/>
        <w:bottom w:val="none" w:sz="0" w:space="0" w:color="auto"/>
        <w:right w:val="none" w:sz="0" w:space="0" w:color="auto"/>
      </w:divBdr>
    </w:div>
    <w:div w:id="466317430">
      <w:bodyDiv w:val="1"/>
      <w:marLeft w:val="0"/>
      <w:marRight w:val="0"/>
      <w:marTop w:val="0"/>
      <w:marBottom w:val="0"/>
      <w:divBdr>
        <w:top w:val="none" w:sz="0" w:space="0" w:color="auto"/>
        <w:left w:val="none" w:sz="0" w:space="0" w:color="auto"/>
        <w:bottom w:val="none" w:sz="0" w:space="0" w:color="auto"/>
        <w:right w:val="none" w:sz="0" w:space="0" w:color="auto"/>
      </w:divBdr>
    </w:div>
    <w:div w:id="469056934">
      <w:bodyDiv w:val="1"/>
      <w:marLeft w:val="0"/>
      <w:marRight w:val="0"/>
      <w:marTop w:val="0"/>
      <w:marBottom w:val="0"/>
      <w:divBdr>
        <w:top w:val="none" w:sz="0" w:space="0" w:color="auto"/>
        <w:left w:val="none" w:sz="0" w:space="0" w:color="auto"/>
        <w:bottom w:val="none" w:sz="0" w:space="0" w:color="auto"/>
        <w:right w:val="none" w:sz="0" w:space="0" w:color="auto"/>
      </w:divBdr>
    </w:div>
    <w:div w:id="479731557">
      <w:bodyDiv w:val="1"/>
      <w:marLeft w:val="0"/>
      <w:marRight w:val="0"/>
      <w:marTop w:val="0"/>
      <w:marBottom w:val="0"/>
      <w:divBdr>
        <w:top w:val="none" w:sz="0" w:space="0" w:color="auto"/>
        <w:left w:val="none" w:sz="0" w:space="0" w:color="auto"/>
        <w:bottom w:val="none" w:sz="0" w:space="0" w:color="auto"/>
        <w:right w:val="none" w:sz="0" w:space="0" w:color="auto"/>
      </w:divBdr>
    </w:div>
    <w:div w:id="484904314">
      <w:bodyDiv w:val="1"/>
      <w:marLeft w:val="0"/>
      <w:marRight w:val="0"/>
      <w:marTop w:val="0"/>
      <w:marBottom w:val="0"/>
      <w:divBdr>
        <w:top w:val="none" w:sz="0" w:space="0" w:color="auto"/>
        <w:left w:val="none" w:sz="0" w:space="0" w:color="auto"/>
        <w:bottom w:val="none" w:sz="0" w:space="0" w:color="auto"/>
        <w:right w:val="none" w:sz="0" w:space="0" w:color="auto"/>
      </w:divBdr>
    </w:div>
    <w:div w:id="534385873">
      <w:bodyDiv w:val="1"/>
      <w:marLeft w:val="0"/>
      <w:marRight w:val="0"/>
      <w:marTop w:val="0"/>
      <w:marBottom w:val="0"/>
      <w:divBdr>
        <w:top w:val="none" w:sz="0" w:space="0" w:color="auto"/>
        <w:left w:val="none" w:sz="0" w:space="0" w:color="auto"/>
        <w:bottom w:val="none" w:sz="0" w:space="0" w:color="auto"/>
        <w:right w:val="none" w:sz="0" w:space="0" w:color="auto"/>
      </w:divBdr>
    </w:div>
    <w:div w:id="586154936">
      <w:bodyDiv w:val="1"/>
      <w:marLeft w:val="0"/>
      <w:marRight w:val="0"/>
      <w:marTop w:val="0"/>
      <w:marBottom w:val="0"/>
      <w:divBdr>
        <w:top w:val="none" w:sz="0" w:space="0" w:color="auto"/>
        <w:left w:val="none" w:sz="0" w:space="0" w:color="auto"/>
        <w:bottom w:val="none" w:sz="0" w:space="0" w:color="auto"/>
        <w:right w:val="none" w:sz="0" w:space="0" w:color="auto"/>
      </w:divBdr>
    </w:div>
    <w:div w:id="598762096">
      <w:bodyDiv w:val="1"/>
      <w:marLeft w:val="0"/>
      <w:marRight w:val="0"/>
      <w:marTop w:val="0"/>
      <w:marBottom w:val="0"/>
      <w:divBdr>
        <w:top w:val="none" w:sz="0" w:space="0" w:color="auto"/>
        <w:left w:val="none" w:sz="0" w:space="0" w:color="auto"/>
        <w:bottom w:val="none" w:sz="0" w:space="0" w:color="auto"/>
        <w:right w:val="none" w:sz="0" w:space="0" w:color="auto"/>
      </w:divBdr>
    </w:div>
    <w:div w:id="634944190">
      <w:bodyDiv w:val="1"/>
      <w:marLeft w:val="0"/>
      <w:marRight w:val="0"/>
      <w:marTop w:val="0"/>
      <w:marBottom w:val="0"/>
      <w:divBdr>
        <w:top w:val="none" w:sz="0" w:space="0" w:color="auto"/>
        <w:left w:val="none" w:sz="0" w:space="0" w:color="auto"/>
        <w:bottom w:val="none" w:sz="0" w:space="0" w:color="auto"/>
        <w:right w:val="none" w:sz="0" w:space="0" w:color="auto"/>
      </w:divBdr>
    </w:div>
    <w:div w:id="639963624">
      <w:bodyDiv w:val="1"/>
      <w:marLeft w:val="0"/>
      <w:marRight w:val="0"/>
      <w:marTop w:val="0"/>
      <w:marBottom w:val="0"/>
      <w:divBdr>
        <w:top w:val="none" w:sz="0" w:space="0" w:color="auto"/>
        <w:left w:val="none" w:sz="0" w:space="0" w:color="auto"/>
        <w:bottom w:val="none" w:sz="0" w:space="0" w:color="auto"/>
        <w:right w:val="none" w:sz="0" w:space="0" w:color="auto"/>
      </w:divBdr>
    </w:div>
    <w:div w:id="645402130">
      <w:bodyDiv w:val="1"/>
      <w:marLeft w:val="0"/>
      <w:marRight w:val="0"/>
      <w:marTop w:val="0"/>
      <w:marBottom w:val="0"/>
      <w:divBdr>
        <w:top w:val="none" w:sz="0" w:space="0" w:color="auto"/>
        <w:left w:val="none" w:sz="0" w:space="0" w:color="auto"/>
        <w:bottom w:val="none" w:sz="0" w:space="0" w:color="auto"/>
        <w:right w:val="none" w:sz="0" w:space="0" w:color="auto"/>
      </w:divBdr>
    </w:div>
    <w:div w:id="661280701">
      <w:bodyDiv w:val="1"/>
      <w:marLeft w:val="0"/>
      <w:marRight w:val="0"/>
      <w:marTop w:val="0"/>
      <w:marBottom w:val="0"/>
      <w:divBdr>
        <w:top w:val="none" w:sz="0" w:space="0" w:color="auto"/>
        <w:left w:val="none" w:sz="0" w:space="0" w:color="auto"/>
        <w:bottom w:val="none" w:sz="0" w:space="0" w:color="auto"/>
        <w:right w:val="none" w:sz="0" w:space="0" w:color="auto"/>
      </w:divBdr>
    </w:div>
    <w:div w:id="681784046">
      <w:bodyDiv w:val="1"/>
      <w:marLeft w:val="0"/>
      <w:marRight w:val="0"/>
      <w:marTop w:val="0"/>
      <w:marBottom w:val="0"/>
      <w:divBdr>
        <w:top w:val="none" w:sz="0" w:space="0" w:color="auto"/>
        <w:left w:val="none" w:sz="0" w:space="0" w:color="auto"/>
        <w:bottom w:val="none" w:sz="0" w:space="0" w:color="auto"/>
        <w:right w:val="none" w:sz="0" w:space="0" w:color="auto"/>
      </w:divBdr>
    </w:div>
    <w:div w:id="686836146">
      <w:bodyDiv w:val="1"/>
      <w:marLeft w:val="0"/>
      <w:marRight w:val="0"/>
      <w:marTop w:val="0"/>
      <w:marBottom w:val="0"/>
      <w:divBdr>
        <w:top w:val="none" w:sz="0" w:space="0" w:color="auto"/>
        <w:left w:val="none" w:sz="0" w:space="0" w:color="auto"/>
        <w:bottom w:val="none" w:sz="0" w:space="0" w:color="auto"/>
        <w:right w:val="none" w:sz="0" w:space="0" w:color="auto"/>
      </w:divBdr>
    </w:div>
    <w:div w:id="730033078">
      <w:bodyDiv w:val="1"/>
      <w:marLeft w:val="0"/>
      <w:marRight w:val="0"/>
      <w:marTop w:val="0"/>
      <w:marBottom w:val="0"/>
      <w:divBdr>
        <w:top w:val="none" w:sz="0" w:space="0" w:color="auto"/>
        <w:left w:val="none" w:sz="0" w:space="0" w:color="auto"/>
        <w:bottom w:val="none" w:sz="0" w:space="0" w:color="auto"/>
        <w:right w:val="none" w:sz="0" w:space="0" w:color="auto"/>
      </w:divBdr>
    </w:div>
    <w:div w:id="736363224">
      <w:bodyDiv w:val="1"/>
      <w:marLeft w:val="0"/>
      <w:marRight w:val="0"/>
      <w:marTop w:val="0"/>
      <w:marBottom w:val="0"/>
      <w:divBdr>
        <w:top w:val="none" w:sz="0" w:space="0" w:color="auto"/>
        <w:left w:val="none" w:sz="0" w:space="0" w:color="auto"/>
        <w:bottom w:val="none" w:sz="0" w:space="0" w:color="auto"/>
        <w:right w:val="none" w:sz="0" w:space="0" w:color="auto"/>
      </w:divBdr>
    </w:div>
    <w:div w:id="767580846">
      <w:bodyDiv w:val="1"/>
      <w:marLeft w:val="0"/>
      <w:marRight w:val="0"/>
      <w:marTop w:val="0"/>
      <w:marBottom w:val="0"/>
      <w:divBdr>
        <w:top w:val="none" w:sz="0" w:space="0" w:color="auto"/>
        <w:left w:val="none" w:sz="0" w:space="0" w:color="auto"/>
        <w:bottom w:val="none" w:sz="0" w:space="0" w:color="auto"/>
        <w:right w:val="none" w:sz="0" w:space="0" w:color="auto"/>
      </w:divBdr>
    </w:div>
    <w:div w:id="772359099">
      <w:bodyDiv w:val="1"/>
      <w:marLeft w:val="0"/>
      <w:marRight w:val="0"/>
      <w:marTop w:val="0"/>
      <w:marBottom w:val="0"/>
      <w:divBdr>
        <w:top w:val="none" w:sz="0" w:space="0" w:color="auto"/>
        <w:left w:val="none" w:sz="0" w:space="0" w:color="auto"/>
        <w:bottom w:val="none" w:sz="0" w:space="0" w:color="auto"/>
        <w:right w:val="none" w:sz="0" w:space="0" w:color="auto"/>
      </w:divBdr>
    </w:div>
    <w:div w:id="802773721">
      <w:bodyDiv w:val="1"/>
      <w:marLeft w:val="0"/>
      <w:marRight w:val="0"/>
      <w:marTop w:val="0"/>
      <w:marBottom w:val="0"/>
      <w:divBdr>
        <w:top w:val="none" w:sz="0" w:space="0" w:color="auto"/>
        <w:left w:val="none" w:sz="0" w:space="0" w:color="auto"/>
        <w:bottom w:val="none" w:sz="0" w:space="0" w:color="auto"/>
        <w:right w:val="none" w:sz="0" w:space="0" w:color="auto"/>
      </w:divBdr>
    </w:div>
    <w:div w:id="830028120">
      <w:bodyDiv w:val="1"/>
      <w:marLeft w:val="0"/>
      <w:marRight w:val="0"/>
      <w:marTop w:val="0"/>
      <w:marBottom w:val="0"/>
      <w:divBdr>
        <w:top w:val="none" w:sz="0" w:space="0" w:color="auto"/>
        <w:left w:val="none" w:sz="0" w:space="0" w:color="auto"/>
        <w:bottom w:val="none" w:sz="0" w:space="0" w:color="auto"/>
        <w:right w:val="none" w:sz="0" w:space="0" w:color="auto"/>
      </w:divBdr>
    </w:div>
    <w:div w:id="839389233">
      <w:bodyDiv w:val="1"/>
      <w:marLeft w:val="0"/>
      <w:marRight w:val="0"/>
      <w:marTop w:val="0"/>
      <w:marBottom w:val="0"/>
      <w:divBdr>
        <w:top w:val="none" w:sz="0" w:space="0" w:color="auto"/>
        <w:left w:val="none" w:sz="0" w:space="0" w:color="auto"/>
        <w:bottom w:val="none" w:sz="0" w:space="0" w:color="auto"/>
        <w:right w:val="none" w:sz="0" w:space="0" w:color="auto"/>
      </w:divBdr>
    </w:div>
    <w:div w:id="839547297">
      <w:bodyDiv w:val="1"/>
      <w:marLeft w:val="0"/>
      <w:marRight w:val="0"/>
      <w:marTop w:val="0"/>
      <w:marBottom w:val="0"/>
      <w:divBdr>
        <w:top w:val="none" w:sz="0" w:space="0" w:color="auto"/>
        <w:left w:val="none" w:sz="0" w:space="0" w:color="auto"/>
        <w:bottom w:val="none" w:sz="0" w:space="0" w:color="auto"/>
        <w:right w:val="none" w:sz="0" w:space="0" w:color="auto"/>
      </w:divBdr>
    </w:div>
    <w:div w:id="850222671">
      <w:bodyDiv w:val="1"/>
      <w:marLeft w:val="0"/>
      <w:marRight w:val="0"/>
      <w:marTop w:val="0"/>
      <w:marBottom w:val="0"/>
      <w:divBdr>
        <w:top w:val="none" w:sz="0" w:space="0" w:color="auto"/>
        <w:left w:val="none" w:sz="0" w:space="0" w:color="auto"/>
        <w:bottom w:val="none" w:sz="0" w:space="0" w:color="auto"/>
        <w:right w:val="none" w:sz="0" w:space="0" w:color="auto"/>
      </w:divBdr>
    </w:div>
    <w:div w:id="875970713">
      <w:bodyDiv w:val="1"/>
      <w:marLeft w:val="0"/>
      <w:marRight w:val="0"/>
      <w:marTop w:val="0"/>
      <w:marBottom w:val="0"/>
      <w:divBdr>
        <w:top w:val="none" w:sz="0" w:space="0" w:color="auto"/>
        <w:left w:val="none" w:sz="0" w:space="0" w:color="auto"/>
        <w:bottom w:val="none" w:sz="0" w:space="0" w:color="auto"/>
        <w:right w:val="none" w:sz="0" w:space="0" w:color="auto"/>
      </w:divBdr>
    </w:div>
    <w:div w:id="887959706">
      <w:bodyDiv w:val="1"/>
      <w:marLeft w:val="0"/>
      <w:marRight w:val="0"/>
      <w:marTop w:val="0"/>
      <w:marBottom w:val="0"/>
      <w:divBdr>
        <w:top w:val="none" w:sz="0" w:space="0" w:color="auto"/>
        <w:left w:val="none" w:sz="0" w:space="0" w:color="auto"/>
        <w:bottom w:val="none" w:sz="0" w:space="0" w:color="auto"/>
        <w:right w:val="none" w:sz="0" w:space="0" w:color="auto"/>
      </w:divBdr>
    </w:div>
    <w:div w:id="910849126">
      <w:bodyDiv w:val="1"/>
      <w:marLeft w:val="0"/>
      <w:marRight w:val="0"/>
      <w:marTop w:val="0"/>
      <w:marBottom w:val="0"/>
      <w:divBdr>
        <w:top w:val="none" w:sz="0" w:space="0" w:color="auto"/>
        <w:left w:val="none" w:sz="0" w:space="0" w:color="auto"/>
        <w:bottom w:val="none" w:sz="0" w:space="0" w:color="auto"/>
        <w:right w:val="none" w:sz="0" w:space="0" w:color="auto"/>
      </w:divBdr>
    </w:div>
    <w:div w:id="921764810">
      <w:bodyDiv w:val="1"/>
      <w:marLeft w:val="0"/>
      <w:marRight w:val="0"/>
      <w:marTop w:val="0"/>
      <w:marBottom w:val="0"/>
      <w:divBdr>
        <w:top w:val="none" w:sz="0" w:space="0" w:color="auto"/>
        <w:left w:val="none" w:sz="0" w:space="0" w:color="auto"/>
        <w:bottom w:val="none" w:sz="0" w:space="0" w:color="auto"/>
        <w:right w:val="none" w:sz="0" w:space="0" w:color="auto"/>
      </w:divBdr>
    </w:div>
    <w:div w:id="934705975">
      <w:bodyDiv w:val="1"/>
      <w:marLeft w:val="0"/>
      <w:marRight w:val="0"/>
      <w:marTop w:val="0"/>
      <w:marBottom w:val="0"/>
      <w:divBdr>
        <w:top w:val="none" w:sz="0" w:space="0" w:color="auto"/>
        <w:left w:val="none" w:sz="0" w:space="0" w:color="auto"/>
        <w:bottom w:val="none" w:sz="0" w:space="0" w:color="auto"/>
        <w:right w:val="none" w:sz="0" w:space="0" w:color="auto"/>
      </w:divBdr>
    </w:div>
    <w:div w:id="952827934">
      <w:bodyDiv w:val="1"/>
      <w:marLeft w:val="0"/>
      <w:marRight w:val="0"/>
      <w:marTop w:val="0"/>
      <w:marBottom w:val="0"/>
      <w:divBdr>
        <w:top w:val="none" w:sz="0" w:space="0" w:color="auto"/>
        <w:left w:val="none" w:sz="0" w:space="0" w:color="auto"/>
        <w:bottom w:val="none" w:sz="0" w:space="0" w:color="auto"/>
        <w:right w:val="none" w:sz="0" w:space="0" w:color="auto"/>
      </w:divBdr>
    </w:div>
    <w:div w:id="1060321789">
      <w:bodyDiv w:val="1"/>
      <w:marLeft w:val="0"/>
      <w:marRight w:val="0"/>
      <w:marTop w:val="0"/>
      <w:marBottom w:val="0"/>
      <w:divBdr>
        <w:top w:val="none" w:sz="0" w:space="0" w:color="auto"/>
        <w:left w:val="none" w:sz="0" w:space="0" w:color="auto"/>
        <w:bottom w:val="none" w:sz="0" w:space="0" w:color="auto"/>
        <w:right w:val="none" w:sz="0" w:space="0" w:color="auto"/>
      </w:divBdr>
    </w:div>
    <w:div w:id="1070736064">
      <w:bodyDiv w:val="1"/>
      <w:marLeft w:val="0"/>
      <w:marRight w:val="0"/>
      <w:marTop w:val="0"/>
      <w:marBottom w:val="0"/>
      <w:divBdr>
        <w:top w:val="none" w:sz="0" w:space="0" w:color="auto"/>
        <w:left w:val="none" w:sz="0" w:space="0" w:color="auto"/>
        <w:bottom w:val="none" w:sz="0" w:space="0" w:color="auto"/>
        <w:right w:val="none" w:sz="0" w:space="0" w:color="auto"/>
      </w:divBdr>
    </w:div>
    <w:div w:id="1096288685">
      <w:bodyDiv w:val="1"/>
      <w:marLeft w:val="0"/>
      <w:marRight w:val="0"/>
      <w:marTop w:val="0"/>
      <w:marBottom w:val="0"/>
      <w:divBdr>
        <w:top w:val="none" w:sz="0" w:space="0" w:color="auto"/>
        <w:left w:val="none" w:sz="0" w:space="0" w:color="auto"/>
        <w:bottom w:val="none" w:sz="0" w:space="0" w:color="auto"/>
        <w:right w:val="none" w:sz="0" w:space="0" w:color="auto"/>
      </w:divBdr>
    </w:div>
    <w:div w:id="1121143689">
      <w:bodyDiv w:val="1"/>
      <w:marLeft w:val="0"/>
      <w:marRight w:val="0"/>
      <w:marTop w:val="0"/>
      <w:marBottom w:val="0"/>
      <w:divBdr>
        <w:top w:val="none" w:sz="0" w:space="0" w:color="auto"/>
        <w:left w:val="none" w:sz="0" w:space="0" w:color="auto"/>
        <w:bottom w:val="none" w:sz="0" w:space="0" w:color="auto"/>
        <w:right w:val="none" w:sz="0" w:space="0" w:color="auto"/>
      </w:divBdr>
    </w:div>
    <w:div w:id="1142111766">
      <w:bodyDiv w:val="1"/>
      <w:marLeft w:val="0"/>
      <w:marRight w:val="0"/>
      <w:marTop w:val="0"/>
      <w:marBottom w:val="0"/>
      <w:divBdr>
        <w:top w:val="none" w:sz="0" w:space="0" w:color="auto"/>
        <w:left w:val="none" w:sz="0" w:space="0" w:color="auto"/>
        <w:bottom w:val="none" w:sz="0" w:space="0" w:color="auto"/>
        <w:right w:val="none" w:sz="0" w:space="0" w:color="auto"/>
      </w:divBdr>
    </w:div>
    <w:div w:id="1146749580">
      <w:bodyDiv w:val="1"/>
      <w:marLeft w:val="0"/>
      <w:marRight w:val="0"/>
      <w:marTop w:val="0"/>
      <w:marBottom w:val="0"/>
      <w:divBdr>
        <w:top w:val="none" w:sz="0" w:space="0" w:color="auto"/>
        <w:left w:val="none" w:sz="0" w:space="0" w:color="auto"/>
        <w:bottom w:val="none" w:sz="0" w:space="0" w:color="auto"/>
        <w:right w:val="none" w:sz="0" w:space="0" w:color="auto"/>
      </w:divBdr>
    </w:div>
    <w:div w:id="1149589980">
      <w:bodyDiv w:val="1"/>
      <w:marLeft w:val="0"/>
      <w:marRight w:val="0"/>
      <w:marTop w:val="0"/>
      <w:marBottom w:val="0"/>
      <w:divBdr>
        <w:top w:val="none" w:sz="0" w:space="0" w:color="auto"/>
        <w:left w:val="none" w:sz="0" w:space="0" w:color="auto"/>
        <w:bottom w:val="none" w:sz="0" w:space="0" w:color="auto"/>
        <w:right w:val="none" w:sz="0" w:space="0" w:color="auto"/>
      </w:divBdr>
    </w:div>
    <w:div w:id="1149596755">
      <w:bodyDiv w:val="1"/>
      <w:marLeft w:val="0"/>
      <w:marRight w:val="0"/>
      <w:marTop w:val="0"/>
      <w:marBottom w:val="0"/>
      <w:divBdr>
        <w:top w:val="none" w:sz="0" w:space="0" w:color="auto"/>
        <w:left w:val="none" w:sz="0" w:space="0" w:color="auto"/>
        <w:bottom w:val="none" w:sz="0" w:space="0" w:color="auto"/>
        <w:right w:val="none" w:sz="0" w:space="0" w:color="auto"/>
      </w:divBdr>
    </w:div>
    <w:div w:id="1166507363">
      <w:bodyDiv w:val="1"/>
      <w:marLeft w:val="0"/>
      <w:marRight w:val="0"/>
      <w:marTop w:val="0"/>
      <w:marBottom w:val="0"/>
      <w:divBdr>
        <w:top w:val="none" w:sz="0" w:space="0" w:color="auto"/>
        <w:left w:val="none" w:sz="0" w:space="0" w:color="auto"/>
        <w:bottom w:val="none" w:sz="0" w:space="0" w:color="auto"/>
        <w:right w:val="none" w:sz="0" w:space="0" w:color="auto"/>
      </w:divBdr>
    </w:div>
    <w:div w:id="1177158538">
      <w:bodyDiv w:val="1"/>
      <w:marLeft w:val="0"/>
      <w:marRight w:val="0"/>
      <w:marTop w:val="0"/>
      <w:marBottom w:val="0"/>
      <w:divBdr>
        <w:top w:val="none" w:sz="0" w:space="0" w:color="auto"/>
        <w:left w:val="none" w:sz="0" w:space="0" w:color="auto"/>
        <w:bottom w:val="none" w:sz="0" w:space="0" w:color="auto"/>
        <w:right w:val="none" w:sz="0" w:space="0" w:color="auto"/>
      </w:divBdr>
    </w:div>
    <w:div w:id="1204369781">
      <w:bodyDiv w:val="1"/>
      <w:marLeft w:val="0"/>
      <w:marRight w:val="0"/>
      <w:marTop w:val="0"/>
      <w:marBottom w:val="0"/>
      <w:divBdr>
        <w:top w:val="none" w:sz="0" w:space="0" w:color="auto"/>
        <w:left w:val="none" w:sz="0" w:space="0" w:color="auto"/>
        <w:bottom w:val="none" w:sz="0" w:space="0" w:color="auto"/>
        <w:right w:val="none" w:sz="0" w:space="0" w:color="auto"/>
      </w:divBdr>
    </w:div>
    <w:div w:id="1208180446">
      <w:bodyDiv w:val="1"/>
      <w:marLeft w:val="0"/>
      <w:marRight w:val="0"/>
      <w:marTop w:val="0"/>
      <w:marBottom w:val="0"/>
      <w:divBdr>
        <w:top w:val="none" w:sz="0" w:space="0" w:color="auto"/>
        <w:left w:val="none" w:sz="0" w:space="0" w:color="auto"/>
        <w:bottom w:val="none" w:sz="0" w:space="0" w:color="auto"/>
        <w:right w:val="none" w:sz="0" w:space="0" w:color="auto"/>
      </w:divBdr>
    </w:div>
    <w:div w:id="1222863811">
      <w:bodyDiv w:val="1"/>
      <w:marLeft w:val="0"/>
      <w:marRight w:val="0"/>
      <w:marTop w:val="0"/>
      <w:marBottom w:val="0"/>
      <w:divBdr>
        <w:top w:val="none" w:sz="0" w:space="0" w:color="auto"/>
        <w:left w:val="none" w:sz="0" w:space="0" w:color="auto"/>
        <w:bottom w:val="none" w:sz="0" w:space="0" w:color="auto"/>
        <w:right w:val="none" w:sz="0" w:space="0" w:color="auto"/>
      </w:divBdr>
    </w:div>
    <w:div w:id="1227450672">
      <w:bodyDiv w:val="1"/>
      <w:marLeft w:val="0"/>
      <w:marRight w:val="0"/>
      <w:marTop w:val="0"/>
      <w:marBottom w:val="0"/>
      <w:divBdr>
        <w:top w:val="none" w:sz="0" w:space="0" w:color="auto"/>
        <w:left w:val="none" w:sz="0" w:space="0" w:color="auto"/>
        <w:bottom w:val="none" w:sz="0" w:space="0" w:color="auto"/>
        <w:right w:val="none" w:sz="0" w:space="0" w:color="auto"/>
      </w:divBdr>
    </w:div>
    <w:div w:id="1238324750">
      <w:bodyDiv w:val="1"/>
      <w:marLeft w:val="0"/>
      <w:marRight w:val="0"/>
      <w:marTop w:val="0"/>
      <w:marBottom w:val="0"/>
      <w:divBdr>
        <w:top w:val="none" w:sz="0" w:space="0" w:color="auto"/>
        <w:left w:val="none" w:sz="0" w:space="0" w:color="auto"/>
        <w:bottom w:val="none" w:sz="0" w:space="0" w:color="auto"/>
        <w:right w:val="none" w:sz="0" w:space="0" w:color="auto"/>
      </w:divBdr>
    </w:div>
    <w:div w:id="1240554962">
      <w:bodyDiv w:val="1"/>
      <w:marLeft w:val="0"/>
      <w:marRight w:val="0"/>
      <w:marTop w:val="0"/>
      <w:marBottom w:val="0"/>
      <w:divBdr>
        <w:top w:val="none" w:sz="0" w:space="0" w:color="auto"/>
        <w:left w:val="none" w:sz="0" w:space="0" w:color="auto"/>
        <w:bottom w:val="none" w:sz="0" w:space="0" w:color="auto"/>
        <w:right w:val="none" w:sz="0" w:space="0" w:color="auto"/>
      </w:divBdr>
    </w:div>
    <w:div w:id="1263034440">
      <w:bodyDiv w:val="1"/>
      <w:marLeft w:val="0"/>
      <w:marRight w:val="0"/>
      <w:marTop w:val="0"/>
      <w:marBottom w:val="0"/>
      <w:divBdr>
        <w:top w:val="none" w:sz="0" w:space="0" w:color="auto"/>
        <w:left w:val="none" w:sz="0" w:space="0" w:color="auto"/>
        <w:bottom w:val="none" w:sz="0" w:space="0" w:color="auto"/>
        <w:right w:val="none" w:sz="0" w:space="0" w:color="auto"/>
      </w:divBdr>
    </w:div>
    <w:div w:id="1279222341">
      <w:bodyDiv w:val="1"/>
      <w:marLeft w:val="0"/>
      <w:marRight w:val="0"/>
      <w:marTop w:val="0"/>
      <w:marBottom w:val="0"/>
      <w:divBdr>
        <w:top w:val="none" w:sz="0" w:space="0" w:color="auto"/>
        <w:left w:val="none" w:sz="0" w:space="0" w:color="auto"/>
        <w:bottom w:val="none" w:sz="0" w:space="0" w:color="auto"/>
        <w:right w:val="none" w:sz="0" w:space="0" w:color="auto"/>
      </w:divBdr>
    </w:div>
    <w:div w:id="1292637013">
      <w:bodyDiv w:val="1"/>
      <w:marLeft w:val="0"/>
      <w:marRight w:val="0"/>
      <w:marTop w:val="0"/>
      <w:marBottom w:val="0"/>
      <w:divBdr>
        <w:top w:val="none" w:sz="0" w:space="0" w:color="auto"/>
        <w:left w:val="none" w:sz="0" w:space="0" w:color="auto"/>
        <w:bottom w:val="none" w:sz="0" w:space="0" w:color="auto"/>
        <w:right w:val="none" w:sz="0" w:space="0" w:color="auto"/>
      </w:divBdr>
    </w:div>
    <w:div w:id="1292979441">
      <w:bodyDiv w:val="1"/>
      <w:marLeft w:val="0"/>
      <w:marRight w:val="0"/>
      <w:marTop w:val="0"/>
      <w:marBottom w:val="0"/>
      <w:divBdr>
        <w:top w:val="none" w:sz="0" w:space="0" w:color="auto"/>
        <w:left w:val="none" w:sz="0" w:space="0" w:color="auto"/>
        <w:bottom w:val="none" w:sz="0" w:space="0" w:color="auto"/>
        <w:right w:val="none" w:sz="0" w:space="0" w:color="auto"/>
      </w:divBdr>
    </w:div>
    <w:div w:id="1303148255">
      <w:bodyDiv w:val="1"/>
      <w:marLeft w:val="0"/>
      <w:marRight w:val="0"/>
      <w:marTop w:val="0"/>
      <w:marBottom w:val="0"/>
      <w:divBdr>
        <w:top w:val="none" w:sz="0" w:space="0" w:color="auto"/>
        <w:left w:val="none" w:sz="0" w:space="0" w:color="auto"/>
        <w:bottom w:val="none" w:sz="0" w:space="0" w:color="auto"/>
        <w:right w:val="none" w:sz="0" w:space="0" w:color="auto"/>
      </w:divBdr>
    </w:div>
    <w:div w:id="1318192754">
      <w:bodyDiv w:val="1"/>
      <w:marLeft w:val="0"/>
      <w:marRight w:val="0"/>
      <w:marTop w:val="0"/>
      <w:marBottom w:val="0"/>
      <w:divBdr>
        <w:top w:val="none" w:sz="0" w:space="0" w:color="auto"/>
        <w:left w:val="none" w:sz="0" w:space="0" w:color="auto"/>
        <w:bottom w:val="none" w:sz="0" w:space="0" w:color="auto"/>
        <w:right w:val="none" w:sz="0" w:space="0" w:color="auto"/>
      </w:divBdr>
    </w:div>
    <w:div w:id="1349481541">
      <w:bodyDiv w:val="1"/>
      <w:marLeft w:val="0"/>
      <w:marRight w:val="0"/>
      <w:marTop w:val="0"/>
      <w:marBottom w:val="0"/>
      <w:divBdr>
        <w:top w:val="none" w:sz="0" w:space="0" w:color="auto"/>
        <w:left w:val="none" w:sz="0" w:space="0" w:color="auto"/>
        <w:bottom w:val="none" w:sz="0" w:space="0" w:color="auto"/>
        <w:right w:val="none" w:sz="0" w:space="0" w:color="auto"/>
      </w:divBdr>
    </w:div>
    <w:div w:id="1365247893">
      <w:bodyDiv w:val="1"/>
      <w:marLeft w:val="0"/>
      <w:marRight w:val="0"/>
      <w:marTop w:val="0"/>
      <w:marBottom w:val="0"/>
      <w:divBdr>
        <w:top w:val="none" w:sz="0" w:space="0" w:color="auto"/>
        <w:left w:val="none" w:sz="0" w:space="0" w:color="auto"/>
        <w:bottom w:val="none" w:sz="0" w:space="0" w:color="auto"/>
        <w:right w:val="none" w:sz="0" w:space="0" w:color="auto"/>
      </w:divBdr>
    </w:div>
    <w:div w:id="1395740382">
      <w:bodyDiv w:val="1"/>
      <w:marLeft w:val="0"/>
      <w:marRight w:val="0"/>
      <w:marTop w:val="0"/>
      <w:marBottom w:val="0"/>
      <w:divBdr>
        <w:top w:val="none" w:sz="0" w:space="0" w:color="auto"/>
        <w:left w:val="none" w:sz="0" w:space="0" w:color="auto"/>
        <w:bottom w:val="none" w:sz="0" w:space="0" w:color="auto"/>
        <w:right w:val="none" w:sz="0" w:space="0" w:color="auto"/>
      </w:divBdr>
    </w:div>
    <w:div w:id="1410613490">
      <w:bodyDiv w:val="1"/>
      <w:marLeft w:val="0"/>
      <w:marRight w:val="0"/>
      <w:marTop w:val="0"/>
      <w:marBottom w:val="0"/>
      <w:divBdr>
        <w:top w:val="none" w:sz="0" w:space="0" w:color="auto"/>
        <w:left w:val="none" w:sz="0" w:space="0" w:color="auto"/>
        <w:bottom w:val="none" w:sz="0" w:space="0" w:color="auto"/>
        <w:right w:val="none" w:sz="0" w:space="0" w:color="auto"/>
      </w:divBdr>
    </w:div>
    <w:div w:id="1482698166">
      <w:bodyDiv w:val="1"/>
      <w:marLeft w:val="0"/>
      <w:marRight w:val="0"/>
      <w:marTop w:val="0"/>
      <w:marBottom w:val="0"/>
      <w:divBdr>
        <w:top w:val="none" w:sz="0" w:space="0" w:color="auto"/>
        <w:left w:val="none" w:sz="0" w:space="0" w:color="auto"/>
        <w:bottom w:val="none" w:sz="0" w:space="0" w:color="auto"/>
        <w:right w:val="none" w:sz="0" w:space="0" w:color="auto"/>
      </w:divBdr>
    </w:div>
    <w:div w:id="1488748300">
      <w:bodyDiv w:val="1"/>
      <w:marLeft w:val="0"/>
      <w:marRight w:val="0"/>
      <w:marTop w:val="0"/>
      <w:marBottom w:val="0"/>
      <w:divBdr>
        <w:top w:val="none" w:sz="0" w:space="0" w:color="auto"/>
        <w:left w:val="none" w:sz="0" w:space="0" w:color="auto"/>
        <w:bottom w:val="none" w:sz="0" w:space="0" w:color="auto"/>
        <w:right w:val="none" w:sz="0" w:space="0" w:color="auto"/>
      </w:divBdr>
    </w:div>
    <w:div w:id="1491218193">
      <w:bodyDiv w:val="1"/>
      <w:marLeft w:val="0"/>
      <w:marRight w:val="0"/>
      <w:marTop w:val="0"/>
      <w:marBottom w:val="0"/>
      <w:divBdr>
        <w:top w:val="none" w:sz="0" w:space="0" w:color="auto"/>
        <w:left w:val="none" w:sz="0" w:space="0" w:color="auto"/>
        <w:bottom w:val="none" w:sz="0" w:space="0" w:color="auto"/>
        <w:right w:val="none" w:sz="0" w:space="0" w:color="auto"/>
      </w:divBdr>
    </w:div>
    <w:div w:id="1541362030">
      <w:bodyDiv w:val="1"/>
      <w:marLeft w:val="0"/>
      <w:marRight w:val="0"/>
      <w:marTop w:val="0"/>
      <w:marBottom w:val="0"/>
      <w:divBdr>
        <w:top w:val="none" w:sz="0" w:space="0" w:color="auto"/>
        <w:left w:val="none" w:sz="0" w:space="0" w:color="auto"/>
        <w:bottom w:val="none" w:sz="0" w:space="0" w:color="auto"/>
        <w:right w:val="none" w:sz="0" w:space="0" w:color="auto"/>
      </w:divBdr>
    </w:div>
    <w:div w:id="1563564928">
      <w:bodyDiv w:val="1"/>
      <w:marLeft w:val="0"/>
      <w:marRight w:val="0"/>
      <w:marTop w:val="0"/>
      <w:marBottom w:val="0"/>
      <w:divBdr>
        <w:top w:val="none" w:sz="0" w:space="0" w:color="auto"/>
        <w:left w:val="none" w:sz="0" w:space="0" w:color="auto"/>
        <w:bottom w:val="none" w:sz="0" w:space="0" w:color="auto"/>
        <w:right w:val="none" w:sz="0" w:space="0" w:color="auto"/>
      </w:divBdr>
    </w:div>
    <w:div w:id="1584486929">
      <w:bodyDiv w:val="1"/>
      <w:marLeft w:val="0"/>
      <w:marRight w:val="0"/>
      <w:marTop w:val="0"/>
      <w:marBottom w:val="0"/>
      <w:divBdr>
        <w:top w:val="none" w:sz="0" w:space="0" w:color="auto"/>
        <w:left w:val="none" w:sz="0" w:space="0" w:color="auto"/>
        <w:bottom w:val="none" w:sz="0" w:space="0" w:color="auto"/>
        <w:right w:val="none" w:sz="0" w:space="0" w:color="auto"/>
      </w:divBdr>
    </w:div>
    <w:div w:id="1663896990">
      <w:bodyDiv w:val="1"/>
      <w:marLeft w:val="0"/>
      <w:marRight w:val="0"/>
      <w:marTop w:val="0"/>
      <w:marBottom w:val="0"/>
      <w:divBdr>
        <w:top w:val="none" w:sz="0" w:space="0" w:color="auto"/>
        <w:left w:val="none" w:sz="0" w:space="0" w:color="auto"/>
        <w:bottom w:val="none" w:sz="0" w:space="0" w:color="auto"/>
        <w:right w:val="none" w:sz="0" w:space="0" w:color="auto"/>
      </w:divBdr>
    </w:div>
    <w:div w:id="1671983403">
      <w:bodyDiv w:val="1"/>
      <w:marLeft w:val="0"/>
      <w:marRight w:val="0"/>
      <w:marTop w:val="0"/>
      <w:marBottom w:val="0"/>
      <w:divBdr>
        <w:top w:val="none" w:sz="0" w:space="0" w:color="auto"/>
        <w:left w:val="none" w:sz="0" w:space="0" w:color="auto"/>
        <w:bottom w:val="none" w:sz="0" w:space="0" w:color="auto"/>
        <w:right w:val="none" w:sz="0" w:space="0" w:color="auto"/>
      </w:divBdr>
    </w:div>
    <w:div w:id="1688945657">
      <w:bodyDiv w:val="1"/>
      <w:marLeft w:val="0"/>
      <w:marRight w:val="0"/>
      <w:marTop w:val="0"/>
      <w:marBottom w:val="0"/>
      <w:divBdr>
        <w:top w:val="none" w:sz="0" w:space="0" w:color="auto"/>
        <w:left w:val="none" w:sz="0" w:space="0" w:color="auto"/>
        <w:bottom w:val="none" w:sz="0" w:space="0" w:color="auto"/>
        <w:right w:val="none" w:sz="0" w:space="0" w:color="auto"/>
      </w:divBdr>
    </w:div>
    <w:div w:id="1704209204">
      <w:bodyDiv w:val="1"/>
      <w:marLeft w:val="0"/>
      <w:marRight w:val="0"/>
      <w:marTop w:val="0"/>
      <w:marBottom w:val="0"/>
      <w:divBdr>
        <w:top w:val="none" w:sz="0" w:space="0" w:color="auto"/>
        <w:left w:val="none" w:sz="0" w:space="0" w:color="auto"/>
        <w:bottom w:val="none" w:sz="0" w:space="0" w:color="auto"/>
        <w:right w:val="none" w:sz="0" w:space="0" w:color="auto"/>
      </w:divBdr>
    </w:div>
    <w:div w:id="1720280652">
      <w:bodyDiv w:val="1"/>
      <w:marLeft w:val="0"/>
      <w:marRight w:val="0"/>
      <w:marTop w:val="0"/>
      <w:marBottom w:val="0"/>
      <w:divBdr>
        <w:top w:val="none" w:sz="0" w:space="0" w:color="auto"/>
        <w:left w:val="none" w:sz="0" w:space="0" w:color="auto"/>
        <w:bottom w:val="none" w:sz="0" w:space="0" w:color="auto"/>
        <w:right w:val="none" w:sz="0" w:space="0" w:color="auto"/>
      </w:divBdr>
    </w:div>
    <w:div w:id="1733960535">
      <w:bodyDiv w:val="1"/>
      <w:marLeft w:val="0"/>
      <w:marRight w:val="0"/>
      <w:marTop w:val="0"/>
      <w:marBottom w:val="0"/>
      <w:divBdr>
        <w:top w:val="none" w:sz="0" w:space="0" w:color="auto"/>
        <w:left w:val="none" w:sz="0" w:space="0" w:color="auto"/>
        <w:bottom w:val="none" w:sz="0" w:space="0" w:color="auto"/>
        <w:right w:val="none" w:sz="0" w:space="0" w:color="auto"/>
      </w:divBdr>
    </w:div>
    <w:div w:id="1758165129">
      <w:bodyDiv w:val="1"/>
      <w:marLeft w:val="0"/>
      <w:marRight w:val="0"/>
      <w:marTop w:val="0"/>
      <w:marBottom w:val="0"/>
      <w:divBdr>
        <w:top w:val="none" w:sz="0" w:space="0" w:color="auto"/>
        <w:left w:val="none" w:sz="0" w:space="0" w:color="auto"/>
        <w:bottom w:val="none" w:sz="0" w:space="0" w:color="auto"/>
        <w:right w:val="none" w:sz="0" w:space="0" w:color="auto"/>
      </w:divBdr>
    </w:div>
    <w:div w:id="1785881260">
      <w:bodyDiv w:val="1"/>
      <w:marLeft w:val="0"/>
      <w:marRight w:val="0"/>
      <w:marTop w:val="0"/>
      <w:marBottom w:val="0"/>
      <w:divBdr>
        <w:top w:val="none" w:sz="0" w:space="0" w:color="auto"/>
        <w:left w:val="none" w:sz="0" w:space="0" w:color="auto"/>
        <w:bottom w:val="none" w:sz="0" w:space="0" w:color="auto"/>
        <w:right w:val="none" w:sz="0" w:space="0" w:color="auto"/>
      </w:divBdr>
    </w:div>
    <w:div w:id="1811945671">
      <w:bodyDiv w:val="1"/>
      <w:marLeft w:val="0"/>
      <w:marRight w:val="0"/>
      <w:marTop w:val="0"/>
      <w:marBottom w:val="0"/>
      <w:divBdr>
        <w:top w:val="none" w:sz="0" w:space="0" w:color="auto"/>
        <w:left w:val="none" w:sz="0" w:space="0" w:color="auto"/>
        <w:bottom w:val="none" w:sz="0" w:space="0" w:color="auto"/>
        <w:right w:val="none" w:sz="0" w:space="0" w:color="auto"/>
      </w:divBdr>
    </w:div>
    <w:div w:id="1861620433">
      <w:bodyDiv w:val="1"/>
      <w:marLeft w:val="0"/>
      <w:marRight w:val="0"/>
      <w:marTop w:val="0"/>
      <w:marBottom w:val="0"/>
      <w:divBdr>
        <w:top w:val="none" w:sz="0" w:space="0" w:color="auto"/>
        <w:left w:val="none" w:sz="0" w:space="0" w:color="auto"/>
        <w:bottom w:val="none" w:sz="0" w:space="0" w:color="auto"/>
        <w:right w:val="none" w:sz="0" w:space="0" w:color="auto"/>
      </w:divBdr>
    </w:div>
    <w:div w:id="1869951907">
      <w:bodyDiv w:val="1"/>
      <w:marLeft w:val="0"/>
      <w:marRight w:val="0"/>
      <w:marTop w:val="0"/>
      <w:marBottom w:val="0"/>
      <w:divBdr>
        <w:top w:val="none" w:sz="0" w:space="0" w:color="auto"/>
        <w:left w:val="none" w:sz="0" w:space="0" w:color="auto"/>
        <w:bottom w:val="none" w:sz="0" w:space="0" w:color="auto"/>
        <w:right w:val="none" w:sz="0" w:space="0" w:color="auto"/>
      </w:divBdr>
    </w:div>
    <w:div w:id="1897351306">
      <w:bodyDiv w:val="1"/>
      <w:marLeft w:val="0"/>
      <w:marRight w:val="0"/>
      <w:marTop w:val="0"/>
      <w:marBottom w:val="0"/>
      <w:divBdr>
        <w:top w:val="none" w:sz="0" w:space="0" w:color="auto"/>
        <w:left w:val="none" w:sz="0" w:space="0" w:color="auto"/>
        <w:bottom w:val="none" w:sz="0" w:space="0" w:color="auto"/>
        <w:right w:val="none" w:sz="0" w:space="0" w:color="auto"/>
      </w:divBdr>
    </w:div>
    <w:div w:id="1927107230">
      <w:bodyDiv w:val="1"/>
      <w:marLeft w:val="0"/>
      <w:marRight w:val="0"/>
      <w:marTop w:val="0"/>
      <w:marBottom w:val="0"/>
      <w:divBdr>
        <w:top w:val="none" w:sz="0" w:space="0" w:color="auto"/>
        <w:left w:val="none" w:sz="0" w:space="0" w:color="auto"/>
        <w:bottom w:val="none" w:sz="0" w:space="0" w:color="auto"/>
        <w:right w:val="none" w:sz="0" w:space="0" w:color="auto"/>
      </w:divBdr>
    </w:div>
    <w:div w:id="1962103896">
      <w:bodyDiv w:val="1"/>
      <w:marLeft w:val="0"/>
      <w:marRight w:val="0"/>
      <w:marTop w:val="0"/>
      <w:marBottom w:val="0"/>
      <w:divBdr>
        <w:top w:val="none" w:sz="0" w:space="0" w:color="auto"/>
        <w:left w:val="none" w:sz="0" w:space="0" w:color="auto"/>
        <w:bottom w:val="none" w:sz="0" w:space="0" w:color="auto"/>
        <w:right w:val="none" w:sz="0" w:space="0" w:color="auto"/>
      </w:divBdr>
    </w:div>
    <w:div w:id="1962758511">
      <w:bodyDiv w:val="1"/>
      <w:marLeft w:val="0"/>
      <w:marRight w:val="0"/>
      <w:marTop w:val="0"/>
      <w:marBottom w:val="0"/>
      <w:divBdr>
        <w:top w:val="none" w:sz="0" w:space="0" w:color="auto"/>
        <w:left w:val="none" w:sz="0" w:space="0" w:color="auto"/>
        <w:bottom w:val="none" w:sz="0" w:space="0" w:color="auto"/>
        <w:right w:val="none" w:sz="0" w:space="0" w:color="auto"/>
      </w:divBdr>
    </w:div>
    <w:div w:id="1966155330">
      <w:bodyDiv w:val="1"/>
      <w:marLeft w:val="0"/>
      <w:marRight w:val="0"/>
      <w:marTop w:val="0"/>
      <w:marBottom w:val="0"/>
      <w:divBdr>
        <w:top w:val="none" w:sz="0" w:space="0" w:color="auto"/>
        <w:left w:val="none" w:sz="0" w:space="0" w:color="auto"/>
        <w:bottom w:val="none" w:sz="0" w:space="0" w:color="auto"/>
        <w:right w:val="none" w:sz="0" w:space="0" w:color="auto"/>
      </w:divBdr>
    </w:div>
    <w:div w:id="1993752961">
      <w:bodyDiv w:val="1"/>
      <w:marLeft w:val="0"/>
      <w:marRight w:val="0"/>
      <w:marTop w:val="0"/>
      <w:marBottom w:val="0"/>
      <w:divBdr>
        <w:top w:val="none" w:sz="0" w:space="0" w:color="auto"/>
        <w:left w:val="none" w:sz="0" w:space="0" w:color="auto"/>
        <w:bottom w:val="none" w:sz="0" w:space="0" w:color="auto"/>
        <w:right w:val="none" w:sz="0" w:space="0" w:color="auto"/>
      </w:divBdr>
    </w:div>
    <w:div w:id="2050717720">
      <w:bodyDiv w:val="1"/>
      <w:marLeft w:val="0"/>
      <w:marRight w:val="0"/>
      <w:marTop w:val="0"/>
      <w:marBottom w:val="0"/>
      <w:divBdr>
        <w:top w:val="none" w:sz="0" w:space="0" w:color="auto"/>
        <w:left w:val="none" w:sz="0" w:space="0" w:color="auto"/>
        <w:bottom w:val="none" w:sz="0" w:space="0" w:color="auto"/>
        <w:right w:val="none" w:sz="0" w:space="0" w:color="auto"/>
      </w:divBdr>
    </w:div>
    <w:div w:id="2111077527">
      <w:bodyDiv w:val="1"/>
      <w:marLeft w:val="0"/>
      <w:marRight w:val="0"/>
      <w:marTop w:val="0"/>
      <w:marBottom w:val="0"/>
      <w:divBdr>
        <w:top w:val="none" w:sz="0" w:space="0" w:color="auto"/>
        <w:left w:val="none" w:sz="0" w:space="0" w:color="auto"/>
        <w:bottom w:val="none" w:sz="0" w:space="0" w:color="auto"/>
        <w:right w:val="none" w:sz="0" w:space="0" w:color="auto"/>
      </w:divBdr>
    </w:div>
    <w:div w:id="2125225496">
      <w:bodyDiv w:val="1"/>
      <w:marLeft w:val="0"/>
      <w:marRight w:val="0"/>
      <w:marTop w:val="0"/>
      <w:marBottom w:val="0"/>
      <w:divBdr>
        <w:top w:val="none" w:sz="0" w:space="0" w:color="auto"/>
        <w:left w:val="none" w:sz="0" w:space="0" w:color="auto"/>
        <w:bottom w:val="none" w:sz="0" w:space="0" w:color="auto"/>
        <w:right w:val="none" w:sz="0" w:space="0" w:color="auto"/>
      </w:divBdr>
    </w:div>
    <w:div w:id="2133356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mp"/><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tmp"/><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mp"/><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187.174.218.138/RMTYS/PAGINA/index.php?NUM_CEDULA=857"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cgproteccioncivil.edomex.gob.mx/planes_emergencia"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aIr9UojQM/wV1y+E4JPptzeNOA==">AMUW2mX6XfWilKOZK325xv/8M4yzOmA2OkxSKU0cxeQkI7/5C+L14wzYNPjHVed38/q5p+UJBCIwrB1FJ81EWWzvz1TYXvB7p50zJ/cXBPaOV3ut7E7zbwDZNHEZBBoL0vthUU+e2Gs1hK9VUYOLeXNIGt3WyENayg==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F1C67C2-D9B6-4ABD-A522-CA3F406FF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9648</Words>
  <Characters>53067</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2025-09-19T00:28:00Z</cp:lastPrinted>
  <dcterms:created xsi:type="dcterms:W3CDTF">2025-09-19T00:28:00Z</dcterms:created>
  <dcterms:modified xsi:type="dcterms:W3CDTF">2025-09-19T00:28:00Z</dcterms:modified>
</cp:coreProperties>
</file>