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F1F77" w14:textId="34B5474C" w:rsidR="00F12C46" w:rsidRPr="00A477B1" w:rsidRDefault="00095DD5">
      <w:pPr>
        <w:spacing w:line="360" w:lineRule="auto"/>
        <w:ind w:right="49"/>
        <w:jc w:val="both"/>
        <w:rPr>
          <w:rFonts w:ascii="Palatino Linotype" w:eastAsia="Palatino Linotype" w:hAnsi="Palatino Linotype" w:cs="Palatino Linotype"/>
          <w:sz w:val="22"/>
          <w:szCs w:val="22"/>
        </w:rPr>
      </w:pPr>
      <w:bookmarkStart w:id="0" w:name="_heading=h.gjdgxs" w:colFirst="0" w:colLast="0"/>
      <w:bookmarkEnd w:id="0"/>
      <w:r w:rsidRPr="00A477B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w:t>
      </w:r>
      <w:r w:rsidR="009B0D19" w:rsidRPr="00A477B1">
        <w:rPr>
          <w:rFonts w:ascii="Palatino Linotype" w:eastAsia="Palatino Linotype" w:hAnsi="Palatino Linotype" w:cs="Palatino Linotype"/>
          <w:b/>
          <w:sz w:val="22"/>
          <w:szCs w:val="22"/>
        </w:rPr>
        <w:t>veinticuatro de septiembre</w:t>
      </w:r>
      <w:r w:rsidRPr="00A477B1">
        <w:rPr>
          <w:rFonts w:ascii="Palatino Linotype" w:eastAsia="Palatino Linotype" w:hAnsi="Palatino Linotype" w:cs="Palatino Linotype"/>
          <w:b/>
          <w:sz w:val="22"/>
          <w:szCs w:val="22"/>
        </w:rPr>
        <w:t xml:space="preserve"> de dos mil veinticinco</w:t>
      </w:r>
      <w:r w:rsidRPr="00A477B1">
        <w:rPr>
          <w:rFonts w:ascii="Palatino Linotype" w:eastAsia="Palatino Linotype" w:hAnsi="Palatino Linotype" w:cs="Palatino Linotype"/>
          <w:sz w:val="22"/>
          <w:szCs w:val="22"/>
        </w:rPr>
        <w:t xml:space="preserve">. </w:t>
      </w:r>
    </w:p>
    <w:p w14:paraId="0AC6C68A" w14:textId="77777777" w:rsidR="00F12C46" w:rsidRPr="00A477B1" w:rsidRDefault="00F12C46">
      <w:pPr>
        <w:spacing w:line="360" w:lineRule="auto"/>
        <w:ind w:right="49"/>
        <w:jc w:val="both"/>
        <w:rPr>
          <w:rFonts w:ascii="Palatino Linotype" w:eastAsia="Palatino Linotype" w:hAnsi="Palatino Linotype" w:cs="Palatino Linotype"/>
          <w:sz w:val="22"/>
          <w:szCs w:val="22"/>
        </w:rPr>
      </w:pPr>
    </w:p>
    <w:p w14:paraId="06BB595B" w14:textId="7D16DCD6" w:rsidR="00F12C46" w:rsidRPr="00A477B1" w:rsidRDefault="00095DD5">
      <w:pPr>
        <w:spacing w:line="360" w:lineRule="auto"/>
        <w:ind w:right="49"/>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Visto el expediente relativo al recurso de revisión </w:t>
      </w:r>
      <w:r w:rsidRPr="00A477B1">
        <w:rPr>
          <w:rFonts w:ascii="Palatino Linotype" w:eastAsia="Palatino Linotype" w:hAnsi="Palatino Linotype" w:cs="Palatino Linotype"/>
          <w:b/>
          <w:sz w:val="22"/>
          <w:szCs w:val="22"/>
        </w:rPr>
        <w:t>0</w:t>
      </w:r>
      <w:r w:rsidR="009B0D19" w:rsidRPr="00A477B1">
        <w:rPr>
          <w:rFonts w:ascii="Palatino Linotype" w:eastAsia="Palatino Linotype" w:hAnsi="Palatino Linotype" w:cs="Palatino Linotype"/>
          <w:b/>
          <w:sz w:val="22"/>
          <w:szCs w:val="22"/>
        </w:rPr>
        <w:t>588</w:t>
      </w:r>
      <w:r w:rsidRPr="00A477B1">
        <w:rPr>
          <w:rFonts w:ascii="Palatino Linotype" w:eastAsia="Palatino Linotype" w:hAnsi="Palatino Linotype" w:cs="Palatino Linotype"/>
          <w:b/>
          <w:sz w:val="22"/>
          <w:szCs w:val="22"/>
        </w:rPr>
        <w:t>4/INFOEM/IP/RR/2025</w:t>
      </w:r>
      <w:r w:rsidRPr="00A477B1">
        <w:rPr>
          <w:rFonts w:ascii="Palatino Linotype" w:eastAsia="Palatino Linotype" w:hAnsi="Palatino Linotype" w:cs="Palatino Linotype"/>
          <w:sz w:val="22"/>
          <w:szCs w:val="22"/>
        </w:rPr>
        <w:t xml:space="preserve">, interpuesto por </w:t>
      </w:r>
      <w:r w:rsidR="009B0D19" w:rsidRPr="00A477B1">
        <w:rPr>
          <w:rFonts w:ascii="Palatino Linotype" w:eastAsia="Palatino Linotype" w:hAnsi="Palatino Linotype" w:cs="Palatino Linotype"/>
          <w:b/>
          <w:sz w:val="22"/>
          <w:szCs w:val="22"/>
        </w:rPr>
        <w:t>una persona usuaria del Sistema de Acceso a la Información Mexiquense que no proporcionó nombre</w:t>
      </w:r>
      <w:r w:rsidRPr="00A477B1">
        <w:rPr>
          <w:rFonts w:ascii="Palatino Linotype" w:eastAsia="Palatino Linotype" w:hAnsi="Palatino Linotype" w:cs="Palatino Linotype"/>
          <w:sz w:val="22"/>
          <w:szCs w:val="22"/>
        </w:rPr>
        <w:t xml:space="preserve">, a quien en lo sucesivo se le denominará </w:t>
      </w:r>
      <w:r w:rsidRPr="00A477B1">
        <w:rPr>
          <w:rFonts w:ascii="Palatino Linotype" w:eastAsia="Palatino Linotype" w:hAnsi="Palatino Linotype" w:cs="Palatino Linotype"/>
          <w:b/>
          <w:sz w:val="22"/>
          <w:szCs w:val="22"/>
        </w:rPr>
        <w:t>la parte Recurrente</w:t>
      </w:r>
      <w:r w:rsidRPr="00A477B1">
        <w:rPr>
          <w:rFonts w:ascii="Palatino Linotype" w:eastAsia="Palatino Linotype" w:hAnsi="Palatino Linotype" w:cs="Palatino Linotype"/>
          <w:sz w:val="22"/>
          <w:szCs w:val="22"/>
        </w:rPr>
        <w:t>, en contra de la respuesta a su solicitud de información identificada con número de folio</w:t>
      </w:r>
      <w:r w:rsidR="009B0D19" w:rsidRPr="00A477B1">
        <w:rPr>
          <w:rFonts w:ascii="Verdana" w:hAnsi="Verdana"/>
          <w:b/>
          <w:bCs/>
        </w:rPr>
        <w:t xml:space="preserve"> </w:t>
      </w:r>
      <w:r w:rsidR="009B0D19" w:rsidRPr="00A477B1">
        <w:rPr>
          <w:rFonts w:ascii="Palatino Linotype" w:eastAsia="Palatino Linotype" w:hAnsi="Palatino Linotype" w:cs="Palatino Linotype"/>
          <w:b/>
          <w:bCs/>
          <w:sz w:val="22"/>
          <w:szCs w:val="22"/>
        </w:rPr>
        <w:t>01991/TOLUCA/IP/2025</w:t>
      </w:r>
      <w:r w:rsidRPr="00A477B1">
        <w:rPr>
          <w:rFonts w:ascii="Palatino Linotype" w:eastAsia="Palatino Linotype" w:hAnsi="Palatino Linotype" w:cs="Palatino Linotype"/>
          <w:sz w:val="22"/>
          <w:szCs w:val="22"/>
        </w:rPr>
        <w:t xml:space="preserve">, proporcionada por </w:t>
      </w:r>
      <w:r w:rsidR="009B0D19" w:rsidRPr="00A477B1">
        <w:rPr>
          <w:rFonts w:ascii="Palatino Linotype" w:eastAsia="Palatino Linotype" w:hAnsi="Palatino Linotype" w:cs="Palatino Linotype"/>
          <w:sz w:val="22"/>
          <w:szCs w:val="22"/>
        </w:rPr>
        <w:t xml:space="preserve">el </w:t>
      </w:r>
      <w:r w:rsidR="009B0D19" w:rsidRPr="00A477B1">
        <w:rPr>
          <w:rFonts w:ascii="Palatino Linotype" w:eastAsia="Palatino Linotype" w:hAnsi="Palatino Linotype" w:cs="Palatino Linotype"/>
          <w:b/>
          <w:bCs/>
          <w:sz w:val="22"/>
          <w:szCs w:val="22"/>
        </w:rPr>
        <w:t>Ayuntamiento de Toluca</w:t>
      </w:r>
      <w:r w:rsidRPr="00A477B1">
        <w:rPr>
          <w:rFonts w:ascii="Palatino Linotype" w:eastAsia="Palatino Linotype" w:hAnsi="Palatino Linotype" w:cs="Palatino Linotype"/>
          <w:sz w:val="22"/>
          <w:szCs w:val="22"/>
        </w:rPr>
        <w:t xml:space="preserve">, en lo sucesivo el </w:t>
      </w:r>
      <w:r w:rsidRPr="00A477B1">
        <w:rPr>
          <w:rFonts w:ascii="Palatino Linotype" w:eastAsia="Palatino Linotype" w:hAnsi="Palatino Linotype" w:cs="Palatino Linotype"/>
          <w:b/>
          <w:sz w:val="22"/>
          <w:szCs w:val="22"/>
        </w:rPr>
        <w:t>Sujeto Obligado</w:t>
      </w:r>
      <w:r w:rsidRPr="00A477B1">
        <w:rPr>
          <w:rFonts w:ascii="Palatino Linotype" w:eastAsia="Palatino Linotype" w:hAnsi="Palatino Linotype" w:cs="Palatino Linotype"/>
          <w:sz w:val="22"/>
          <w:szCs w:val="22"/>
        </w:rPr>
        <w:t>; se procede a dictar la presente resolución, con base en los siguientes:</w:t>
      </w:r>
    </w:p>
    <w:p w14:paraId="5C5FA008" w14:textId="77777777" w:rsidR="00F12C46" w:rsidRPr="00A477B1" w:rsidRDefault="00F12C46">
      <w:pPr>
        <w:spacing w:line="360" w:lineRule="auto"/>
        <w:ind w:right="49"/>
        <w:jc w:val="both"/>
        <w:rPr>
          <w:rFonts w:ascii="Palatino Linotype" w:eastAsia="Palatino Linotype" w:hAnsi="Palatino Linotype" w:cs="Palatino Linotype"/>
          <w:sz w:val="22"/>
          <w:szCs w:val="22"/>
        </w:rPr>
      </w:pPr>
    </w:p>
    <w:p w14:paraId="5B8B3C4B" w14:textId="77777777" w:rsidR="00F12C46" w:rsidRPr="00A477B1" w:rsidRDefault="00095DD5">
      <w:pPr>
        <w:spacing w:line="360" w:lineRule="auto"/>
        <w:ind w:right="49"/>
        <w:jc w:val="center"/>
        <w:rPr>
          <w:rFonts w:ascii="Palatino Linotype" w:eastAsia="Palatino Linotype" w:hAnsi="Palatino Linotype" w:cs="Palatino Linotype"/>
          <w:b/>
          <w:sz w:val="22"/>
          <w:szCs w:val="22"/>
        </w:rPr>
      </w:pPr>
      <w:r w:rsidRPr="00A477B1">
        <w:rPr>
          <w:rFonts w:ascii="Palatino Linotype" w:eastAsia="Palatino Linotype" w:hAnsi="Palatino Linotype" w:cs="Palatino Linotype"/>
          <w:b/>
          <w:sz w:val="22"/>
          <w:szCs w:val="22"/>
        </w:rPr>
        <w:t>I.</w:t>
      </w:r>
      <w:r w:rsidRPr="00A477B1">
        <w:rPr>
          <w:rFonts w:ascii="Palatino Linotype" w:eastAsia="Palatino Linotype" w:hAnsi="Palatino Linotype" w:cs="Palatino Linotype"/>
          <w:b/>
          <w:sz w:val="22"/>
          <w:szCs w:val="22"/>
        </w:rPr>
        <w:tab/>
        <w:t>A N T E C E D E N T E S</w:t>
      </w:r>
    </w:p>
    <w:p w14:paraId="0794E244" w14:textId="77777777" w:rsidR="00F12C46" w:rsidRPr="00A477B1" w:rsidRDefault="00F12C46">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1" w:name="_heading=h.2et92p0" w:colFirst="0" w:colLast="0"/>
      <w:bookmarkEnd w:id="1"/>
    </w:p>
    <w:p w14:paraId="75B8F615" w14:textId="78EB928D" w:rsidR="00F12C46" w:rsidRPr="00A477B1" w:rsidRDefault="00095DD5">
      <w:pPr>
        <w:numPr>
          <w:ilvl w:val="0"/>
          <w:numId w:val="2"/>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sz w:val="22"/>
          <w:szCs w:val="22"/>
        </w:rPr>
      </w:pPr>
      <w:bookmarkStart w:id="2" w:name="_heading=h.1fob9te" w:colFirst="0" w:colLast="0"/>
      <w:bookmarkEnd w:id="2"/>
      <w:r w:rsidRPr="00A477B1">
        <w:rPr>
          <w:rFonts w:ascii="Palatino Linotype" w:eastAsia="Palatino Linotype" w:hAnsi="Palatino Linotype" w:cs="Palatino Linotype"/>
          <w:b/>
          <w:sz w:val="22"/>
          <w:szCs w:val="22"/>
        </w:rPr>
        <w:t>Solicitud de acceso a la información.</w:t>
      </w:r>
      <w:r w:rsidRPr="00A477B1">
        <w:rPr>
          <w:rFonts w:ascii="Palatino Linotype" w:eastAsia="Palatino Linotype" w:hAnsi="Palatino Linotype" w:cs="Palatino Linotype"/>
          <w:sz w:val="22"/>
          <w:szCs w:val="22"/>
        </w:rPr>
        <w:t xml:space="preserve"> Con fecha </w:t>
      </w:r>
      <w:r w:rsidR="009B0D19" w:rsidRPr="00A477B1">
        <w:rPr>
          <w:rFonts w:ascii="Palatino Linotype" w:eastAsia="Palatino Linotype" w:hAnsi="Palatino Linotype" w:cs="Palatino Linotype"/>
          <w:b/>
          <w:sz w:val="22"/>
          <w:szCs w:val="22"/>
        </w:rPr>
        <w:t>dos de abril</w:t>
      </w:r>
      <w:r w:rsidRPr="00A477B1">
        <w:rPr>
          <w:rFonts w:ascii="Palatino Linotype" w:eastAsia="Palatino Linotype" w:hAnsi="Palatino Linotype" w:cs="Palatino Linotype"/>
          <w:b/>
          <w:sz w:val="22"/>
          <w:szCs w:val="22"/>
        </w:rPr>
        <w:t xml:space="preserve"> de dos mil veinticinco</w:t>
      </w:r>
      <w:r w:rsidRPr="00A477B1">
        <w:rPr>
          <w:rFonts w:ascii="Palatino Linotype" w:eastAsia="Palatino Linotype" w:hAnsi="Palatino Linotype" w:cs="Palatino Linotype"/>
          <w:sz w:val="22"/>
          <w:szCs w:val="22"/>
        </w:rPr>
        <w:t xml:space="preserve">, la parte </w:t>
      </w:r>
      <w:r w:rsidRPr="00A477B1">
        <w:rPr>
          <w:rFonts w:ascii="Palatino Linotype" w:eastAsia="Palatino Linotype" w:hAnsi="Palatino Linotype" w:cs="Palatino Linotype"/>
          <w:b/>
          <w:sz w:val="22"/>
          <w:szCs w:val="22"/>
        </w:rPr>
        <w:t>Recurrente</w:t>
      </w:r>
      <w:r w:rsidRPr="00A477B1">
        <w:rPr>
          <w:rFonts w:ascii="Palatino Linotype" w:eastAsia="Palatino Linotype" w:hAnsi="Palatino Linotype" w:cs="Palatino Linotype"/>
          <w:sz w:val="22"/>
          <w:szCs w:val="22"/>
        </w:rPr>
        <w:t xml:space="preserve"> </w:t>
      </w:r>
      <w:r w:rsidR="009B0D19" w:rsidRPr="00A477B1">
        <w:rPr>
          <w:rFonts w:ascii="Palatino Linotype" w:eastAsia="Palatino Linotype" w:hAnsi="Palatino Linotype" w:cs="Palatino Linotype"/>
          <w:sz w:val="22"/>
          <w:szCs w:val="22"/>
        </w:rPr>
        <w:t>vía</w:t>
      </w:r>
      <w:r w:rsidRPr="00A477B1">
        <w:rPr>
          <w:rFonts w:ascii="Palatino Linotype" w:eastAsia="Palatino Linotype" w:hAnsi="Palatino Linotype" w:cs="Palatino Linotype"/>
          <w:sz w:val="22"/>
          <w:szCs w:val="22"/>
        </w:rPr>
        <w:t xml:space="preserve"> Sistema de Acceso a la Información Mexiquense, en lo subsecuente el SAIMEX, formuló ante el </w:t>
      </w:r>
      <w:r w:rsidRPr="00A477B1">
        <w:rPr>
          <w:rFonts w:ascii="Palatino Linotype" w:eastAsia="Palatino Linotype" w:hAnsi="Palatino Linotype" w:cs="Palatino Linotype"/>
          <w:b/>
          <w:sz w:val="22"/>
          <w:szCs w:val="22"/>
        </w:rPr>
        <w:t>Sujeto Obligado</w:t>
      </w:r>
      <w:r w:rsidRPr="00A477B1">
        <w:rPr>
          <w:rFonts w:ascii="Palatino Linotype" w:eastAsia="Palatino Linotype" w:hAnsi="Palatino Linotype" w:cs="Palatino Linotype"/>
          <w:sz w:val="22"/>
          <w:szCs w:val="22"/>
        </w:rPr>
        <w:t>, la solicitud de acceso a la información pública a la que se le asignó el número</w:t>
      </w:r>
      <w:r w:rsidRPr="00A477B1">
        <w:t xml:space="preserve"> </w:t>
      </w:r>
      <w:r w:rsidR="009B0D19" w:rsidRPr="00A477B1">
        <w:rPr>
          <w:rFonts w:ascii="Palatino Linotype" w:eastAsia="Palatino Linotype" w:hAnsi="Palatino Linotype" w:cs="Palatino Linotype"/>
          <w:b/>
          <w:bCs/>
          <w:sz w:val="22"/>
          <w:szCs w:val="22"/>
        </w:rPr>
        <w:t>01991/TOLUCA/IP/2025</w:t>
      </w:r>
      <w:r w:rsidRPr="00A477B1">
        <w:rPr>
          <w:rFonts w:ascii="Palatino Linotype" w:eastAsia="Palatino Linotype" w:hAnsi="Palatino Linotype" w:cs="Palatino Linotype"/>
          <w:sz w:val="22"/>
          <w:szCs w:val="22"/>
        </w:rPr>
        <w:t>; mediante la cual se requirió la información siguiente:</w:t>
      </w:r>
    </w:p>
    <w:p w14:paraId="53C58A59" w14:textId="77777777" w:rsidR="00F12C46" w:rsidRPr="00A477B1" w:rsidRDefault="00F12C46">
      <w:pPr>
        <w:tabs>
          <w:tab w:val="left" w:pos="8505"/>
        </w:tabs>
        <w:spacing w:line="360" w:lineRule="auto"/>
        <w:ind w:left="567" w:right="560"/>
        <w:jc w:val="both"/>
        <w:rPr>
          <w:rFonts w:ascii="Palatino Linotype" w:eastAsia="Palatino Linotype" w:hAnsi="Palatino Linotype" w:cs="Palatino Linotype"/>
          <w:i/>
          <w:sz w:val="22"/>
          <w:szCs w:val="22"/>
        </w:rPr>
      </w:pPr>
      <w:bookmarkStart w:id="3" w:name="_heading=h.30j0zll" w:colFirst="0" w:colLast="0"/>
      <w:bookmarkEnd w:id="3"/>
    </w:p>
    <w:p w14:paraId="5C5968F3" w14:textId="61B33F27" w:rsidR="00F12C46" w:rsidRPr="00A477B1" w:rsidRDefault="00095DD5">
      <w:pPr>
        <w:tabs>
          <w:tab w:val="left" w:pos="8505"/>
        </w:tabs>
        <w:spacing w:line="276" w:lineRule="auto"/>
        <w:ind w:left="567" w:right="560"/>
        <w:jc w:val="both"/>
        <w:rPr>
          <w:rFonts w:ascii="Palatino Linotype" w:eastAsia="Palatino Linotype" w:hAnsi="Palatino Linotype" w:cs="Palatino Linotype"/>
          <w:i/>
          <w:sz w:val="22"/>
          <w:szCs w:val="22"/>
        </w:rPr>
      </w:pPr>
      <w:r w:rsidRPr="00A477B1">
        <w:rPr>
          <w:rFonts w:ascii="Palatino Linotype" w:eastAsia="Palatino Linotype" w:hAnsi="Palatino Linotype" w:cs="Palatino Linotype"/>
          <w:i/>
          <w:sz w:val="22"/>
          <w:szCs w:val="22"/>
        </w:rPr>
        <w:t>“</w:t>
      </w:r>
      <w:r w:rsidR="009B0D19" w:rsidRPr="00A477B1">
        <w:rPr>
          <w:rFonts w:ascii="Palatino Linotype" w:eastAsia="Palatino Linotype" w:hAnsi="Palatino Linotype" w:cs="Palatino Linotype"/>
          <w:i/>
          <w:sz w:val="22"/>
          <w:szCs w:val="22"/>
        </w:rPr>
        <w:t xml:space="preserve">le solicito el expediente de proyecto de los carriles de bicicletas que se implementaron en Toluca en 2024 y 2025 y, ya que este proyecto se </w:t>
      </w:r>
      <w:proofErr w:type="spellStart"/>
      <w:r w:rsidR="009B0D19" w:rsidRPr="00A477B1">
        <w:rPr>
          <w:rFonts w:ascii="Palatino Linotype" w:eastAsia="Palatino Linotype" w:hAnsi="Palatino Linotype" w:cs="Palatino Linotype"/>
          <w:i/>
          <w:sz w:val="22"/>
          <w:szCs w:val="22"/>
        </w:rPr>
        <w:t>inicio</w:t>
      </w:r>
      <w:proofErr w:type="spellEnd"/>
      <w:r w:rsidR="009B0D19" w:rsidRPr="00A477B1">
        <w:rPr>
          <w:rFonts w:ascii="Palatino Linotype" w:eastAsia="Palatino Linotype" w:hAnsi="Palatino Linotype" w:cs="Palatino Linotype"/>
          <w:i/>
          <w:sz w:val="22"/>
          <w:szCs w:val="22"/>
        </w:rPr>
        <w:t xml:space="preserve">, pero como muchas veces la incompetencia </w:t>
      </w:r>
      <w:proofErr w:type="gramStart"/>
      <w:r w:rsidR="009B0D19" w:rsidRPr="00A477B1">
        <w:rPr>
          <w:rFonts w:ascii="Palatino Linotype" w:eastAsia="Palatino Linotype" w:hAnsi="Palatino Linotype" w:cs="Palatino Linotype"/>
          <w:i/>
          <w:sz w:val="22"/>
          <w:szCs w:val="22"/>
        </w:rPr>
        <w:t>dela</w:t>
      </w:r>
      <w:proofErr w:type="gramEnd"/>
      <w:r w:rsidR="009B0D19" w:rsidRPr="00A477B1">
        <w:rPr>
          <w:rFonts w:ascii="Palatino Linotype" w:eastAsia="Palatino Linotype" w:hAnsi="Palatino Linotype" w:cs="Palatino Linotype"/>
          <w:i/>
          <w:sz w:val="22"/>
          <w:szCs w:val="22"/>
        </w:rPr>
        <w:t xml:space="preserve"> secretaria de Movilidad del Gobierno del Estado y del Municipio de Toluca no han podido complementar, ya que al parecer se carece de todo. por lo que para evidenciar las buenas prácticas a ustedes y ala otra autoridad les solicito lo siguiente: proyectos </w:t>
      </w:r>
      <w:proofErr w:type="gramStart"/>
      <w:r w:rsidR="009B0D19" w:rsidRPr="00A477B1">
        <w:rPr>
          <w:rFonts w:ascii="Palatino Linotype" w:eastAsia="Palatino Linotype" w:hAnsi="Palatino Linotype" w:cs="Palatino Linotype"/>
          <w:i/>
          <w:sz w:val="22"/>
          <w:szCs w:val="22"/>
        </w:rPr>
        <w:t>ejecutivos ,</w:t>
      </w:r>
      <w:proofErr w:type="gramEnd"/>
      <w:r w:rsidR="009B0D19" w:rsidRPr="00A477B1">
        <w:rPr>
          <w:rFonts w:ascii="Palatino Linotype" w:eastAsia="Palatino Linotype" w:hAnsi="Palatino Linotype" w:cs="Palatino Linotype"/>
          <w:i/>
          <w:sz w:val="22"/>
          <w:szCs w:val="22"/>
        </w:rPr>
        <w:t xml:space="preserve"> técnicos, de costos, de impacto y en general todo aquello que se debió hacer y documentar para iniciar este proyecto. todo el documento de suficiencia </w:t>
      </w:r>
      <w:r w:rsidR="009B0D19" w:rsidRPr="00A477B1">
        <w:rPr>
          <w:rFonts w:ascii="Palatino Linotype" w:eastAsia="Palatino Linotype" w:hAnsi="Palatino Linotype" w:cs="Palatino Linotype"/>
          <w:i/>
          <w:sz w:val="22"/>
          <w:szCs w:val="22"/>
        </w:rPr>
        <w:lastRenderedPageBreak/>
        <w:t xml:space="preserve">presupuestal; todo el expediente de contratación; todos los acuerdos, convenios y contratos relacionados a este proyecto, ya </w:t>
      </w:r>
      <w:proofErr w:type="spellStart"/>
      <w:r w:rsidR="009B0D19" w:rsidRPr="00A477B1">
        <w:rPr>
          <w:rFonts w:ascii="Palatino Linotype" w:eastAsia="Palatino Linotype" w:hAnsi="Palatino Linotype" w:cs="Palatino Linotype"/>
          <w:i/>
          <w:sz w:val="22"/>
          <w:szCs w:val="22"/>
        </w:rPr>
        <w:t>ea</w:t>
      </w:r>
      <w:proofErr w:type="spellEnd"/>
      <w:r w:rsidR="009B0D19" w:rsidRPr="00A477B1">
        <w:rPr>
          <w:rFonts w:ascii="Palatino Linotype" w:eastAsia="Palatino Linotype" w:hAnsi="Palatino Linotype" w:cs="Palatino Linotype"/>
          <w:i/>
          <w:sz w:val="22"/>
          <w:szCs w:val="22"/>
        </w:rPr>
        <w:t xml:space="preserve"> con entes públicos o privados; todo el expediente que explique porque se </w:t>
      </w:r>
      <w:proofErr w:type="spellStart"/>
      <w:r w:rsidR="009B0D19" w:rsidRPr="00A477B1">
        <w:rPr>
          <w:rFonts w:ascii="Palatino Linotype" w:eastAsia="Palatino Linotype" w:hAnsi="Palatino Linotype" w:cs="Palatino Linotype"/>
          <w:i/>
          <w:sz w:val="22"/>
          <w:szCs w:val="22"/>
        </w:rPr>
        <w:t>paro</w:t>
      </w:r>
      <w:proofErr w:type="spellEnd"/>
      <w:r w:rsidR="009B0D19" w:rsidRPr="00A477B1">
        <w:rPr>
          <w:rFonts w:ascii="Palatino Linotype" w:eastAsia="Palatino Linotype" w:hAnsi="Palatino Linotype" w:cs="Palatino Linotype"/>
          <w:i/>
          <w:sz w:val="22"/>
          <w:szCs w:val="22"/>
        </w:rPr>
        <w:t xml:space="preserve"> la operación de este proyecto; personal asignado y responsables de este proyecto; en general todo documento que se haya generado para </w:t>
      </w:r>
      <w:proofErr w:type="gramStart"/>
      <w:r w:rsidR="009B0D19" w:rsidRPr="00A477B1">
        <w:rPr>
          <w:rFonts w:ascii="Palatino Linotype" w:eastAsia="Palatino Linotype" w:hAnsi="Palatino Linotype" w:cs="Palatino Linotype"/>
          <w:i/>
          <w:sz w:val="22"/>
          <w:szCs w:val="22"/>
        </w:rPr>
        <w:t>este proyectos</w:t>
      </w:r>
      <w:proofErr w:type="gramEnd"/>
      <w:r w:rsidR="009B0D19" w:rsidRPr="00A477B1">
        <w:rPr>
          <w:rFonts w:ascii="Palatino Linotype" w:eastAsia="Palatino Linotype" w:hAnsi="Palatino Linotype" w:cs="Palatino Linotype"/>
          <w:i/>
          <w:sz w:val="22"/>
          <w:szCs w:val="22"/>
        </w:rPr>
        <w:t xml:space="preserve"> desde su inicio y hasta la actual situación. este proyecto evidencia deficiencias, ineptitud, corrupción e irresponsabilidad en el manejo de los recursos públicos, que en lugar de solucionar algo, complicaron </w:t>
      </w:r>
      <w:proofErr w:type="spellStart"/>
      <w:r w:rsidR="009B0D19" w:rsidRPr="00A477B1">
        <w:rPr>
          <w:rFonts w:ascii="Palatino Linotype" w:eastAsia="Palatino Linotype" w:hAnsi="Palatino Linotype" w:cs="Palatino Linotype"/>
          <w:i/>
          <w:sz w:val="22"/>
          <w:szCs w:val="22"/>
        </w:rPr>
        <w:t>mas</w:t>
      </w:r>
      <w:proofErr w:type="spellEnd"/>
      <w:r w:rsidR="009B0D19" w:rsidRPr="00A477B1">
        <w:rPr>
          <w:rFonts w:ascii="Palatino Linotype" w:eastAsia="Palatino Linotype" w:hAnsi="Palatino Linotype" w:cs="Palatino Linotype"/>
          <w:i/>
          <w:sz w:val="22"/>
          <w:szCs w:val="22"/>
        </w:rPr>
        <w:t xml:space="preserve"> la movilidad en estas calles.</w:t>
      </w:r>
      <w:r w:rsidRPr="00A477B1">
        <w:rPr>
          <w:rFonts w:ascii="Palatino Linotype" w:eastAsia="Palatino Linotype" w:hAnsi="Palatino Linotype" w:cs="Palatino Linotype"/>
          <w:i/>
          <w:sz w:val="22"/>
          <w:szCs w:val="22"/>
        </w:rPr>
        <w:t>” (Sic)</w:t>
      </w:r>
    </w:p>
    <w:p w14:paraId="6D1C0C57" w14:textId="77777777" w:rsidR="00F12C46" w:rsidRPr="00A477B1" w:rsidRDefault="00F12C46">
      <w:pPr>
        <w:tabs>
          <w:tab w:val="left" w:pos="8505"/>
        </w:tabs>
        <w:spacing w:line="360" w:lineRule="auto"/>
        <w:ind w:left="567" w:right="560"/>
        <w:jc w:val="both"/>
        <w:rPr>
          <w:rFonts w:ascii="Palatino Linotype" w:eastAsia="Palatino Linotype" w:hAnsi="Palatino Linotype" w:cs="Palatino Linotype"/>
          <w:i/>
          <w:sz w:val="22"/>
          <w:szCs w:val="22"/>
        </w:rPr>
      </w:pPr>
    </w:p>
    <w:p w14:paraId="2101742D" w14:textId="040B1571" w:rsidR="00F12C46" w:rsidRPr="00A477B1" w:rsidRDefault="00095DD5">
      <w:pPr>
        <w:spacing w:line="360" w:lineRule="auto"/>
        <w:ind w:right="49"/>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b/>
          <w:sz w:val="22"/>
          <w:szCs w:val="22"/>
        </w:rPr>
        <w:t xml:space="preserve">Modalidad elegida para la entrega de la información: </w:t>
      </w:r>
      <w:r w:rsidR="009B0D19" w:rsidRPr="00A477B1">
        <w:rPr>
          <w:rFonts w:ascii="Palatino Linotype" w:eastAsia="Palatino Linotype" w:hAnsi="Palatino Linotype" w:cs="Palatino Linotype"/>
          <w:sz w:val="22"/>
          <w:szCs w:val="22"/>
        </w:rPr>
        <w:t>Sistema de Acceso a la Información Mexiquense, en lo subsecuente el SAIMEX</w:t>
      </w:r>
    </w:p>
    <w:p w14:paraId="4CF3AD01" w14:textId="77777777" w:rsidR="006F1D1F" w:rsidRPr="00A477B1" w:rsidRDefault="006F1D1F" w:rsidP="006F1D1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FD2B8AA" w14:textId="509A9965" w:rsidR="00F12C46" w:rsidRPr="00A477B1" w:rsidRDefault="00095DD5">
      <w:pPr>
        <w:numPr>
          <w:ilvl w:val="0"/>
          <w:numId w:val="2"/>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b/>
          <w:sz w:val="22"/>
          <w:szCs w:val="22"/>
        </w:rPr>
        <w:t>Respuesta.</w:t>
      </w:r>
      <w:r w:rsidRPr="00A477B1">
        <w:rPr>
          <w:rFonts w:ascii="Palatino Linotype" w:eastAsia="Palatino Linotype" w:hAnsi="Palatino Linotype" w:cs="Palatino Linotype"/>
          <w:sz w:val="22"/>
          <w:szCs w:val="22"/>
        </w:rPr>
        <w:t xml:space="preserve"> En fecha </w:t>
      </w:r>
      <w:r w:rsidR="009B0D19" w:rsidRPr="00A477B1">
        <w:rPr>
          <w:rFonts w:ascii="Palatino Linotype" w:eastAsia="Palatino Linotype" w:hAnsi="Palatino Linotype" w:cs="Palatino Linotype"/>
          <w:b/>
          <w:sz w:val="22"/>
          <w:szCs w:val="22"/>
        </w:rPr>
        <w:t>treinta de abril</w:t>
      </w:r>
      <w:r w:rsidRPr="00A477B1">
        <w:rPr>
          <w:rFonts w:ascii="Palatino Linotype" w:eastAsia="Palatino Linotype" w:hAnsi="Palatino Linotype" w:cs="Palatino Linotype"/>
          <w:b/>
          <w:sz w:val="22"/>
          <w:szCs w:val="22"/>
        </w:rPr>
        <w:t xml:space="preserve"> de dos mil veinticinco</w:t>
      </w:r>
      <w:r w:rsidRPr="00A477B1">
        <w:rPr>
          <w:rFonts w:ascii="Palatino Linotype" w:eastAsia="Palatino Linotype" w:hAnsi="Palatino Linotype" w:cs="Palatino Linotype"/>
          <w:sz w:val="22"/>
          <w:szCs w:val="22"/>
        </w:rPr>
        <w:t xml:space="preserve">, el </w:t>
      </w:r>
      <w:r w:rsidRPr="00A477B1">
        <w:rPr>
          <w:rFonts w:ascii="Palatino Linotype" w:eastAsia="Palatino Linotype" w:hAnsi="Palatino Linotype" w:cs="Palatino Linotype"/>
          <w:b/>
          <w:sz w:val="22"/>
          <w:szCs w:val="22"/>
        </w:rPr>
        <w:t xml:space="preserve">Sujeto Obligado </w:t>
      </w:r>
      <w:r w:rsidRPr="00A477B1">
        <w:rPr>
          <w:rFonts w:ascii="Palatino Linotype" w:eastAsia="Palatino Linotype" w:hAnsi="Palatino Linotype" w:cs="Palatino Linotype"/>
          <w:sz w:val="22"/>
          <w:szCs w:val="22"/>
        </w:rPr>
        <w:t xml:space="preserve">remitió respuesta a la solicitud de información, al tenor de lo siguiente: </w:t>
      </w:r>
    </w:p>
    <w:p w14:paraId="62033530" w14:textId="77777777" w:rsidR="00F12C46" w:rsidRPr="00A477B1" w:rsidRDefault="00F12C4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01C4DB4" w14:textId="60DDA323" w:rsidR="00F12C46" w:rsidRPr="00A477B1" w:rsidRDefault="00095DD5">
      <w:pPr>
        <w:ind w:left="567" w:right="560"/>
        <w:jc w:val="both"/>
        <w:rPr>
          <w:rFonts w:ascii="Palatino Linotype" w:eastAsia="Palatino Linotype" w:hAnsi="Palatino Linotype" w:cs="Palatino Linotype"/>
          <w:i/>
          <w:sz w:val="22"/>
          <w:szCs w:val="22"/>
        </w:rPr>
      </w:pPr>
      <w:r w:rsidRPr="00A477B1">
        <w:rPr>
          <w:rFonts w:ascii="Palatino Linotype" w:eastAsia="Palatino Linotype" w:hAnsi="Palatino Linotype" w:cs="Palatino Linotype"/>
          <w:i/>
          <w:sz w:val="22"/>
          <w:szCs w:val="22"/>
        </w:rPr>
        <w:t>“</w:t>
      </w:r>
      <w:r w:rsidR="009B0D19" w:rsidRPr="00A477B1">
        <w:rPr>
          <w:rFonts w:ascii="Palatino Linotype" w:eastAsia="Palatino Linotype" w:hAnsi="Palatino Linotype" w:cs="Palatino Linotype"/>
          <w:i/>
          <w:sz w:val="22"/>
          <w:szCs w:val="22"/>
        </w:rPr>
        <w:t>En atención a la solicitud con folio 01991/TOLUCA/IP/2025, me permito adjuntar al presente la respuesta correspondiente, Sin más por el momento, reciba un saludo.</w:t>
      </w:r>
      <w:r w:rsidRPr="00A477B1">
        <w:rPr>
          <w:rFonts w:ascii="Palatino Linotype" w:eastAsia="Palatino Linotype" w:hAnsi="Palatino Linotype" w:cs="Palatino Linotype"/>
          <w:i/>
          <w:sz w:val="22"/>
          <w:szCs w:val="22"/>
        </w:rPr>
        <w:t>” (Sic)</w:t>
      </w:r>
    </w:p>
    <w:p w14:paraId="48DDAF02" w14:textId="77777777" w:rsidR="00F12C46" w:rsidRPr="00A477B1" w:rsidRDefault="00F12C46">
      <w:pPr>
        <w:spacing w:line="360" w:lineRule="auto"/>
        <w:ind w:right="560"/>
        <w:jc w:val="both"/>
        <w:rPr>
          <w:rFonts w:ascii="Palatino Linotype" w:eastAsia="Palatino Linotype" w:hAnsi="Palatino Linotype" w:cs="Palatino Linotype"/>
          <w:i/>
          <w:sz w:val="22"/>
          <w:szCs w:val="22"/>
        </w:rPr>
      </w:pPr>
    </w:p>
    <w:p w14:paraId="7B8FB78A" w14:textId="77777777" w:rsidR="00F12C46" w:rsidRPr="00A477B1" w:rsidRDefault="00095DD5">
      <w:pPr>
        <w:spacing w:line="360" w:lineRule="auto"/>
        <w:ind w:right="-7"/>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Adjunto a la respuesta, el </w:t>
      </w:r>
      <w:r w:rsidRPr="00A477B1">
        <w:rPr>
          <w:rFonts w:ascii="Palatino Linotype" w:eastAsia="Palatino Linotype" w:hAnsi="Palatino Linotype" w:cs="Palatino Linotype"/>
          <w:b/>
          <w:sz w:val="22"/>
          <w:szCs w:val="22"/>
        </w:rPr>
        <w:t xml:space="preserve">Sujeto Obligado </w:t>
      </w:r>
      <w:r w:rsidRPr="00A477B1">
        <w:rPr>
          <w:rFonts w:ascii="Palatino Linotype" w:eastAsia="Palatino Linotype" w:hAnsi="Palatino Linotype" w:cs="Palatino Linotype"/>
          <w:sz w:val="22"/>
          <w:szCs w:val="22"/>
        </w:rPr>
        <w:t>aportó un archivo electrónico que contiene la siguiente información:</w:t>
      </w:r>
    </w:p>
    <w:p w14:paraId="538124D7" w14:textId="77777777" w:rsidR="00F12C46" w:rsidRPr="00A477B1" w:rsidRDefault="00F12C46">
      <w:pPr>
        <w:spacing w:line="360" w:lineRule="auto"/>
        <w:ind w:right="-7"/>
        <w:jc w:val="both"/>
        <w:rPr>
          <w:rFonts w:ascii="Palatino Linotype" w:eastAsia="Palatino Linotype" w:hAnsi="Palatino Linotype" w:cs="Palatino Linotype"/>
          <w:sz w:val="22"/>
          <w:szCs w:val="22"/>
        </w:rPr>
      </w:pPr>
    </w:p>
    <w:p w14:paraId="6E6E8DD3" w14:textId="3DA657A6" w:rsidR="00F12C46" w:rsidRPr="00A477B1" w:rsidRDefault="00095DD5" w:rsidP="009B0D19">
      <w:pPr>
        <w:numPr>
          <w:ilvl w:val="0"/>
          <w:numId w:val="3"/>
        </w:numPr>
        <w:pBdr>
          <w:top w:val="nil"/>
          <w:left w:val="nil"/>
          <w:bottom w:val="nil"/>
          <w:right w:val="nil"/>
          <w:between w:val="nil"/>
        </w:pBdr>
        <w:spacing w:after="160" w:line="360" w:lineRule="auto"/>
        <w:ind w:right="49"/>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Oficio del </w:t>
      </w:r>
      <w:r w:rsidR="009B0D19" w:rsidRPr="00A477B1">
        <w:rPr>
          <w:rFonts w:ascii="Palatino Linotype" w:eastAsia="Palatino Linotype" w:hAnsi="Palatino Linotype" w:cs="Palatino Linotype"/>
          <w:sz w:val="22"/>
          <w:szCs w:val="22"/>
        </w:rPr>
        <w:t xml:space="preserve">10 de abril de 2025, a través del cual el </w:t>
      </w:r>
      <w:proofErr w:type="gramStart"/>
      <w:r w:rsidR="009B0D19" w:rsidRPr="00A477B1">
        <w:rPr>
          <w:rFonts w:ascii="Palatino Linotype" w:eastAsia="Palatino Linotype" w:hAnsi="Palatino Linotype" w:cs="Palatino Linotype"/>
          <w:sz w:val="22"/>
          <w:szCs w:val="22"/>
        </w:rPr>
        <w:t>Director General</w:t>
      </w:r>
      <w:proofErr w:type="gramEnd"/>
      <w:r w:rsidR="009B0D19" w:rsidRPr="00A477B1">
        <w:rPr>
          <w:rFonts w:ascii="Palatino Linotype" w:eastAsia="Palatino Linotype" w:hAnsi="Palatino Linotype" w:cs="Palatino Linotype"/>
          <w:sz w:val="22"/>
          <w:szCs w:val="22"/>
        </w:rPr>
        <w:t xml:space="preserve"> de Innovación, Planeación y Gestión Urbana indicó que realizó una búsqueda exhaustiva y razonable en los archivos que se encuentran en la Dirección a su cargo y no se localizó lo requerido porque la información solicitada es de carácter Estatal.</w:t>
      </w:r>
    </w:p>
    <w:p w14:paraId="5AFD50BB" w14:textId="7EAD34DB" w:rsidR="00E437AB" w:rsidRPr="00A477B1" w:rsidRDefault="00E437AB" w:rsidP="009B0D19">
      <w:pPr>
        <w:numPr>
          <w:ilvl w:val="0"/>
          <w:numId w:val="3"/>
        </w:numPr>
        <w:pBdr>
          <w:top w:val="nil"/>
          <w:left w:val="nil"/>
          <w:bottom w:val="nil"/>
          <w:right w:val="nil"/>
          <w:between w:val="nil"/>
        </w:pBdr>
        <w:spacing w:after="160" w:line="360" w:lineRule="auto"/>
        <w:ind w:right="49"/>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Oficio del 09 de abril de 2025, a través del cual el </w:t>
      </w:r>
      <w:proofErr w:type="gramStart"/>
      <w:r w:rsidRPr="00A477B1">
        <w:rPr>
          <w:rFonts w:ascii="Palatino Linotype" w:eastAsia="Palatino Linotype" w:hAnsi="Palatino Linotype" w:cs="Palatino Linotype"/>
          <w:sz w:val="22"/>
          <w:szCs w:val="22"/>
        </w:rPr>
        <w:t>Director General</w:t>
      </w:r>
      <w:proofErr w:type="gramEnd"/>
      <w:r w:rsidRPr="00A477B1">
        <w:rPr>
          <w:rFonts w:ascii="Palatino Linotype" w:eastAsia="Palatino Linotype" w:hAnsi="Palatino Linotype" w:cs="Palatino Linotype"/>
          <w:sz w:val="22"/>
          <w:szCs w:val="22"/>
        </w:rPr>
        <w:t xml:space="preserve"> de Obras Públicas señaló que no tiene competencia para generar y administrar la información requerida, aunado a que no localizó expresión documental, ni realizó procedimientos de los que resultara obligación de generarlas o administrarla.</w:t>
      </w:r>
    </w:p>
    <w:p w14:paraId="1B1473C9" w14:textId="00943D45" w:rsidR="00E437AB" w:rsidRPr="00A477B1" w:rsidRDefault="00E437AB" w:rsidP="009B0D19">
      <w:pPr>
        <w:numPr>
          <w:ilvl w:val="0"/>
          <w:numId w:val="3"/>
        </w:numPr>
        <w:pBdr>
          <w:top w:val="nil"/>
          <w:left w:val="nil"/>
          <w:bottom w:val="nil"/>
          <w:right w:val="nil"/>
          <w:between w:val="nil"/>
        </w:pBdr>
        <w:spacing w:after="160" w:line="360" w:lineRule="auto"/>
        <w:ind w:right="49"/>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lastRenderedPageBreak/>
        <w:t xml:space="preserve">Oficio del 8 de abril de 2025, a través del cual </w:t>
      </w:r>
      <w:r w:rsidRPr="00A477B1">
        <w:rPr>
          <w:rFonts w:ascii="Palatino Linotype" w:eastAsia="Palatino Linotype" w:hAnsi="Palatino Linotype" w:cs="Palatino Linotype"/>
          <w:sz w:val="22"/>
          <w:szCs w:val="22"/>
          <w:u w:val="single"/>
        </w:rPr>
        <w:t>el Director de Sustentabilidad Vial informó que el proyecto de ciclovía lo llevó a cabo la Secretaría de Movilidad del Estado de México, por lo que el proyecto ejecutivo, presupuesto, personal, instalación y demás documentación generada de dicho proyecto lo tiene dicha Secretaría</w:t>
      </w:r>
      <w:r w:rsidRPr="00A477B1">
        <w:rPr>
          <w:rFonts w:ascii="Palatino Linotype" w:eastAsia="Palatino Linotype" w:hAnsi="Palatino Linotype" w:cs="Palatino Linotype"/>
          <w:sz w:val="22"/>
          <w:szCs w:val="22"/>
        </w:rPr>
        <w:t>; ya que</w:t>
      </w:r>
      <w:r w:rsidR="006D4F60" w:rsidRPr="00A477B1">
        <w:rPr>
          <w:rFonts w:ascii="Palatino Linotype" w:eastAsia="Palatino Linotype" w:hAnsi="Palatino Linotype" w:cs="Palatino Linotype"/>
          <w:sz w:val="22"/>
          <w:szCs w:val="22"/>
        </w:rPr>
        <w:t>,</w:t>
      </w:r>
      <w:r w:rsidRPr="00A477B1">
        <w:rPr>
          <w:rFonts w:ascii="Palatino Linotype" w:eastAsia="Palatino Linotype" w:hAnsi="Palatino Linotype" w:cs="Palatino Linotype"/>
          <w:sz w:val="22"/>
          <w:szCs w:val="22"/>
        </w:rPr>
        <w:t xml:space="preserve"> el personal de dicha dirección </w:t>
      </w:r>
      <w:r w:rsidR="006D4F60" w:rsidRPr="00A477B1">
        <w:rPr>
          <w:rFonts w:ascii="Palatino Linotype" w:eastAsia="Palatino Linotype" w:hAnsi="Palatino Linotype" w:cs="Palatino Linotype"/>
          <w:sz w:val="22"/>
          <w:szCs w:val="22"/>
        </w:rPr>
        <w:t xml:space="preserve">sólo </w:t>
      </w:r>
      <w:r w:rsidRPr="00A477B1">
        <w:rPr>
          <w:rFonts w:ascii="Palatino Linotype" w:eastAsia="Palatino Linotype" w:hAnsi="Palatino Linotype" w:cs="Palatino Linotype"/>
          <w:sz w:val="22"/>
          <w:szCs w:val="22"/>
        </w:rPr>
        <w:t>en 2024 realizó un recorrido de inspección con personal de esa dependencia encargada del proyecto, a fin de revisar las condiciones sociales, viales y geométricas</w:t>
      </w:r>
      <w:r w:rsidR="002C79EB" w:rsidRPr="00A477B1">
        <w:rPr>
          <w:rFonts w:ascii="Palatino Linotype" w:eastAsia="Palatino Linotype" w:hAnsi="Palatino Linotype" w:cs="Palatino Linotype"/>
          <w:sz w:val="22"/>
          <w:szCs w:val="22"/>
        </w:rPr>
        <w:t xml:space="preserve"> </w:t>
      </w:r>
      <w:r w:rsidR="006D4F60" w:rsidRPr="00A477B1">
        <w:rPr>
          <w:rFonts w:ascii="Palatino Linotype" w:eastAsia="Palatino Linotype" w:hAnsi="Palatino Linotype" w:cs="Palatino Linotype"/>
          <w:sz w:val="22"/>
          <w:szCs w:val="22"/>
        </w:rPr>
        <w:t xml:space="preserve">en el Boulevard Isidro Fabela, en el tramo comprendido de Avenida Solidaridad las Torres a la Maquinita, </w:t>
      </w:r>
      <w:r w:rsidR="002C79EB" w:rsidRPr="00A477B1">
        <w:rPr>
          <w:rFonts w:ascii="Palatino Linotype" w:eastAsia="Palatino Linotype" w:hAnsi="Palatino Linotype" w:cs="Palatino Linotype"/>
          <w:sz w:val="22"/>
          <w:szCs w:val="22"/>
        </w:rPr>
        <w:t>donde se realizaría el proyecto.</w:t>
      </w:r>
    </w:p>
    <w:p w14:paraId="77EA7C82" w14:textId="329D5324" w:rsidR="006D4F60" w:rsidRPr="00A477B1" w:rsidRDefault="006D4F60" w:rsidP="009B0D19">
      <w:pPr>
        <w:numPr>
          <w:ilvl w:val="0"/>
          <w:numId w:val="3"/>
        </w:numPr>
        <w:pBdr>
          <w:top w:val="nil"/>
          <w:left w:val="nil"/>
          <w:bottom w:val="nil"/>
          <w:right w:val="nil"/>
          <w:between w:val="nil"/>
        </w:pBdr>
        <w:spacing w:after="160" w:line="360" w:lineRule="auto"/>
        <w:ind w:right="49"/>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Oficio del 14 de abril de 2025, a través del cual el Tesorero Municipal informó </w:t>
      </w:r>
      <w:proofErr w:type="gramStart"/>
      <w:r w:rsidRPr="00A477B1">
        <w:rPr>
          <w:rFonts w:ascii="Palatino Linotype" w:eastAsia="Palatino Linotype" w:hAnsi="Palatino Linotype" w:cs="Palatino Linotype"/>
          <w:sz w:val="22"/>
          <w:szCs w:val="22"/>
        </w:rPr>
        <w:t>que</w:t>
      </w:r>
      <w:proofErr w:type="gramEnd"/>
      <w:r w:rsidRPr="00A477B1">
        <w:rPr>
          <w:rFonts w:ascii="Palatino Linotype" w:eastAsia="Palatino Linotype" w:hAnsi="Palatino Linotype" w:cs="Palatino Linotype"/>
          <w:sz w:val="22"/>
          <w:szCs w:val="22"/>
        </w:rPr>
        <w:t xml:space="preserve"> una vez realizada una búsqueda exhaustiva en sus archivos, no se cuenta con registro financiero, documental, contable o presupuestal que ampare los conceptos de costos de carriles de bicicletas de los ejercicios 2024 y 2025.</w:t>
      </w:r>
    </w:p>
    <w:p w14:paraId="588B4F36" w14:textId="127D5D70" w:rsidR="006D4F60" w:rsidRPr="00A477B1" w:rsidRDefault="006D4F60" w:rsidP="009B0D19">
      <w:pPr>
        <w:numPr>
          <w:ilvl w:val="0"/>
          <w:numId w:val="3"/>
        </w:numPr>
        <w:pBdr>
          <w:top w:val="nil"/>
          <w:left w:val="nil"/>
          <w:bottom w:val="nil"/>
          <w:right w:val="nil"/>
          <w:between w:val="nil"/>
        </w:pBdr>
        <w:spacing w:after="160" w:line="360" w:lineRule="auto"/>
        <w:ind w:right="49"/>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Oficio del 23 de abril de 2025, a través del cual el </w:t>
      </w:r>
      <w:proofErr w:type="gramStart"/>
      <w:r w:rsidRPr="00A477B1">
        <w:rPr>
          <w:rFonts w:ascii="Palatino Linotype" w:eastAsia="Palatino Linotype" w:hAnsi="Palatino Linotype" w:cs="Palatino Linotype"/>
          <w:sz w:val="22"/>
          <w:szCs w:val="22"/>
        </w:rPr>
        <w:t>Director General</w:t>
      </w:r>
      <w:proofErr w:type="gramEnd"/>
      <w:r w:rsidRPr="00A477B1">
        <w:rPr>
          <w:rFonts w:ascii="Palatino Linotype" w:eastAsia="Palatino Linotype" w:hAnsi="Palatino Linotype" w:cs="Palatino Linotype"/>
          <w:sz w:val="22"/>
          <w:szCs w:val="22"/>
        </w:rPr>
        <w:t xml:space="preserve"> de Servicios Públicos indicó que </w:t>
      </w:r>
      <w:r w:rsidRPr="00A477B1">
        <w:rPr>
          <w:rFonts w:ascii="Palatino Linotype" w:eastAsia="Palatino Linotype" w:hAnsi="Palatino Linotype" w:cs="Palatino Linotype"/>
          <w:sz w:val="22"/>
          <w:szCs w:val="22"/>
          <w:u w:val="single"/>
        </w:rPr>
        <w:t>no tiene atribuciones</w:t>
      </w:r>
      <w:r w:rsidRPr="00A477B1">
        <w:rPr>
          <w:rFonts w:ascii="Palatino Linotype" w:eastAsia="Palatino Linotype" w:hAnsi="Palatino Linotype" w:cs="Palatino Linotype"/>
          <w:sz w:val="22"/>
          <w:szCs w:val="22"/>
        </w:rPr>
        <w:t xml:space="preserve"> para poseer la documentación peticionada.</w:t>
      </w:r>
    </w:p>
    <w:p w14:paraId="6E764C81" w14:textId="54CAE63A" w:rsidR="006D4F60" w:rsidRPr="00A477B1" w:rsidRDefault="006D4F60" w:rsidP="009B0D19">
      <w:pPr>
        <w:numPr>
          <w:ilvl w:val="0"/>
          <w:numId w:val="3"/>
        </w:numPr>
        <w:pBdr>
          <w:top w:val="nil"/>
          <w:left w:val="nil"/>
          <w:bottom w:val="nil"/>
          <w:right w:val="nil"/>
          <w:between w:val="nil"/>
        </w:pBdr>
        <w:spacing w:after="160" w:line="360" w:lineRule="auto"/>
        <w:ind w:right="49"/>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Oficio del 23 de abril de 2025 a través del cual el Coordinador de Estudios y Reglamentación Municipal, indicó que en términos del segundo párrafo del artículo 12 de la Ley de Transparencia Local, no cuenta con información que dé cuenta de lo solicitado.</w:t>
      </w:r>
    </w:p>
    <w:p w14:paraId="2A7B8AF0" w14:textId="66B9806B" w:rsidR="006D4F60" w:rsidRPr="00A477B1" w:rsidRDefault="006D4F60" w:rsidP="009B0D19">
      <w:pPr>
        <w:numPr>
          <w:ilvl w:val="0"/>
          <w:numId w:val="3"/>
        </w:numPr>
        <w:pBdr>
          <w:top w:val="nil"/>
          <w:left w:val="nil"/>
          <w:bottom w:val="nil"/>
          <w:right w:val="nil"/>
          <w:between w:val="nil"/>
        </w:pBdr>
        <w:spacing w:after="160" w:line="360" w:lineRule="auto"/>
        <w:ind w:right="49"/>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Oficio del 21 de abril de 2025, a través del cual </w:t>
      </w:r>
      <w:r w:rsidR="009D3810" w:rsidRPr="00A477B1">
        <w:rPr>
          <w:rFonts w:ascii="Palatino Linotype" w:eastAsia="Palatino Linotype" w:hAnsi="Palatino Linotype" w:cs="Palatino Linotype"/>
          <w:sz w:val="22"/>
          <w:szCs w:val="22"/>
        </w:rPr>
        <w:t xml:space="preserve">la </w:t>
      </w:r>
      <w:proofErr w:type="gramStart"/>
      <w:r w:rsidR="009D3810" w:rsidRPr="00A477B1">
        <w:rPr>
          <w:rFonts w:ascii="Palatino Linotype" w:eastAsia="Palatino Linotype" w:hAnsi="Palatino Linotype" w:cs="Palatino Linotype"/>
          <w:sz w:val="22"/>
          <w:szCs w:val="22"/>
        </w:rPr>
        <w:t>Jefa</w:t>
      </w:r>
      <w:proofErr w:type="gramEnd"/>
      <w:r w:rsidR="009D3810" w:rsidRPr="00A477B1">
        <w:rPr>
          <w:rFonts w:ascii="Palatino Linotype" w:eastAsia="Palatino Linotype" w:hAnsi="Palatino Linotype" w:cs="Palatino Linotype"/>
          <w:sz w:val="22"/>
          <w:szCs w:val="22"/>
        </w:rPr>
        <w:t xml:space="preserve"> de Departamento de Cambio Climático y Movilidad Alternativa informó que se encuentra imposibilitada </w:t>
      </w:r>
      <w:r w:rsidR="00D57B0B" w:rsidRPr="00A477B1">
        <w:rPr>
          <w:rFonts w:ascii="Palatino Linotype" w:eastAsia="Palatino Linotype" w:hAnsi="Palatino Linotype" w:cs="Palatino Linotype"/>
          <w:sz w:val="22"/>
          <w:szCs w:val="22"/>
        </w:rPr>
        <w:t xml:space="preserve">en brindar lo requerido, ya que no genera, administra ni posee la información solicitada, </w:t>
      </w:r>
      <w:r w:rsidR="00D57B0B" w:rsidRPr="00A477B1">
        <w:rPr>
          <w:rFonts w:ascii="Palatino Linotype" w:eastAsia="Palatino Linotype" w:hAnsi="Palatino Linotype" w:cs="Palatino Linotype"/>
          <w:sz w:val="22"/>
          <w:szCs w:val="22"/>
          <w:u w:val="single"/>
        </w:rPr>
        <w:t>al no estar dentro de sus atribuciones.</w:t>
      </w:r>
    </w:p>
    <w:p w14:paraId="75806734" w14:textId="73F9931A" w:rsidR="00D57B0B" w:rsidRPr="00A477B1" w:rsidRDefault="00D57B0B" w:rsidP="009B0D19">
      <w:pPr>
        <w:numPr>
          <w:ilvl w:val="0"/>
          <w:numId w:val="3"/>
        </w:numPr>
        <w:pBdr>
          <w:top w:val="nil"/>
          <w:left w:val="nil"/>
          <w:bottom w:val="nil"/>
          <w:right w:val="nil"/>
          <w:between w:val="nil"/>
        </w:pBdr>
        <w:spacing w:after="160" w:line="360" w:lineRule="auto"/>
        <w:ind w:right="49"/>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Oficio del 30 de abril de 2025, a través del cual el Titular de la Unidad de Transparencia remitió la respuesta de la Dirección General de Administración, Dirección General de Gobierno y la Dirección General de Educación, Cultura y Turismo, quienes en términos </w:t>
      </w:r>
      <w:r w:rsidRPr="00A477B1">
        <w:rPr>
          <w:rFonts w:ascii="Palatino Linotype" w:eastAsia="Palatino Linotype" w:hAnsi="Palatino Linotype" w:cs="Palatino Linotype"/>
          <w:sz w:val="22"/>
          <w:szCs w:val="22"/>
        </w:rPr>
        <w:lastRenderedPageBreak/>
        <w:t xml:space="preserve">generales refirieron </w:t>
      </w:r>
      <w:r w:rsidRPr="00A477B1">
        <w:rPr>
          <w:rFonts w:ascii="Palatino Linotype" w:eastAsia="Palatino Linotype" w:hAnsi="Palatino Linotype" w:cs="Palatino Linotype"/>
          <w:sz w:val="22"/>
          <w:szCs w:val="22"/>
          <w:u w:val="single"/>
        </w:rPr>
        <w:t xml:space="preserve">no contar con la información solicitada, al no </w:t>
      </w:r>
      <w:r w:rsidR="00FF7E0D" w:rsidRPr="00A477B1">
        <w:rPr>
          <w:rFonts w:ascii="Palatino Linotype" w:eastAsia="Palatino Linotype" w:hAnsi="Palatino Linotype" w:cs="Palatino Linotype"/>
          <w:sz w:val="22"/>
          <w:szCs w:val="22"/>
          <w:u w:val="single"/>
        </w:rPr>
        <w:t xml:space="preserve">haber sido generada, poseída o administrada, o bien, al no </w:t>
      </w:r>
      <w:r w:rsidRPr="00A477B1">
        <w:rPr>
          <w:rFonts w:ascii="Palatino Linotype" w:eastAsia="Palatino Linotype" w:hAnsi="Palatino Linotype" w:cs="Palatino Linotype"/>
          <w:sz w:val="22"/>
          <w:szCs w:val="22"/>
          <w:u w:val="single"/>
        </w:rPr>
        <w:t>encontrarse dentro de sus atribuciones.</w:t>
      </w:r>
    </w:p>
    <w:p w14:paraId="2243D802" w14:textId="13058527" w:rsidR="00F12C46" w:rsidRPr="00A477B1" w:rsidRDefault="00095DD5">
      <w:pPr>
        <w:numPr>
          <w:ilvl w:val="0"/>
          <w:numId w:val="2"/>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b/>
          <w:sz w:val="22"/>
          <w:szCs w:val="22"/>
        </w:rPr>
        <w:t>Recurso de revisión.</w:t>
      </w:r>
      <w:r w:rsidRPr="00A477B1">
        <w:rPr>
          <w:rFonts w:ascii="Palatino Linotype" w:eastAsia="Palatino Linotype" w:hAnsi="Palatino Linotype" w:cs="Palatino Linotype"/>
          <w:sz w:val="22"/>
          <w:szCs w:val="22"/>
        </w:rPr>
        <w:t xml:space="preserve"> Derivado de la respuesta del </w:t>
      </w:r>
      <w:r w:rsidRPr="00A477B1">
        <w:rPr>
          <w:rFonts w:ascii="Palatino Linotype" w:eastAsia="Palatino Linotype" w:hAnsi="Palatino Linotype" w:cs="Palatino Linotype"/>
          <w:b/>
          <w:sz w:val="22"/>
          <w:szCs w:val="22"/>
        </w:rPr>
        <w:t xml:space="preserve">Sujeto Obligado, </w:t>
      </w:r>
      <w:r w:rsidRPr="00A477B1">
        <w:rPr>
          <w:rFonts w:ascii="Palatino Linotype" w:eastAsia="Palatino Linotype" w:hAnsi="Palatino Linotype" w:cs="Palatino Linotype"/>
          <w:sz w:val="22"/>
          <w:szCs w:val="22"/>
        </w:rPr>
        <w:t xml:space="preserve">la persona solicitante interpuso Recurso de Revisión a través del </w:t>
      </w:r>
      <w:r w:rsidRPr="00A477B1">
        <w:rPr>
          <w:rFonts w:ascii="Palatino Linotype" w:eastAsia="Palatino Linotype" w:hAnsi="Palatino Linotype" w:cs="Palatino Linotype"/>
          <w:b/>
          <w:sz w:val="22"/>
          <w:szCs w:val="22"/>
        </w:rPr>
        <w:t>SAIMEX</w:t>
      </w:r>
      <w:r w:rsidRPr="00A477B1">
        <w:rPr>
          <w:rFonts w:ascii="Palatino Linotype" w:eastAsia="Palatino Linotype" w:hAnsi="Palatino Linotype" w:cs="Palatino Linotype"/>
          <w:sz w:val="22"/>
          <w:szCs w:val="22"/>
        </w:rPr>
        <w:t xml:space="preserve"> en fecha </w:t>
      </w:r>
      <w:r w:rsidR="00FF7E0D" w:rsidRPr="00A477B1">
        <w:rPr>
          <w:rFonts w:ascii="Palatino Linotype" w:eastAsia="Palatino Linotype" w:hAnsi="Palatino Linotype" w:cs="Palatino Linotype"/>
          <w:b/>
          <w:sz w:val="22"/>
          <w:szCs w:val="22"/>
        </w:rPr>
        <w:t>veintitrés de mayo</w:t>
      </w:r>
      <w:r w:rsidRPr="00A477B1">
        <w:rPr>
          <w:rFonts w:ascii="Palatino Linotype" w:eastAsia="Palatino Linotype" w:hAnsi="Palatino Linotype" w:cs="Palatino Linotype"/>
          <w:b/>
          <w:sz w:val="22"/>
          <w:szCs w:val="22"/>
        </w:rPr>
        <w:t xml:space="preserve"> de dos mil veinticinco</w:t>
      </w:r>
      <w:r w:rsidRPr="00A477B1">
        <w:rPr>
          <w:rFonts w:ascii="Palatino Linotype" w:eastAsia="Palatino Linotype" w:hAnsi="Palatino Linotype" w:cs="Palatino Linotype"/>
          <w:sz w:val="22"/>
          <w:szCs w:val="22"/>
        </w:rPr>
        <w:t>, a través del cual expresó lo siguiente:</w:t>
      </w:r>
    </w:p>
    <w:p w14:paraId="1FC27E0D" w14:textId="77777777" w:rsidR="00F12C46" w:rsidRPr="00A477B1" w:rsidRDefault="00F12C46">
      <w:pPr>
        <w:pBdr>
          <w:top w:val="nil"/>
          <w:left w:val="nil"/>
          <w:bottom w:val="nil"/>
          <w:right w:val="nil"/>
          <w:between w:val="nil"/>
        </w:pBdr>
        <w:tabs>
          <w:tab w:val="left" w:pos="851"/>
        </w:tabs>
        <w:spacing w:line="360" w:lineRule="auto"/>
        <w:ind w:left="567" w:right="701"/>
        <w:jc w:val="both"/>
        <w:rPr>
          <w:rFonts w:ascii="Palatino Linotype" w:eastAsia="Palatino Linotype" w:hAnsi="Palatino Linotype" w:cs="Palatino Linotype"/>
          <w:b/>
          <w:sz w:val="22"/>
          <w:szCs w:val="22"/>
        </w:rPr>
      </w:pPr>
    </w:p>
    <w:p w14:paraId="036A6A7B" w14:textId="34A2CD76" w:rsidR="00F12C46" w:rsidRPr="00A477B1" w:rsidRDefault="00095DD5">
      <w:pPr>
        <w:pBdr>
          <w:top w:val="nil"/>
          <w:left w:val="nil"/>
          <w:bottom w:val="nil"/>
          <w:right w:val="nil"/>
          <w:between w:val="nil"/>
        </w:pBdr>
        <w:tabs>
          <w:tab w:val="left" w:pos="851"/>
        </w:tabs>
        <w:spacing w:line="276" w:lineRule="auto"/>
        <w:ind w:left="567" w:right="701"/>
        <w:jc w:val="both"/>
        <w:rPr>
          <w:rFonts w:ascii="Palatino Linotype" w:eastAsia="Palatino Linotype" w:hAnsi="Palatino Linotype" w:cs="Palatino Linotype"/>
          <w:i/>
          <w:sz w:val="22"/>
          <w:szCs w:val="22"/>
        </w:rPr>
      </w:pPr>
      <w:r w:rsidRPr="00A477B1">
        <w:rPr>
          <w:rFonts w:ascii="Palatino Linotype" w:eastAsia="Palatino Linotype" w:hAnsi="Palatino Linotype" w:cs="Palatino Linotype"/>
          <w:b/>
          <w:sz w:val="22"/>
          <w:szCs w:val="22"/>
        </w:rPr>
        <w:t xml:space="preserve">Acto impugnado. </w:t>
      </w:r>
      <w:r w:rsidRPr="00A477B1">
        <w:rPr>
          <w:rFonts w:ascii="Palatino Linotype" w:eastAsia="Palatino Linotype" w:hAnsi="Palatino Linotype" w:cs="Palatino Linotype"/>
          <w:i/>
          <w:sz w:val="22"/>
          <w:szCs w:val="22"/>
        </w:rPr>
        <w:t>“</w:t>
      </w:r>
      <w:r w:rsidR="00FF7E0D" w:rsidRPr="00A477B1">
        <w:rPr>
          <w:rFonts w:ascii="Palatino Linotype" w:eastAsia="Palatino Linotype" w:hAnsi="Palatino Linotype" w:cs="Palatino Linotype"/>
          <w:i/>
          <w:sz w:val="22"/>
          <w:szCs w:val="22"/>
        </w:rPr>
        <w:t>La entrega de la información incompleta</w:t>
      </w:r>
      <w:r w:rsidRPr="00A477B1">
        <w:rPr>
          <w:rFonts w:ascii="Palatino Linotype" w:eastAsia="Palatino Linotype" w:hAnsi="Palatino Linotype" w:cs="Palatino Linotype"/>
          <w:i/>
          <w:sz w:val="22"/>
          <w:szCs w:val="22"/>
        </w:rPr>
        <w:t>” (Sic)</w:t>
      </w:r>
    </w:p>
    <w:p w14:paraId="2483952D" w14:textId="77777777" w:rsidR="00F12C46" w:rsidRPr="00A477B1" w:rsidRDefault="00F12C46">
      <w:pPr>
        <w:pBdr>
          <w:top w:val="nil"/>
          <w:left w:val="nil"/>
          <w:bottom w:val="nil"/>
          <w:right w:val="nil"/>
          <w:between w:val="nil"/>
        </w:pBdr>
        <w:tabs>
          <w:tab w:val="left" w:pos="993"/>
        </w:tabs>
        <w:spacing w:line="276" w:lineRule="auto"/>
        <w:ind w:left="567" w:right="701"/>
        <w:jc w:val="both"/>
        <w:rPr>
          <w:rFonts w:ascii="Palatino Linotype" w:eastAsia="Palatino Linotype" w:hAnsi="Palatino Linotype" w:cs="Palatino Linotype"/>
          <w:b/>
          <w:sz w:val="22"/>
          <w:szCs w:val="22"/>
        </w:rPr>
      </w:pPr>
    </w:p>
    <w:p w14:paraId="66FEA46E" w14:textId="171849BF" w:rsidR="00F12C46" w:rsidRPr="00A477B1" w:rsidRDefault="00095DD5">
      <w:pPr>
        <w:pBdr>
          <w:top w:val="nil"/>
          <w:left w:val="nil"/>
          <w:bottom w:val="nil"/>
          <w:right w:val="nil"/>
          <w:between w:val="nil"/>
        </w:pBdr>
        <w:tabs>
          <w:tab w:val="left" w:pos="709"/>
          <w:tab w:val="left" w:pos="851"/>
        </w:tabs>
        <w:spacing w:line="276" w:lineRule="auto"/>
        <w:ind w:left="567" w:right="701"/>
        <w:jc w:val="both"/>
        <w:rPr>
          <w:rFonts w:ascii="Palatino Linotype" w:eastAsia="Palatino Linotype" w:hAnsi="Palatino Linotype" w:cs="Palatino Linotype"/>
          <w:i/>
          <w:sz w:val="22"/>
          <w:szCs w:val="22"/>
        </w:rPr>
      </w:pPr>
      <w:r w:rsidRPr="00A477B1">
        <w:rPr>
          <w:rFonts w:ascii="Palatino Linotype" w:eastAsia="Palatino Linotype" w:hAnsi="Palatino Linotype" w:cs="Palatino Linotype"/>
          <w:b/>
          <w:sz w:val="22"/>
          <w:szCs w:val="22"/>
        </w:rPr>
        <w:t xml:space="preserve">Razones o motivos de la inconformidad: </w:t>
      </w:r>
      <w:r w:rsidRPr="00A477B1">
        <w:rPr>
          <w:rFonts w:ascii="Palatino Linotype" w:eastAsia="Palatino Linotype" w:hAnsi="Palatino Linotype" w:cs="Palatino Linotype"/>
          <w:i/>
          <w:sz w:val="22"/>
          <w:szCs w:val="22"/>
        </w:rPr>
        <w:t>“</w:t>
      </w:r>
      <w:r w:rsidR="00FF7E0D" w:rsidRPr="00A477B1">
        <w:rPr>
          <w:rFonts w:ascii="Palatino Linotype" w:eastAsia="Palatino Linotype" w:hAnsi="Palatino Linotype" w:cs="Palatino Linotype"/>
          <w:i/>
          <w:sz w:val="22"/>
          <w:szCs w:val="22"/>
        </w:rPr>
        <w:t>La entrega de la información incompleta</w:t>
      </w:r>
      <w:r w:rsidRPr="00A477B1">
        <w:rPr>
          <w:rFonts w:ascii="Palatino Linotype" w:eastAsia="Palatino Linotype" w:hAnsi="Palatino Linotype" w:cs="Palatino Linotype"/>
          <w:i/>
          <w:sz w:val="22"/>
          <w:szCs w:val="22"/>
        </w:rPr>
        <w:t>” (Sic)</w:t>
      </w:r>
    </w:p>
    <w:p w14:paraId="51F6FBEF" w14:textId="77777777" w:rsidR="00F12C46" w:rsidRPr="00A477B1" w:rsidRDefault="00F12C46">
      <w:pPr>
        <w:pBdr>
          <w:top w:val="nil"/>
          <w:left w:val="nil"/>
          <w:bottom w:val="nil"/>
          <w:right w:val="nil"/>
          <w:between w:val="nil"/>
        </w:pBdr>
        <w:tabs>
          <w:tab w:val="left" w:pos="709"/>
          <w:tab w:val="left" w:pos="851"/>
        </w:tabs>
        <w:spacing w:line="276" w:lineRule="auto"/>
        <w:ind w:left="567" w:right="701"/>
        <w:jc w:val="both"/>
        <w:rPr>
          <w:rFonts w:ascii="Palatino Linotype" w:eastAsia="Palatino Linotype" w:hAnsi="Palatino Linotype" w:cs="Palatino Linotype"/>
          <w:i/>
          <w:sz w:val="22"/>
          <w:szCs w:val="22"/>
        </w:rPr>
      </w:pPr>
    </w:p>
    <w:p w14:paraId="0B2BCFDA" w14:textId="7B4568A9" w:rsidR="00F12C46" w:rsidRPr="00A477B1" w:rsidRDefault="00095DD5">
      <w:pPr>
        <w:numPr>
          <w:ilvl w:val="0"/>
          <w:numId w:val="2"/>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b/>
          <w:sz w:val="22"/>
          <w:szCs w:val="22"/>
        </w:rPr>
        <w:t>Turno.</w:t>
      </w:r>
      <w:r w:rsidRPr="00A477B1">
        <w:rPr>
          <w:rFonts w:ascii="Palatino Linotype" w:eastAsia="Palatino Linotype" w:hAnsi="Palatino Linotype" w:cs="Palatino Linotype"/>
          <w:sz w:val="22"/>
          <w:szCs w:val="22"/>
        </w:rPr>
        <w:t xml:space="preserve"> De conformidad con el artículo 185, fracción I de la Ley de Transparencia y Acceso a la Información Pública del Estado de México y Municipios, el recurso de revisión número </w:t>
      </w:r>
      <w:r w:rsidRPr="00A477B1">
        <w:rPr>
          <w:rFonts w:ascii="Palatino Linotype" w:eastAsia="Palatino Linotype" w:hAnsi="Palatino Linotype" w:cs="Palatino Linotype"/>
          <w:b/>
          <w:sz w:val="22"/>
          <w:szCs w:val="22"/>
        </w:rPr>
        <w:t>0</w:t>
      </w:r>
      <w:r w:rsidR="00FF7E0D" w:rsidRPr="00A477B1">
        <w:rPr>
          <w:rFonts w:ascii="Palatino Linotype" w:eastAsia="Palatino Linotype" w:hAnsi="Palatino Linotype" w:cs="Palatino Linotype"/>
          <w:b/>
          <w:sz w:val="22"/>
          <w:szCs w:val="22"/>
        </w:rPr>
        <w:t>5884</w:t>
      </w:r>
      <w:r w:rsidRPr="00A477B1">
        <w:rPr>
          <w:rFonts w:ascii="Palatino Linotype" w:eastAsia="Palatino Linotype" w:hAnsi="Palatino Linotype" w:cs="Palatino Linotype"/>
          <w:b/>
          <w:sz w:val="22"/>
          <w:szCs w:val="22"/>
        </w:rPr>
        <w:t>/INFOEM/IP/RR/2025</w:t>
      </w:r>
      <w:r w:rsidRPr="00A477B1">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w:t>
      </w:r>
      <w:r w:rsidRPr="00A477B1">
        <w:rPr>
          <w:rFonts w:ascii="Palatino Linotype" w:eastAsia="Palatino Linotype" w:hAnsi="Palatino Linotype" w:cs="Palatino Linotype"/>
          <w:b/>
          <w:sz w:val="22"/>
          <w:szCs w:val="22"/>
        </w:rPr>
        <w:t>Comisionada Guadalupe Ramírez Peña</w:t>
      </w:r>
      <w:r w:rsidRPr="00A477B1">
        <w:rPr>
          <w:rFonts w:ascii="Palatino Linotype" w:eastAsia="Palatino Linotype" w:hAnsi="Palatino Linotype" w:cs="Palatino Linotype"/>
          <w:sz w:val="22"/>
          <w:szCs w:val="22"/>
        </w:rPr>
        <w:t xml:space="preserve"> para su análisis, estudio, elaboración del proyecto y presentación ante el Pleno de este Instituto.</w:t>
      </w:r>
    </w:p>
    <w:p w14:paraId="2AD1915F" w14:textId="77777777" w:rsidR="00F12C46" w:rsidRPr="00A477B1" w:rsidRDefault="00F12C4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4C2C5AC" w14:textId="3D525CD7" w:rsidR="00F12C46" w:rsidRPr="00A477B1" w:rsidRDefault="00095DD5">
      <w:pPr>
        <w:numPr>
          <w:ilvl w:val="0"/>
          <w:numId w:val="2"/>
        </w:numPr>
        <w:pBdr>
          <w:top w:val="nil"/>
          <w:left w:val="nil"/>
          <w:bottom w:val="nil"/>
          <w:right w:val="nil"/>
          <w:between w:val="nil"/>
        </w:pBdr>
        <w:tabs>
          <w:tab w:val="left" w:pos="142"/>
          <w:tab w:val="left" w:pos="284"/>
        </w:tabs>
        <w:spacing w:line="360" w:lineRule="auto"/>
        <w:ind w:left="0" w:right="49" w:firstLine="0"/>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b/>
          <w:sz w:val="22"/>
          <w:szCs w:val="22"/>
        </w:rPr>
        <w:t>Admisión del recurso de revisión</w:t>
      </w:r>
      <w:r w:rsidRPr="00A477B1">
        <w:rPr>
          <w:rFonts w:ascii="Palatino Linotype" w:eastAsia="Palatino Linotype" w:hAnsi="Palatino Linotype" w:cs="Palatino Linotype"/>
          <w:sz w:val="22"/>
          <w:szCs w:val="22"/>
        </w:rPr>
        <w:t xml:space="preserve">: En fecha </w:t>
      </w:r>
      <w:r w:rsidR="00FF7E0D" w:rsidRPr="00A477B1">
        <w:rPr>
          <w:rFonts w:ascii="Palatino Linotype" w:eastAsia="Palatino Linotype" w:hAnsi="Palatino Linotype" w:cs="Palatino Linotype"/>
          <w:b/>
          <w:sz w:val="22"/>
          <w:szCs w:val="22"/>
        </w:rPr>
        <w:t>veintiocho de mayo</w:t>
      </w:r>
      <w:r w:rsidRPr="00A477B1">
        <w:rPr>
          <w:rFonts w:ascii="Palatino Linotype" w:eastAsia="Palatino Linotype" w:hAnsi="Palatino Linotype" w:cs="Palatino Linotype"/>
          <w:b/>
          <w:sz w:val="22"/>
          <w:szCs w:val="22"/>
        </w:rPr>
        <w:t xml:space="preserve"> de dos mil veinticinco</w:t>
      </w:r>
      <w:r w:rsidRPr="00A477B1">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A477B1">
        <w:rPr>
          <w:rFonts w:ascii="Palatino Linotype" w:eastAsia="Palatino Linotype" w:hAnsi="Palatino Linotype" w:cs="Palatino Linotype"/>
          <w:b/>
          <w:sz w:val="22"/>
          <w:szCs w:val="22"/>
        </w:rPr>
        <w:t>Sujeto Obligado</w:t>
      </w:r>
      <w:r w:rsidRPr="00A477B1">
        <w:rPr>
          <w:rFonts w:ascii="Palatino Linotype" w:eastAsia="Palatino Linotype" w:hAnsi="Palatino Linotype" w:cs="Palatino Linotype"/>
          <w:sz w:val="22"/>
          <w:szCs w:val="22"/>
        </w:rPr>
        <w:t xml:space="preserve"> presentara su informe justificado. </w:t>
      </w:r>
    </w:p>
    <w:p w14:paraId="7F26415B" w14:textId="77777777" w:rsidR="00F12C46" w:rsidRPr="00A477B1" w:rsidRDefault="00F12C4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D1FCAA9" w14:textId="5B873CC1" w:rsidR="00F12C46" w:rsidRPr="00A477B1" w:rsidRDefault="00095DD5" w:rsidP="00FF7E0D">
      <w:pPr>
        <w:numPr>
          <w:ilvl w:val="0"/>
          <w:numId w:val="2"/>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b/>
          <w:sz w:val="22"/>
          <w:szCs w:val="22"/>
        </w:rPr>
        <w:t xml:space="preserve">Informe Justificado. </w:t>
      </w:r>
      <w:r w:rsidRPr="00A477B1">
        <w:rPr>
          <w:rFonts w:ascii="Palatino Linotype" w:eastAsia="Palatino Linotype" w:hAnsi="Palatino Linotype" w:cs="Palatino Linotype"/>
          <w:sz w:val="22"/>
          <w:szCs w:val="22"/>
        </w:rPr>
        <w:t xml:space="preserve">De las constancias que obran en el expediente electrónico </w:t>
      </w:r>
      <w:proofErr w:type="spellStart"/>
      <w:r w:rsidRPr="00A477B1">
        <w:rPr>
          <w:rFonts w:ascii="Palatino Linotype" w:eastAsia="Palatino Linotype" w:hAnsi="Palatino Linotype" w:cs="Palatino Linotype"/>
          <w:sz w:val="22"/>
          <w:szCs w:val="22"/>
        </w:rPr>
        <w:t>aperturado</w:t>
      </w:r>
      <w:proofErr w:type="spellEnd"/>
      <w:r w:rsidRPr="00A477B1">
        <w:rPr>
          <w:rFonts w:ascii="Palatino Linotype" w:eastAsia="Palatino Linotype" w:hAnsi="Palatino Linotype" w:cs="Palatino Linotype"/>
          <w:sz w:val="22"/>
          <w:szCs w:val="22"/>
        </w:rPr>
        <w:t xml:space="preserve"> con motivo del presente medio de impugnación, se advierte que durante el periodo de manifestaciones el </w:t>
      </w:r>
      <w:r w:rsidRPr="00A477B1">
        <w:rPr>
          <w:rFonts w:ascii="Palatino Linotype" w:eastAsia="Palatino Linotype" w:hAnsi="Palatino Linotype" w:cs="Palatino Linotype"/>
          <w:b/>
          <w:sz w:val="22"/>
          <w:szCs w:val="22"/>
        </w:rPr>
        <w:t xml:space="preserve">Sujeto Obligado </w:t>
      </w:r>
      <w:r w:rsidRPr="00A477B1">
        <w:rPr>
          <w:rFonts w:ascii="Palatino Linotype" w:eastAsia="Palatino Linotype" w:hAnsi="Palatino Linotype" w:cs="Palatino Linotype"/>
          <w:sz w:val="22"/>
          <w:szCs w:val="22"/>
        </w:rPr>
        <w:t xml:space="preserve">en fecha </w:t>
      </w:r>
      <w:r w:rsidR="00FF7E0D" w:rsidRPr="00A477B1">
        <w:rPr>
          <w:rFonts w:ascii="Palatino Linotype" w:eastAsia="Palatino Linotype" w:hAnsi="Palatino Linotype" w:cs="Palatino Linotype"/>
          <w:b/>
          <w:sz w:val="22"/>
          <w:szCs w:val="22"/>
        </w:rPr>
        <w:t>seis de junio</w:t>
      </w:r>
      <w:r w:rsidRPr="00A477B1">
        <w:rPr>
          <w:rFonts w:ascii="Palatino Linotype" w:eastAsia="Palatino Linotype" w:hAnsi="Palatino Linotype" w:cs="Palatino Linotype"/>
          <w:b/>
          <w:sz w:val="22"/>
          <w:szCs w:val="22"/>
        </w:rPr>
        <w:t xml:space="preserve"> de dos mil veinticinco </w:t>
      </w:r>
      <w:r w:rsidRPr="00A477B1">
        <w:rPr>
          <w:rFonts w:ascii="Palatino Linotype" w:eastAsia="Palatino Linotype" w:hAnsi="Palatino Linotype" w:cs="Palatino Linotype"/>
          <w:sz w:val="22"/>
          <w:szCs w:val="22"/>
        </w:rPr>
        <w:t xml:space="preserve">rindió su </w:t>
      </w:r>
      <w:r w:rsidRPr="00A477B1">
        <w:rPr>
          <w:rFonts w:ascii="Palatino Linotype" w:eastAsia="Palatino Linotype" w:hAnsi="Palatino Linotype" w:cs="Palatino Linotype"/>
          <w:sz w:val="22"/>
          <w:szCs w:val="22"/>
        </w:rPr>
        <w:lastRenderedPageBreak/>
        <w:t>infor</w:t>
      </w:r>
      <w:r w:rsidR="00FF7E0D" w:rsidRPr="00A477B1">
        <w:rPr>
          <w:rFonts w:ascii="Palatino Linotype" w:eastAsia="Palatino Linotype" w:hAnsi="Palatino Linotype" w:cs="Palatino Linotype"/>
          <w:sz w:val="22"/>
          <w:szCs w:val="22"/>
        </w:rPr>
        <w:t>me justificado a través del archivo electrónico denominado “</w:t>
      </w:r>
      <w:hyperlink r:id="rId8" w:history="1">
        <w:r w:rsidR="00FF7E0D" w:rsidRPr="00A477B1">
          <w:rPr>
            <w:rStyle w:val="Hipervnculo"/>
            <w:rFonts w:ascii="Palatino Linotype" w:eastAsia="Palatino Linotype" w:hAnsi="Palatino Linotype" w:cs="Palatino Linotype"/>
            <w:b/>
            <w:bCs/>
            <w:i/>
            <w:color w:val="auto"/>
            <w:sz w:val="22"/>
            <w:szCs w:val="22"/>
            <w:u w:val="none"/>
          </w:rPr>
          <w:t>2. Ratificación RR-5884-2025.pdf</w:t>
        </w:r>
      </w:hyperlink>
      <w:r w:rsidR="00FF7E0D" w:rsidRPr="00A477B1">
        <w:rPr>
          <w:rFonts w:ascii="Palatino Linotype" w:eastAsia="Palatino Linotype" w:hAnsi="Palatino Linotype" w:cs="Palatino Linotype"/>
          <w:sz w:val="22"/>
          <w:szCs w:val="22"/>
        </w:rPr>
        <w:t>” en el que medularmente se ratificó la respuesta inicial.</w:t>
      </w:r>
    </w:p>
    <w:p w14:paraId="29577E4D" w14:textId="77777777" w:rsidR="00FF7E0D" w:rsidRPr="00A477B1" w:rsidRDefault="00FF7E0D" w:rsidP="00FF7E0D">
      <w:pPr>
        <w:pStyle w:val="Prrafodelista"/>
        <w:rPr>
          <w:rFonts w:ascii="Palatino Linotype" w:eastAsia="Palatino Linotype" w:hAnsi="Palatino Linotype" w:cs="Palatino Linotype"/>
        </w:rPr>
      </w:pPr>
    </w:p>
    <w:p w14:paraId="37AE8472" w14:textId="1F2724FE" w:rsidR="00F12C46" w:rsidRPr="00A477B1" w:rsidRDefault="00095DD5">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Documento que se </w:t>
      </w:r>
      <w:r w:rsidR="00FF7E0D" w:rsidRPr="00A477B1">
        <w:rPr>
          <w:rFonts w:ascii="Palatino Linotype" w:eastAsia="Palatino Linotype" w:hAnsi="Palatino Linotype" w:cs="Palatino Linotype"/>
          <w:sz w:val="22"/>
          <w:szCs w:val="22"/>
        </w:rPr>
        <w:t>puso</w:t>
      </w:r>
      <w:r w:rsidRPr="00A477B1">
        <w:rPr>
          <w:rFonts w:ascii="Palatino Linotype" w:eastAsia="Palatino Linotype" w:hAnsi="Palatino Linotype" w:cs="Palatino Linotype"/>
          <w:sz w:val="22"/>
          <w:szCs w:val="22"/>
        </w:rPr>
        <w:t xml:space="preserve"> a la vista de la parte </w:t>
      </w:r>
      <w:r w:rsidRPr="00A477B1">
        <w:rPr>
          <w:rFonts w:ascii="Palatino Linotype" w:eastAsia="Palatino Linotype" w:hAnsi="Palatino Linotype" w:cs="Palatino Linotype"/>
          <w:b/>
          <w:sz w:val="22"/>
          <w:szCs w:val="22"/>
        </w:rPr>
        <w:t xml:space="preserve">Recurrente, </w:t>
      </w:r>
      <w:r w:rsidRPr="00A477B1">
        <w:rPr>
          <w:rFonts w:ascii="Palatino Linotype" w:eastAsia="Palatino Linotype" w:hAnsi="Palatino Linotype" w:cs="Palatino Linotype"/>
          <w:sz w:val="22"/>
          <w:szCs w:val="22"/>
        </w:rPr>
        <w:t xml:space="preserve">a fin de que manifestara lo que a su derecho resultara conveniente; no obstante, fue omisa en ejercer dicha prerrogativa. </w:t>
      </w:r>
    </w:p>
    <w:p w14:paraId="3D1BD518" w14:textId="77777777" w:rsidR="00F12C46" w:rsidRPr="00A477B1" w:rsidRDefault="00F12C46">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rPr>
      </w:pPr>
    </w:p>
    <w:p w14:paraId="6FCABEBA" w14:textId="40FDE3C9" w:rsidR="00F12C46" w:rsidRPr="00A477B1" w:rsidRDefault="00095DD5">
      <w:pPr>
        <w:spacing w:line="360" w:lineRule="auto"/>
        <w:jc w:val="both"/>
        <w:rPr>
          <w:rFonts w:ascii="Palatino Linotype" w:eastAsia="Palatino Linotype" w:hAnsi="Palatino Linotype" w:cs="Palatino Linotype"/>
          <w:sz w:val="22"/>
          <w:szCs w:val="22"/>
        </w:rPr>
      </w:pPr>
      <w:bookmarkStart w:id="4" w:name="_heading=h.fx7vcrn1mcia" w:colFirst="0" w:colLast="0"/>
      <w:bookmarkEnd w:id="4"/>
      <w:r w:rsidRPr="00A477B1">
        <w:rPr>
          <w:rFonts w:ascii="Palatino Linotype" w:eastAsia="Palatino Linotype" w:hAnsi="Palatino Linotype" w:cs="Palatino Linotype"/>
          <w:b/>
          <w:sz w:val="22"/>
          <w:szCs w:val="22"/>
        </w:rPr>
        <w:t>7. Ampliación del término para resolver</w:t>
      </w:r>
      <w:r w:rsidRPr="00A477B1">
        <w:rPr>
          <w:rFonts w:ascii="Palatino Linotype" w:eastAsia="Palatino Linotype" w:hAnsi="Palatino Linotype" w:cs="Palatino Linotype"/>
          <w:sz w:val="22"/>
          <w:szCs w:val="22"/>
        </w:rPr>
        <w:t xml:space="preserve">. Mediante acuerdo del </w:t>
      </w:r>
      <w:r w:rsidR="00FF7E0D" w:rsidRPr="00A477B1">
        <w:rPr>
          <w:rFonts w:ascii="Palatino Linotype" w:eastAsia="Palatino Linotype" w:hAnsi="Palatino Linotype" w:cs="Palatino Linotype"/>
          <w:b/>
          <w:sz w:val="22"/>
          <w:szCs w:val="22"/>
        </w:rPr>
        <w:t>diecisiete de septiembre</w:t>
      </w:r>
      <w:r w:rsidRPr="00A477B1">
        <w:rPr>
          <w:rFonts w:ascii="Palatino Linotype" w:eastAsia="Palatino Linotype" w:hAnsi="Palatino Linotype" w:cs="Palatino Linotype"/>
          <w:b/>
          <w:sz w:val="22"/>
          <w:szCs w:val="22"/>
        </w:rPr>
        <w:t xml:space="preserve"> de dos mil veinticinco</w:t>
      </w:r>
      <w:r w:rsidRPr="00A477B1">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5003CA93" w14:textId="77777777" w:rsidR="00F12C46" w:rsidRPr="00A477B1" w:rsidRDefault="00F12C46">
      <w:pPr>
        <w:spacing w:line="360" w:lineRule="auto"/>
        <w:jc w:val="both"/>
        <w:rPr>
          <w:rFonts w:ascii="Palatino Linotype" w:eastAsia="Palatino Linotype" w:hAnsi="Palatino Linotype" w:cs="Palatino Linotype"/>
          <w:sz w:val="22"/>
          <w:szCs w:val="22"/>
        </w:rPr>
      </w:pPr>
    </w:p>
    <w:p w14:paraId="3C7F3D8C" w14:textId="77777777" w:rsidR="00F12C46" w:rsidRPr="00A477B1" w:rsidRDefault="00095DD5">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868FD05" w14:textId="77777777" w:rsidR="00F12C46" w:rsidRPr="00A477B1" w:rsidRDefault="00F12C46">
      <w:pPr>
        <w:spacing w:line="360" w:lineRule="auto"/>
        <w:jc w:val="both"/>
        <w:rPr>
          <w:rFonts w:ascii="Palatino Linotype" w:eastAsia="Palatino Linotype" w:hAnsi="Palatino Linotype" w:cs="Palatino Linotype"/>
          <w:sz w:val="22"/>
          <w:szCs w:val="22"/>
        </w:rPr>
      </w:pPr>
    </w:p>
    <w:p w14:paraId="6EBFAEDC" w14:textId="77777777" w:rsidR="00F12C46" w:rsidRPr="00A477B1" w:rsidRDefault="00095DD5">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Por ello, es menester precisar </w:t>
      </w:r>
      <w:proofErr w:type="gramStart"/>
      <w:r w:rsidRPr="00A477B1">
        <w:rPr>
          <w:rFonts w:ascii="Palatino Linotype" w:eastAsia="Palatino Linotype" w:hAnsi="Palatino Linotype" w:cs="Palatino Linotype"/>
          <w:sz w:val="22"/>
          <w:szCs w:val="22"/>
        </w:rPr>
        <w:t>que</w:t>
      </w:r>
      <w:proofErr w:type="gramEnd"/>
      <w:r w:rsidRPr="00A477B1">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4AA42C7A" w14:textId="77777777" w:rsidR="00F12C46" w:rsidRPr="00A477B1" w:rsidRDefault="00F12C46">
      <w:pPr>
        <w:spacing w:line="360" w:lineRule="auto"/>
        <w:jc w:val="both"/>
        <w:rPr>
          <w:rFonts w:ascii="Palatino Linotype" w:eastAsia="Palatino Linotype" w:hAnsi="Palatino Linotype" w:cs="Palatino Linotype"/>
          <w:sz w:val="22"/>
          <w:szCs w:val="22"/>
        </w:rPr>
      </w:pPr>
    </w:p>
    <w:p w14:paraId="174B1638" w14:textId="77777777" w:rsidR="00F12C46" w:rsidRPr="00A477B1" w:rsidRDefault="00095DD5">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6A02A47" w14:textId="77777777" w:rsidR="00F12C46" w:rsidRPr="00A477B1" w:rsidRDefault="00F12C46">
      <w:pPr>
        <w:spacing w:line="360" w:lineRule="auto"/>
        <w:jc w:val="both"/>
        <w:rPr>
          <w:rFonts w:ascii="Palatino Linotype" w:eastAsia="Palatino Linotype" w:hAnsi="Palatino Linotype" w:cs="Palatino Linotype"/>
          <w:sz w:val="22"/>
          <w:szCs w:val="22"/>
        </w:rPr>
      </w:pPr>
    </w:p>
    <w:p w14:paraId="3982A7A8" w14:textId="77777777" w:rsidR="00F12C46" w:rsidRPr="00A477B1" w:rsidRDefault="00095DD5">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466A4E8" w14:textId="77777777" w:rsidR="00F12C46" w:rsidRPr="00A477B1" w:rsidRDefault="00F12C46">
      <w:pPr>
        <w:spacing w:line="360" w:lineRule="auto"/>
        <w:jc w:val="both"/>
        <w:rPr>
          <w:rFonts w:ascii="Palatino Linotype" w:eastAsia="Palatino Linotype" w:hAnsi="Palatino Linotype" w:cs="Palatino Linotype"/>
          <w:sz w:val="22"/>
          <w:szCs w:val="22"/>
        </w:rPr>
      </w:pPr>
    </w:p>
    <w:p w14:paraId="50D1400E" w14:textId="77777777" w:rsidR="00F12C46" w:rsidRPr="00A477B1" w:rsidRDefault="00095DD5">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069348E2" w14:textId="77777777" w:rsidR="00F12C46" w:rsidRPr="00A477B1" w:rsidRDefault="00F12C46">
      <w:pPr>
        <w:spacing w:line="360" w:lineRule="auto"/>
        <w:jc w:val="both"/>
        <w:rPr>
          <w:rFonts w:ascii="Palatino Linotype" w:eastAsia="Palatino Linotype" w:hAnsi="Palatino Linotype" w:cs="Palatino Linotype"/>
          <w:strike/>
          <w:sz w:val="22"/>
          <w:szCs w:val="22"/>
        </w:rPr>
      </w:pPr>
    </w:p>
    <w:p w14:paraId="5B5FB9E0" w14:textId="77777777" w:rsidR="00F12C46" w:rsidRPr="00A477B1" w:rsidRDefault="00095DD5">
      <w:pPr>
        <w:numPr>
          <w:ilvl w:val="0"/>
          <w:numId w:val="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b/>
          <w:sz w:val="22"/>
          <w:szCs w:val="22"/>
        </w:rPr>
        <w:t>Complejidad del Asunto:</w:t>
      </w:r>
      <w:r w:rsidRPr="00A477B1">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026AB3ED" w14:textId="77777777" w:rsidR="00F12C46" w:rsidRPr="00A477B1" w:rsidRDefault="00095DD5">
      <w:pPr>
        <w:numPr>
          <w:ilvl w:val="0"/>
          <w:numId w:val="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b/>
          <w:sz w:val="22"/>
          <w:szCs w:val="22"/>
        </w:rPr>
        <w:t>Actividad Procesal del interesado</w:t>
      </w:r>
      <w:r w:rsidRPr="00A477B1">
        <w:rPr>
          <w:rFonts w:ascii="Palatino Linotype" w:eastAsia="Palatino Linotype" w:hAnsi="Palatino Linotype" w:cs="Palatino Linotype"/>
          <w:sz w:val="22"/>
          <w:szCs w:val="22"/>
        </w:rPr>
        <w:t>. Acciones u omisiones del interesado.</w:t>
      </w:r>
    </w:p>
    <w:p w14:paraId="52852DA4" w14:textId="77777777" w:rsidR="00F12C46" w:rsidRPr="00A477B1" w:rsidRDefault="00095DD5">
      <w:pPr>
        <w:numPr>
          <w:ilvl w:val="0"/>
          <w:numId w:val="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b/>
          <w:sz w:val="22"/>
          <w:szCs w:val="22"/>
        </w:rPr>
        <w:t>Conducta de la Autoridad:</w:t>
      </w:r>
      <w:r w:rsidRPr="00A477B1">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5A34BC4E" w14:textId="77777777" w:rsidR="00F12C46" w:rsidRPr="00A477B1" w:rsidRDefault="00095DD5">
      <w:pPr>
        <w:numPr>
          <w:ilvl w:val="0"/>
          <w:numId w:val="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b/>
          <w:sz w:val="22"/>
          <w:szCs w:val="22"/>
        </w:rPr>
        <w:t>La afectación generada en la situación jurídica de la persona involucrada en el proceso:</w:t>
      </w:r>
      <w:r w:rsidRPr="00A477B1">
        <w:rPr>
          <w:rFonts w:ascii="Palatino Linotype" w:eastAsia="Palatino Linotype" w:hAnsi="Palatino Linotype" w:cs="Palatino Linotype"/>
          <w:sz w:val="22"/>
          <w:szCs w:val="22"/>
        </w:rPr>
        <w:t xml:space="preserve"> Violación a sus derechos humanos.</w:t>
      </w:r>
    </w:p>
    <w:p w14:paraId="3428D102" w14:textId="77777777" w:rsidR="00F12C46" w:rsidRPr="00A477B1" w:rsidRDefault="00F12C46">
      <w:pPr>
        <w:tabs>
          <w:tab w:val="left" w:pos="993"/>
        </w:tabs>
        <w:spacing w:line="360" w:lineRule="auto"/>
        <w:ind w:left="567" w:right="900"/>
        <w:jc w:val="both"/>
        <w:rPr>
          <w:rFonts w:ascii="Palatino Linotype" w:eastAsia="Palatino Linotype" w:hAnsi="Palatino Linotype" w:cs="Palatino Linotype"/>
          <w:sz w:val="22"/>
          <w:szCs w:val="22"/>
        </w:rPr>
      </w:pPr>
    </w:p>
    <w:p w14:paraId="1CE6F6F2" w14:textId="77777777" w:rsidR="00F12C46" w:rsidRPr="00A477B1" w:rsidRDefault="00095DD5">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39C64C0" w14:textId="77777777" w:rsidR="00F12C46" w:rsidRPr="00A477B1" w:rsidRDefault="00F12C46">
      <w:pPr>
        <w:spacing w:line="360" w:lineRule="auto"/>
        <w:jc w:val="both"/>
        <w:rPr>
          <w:rFonts w:ascii="Palatino Linotype" w:eastAsia="Palatino Linotype" w:hAnsi="Palatino Linotype" w:cs="Palatino Linotype"/>
          <w:sz w:val="22"/>
          <w:szCs w:val="22"/>
        </w:rPr>
      </w:pPr>
    </w:p>
    <w:p w14:paraId="01D1F47E" w14:textId="77777777" w:rsidR="00F12C46" w:rsidRPr="00A477B1" w:rsidRDefault="00095DD5">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A477B1">
        <w:rPr>
          <w:rFonts w:ascii="Palatino Linotype" w:eastAsia="Palatino Linotype" w:hAnsi="Palatino Linotype" w:cs="Palatino Linotype"/>
          <w:i/>
          <w:sz w:val="22"/>
          <w:szCs w:val="22"/>
        </w:rPr>
        <w:t xml:space="preserve">“TÉRMINOS PROCESALES. PARA </w:t>
      </w:r>
      <w:r w:rsidRPr="00A477B1">
        <w:rPr>
          <w:rFonts w:ascii="Palatino Linotype" w:eastAsia="Palatino Linotype" w:hAnsi="Palatino Linotype" w:cs="Palatino Linotype"/>
          <w:i/>
          <w:sz w:val="22"/>
          <w:szCs w:val="22"/>
        </w:rPr>
        <w:lastRenderedPageBreak/>
        <w:t>DETERMINAR SI UN FUNCIONARIO JUDICIAL ACTUÓ INDEBIDAMENTE POR NO RESPETARLOS SE DEBE ATENDER AL PRESUPUESTO QUE CONSIDERÓ EL LEGISLADOR AL FIJARLOS Y LAS CARACTERÍSTICAS DEL CASO.”</w:t>
      </w:r>
      <w:r w:rsidRPr="00A477B1">
        <w:rPr>
          <w:rFonts w:ascii="Palatino Linotype" w:eastAsia="Palatino Linotype" w:hAnsi="Palatino Linotype" w:cs="Palatino Linotype"/>
          <w:sz w:val="22"/>
          <w:szCs w:val="22"/>
        </w:rPr>
        <w:t>, visible en la Gaceta del Seminario Judicial de la Federación con el registro digital 205635.</w:t>
      </w:r>
    </w:p>
    <w:p w14:paraId="6E9D37F9" w14:textId="77777777" w:rsidR="00F12C46" w:rsidRPr="00A477B1" w:rsidRDefault="00F12C46">
      <w:pPr>
        <w:spacing w:line="360" w:lineRule="auto"/>
        <w:jc w:val="both"/>
        <w:rPr>
          <w:rFonts w:ascii="Palatino Linotype" w:eastAsia="Palatino Linotype" w:hAnsi="Palatino Linotype" w:cs="Palatino Linotype"/>
          <w:b/>
          <w:sz w:val="22"/>
          <w:szCs w:val="22"/>
        </w:rPr>
      </w:pPr>
    </w:p>
    <w:p w14:paraId="20794020" w14:textId="77777777" w:rsidR="00F12C46" w:rsidRPr="00A477B1" w:rsidRDefault="00095DD5">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69DCEFC" w14:textId="77777777" w:rsidR="00F12C46" w:rsidRPr="00A477B1" w:rsidRDefault="00F12C46">
      <w:pPr>
        <w:spacing w:line="360" w:lineRule="auto"/>
        <w:jc w:val="both"/>
        <w:rPr>
          <w:rFonts w:ascii="Palatino Linotype" w:eastAsia="Palatino Linotype" w:hAnsi="Palatino Linotype" w:cs="Palatino Linotype"/>
          <w:sz w:val="22"/>
          <w:szCs w:val="22"/>
        </w:rPr>
      </w:pPr>
    </w:p>
    <w:p w14:paraId="4F1A7EB3" w14:textId="77777777" w:rsidR="00F12C46" w:rsidRPr="00A477B1" w:rsidRDefault="00095DD5">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467B7B1C" w14:textId="77777777" w:rsidR="00F12C46" w:rsidRPr="00A477B1" w:rsidRDefault="00F12C46">
      <w:pPr>
        <w:spacing w:line="360" w:lineRule="auto"/>
        <w:jc w:val="both"/>
        <w:rPr>
          <w:rFonts w:ascii="Palatino Linotype" w:eastAsia="Palatino Linotype" w:hAnsi="Palatino Linotype" w:cs="Palatino Linotype"/>
          <w:sz w:val="22"/>
          <w:szCs w:val="22"/>
        </w:rPr>
      </w:pPr>
    </w:p>
    <w:p w14:paraId="0A2EB219" w14:textId="77777777" w:rsidR="00F12C46" w:rsidRPr="00A477B1" w:rsidRDefault="00095DD5">
      <w:pPr>
        <w:spacing w:line="360" w:lineRule="auto"/>
        <w:ind w:left="851" w:right="900"/>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 </w:t>
      </w:r>
      <w:r w:rsidRPr="00A477B1">
        <w:rPr>
          <w:rFonts w:ascii="Palatino Linotype" w:eastAsia="Palatino Linotype" w:hAnsi="Palatino Linotype" w:cs="Palatino Linotype"/>
          <w:b/>
          <w:i/>
          <w:sz w:val="22"/>
          <w:szCs w:val="22"/>
        </w:rPr>
        <w:t>“PLAZO RAZONABLE PARA RESOLVER. DIMENSIÓN Y EFECTOS DE ESTE CONCEPTO CUANDO SE ADUCE EXCESIVA CARGA DE TRABAJO</w:t>
      </w:r>
      <w:r w:rsidRPr="00A477B1">
        <w:rPr>
          <w:rFonts w:ascii="Palatino Linotype" w:eastAsia="Palatino Linotype" w:hAnsi="Palatino Linotype" w:cs="Palatino Linotype"/>
          <w:i/>
          <w:sz w:val="22"/>
          <w:szCs w:val="22"/>
        </w:rPr>
        <w:t>.”</w:t>
      </w:r>
      <w:r w:rsidRPr="00A477B1">
        <w:rPr>
          <w:rFonts w:ascii="Palatino Linotype" w:eastAsia="Palatino Linotype" w:hAnsi="Palatino Linotype" w:cs="Palatino Linotype"/>
          <w:sz w:val="22"/>
          <w:szCs w:val="22"/>
        </w:rPr>
        <w:t xml:space="preserve"> consultable en el Seminario Judicial de la Federación y su gaceta, con el registro digital 2002351.</w:t>
      </w:r>
    </w:p>
    <w:p w14:paraId="3C732327" w14:textId="77777777" w:rsidR="00F12C46" w:rsidRPr="00A477B1" w:rsidRDefault="00095DD5">
      <w:pPr>
        <w:spacing w:line="360" w:lineRule="auto"/>
        <w:ind w:left="851" w:right="900"/>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b/>
          <w:i/>
          <w:sz w:val="22"/>
          <w:szCs w:val="22"/>
        </w:rPr>
        <w:t xml:space="preserve">“PLAZO RAZONABLE PARA RESOLVER. CONCEPTO Y ELEMENTOS QUE LO INTEGRAN A LA LUZ DEL DERECHO INTERNACIONAL DE </w:t>
      </w:r>
      <w:r w:rsidRPr="00A477B1">
        <w:rPr>
          <w:rFonts w:ascii="Palatino Linotype" w:eastAsia="Palatino Linotype" w:hAnsi="Palatino Linotype" w:cs="Palatino Linotype"/>
          <w:b/>
          <w:i/>
          <w:sz w:val="22"/>
          <w:szCs w:val="22"/>
        </w:rPr>
        <w:lastRenderedPageBreak/>
        <w:t>LOS DERECHOS HUMANOS.”</w:t>
      </w:r>
      <w:r w:rsidRPr="00A477B1">
        <w:rPr>
          <w:rFonts w:ascii="Palatino Linotype" w:eastAsia="Palatino Linotype" w:hAnsi="Palatino Linotype" w:cs="Palatino Linotype"/>
          <w:sz w:val="22"/>
          <w:szCs w:val="22"/>
        </w:rPr>
        <w:t>, visible en el Seminario Judicial de la Federación y su gaceta, con el registro digital 2002350.</w:t>
      </w:r>
    </w:p>
    <w:p w14:paraId="2818603E" w14:textId="77777777" w:rsidR="00F12C46" w:rsidRPr="00A477B1" w:rsidRDefault="00F12C46">
      <w:pPr>
        <w:spacing w:line="360" w:lineRule="auto"/>
        <w:ind w:left="851" w:right="900"/>
        <w:jc w:val="both"/>
        <w:rPr>
          <w:rFonts w:ascii="Palatino Linotype" w:eastAsia="Palatino Linotype" w:hAnsi="Palatino Linotype" w:cs="Palatino Linotype"/>
          <w:sz w:val="22"/>
          <w:szCs w:val="22"/>
        </w:rPr>
      </w:pPr>
    </w:p>
    <w:p w14:paraId="4A30F287" w14:textId="77777777" w:rsidR="00F12C46" w:rsidRPr="00A477B1" w:rsidRDefault="00095DD5">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Por ello, este organismo garante comprometido con la tutela de los derechos humanos </w:t>
      </w:r>
      <w:proofErr w:type="gramStart"/>
      <w:r w:rsidRPr="00A477B1">
        <w:rPr>
          <w:rFonts w:ascii="Palatino Linotype" w:eastAsia="Palatino Linotype" w:hAnsi="Palatino Linotype" w:cs="Palatino Linotype"/>
          <w:sz w:val="22"/>
          <w:szCs w:val="22"/>
        </w:rPr>
        <w:t>confiados,</w:t>
      </w:r>
      <w:proofErr w:type="gramEnd"/>
      <w:r w:rsidRPr="00A477B1">
        <w:rPr>
          <w:rFonts w:ascii="Palatino Linotype" w:eastAsia="Palatino Linotype" w:hAnsi="Palatino Linotype" w:cs="Palatino Linotype"/>
          <w:sz w:val="22"/>
          <w:szCs w:val="22"/>
        </w:rPr>
        <w:t xml:space="preserve"> señala que este exceso del plazo legal para resolver el presente </w:t>
      </w:r>
      <w:proofErr w:type="gramStart"/>
      <w:r w:rsidRPr="00A477B1">
        <w:rPr>
          <w:rFonts w:ascii="Palatino Linotype" w:eastAsia="Palatino Linotype" w:hAnsi="Palatino Linotype" w:cs="Palatino Linotype"/>
          <w:sz w:val="22"/>
          <w:szCs w:val="22"/>
        </w:rPr>
        <w:t>asunto,</w:t>
      </w:r>
      <w:proofErr w:type="gramEnd"/>
      <w:r w:rsidRPr="00A477B1">
        <w:rPr>
          <w:rFonts w:ascii="Palatino Linotype" w:eastAsia="Palatino Linotype" w:hAnsi="Palatino Linotype" w:cs="Palatino Linotype"/>
          <w:sz w:val="22"/>
          <w:szCs w:val="22"/>
        </w:rPr>
        <w:t xml:space="preserve"> resulta de carácter excepcional.</w:t>
      </w:r>
    </w:p>
    <w:p w14:paraId="52D5143C" w14:textId="77777777" w:rsidR="00F12C46" w:rsidRPr="00A477B1" w:rsidRDefault="00F12C46">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rPr>
      </w:pPr>
    </w:p>
    <w:p w14:paraId="537630EA" w14:textId="68C7BD78" w:rsidR="00F12C46" w:rsidRPr="00A477B1" w:rsidRDefault="00095DD5">
      <w:pPr>
        <w:numPr>
          <w:ilvl w:val="0"/>
          <w:numId w:val="2"/>
        </w:numPr>
        <w:pBdr>
          <w:top w:val="nil"/>
          <w:left w:val="nil"/>
          <w:bottom w:val="nil"/>
          <w:right w:val="nil"/>
          <w:between w:val="nil"/>
        </w:pBdr>
        <w:tabs>
          <w:tab w:val="left" w:pos="142"/>
          <w:tab w:val="left" w:pos="284"/>
        </w:tabs>
        <w:spacing w:line="360" w:lineRule="auto"/>
        <w:ind w:left="0" w:right="49" w:firstLine="0"/>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b/>
          <w:sz w:val="22"/>
          <w:szCs w:val="22"/>
        </w:rPr>
        <w:t>Cierre de instrucción</w:t>
      </w:r>
      <w:r w:rsidRPr="00A477B1">
        <w:rPr>
          <w:rFonts w:ascii="Palatino Linotype" w:eastAsia="Palatino Linotype" w:hAnsi="Palatino Linotype" w:cs="Palatino Linotype"/>
          <w:sz w:val="22"/>
          <w:szCs w:val="22"/>
        </w:rPr>
        <w:t xml:space="preserve">. En fecha </w:t>
      </w:r>
      <w:r w:rsidR="00FF7E0D" w:rsidRPr="00A477B1">
        <w:rPr>
          <w:rFonts w:ascii="Palatino Linotype" w:eastAsia="Palatino Linotype" w:hAnsi="Palatino Linotype" w:cs="Palatino Linotype"/>
          <w:b/>
          <w:sz w:val="22"/>
          <w:szCs w:val="22"/>
        </w:rPr>
        <w:t>veintitrés de septiembre</w:t>
      </w:r>
      <w:r w:rsidRPr="00A477B1">
        <w:rPr>
          <w:rFonts w:ascii="Palatino Linotype" w:eastAsia="Palatino Linotype" w:hAnsi="Palatino Linotype" w:cs="Palatino Linotype"/>
          <w:b/>
          <w:sz w:val="22"/>
          <w:szCs w:val="22"/>
        </w:rPr>
        <w:t xml:space="preserve"> de dos mil veinticinco</w:t>
      </w:r>
      <w:r w:rsidRPr="00A477B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83F6928" w14:textId="77777777" w:rsidR="00F12C46" w:rsidRPr="00A477B1" w:rsidRDefault="00F12C4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3B20FCE" w14:textId="77777777" w:rsidR="00F12C46" w:rsidRPr="00A477B1" w:rsidRDefault="00095DD5">
      <w:pPr>
        <w:spacing w:line="360" w:lineRule="auto"/>
        <w:ind w:right="49"/>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Debido a que fue debidamente sustanciado el expediente electrónico y no existe diligencia pendiente de desahogo, se emite la Resolución que conforme a Derecho proceda, de acuerdo con los siguientes: </w:t>
      </w:r>
    </w:p>
    <w:p w14:paraId="51151772" w14:textId="77777777" w:rsidR="00F12C46" w:rsidRPr="00A477B1" w:rsidRDefault="00F12C4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1314070" w14:textId="77777777" w:rsidR="00F12C46" w:rsidRPr="00A477B1" w:rsidRDefault="00095DD5">
      <w:pPr>
        <w:spacing w:line="360" w:lineRule="auto"/>
        <w:ind w:right="49"/>
        <w:jc w:val="center"/>
        <w:rPr>
          <w:rFonts w:ascii="Palatino Linotype" w:eastAsia="Palatino Linotype" w:hAnsi="Palatino Linotype" w:cs="Palatino Linotype"/>
          <w:b/>
          <w:sz w:val="22"/>
          <w:szCs w:val="22"/>
        </w:rPr>
      </w:pPr>
      <w:r w:rsidRPr="00A477B1">
        <w:rPr>
          <w:rFonts w:ascii="Palatino Linotype" w:eastAsia="Palatino Linotype" w:hAnsi="Palatino Linotype" w:cs="Palatino Linotype"/>
          <w:b/>
          <w:sz w:val="22"/>
          <w:szCs w:val="22"/>
        </w:rPr>
        <w:t>II.</w:t>
      </w:r>
      <w:r w:rsidRPr="00A477B1">
        <w:rPr>
          <w:rFonts w:ascii="Palatino Linotype" w:eastAsia="Palatino Linotype" w:hAnsi="Palatino Linotype" w:cs="Palatino Linotype"/>
          <w:b/>
          <w:sz w:val="22"/>
          <w:szCs w:val="22"/>
        </w:rPr>
        <w:tab/>
        <w:t>C O N S I D E R A N D O:</w:t>
      </w:r>
    </w:p>
    <w:p w14:paraId="4981E23A" w14:textId="77777777" w:rsidR="00F12C46" w:rsidRPr="00A477B1" w:rsidRDefault="00F12C46">
      <w:pPr>
        <w:spacing w:line="360" w:lineRule="auto"/>
        <w:ind w:right="49"/>
        <w:jc w:val="both"/>
        <w:rPr>
          <w:rFonts w:ascii="Palatino Linotype" w:eastAsia="Palatino Linotype" w:hAnsi="Palatino Linotype" w:cs="Palatino Linotype"/>
          <w:sz w:val="22"/>
          <w:szCs w:val="22"/>
        </w:rPr>
      </w:pPr>
    </w:p>
    <w:p w14:paraId="16D0A73C" w14:textId="77777777" w:rsidR="00F12C46" w:rsidRPr="00A477B1" w:rsidRDefault="00095DD5">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b/>
          <w:sz w:val="22"/>
          <w:szCs w:val="22"/>
        </w:rPr>
        <w:t>Primero. Competencia.</w:t>
      </w:r>
      <w:r w:rsidRPr="00A477B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w:t>
      </w:r>
      <w:r w:rsidRPr="00A477B1">
        <w:rPr>
          <w:rFonts w:ascii="Palatino Linotype" w:eastAsia="Palatino Linotype" w:hAnsi="Palatino Linotype" w:cs="Palatino Linotype"/>
          <w:sz w:val="22"/>
          <w:szCs w:val="22"/>
        </w:rPr>
        <w:lastRenderedPageBreak/>
        <w:t>11 del Reglamento Interior del Instituto de Transparencia, Acceso a la Información Pública y Protección de Datos Personales del Estado de México y Municipios.</w:t>
      </w:r>
    </w:p>
    <w:p w14:paraId="5DAC6C4E" w14:textId="77777777" w:rsidR="00F12C46" w:rsidRPr="00A477B1" w:rsidRDefault="00F12C46">
      <w:pPr>
        <w:spacing w:line="360" w:lineRule="auto"/>
        <w:ind w:right="49"/>
        <w:jc w:val="both"/>
        <w:rPr>
          <w:rFonts w:ascii="Palatino Linotype" w:eastAsia="Palatino Linotype" w:hAnsi="Palatino Linotype" w:cs="Palatino Linotype"/>
          <w:sz w:val="22"/>
          <w:szCs w:val="22"/>
        </w:rPr>
      </w:pPr>
    </w:p>
    <w:p w14:paraId="3AC3DF6D" w14:textId="77777777" w:rsidR="00F12C46" w:rsidRPr="00A477B1" w:rsidRDefault="00095DD5">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b/>
          <w:sz w:val="22"/>
          <w:szCs w:val="22"/>
        </w:rPr>
        <w:t>Segundo. Oportunidad y Procedibilidad del Recurso de Revisión</w:t>
      </w:r>
      <w:r w:rsidRPr="00A477B1">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75F3271" w14:textId="77777777" w:rsidR="00F12C46" w:rsidRPr="00A477B1" w:rsidRDefault="00F12C46">
      <w:pPr>
        <w:spacing w:line="360" w:lineRule="auto"/>
        <w:jc w:val="both"/>
        <w:rPr>
          <w:rFonts w:ascii="Palatino Linotype" w:eastAsia="Palatino Linotype" w:hAnsi="Palatino Linotype" w:cs="Palatino Linotype"/>
          <w:sz w:val="22"/>
          <w:szCs w:val="22"/>
        </w:rPr>
      </w:pPr>
    </w:p>
    <w:p w14:paraId="6A1EC45B" w14:textId="65478C85" w:rsidR="00F12C46" w:rsidRPr="00A477B1" w:rsidRDefault="00095DD5">
      <w:pPr>
        <w:spacing w:line="360" w:lineRule="auto"/>
        <w:jc w:val="both"/>
        <w:rPr>
          <w:rFonts w:ascii="Palatino Linotype" w:eastAsia="Palatino Linotype" w:hAnsi="Palatino Linotype" w:cs="Palatino Linotype"/>
          <w:sz w:val="22"/>
          <w:szCs w:val="22"/>
        </w:rPr>
      </w:pPr>
      <w:bookmarkStart w:id="5" w:name="_heading=h.3znysh7" w:colFirst="0" w:colLast="0"/>
      <w:bookmarkEnd w:id="5"/>
      <w:r w:rsidRPr="00A477B1">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A477B1">
        <w:rPr>
          <w:rFonts w:ascii="Palatino Linotype" w:eastAsia="Palatino Linotype" w:hAnsi="Palatino Linotype" w:cs="Palatino Linotype"/>
          <w:b/>
          <w:sz w:val="22"/>
          <w:szCs w:val="22"/>
        </w:rPr>
        <w:t>Sujeto Obligado</w:t>
      </w:r>
      <w:r w:rsidRPr="00A477B1">
        <w:rPr>
          <w:rFonts w:ascii="Palatino Linotype" w:eastAsia="Palatino Linotype" w:hAnsi="Palatino Linotype" w:cs="Palatino Linotype"/>
          <w:sz w:val="22"/>
          <w:szCs w:val="22"/>
        </w:rPr>
        <w:t xml:space="preserve"> remitió su respuesta en fecha </w:t>
      </w:r>
      <w:r w:rsidR="00FF7E0D" w:rsidRPr="00A477B1">
        <w:rPr>
          <w:rFonts w:ascii="Palatino Linotype" w:eastAsia="Palatino Linotype" w:hAnsi="Palatino Linotype" w:cs="Palatino Linotype"/>
          <w:b/>
          <w:sz w:val="22"/>
          <w:szCs w:val="22"/>
        </w:rPr>
        <w:t>treinta de abril de dos mil veinticinco</w:t>
      </w:r>
      <w:r w:rsidRPr="00A477B1">
        <w:rPr>
          <w:rFonts w:ascii="Palatino Linotype" w:eastAsia="Palatino Linotype" w:hAnsi="Palatino Linotype" w:cs="Palatino Linotype"/>
          <w:sz w:val="22"/>
          <w:szCs w:val="22"/>
        </w:rPr>
        <w:t>,</w:t>
      </w:r>
      <w:r w:rsidRPr="00A477B1">
        <w:rPr>
          <w:rFonts w:ascii="Palatino Linotype" w:eastAsia="Palatino Linotype" w:hAnsi="Palatino Linotype" w:cs="Palatino Linotype"/>
          <w:b/>
          <w:sz w:val="22"/>
          <w:szCs w:val="22"/>
        </w:rPr>
        <w:t xml:space="preserve"> </w:t>
      </w:r>
      <w:r w:rsidRPr="00A477B1">
        <w:rPr>
          <w:rFonts w:ascii="Palatino Linotype" w:eastAsia="Palatino Linotype" w:hAnsi="Palatino Linotype" w:cs="Palatino Linotype"/>
          <w:sz w:val="22"/>
          <w:szCs w:val="22"/>
        </w:rPr>
        <w:t xml:space="preserve">mientras que el recurso de revisión interpuesto por la parte </w:t>
      </w:r>
      <w:r w:rsidRPr="00A477B1">
        <w:rPr>
          <w:rFonts w:ascii="Palatino Linotype" w:eastAsia="Palatino Linotype" w:hAnsi="Palatino Linotype" w:cs="Palatino Linotype"/>
          <w:b/>
          <w:sz w:val="22"/>
          <w:szCs w:val="22"/>
        </w:rPr>
        <w:t>Recurrente</w:t>
      </w:r>
      <w:r w:rsidRPr="00A477B1">
        <w:rPr>
          <w:rFonts w:ascii="Palatino Linotype" w:eastAsia="Palatino Linotype" w:hAnsi="Palatino Linotype" w:cs="Palatino Linotype"/>
          <w:sz w:val="22"/>
          <w:szCs w:val="22"/>
        </w:rPr>
        <w:t xml:space="preserve"> se tuvo por presentado el </w:t>
      </w:r>
      <w:r w:rsidR="00FF7E0D" w:rsidRPr="00A477B1">
        <w:rPr>
          <w:rFonts w:ascii="Palatino Linotype" w:eastAsia="Palatino Linotype" w:hAnsi="Palatino Linotype" w:cs="Palatino Linotype"/>
          <w:b/>
          <w:sz w:val="22"/>
          <w:szCs w:val="22"/>
        </w:rPr>
        <w:t>veintitrés de mayo de dos mil veinticinco</w:t>
      </w:r>
      <w:r w:rsidRPr="00A477B1">
        <w:rPr>
          <w:rFonts w:ascii="Palatino Linotype" w:eastAsia="Palatino Linotype" w:hAnsi="Palatino Linotype" w:cs="Palatino Linotype"/>
          <w:sz w:val="22"/>
          <w:szCs w:val="22"/>
        </w:rPr>
        <w:t xml:space="preserve">, esto es al </w:t>
      </w:r>
      <w:r w:rsidRPr="00A477B1">
        <w:rPr>
          <w:rFonts w:ascii="Palatino Linotype" w:eastAsia="Palatino Linotype" w:hAnsi="Palatino Linotype" w:cs="Palatino Linotype"/>
          <w:b/>
          <w:sz w:val="22"/>
          <w:szCs w:val="22"/>
        </w:rPr>
        <w:t>décimo quinto</w:t>
      </w:r>
      <w:r w:rsidRPr="00A477B1">
        <w:rPr>
          <w:rFonts w:ascii="Palatino Linotype" w:eastAsia="Palatino Linotype" w:hAnsi="Palatino Linotype" w:cs="Palatino Linotype"/>
          <w:sz w:val="22"/>
          <w:szCs w:val="22"/>
        </w:rPr>
        <w:t xml:space="preserve"> día hábil siguiente a la fecha en que se tuvo conocimiento de la respuesta; por lo que, se concluye que el presente recurso de revisión se encuentra dentro de los márgenes temporales previstos en las disposiciones legales referidas.</w:t>
      </w:r>
    </w:p>
    <w:p w14:paraId="395FD6D0" w14:textId="77777777" w:rsidR="00F12C46" w:rsidRPr="00A477B1" w:rsidRDefault="00F12C46">
      <w:pPr>
        <w:spacing w:line="360" w:lineRule="auto"/>
        <w:jc w:val="both"/>
        <w:rPr>
          <w:rFonts w:ascii="Palatino Linotype" w:eastAsia="Palatino Linotype" w:hAnsi="Palatino Linotype" w:cs="Palatino Linotype"/>
          <w:sz w:val="22"/>
          <w:szCs w:val="22"/>
        </w:rPr>
      </w:pPr>
    </w:p>
    <w:p w14:paraId="2CC0B7CA" w14:textId="77777777" w:rsidR="00F12C46" w:rsidRPr="00A477B1" w:rsidRDefault="00095DD5">
      <w:pPr>
        <w:spacing w:line="360" w:lineRule="auto"/>
        <w:jc w:val="both"/>
        <w:rPr>
          <w:rFonts w:ascii="Palatino Linotype" w:eastAsia="Palatino Linotype" w:hAnsi="Palatino Linotype" w:cs="Palatino Linotype"/>
          <w:b/>
          <w:sz w:val="22"/>
          <w:szCs w:val="22"/>
        </w:rPr>
      </w:pPr>
      <w:r w:rsidRPr="00A477B1">
        <w:rPr>
          <w:rFonts w:ascii="Palatino Linotype" w:eastAsia="Palatino Linotype" w:hAnsi="Palatino Linotype" w:cs="Palatino Linotype"/>
          <w:sz w:val="22"/>
          <w:szCs w:val="22"/>
        </w:rPr>
        <w:t xml:space="preserve">Así también,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A477B1">
        <w:rPr>
          <w:rFonts w:ascii="Palatino Linotype" w:eastAsia="Palatino Linotype" w:hAnsi="Palatino Linotype" w:cs="Palatino Linotype"/>
          <w:b/>
          <w:sz w:val="22"/>
          <w:szCs w:val="22"/>
        </w:rPr>
        <w:t>SAIMEX.</w:t>
      </w:r>
    </w:p>
    <w:p w14:paraId="58F4D0A4" w14:textId="77777777" w:rsidR="00F12C46" w:rsidRPr="00A477B1" w:rsidRDefault="00F12C46">
      <w:pPr>
        <w:spacing w:line="360" w:lineRule="auto"/>
        <w:jc w:val="both"/>
        <w:rPr>
          <w:rFonts w:ascii="Palatino Linotype" w:eastAsia="Palatino Linotype" w:hAnsi="Palatino Linotype" w:cs="Palatino Linotype"/>
          <w:strike/>
          <w:sz w:val="22"/>
          <w:szCs w:val="22"/>
        </w:rPr>
      </w:pPr>
    </w:p>
    <w:p w14:paraId="42F515D8" w14:textId="22206BDD" w:rsidR="00F12C46" w:rsidRPr="00A477B1" w:rsidRDefault="00095DD5">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Finalmente, resulta procedente la interposición del recurso de revisión citado al rubro, toda vez que se actualiza la hipótesis previs</w:t>
      </w:r>
      <w:r w:rsidR="00826F51" w:rsidRPr="00A477B1">
        <w:rPr>
          <w:rFonts w:ascii="Palatino Linotype" w:eastAsia="Palatino Linotype" w:hAnsi="Palatino Linotype" w:cs="Palatino Linotype"/>
          <w:sz w:val="22"/>
          <w:szCs w:val="22"/>
        </w:rPr>
        <w:t>ta en el artículo 179 fracción</w:t>
      </w:r>
      <w:r w:rsidRPr="00A477B1">
        <w:rPr>
          <w:rFonts w:ascii="Palatino Linotype" w:eastAsia="Palatino Linotype" w:hAnsi="Palatino Linotype" w:cs="Palatino Linotype"/>
          <w:sz w:val="22"/>
          <w:szCs w:val="22"/>
        </w:rPr>
        <w:t xml:space="preserve"> </w:t>
      </w:r>
      <w:r w:rsidR="00826F51" w:rsidRPr="00A477B1">
        <w:rPr>
          <w:rFonts w:ascii="Palatino Linotype" w:eastAsia="Palatino Linotype" w:hAnsi="Palatino Linotype" w:cs="Palatino Linotype"/>
          <w:sz w:val="22"/>
          <w:szCs w:val="22"/>
        </w:rPr>
        <w:t>V</w:t>
      </w:r>
      <w:r w:rsidRPr="00A477B1">
        <w:rPr>
          <w:rFonts w:ascii="Palatino Linotype" w:eastAsia="Palatino Linotype" w:hAnsi="Palatino Linotype" w:cs="Palatino Linotype"/>
          <w:sz w:val="22"/>
          <w:szCs w:val="22"/>
        </w:rPr>
        <w:t xml:space="preserve"> de la ley de la materia, que a la letra dice:</w:t>
      </w:r>
    </w:p>
    <w:p w14:paraId="4F53D962" w14:textId="77777777" w:rsidR="00F12C46" w:rsidRPr="00A477B1" w:rsidRDefault="00F12C46">
      <w:pPr>
        <w:spacing w:line="360" w:lineRule="auto"/>
        <w:jc w:val="both"/>
        <w:rPr>
          <w:rFonts w:ascii="Palatino Linotype" w:eastAsia="Palatino Linotype" w:hAnsi="Palatino Linotype" w:cs="Palatino Linotype"/>
          <w:sz w:val="22"/>
          <w:szCs w:val="22"/>
        </w:rPr>
      </w:pPr>
    </w:p>
    <w:p w14:paraId="5EC75D3D" w14:textId="77777777" w:rsidR="00F12C46" w:rsidRPr="00A477B1" w:rsidRDefault="00095DD5">
      <w:pPr>
        <w:ind w:left="567" w:right="560"/>
        <w:jc w:val="both"/>
        <w:rPr>
          <w:rFonts w:ascii="Palatino Linotype" w:eastAsia="Palatino Linotype" w:hAnsi="Palatino Linotype" w:cs="Palatino Linotype"/>
          <w:i/>
          <w:sz w:val="22"/>
          <w:szCs w:val="22"/>
        </w:rPr>
      </w:pPr>
      <w:r w:rsidRPr="00A477B1">
        <w:rPr>
          <w:rFonts w:ascii="Palatino Linotype" w:eastAsia="Palatino Linotype" w:hAnsi="Palatino Linotype" w:cs="Palatino Linotype"/>
          <w:i/>
          <w:sz w:val="22"/>
          <w:szCs w:val="22"/>
        </w:rPr>
        <w:t>“</w:t>
      </w:r>
      <w:r w:rsidRPr="00A477B1">
        <w:rPr>
          <w:rFonts w:ascii="Palatino Linotype" w:eastAsia="Palatino Linotype" w:hAnsi="Palatino Linotype" w:cs="Palatino Linotype"/>
          <w:b/>
          <w:i/>
          <w:sz w:val="22"/>
          <w:szCs w:val="22"/>
        </w:rPr>
        <w:t xml:space="preserve">Artículo 179. </w:t>
      </w:r>
      <w:r w:rsidRPr="00A477B1">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7FF8259" w14:textId="4AC8B034" w:rsidR="00F12C46" w:rsidRPr="00A477B1" w:rsidRDefault="00095DD5" w:rsidP="001E3F80">
      <w:pPr>
        <w:ind w:left="567" w:right="560"/>
        <w:jc w:val="both"/>
        <w:rPr>
          <w:rFonts w:ascii="Palatino Linotype" w:eastAsia="Palatino Linotype" w:hAnsi="Palatino Linotype" w:cs="Palatino Linotype"/>
          <w:b/>
          <w:i/>
          <w:sz w:val="22"/>
          <w:szCs w:val="22"/>
        </w:rPr>
      </w:pPr>
      <w:r w:rsidRPr="00A477B1">
        <w:rPr>
          <w:rFonts w:ascii="Palatino Linotype" w:eastAsia="Palatino Linotype" w:hAnsi="Palatino Linotype" w:cs="Palatino Linotype"/>
          <w:b/>
          <w:i/>
          <w:sz w:val="22"/>
          <w:szCs w:val="22"/>
        </w:rPr>
        <w:t>…</w:t>
      </w:r>
    </w:p>
    <w:p w14:paraId="60385890" w14:textId="77777777" w:rsidR="00F12C46" w:rsidRPr="00A477B1" w:rsidRDefault="00095DD5">
      <w:pPr>
        <w:ind w:left="567" w:right="560"/>
        <w:jc w:val="both"/>
        <w:rPr>
          <w:rFonts w:ascii="Palatino Linotype" w:eastAsia="Palatino Linotype" w:hAnsi="Palatino Linotype" w:cs="Palatino Linotype"/>
          <w:b/>
          <w:i/>
          <w:sz w:val="22"/>
          <w:szCs w:val="22"/>
        </w:rPr>
      </w:pPr>
      <w:r w:rsidRPr="00A477B1">
        <w:rPr>
          <w:rFonts w:ascii="Palatino Linotype" w:eastAsia="Palatino Linotype" w:hAnsi="Palatino Linotype" w:cs="Palatino Linotype"/>
          <w:b/>
          <w:i/>
          <w:sz w:val="22"/>
          <w:szCs w:val="22"/>
        </w:rPr>
        <w:t xml:space="preserve">V. La entrega de información incompleta; </w:t>
      </w:r>
    </w:p>
    <w:p w14:paraId="60B3311D" w14:textId="210D906D" w:rsidR="00F12C46" w:rsidRPr="00A477B1" w:rsidRDefault="00095DD5" w:rsidP="00826F51">
      <w:pPr>
        <w:ind w:left="567" w:right="560"/>
        <w:jc w:val="both"/>
        <w:rPr>
          <w:rFonts w:ascii="Palatino Linotype" w:eastAsia="Palatino Linotype" w:hAnsi="Palatino Linotype" w:cs="Palatino Linotype"/>
          <w:b/>
          <w:i/>
          <w:sz w:val="22"/>
          <w:szCs w:val="22"/>
        </w:rPr>
      </w:pPr>
      <w:r w:rsidRPr="00A477B1">
        <w:rPr>
          <w:rFonts w:ascii="Palatino Linotype" w:eastAsia="Palatino Linotype" w:hAnsi="Palatino Linotype" w:cs="Palatino Linotype"/>
          <w:b/>
          <w:i/>
          <w:sz w:val="22"/>
          <w:szCs w:val="22"/>
        </w:rPr>
        <w:t>[…]”</w:t>
      </w:r>
      <w:r w:rsidRPr="00A477B1">
        <w:rPr>
          <w:rFonts w:ascii="Palatino Linotype" w:eastAsia="Palatino Linotype" w:hAnsi="Palatino Linotype" w:cs="Palatino Linotype"/>
          <w:i/>
          <w:sz w:val="22"/>
          <w:szCs w:val="22"/>
        </w:rPr>
        <w:t xml:space="preserve"> </w:t>
      </w:r>
    </w:p>
    <w:p w14:paraId="55700EF5" w14:textId="77777777" w:rsidR="00F12C46" w:rsidRPr="00A477B1" w:rsidRDefault="00F12C46">
      <w:pPr>
        <w:ind w:left="567" w:right="560"/>
        <w:jc w:val="both"/>
        <w:rPr>
          <w:rFonts w:ascii="Palatino Linotype" w:eastAsia="Palatino Linotype" w:hAnsi="Palatino Linotype" w:cs="Palatino Linotype"/>
          <w:i/>
          <w:sz w:val="22"/>
          <w:szCs w:val="22"/>
        </w:rPr>
      </w:pPr>
    </w:p>
    <w:p w14:paraId="46FABCA6" w14:textId="77777777" w:rsidR="00F12C46" w:rsidRPr="00A477B1" w:rsidRDefault="00095DD5">
      <w:pPr>
        <w:ind w:left="567" w:right="560"/>
        <w:jc w:val="right"/>
        <w:rPr>
          <w:rFonts w:ascii="Palatino Linotype" w:eastAsia="Palatino Linotype" w:hAnsi="Palatino Linotype" w:cs="Palatino Linotype"/>
          <w:i/>
          <w:sz w:val="22"/>
          <w:szCs w:val="22"/>
        </w:rPr>
      </w:pPr>
      <w:r w:rsidRPr="00A477B1">
        <w:rPr>
          <w:rFonts w:ascii="Palatino Linotype" w:eastAsia="Palatino Linotype" w:hAnsi="Palatino Linotype" w:cs="Palatino Linotype"/>
          <w:i/>
          <w:sz w:val="22"/>
          <w:szCs w:val="22"/>
        </w:rPr>
        <w:t>(Énfasis añadido)</w:t>
      </w:r>
    </w:p>
    <w:p w14:paraId="1C23F882" w14:textId="77777777" w:rsidR="00F12C46" w:rsidRPr="00A477B1" w:rsidRDefault="00F12C46">
      <w:pPr>
        <w:spacing w:line="360" w:lineRule="auto"/>
        <w:jc w:val="both"/>
        <w:rPr>
          <w:rFonts w:ascii="Palatino Linotype" w:eastAsia="Palatino Linotype" w:hAnsi="Palatino Linotype" w:cs="Palatino Linotype"/>
          <w:sz w:val="22"/>
          <w:szCs w:val="22"/>
        </w:rPr>
      </w:pPr>
    </w:p>
    <w:p w14:paraId="530EB9A7" w14:textId="77777777" w:rsidR="00B97FAB" w:rsidRPr="00A477B1" w:rsidRDefault="00B97FAB" w:rsidP="00B97FAB">
      <w:pPr>
        <w:spacing w:line="360" w:lineRule="auto"/>
        <w:jc w:val="both"/>
        <w:rPr>
          <w:rFonts w:ascii="Palatino Linotype" w:eastAsia="Palatino Linotype" w:hAnsi="Palatino Linotype" w:cs="Palatino Linotype"/>
          <w:b/>
          <w:sz w:val="22"/>
          <w:szCs w:val="22"/>
        </w:rPr>
      </w:pPr>
      <w:r w:rsidRPr="00A477B1">
        <w:rPr>
          <w:rFonts w:ascii="Palatino Linotype" w:eastAsia="Palatino Linotype" w:hAnsi="Palatino Linotype" w:cs="Palatino Linotype"/>
          <w:b/>
          <w:sz w:val="22"/>
          <w:szCs w:val="22"/>
        </w:rPr>
        <w:t xml:space="preserve">Tercero. Materia de la revisión. </w:t>
      </w:r>
      <w:r w:rsidRPr="00A477B1">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A477B1">
        <w:rPr>
          <w:rFonts w:ascii="Palatino Linotype" w:eastAsia="Palatino Linotype" w:hAnsi="Palatino Linotype" w:cs="Palatino Linotype"/>
          <w:b/>
          <w:sz w:val="22"/>
          <w:szCs w:val="22"/>
        </w:rPr>
        <w:t>verificar si la respuesta e informe justificado otorgado por el Sujeto Obligado son adecuados y suficientes para satisfacer el derecho de acceso a la información pública de la parte Recurrente,</w:t>
      </w:r>
      <w:r w:rsidRPr="00A477B1">
        <w:rPr>
          <w:rFonts w:ascii="Palatino Linotype" w:eastAsia="Palatino Linotype" w:hAnsi="Palatino Linotype" w:cs="Palatino Linotype"/>
          <w:sz w:val="22"/>
          <w:szCs w:val="22"/>
        </w:rPr>
        <w:t xml:space="preserve"> o en su defecto, en caso de ser procedente, ordenar la entrega de la información oportuna.</w:t>
      </w:r>
    </w:p>
    <w:p w14:paraId="76F52E15" w14:textId="77777777" w:rsidR="00B97FAB" w:rsidRPr="00A477B1" w:rsidRDefault="00B97FAB" w:rsidP="00B97FAB">
      <w:pPr>
        <w:spacing w:line="360" w:lineRule="auto"/>
        <w:jc w:val="both"/>
        <w:rPr>
          <w:rFonts w:ascii="Palatino Linotype" w:eastAsia="Palatino Linotype" w:hAnsi="Palatino Linotype" w:cs="Palatino Linotype"/>
          <w:sz w:val="22"/>
          <w:szCs w:val="22"/>
        </w:rPr>
      </w:pPr>
    </w:p>
    <w:p w14:paraId="36F5C37B" w14:textId="77777777" w:rsidR="00B97FAB" w:rsidRPr="00A477B1" w:rsidRDefault="00B97FAB" w:rsidP="00B97FAB">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b/>
          <w:sz w:val="22"/>
          <w:szCs w:val="22"/>
        </w:rPr>
        <w:t xml:space="preserve">Cuarto. Estudio del asunto. </w:t>
      </w:r>
      <w:r w:rsidRPr="00A477B1">
        <w:rPr>
          <w:rFonts w:ascii="Palatino Linotype" w:eastAsia="Palatino Linotype" w:hAnsi="Palatino Linotype" w:cs="Palatino Linotype"/>
          <w:sz w:val="22"/>
          <w:szCs w:val="22"/>
        </w:rPr>
        <w:t xml:space="preserve">Antes de entrar al análisis de los pronunciamientos del </w:t>
      </w:r>
      <w:r w:rsidRPr="00A477B1">
        <w:rPr>
          <w:rFonts w:ascii="Palatino Linotype" w:eastAsia="Palatino Linotype" w:hAnsi="Palatino Linotype" w:cs="Palatino Linotype"/>
          <w:b/>
          <w:sz w:val="22"/>
          <w:szCs w:val="22"/>
        </w:rPr>
        <w:t>Sujeto Obligado</w:t>
      </w:r>
      <w:r w:rsidRPr="00A477B1">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D59163C" w14:textId="77777777" w:rsidR="00B97FAB" w:rsidRPr="00A477B1" w:rsidRDefault="00B97FAB" w:rsidP="00B97FAB">
      <w:pPr>
        <w:spacing w:line="360" w:lineRule="auto"/>
        <w:jc w:val="both"/>
        <w:rPr>
          <w:rFonts w:ascii="Palatino Linotype" w:eastAsia="Palatino Linotype" w:hAnsi="Palatino Linotype" w:cs="Palatino Linotype"/>
          <w:sz w:val="22"/>
          <w:szCs w:val="22"/>
        </w:rPr>
      </w:pPr>
    </w:p>
    <w:p w14:paraId="2DB6B964" w14:textId="77777777" w:rsidR="00B97FAB" w:rsidRPr="00A477B1" w:rsidRDefault="00B97FAB" w:rsidP="00B97FAB">
      <w:pPr>
        <w:spacing w:line="276" w:lineRule="auto"/>
        <w:ind w:left="851" w:right="850"/>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477B1">
        <w:rPr>
          <w:rFonts w:ascii="Palatino Linotype" w:eastAsia="Palatino Linotype" w:hAnsi="Palatino Linotype" w:cs="Palatino Linotype"/>
          <w:i/>
          <w:sz w:val="22"/>
          <w:szCs w:val="22"/>
        </w:rPr>
        <w:t xml:space="preserve">, así como de las </w:t>
      </w:r>
      <w:r w:rsidRPr="00A477B1">
        <w:rPr>
          <w:rFonts w:ascii="Palatino Linotype" w:eastAsia="Palatino Linotype" w:hAnsi="Palatino Linotype" w:cs="Palatino Linotype"/>
          <w:i/>
          <w:sz w:val="22"/>
          <w:szCs w:val="22"/>
        </w:rPr>
        <w:lastRenderedPageBreak/>
        <w:t>garantías para su protección, cuyo ejercicio no podrá restringirse ni suspenderse, salvo en los casos y bajo las condiciones que esta Constitución establece.</w:t>
      </w:r>
    </w:p>
    <w:p w14:paraId="55F2F0A4" w14:textId="77777777" w:rsidR="00B97FAB" w:rsidRPr="00A477B1" w:rsidRDefault="00B97FAB" w:rsidP="00B97FAB">
      <w:pPr>
        <w:spacing w:line="276" w:lineRule="auto"/>
        <w:ind w:left="851" w:right="850"/>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406B013" w14:textId="77777777" w:rsidR="00B97FAB" w:rsidRPr="00A477B1" w:rsidRDefault="00B97FAB" w:rsidP="00B97FAB">
      <w:pPr>
        <w:spacing w:line="276" w:lineRule="auto"/>
        <w:ind w:left="851" w:right="850"/>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477B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F9DA357" w14:textId="77777777" w:rsidR="00B97FAB" w:rsidRPr="00A477B1" w:rsidRDefault="00B97FAB" w:rsidP="00B97FAB">
      <w:pPr>
        <w:spacing w:line="276" w:lineRule="auto"/>
        <w:ind w:left="851" w:right="850"/>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i/>
          <w:sz w:val="22"/>
          <w:szCs w:val="22"/>
        </w:rPr>
        <w:t>[…]</w:t>
      </w:r>
    </w:p>
    <w:p w14:paraId="0D9023AA" w14:textId="77777777" w:rsidR="00B97FAB" w:rsidRPr="00A477B1" w:rsidRDefault="00B97FAB" w:rsidP="00B97FAB">
      <w:pPr>
        <w:spacing w:line="276" w:lineRule="auto"/>
        <w:ind w:left="851" w:right="901"/>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b/>
          <w:i/>
          <w:sz w:val="22"/>
          <w:szCs w:val="22"/>
        </w:rPr>
        <w:t>“Artículo 6o.</w:t>
      </w:r>
    </w:p>
    <w:p w14:paraId="6DB4E954" w14:textId="77777777" w:rsidR="00B97FAB" w:rsidRPr="00A477B1" w:rsidRDefault="00B97FAB" w:rsidP="00B97FAB">
      <w:pPr>
        <w:spacing w:line="276" w:lineRule="auto"/>
        <w:ind w:left="851" w:right="901"/>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i/>
          <w:sz w:val="22"/>
          <w:szCs w:val="22"/>
        </w:rPr>
        <w:t>[...]</w:t>
      </w:r>
    </w:p>
    <w:p w14:paraId="50681AAD" w14:textId="77777777" w:rsidR="00B97FAB" w:rsidRPr="00A477B1" w:rsidRDefault="00B97FAB" w:rsidP="00B97FAB">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477B1">
        <w:rPr>
          <w:rFonts w:ascii="Palatino Linotype" w:eastAsia="Palatino Linotype" w:hAnsi="Palatino Linotype" w:cs="Palatino Linotype"/>
          <w:b/>
          <w:i/>
          <w:sz w:val="22"/>
          <w:szCs w:val="22"/>
        </w:rPr>
        <w:t xml:space="preserve">A. Para el ejercicio del derecho de acceso a la información, la Federación y </w:t>
      </w:r>
      <w:r w:rsidRPr="00A477B1">
        <w:rPr>
          <w:rFonts w:ascii="Palatino Linotype" w:eastAsia="Palatino Linotype" w:hAnsi="Palatino Linotype" w:cs="Palatino Linotype"/>
          <w:b/>
          <w:i/>
          <w:sz w:val="22"/>
          <w:szCs w:val="22"/>
          <w:u w:val="single"/>
        </w:rPr>
        <w:t>las entidades federativas</w:t>
      </w:r>
      <w:r w:rsidRPr="00A477B1">
        <w:rPr>
          <w:rFonts w:ascii="Palatino Linotype" w:eastAsia="Palatino Linotype" w:hAnsi="Palatino Linotype" w:cs="Palatino Linotype"/>
          <w:b/>
          <w:i/>
          <w:sz w:val="22"/>
          <w:szCs w:val="22"/>
        </w:rPr>
        <w:t>,</w:t>
      </w:r>
      <w:r w:rsidRPr="00A477B1">
        <w:rPr>
          <w:rFonts w:ascii="Palatino Linotype" w:eastAsia="Palatino Linotype" w:hAnsi="Palatino Linotype" w:cs="Palatino Linotype"/>
          <w:i/>
          <w:sz w:val="22"/>
          <w:szCs w:val="22"/>
        </w:rPr>
        <w:t xml:space="preserve"> en el ámbito de sus respectivas competencias, se regirán por los siguientes principios y bases:</w:t>
      </w:r>
    </w:p>
    <w:p w14:paraId="44D42CB3" w14:textId="77777777" w:rsidR="00B97FAB" w:rsidRPr="00A477B1" w:rsidRDefault="00B97FAB" w:rsidP="00B97FAB">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477B1">
        <w:rPr>
          <w:rFonts w:ascii="Palatino Linotype" w:eastAsia="Palatino Linotype" w:hAnsi="Palatino Linotype" w:cs="Palatino Linotype"/>
          <w:i/>
          <w:sz w:val="22"/>
          <w:szCs w:val="22"/>
        </w:rPr>
        <w:t> </w:t>
      </w:r>
      <w:r w:rsidRPr="00A477B1">
        <w:rPr>
          <w:rFonts w:ascii="Palatino Linotype" w:eastAsia="Palatino Linotype" w:hAnsi="Palatino Linotype" w:cs="Palatino Linotype"/>
          <w:b/>
          <w:i/>
          <w:sz w:val="22"/>
          <w:szCs w:val="22"/>
        </w:rPr>
        <w:t xml:space="preserve">I. </w:t>
      </w:r>
      <w:r w:rsidRPr="00A477B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477B1">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477B1">
        <w:rPr>
          <w:rFonts w:ascii="Palatino Linotype" w:eastAsia="Palatino Linotype" w:hAnsi="Palatino Linotype" w:cs="Palatino Linotype"/>
          <w:b/>
          <w:i/>
          <w:sz w:val="22"/>
          <w:szCs w:val="22"/>
        </w:rPr>
        <w:t>es pública y sólo podrá ser reservada temporalmente por razones de interés público y seguridad nacional,</w:t>
      </w:r>
      <w:r w:rsidRPr="00A477B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AC39E4E" w14:textId="77777777" w:rsidR="00B97FAB" w:rsidRPr="00A477B1" w:rsidRDefault="00B97FAB" w:rsidP="00B97FAB">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A477B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5D9CD08E" w14:textId="77777777" w:rsidR="00B97FAB" w:rsidRPr="00A477B1" w:rsidRDefault="00B97FAB" w:rsidP="00B97FAB">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477B1">
        <w:rPr>
          <w:rFonts w:ascii="Palatino Linotype" w:eastAsia="Palatino Linotype" w:hAnsi="Palatino Linotype" w:cs="Palatino Linotype"/>
          <w:i/>
          <w:sz w:val="22"/>
          <w:szCs w:val="22"/>
        </w:rPr>
        <w:lastRenderedPageBreak/>
        <w:t> </w:t>
      </w:r>
      <w:r w:rsidRPr="00A477B1">
        <w:rPr>
          <w:rFonts w:ascii="Palatino Linotype" w:eastAsia="Palatino Linotype" w:hAnsi="Palatino Linotype" w:cs="Palatino Linotype"/>
          <w:b/>
          <w:i/>
          <w:sz w:val="22"/>
          <w:szCs w:val="22"/>
        </w:rPr>
        <w:t xml:space="preserve">III. </w:t>
      </w:r>
      <w:r w:rsidRPr="00A477B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477B1">
        <w:rPr>
          <w:rFonts w:ascii="Palatino Linotype" w:eastAsia="Palatino Linotype" w:hAnsi="Palatino Linotype" w:cs="Palatino Linotype"/>
          <w:i/>
          <w:sz w:val="22"/>
          <w:szCs w:val="22"/>
        </w:rPr>
        <w:t xml:space="preserve"> a sus datos personales o a la rectificación de éstos.</w:t>
      </w:r>
    </w:p>
    <w:p w14:paraId="63F9B698" w14:textId="77777777" w:rsidR="00B97FAB" w:rsidRPr="00A477B1" w:rsidRDefault="00B97FAB" w:rsidP="00B97FAB">
      <w:pPr>
        <w:pBdr>
          <w:top w:val="nil"/>
          <w:left w:val="nil"/>
          <w:bottom w:val="nil"/>
          <w:right w:val="nil"/>
          <w:between w:val="nil"/>
        </w:pBdr>
        <w:spacing w:before="240" w:after="240"/>
        <w:ind w:left="851" w:right="851"/>
        <w:jc w:val="both"/>
      </w:pPr>
      <w:r w:rsidRPr="00A477B1">
        <w:rPr>
          <w:rFonts w:ascii="Palatino Linotype" w:eastAsia="Palatino Linotype" w:hAnsi="Palatino Linotype" w:cs="Palatino Linotype"/>
          <w:b/>
          <w:i/>
          <w:sz w:val="22"/>
          <w:szCs w:val="22"/>
        </w:rPr>
        <w:t>…</w:t>
      </w:r>
    </w:p>
    <w:p w14:paraId="7DDECB58" w14:textId="77777777" w:rsidR="00B97FAB" w:rsidRPr="00A477B1" w:rsidRDefault="00B97FAB" w:rsidP="00B97FAB">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477B1">
        <w:rPr>
          <w:rFonts w:ascii="Palatino Linotype" w:eastAsia="Palatino Linotype" w:hAnsi="Palatino Linotype" w:cs="Palatino Linotype"/>
          <w:b/>
          <w:i/>
          <w:sz w:val="22"/>
          <w:szCs w:val="22"/>
        </w:rPr>
        <w:t>IV.</w:t>
      </w:r>
      <w:r w:rsidRPr="00A477B1">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72BDEE9" w14:textId="77777777" w:rsidR="00B97FAB" w:rsidRPr="00A477B1" w:rsidRDefault="00B97FAB" w:rsidP="00B97FAB">
      <w:pPr>
        <w:pBdr>
          <w:top w:val="nil"/>
          <w:left w:val="nil"/>
          <w:bottom w:val="nil"/>
          <w:right w:val="nil"/>
          <w:between w:val="nil"/>
        </w:pBdr>
        <w:spacing w:before="240" w:after="240"/>
        <w:ind w:left="851" w:right="851"/>
        <w:jc w:val="both"/>
      </w:pPr>
      <w:r w:rsidRPr="00A477B1">
        <w:rPr>
          <w:rFonts w:ascii="Palatino Linotype" w:eastAsia="Palatino Linotype" w:hAnsi="Palatino Linotype" w:cs="Palatino Linotype"/>
          <w:b/>
          <w:i/>
          <w:sz w:val="22"/>
          <w:szCs w:val="22"/>
        </w:rPr>
        <w:t xml:space="preserve">V. </w:t>
      </w:r>
      <w:r w:rsidRPr="00A477B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91378DF" w14:textId="77777777" w:rsidR="00B97FAB" w:rsidRPr="00A477B1" w:rsidRDefault="00B97FAB" w:rsidP="00B97FAB">
      <w:pPr>
        <w:pBdr>
          <w:top w:val="nil"/>
          <w:left w:val="nil"/>
          <w:bottom w:val="nil"/>
          <w:right w:val="nil"/>
          <w:between w:val="nil"/>
        </w:pBdr>
        <w:spacing w:before="240" w:after="240"/>
        <w:ind w:left="851" w:right="851"/>
        <w:jc w:val="both"/>
      </w:pPr>
      <w:r w:rsidRPr="00A477B1">
        <w:rPr>
          <w:rFonts w:ascii="Palatino Linotype" w:eastAsia="Palatino Linotype" w:hAnsi="Palatino Linotype" w:cs="Palatino Linotype"/>
          <w:i/>
          <w:sz w:val="22"/>
          <w:szCs w:val="22"/>
        </w:rPr>
        <w:t> </w:t>
      </w:r>
      <w:r w:rsidRPr="00A477B1">
        <w:rPr>
          <w:rFonts w:ascii="Palatino Linotype" w:eastAsia="Palatino Linotype" w:hAnsi="Palatino Linotype" w:cs="Palatino Linotype"/>
          <w:b/>
          <w:i/>
          <w:sz w:val="22"/>
          <w:szCs w:val="22"/>
        </w:rPr>
        <w:t xml:space="preserve">VI. </w:t>
      </w:r>
      <w:r w:rsidRPr="00A477B1">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B10CFE4" w14:textId="77777777" w:rsidR="00B97FAB" w:rsidRPr="00A477B1" w:rsidRDefault="00B97FAB" w:rsidP="00B97FAB">
      <w:pPr>
        <w:pBdr>
          <w:top w:val="nil"/>
          <w:left w:val="nil"/>
          <w:bottom w:val="nil"/>
          <w:right w:val="nil"/>
          <w:between w:val="nil"/>
        </w:pBdr>
        <w:spacing w:before="240" w:after="240"/>
        <w:ind w:left="851" w:right="851"/>
        <w:jc w:val="both"/>
      </w:pPr>
      <w:r w:rsidRPr="00A477B1">
        <w:rPr>
          <w:rFonts w:ascii="Palatino Linotype" w:eastAsia="Palatino Linotype" w:hAnsi="Palatino Linotype" w:cs="Palatino Linotype"/>
          <w:i/>
          <w:sz w:val="22"/>
          <w:szCs w:val="22"/>
        </w:rPr>
        <w:t> </w:t>
      </w:r>
      <w:r w:rsidRPr="00A477B1">
        <w:rPr>
          <w:rFonts w:ascii="Palatino Linotype" w:eastAsia="Palatino Linotype" w:hAnsi="Palatino Linotype" w:cs="Palatino Linotype"/>
          <w:b/>
          <w:i/>
          <w:sz w:val="22"/>
          <w:szCs w:val="22"/>
        </w:rPr>
        <w:t xml:space="preserve">VII. </w:t>
      </w:r>
      <w:r w:rsidRPr="00A477B1">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6F041F3D" w14:textId="77777777" w:rsidR="00B97FAB" w:rsidRPr="00A477B1" w:rsidRDefault="00B97FAB" w:rsidP="00B97FAB">
      <w:pPr>
        <w:spacing w:line="276" w:lineRule="auto"/>
        <w:ind w:left="851" w:right="851"/>
        <w:jc w:val="both"/>
        <w:rPr>
          <w:rFonts w:ascii="Palatino Linotype" w:eastAsia="Palatino Linotype" w:hAnsi="Palatino Linotype" w:cs="Palatino Linotype"/>
          <w:sz w:val="22"/>
          <w:szCs w:val="22"/>
        </w:rPr>
      </w:pPr>
    </w:p>
    <w:p w14:paraId="0C2F56F5" w14:textId="77777777" w:rsidR="00B97FAB" w:rsidRPr="00A477B1" w:rsidRDefault="00B97FAB" w:rsidP="00B97FAB">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F27A8C8" w14:textId="77777777" w:rsidR="00B97FAB" w:rsidRPr="00A477B1" w:rsidRDefault="00B97FAB" w:rsidP="00B97FAB">
      <w:pPr>
        <w:spacing w:line="360" w:lineRule="auto"/>
        <w:jc w:val="both"/>
        <w:rPr>
          <w:rFonts w:ascii="Palatino Linotype" w:eastAsia="Palatino Linotype" w:hAnsi="Palatino Linotype" w:cs="Palatino Linotype"/>
          <w:sz w:val="22"/>
          <w:szCs w:val="22"/>
        </w:rPr>
      </w:pPr>
    </w:p>
    <w:p w14:paraId="7F82C7D6" w14:textId="77777777" w:rsidR="00B97FAB" w:rsidRPr="00A477B1" w:rsidRDefault="00B97FAB" w:rsidP="00B97FAB">
      <w:pPr>
        <w:spacing w:line="276" w:lineRule="auto"/>
        <w:ind w:left="567" w:right="616"/>
        <w:jc w:val="both"/>
        <w:rPr>
          <w:rFonts w:ascii="Palatino Linotype" w:eastAsia="Palatino Linotype" w:hAnsi="Palatino Linotype" w:cs="Palatino Linotype"/>
          <w:i/>
          <w:sz w:val="22"/>
          <w:szCs w:val="22"/>
        </w:rPr>
      </w:pPr>
      <w:r w:rsidRPr="00A477B1">
        <w:rPr>
          <w:rFonts w:ascii="Palatino Linotype" w:eastAsia="Palatino Linotype" w:hAnsi="Palatino Linotype" w:cs="Palatino Linotype"/>
          <w:i/>
          <w:sz w:val="22"/>
          <w:szCs w:val="22"/>
        </w:rPr>
        <w:lastRenderedPageBreak/>
        <w:t>“</w:t>
      </w:r>
      <w:r w:rsidRPr="00A477B1">
        <w:rPr>
          <w:rFonts w:ascii="Palatino Linotype" w:eastAsia="Palatino Linotype" w:hAnsi="Palatino Linotype" w:cs="Palatino Linotype"/>
          <w:b/>
          <w:i/>
          <w:sz w:val="22"/>
          <w:szCs w:val="22"/>
        </w:rPr>
        <w:t>Artículo 4</w:t>
      </w:r>
      <w:r w:rsidRPr="00A477B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7394C02" w14:textId="77777777" w:rsidR="00B97FAB" w:rsidRPr="00A477B1" w:rsidRDefault="00B97FAB" w:rsidP="00B97FAB">
      <w:pPr>
        <w:spacing w:line="276" w:lineRule="auto"/>
        <w:ind w:left="567" w:right="616"/>
        <w:jc w:val="both"/>
        <w:rPr>
          <w:rFonts w:ascii="Palatino Linotype" w:eastAsia="Palatino Linotype" w:hAnsi="Palatino Linotype" w:cs="Palatino Linotype"/>
          <w:i/>
          <w:sz w:val="22"/>
          <w:szCs w:val="22"/>
        </w:rPr>
      </w:pPr>
    </w:p>
    <w:p w14:paraId="4C25DEE3" w14:textId="77777777" w:rsidR="00B97FAB" w:rsidRPr="00A477B1" w:rsidRDefault="00B97FAB" w:rsidP="00B97FAB">
      <w:pPr>
        <w:spacing w:line="276" w:lineRule="auto"/>
        <w:ind w:left="567" w:right="616"/>
        <w:jc w:val="both"/>
        <w:rPr>
          <w:rFonts w:ascii="Palatino Linotype" w:eastAsia="Palatino Linotype" w:hAnsi="Palatino Linotype" w:cs="Palatino Linotype"/>
          <w:i/>
          <w:sz w:val="22"/>
          <w:szCs w:val="22"/>
        </w:rPr>
      </w:pPr>
      <w:r w:rsidRPr="00A477B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477B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3E49576" w14:textId="77777777" w:rsidR="00B97FAB" w:rsidRPr="00A477B1" w:rsidRDefault="00B97FAB" w:rsidP="00B97FAB">
      <w:pPr>
        <w:spacing w:line="276" w:lineRule="auto"/>
        <w:ind w:left="567" w:right="616"/>
        <w:jc w:val="both"/>
        <w:rPr>
          <w:rFonts w:ascii="Palatino Linotype" w:eastAsia="Palatino Linotype" w:hAnsi="Palatino Linotype" w:cs="Palatino Linotype"/>
          <w:i/>
          <w:sz w:val="22"/>
          <w:szCs w:val="22"/>
        </w:rPr>
      </w:pPr>
    </w:p>
    <w:p w14:paraId="5346B864" w14:textId="77777777" w:rsidR="00B97FAB" w:rsidRPr="00A477B1" w:rsidRDefault="00B97FAB" w:rsidP="00B97FAB">
      <w:pPr>
        <w:spacing w:line="276" w:lineRule="auto"/>
        <w:ind w:left="567" w:right="616"/>
        <w:jc w:val="both"/>
        <w:rPr>
          <w:rFonts w:ascii="Palatino Linotype" w:eastAsia="Palatino Linotype" w:hAnsi="Palatino Linotype" w:cs="Palatino Linotype"/>
          <w:i/>
          <w:sz w:val="22"/>
          <w:szCs w:val="22"/>
        </w:rPr>
      </w:pPr>
      <w:r w:rsidRPr="00A477B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477B1">
        <w:rPr>
          <w:rFonts w:ascii="Palatino Linotype" w:eastAsia="Palatino Linotype" w:hAnsi="Palatino Linotype" w:cs="Palatino Linotype"/>
          <w:i/>
          <w:sz w:val="22"/>
          <w:szCs w:val="22"/>
        </w:rPr>
        <w:t>.”</w:t>
      </w:r>
    </w:p>
    <w:p w14:paraId="5B1CBD14" w14:textId="77777777" w:rsidR="00B97FAB" w:rsidRPr="00A477B1" w:rsidRDefault="00B97FAB" w:rsidP="00B97FAB">
      <w:pPr>
        <w:spacing w:line="360" w:lineRule="auto"/>
        <w:jc w:val="both"/>
        <w:rPr>
          <w:rFonts w:ascii="Palatino Linotype" w:eastAsia="Palatino Linotype" w:hAnsi="Palatino Linotype" w:cs="Palatino Linotype"/>
          <w:sz w:val="22"/>
          <w:szCs w:val="22"/>
        </w:rPr>
      </w:pPr>
    </w:p>
    <w:p w14:paraId="788E7F8E" w14:textId="77777777" w:rsidR="00B97FAB" w:rsidRPr="00A477B1" w:rsidRDefault="00B97FAB" w:rsidP="00B97FAB">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DC05BE2" w14:textId="77777777" w:rsidR="00B97FAB" w:rsidRPr="00A477B1" w:rsidRDefault="00B97FAB" w:rsidP="00B97FAB">
      <w:pPr>
        <w:spacing w:line="360" w:lineRule="auto"/>
        <w:jc w:val="both"/>
        <w:rPr>
          <w:rFonts w:ascii="Palatino Linotype" w:eastAsia="Palatino Linotype" w:hAnsi="Palatino Linotype" w:cs="Palatino Linotype"/>
          <w:sz w:val="22"/>
          <w:szCs w:val="22"/>
        </w:rPr>
      </w:pPr>
    </w:p>
    <w:p w14:paraId="279192CB" w14:textId="77777777" w:rsidR="00B97FAB" w:rsidRPr="00A477B1" w:rsidRDefault="00B97FAB" w:rsidP="00B97FAB">
      <w:pPr>
        <w:spacing w:line="276" w:lineRule="auto"/>
        <w:ind w:left="567" w:right="616"/>
        <w:jc w:val="both"/>
        <w:rPr>
          <w:rFonts w:ascii="Palatino Linotype" w:eastAsia="Palatino Linotype" w:hAnsi="Palatino Linotype" w:cs="Palatino Linotype"/>
          <w:i/>
          <w:sz w:val="22"/>
          <w:szCs w:val="22"/>
        </w:rPr>
      </w:pPr>
      <w:r w:rsidRPr="00A477B1">
        <w:rPr>
          <w:rFonts w:ascii="Palatino Linotype" w:eastAsia="Palatino Linotype" w:hAnsi="Palatino Linotype" w:cs="Palatino Linotype"/>
          <w:b/>
          <w:i/>
          <w:sz w:val="22"/>
          <w:szCs w:val="22"/>
        </w:rPr>
        <w:t>“Artículo 12.-</w:t>
      </w:r>
      <w:r w:rsidRPr="00A477B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6B9373C" w14:textId="77777777" w:rsidR="00B97FAB" w:rsidRPr="00A477B1" w:rsidRDefault="00B97FAB" w:rsidP="00B97FAB">
      <w:pPr>
        <w:spacing w:line="276" w:lineRule="auto"/>
        <w:ind w:left="567" w:right="616"/>
        <w:jc w:val="both"/>
        <w:rPr>
          <w:rFonts w:ascii="Palatino Linotype" w:eastAsia="Palatino Linotype" w:hAnsi="Palatino Linotype" w:cs="Palatino Linotype"/>
          <w:i/>
          <w:sz w:val="22"/>
          <w:szCs w:val="22"/>
        </w:rPr>
      </w:pPr>
    </w:p>
    <w:p w14:paraId="5A88C932" w14:textId="77777777" w:rsidR="00B97FAB" w:rsidRPr="00A477B1" w:rsidRDefault="00B97FAB" w:rsidP="00B97FAB">
      <w:pPr>
        <w:spacing w:line="276" w:lineRule="auto"/>
        <w:ind w:left="567" w:right="616"/>
        <w:jc w:val="both"/>
        <w:rPr>
          <w:rFonts w:ascii="Palatino Linotype" w:eastAsia="Palatino Linotype" w:hAnsi="Palatino Linotype" w:cs="Palatino Linotype"/>
          <w:b/>
          <w:i/>
          <w:sz w:val="22"/>
          <w:szCs w:val="22"/>
        </w:rPr>
      </w:pPr>
      <w:r w:rsidRPr="00A477B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477B1">
        <w:rPr>
          <w:rFonts w:ascii="Palatino Linotype" w:eastAsia="Palatino Linotype" w:hAnsi="Palatino Linotype" w:cs="Palatino Linotype"/>
          <w:i/>
          <w:sz w:val="22"/>
          <w:szCs w:val="22"/>
        </w:rPr>
        <w:t xml:space="preserve">. </w:t>
      </w:r>
      <w:r w:rsidRPr="00A477B1">
        <w:rPr>
          <w:rFonts w:ascii="Palatino Linotype" w:eastAsia="Palatino Linotype" w:hAnsi="Palatino Linotype" w:cs="Palatino Linotype"/>
          <w:b/>
          <w:i/>
          <w:sz w:val="22"/>
          <w:szCs w:val="22"/>
        </w:rPr>
        <w:t xml:space="preserve">La </w:t>
      </w:r>
      <w:r w:rsidRPr="00A477B1">
        <w:rPr>
          <w:rFonts w:ascii="Palatino Linotype" w:eastAsia="Palatino Linotype" w:hAnsi="Palatino Linotype" w:cs="Palatino Linotype"/>
          <w:b/>
          <w:i/>
          <w:sz w:val="22"/>
          <w:szCs w:val="22"/>
        </w:rPr>
        <w:lastRenderedPageBreak/>
        <w:t xml:space="preserve">obligación de proporcionar información no comprende el procesamiento de </w:t>
      </w:r>
      <w:proofErr w:type="gramStart"/>
      <w:r w:rsidRPr="00A477B1">
        <w:rPr>
          <w:rFonts w:ascii="Palatino Linotype" w:eastAsia="Palatino Linotype" w:hAnsi="Palatino Linotype" w:cs="Palatino Linotype"/>
          <w:b/>
          <w:i/>
          <w:sz w:val="22"/>
          <w:szCs w:val="22"/>
        </w:rPr>
        <w:t>la misma</w:t>
      </w:r>
      <w:proofErr w:type="gramEnd"/>
      <w:r w:rsidRPr="00A477B1">
        <w:rPr>
          <w:rFonts w:ascii="Palatino Linotype" w:eastAsia="Palatino Linotype" w:hAnsi="Palatino Linotype" w:cs="Palatino Linotype"/>
          <w:b/>
          <w:i/>
          <w:sz w:val="22"/>
          <w:szCs w:val="22"/>
        </w:rPr>
        <w:t xml:space="preserve">, ni el presentarla conforme al interés del solicitante; no estarán obligados a generarla, resumirla, efectuar cálculos o practicar investigaciones”. </w:t>
      </w:r>
    </w:p>
    <w:p w14:paraId="4C9B592E" w14:textId="77777777" w:rsidR="00B97FAB" w:rsidRPr="00A477B1" w:rsidRDefault="00B97FAB" w:rsidP="00B97FAB">
      <w:pPr>
        <w:spacing w:line="360" w:lineRule="auto"/>
        <w:ind w:left="567" w:right="616"/>
        <w:jc w:val="both"/>
        <w:rPr>
          <w:rFonts w:ascii="Palatino Linotype" w:eastAsia="Palatino Linotype" w:hAnsi="Palatino Linotype" w:cs="Palatino Linotype"/>
          <w:i/>
          <w:sz w:val="22"/>
          <w:szCs w:val="22"/>
        </w:rPr>
      </w:pPr>
    </w:p>
    <w:p w14:paraId="7EB927A1" w14:textId="77777777" w:rsidR="00B97FAB" w:rsidRPr="00A477B1" w:rsidRDefault="00B97FAB" w:rsidP="00B97FAB">
      <w:pPr>
        <w:spacing w:line="360" w:lineRule="auto"/>
        <w:ind w:right="-93"/>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2032373D" w14:textId="77777777" w:rsidR="00B97FAB" w:rsidRPr="00A477B1" w:rsidRDefault="00B97FAB" w:rsidP="00B97FAB">
      <w:pPr>
        <w:spacing w:line="360" w:lineRule="auto"/>
        <w:ind w:right="-93"/>
        <w:jc w:val="both"/>
        <w:rPr>
          <w:rFonts w:ascii="Palatino Linotype" w:eastAsia="Palatino Linotype" w:hAnsi="Palatino Linotype" w:cs="Palatino Linotype"/>
          <w:sz w:val="22"/>
          <w:szCs w:val="22"/>
        </w:rPr>
      </w:pPr>
    </w:p>
    <w:p w14:paraId="417DDA6E" w14:textId="77777777" w:rsidR="00B97FAB" w:rsidRPr="00A477B1" w:rsidRDefault="00B97FAB" w:rsidP="00B97FAB">
      <w:pPr>
        <w:spacing w:line="360" w:lineRule="auto"/>
        <w:jc w:val="both"/>
        <w:rPr>
          <w:rFonts w:ascii="Palatino Linotype" w:eastAsia="Palatino Linotype" w:hAnsi="Palatino Linotype" w:cs="Palatino Linotype"/>
          <w:b/>
          <w:sz w:val="22"/>
          <w:szCs w:val="22"/>
        </w:rPr>
      </w:pPr>
      <w:r w:rsidRPr="00A477B1">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A477B1">
        <w:rPr>
          <w:rFonts w:ascii="Palatino Linotype" w:eastAsia="Palatino Linotype" w:hAnsi="Palatino Linotype" w:cs="Palatino Linotype"/>
          <w:b/>
          <w:sz w:val="22"/>
          <w:szCs w:val="22"/>
        </w:rPr>
        <w:t xml:space="preserve"> </w:t>
      </w:r>
    </w:p>
    <w:p w14:paraId="14317B71" w14:textId="77777777" w:rsidR="00B97FAB" w:rsidRPr="00A477B1" w:rsidRDefault="00B97FAB" w:rsidP="00B97FAB">
      <w:pPr>
        <w:spacing w:line="276" w:lineRule="auto"/>
        <w:ind w:left="567" w:right="616"/>
        <w:jc w:val="both"/>
        <w:rPr>
          <w:rFonts w:ascii="Palatino Linotype" w:eastAsia="Palatino Linotype" w:hAnsi="Palatino Linotype" w:cs="Palatino Linotype"/>
          <w:i/>
          <w:sz w:val="22"/>
          <w:szCs w:val="22"/>
        </w:rPr>
      </w:pPr>
      <w:r w:rsidRPr="00A477B1">
        <w:rPr>
          <w:rFonts w:ascii="Palatino Linotype" w:eastAsia="Palatino Linotype" w:hAnsi="Palatino Linotype" w:cs="Palatino Linotype"/>
          <w:i/>
          <w:sz w:val="22"/>
          <w:szCs w:val="22"/>
        </w:rPr>
        <w:t>“</w:t>
      </w:r>
      <w:r w:rsidRPr="00A477B1">
        <w:rPr>
          <w:rFonts w:ascii="Palatino Linotype" w:eastAsia="Palatino Linotype" w:hAnsi="Palatino Linotype" w:cs="Palatino Linotype"/>
          <w:b/>
          <w:i/>
          <w:sz w:val="22"/>
          <w:szCs w:val="22"/>
        </w:rPr>
        <w:t>No existe obligación de elaborar documentos ad hoc para atender las solicitudes de acceso a la información.</w:t>
      </w:r>
      <w:r w:rsidRPr="00A477B1">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9594A7C" w14:textId="77777777" w:rsidR="00B97FAB" w:rsidRPr="00A477B1" w:rsidRDefault="00B97FAB" w:rsidP="00B97FAB">
      <w:pPr>
        <w:spacing w:line="360" w:lineRule="auto"/>
        <w:ind w:right="-93"/>
        <w:jc w:val="both"/>
        <w:rPr>
          <w:rFonts w:ascii="Palatino Linotype" w:eastAsia="Palatino Linotype" w:hAnsi="Palatino Linotype" w:cs="Palatino Linotype"/>
          <w:sz w:val="22"/>
          <w:szCs w:val="22"/>
        </w:rPr>
      </w:pPr>
    </w:p>
    <w:p w14:paraId="018B45E0" w14:textId="77777777" w:rsidR="00B97FAB" w:rsidRPr="00A477B1" w:rsidRDefault="00B97FAB" w:rsidP="00B97FAB">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w:t>
      </w:r>
      <w:r w:rsidRPr="00A477B1">
        <w:rPr>
          <w:rFonts w:ascii="Palatino Linotype" w:eastAsia="Palatino Linotype" w:hAnsi="Palatino Linotype" w:cs="Palatino Linotype"/>
          <w:sz w:val="22"/>
          <w:szCs w:val="22"/>
        </w:rPr>
        <w:lastRenderedPageBreak/>
        <w:t>encuentra a disposición de cualquier persona, lo que implica que es deber de los Sujetos Obligados, garantizar el Derecho de Acceso a la Información Pública.</w:t>
      </w:r>
    </w:p>
    <w:p w14:paraId="57045926" w14:textId="77777777" w:rsidR="00B97FAB" w:rsidRPr="00A477B1" w:rsidRDefault="00B97FAB" w:rsidP="00B97FAB">
      <w:pPr>
        <w:spacing w:line="360" w:lineRule="auto"/>
        <w:jc w:val="both"/>
        <w:rPr>
          <w:rFonts w:ascii="Palatino Linotype" w:eastAsia="Palatino Linotype" w:hAnsi="Palatino Linotype" w:cs="Palatino Linotype"/>
          <w:sz w:val="22"/>
          <w:szCs w:val="22"/>
        </w:rPr>
      </w:pPr>
    </w:p>
    <w:p w14:paraId="5CDCD82D" w14:textId="77777777" w:rsidR="00B97FAB" w:rsidRPr="00A477B1" w:rsidRDefault="00B97FAB" w:rsidP="00B97FAB">
      <w:pPr>
        <w:spacing w:line="360" w:lineRule="auto"/>
        <w:ind w:right="49"/>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F5E25B2" w14:textId="77777777" w:rsidR="00B97FAB" w:rsidRPr="00A477B1" w:rsidRDefault="00B97FAB" w:rsidP="00B97FAB">
      <w:pPr>
        <w:spacing w:line="360" w:lineRule="auto"/>
        <w:ind w:right="49"/>
        <w:jc w:val="both"/>
        <w:rPr>
          <w:rFonts w:ascii="Palatino Linotype" w:eastAsia="Palatino Linotype" w:hAnsi="Palatino Linotype" w:cs="Palatino Linotype"/>
          <w:sz w:val="22"/>
          <w:szCs w:val="22"/>
        </w:rPr>
      </w:pPr>
    </w:p>
    <w:p w14:paraId="79D8CDFD" w14:textId="77777777" w:rsidR="00B97FAB" w:rsidRPr="00A477B1" w:rsidRDefault="00B97FAB" w:rsidP="00B97FAB">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D63692F" w14:textId="77777777" w:rsidR="00B97FAB" w:rsidRPr="00A477B1" w:rsidRDefault="00B97FAB" w:rsidP="00B97FAB">
      <w:pPr>
        <w:spacing w:line="360" w:lineRule="auto"/>
        <w:ind w:left="851" w:right="899"/>
        <w:jc w:val="both"/>
        <w:rPr>
          <w:rFonts w:ascii="Palatino Linotype" w:eastAsia="Palatino Linotype" w:hAnsi="Palatino Linotype" w:cs="Palatino Linotype"/>
          <w:i/>
          <w:sz w:val="22"/>
          <w:szCs w:val="22"/>
        </w:rPr>
      </w:pPr>
    </w:p>
    <w:p w14:paraId="39C6F6BB" w14:textId="77777777" w:rsidR="00B97FAB" w:rsidRPr="00A477B1" w:rsidRDefault="00B97FAB" w:rsidP="00B97FAB">
      <w:pPr>
        <w:spacing w:line="276" w:lineRule="auto"/>
        <w:ind w:left="567" w:right="616"/>
        <w:jc w:val="both"/>
        <w:rPr>
          <w:rFonts w:ascii="Palatino Linotype" w:eastAsia="Palatino Linotype" w:hAnsi="Palatino Linotype" w:cs="Palatino Linotype"/>
          <w:i/>
          <w:sz w:val="22"/>
          <w:szCs w:val="22"/>
        </w:rPr>
      </w:pPr>
      <w:r w:rsidRPr="00A477B1">
        <w:rPr>
          <w:rFonts w:ascii="Palatino Linotype" w:eastAsia="Palatino Linotype" w:hAnsi="Palatino Linotype" w:cs="Palatino Linotype"/>
          <w:i/>
          <w:sz w:val="22"/>
          <w:szCs w:val="22"/>
        </w:rPr>
        <w:t>“</w:t>
      </w:r>
      <w:r w:rsidRPr="00A477B1">
        <w:rPr>
          <w:rFonts w:ascii="Palatino Linotype" w:eastAsia="Palatino Linotype" w:hAnsi="Palatino Linotype" w:cs="Palatino Linotype"/>
          <w:b/>
          <w:i/>
          <w:sz w:val="22"/>
          <w:szCs w:val="22"/>
        </w:rPr>
        <w:t xml:space="preserve">Artículo 3. </w:t>
      </w:r>
      <w:r w:rsidRPr="00A477B1">
        <w:rPr>
          <w:rFonts w:ascii="Palatino Linotype" w:eastAsia="Palatino Linotype" w:hAnsi="Palatino Linotype" w:cs="Palatino Linotype"/>
          <w:i/>
          <w:sz w:val="22"/>
          <w:szCs w:val="22"/>
        </w:rPr>
        <w:t>Para los efectos de la presente Ley se entenderá por:</w:t>
      </w:r>
    </w:p>
    <w:p w14:paraId="20F448CA" w14:textId="77777777" w:rsidR="00B97FAB" w:rsidRPr="00A477B1" w:rsidRDefault="00B97FAB" w:rsidP="00B97FAB">
      <w:pPr>
        <w:spacing w:line="276" w:lineRule="auto"/>
        <w:ind w:left="567" w:right="616"/>
        <w:jc w:val="both"/>
        <w:rPr>
          <w:rFonts w:ascii="Palatino Linotype" w:eastAsia="Palatino Linotype" w:hAnsi="Palatino Linotype" w:cs="Palatino Linotype"/>
          <w:i/>
          <w:sz w:val="22"/>
          <w:szCs w:val="22"/>
        </w:rPr>
      </w:pPr>
      <w:r w:rsidRPr="00A477B1">
        <w:rPr>
          <w:rFonts w:ascii="Palatino Linotype" w:eastAsia="Palatino Linotype" w:hAnsi="Palatino Linotype" w:cs="Palatino Linotype"/>
          <w:i/>
          <w:sz w:val="22"/>
          <w:szCs w:val="22"/>
        </w:rPr>
        <w:t>…</w:t>
      </w:r>
    </w:p>
    <w:p w14:paraId="56993397" w14:textId="77777777" w:rsidR="00B97FAB" w:rsidRPr="00A477B1" w:rsidRDefault="00B97FAB" w:rsidP="00B97FAB">
      <w:pPr>
        <w:spacing w:line="276" w:lineRule="auto"/>
        <w:ind w:left="567" w:right="616"/>
        <w:jc w:val="both"/>
        <w:rPr>
          <w:rFonts w:ascii="Palatino Linotype" w:eastAsia="Palatino Linotype" w:hAnsi="Palatino Linotype" w:cs="Palatino Linotype"/>
          <w:i/>
          <w:sz w:val="22"/>
          <w:szCs w:val="22"/>
        </w:rPr>
      </w:pPr>
      <w:r w:rsidRPr="00A477B1">
        <w:rPr>
          <w:rFonts w:ascii="Palatino Linotype" w:eastAsia="Palatino Linotype" w:hAnsi="Palatino Linotype" w:cs="Palatino Linotype"/>
          <w:b/>
          <w:i/>
          <w:sz w:val="22"/>
          <w:szCs w:val="22"/>
        </w:rPr>
        <w:t>XI. Documento:</w:t>
      </w:r>
      <w:r w:rsidRPr="00A477B1">
        <w:rPr>
          <w:rFonts w:ascii="Palatino Linotype" w:eastAsia="Palatino Linotype" w:hAnsi="Palatino Linotype" w:cs="Palatino Linotype"/>
          <w:i/>
          <w:sz w:val="22"/>
          <w:szCs w:val="22"/>
        </w:rPr>
        <w:t xml:space="preserve"> Los expedientes, reportes, estudios, actas</w:t>
      </w:r>
      <w:r w:rsidRPr="00A477B1">
        <w:rPr>
          <w:rFonts w:ascii="Palatino Linotype" w:eastAsia="Palatino Linotype" w:hAnsi="Palatino Linotype" w:cs="Palatino Linotype"/>
          <w:b/>
          <w:i/>
          <w:sz w:val="22"/>
          <w:szCs w:val="22"/>
        </w:rPr>
        <w:t>,</w:t>
      </w:r>
      <w:r w:rsidRPr="00A477B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E5D0943" w14:textId="77777777" w:rsidR="00B97FAB" w:rsidRPr="00A477B1" w:rsidRDefault="00B97FAB" w:rsidP="00B97FAB">
      <w:pPr>
        <w:spacing w:line="360" w:lineRule="auto"/>
        <w:ind w:left="851" w:right="899"/>
        <w:jc w:val="both"/>
        <w:rPr>
          <w:rFonts w:ascii="Palatino Linotype" w:eastAsia="Palatino Linotype" w:hAnsi="Palatino Linotype" w:cs="Palatino Linotype"/>
          <w:sz w:val="22"/>
          <w:szCs w:val="22"/>
        </w:rPr>
      </w:pPr>
    </w:p>
    <w:p w14:paraId="62392E46" w14:textId="77777777" w:rsidR="00B97FAB" w:rsidRPr="00A477B1" w:rsidRDefault="00B97FAB" w:rsidP="00B97FAB">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6B11297" w14:textId="77777777" w:rsidR="00B97FAB" w:rsidRPr="00A477B1" w:rsidRDefault="00B97FAB" w:rsidP="00B97FAB">
      <w:pPr>
        <w:spacing w:line="360" w:lineRule="auto"/>
        <w:jc w:val="both"/>
        <w:rPr>
          <w:rFonts w:ascii="Palatino Linotype" w:eastAsia="Palatino Linotype" w:hAnsi="Palatino Linotype" w:cs="Palatino Linotype"/>
          <w:sz w:val="22"/>
          <w:szCs w:val="22"/>
        </w:rPr>
      </w:pPr>
    </w:p>
    <w:p w14:paraId="1222F88F" w14:textId="77777777" w:rsidR="00B97FAB" w:rsidRPr="00A477B1" w:rsidRDefault="00B97FAB" w:rsidP="00B97FAB">
      <w:pPr>
        <w:spacing w:line="276" w:lineRule="auto"/>
        <w:ind w:left="567" w:right="616"/>
        <w:jc w:val="both"/>
        <w:rPr>
          <w:rFonts w:ascii="Palatino Linotype" w:eastAsia="Palatino Linotype" w:hAnsi="Palatino Linotype" w:cs="Palatino Linotype"/>
          <w:b/>
          <w:i/>
          <w:sz w:val="22"/>
          <w:szCs w:val="22"/>
        </w:rPr>
      </w:pPr>
      <w:r w:rsidRPr="00A477B1">
        <w:rPr>
          <w:rFonts w:ascii="Palatino Linotype" w:eastAsia="Palatino Linotype" w:hAnsi="Palatino Linotype" w:cs="Palatino Linotype"/>
          <w:b/>
          <w:sz w:val="22"/>
          <w:szCs w:val="22"/>
        </w:rPr>
        <w:t>“</w:t>
      </w:r>
      <w:r w:rsidRPr="00A477B1">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A477B1">
        <w:rPr>
          <w:rFonts w:ascii="Palatino Linotype" w:eastAsia="Palatino Linotype" w:hAnsi="Palatino Linotype" w:cs="Palatino Linotype"/>
          <w:i/>
          <w:sz w:val="22"/>
          <w:szCs w:val="22"/>
        </w:rPr>
        <w:t xml:space="preserve"> De conformidad con los artículos antes referidos, el derecho de acceso a la información </w:t>
      </w:r>
      <w:proofErr w:type="gramStart"/>
      <w:r w:rsidRPr="00A477B1">
        <w:rPr>
          <w:rFonts w:ascii="Palatino Linotype" w:eastAsia="Palatino Linotype" w:hAnsi="Palatino Linotype" w:cs="Palatino Linotype"/>
          <w:i/>
          <w:sz w:val="22"/>
          <w:szCs w:val="22"/>
        </w:rPr>
        <w:t>pública,</w:t>
      </w:r>
      <w:proofErr w:type="gramEnd"/>
      <w:r w:rsidRPr="00A477B1">
        <w:rPr>
          <w:rFonts w:ascii="Palatino Linotype" w:eastAsia="Palatino Linotype" w:hAnsi="Palatino Linotype" w:cs="Palatino Linotype"/>
          <w:i/>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2A64749" w14:textId="77777777" w:rsidR="00B97FAB" w:rsidRPr="00A477B1" w:rsidRDefault="00B97FAB" w:rsidP="00B97FAB">
      <w:pPr>
        <w:spacing w:line="276" w:lineRule="auto"/>
        <w:ind w:left="567" w:right="616"/>
        <w:jc w:val="both"/>
        <w:rPr>
          <w:rFonts w:ascii="Palatino Linotype" w:eastAsia="Palatino Linotype" w:hAnsi="Palatino Linotype" w:cs="Palatino Linotype"/>
          <w:i/>
          <w:sz w:val="22"/>
          <w:szCs w:val="22"/>
        </w:rPr>
      </w:pPr>
      <w:r w:rsidRPr="00A477B1">
        <w:rPr>
          <w:rFonts w:ascii="Palatino Linotype" w:eastAsia="Palatino Linotype" w:hAnsi="Palatino Linotype" w:cs="Palatino Linotype"/>
          <w:i/>
          <w:sz w:val="22"/>
          <w:szCs w:val="22"/>
        </w:rPr>
        <w:t xml:space="preserve">En </w:t>
      </w:r>
      <w:proofErr w:type="gramStart"/>
      <w:r w:rsidRPr="00A477B1">
        <w:rPr>
          <w:rFonts w:ascii="Palatino Linotype" w:eastAsia="Palatino Linotype" w:hAnsi="Palatino Linotype" w:cs="Palatino Linotype"/>
          <w:i/>
          <w:sz w:val="22"/>
          <w:szCs w:val="22"/>
        </w:rPr>
        <w:t>consecuencia</w:t>
      </w:r>
      <w:proofErr w:type="gramEnd"/>
      <w:r w:rsidRPr="00A477B1">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2009A459" w14:textId="77777777" w:rsidR="00B97FAB" w:rsidRPr="00A477B1" w:rsidRDefault="00B97FAB" w:rsidP="00B97FAB">
      <w:pPr>
        <w:spacing w:line="276" w:lineRule="auto"/>
        <w:ind w:left="567" w:right="616"/>
        <w:jc w:val="both"/>
        <w:rPr>
          <w:rFonts w:ascii="Palatino Linotype" w:eastAsia="Palatino Linotype" w:hAnsi="Palatino Linotype" w:cs="Palatino Linotype"/>
          <w:i/>
          <w:sz w:val="22"/>
          <w:szCs w:val="22"/>
        </w:rPr>
      </w:pPr>
      <w:r w:rsidRPr="00A477B1">
        <w:rPr>
          <w:rFonts w:ascii="Palatino Linotype" w:eastAsia="Palatino Linotype" w:hAnsi="Palatino Linotype" w:cs="Palatino Linotype"/>
          <w:i/>
          <w:sz w:val="22"/>
          <w:szCs w:val="22"/>
        </w:rPr>
        <w:t xml:space="preserve">1) Que se trate de información registrada en cualquier soporte documental, </w:t>
      </w:r>
      <w:proofErr w:type="gramStart"/>
      <w:r w:rsidRPr="00A477B1">
        <w:rPr>
          <w:rFonts w:ascii="Palatino Linotype" w:eastAsia="Palatino Linotype" w:hAnsi="Palatino Linotype" w:cs="Palatino Linotype"/>
          <w:i/>
          <w:sz w:val="22"/>
          <w:szCs w:val="22"/>
        </w:rPr>
        <w:t>que</w:t>
      </w:r>
      <w:proofErr w:type="gramEnd"/>
      <w:r w:rsidRPr="00A477B1">
        <w:rPr>
          <w:rFonts w:ascii="Palatino Linotype" w:eastAsia="Palatino Linotype" w:hAnsi="Palatino Linotype" w:cs="Palatino Linotype"/>
          <w:i/>
          <w:sz w:val="22"/>
          <w:szCs w:val="22"/>
        </w:rPr>
        <w:t xml:space="preserve"> en ejercicio de las atribuciones conferidas, sea generada por los Sujetos Obligados;</w:t>
      </w:r>
    </w:p>
    <w:p w14:paraId="2CF2A23B" w14:textId="77777777" w:rsidR="00B97FAB" w:rsidRPr="00A477B1" w:rsidRDefault="00B97FAB" w:rsidP="00B97FAB">
      <w:pPr>
        <w:spacing w:line="276" w:lineRule="auto"/>
        <w:ind w:left="567" w:right="616"/>
        <w:jc w:val="both"/>
        <w:rPr>
          <w:rFonts w:ascii="Palatino Linotype" w:eastAsia="Palatino Linotype" w:hAnsi="Palatino Linotype" w:cs="Palatino Linotype"/>
          <w:b/>
          <w:i/>
          <w:sz w:val="22"/>
          <w:szCs w:val="22"/>
        </w:rPr>
      </w:pPr>
      <w:r w:rsidRPr="00A477B1">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A477B1">
        <w:rPr>
          <w:rFonts w:ascii="Palatino Linotype" w:eastAsia="Palatino Linotype" w:hAnsi="Palatino Linotype" w:cs="Palatino Linotype"/>
          <w:b/>
          <w:i/>
          <w:sz w:val="22"/>
          <w:szCs w:val="22"/>
        </w:rPr>
        <w:t>que</w:t>
      </w:r>
      <w:proofErr w:type="gramEnd"/>
      <w:r w:rsidRPr="00A477B1">
        <w:rPr>
          <w:rFonts w:ascii="Palatino Linotype" w:eastAsia="Palatino Linotype" w:hAnsi="Palatino Linotype" w:cs="Palatino Linotype"/>
          <w:b/>
          <w:i/>
          <w:sz w:val="22"/>
          <w:szCs w:val="22"/>
        </w:rPr>
        <w:t xml:space="preserve"> en ejercicio de las atribuciones conferidas, sea administrada por los Sujetos Obligados, y</w:t>
      </w:r>
    </w:p>
    <w:p w14:paraId="7346783D" w14:textId="77777777" w:rsidR="00B97FAB" w:rsidRPr="00A477B1" w:rsidRDefault="00B97FAB" w:rsidP="00B97FAB">
      <w:pPr>
        <w:spacing w:line="276" w:lineRule="auto"/>
        <w:ind w:left="567" w:right="616"/>
        <w:jc w:val="both"/>
        <w:rPr>
          <w:rFonts w:ascii="Palatino Linotype" w:eastAsia="Palatino Linotype" w:hAnsi="Palatino Linotype" w:cs="Palatino Linotype"/>
          <w:b/>
          <w:i/>
          <w:sz w:val="22"/>
          <w:szCs w:val="22"/>
        </w:rPr>
      </w:pPr>
      <w:r w:rsidRPr="00A477B1">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A477B1">
        <w:rPr>
          <w:rFonts w:ascii="Palatino Linotype" w:eastAsia="Palatino Linotype" w:hAnsi="Palatino Linotype" w:cs="Palatino Linotype"/>
          <w:b/>
          <w:i/>
          <w:sz w:val="22"/>
          <w:szCs w:val="22"/>
        </w:rPr>
        <w:t>que</w:t>
      </w:r>
      <w:proofErr w:type="gramEnd"/>
      <w:r w:rsidRPr="00A477B1">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717FAEF3" w14:textId="77777777" w:rsidR="00B97FAB" w:rsidRPr="00A477B1" w:rsidRDefault="00B97FAB" w:rsidP="00B97FAB">
      <w:pPr>
        <w:spacing w:line="276" w:lineRule="auto"/>
        <w:ind w:left="567" w:right="616"/>
        <w:jc w:val="both"/>
        <w:rPr>
          <w:rFonts w:ascii="Palatino Linotype" w:eastAsia="Palatino Linotype" w:hAnsi="Palatino Linotype" w:cs="Palatino Linotype"/>
          <w:b/>
          <w:i/>
          <w:sz w:val="22"/>
          <w:szCs w:val="22"/>
        </w:rPr>
      </w:pPr>
    </w:p>
    <w:p w14:paraId="4A67849B" w14:textId="77777777" w:rsidR="00B97FAB" w:rsidRPr="00A477B1" w:rsidRDefault="00B97FAB" w:rsidP="00B97FAB">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De ahí que el </w:t>
      </w:r>
      <w:r w:rsidRPr="00A477B1">
        <w:rPr>
          <w:rFonts w:ascii="Palatino Linotype" w:eastAsia="Palatino Linotype" w:hAnsi="Palatino Linotype" w:cs="Palatino Linotype"/>
          <w:b/>
          <w:sz w:val="22"/>
          <w:szCs w:val="22"/>
        </w:rPr>
        <w:t>Sujeto Obligado</w:t>
      </w:r>
      <w:r w:rsidRPr="00A477B1">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w:t>
      </w:r>
      <w:r w:rsidRPr="00A477B1">
        <w:rPr>
          <w:rFonts w:ascii="Palatino Linotype" w:eastAsia="Palatino Linotype" w:hAnsi="Palatino Linotype" w:cs="Palatino Linotype"/>
          <w:sz w:val="22"/>
          <w:szCs w:val="22"/>
        </w:rPr>
        <w:lastRenderedPageBreak/>
        <w:t>sus facultades, atribuciones y obligaciones señaladas por la Ley en la materia</w:t>
      </w:r>
      <w:r w:rsidRPr="00A477B1">
        <w:rPr>
          <w:rFonts w:ascii="Palatino Linotype" w:eastAsia="Palatino Linotype" w:hAnsi="Palatino Linotype" w:cs="Palatino Linotype"/>
          <w:sz w:val="22"/>
          <w:szCs w:val="22"/>
          <w:vertAlign w:val="superscript"/>
        </w:rPr>
        <w:footnoteReference w:id="1"/>
      </w:r>
      <w:r w:rsidRPr="00A477B1">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A477B1">
        <w:rPr>
          <w:rFonts w:ascii="Palatino Linotype" w:eastAsia="Palatino Linotype" w:hAnsi="Palatino Linotype" w:cs="Palatino Linotype"/>
          <w:sz w:val="22"/>
          <w:szCs w:val="22"/>
          <w:vertAlign w:val="superscript"/>
        </w:rPr>
        <w:footnoteReference w:id="2"/>
      </w:r>
      <w:r w:rsidRPr="00A477B1">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0057108B" w14:textId="77777777" w:rsidR="00B97FAB" w:rsidRPr="00A477B1" w:rsidRDefault="00B97FAB" w:rsidP="00B97FAB">
      <w:pPr>
        <w:spacing w:line="360" w:lineRule="auto"/>
        <w:jc w:val="both"/>
        <w:rPr>
          <w:rFonts w:ascii="Palatino Linotype" w:eastAsia="Palatino Linotype" w:hAnsi="Palatino Linotype" w:cs="Palatino Linotype"/>
          <w:sz w:val="22"/>
          <w:szCs w:val="22"/>
        </w:rPr>
      </w:pPr>
    </w:p>
    <w:p w14:paraId="5E0433E1" w14:textId="183038A9" w:rsidR="00F12C46" w:rsidRPr="00A477B1" w:rsidRDefault="00B97FAB" w:rsidP="00B97FA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Para ello, conviene iniciar el presente estudio señalando que, </w:t>
      </w:r>
      <w:r w:rsidR="00095DD5" w:rsidRPr="00A477B1">
        <w:rPr>
          <w:rFonts w:ascii="Palatino Linotype" w:eastAsia="Palatino Linotype" w:hAnsi="Palatino Linotype" w:cs="Palatino Linotype"/>
          <w:sz w:val="22"/>
          <w:szCs w:val="22"/>
        </w:rPr>
        <w:t xml:space="preserve">del análisis de la solicitud de información motivo del recurso de revisión que ahora se resuelve, se advierte que la persona solicitante requirió al </w:t>
      </w:r>
      <w:r w:rsidR="00095DD5" w:rsidRPr="00A477B1">
        <w:rPr>
          <w:rFonts w:ascii="Palatino Linotype" w:eastAsia="Palatino Linotype" w:hAnsi="Palatino Linotype" w:cs="Palatino Linotype"/>
          <w:b/>
          <w:sz w:val="22"/>
          <w:szCs w:val="22"/>
        </w:rPr>
        <w:t xml:space="preserve">Sujeto Obligado, </w:t>
      </w:r>
      <w:r w:rsidR="00826F51" w:rsidRPr="00A477B1">
        <w:rPr>
          <w:rFonts w:ascii="Palatino Linotype" w:eastAsia="Palatino Linotype" w:hAnsi="Palatino Linotype" w:cs="Palatino Linotype"/>
          <w:b/>
          <w:sz w:val="22"/>
          <w:szCs w:val="22"/>
        </w:rPr>
        <w:t>respecto de</w:t>
      </w:r>
      <w:r w:rsidR="007571E3" w:rsidRPr="00A477B1">
        <w:rPr>
          <w:rFonts w:ascii="Palatino Linotype" w:eastAsia="Palatino Linotype" w:hAnsi="Palatino Linotype" w:cs="Palatino Linotype"/>
          <w:b/>
          <w:sz w:val="22"/>
          <w:szCs w:val="22"/>
        </w:rPr>
        <w:t xml:space="preserve"> un proyecto de </w:t>
      </w:r>
      <w:r w:rsidR="00826F51" w:rsidRPr="00A477B1">
        <w:rPr>
          <w:rFonts w:ascii="Palatino Linotype" w:eastAsia="Palatino Linotype" w:hAnsi="Palatino Linotype" w:cs="Palatino Linotype"/>
          <w:b/>
          <w:sz w:val="22"/>
          <w:szCs w:val="22"/>
        </w:rPr>
        <w:t xml:space="preserve">carriles de bicicletas </w:t>
      </w:r>
      <w:r w:rsidR="007571E3" w:rsidRPr="00A477B1">
        <w:rPr>
          <w:rFonts w:ascii="Palatino Linotype" w:eastAsia="Palatino Linotype" w:hAnsi="Palatino Linotype" w:cs="Palatino Linotype"/>
          <w:b/>
          <w:sz w:val="22"/>
          <w:szCs w:val="22"/>
        </w:rPr>
        <w:t>implementados</w:t>
      </w:r>
      <w:r w:rsidR="00826F51" w:rsidRPr="00A477B1">
        <w:rPr>
          <w:rFonts w:ascii="Palatino Linotype" w:eastAsia="Palatino Linotype" w:hAnsi="Palatino Linotype" w:cs="Palatino Linotype"/>
          <w:b/>
          <w:sz w:val="22"/>
          <w:szCs w:val="22"/>
        </w:rPr>
        <w:t xml:space="preserve"> en 2024 y 2025, </w:t>
      </w:r>
      <w:r w:rsidR="00095DD5" w:rsidRPr="00A477B1">
        <w:rPr>
          <w:rFonts w:ascii="Palatino Linotype" w:eastAsia="Palatino Linotype" w:hAnsi="Palatino Linotype" w:cs="Palatino Linotype"/>
          <w:sz w:val="22"/>
          <w:szCs w:val="22"/>
        </w:rPr>
        <w:t>medularmente lo siguiente:</w:t>
      </w:r>
    </w:p>
    <w:p w14:paraId="6247392B" w14:textId="77777777" w:rsidR="00F12C46" w:rsidRPr="00A477B1" w:rsidRDefault="00F12C46">
      <w:pPr>
        <w:spacing w:line="360" w:lineRule="auto"/>
        <w:jc w:val="both"/>
        <w:rPr>
          <w:rFonts w:ascii="Palatino Linotype" w:eastAsia="Palatino Linotype" w:hAnsi="Palatino Linotype" w:cs="Palatino Linotype"/>
          <w:sz w:val="22"/>
          <w:szCs w:val="22"/>
        </w:rPr>
      </w:pPr>
    </w:p>
    <w:p w14:paraId="4491F7F3" w14:textId="1C1AC86E" w:rsidR="00F12C46" w:rsidRPr="00A477B1" w:rsidRDefault="00826F51" w:rsidP="00826F51">
      <w:pPr>
        <w:numPr>
          <w:ilvl w:val="3"/>
          <w:numId w:val="2"/>
        </w:numPr>
        <w:pBdr>
          <w:top w:val="nil"/>
          <w:left w:val="nil"/>
          <w:bottom w:val="nil"/>
          <w:right w:val="nil"/>
          <w:between w:val="nil"/>
        </w:pBdr>
        <w:spacing w:line="276" w:lineRule="auto"/>
        <w:ind w:left="426" w:hanging="426"/>
        <w:jc w:val="both"/>
        <w:rPr>
          <w:rFonts w:ascii="Palatino Linotype" w:eastAsia="Palatino Linotype" w:hAnsi="Palatino Linotype" w:cs="Palatino Linotype"/>
          <w:b/>
          <w:sz w:val="22"/>
          <w:szCs w:val="22"/>
        </w:rPr>
      </w:pPr>
      <w:r w:rsidRPr="00A477B1">
        <w:rPr>
          <w:rFonts w:ascii="Palatino Linotype" w:eastAsia="Palatino Linotype" w:hAnsi="Palatino Linotype" w:cs="Palatino Linotype"/>
          <w:b/>
          <w:sz w:val="22"/>
          <w:szCs w:val="22"/>
        </w:rPr>
        <w:t>El expediente completo de dicho proyecto, que contenga entre otra información: proyectos ejecutivos, técnicos, de costos y/o de impacto; acuerdos, convenios y/o contratos; documentación relacionada con la suficiencia presupuestal, sobre el personal asignado y responsable del proyecto, etc.</w:t>
      </w:r>
    </w:p>
    <w:p w14:paraId="48A7CEE6" w14:textId="77777777" w:rsidR="00826F51" w:rsidRPr="00A477B1" w:rsidRDefault="00826F51" w:rsidP="00826F51">
      <w:pPr>
        <w:pBdr>
          <w:top w:val="nil"/>
          <w:left w:val="nil"/>
          <w:bottom w:val="nil"/>
          <w:right w:val="nil"/>
          <w:between w:val="nil"/>
        </w:pBdr>
        <w:spacing w:line="276" w:lineRule="auto"/>
        <w:ind w:left="426"/>
        <w:jc w:val="both"/>
        <w:rPr>
          <w:rFonts w:ascii="Palatino Linotype" w:eastAsia="Palatino Linotype" w:hAnsi="Palatino Linotype" w:cs="Palatino Linotype"/>
          <w:sz w:val="22"/>
          <w:szCs w:val="22"/>
        </w:rPr>
      </w:pPr>
    </w:p>
    <w:p w14:paraId="2EE1F095" w14:textId="234A1F6A" w:rsidR="00F12C46" w:rsidRPr="00A477B1" w:rsidRDefault="00095DD5">
      <w:pPr>
        <w:spacing w:line="360" w:lineRule="auto"/>
        <w:jc w:val="both"/>
        <w:rPr>
          <w:rFonts w:ascii="Palatino Linotype" w:eastAsia="Palatino Linotype" w:hAnsi="Palatino Linotype" w:cs="Palatino Linotype"/>
          <w:b/>
          <w:i/>
          <w:sz w:val="22"/>
          <w:szCs w:val="22"/>
        </w:rPr>
      </w:pPr>
      <w:r w:rsidRPr="00A477B1">
        <w:rPr>
          <w:rFonts w:ascii="Palatino Linotype" w:eastAsia="Palatino Linotype" w:hAnsi="Palatino Linotype" w:cs="Palatino Linotype"/>
          <w:sz w:val="22"/>
          <w:szCs w:val="22"/>
        </w:rPr>
        <w:t xml:space="preserve">En respuesta, el </w:t>
      </w:r>
      <w:r w:rsidRPr="00A477B1">
        <w:rPr>
          <w:rFonts w:ascii="Palatino Linotype" w:eastAsia="Palatino Linotype" w:hAnsi="Palatino Linotype" w:cs="Palatino Linotype"/>
          <w:b/>
          <w:sz w:val="22"/>
          <w:szCs w:val="22"/>
        </w:rPr>
        <w:t xml:space="preserve">Sujeto Obligado </w:t>
      </w:r>
      <w:r w:rsidR="00826F51" w:rsidRPr="00A477B1">
        <w:rPr>
          <w:rFonts w:ascii="Palatino Linotype" w:eastAsia="Palatino Linotype" w:hAnsi="Palatino Linotype" w:cs="Palatino Linotype"/>
          <w:sz w:val="22"/>
          <w:szCs w:val="22"/>
        </w:rPr>
        <w:t xml:space="preserve">se pronunció por conducto del </w:t>
      </w:r>
      <w:r w:rsidR="00826F51" w:rsidRPr="00A477B1">
        <w:rPr>
          <w:rFonts w:ascii="Palatino Linotype" w:eastAsia="Palatino Linotype" w:hAnsi="Palatino Linotype" w:cs="Palatino Linotype"/>
          <w:b/>
          <w:sz w:val="22"/>
          <w:szCs w:val="22"/>
        </w:rPr>
        <w:t xml:space="preserve">Director General de Innovación, Planeación y Gestión Urbana, Director General de Obras Públicas, Director de Sustentabilidad Vial, Tesorero Municipal, Director General de Servicios Públicos, Coordinador de Estudios y Reglamentación Municipal, Jefa de Departamento de Cambio Climático y Movilidad Alternativa, Dirección General de Administración, Dirección </w:t>
      </w:r>
      <w:r w:rsidR="00826F51" w:rsidRPr="00A477B1">
        <w:rPr>
          <w:rFonts w:ascii="Palatino Linotype" w:eastAsia="Palatino Linotype" w:hAnsi="Palatino Linotype" w:cs="Palatino Linotype"/>
          <w:b/>
          <w:sz w:val="22"/>
          <w:szCs w:val="22"/>
        </w:rPr>
        <w:lastRenderedPageBreak/>
        <w:t>General de Gobierno y la Dirección General de Educación, Cultura y Turismo</w:t>
      </w:r>
      <w:r w:rsidR="00826F51" w:rsidRPr="00A477B1">
        <w:rPr>
          <w:rFonts w:ascii="Palatino Linotype" w:eastAsia="Palatino Linotype" w:hAnsi="Palatino Linotype" w:cs="Palatino Linotype"/>
          <w:sz w:val="22"/>
          <w:szCs w:val="22"/>
        </w:rPr>
        <w:t>, quienes</w:t>
      </w:r>
      <w:r w:rsidR="00D11C6D" w:rsidRPr="00A477B1">
        <w:rPr>
          <w:rFonts w:ascii="Palatino Linotype" w:eastAsia="Palatino Linotype" w:hAnsi="Palatino Linotype" w:cs="Palatino Linotype"/>
          <w:sz w:val="22"/>
          <w:szCs w:val="22"/>
        </w:rPr>
        <w:t xml:space="preserve"> </w:t>
      </w:r>
      <w:r w:rsidR="007C5A41" w:rsidRPr="00A477B1">
        <w:rPr>
          <w:rFonts w:ascii="Palatino Linotype" w:eastAsia="Palatino Linotype" w:hAnsi="Palatino Linotype" w:cs="Palatino Linotype"/>
          <w:sz w:val="22"/>
          <w:szCs w:val="22"/>
        </w:rPr>
        <w:t xml:space="preserve">en términos generales refirieron no contar con la información solicitada, al no haber sido generada, poseída o administrada, o bien, al no encontrarse dentro de sus atribuciones, ya que la dependencia encargada del proyecto es la Secretaría de Movilidad del Estado de México. </w:t>
      </w:r>
    </w:p>
    <w:p w14:paraId="2CD74CA9" w14:textId="77777777" w:rsidR="00F12C46" w:rsidRPr="00A477B1" w:rsidRDefault="00F12C46">
      <w:pPr>
        <w:spacing w:line="360" w:lineRule="auto"/>
        <w:jc w:val="both"/>
        <w:rPr>
          <w:rFonts w:ascii="Palatino Linotype" w:eastAsia="Palatino Linotype" w:hAnsi="Palatino Linotype" w:cs="Palatino Linotype"/>
          <w:sz w:val="22"/>
          <w:szCs w:val="22"/>
        </w:rPr>
      </w:pPr>
    </w:p>
    <w:p w14:paraId="1157729C" w14:textId="3E856D6E" w:rsidR="00F12C46" w:rsidRPr="00A477B1" w:rsidRDefault="00095DD5">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Conocida la respuesta por la parte </w:t>
      </w:r>
      <w:r w:rsidRPr="00A477B1">
        <w:rPr>
          <w:rFonts w:ascii="Palatino Linotype" w:eastAsia="Palatino Linotype" w:hAnsi="Palatino Linotype" w:cs="Palatino Linotype"/>
          <w:b/>
          <w:sz w:val="22"/>
          <w:szCs w:val="22"/>
        </w:rPr>
        <w:t>Recurrente,</w:t>
      </w:r>
      <w:r w:rsidRPr="00A477B1">
        <w:rPr>
          <w:rFonts w:ascii="Palatino Linotype" w:eastAsia="Palatino Linotype" w:hAnsi="Palatino Linotype" w:cs="Palatino Linotype"/>
          <w:sz w:val="22"/>
          <w:szCs w:val="22"/>
        </w:rPr>
        <w:t xml:space="preserve"> al no estar conforme con los términos de </w:t>
      </w:r>
      <w:proofErr w:type="gramStart"/>
      <w:r w:rsidRPr="00A477B1">
        <w:rPr>
          <w:rFonts w:ascii="Palatino Linotype" w:eastAsia="Palatino Linotype" w:hAnsi="Palatino Linotype" w:cs="Palatino Linotype"/>
          <w:sz w:val="22"/>
          <w:szCs w:val="22"/>
        </w:rPr>
        <w:t>la misma</w:t>
      </w:r>
      <w:proofErr w:type="gramEnd"/>
      <w:r w:rsidRPr="00A477B1">
        <w:rPr>
          <w:rFonts w:ascii="Palatino Linotype" w:eastAsia="Palatino Linotype" w:hAnsi="Palatino Linotype" w:cs="Palatino Linotype"/>
          <w:sz w:val="22"/>
          <w:szCs w:val="22"/>
        </w:rPr>
        <w:t xml:space="preserve">, presentó el recurso de revisión que nos ocupa, señalando como </w:t>
      </w:r>
      <w:r w:rsidRPr="00A477B1">
        <w:rPr>
          <w:rFonts w:ascii="Palatino Linotype" w:eastAsia="Palatino Linotype" w:hAnsi="Palatino Linotype" w:cs="Palatino Linotype"/>
          <w:b/>
          <w:sz w:val="22"/>
          <w:szCs w:val="22"/>
          <w:u w:val="single"/>
        </w:rPr>
        <w:t>acto impugnado</w:t>
      </w:r>
      <w:r w:rsidR="00D11C6D" w:rsidRPr="00A477B1">
        <w:rPr>
          <w:rFonts w:ascii="Palatino Linotype" w:eastAsia="Palatino Linotype" w:hAnsi="Palatino Linotype" w:cs="Palatino Linotype"/>
          <w:sz w:val="22"/>
          <w:szCs w:val="22"/>
        </w:rPr>
        <w:t xml:space="preserve">, así como </w:t>
      </w:r>
      <w:r w:rsidR="00737BC1" w:rsidRPr="00A477B1">
        <w:rPr>
          <w:rFonts w:ascii="Palatino Linotype" w:eastAsia="Palatino Linotype" w:hAnsi="Palatino Linotype" w:cs="Palatino Linotype"/>
          <w:sz w:val="22"/>
          <w:szCs w:val="22"/>
        </w:rPr>
        <w:t xml:space="preserve">sus </w:t>
      </w:r>
      <w:r w:rsidR="00737BC1" w:rsidRPr="00A477B1">
        <w:rPr>
          <w:rFonts w:ascii="Palatino Linotype" w:eastAsia="Palatino Linotype" w:hAnsi="Palatino Linotype" w:cs="Palatino Linotype"/>
          <w:b/>
          <w:sz w:val="22"/>
          <w:szCs w:val="22"/>
          <w:u w:val="single"/>
        </w:rPr>
        <w:t>razones o</w:t>
      </w:r>
      <w:r w:rsidR="00737BC1" w:rsidRPr="00A477B1">
        <w:rPr>
          <w:rFonts w:ascii="Palatino Linotype" w:eastAsia="Palatino Linotype" w:hAnsi="Palatino Linotype" w:cs="Palatino Linotype"/>
          <w:sz w:val="22"/>
          <w:szCs w:val="22"/>
          <w:u w:val="single"/>
        </w:rPr>
        <w:t xml:space="preserve"> </w:t>
      </w:r>
      <w:r w:rsidRPr="00A477B1">
        <w:rPr>
          <w:rFonts w:ascii="Palatino Linotype" w:eastAsia="Palatino Linotype" w:hAnsi="Palatino Linotype" w:cs="Palatino Linotype"/>
          <w:b/>
          <w:sz w:val="22"/>
          <w:szCs w:val="22"/>
          <w:u w:val="single"/>
        </w:rPr>
        <w:t>motivos de inconformidad</w:t>
      </w:r>
      <w:r w:rsidRPr="00A477B1">
        <w:rPr>
          <w:rFonts w:ascii="Palatino Linotype" w:eastAsia="Palatino Linotype" w:hAnsi="Palatino Linotype" w:cs="Palatino Linotype"/>
          <w:sz w:val="22"/>
          <w:szCs w:val="22"/>
        </w:rPr>
        <w:t xml:space="preserve"> lo siguiente: “</w:t>
      </w:r>
      <w:r w:rsidR="00737BC1" w:rsidRPr="00A477B1">
        <w:rPr>
          <w:rFonts w:ascii="Palatino Linotype" w:eastAsia="Palatino Linotype" w:hAnsi="Palatino Linotype" w:cs="Palatino Linotype"/>
          <w:b/>
          <w:i/>
          <w:sz w:val="22"/>
          <w:szCs w:val="22"/>
        </w:rPr>
        <w:t>La entrega de la información incompleta</w:t>
      </w:r>
      <w:r w:rsidRPr="00A477B1">
        <w:rPr>
          <w:rFonts w:ascii="Palatino Linotype" w:eastAsia="Palatino Linotype" w:hAnsi="Palatino Linotype" w:cs="Palatino Linotype"/>
          <w:i/>
          <w:sz w:val="22"/>
          <w:szCs w:val="22"/>
        </w:rPr>
        <w:t>” (Sic)</w:t>
      </w:r>
    </w:p>
    <w:p w14:paraId="62D47800" w14:textId="77777777" w:rsidR="00F12C46" w:rsidRPr="00A477B1" w:rsidRDefault="00F12C46">
      <w:pPr>
        <w:spacing w:line="360" w:lineRule="auto"/>
        <w:jc w:val="both"/>
        <w:rPr>
          <w:rFonts w:ascii="Palatino Linotype" w:eastAsia="Palatino Linotype" w:hAnsi="Palatino Linotype" w:cs="Palatino Linotype"/>
          <w:sz w:val="22"/>
          <w:szCs w:val="22"/>
        </w:rPr>
      </w:pPr>
    </w:p>
    <w:p w14:paraId="0C0C9416" w14:textId="112A1B8F" w:rsidR="00F12C46" w:rsidRPr="00A477B1" w:rsidRDefault="009A44A8">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Por lo que atendiendo que la parte </w:t>
      </w:r>
      <w:r w:rsidRPr="00A477B1">
        <w:rPr>
          <w:rFonts w:ascii="Palatino Linotype" w:eastAsia="Palatino Linotype" w:hAnsi="Palatino Linotype" w:cs="Palatino Linotype"/>
          <w:b/>
          <w:sz w:val="22"/>
          <w:szCs w:val="22"/>
        </w:rPr>
        <w:t>Recurrente</w:t>
      </w:r>
      <w:r w:rsidRPr="00A477B1">
        <w:rPr>
          <w:rFonts w:ascii="Palatino Linotype" w:eastAsia="Palatino Linotype" w:hAnsi="Palatino Linotype" w:cs="Palatino Linotype"/>
          <w:sz w:val="22"/>
          <w:szCs w:val="22"/>
        </w:rPr>
        <w:t xml:space="preserve"> promueve el presente medio de impugnación, bajo la causal prevista en el artículo 179 fracción V de la Ley de Transparencia Local, es que se procedió a su admisión </w:t>
      </w:r>
      <w:r w:rsidR="00095DD5" w:rsidRPr="00A477B1">
        <w:rPr>
          <w:rFonts w:ascii="Palatino Linotype" w:eastAsia="Palatino Linotype" w:hAnsi="Palatino Linotype" w:cs="Palatino Linotype"/>
          <w:sz w:val="22"/>
          <w:szCs w:val="22"/>
        </w:rPr>
        <w:t>en términos del artículo 185 fracción II</w:t>
      </w:r>
      <w:r w:rsidR="00095DD5" w:rsidRPr="00A477B1">
        <w:rPr>
          <w:rFonts w:ascii="Palatino Linotype" w:eastAsia="Palatino Linotype" w:hAnsi="Palatino Linotype" w:cs="Palatino Linotype"/>
          <w:sz w:val="22"/>
          <w:szCs w:val="22"/>
          <w:vertAlign w:val="superscript"/>
        </w:rPr>
        <w:footnoteReference w:id="3"/>
      </w:r>
      <w:r w:rsidR="00095DD5" w:rsidRPr="00A477B1">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5999BBAD" w14:textId="77777777" w:rsidR="00F12C46" w:rsidRPr="00A477B1" w:rsidRDefault="00F12C46">
      <w:pPr>
        <w:spacing w:line="360" w:lineRule="auto"/>
        <w:ind w:right="-7"/>
        <w:jc w:val="both"/>
        <w:rPr>
          <w:rFonts w:ascii="Palatino Linotype" w:eastAsia="Palatino Linotype" w:hAnsi="Palatino Linotype" w:cs="Palatino Linotype"/>
          <w:sz w:val="22"/>
          <w:szCs w:val="22"/>
        </w:rPr>
      </w:pPr>
    </w:p>
    <w:p w14:paraId="79C1B1B6" w14:textId="77777777" w:rsidR="00F12C46" w:rsidRPr="00A477B1" w:rsidRDefault="00095DD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Cabe resaltar que durante la etapa de manifestaciones la parte </w:t>
      </w:r>
      <w:r w:rsidRPr="00A477B1">
        <w:rPr>
          <w:rFonts w:ascii="Palatino Linotype" w:eastAsia="Palatino Linotype" w:hAnsi="Palatino Linotype" w:cs="Palatino Linotype"/>
          <w:b/>
          <w:sz w:val="22"/>
          <w:szCs w:val="22"/>
        </w:rPr>
        <w:t xml:space="preserve">Recurrente </w:t>
      </w:r>
      <w:r w:rsidRPr="00A477B1">
        <w:rPr>
          <w:rFonts w:ascii="Palatino Linotype" w:eastAsia="Palatino Linotype" w:hAnsi="Palatino Linotype" w:cs="Palatino Linotype"/>
          <w:sz w:val="22"/>
          <w:szCs w:val="22"/>
        </w:rPr>
        <w:t xml:space="preserve">fue omisa de rendir alegatos, por lo que respecta al </w:t>
      </w:r>
      <w:r w:rsidRPr="00A477B1">
        <w:rPr>
          <w:rFonts w:ascii="Palatino Linotype" w:eastAsia="Palatino Linotype" w:hAnsi="Palatino Linotype" w:cs="Palatino Linotype"/>
          <w:b/>
          <w:sz w:val="22"/>
          <w:szCs w:val="22"/>
        </w:rPr>
        <w:t>Sujeto Obligado</w:t>
      </w:r>
      <w:r w:rsidRPr="00A477B1">
        <w:rPr>
          <w:rFonts w:ascii="Palatino Linotype" w:eastAsia="Palatino Linotype" w:hAnsi="Palatino Linotype" w:cs="Palatino Linotype"/>
          <w:sz w:val="22"/>
          <w:szCs w:val="22"/>
        </w:rPr>
        <w:t xml:space="preserve"> este rindió su informe justificado ratificando la respuesta inicial.</w:t>
      </w:r>
    </w:p>
    <w:p w14:paraId="3FAB6713" w14:textId="77777777" w:rsidR="007571E3" w:rsidRPr="00A477B1" w:rsidRDefault="007571E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C20AF9F" w14:textId="3098A852" w:rsidR="009A44A8" w:rsidRPr="00A477B1" w:rsidRDefault="009A44A8" w:rsidP="007571E3">
      <w:pPr>
        <w:widowControl w:val="0"/>
        <w:spacing w:line="360" w:lineRule="auto"/>
        <w:ind w:right="49"/>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Expuestas las posturas de las partes y toda vez que </w:t>
      </w:r>
      <w:r w:rsidR="007571E3" w:rsidRPr="00A477B1">
        <w:rPr>
          <w:rFonts w:ascii="Palatino Linotype" w:eastAsia="Palatino Linotype" w:hAnsi="Palatino Linotype" w:cs="Palatino Linotype"/>
          <w:sz w:val="22"/>
          <w:szCs w:val="22"/>
        </w:rPr>
        <w:t>del análisis a</w:t>
      </w:r>
      <w:r w:rsidRPr="00A477B1">
        <w:rPr>
          <w:rFonts w:ascii="Palatino Linotype" w:eastAsia="Palatino Linotype" w:hAnsi="Palatino Linotype" w:cs="Palatino Linotype"/>
          <w:sz w:val="22"/>
          <w:szCs w:val="22"/>
        </w:rPr>
        <w:t xml:space="preserve"> las constancias que obran en el expediente electrónico en que se actúa, se desprende que el </w:t>
      </w:r>
      <w:r w:rsidRPr="00A477B1">
        <w:rPr>
          <w:rFonts w:ascii="Palatino Linotype" w:eastAsia="Palatino Linotype" w:hAnsi="Palatino Linotype" w:cs="Palatino Linotype"/>
          <w:b/>
          <w:sz w:val="22"/>
          <w:szCs w:val="22"/>
        </w:rPr>
        <w:t xml:space="preserve">Sujeto Obligado </w:t>
      </w:r>
      <w:r w:rsidRPr="00A477B1">
        <w:rPr>
          <w:rFonts w:ascii="Palatino Linotype" w:eastAsia="Palatino Linotype" w:hAnsi="Palatino Linotype" w:cs="Palatino Linotype"/>
          <w:sz w:val="22"/>
          <w:szCs w:val="22"/>
        </w:rPr>
        <w:t xml:space="preserve">medularmente </w:t>
      </w:r>
      <w:r w:rsidRPr="00A477B1">
        <w:rPr>
          <w:rFonts w:ascii="Palatino Linotype" w:eastAsia="Palatino Linotype" w:hAnsi="Palatino Linotype" w:cs="Palatino Linotype"/>
          <w:sz w:val="22"/>
          <w:szCs w:val="22"/>
        </w:rPr>
        <w:lastRenderedPageBreak/>
        <w:t>hace valer su incompetencia para conocer de la información relacionada con el proyecto referido por el particular, por ser el mismo de carácter estatal y la información obra en poder de la Secretaría de</w:t>
      </w:r>
      <w:r w:rsidR="00C60056" w:rsidRPr="00A477B1">
        <w:rPr>
          <w:rFonts w:ascii="Palatino Linotype" w:eastAsia="Palatino Linotype" w:hAnsi="Palatino Linotype" w:cs="Palatino Linotype"/>
          <w:sz w:val="22"/>
          <w:szCs w:val="22"/>
        </w:rPr>
        <w:t xml:space="preserve"> Movilidad del Estado de México; por lo que, resulta necesario</w:t>
      </w:r>
      <w:r w:rsidRPr="00A477B1">
        <w:rPr>
          <w:rFonts w:ascii="Palatino Linotype" w:eastAsia="Palatino Linotype" w:hAnsi="Palatino Linotype" w:cs="Palatino Linotype"/>
          <w:sz w:val="22"/>
          <w:szCs w:val="22"/>
        </w:rPr>
        <w:t xml:space="preserve"> realizar las siguientes precisiones:</w:t>
      </w:r>
    </w:p>
    <w:p w14:paraId="1A7830E3" w14:textId="77777777" w:rsidR="009A44A8" w:rsidRPr="00A477B1" w:rsidRDefault="009A44A8" w:rsidP="007571E3">
      <w:pPr>
        <w:widowControl w:val="0"/>
        <w:spacing w:line="360" w:lineRule="auto"/>
        <w:ind w:right="49"/>
        <w:jc w:val="both"/>
        <w:rPr>
          <w:rFonts w:ascii="Palatino Linotype" w:eastAsia="Palatino Linotype" w:hAnsi="Palatino Linotype" w:cs="Palatino Linotype"/>
          <w:sz w:val="22"/>
          <w:szCs w:val="22"/>
        </w:rPr>
      </w:pPr>
    </w:p>
    <w:p w14:paraId="6B7E1080" w14:textId="70AD2F6F" w:rsidR="00C60056" w:rsidRPr="00A477B1" w:rsidRDefault="00C60056" w:rsidP="007571E3">
      <w:pPr>
        <w:widowControl w:val="0"/>
        <w:spacing w:line="360" w:lineRule="auto"/>
        <w:ind w:right="49"/>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De conformidad con el artículo 15 fracción V del </w:t>
      </w:r>
      <w:r w:rsidRPr="00A477B1">
        <w:rPr>
          <w:rFonts w:ascii="Palatino Linotype" w:eastAsia="Palatino Linotype" w:hAnsi="Palatino Linotype" w:cs="Palatino Linotype"/>
          <w:b/>
          <w:sz w:val="22"/>
          <w:szCs w:val="22"/>
        </w:rPr>
        <w:t xml:space="preserve">Reglamento Interior de la Secretaría de Movilidad vigente, dicha dependencia, </w:t>
      </w:r>
      <w:r w:rsidRPr="00A477B1">
        <w:rPr>
          <w:rFonts w:ascii="Palatino Linotype" w:eastAsia="Palatino Linotype" w:hAnsi="Palatino Linotype" w:cs="Palatino Linotype"/>
          <w:sz w:val="22"/>
          <w:szCs w:val="22"/>
        </w:rPr>
        <w:t xml:space="preserve">por conducto de su </w:t>
      </w:r>
      <w:r w:rsidRPr="00A477B1">
        <w:rPr>
          <w:rFonts w:ascii="Palatino Linotype" w:eastAsia="Palatino Linotype" w:hAnsi="Palatino Linotype" w:cs="Palatino Linotype"/>
          <w:b/>
          <w:sz w:val="22"/>
          <w:szCs w:val="22"/>
        </w:rPr>
        <w:t>Dirección General de Vialidad</w:t>
      </w:r>
      <w:r w:rsidRPr="00A477B1">
        <w:rPr>
          <w:rFonts w:ascii="Palatino Linotype" w:eastAsia="Palatino Linotype" w:hAnsi="Palatino Linotype" w:cs="Palatino Linotype"/>
          <w:sz w:val="22"/>
          <w:szCs w:val="22"/>
        </w:rPr>
        <w:t xml:space="preserve"> tiene dentro de sus atribuciones </w:t>
      </w:r>
      <w:r w:rsidRPr="00A477B1">
        <w:rPr>
          <w:rFonts w:ascii="Palatino Linotype" w:eastAsia="Palatino Linotype" w:hAnsi="Palatino Linotype" w:cs="Palatino Linotype"/>
          <w:b/>
          <w:sz w:val="22"/>
          <w:szCs w:val="22"/>
        </w:rPr>
        <w:t>promover la creación de vías ciclistas, bici estacionamientos y sistema de bicicletas compartidas, en coordinación con las autoridades</w:t>
      </w:r>
      <w:r w:rsidRPr="00A477B1">
        <w:rPr>
          <w:rFonts w:ascii="Palatino Linotype" w:eastAsia="Palatino Linotype" w:hAnsi="Palatino Linotype" w:cs="Palatino Linotype"/>
          <w:sz w:val="22"/>
          <w:szCs w:val="22"/>
        </w:rPr>
        <w:t xml:space="preserve"> estatales y </w:t>
      </w:r>
      <w:r w:rsidRPr="00A477B1">
        <w:rPr>
          <w:rFonts w:ascii="Palatino Linotype" w:eastAsia="Palatino Linotype" w:hAnsi="Palatino Linotype" w:cs="Palatino Linotype"/>
          <w:b/>
          <w:sz w:val="22"/>
          <w:szCs w:val="22"/>
          <w:u w:val="single"/>
        </w:rPr>
        <w:t>municipales</w:t>
      </w:r>
      <w:r w:rsidRPr="00A477B1">
        <w:rPr>
          <w:rFonts w:ascii="Palatino Linotype" w:eastAsia="Palatino Linotype" w:hAnsi="Palatino Linotype" w:cs="Palatino Linotype"/>
          <w:sz w:val="22"/>
          <w:szCs w:val="22"/>
        </w:rPr>
        <w:t>, como se muestra:</w:t>
      </w:r>
    </w:p>
    <w:p w14:paraId="3F01B920" w14:textId="77777777" w:rsidR="00C60056" w:rsidRPr="00A477B1" w:rsidRDefault="00C60056" w:rsidP="007571E3">
      <w:pPr>
        <w:widowControl w:val="0"/>
        <w:spacing w:line="360" w:lineRule="auto"/>
        <w:ind w:right="49"/>
        <w:jc w:val="both"/>
        <w:rPr>
          <w:rFonts w:ascii="Palatino Linotype" w:eastAsia="Palatino Linotype" w:hAnsi="Palatino Linotype" w:cs="Palatino Linotype"/>
          <w:sz w:val="22"/>
          <w:szCs w:val="22"/>
        </w:rPr>
      </w:pPr>
    </w:p>
    <w:p w14:paraId="2409F731" w14:textId="64B5E9CE" w:rsidR="00C60056" w:rsidRPr="00A477B1" w:rsidRDefault="00C60056" w:rsidP="00C60056">
      <w:pPr>
        <w:widowControl w:val="0"/>
        <w:ind w:left="567" w:right="560"/>
        <w:jc w:val="both"/>
        <w:rPr>
          <w:rFonts w:ascii="Palatino Linotype" w:eastAsia="Palatino Linotype" w:hAnsi="Palatino Linotype" w:cs="Palatino Linotype"/>
          <w:i/>
          <w:sz w:val="22"/>
          <w:szCs w:val="22"/>
        </w:rPr>
      </w:pPr>
      <w:r w:rsidRPr="00A477B1">
        <w:rPr>
          <w:rFonts w:ascii="Palatino Linotype" w:eastAsia="Palatino Linotype" w:hAnsi="Palatino Linotype" w:cs="Palatino Linotype"/>
          <w:i/>
          <w:sz w:val="22"/>
          <w:szCs w:val="22"/>
        </w:rPr>
        <w:t xml:space="preserve">“Artículo 15. Corresponden a la Dirección General de Vialidad las siguientes atribuciones: </w:t>
      </w:r>
    </w:p>
    <w:p w14:paraId="601D4AB0" w14:textId="79F5BA15" w:rsidR="00C60056" w:rsidRPr="00A477B1" w:rsidRDefault="00C60056" w:rsidP="00C60056">
      <w:pPr>
        <w:widowControl w:val="0"/>
        <w:ind w:left="567" w:right="560"/>
        <w:jc w:val="both"/>
        <w:rPr>
          <w:rFonts w:ascii="Palatino Linotype" w:eastAsia="Palatino Linotype" w:hAnsi="Palatino Linotype" w:cs="Palatino Linotype"/>
          <w:i/>
          <w:sz w:val="22"/>
          <w:szCs w:val="22"/>
        </w:rPr>
      </w:pPr>
      <w:r w:rsidRPr="00A477B1">
        <w:rPr>
          <w:rFonts w:ascii="Palatino Linotype" w:eastAsia="Palatino Linotype" w:hAnsi="Palatino Linotype" w:cs="Palatino Linotype"/>
          <w:i/>
          <w:sz w:val="22"/>
          <w:szCs w:val="22"/>
        </w:rPr>
        <w:t>[…]</w:t>
      </w:r>
    </w:p>
    <w:p w14:paraId="4027C795" w14:textId="43C4C366" w:rsidR="00C60056" w:rsidRPr="00A477B1" w:rsidRDefault="00C60056" w:rsidP="00C60056">
      <w:pPr>
        <w:widowControl w:val="0"/>
        <w:ind w:left="567" w:right="560"/>
        <w:jc w:val="both"/>
        <w:rPr>
          <w:rFonts w:ascii="Palatino Linotype" w:eastAsia="Palatino Linotype" w:hAnsi="Palatino Linotype" w:cs="Palatino Linotype"/>
          <w:i/>
          <w:sz w:val="22"/>
          <w:szCs w:val="22"/>
        </w:rPr>
      </w:pPr>
      <w:r w:rsidRPr="00A477B1">
        <w:rPr>
          <w:rFonts w:ascii="Palatino Linotype" w:eastAsia="Palatino Linotype" w:hAnsi="Palatino Linotype" w:cs="Palatino Linotype"/>
          <w:b/>
          <w:i/>
          <w:sz w:val="22"/>
          <w:szCs w:val="22"/>
        </w:rPr>
        <w:t>V. Promover la creación de vías ciclistas, bici estacionamientos y sistema de bicicletas compartidas, en coordinación con las autoridades estatales y municipales</w:t>
      </w:r>
      <w:r w:rsidRPr="00A477B1">
        <w:rPr>
          <w:rFonts w:ascii="Palatino Linotype" w:eastAsia="Palatino Linotype" w:hAnsi="Palatino Linotype" w:cs="Palatino Linotype"/>
          <w:i/>
          <w:sz w:val="22"/>
          <w:szCs w:val="22"/>
        </w:rPr>
        <w:t xml:space="preserve">, y demás autoridades que por su naturaleza jurídica le permita, de conformidad con lo establecido en la Ley de Movilidad y Seguridad Vial del Estado de México y sus </w:t>
      </w:r>
      <w:proofErr w:type="gramStart"/>
      <w:r w:rsidRPr="00A477B1">
        <w:rPr>
          <w:rFonts w:ascii="Palatino Linotype" w:eastAsia="Palatino Linotype" w:hAnsi="Palatino Linotype" w:cs="Palatino Linotype"/>
          <w:i/>
          <w:sz w:val="22"/>
          <w:szCs w:val="22"/>
        </w:rPr>
        <w:t>Municipios;[</w:t>
      </w:r>
      <w:proofErr w:type="gramEnd"/>
      <w:r w:rsidRPr="00A477B1">
        <w:rPr>
          <w:rFonts w:ascii="Palatino Linotype" w:eastAsia="Palatino Linotype" w:hAnsi="Palatino Linotype" w:cs="Palatino Linotype"/>
          <w:i/>
          <w:sz w:val="22"/>
          <w:szCs w:val="22"/>
        </w:rPr>
        <w:t>…]”</w:t>
      </w:r>
    </w:p>
    <w:p w14:paraId="6E88E9A2" w14:textId="77777777" w:rsidR="00C60056" w:rsidRPr="00A477B1" w:rsidRDefault="00C60056" w:rsidP="00C60056">
      <w:pPr>
        <w:widowControl w:val="0"/>
        <w:ind w:left="567" w:right="560"/>
        <w:jc w:val="both"/>
        <w:rPr>
          <w:rFonts w:ascii="Palatino Linotype" w:eastAsia="Palatino Linotype" w:hAnsi="Palatino Linotype" w:cs="Palatino Linotype"/>
          <w:i/>
          <w:sz w:val="22"/>
          <w:szCs w:val="22"/>
        </w:rPr>
      </w:pPr>
    </w:p>
    <w:p w14:paraId="1577D3EE" w14:textId="3AFC5BBE" w:rsidR="00C60056" w:rsidRPr="00A477B1" w:rsidRDefault="00C60056" w:rsidP="00C60056">
      <w:pPr>
        <w:widowControl w:val="0"/>
        <w:ind w:left="567" w:right="560"/>
        <w:jc w:val="right"/>
        <w:rPr>
          <w:rFonts w:ascii="Palatino Linotype" w:eastAsia="Palatino Linotype" w:hAnsi="Palatino Linotype" w:cs="Palatino Linotype"/>
          <w:i/>
          <w:sz w:val="22"/>
          <w:szCs w:val="22"/>
        </w:rPr>
      </w:pPr>
      <w:r w:rsidRPr="00A477B1">
        <w:rPr>
          <w:rFonts w:ascii="Palatino Linotype" w:eastAsia="Palatino Linotype" w:hAnsi="Palatino Linotype" w:cs="Palatino Linotype"/>
          <w:i/>
          <w:sz w:val="22"/>
          <w:szCs w:val="22"/>
        </w:rPr>
        <w:t>(Énfasis añadido)</w:t>
      </w:r>
    </w:p>
    <w:p w14:paraId="5E4BFFF9" w14:textId="77777777" w:rsidR="00C60056" w:rsidRPr="00A477B1" w:rsidRDefault="00C60056" w:rsidP="007571E3">
      <w:pPr>
        <w:widowControl w:val="0"/>
        <w:spacing w:line="360" w:lineRule="auto"/>
        <w:ind w:right="49"/>
        <w:jc w:val="both"/>
        <w:rPr>
          <w:rFonts w:ascii="Palatino Linotype" w:eastAsia="Palatino Linotype" w:hAnsi="Palatino Linotype" w:cs="Palatino Linotype"/>
          <w:sz w:val="22"/>
          <w:szCs w:val="22"/>
        </w:rPr>
      </w:pPr>
    </w:p>
    <w:p w14:paraId="24A7EEDE" w14:textId="752D3296" w:rsidR="00C60056" w:rsidRPr="00A477B1" w:rsidRDefault="00D61612" w:rsidP="007571E3">
      <w:pPr>
        <w:widowControl w:val="0"/>
        <w:spacing w:line="360" w:lineRule="auto"/>
        <w:ind w:right="49"/>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En ese sentido, se advierte que es una atribución de la Secretaría de Movilidad el promover la creación de </w:t>
      </w:r>
      <w:r w:rsidR="00F4325E" w:rsidRPr="00A477B1">
        <w:rPr>
          <w:rFonts w:ascii="Palatino Linotype" w:eastAsia="Palatino Linotype" w:hAnsi="Palatino Linotype" w:cs="Palatino Linotype"/>
          <w:sz w:val="22"/>
          <w:szCs w:val="22"/>
        </w:rPr>
        <w:t>ciclo vías</w:t>
      </w:r>
      <w:r w:rsidRPr="00A477B1">
        <w:rPr>
          <w:rFonts w:ascii="Palatino Linotype" w:eastAsia="Palatino Linotype" w:hAnsi="Palatino Linotype" w:cs="Palatino Linotype"/>
          <w:sz w:val="22"/>
          <w:szCs w:val="22"/>
        </w:rPr>
        <w:t xml:space="preserve"> en coordinación con las autoridades estatales y municipales donde se implementará el proyecto.</w:t>
      </w:r>
    </w:p>
    <w:p w14:paraId="7CEA7925" w14:textId="298D1945" w:rsidR="00D61612" w:rsidRPr="00A477B1" w:rsidRDefault="00D61612" w:rsidP="007571E3">
      <w:pPr>
        <w:widowControl w:val="0"/>
        <w:spacing w:line="360" w:lineRule="auto"/>
        <w:ind w:right="49"/>
        <w:jc w:val="both"/>
        <w:rPr>
          <w:rFonts w:ascii="Palatino Linotype" w:eastAsia="Palatino Linotype" w:hAnsi="Palatino Linotype" w:cs="Palatino Linotype"/>
          <w:sz w:val="22"/>
          <w:szCs w:val="22"/>
        </w:rPr>
      </w:pPr>
    </w:p>
    <w:p w14:paraId="250F4588" w14:textId="57484C41" w:rsidR="00D61612" w:rsidRPr="00A477B1" w:rsidRDefault="00F4325E" w:rsidP="007571E3">
      <w:pPr>
        <w:widowControl w:val="0"/>
        <w:spacing w:line="360" w:lineRule="auto"/>
        <w:ind w:right="49"/>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No obstante</w:t>
      </w:r>
      <w:r w:rsidR="00D61612" w:rsidRPr="00A477B1">
        <w:rPr>
          <w:rFonts w:ascii="Palatino Linotype" w:eastAsia="Palatino Linotype" w:hAnsi="Palatino Linotype" w:cs="Palatino Linotype"/>
          <w:sz w:val="22"/>
          <w:szCs w:val="22"/>
        </w:rPr>
        <w:t>, si bien dicho numeral habla de una coordinación entre la Secretaría de Movilidad y autoridades como las municipales</w:t>
      </w:r>
      <w:r w:rsidRPr="00A477B1">
        <w:rPr>
          <w:rFonts w:ascii="Palatino Linotype" w:eastAsia="Palatino Linotype" w:hAnsi="Palatino Linotype" w:cs="Palatino Linotype"/>
          <w:sz w:val="22"/>
          <w:szCs w:val="22"/>
        </w:rPr>
        <w:t>, al hablar de un proyecto para creación de ciclo vías, bici estacionamientos y sistema de bicicletas compartidas; quien resguarda el expediente por el proyecto, es la autoridad que tiene a su cargo el mismo.</w:t>
      </w:r>
    </w:p>
    <w:p w14:paraId="283860A0" w14:textId="77777777" w:rsidR="00F4325E" w:rsidRPr="00A477B1" w:rsidRDefault="00F4325E" w:rsidP="007571E3">
      <w:pPr>
        <w:widowControl w:val="0"/>
        <w:spacing w:line="360" w:lineRule="auto"/>
        <w:ind w:right="49"/>
        <w:jc w:val="both"/>
        <w:rPr>
          <w:rFonts w:ascii="Palatino Linotype" w:eastAsia="Palatino Linotype" w:hAnsi="Palatino Linotype" w:cs="Palatino Linotype"/>
          <w:sz w:val="22"/>
          <w:szCs w:val="22"/>
        </w:rPr>
      </w:pPr>
    </w:p>
    <w:p w14:paraId="15DFAEF2" w14:textId="138EE261" w:rsidR="00F4325E" w:rsidRPr="00A477B1" w:rsidRDefault="00F4325E" w:rsidP="007571E3">
      <w:pPr>
        <w:widowControl w:val="0"/>
        <w:spacing w:line="360" w:lineRule="auto"/>
        <w:ind w:right="49"/>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Para efecto de demostrar lo anterior, este Órgano Garante realizó una consulta en medios de difusión digitales, localizando diversas notas periodísticas, en las que se hace referencia a un proyecto de ciclo vía implementado en Avenida Isidro Fabela en el Municipio de Toluca, mismo que fue financiado por la </w:t>
      </w:r>
      <w:r w:rsidRPr="00A477B1">
        <w:rPr>
          <w:rFonts w:ascii="Palatino Linotype" w:eastAsia="Palatino Linotype" w:hAnsi="Palatino Linotype" w:cs="Palatino Linotype"/>
          <w:b/>
          <w:sz w:val="22"/>
          <w:szCs w:val="22"/>
        </w:rPr>
        <w:t>Secretaría de Movilidad del Estado de México</w:t>
      </w:r>
      <w:r w:rsidRPr="00A477B1">
        <w:rPr>
          <w:rFonts w:ascii="Palatino Linotype" w:eastAsia="Palatino Linotype" w:hAnsi="Palatino Linotype" w:cs="Palatino Linotype"/>
          <w:sz w:val="22"/>
          <w:szCs w:val="22"/>
        </w:rPr>
        <w:t xml:space="preserve"> y respaldado por el Instituto de Políticas para el Transporte y el Desarrollo México, cuya obra arrancó el 04 de octubre de 2024, como se muestra:</w:t>
      </w:r>
    </w:p>
    <w:p w14:paraId="1DFF7ADA" w14:textId="77777777" w:rsidR="00F4325E" w:rsidRPr="00A477B1" w:rsidRDefault="00F4325E" w:rsidP="007571E3">
      <w:pPr>
        <w:widowControl w:val="0"/>
        <w:spacing w:line="360" w:lineRule="auto"/>
        <w:ind w:right="49"/>
        <w:jc w:val="both"/>
        <w:rPr>
          <w:rFonts w:ascii="Palatino Linotype" w:eastAsia="Palatino Linotype" w:hAnsi="Palatino Linotype" w:cs="Palatino Linotype"/>
          <w:sz w:val="22"/>
          <w:szCs w:val="22"/>
        </w:rPr>
      </w:pPr>
    </w:p>
    <w:p w14:paraId="6D18CCD7" w14:textId="7B4C9A0C" w:rsidR="00F4325E" w:rsidRPr="00A477B1" w:rsidRDefault="00F4325E" w:rsidP="00F4325E">
      <w:pPr>
        <w:pStyle w:val="Prrafodelista"/>
        <w:widowControl w:val="0"/>
        <w:numPr>
          <w:ilvl w:val="0"/>
          <w:numId w:val="5"/>
        </w:numPr>
        <w:spacing w:line="360" w:lineRule="auto"/>
        <w:ind w:right="49"/>
        <w:jc w:val="both"/>
        <w:rPr>
          <w:rFonts w:ascii="Palatino Linotype" w:eastAsia="Palatino Linotype" w:hAnsi="Palatino Linotype" w:cs="Palatino Linotype"/>
          <w:b/>
        </w:rPr>
      </w:pPr>
      <w:r w:rsidRPr="00A477B1">
        <w:rPr>
          <w:rFonts w:ascii="Palatino Linotype" w:eastAsia="Palatino Linotype" w:hAnsi="Palatino Linotype" w:cs="Palatino Linotype"/>
          <w:b/>
        </w:rPr>
        <w:t>Nota periodística del 4 de febrero de 2025:</w:t>
      </w:r>
    </w:p>
    <w:p w14:paraId="44BEBB57" w14:textId="1DE65F99" w:rsidR="00F4325E" w:rsidRPr="00A477B1" w:rsidRDefault="00F4325E" w:rsidP="00F4325E">
      <w:pPr>
        <w:widowControl w:val="0"/>
        <w:spacing w:line="360" w:lineRule="auto"/>
        <w:ind w:right="49"/>
        <w:jc w:val="both"/>
        <w:rPr>
          <w:rFonts w:ascii="Palatino Linotype" w:eastAsia="Palatino Linotype" w:hAnsi="Palatino Linotype" w:cs="Palatino Linotype"/>
        </w:rPr>
      </w:pPr>
      <w:r w:rsidRPr="00A477B1">
        <w:rPr>
          <w:rFonts w:ascii="Palatino Linotype" w:eastAsia="Palatino Linotype" w:hAnsi="Palatino Linotype" w:cs="Palatino Linotype"/>
          <w:noProof/>
        </w:rPr>
        <w:drawing>
          <wp:inline distT="0" distB="0" distL="0" distR="0" wp14:anchorId="29EE3837" wp14:editId="45F9A742">
            <wp:extent cx="5756275" cy="1593215"/>
            <wp:effectExtent l="19050" t="19050" r="15875" b="260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1593215"/>
                    </a:xfrm>
                    <a:prstGeom prst="rect">
                      <a:avLst/>
                    </a:prstGeom>
                    <a:ln>
                      <a:solidFill>
                        <a:schemeClr val="accent1"/>
                      </a:solidFill>
                    </a:ln>
                  </pic:spPr>
                </pic:pic>
              </a:graphicData>
            </a:graphic>
          </wp:inline>
        </w:drawing>
      </w:r>
    </w:p>
    <w:p w14:paraId="4514EA4E" w14:textId="4765256C" w:rsidR="00F4325E" w:rsidRPr="00A477B1" w:rsidRDefault="00F4325E" w:rsidP="00F4325E">
      <w:pPr>
        <w:widowControl w:val="0"/>
        <w:spacing w:line="360" w:lineRule="auto"/>
        <w:ind w:right="49"/>
        <w:jc w:val="center"/>
        <w:rPr>
          <w:rFonts w:ascii="Palatino Linotype" w:eastAsia="Palatino Linotype" w:hAnsi="Palatino Linotype" w:cs="Palatino Linotype"/>
        </w:rPr>
      </w:pPr>
      <w:r w:rsidRPr="00A477B1">
        <w:rPr>
          <w:rFonts w:ascii="Palatino Linotype" w:eastAsia="Palatino Linotype" w:hAnsi="Palatino Linotype" w:cs="Palatino Linotype"/>
        </w:rPr>
        <w:t>[…]</w:t>
      </w:r>
    </w:p>
    <w:p w14:paraId="719C5DBD" w14:textId="73FA5EA5" w:rsidR="00F4325E" w:rsidRPr="00A477B1" w:rsidRDefault="00F4325E" w:rsidP="00F4325E">
      <w:pPr>
        <w:widowControl w:val="0"/>
        <w:spacing w:line="360" w:lineRule="auto"/>
        <w:ind w:right="49"/>
        <w:jc w:val="both"/>
        <w:rPr>
          <w:rFonts w:ascii="Palatino Linotype" w:eastAsia="Palatino Linotype" w:hAnsi="Palatino Linotype" w:cs="Palatino Linotype"/>
        </w:rPr>
      </w:pPr>
      <w:r w:rsidRPr="00A477B1">
        <w:rPr>
          <w:rFonts w:ascii="Palatino Linotype" w:eastAsia="Palatino Linotype" w:hAnsi="Palatino Linotype" w:cs="Palatino Linotype"/>
          <w:noProof/>
        </w:rPr>
        <w:drawing>
          <wp:inline distT="0" distB="0" distL="0" distR="0" wp14:anchorId="670DD1C1" wp14:editId="6A5B212F">
            <wp:extent cx="5756275" cy="2459355"/>
            <wp:effectExtent l="19050" t="19050" r="15875" b="171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6275" cy="2459355"/>
                    </a:xfrm>
                    <a:prstGeom prst="rect">
                      <a:avLst/>
                    </a:prstGeom>
                    <a:ln>
                      <a:solidFill>
                        <a:schemeClr val="accent1"/>
                      </a:solidFill>
                    </a:ln>
                  </pic:spPr>
                </pic:pic>
              </a:graphicData>
            </a:graphic>
          </wp:inline>
        </w:drawing>
      </w:r>
    </w:p>
    <w:p w14:paraId="0F122460" w14:textId="5E14AC3A" w:rsidR="00F4325E" w:rsidRPr="00A477B1" w:rsidRDefault="00F4325E" w:rsidP="00F4325E">
      <w:pPr>
        <w:widowControl w:val="0"/>
        <w:spacing w:line="360" w:lineRule="auto"/>
        <w:ind w:right="49"/>
        <w:jc w:val="center"/>
        <w:rPr>
          <w:rFonts w:ascii="Palatino Linotype" w:eastAsia="Palatino Linotype" w:hAnsi="Palatino Linotype" w:cs="Palatino Linotype"/>
        </w:rPr>
      </w:pPr>
      <w:r w:rsidRPr="00A477B1">
        <w:rPr>
          <w:rFonts w:ascii="Palatino Linotype" w:eastAsia="Palatino Linotype" w:hAnsi="Palatino Linotype" w:cs="Palatino Linotype"/>
        </w:rPr>
        <w:lastRenderedPageBreak/>
        <w:t>[…]</w:t>
      </w:r>
    </w:p>
    <w:p w14:paraId="0E596C5D" w14:textId="2ADCE48E" w:rsidR="00F4325E" w:rsidRPr="00A477B1" w:rsidRDefault="00F4325E" w:rsidP="00F4325E">
      <w:pPr>
        <w:widowControl w:val="0"/>
        <w:spacing w:line="360" w:lineRule="auto"/>
        <w:ind w:right="49"/>
        <w:jc w:val="both"/>
        <w:rPr>
          <w:rFonts w:ascii="Palatino Linotype" w:eastAsia="Palatino Linotype" w:hAnsi="Palatino Linotype" w:cs="Palatino Linotype"/>
        </w:rPr>
      </w:pPr>
      <w:r w:rsidRPr="00A477B1">
        <w:rPr>
          <w:rFonts w:ascii="Palatino Linotype" w:eastAsia="Palatino Linotype" w:hAnsi="Palatino Linotype" w:cs="Palatino Linotype"/>
          <w:noProof/>
        </w:rPr>
        <w:drawing>
          <wp:inline distT="0" distB="0" distL="0" distR="0" wp14:anchorId="46FBD1DF" wp14:editId="216732BC">
            <wp:extent cx="5686425" cy="3800475"/>
            <wp:effectExtent l="19050" t="19050" r="28575" b="285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6425" cy="3800475"/>
                    </a:xfrm>
                    <a:prstGeom prst="rect">
                      <a:avLst/>
                    </a:prstGeom>
                    <a:noFill/>
                    <a:ln>
                      <a:solidFill>
                        <a:schemeClr val="accent1"/>
                      </a:solidFill>
                    </a:ln>
                  </pic:spPr>
                </pic:pic>
              </a:graphicData>
            </a:graphic>
          </wp:inline>
        </w:drawing>
      </w:r>
    </w:p>
    <w:p w14:paraId="16C51367" w14:textId="77777777" w:rsidR="00F4325E" w:rsidRPr="00A477B1" w:rsidRDefault="00F4325E" w:rsidP="00F4325E">
      <w:pPr>
        <w:widowControl w:val="0"/>
        <w:spacing w:line="360" w:lineRule="auto"/>
        <w:ind w:right="49"/>
        <w:jc w:val="both"/>
        <w:rPr>
          <w:rFonts w:ascii="Palatino Linotype" w:eastAsia="Palatino Linotype" w:hAnsi="Palatino Linotype" w:cs="Palatino Linotype"/>
        </w:rPr>
      </w:pPr>
    </w:p>
    <w:p w14:paraId="6AFBF860" w14:textId="77777777" w:rsidR="001F1B76" w:rsidRPr="00A477B1" w:rsidRDefault="001F1B76" w:rsidP="001F1B76">
      <w:pPr>
        <w:spacing w:line="360" w:lineRule="auto"/>
        <w:ind w:right="-93"/>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A477B1">
        <w:rPr>
          <w:rFonts w:ascii="Palatino Linotype" w:eastAsia="Palatino Linotype" w:hAnsi="Palatino Linotype" w:cs="Palatino Linotype"/>
          <w:b/>
          <w:i/>
          <w:sz w:val="22"/>
          <w:szCs w:val="22"/>
        </w:rPr>
        <w:t>“NOTAS PERIODISTICAS, EL CONOCIMIENTO QUE DE ELLAS SE OBTIENE NO CONSTITUYE ‘UN HECHO PUBLICO Y NOTORIO’”</w:t>
      </w:r>
      <w:r w:rsidRPr="00A477B1">
        <w:rPr>
          <w:rFonts w:ascii="Palatino Linotype" w:eastAsia="Palatino Linotype" w:hAnsi="Palatino Linotype" w:cs="Palatino Linotype"/>
          <w:sz w:val="22"/>
          <w:szCs w:val="22"/>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w:t>
      </w:r>
      <w:r w:rsidRPr="00A477B1">
        <w:rPr>
          <w:rFonts w:ascii="Palatino Linotype" w:eastAsia="Palatino Linotype" w:hAnsi="Palatino Linotype" w:cs="Palatino Linotype"/>
          <w:sz w:val="22"/>
          <w:szCs w:val="22"/>
        </w:rPr>
        <w:lastRenderedPageBreak/>
        <w:t xml:space="preserve">conocimiento forme parte de la cultura propia de un círculo social determinado, en el tiempo de su realización. </w:t>
      </w:r>
    </w:p>
    <w:p w14:paraId="5F747BD3" w14:textId="77777777" w:rsidR="001F1B76" w:rsidRPr="00A477B1" w:rsidRDefault="001F1B76" w:rsidP="001F1B76">
      <w:pPr>
        <w:spacing w:line="360" w:lineRule="auto"/>
        <w:ind w:right="-93"/>
        <w:jc w:val="both"/>
        <w:rPr>
          <w:rFonts w:ascii="Palatino Linotype" w:eastAsia="Palatino Linotype" w:hAnsi="Palatino Linotype" w:cs="Palatino Linotype"/>
          <w:sz w:val="22"/>
          <w:szCs w:val="22"/>
        </w:rPr>
      </w:pPr>
    </w:p>
    <w:p w14:paraId="12BF3EB9" w14:textId="28330A3F" w:rsidR="001F1B76" w:rsidRPr="00A477B1" w:rsidRDefault="001F1B76" w:rsidP="001F1B76">
      <w:pPr>
        <w:spacing w:line="360" w:lineRule="auto"/>
        <w:ind w:right="-93"/>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De tal situación, si bien lo consignado en las notas periodísticas no constituye un hecho público o notorio, sino una opinión de su autor, las mismas se toman como </w:t>
      </w:r>
      <w:r w:rsidRPr="00A477B1">
        <w:rPr>
          <w:rFonts w:ascii="Palatino Linotype" w:eastAsia="Palatino Linotype" w:hAnsi="Palatino Linotype" w:cs="Palatino Linotype"/>
          <w:b/>
          <w:sz w:val="22"/>
          <w:szCs w:val="22"/>
        </w:rPr>
        <w:t xml:space="preserve">indicios, </w:t>
      </w:r>
      <w:r w:rsidRPr="00A477B1">
        <w:rPr>
          <w:rFonts w:ascii="Palatino Linotype" w:eastAsia="Palatino Linotype" w:hAnsi="Palatino Linotype" w:cs="Palatino Linotype"/>
          <w:sz w:val="22"/>
          <w:szCs w:val="22"/>
        </w:rPr>
        <w:t>que permiten observar q</w:t>
      </w:r>
      <w:r w:rsidRPr="00A477B1">
        <w:rPr>
          <w:rFonts w:ascii="Palatino Linotype" w:eastAsia="Palatino Linotype" w:hAnsi="Palatino Linotype" w:cs="Palatino Linotype"/>
        </w:rPr>
        <w:t>ue</w:t>
      </w:r>
      <w:r w:rsidRPr="00A477B1">
        <w:rPr>
          <w:rFonts w:ascii="Palatino Linotype" w:eastAsia="Palatino Linotype" w:hAnsi="Palatino Linotype" w:cs="Palatino Linotype"/>
          <w:sz w:val="22"/>
          <w:szCs w:val="22"/>
        </w:rPr>
        <w:t xml:space="preserve"> el proyecto al que se refiere el particular en su solicitud es al proyecto de ciclo vía en Avenida Isidro Fabela en el Municipio de Toluca, </w:t>
      </w:r>
      <w:r w:rsidRPr="00A477B1">
        <w:rPr>
          <w:rFonts w:ascii="Palatino Linotype" w:eastAsia="Palatino Linotype" w:hAnsi="Palatino Linotype" w:cs="Palatino Linotype"/>
          <w:b/>
          <w:sz w:val="22"/>
          <w:szCs w:val="22"/>
          <w:u w:val="single"/>
        </w:rPr>
        <w:t xml:space="preserve">no obstante que el mismo fue implementado con recursos estatales y quien está a cargo </w:t>
      </w:r>
      <w:proofErr w:type="gramStart"/>
      <w:r w:rsidRPr="00A477B1">
        <w:rPr>
          <w:rFonts w:ascii="Palatino Linotype" w:eastAsia="Palatino Linotype" w:hAnsi="Palatino Linotype" w:cs="Palatino Linotype"/>
          <w:b/>
          <w:sz w:val="22"/>
          <w:szCs w:val="22"/>
          <w:u w:val="single"/>
        </w:rPr>
        <w:t>del mismo</w:t>
      </w:r>
      <w:proofErr w:type="gramEnd"/>
      <w:r w:rsidRPr="00A477B1">
        <w:rPr>
          <w:rFonts w:ascii="Palatino Linotype" w:eastAsia="Palatino Linotype" w:hAnsi="Palatino Linotype" w:cs="Palatino Linotype"/>
          <w:b/>
          <w:sz w:val="22"/>
          <w:szCs w:val="22"/>
          <w:u w:val="single"/>
        </w:rPr>
        <w:t xml:space="preserve"> es la</w:t>
      </w:r>
      <w:r w:rsidRPr="00A477B1">
        <w:rPr>
          <w:rFonts w:ascii="Palatino Linotype" w:eastAsia="Palatino Linotype" w:hAnsi="Palatino Linotype" w:cs="Palatino Linotype"/>
          <w:sz w:val="22"/>
          <w:szCs w:val="22"/>
          <w:u w:val="single"/>
        </w:rPr>
        <w:t xml:space="preserve"> </w:t>
      </w:r>
      <w:r w:rsidRPr="00A477B1">
        <w:rPr>
          <w:rFonts w:ascii="Palatino Linotype" w:eastAsia="Palatino Linotype" w:hAnsi="Palatino Linotype" w:cs="Palatino Linotype"/>
          <w:b/>
          <w:sz w:val="22"/>
          <w:szCs w:val="22"/>
          <w:u w:val="single"/>
        </w:rPr>
        <w:t>Secretaría de Movilidad del Estado de México.</w:t>
      </w:r>
    </w:p>
    <w:p w14:paraId="2458CEE9" w14:textId="77777777" w:rsidR="001F1B76" w:rsidRPr="00A477B1" w:rsidRDefault="001F1B76" w:rsidP="001F1B76">
      <w:pPr>
        <w:spacing w:line="360" w:lineRule="auto"/>
        <w:ind w:right="-93"/>
        <w:jc w:val="both"/>
        <w:rPr>
          <w:rFonts w:ascii="Palatino Linotype" w:eastAsia="Palatino Linotype" w:hAnsi="Palatino Linotype" w:cs="Palatino Linotype"/>
          <w:sz w:val="22"/>
          <w:szCs w:val="22"/>
        </w:rPr>
      </w:pPr>
    </w:p>
    <w:p w14:paraId="687C5B36" w14:textId="50A3ED1D" w:rsidR="007571E3" w:rsidRPr="00A477B1" w:rsidRDefault="007571E3" w:rsidP="007571E3">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Con base en lo anterior, </w:t>
      </w:r>
      <w:r w:rsidR="001F1B76" w:rsidRPr="00A477B1">
        <w:rPr>
          <w:rFonts w:ascii="Palatino Linotype" w:eastAsia="Palatino Linotype" w:hAnsi="Palatino Linotype" w:cs="Palatino Linotype"/>
          <w:sz w:val="22"/>
          <w:szCs w:val="22"/>
        </w:rPr>
        <w:t xml:space="preserve">se advierten suficientes elementos para advertir que </w:t>
      </w:r>
      <w:r w:rsidRPr="00A477B1">
        <w:rPr>
          <w:rFonts w:ascii="Palatino Linotype" w:eastAsia="Palatino Linotype" w:hAnsi="Palatino Linotype" w:cs="Palatino Linotype"/>
          <w:sz w:val="22"/>
          <w:szCs w:val="22"/>
        </w:rPr>
        <w:t xml:space="preserve">existe una evidente incompetencia por parte del </w:t>
      </w:r>
      <w:r w:rsidRPr="00A477B1">
        <w:rPr>
          <w:rFonts w:ascii="Palatino Linotype" w:eastAsia="Palatino Linotype" w:hAnsi="Palatino Linotype" w:cs="Palatino Linotype"/>
          <w:b/>
          <w:sz w:val="22"/>
          <w:szCs w:val="22"/>
        </w:rPr>
        <w:t>Sujeto Obligado</w:t>
      </w:r>
      <w:r w:rsidRPr="00A477B1">
        <w:rPr>
          <w:rFonts w:ascii="Palatino Linotype" w:eastAsia="Palatino Linotype" w:hAnsi="Palatino Linotype" w:cs="Palatino Linotype"/>
          <w:sz w:val="22"/>
          <w:szCs w:val="22"/>
        </w:rPr>
        <w:t xml:space="preserve"> para satisfacer lo solicitado, lo anterior es así, toda vez que, en el caso particular, </w:t>
      </w:r>
      <w:r w:rsidR="001F1B76" w:rsidRPr="00A477B1">
        <w:rPr>
          <w:rFonts w:ascii="Palatino Linotype" w:eastAsia="Palatino Linotype" w:hAnsi="Palatino Linotype" w:cs="Palatino Linotype"/>
          <w:sz w:val="22"/>
          <w:szCs w:val="22"/>
        </w:rPr>
        <w:t>se advierte que quien cuenta con atribuciones para promover proyectos como al que se refiere el particular</w:t>
      </w:r>
      <w:r w:rsidR="00CA0504" w:rsidRPr="00A477B1">
        <w:rPr>
          <w:rFonts w:ascii="Palatino Linotype" w:eastAsia="Palatino Linotype" w:hAnsi="Palatino Linotype" w:cs="Palatino Linotype"/>
          <w:sz w:val="22"/>
          <w:szCs w:val="22"/>
        </w:rPr>
        <w:t xml:space="preserve"> y para conocer del expediente relacionado con dicho proyecto</w:t>
      </w:r>
      <w:r w:rsidR="001F1B76" w:rsidRPr="00A477B1">
        <w:rPr>
          <w:rFonts w:ascii="Palatino Linotype" w:eastAsia="Palatino Linotype" w:hAnsi="Palatino Linotype" w:cs="Palatino Linotype"/>
          <w:sz w:val="22"/>
          <w:szCs w:val="22"/>
        </w:rPr>
        <w:t xml:space="preserve"> es la Secretaría de Movilidad del Estado de México</w:t>
      </w:r>
      <w:r w:rsidR="00CA0504" w:rsidRPr="00A477B1">
        <w:rPr>
          <w:rFonts w:ascii="Palatino Linotype" w:eastAsia="Palatino Linotype" w:hAnsi="Palatino Linotype" w:cs="Palatino Linotype"/>
          <w:sz w:val="22"/>
          <w:szCs w:val="22"/>
        </w:rPr>
        <w:t>.</w:t>
      </w:r>
    </w:p>
    <w:p w14:paraId="05C42314" w14:textId="77777777" w:rsidR="007571E3" w:rsidRPr="00A477B1" w:rsidRDefault="007571E3" w:rsidP="007571E3">
      <w:pPr>
        <w:spacing w:line="360" w:lineRule="auto"/>
        <w:jc w:val="both"/>
        <w:rPr>
          <w:rFonts w:ascii="Palatino Linotype" w:eastAsia="Palatino Linotype" w:hAnsi="Palatino Linotype" w:cs="Palatino Linotype"/>
          <w:sz w:val="22"/>
          <w:szCs w:val="22"/>
        </w:rPr>
      </w:pPr>
    </w:p>
    <w:p w14:paraId="50825E6D" w14:textId="77777777" w:rsidR="007571E3" w:rsidRPr="00A477B1" w:rsidRDefault="007571E3" w:rsidP="007571E3">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En este sentido, resulta aplicable el criterio orientador 13/17 emitido por el Pleno del entonces Instituto Nacional de Transparencia, Acceso a la Información y Protección de Datos Personales, el cual, para pronta referencia se reproduce a continuación:</w:t>
      </w:r>
    </w:p>
    <w:p w14:paraId="346D6339" w14:textId="77777777" w:rsidR="007571E3" w:rsidRPr="00A477B1" w:rsidRDefault="007571E3" w:rsidP="007571E3">
      <w:pPr>
        <w:spacing w:line="360" w:lineRule="auto"/>
        <w:jc w:val="both"/>
        <w:rPr>
          <w:rFonts w:ascii="Palatino Linotype" w:eastAsia="Palatino Linotype" w:hAnsi="Palatino Linotype" w:cs="Palatino Linotype"/>
          <w:sz w:val="22"/>
          <w:szCs w:val="22"/>
        </w:rPr>
      </w:pPr>
    </w:p>
    <w:p w14:paraId="63846390" w14:textId="77777777" w:rsidR="007571E3" w:rsidRPr="00A477B1" w:rsidRDefault="007571E3" w:rsidP="007571E3">
      <w:pPr>
        <w:ind w:left="851" w:right="851"/>
        <w:jc w:val="both"/>
        <w:rPr>
          <w:rFonts w:ascii="Palatino Linotype" w:eastAsia="Palatino Linotype" w:hAnsi="Palatino Linotype" w:cs="Palatino Linotype"/>
          <w:i/>
          <w:sz w:val="22"/>
          <w:szCs w:val="22"/>
        </w:rPr>
      </w:pPr>
      <w:r w:rsidRPr="00A477B1">
        <w:rPr>
          <w:rFonts w:ascii="Palatino Linotype" w:eastAsia="Palatino Linotype" w:hAnsi="Palatino Linotype" w:cs="Palatino Linotype"/>
          <w:b/>
          <w:i/>
          <w:sz w:val="22"/>
          <w:szCs w:val="22"/>
        </w:rPr>
        <w:t>“Incompetencia. La incompetencia implica la ausencia de atribuciones del sujeto obligado para poseer la información solicitada</w:t>
      </w:r>
      <w:r w:rsidRPr="00A477B1">
        <w:rPr>
          <w:rFonts w:ascii="Palatino Linotype" w:eastAsia="Palatino Linotype" w:hAnsi="Palatino Linotype" w:cs="Palatino Linotype"/>
          <w:i/>
          <w:sz w:val="22"/>
          <w:szCs w:val="22"/>
        </w:rPr>
        <w:t xml:space="preserve">; es decir, se trata de una cuestión de derecho, </w:t>
      </w:r>
      <w:r w:rsidRPr="00A477B1">
        <w:rPr>
          <w:rFonts w:ascii="Palatino Linotype" w:eastAsia="Palatino Linotype" w:hAnsi="Palatino Linotype" w:cs="Palatino Linotype"/>
          <w:b/>
          <w:i/>
          <w:sz w:val="22"/>
          <w:szCs w:val="22"/>
        </w:rPr>
        <w:t>en tanto que no existan facultades para contar con lo requerido</w:t>
      </w:r>
      <w:r w:rsidRPr="00A477B1">
        <w:rPr>
          <w:rFonts w:ascii="Palatino Linotype" w:eastAsia="Palatino Linotype" w:hAnsi="Palatino Linotype" w:cs="Palatino Linotype"/>
          <w:i/>
          <w:sz w:val="22"/>
          <w:szCs w:val="22"/>
        </w:rPr>
        <w:t>; por lo que la incompetencia es una cualidad atribuida al sujeto obligado que la declara.”</w:t>
      </w:r>
    </w:p>
    <w:p w14:paraId="68EC6DB1" w14:textId="77777777" w:rsidR="007571E3" w:rsidRPr="00A477B1" w:rsidRDefault="007571E3" w:rsidP="007571E3">
      <w:pPr>
        <w:ind w:left="851" w:right="851"/>
        <w:jc w:val="both"/>
        <w:rPr>
          <w:rFonts w:ascii="Palatino Linotype" w:eastAsia="Palatino Linotype" w:hAnsi="Palatino Linotype" w:cs="Palatino Linotype"/>
          <w:i/>
          <w:sz w:val="22"/>
          <w:szCs w:val="22"/>
        </w:rPr>
      </w:pPr>
    </w:p>
    <w:p w14:paraId="51390C19" w14:textId="3E0E5C33" w:rsidR="007571E3" w:rsidRPr="00A477B1" w:rsidRDefault="007571E3" w:rsidP="007571E3">
      <w:pPr>
        <w:spacing w:line="360" w:lineRule="auto"/>
        <w:jc w:val="both"/>
        <w:rPr>
          <w:rFonts w:ascii="Palatino Linotype" w:eastAsia="Palatino Linotype" w:hAnsi="Palatino Linotype" w:cs="Palatino Linotype"/>
          <w:b/>
          <w:sz w:val="22"/>
          <w:szCs w:val="22"/>
        </w:rPr>
      </w:pPr>
      <w:r w:rsidRPr="00A477B1">
        <w:rPr>
          <w:rFonts w:ascii="Palatino Linotype" w:eastAsia="Palatino Linotype" w:hAnsi="Palatino Linotype" w:cs="Palatino Linotype"/>
          <w:sz w:val="22"/>
          <w:szCs w:val="22"/>
        </w:rPr>
        <w:lastRenderedPageBreak/>
        <w:t xml:space="preserve">Derivado de lo expuesto, es claro que existe una notoria incompetencia por parte del </w:t>
      </w:r>
      <w:r w:rsidRPr="00A477B1">
        <w:rPr>
          <w:rFonts w:ascii="Palatino Linotype" w:eastAsia="Palatino Linotype" w:hAnsi="Palatino Linotype" w:cs="Palatino Linotype"/>
          <w:b/>
          <w:sz w:val="22"/>
          <w:szCs w:val="22"/>
        </w:rPr>
        <w:t xml:space="preserve">Sujeto Obligado </w:t>
      </w:r>
      <w:r w:rsidRPr="00A477B1">
        <w:rPr>
          <w:rFonts w:ascii="Palatino Linotype" w:eastAsia="Palatino Linotype" w:hAnsi="Palatino Linotype" w:cs="Palatino Linotype"/>
          <w:sz w:val="22"/>
          <w:szCs w:val="22"/>
        </w:rPr>
        <w:t xml:space="preserve">para dar respuesta al requerimiento de información, pues la autoridad competente para conocer respecto de la información es </w:t>
      </w:r>
      <w:r w:rsidR="00CA0504" w:rsidRPr="00A477B1">
        <w:rPr>
          <w:rFonts w:ascii="Palatino Linotype" w:eastAsia="Palatino Linotype" w:hAnsi="Palatino Linotype" w:cs="Palatino Linotype"/>
          <w:b/>
          <w:sz w:val="22"/>
          <w:szCs w:val="22"/>
          <w:u w:val="single"/>
        </w:rPr>
        <w:t>la</w:t>
      </w:r>
      <w:r w:rsidR="00CA0504" w:rsidRPr="00A477B1">
        <w:rPr>
          <w:rFonts w:ascii="Palatino Linotype" w:eastAsia="Palatino Linotype" w:hAnsi="Palatino Linotype" w:cs="Palatino Linotype"/>
          <w:sz w:val="22"/>
          <w:szCs w:val="22"/>
          <w:u w:val="single"/>
        </w:rPr>
        <w:t xml:space="preserve"> </w:t>
      </w:r>
      <w:r w:rsidR="00CA0504" w:rsidRPr="00A477B1">
        <w:rPr>
          <w:rFonts w:ascii="Palatino Linotype" w:eastAsia="Palatino Linotype" w:hAnsi="Palatino Linotype" w:cs="Palatino Linotype"/>
          <w:b/>
          <w:sz w:val="22"/>
          <w:szCs w:val="22"/>
          <w:u w:val="single"/>
        </w:rPr>
        <w:t>Secretaría de Movilidad del Estado de México</w:t>
      </w:r>
      <w:r w:rsidRPr="00A477B1">
        <w:rPr>
          <w:rFonts w:ascii="Palatino Linotype" w:eastAsia="Palatino Linotype" w:hAnsi="Palatino Linotype" w:cs="Palatino Linotype"/>
          <w:b/>
          <w:sz w:val="22"/>
          <w:szCs w:val="22"/>
        </w:rPr>
        <w:t>.</w:t>
      </w:r>
    </w:p>
    <w:p w14:paraId="1491EB09" w14:textId="77777777" w:rsidR="007571E3" w:rsidRPr="00A477B1" w:rsidRDefault="007571E3" w:rsidP="007571E3">
      <w:pPr>
        <w:spacing w:line="360" w:lineRule="auto"/>
        <w:jc w:val="both"/>
        <w:rPr>
          <w:rFonts w:ascii="Palatino Linotype" w:eastAsia="Palatino Linotype" w:hAnsi="Palatino Linotype" w:cs="Palatino Linotype"/>
          <w:sz w:val="22"/>
          <w:szCs w:val="22"/>
        </w:rPr>
      </w:pPr>
    </w:p>
    <w:p w14:paraId="3CF2647A" w14:textId="40530DC7" w:rsidR="007571E3" w:rsidRPr="00A477B1" w:rsidRDefault="007571E3" w:rsidP="007571E3">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Atento a las consideraciones expuestas, no es procedente la entrega de información alguna para atender el </w:t>
      </w:r>
      <w:r w:rsidR="00F160D8" w:rsidRPr="00A477B1">
        <w:rPr>
          <w:rFonts w:ascii="Palatino Linotype" w:eastAsia="Palatino Linotype" w:hAnsi="Palatino Linotype" w:cs="Palatino Linotype"/>
          <w:sz w:val="22"/>
          <w:szCs w:val="22"/>
        </w:rPr>
        <w:t>requerimiento del particular</w:t>
      </w:r>
      <w:r w:rsidRPr="00A477B1">
        <w:rPr>
          <w:rFonts w:ascii="Palatino Linotype" w:eastAsia="Palatino Linotype" w:hAnsi="Palatino Linotype" w:cs="Palatino Linotype"/>
          <w:sz w:val="22"/>
          <w:szCs w:val="22"/>
        </w:rPr>
        <w:t xml:space="preserve"> bajo la premisa de que los Sujetos Obligados sólo deben proporcionar aquella información que hubieran generado en el ejercicio de sus atribuciones y que obre en sus archivos, de conformidad con lo establecido en el artículo 12 de la Ley de Transparencia y Acceso a la Información Pública del Estado de México y Municipios, lo que a</w:t>
      </w:r>
      <w:r w:rsidRPr="00A477B1">
        <w:rPr>
          <w:rFonts w:ascii="Palatino Linotype" w:eastAsia="Palatino Linotype" w:hAnsi="Palatino Linotype" w:cs="Palatino Linotype"/>
          <w:i/>
          <w:sz w:val="22"/>
          <w:szCs w:val="22"/>
        </w:rPr>
        <w:t xml:space="preserve"> contrario sensu</w:t>
      </w:r>
      <w:r w:rsidRPr="00A477B1">
        <w:rPr>
          <w:rFonts w:ascii="Palatino Linotype" w:eastAsia="Palatino Linotype" w:hAnsi="Palatino Linotype" w:cs="Palatino Linotype"/>
          <w:sz w:val="22"/>
          <w:szCs w:val="22"/>
        </w:rPr>
        <w:t xml:space="preserve"> significa que no se está obligado a proporcionar lo que no obre en sus archivos.</w:t>
      </w:r>
    </w:p>
    <w:p w14:paraId="3A057C9B" w14:textId="77777777" w:rsidR="007571E3" w:rsidRPr="00A477B1" w:rsidRDefault="007571E3" w:rsidP="007571E3">
      <w:pPr>
        <w:spacing w:line="360" w:lineRule="auto"/>
        <w:jc w:val="both"/>
        <w:rPr>
          <w:rFonts w:ascii="Palatino Linotype" w:eastAsia="Palatino Linotype" w:hAnsi="Palatino Linotype" w:cs="Palatino Linotype"/>
          <w:sz w:val="22"/>
          <w:szCs w:val="22"/>
        </w:rPr>
      </w:pPr>
    </w:p>
    <w:p w14:paraId="7F8A0971" w14:textId="1245D34C" w:rsidR="007571E3" w:rsidRPr="00A477B1" w:rsidRDefault="007571E3" w:rsidP="007571E3">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Máxime que en materia de transparencia </w:t>
      </w:r>
      <w:r w:rsidR="00F160D8" w:rsidRPr="00A477B1">
        <w:rPr>
          <w:rFonts w:ascii="Palatino Linotype" w:eastAsia="Palatino Linotype" w:hAnsi="Palatino Linotype" w:cs="Palatino Linotype"/>
          <w:b/>
          <w:sz w:val="22"/>
          <w:szCs w:val="22"/>
          <w:u w:val="single"/>
        </w:rPr>
        <w:t>la</w:t>
      </w:r>
      <w:r w:rsidR="00F160D8" w:rsidRPr="00A477B1">
        <w:rPr>
          <w:rFonts w:ascii="Palatino Linotype" w:eastAsia="Palatino Linotype" w:hAnsi="Palatino Linotype" w:cs="Palatino Linotype"/>
          <w:sz w:val="22"/>
          <w:szCs w:val="22"/>
          <w:u w:val="single"/>
        </w:rPr>
        <w:t xml:space="preserve"> </w:t>
      </w:r>
      <w:r w:rsidR="00F160D8" w:rsidRPr="00A477B1">
        <w:rPr>
          <w:rFonts w:ascii="Palatino Linotype" w:eastAsia="Palatino Linotype" w:hAnsi="Palatino Linotype" w:cs="Palatino Linotype"/>
          <w:b/>
          <w:sz w:val="22"/>
          <w:szCs w:val="22"/>
          <w:u w:val="single"/>
        </w:rPr>
        <w:t>Secretaría de Movilidad del Estado de México</w:t>
      </w:r>
      <w:r w:rsidR="00F160D8" w:rsidRPr="00A477B1">
        <w:rPr>
          <w:rFonts w:ascii="Palatino Linotype" w:eastAsia="Palatino Linotype" w:hAnsi="Palatino Linotype" w:cs="Palatino Linotype"/>
          <w:sz w:val="22"/>
          <w:szCs w:val="22"/>
        </w:rPr>
        <w:t xml:space="preserve"> </w:t>
      </w:r>
      <w:r w:rsidRPr="00A477B1">
        <w:rPr>
          <w:rFonts w:ascii="Palatino Linotype" w:eastAsia="Palatino Linotype" w:hAnsi="Palatino Linotype" w:cs="Palatino Linotype"/>
          <w:sz w:val="22"/>
          <w:szCs w:val="22"/>
        </w:rPr>
        <w:t>es un sujeto obligado diferente al Ayuntamiento de Toluca, que cuenta con su propia unidad de transparencia ante la cual se puede hacer el requerimiento de información que nos ocupa.</w:t>
      </w:r>
    </w:p>
    <w:p w14:paraId="6D992AA9" w14:textId="77777777" w:rsidR="007571E3" w:rsidRPr="00A477B1" w:rsidRDefault="007571E3" w:rsidP="007571E3">
      <w:pPr>
        <w:spacing w:line="360" w:lineRule="auto"/>
        <w:jc w:val="both"/>
        <w:rPr>
          <w:rFonts w:ascii="Palatino Linotype" w:eastAsia="Palatino Linotype" w:hAnsi="Palatino Linotype" w:cs="Palatino Linotype"/>
          <w:sz w:val="22"/>
          <w:szCs w:val="22"/>
        </w:rPr>
      </w:pPr>
    </w:p>
    <w:p w14:paraId="280683EA" w14:textId="77777777" w:rsidR="007571E3" w:rsidRPr="00A477B1" w:rsidRDefault="007571E3" w:rsidP="007571E3">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Lo anterior, se robustece con el Padrón de Sujetos Obligados en materia de Transparencia y Acceso a la Información Pública del Estado de México y Municipios, como se muestra:</w:t>
      </w:r>
    </w:p>
    <w:p w14:paraId="1CFF7EDA" w14:textId="77777777" w:rsidR="007571E3" w:rsidRPr="00A477B1" w:rsidRDefault="007571E3" w:rsidP="007571E3">
      <w:pPr>
        <w:spacing w:line="360" w:lineRule="auto"/>
        <w:jc w:val="center"/>
        <w:rPr>
          <w:rFonts w:ascii="Palatino Linotype" w:eastAsia="Palatino Linotype" w:hAnsi="Palatino Linotype" w:cs="Palatino Linotype"/>
          <w:sz w:val="22"/>
          <w:szCs w:val="22"/>
        </w:rPr>
      </w:pPr>
      <w:r w:rsidRPr="00A477B1">
        <w:rPr>
          <w:rFonts w:ascii="Palatino Linotype" w:eastAsia="Palatino Linotype" w:hAnsi="Palatino Linotype" w:cs="Palatino Linotype"/>
          <w:noProof/>
          <w:sz w:val="22"/>
          <w:szCs w:val="22"/>
        </w:rPr>
        <w:drawing>
          <wp:inline distT="0" distB="0" distL="0" distR="0" wp14:anchorId="09FCF52B" wp14:editId="48562C9E">
            <wp:extent cx="4982270" cy="314369"/>
            <wp:effectExtent l="19050" t="19050" r="8890"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82270" cy="314369"/>
                    </a:xfrm>
                    <a:prstGeom prst="rect">
                      <a:avLst/>
                    </a:prstGeom>
                    <a:ln>
                      <a:solidFill>
                        <a:srgbClr val="4F81BD"/>
                      </a:solidFill>
                    </a:ln>
                  </pic:spPr>
                </pic:pic>
              </a:graphicData>
            </a:graphic>
          </wp:inline>
        </w:drawing>
      </w:r>
    </w:p>
    <w:p w14:paraId="10B238AE" w14:textId="77777777" w:rsidR="007571E3" w:rsidRPr="00A477B1" w:rsidRDefault="007571E3" w:rsidP="007571E3">
      <w:pPr>
        <w:spacing w:line="360" w:lineRule="auto"/>
        <w:jc w:val="center"/>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w:t>
      </w:r>
    </w:p>
    <w:p w14:paraId="203529A1" w14:textId="77777777" w:rsidR="007571E3" w:rsidRPr="00A477B1" w:rsidRDefault="007571E3" w:rsidP="007571E3">
      <w:pPr>
        <w:spacing w:line="360" w:lineRule="auto"/>
        <w:jc w:val="center"/>
        <w:rPr>
          <w:rFonts w:ascii="Palatino Linotype" w:eastAsia="Palatino Linotype" w:hAnsi="Palatino Linotype" w:cs="Palatino Linotype"/>
          <w:sz w:val="22"/>
          <w:szCs w:val="22"/>
        </w:rPr>
      </w:pPr>
      <w:r w:rsidRPr="00A477B1">
        <w:rPr>
          <w:rFonts w:ascii="Palatino Linotype" w:eastAsia="Palatino Linotype" w:hAnsi="Palatino Linotype" w:cs="Palatino Linotype"/>
          <w:noProof/>
          <w:sz w:val="22"/>
          <w:szCs w:val="22"/>
        </w:rPr>
        <w:drawing>
          <wp:inline distT="0" distB="0" distL="0" distR="0" wp14:anchorId="2CFA7381" wp14:editId="1F2DE7FE">
            <wp:extent cx="5001323" cy="304843"/>
            <wp:effectExtent l="19050" t="19050" r="8890"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01323" cy="304843"/>
                    </a:xfrm>
                    <a:prstGeom prst="rect">
                      <a:avLst/>
                    </a:prstGeom>
                    <a:ln>
                      <a:solidFill>
                        <a:srgbClr val="4F81BD"/>
                      </a:solidFill>
                    </a:ln>
                  </pic:spPr>
                </pic:pic>
              </a:graphicData>
            </a:graphic>
          </wp:inline>
        </w:drawing>
      </w:r>
    </w:p>
    <w:p w14:paraId="328AC4BB" w14:textId="77777777" w:rsidR="007571E3" w:rsidRPr="00A477B1" w:rsidRDefault="007571E3" w:rsidP="007571E3">
      <w:pPr>
        <w:spacing w:line="360" w:lineRule="auto"/>
        <w:jc w:val="center"/>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w:t>
      </w:r>
    </w:p>
    <w:p w14:paraId="10A9F91A" w14:textId="453ECBB6" w:rsidR="007571E3" w:rsidRPr="00A477B1" w:rsidRDefault="00F160D8" w:rsidP="007571E3">
      <w:pPr>
        <w:spacing w:line="360" w:lineRule="auto"/>
        <w:jc w:val="center"/>
        <w:rPr>
          <w:rFonts w:ascii="Palatino Linotype" w:eastAsia="Palatino Linotype" w:hAnsi="Palatino Linotype" w:cs="Palatino Linotype"/>
          <w:sz w:val="22"/>
          <w:szCs w:val="22"/>
        </w:rPr>
      </w:pPr>
      <w:r w:rsidRPr="00A477B1">
        <w:rPr>
          <w:rFonts w:ascii="Palatino Linotype" w:eastAsia="Palatino Linotype" w:hAnsi="Palatino Linotype" w:cs="Palatino Linotype"/>
          <w:noProof/>
          <w:sz w:val="22"/>
          <w:szCs w:val="22"/>
        </w:rPr>
        <w:drawing>
          <wp:inline distT="0" distB="0" distL="0" distR="0" wp14:anchorId="1519EEEB" wp14:editId="21BDD96E">
            <wp:extent cx="5022850" cy="615315"/>
            <wp:effectExtent l="19050" t="19050" r="25400" b="133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22850" cy="615315"/>
                    </a:xfrm>
                    <a:prstGeom prst="rect">
                      <a:avLst/>
                    </a:prstGeom>
                    <a:ln>
                      <a:solidFill>
                        <a:schemeClr val="accent1"/>
                      </a:solidFill>
                    </a:ln>
                  </pic:spPr>
                </pic:pic>
              </a:graphicData>
            </a:graphic>
          </wp:inline>
        </w:drawing>
      </w:r>
    </w:p>
    <w:p w14:paraId="63C612A4" w14:textId="77777777" w:rsidR="007571E3" w:rsidRPr="00A477B1" w:rsidRDefault="007571E3" w:rsidP="007571E3">
      <w:pPr>
        <w:spacing w:line="360" w:lineRule="auto"/>
        <w:jc w:val="center"/>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lastRenderedPageBreak/>
        <w:t>[…]</w:t>
      </w:r>
    </w:p>
    <w:p w14:paraId="40C60042" w14:textId="52F9708B" w:rsidR="007571E3" w:rsidRPr="00A477B1" w:rsidRDefault="00F160D8" w:rsidP="007571E3">
      <w:pPr>
        <w:spacing w:line="360" w:lineRule="auto"/>
        <w:jc w:val="center"/>
        <w:rPr>
          <w:rFonts w:ascii="Palatino Linotype" w:eastAsia="Palatino Linotype" w:hAnsi="Palatino Linotype" w:cs="Palatino Linotype"/>
          <w:sz w:val="22"/>
          <w:szCs w:val="22"/>
        </w:rPr>
      </w:pPr>
      <w:r w:rsidRPr="00A477B1">
        <w:rPr>
          <w:rFonts w:ascii="Palatino Linotype" w:eastAsia="Palatino Linotype" w:hAnsi="Palatino Linotype" w:cs="Palatino Linotype"/>
          <w:noProof/>
          <w:sz w:val="22"/>
          <w:szCs w:val="22"/>
        </w:rPr>
        <w:drawing>
          <wp:inline distT="0" distB="0" distL="0" distR="0" wp14:anchorId="465F677A" wp14:editId="00014979">
            <wp:extent cx="4918075" cy="323215"/>
            <wp:effectExtent l="19050" t="19050" r="15875" b="1968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18075" cy="323215"/>
                    </a:xfrm>
                    <a:prstGeom prst="rect">
                      <a:avLst/>
                    </a:prstGeom>
                    <a:ln>
                      <a:solidFill>
                        <a:schemeClr val="accent1"/>
                      </a:solidFill>
                    </a:ln>
                  </pic:spPr>
                </pic:pic>
              </a:graphicData>
            </a:graphic>
          </wp:inline>
        </w:drawing>
      </w:r>
    </w:p>
    <w:p w14:paraId="0704C649" w14:textId="77777777" w:rsidR="007571E3" w:rsidRPr="00A477B1" w:rsidRDefault="007571E3" w:rsidP="007571E3">
      <w:pPr>
        <w:spacing w:line="360" w:lineRule="auto"/>
        <w:jc w:val="both"/>
        <w:rPr>
          <w:rFonts w:ascii="Palatino Linotype" w:eastAsia="Palatino Linotype" w:hAnsi="Palatino Linotype" w:cs="Palatino Linotype"/>
          <w:sz w:val="22"/>
          <w:szCs w:val="22"/>
        </w:rPr>
      </w:pPr>
    </w:p>
    <w:p w14:paraId="5D379DFB" w14:textId="77777777" w:rsidR="007571E3" w:rsidRPr="00A477B1" w:rsidRDefault="007571E3" w:rsidP="007571E3">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En consecuencia, el </w:t>
      </w:r>
      <w:r w:rsidRPr="00A477B1">
        <w:rPr>
          <w:rFonts w:ascii="Palatino Linotype" w:eastAsia="Palatino Linotype" w:hAnsi="Palatino Linotype" w:cs="Palatino Linotype"/>
          <w:b/>
          <w:sz w:val="22"/>
          <w:szCs w:val="22"/>
        </w:rPr>
        <w:t xml:space="preserve">Sujeto Obligado </w:t>
      </w:r>
      <w:r w:rsidRPr="00A477B1">
        <w:rPr>
          <w:rFonts w:ascii="Palatino Linotype" w:eastAsia="Palatino Linotype" w:hAnsi="Palatino Linotype" w:cs="Palatino Linotype"/>
          <w:sz w:val="22"/>
          <w:szCs w:val="22"/>
        </w:rPr>
        <w:t>no tiene atribuciones para proporcionar lo solicitado.</w:t>
      </w:r>
    </w:p>
    <w:p w14:paraId="39B4A09E" w14:textId="77777777" w:rsidR="007571E3" w:rsidRPr="00A477B1" w:rsidRDefault="007571E3" w:rsidP="007571E3">
      <w:pPr>
        <w:spacing w:line="360" w:lineRule="auto"/>
        <w:jc w:val="both"/>
        <w:rPr>
          <w:rFonts w:ascii="Palatino Linotype" w:eastAsia="Palatino Linotype" w:hAnsi="Palatino Linotype" w:cs="Palatino Linotype"/>
          <w:sz w:val="22"/>
          <w:szCs w:val="22"/>
        </w:rPr>
      </w:pPr>
    </w:p>
    <w:p w14:paraId="61829F98" w14:textId="20856B22" w:rsidR="007571E3" w:rsidRPr="00A477B1" w:rsidRDefault="007571E3" w:rsidP="007571E3">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b/>
          <w:sz w:val="22"/>
          <w:szCs w:val="22"/>
        </w:rPr>
        <w:t xml:space="preserve">Situación la anterior, que se confirma del pronunciamiento emitido </w:t>
      </w:r>
      <w:r w:rsidR="00BE4B8C" w:rsidRPr="00A477B1">
        <w:rPr>
          <w:rFonts w:ascii="Palatino Linotype" w:eastAsia="Palatino Linotype" w:hAnsi="Palatino Linotype" w:cs="Palatino Linotype"/>
          <w:b/>
          <w:sz w:val="22"/>
          <w:szCs w:val="22"/>
        </w:rPr>
        <w:t>por</w:t>
      </w:r>
      <w:r w:rsidR="00F24267" w:rsidRPr="00A477B1">
        <w:rPr>
          <w:rFonts w:ascii="Palatino Linotype" w:eastAsia="Palatino Linotype" w:hAnsi="Palatino Linotype" w:cs="Palatino Linotype"/>
          <w:b/>
          <w:sz w:val="22"/>
          <w:szCs w:val="22"/>
        </w:rPr>
        <w:t xml:space="preserve"> los servidores públicos </w:t>
      </w:r>
      <w:r w:rsidR="00BE4B8C" w:rsidRPr="00A477B1">
        <w:rPr>
          <w:rFonts w:ascii="Palatino Linotype" w:eastAsia="Palatino Linotype" w:hAnsi="Palatino Linotype" w:cs="Palatino Linotype"/>
          <w:b/>
          <w:sz w:val="22"/>
          <w:szCs w:val="22"/>
        </w:rPr>
        <w:t>que se pronunciaron en respuesta</w:t>
      </w:r>
      <w:r w:rsidR="00F24267" w:rsidRPr="00A477B1">
        <w:rPr>
          <w:rFonts w:ascii="Palatino Linotype" w:eastAsia="Palatino Linotype" w:hAnsi="Palatino Linotype" w:cs="Palatino Linotype"/>
          <w:b/>
          <w:sz w:val="22"/>
          <w:szCs w:val="22"/>
        </w:rPr>
        <w:t xml:space="preserve">; </w:t>
      </w:r>
      <w:r w:rsidR="00BE4B8C" w:rsidRPr="00A477B1">
        <w:rPr>
          <w:rFonts w:ascii="Palatino Linotype" w:eastAsia="Palatino Linotype" w:hAnsi="Palatino Linotype" w:cs="Palatino Linotype"/>
          <w:b/>
          <w:sz w:val="22"/>
          <w:szCs w:val="22"/>
        </w:rPr>
        <w:t xml:space="preserve">el cual </w:t>
      </w:r>
      <w:r w:rsidRPr="00A477B1">
        <w:rPr>
          <w:rFonts w:ascii="Palatino Linotype" w:eastAsia="Palatino Linotype" w:hAnsi="Palatino Linotype" w:cs="Palatino Linotype"/>
          <w:b/>
          <w:sz w:val="22"/>
          <w:szCs w:val="22"/>
        </w:rPr>
        <w:t>es suficiente para tener por atendido el requerimiento de información</w:t>
      </w:r>
      <w:r w:rsidRPr="00A477B1">
        <w:rPr>
          <w:rFonts w:ascii="Palatino Linotype" w:eastAsia="Palatino Linotype" w:hAnsi="Palatino Linotype" w:cs="Palatino Linotype"/>
          <w:sz w:val="22"/>
          <w:szCs w:val="22"/>
        </w:rPr>
        <w:t xml:space="preserve">, ya que es claro que existe una notoria incompetencia por parte del </w:t>
      </w:r>
      <w:r w:rsidRPr="00A477B1">
        <w:rPr>
          <w:rFonts w:ascii="Palatino Linotype" w:eastAsia="Palatino Linotype" w:hAnsi="Palatino Linotype" w:cs="Palatino Linotype"/>
          <w:b/>
          <w:sz w:val="22"/>
          <w:szCs w:val="22"/>
        </w:rPr>
        <w:t xml:space="preserve">Sujeto Obligado </w:t>
      </w:r>
      <w:r w:rsidRPr="00A477B1">
        <w:rPr>
          <w:rFonts w:ascii="Palatino Linotype" w:eastAsia="Palatino Linotype" w:hAnsi="Palatino Linotype" w:cs="Palatino Linotype"/>
          <w:sz w:val="22"/>
          <w:szCs w:val="22"/>
        </w:rPr>
        <w:t>para atender lo peticionado.</w:t>
      </w:r>
    </w:p>
    <w:p w14:paraId="6B316E05" w14:textId="77777777" w:rsidR="007571E3" w:rsidRPr="00A477B1" w:rsidRDefault="007571E3" w:rsidP="007571E3">
      <w:pPr>
        <w:spacing w:line="360" w:lineRule="auto"/>
        <w:jc w:val="both"/>
        <w:rPr>
          <w:rFonts w:ascii="Palatino Linotype" w:eastAsia="Palatino Linotype" w:hAnsi="Palatino Linotype" w:cs="Palatino Linotype"/>
          <w:sz w:val="22"/>
          <w:szCs w:val="22"/>
        </w:rPr>
      </w:pPr>
    </w:p>
    <w:p w14:paraId="6256B3EB" w14:textId="77777777" w:rsidR="007571E3" w:rsidRPr="00A477B1" w:rsidRDefault="007571E3" w:rsidP="007571E3">
      <w:pPr>
        <w:spacing w:line="360" w:lineRule="auto"/>
        <w:ind w:right="139"/>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De tal forma que, respecto a la Declaración de Incompetencia la Ley de Transparencia y Acceso a la Información Pública del Estado de México y Municipios, establece, en los artículos 49, fracción II y 167, lo siguiente: </w:t>
      </w:r>
    </w:p>
    <w:p w14:paraId="3341332F" w14:textId="77777777" w:rsidR="007571E3" w:rsidRPr="00A477B1" w:rsidRDefault="007571E3" w:rsidP="007571E3">
      <w:pPr>
        <w:spacing w:line="360" w:lineRule="auto"/>
        <w:ind w:right="139"/>
        <w:jc w:val="both"/>
        <w:rPr>
          <w:rFonts w:ascii="Palatino Linotype" w:eastAsia="Palatino Linotype" w:hAnsi="Palatino Linotype" w:cs="Palatino Linotype"/>
          <w:sz w:val="22"/>
          <w:szCs w:val="22"/>
        </w:rPr>
      </w:pPr>
    </w:p>
    <w:p w14:paraId="675572BB" w14:textId="77777777" w:rsidR="007571E3" w:rsidRPr="00A477B1" w:rsidRDefault="007571E3" w:rsidP="007571E3">
      <w:pPr>
        <w:tabs>
          <w:tab w:val="left" w:pos="851"/>
        </w:tabs>
        <w:ind w:left="851" w:right="902"/>
        <w:jc w:val="both"/>
        <w:rPr>
          <w:rFonts w:ascii="Palatino Linotype" w:eastAsia="Palatino Linotype" w:hAnsi="Palatino Linotype" w:cs="Palatino Linotype"/>
          <w:i/>
          <w:sz w:val="22"/>
          <w:szCs w:val="22"/>
        </w:rPr>
      </w:pPr>
      <w:r w:rsidRPr="00A477B1">
        <w:rPr>
          <w:rFonts w:ascii="Palatino Linotype" w:eastAsia="Palatino Linotype" w:hAnsi="Palatino Linotype" w:cs="Palatino Linotype"/>
          <w:i/>
          <w:sz w:val="22"/>
          <w:szCs w:val="22"/>
        </w:rPr>
        <w:t>“</w:t>
      </w:r>
      <w:r w:rsidRPr="00A477B1">
        <w:rPr>
          <w:rFonts w:ascii="Palatino Linotype" w:eastAsia="Palatino Linotype" w:hAnsi="Palatino Linotype" w:cs="Palatino Linotype"/>
          <w:b/>
          <w:i/>
          <w:sz w:val="22"/>
          <w:szCs w:val="22"/>
        </w:rPr>
        <w:t>Artículo 49.</w:t>
      </w:r>
      <w:r w:rsidRPr="00A477B1">
        <w:rPr>
          <w:rFonts w:ascii="Palatino Linotype" w:eastAsia="Palatino Linotype" w:hAnsi="Palatino Linotype" w:cs="Palatino Linotype"/>
          <w:i/>
          <w:sz w:val="22"/>
          <w:szCs w:val="22"/>
        </w:rPr>
        <w:t xml:space="preserve"> </w:t>
      </w:r>
      <w:r w:rsidRPr="00A477B1">
        <w:rPr>
          <w:rFonts w:ascii="Palatino Linotype" w:eastAsia="Palatino Linotype" w:hAnsi="Palatino Linotype" w:cs="Palatino Linotype"/>
          <w:b/>
          <w:i/>
          <w:sz w:val="22"/>
          <w:szCs w:val="22"/>
        </w:rPr>
        <w:t>Los Comités de Transparencia</w:t>
      </w:r>
      <w:r w:rsidRPr="00A477B1">
        <w:rPr>
          <w:rFonts w:ascii="Palatino Linotype" w:eastAsia="Palatino Linotype" w:hAnsi="Palatino Linotype" w:cs="Palatino Linotype"/>
          <w:i/>
          <w:sz w:val="22"/>
          <w:szCs w:val="22"/>
        </w:rPr>
        <w:t xml:space="preserve"> tendrán las siguientes atribuciones:</w:t>
      </w:r>
    </w:p>
    <w:p w14:paraId="541F55E9" w14:textId="77777777" w:rsidR="007571E3" w:rsidRPr="00A477B1" w:rsidRDefault="007571E3" w:rsidP="007571E3">
      <w:pPr>
        <w:tabs>
          <w:tab w:val="left" w:pos="851"/>
        </w:tabs>
        <w:ind w:left="851" w:right="902"/>
        <w:jc w:val="both"/>
        <w:rPr>
          <w:rFonts w:ascii="Palatino Linotype" w:eastAsia="Palatino Linotype" w:hAnsi="Palatino Linotype" w:cs="Palatino Linotype"/>
          <w:b/>
          <w:i/>
          <w:sz w:val="22"/>
          <w:szCs w:val="22"/>
        </w:rPr>
      </w:pPr>
      <w:r w:rsidRPr="00A477B1">
        <w:rPr>
          <w:rFonts w:ascii="Palatino Linotype" w:eastAsia="Palatino Linotype" w:hAnsi="Palatino Linotype" w:cs="Palatino Linotype"/>
          <w:b/>
          <w:i/>
          <w:sz w:val="22"/>
          <w:szCs w:val="22"/>
        </w:rPr>
        <w:t>...</w:t>
      </w:r>
    </w:p>
    <w:p w14:paraId="512FADA6" w14:textId="77777777" w:rsidR="007571E3" w:rsidRPr="00A477B1" w:rsidRDefault="007571E3" w:rsidP="007571E3">
      <w:pPr>
        <w:tabs>
          <w:tab w:val="left" w:pos="851"/>
        </w:tabs>
        <w:ind w:left="851" w:right="902"/>
        <w:jc w:val="both"/>
        <w:rPr>
          <w:rFonts w:ascii="Palatino Linotype" w:eastAsia="Palatino Linotype" w:hAnsi="Palatino Linotype" w:cs="Palatino Linotype"/>
          <w:b/>
          <w:i/>
          <w:sz w:val="22"/>
          <w:szCs w:val="22"/>
          <w:u w:val="single"/>
        </w:rPr>
      </w:pPr>
      <w:r w:rsidRPr="00A477B1">
        <w:rPr>
          <w:rFonts w:ascii="Palatino Linotype" w:eastAsia="Palatino Linotype" w:hAnsi="Palatino Linotype" w:cs="Palatino Linotype"/>
          <w:b/>
          <w:i/>
          <w:sz w:val="22"/>
          <w:szCs w:val="22"/>
        </w:rPr>
        <w:t>II.</w:t>
      </w:r>
      <w:r w:rsidRPr="00A477B1">
        <w:rPr>
          <w:sz w:val="22"/>
          <w:szCs w:val="22"/>
        </w:rPr>
        <w:t xml:space="preserve"> </w:t>
      </w:r>
      <w:r w:rsidRPr="00A477B1">
        <w:rPr>
          <w:rFonts w:ascii="Palatino Linotype" w:eastAsia="Palatino Linotype" w:hAnsi="Palatino Linotype" w:cs="Palatino Linotype"/>
          <w:b/>
          <w:i/>
          <w:sz w:val="22"/>
          <w:szCs w:val="22"/>
        </w:rPr>
        <w:t>Confirmar, modificar o revocar</w:t>
      </w:r>
      <w:r w:rsidRPr="00A477B1">
        <w:rPr>
          <w:rFonts w:ascii="Palatino Linotype" w:eastAsia="Palatino Linotype" w:hAnsi="Palatino Linotype" w:cs="Palatino Linotype"/>
          <w:i/>
          <w:sz w:val="22"/>
          <w:szCs w:val="22"/>
        </w:rPr>
        <w:t xml:space="preserve"> las determinaciones </w:t>
      </w:r>
      <w:proofErr w:type="gramStart"/>
      <w:r w:rsidRPr="00A477B1">
        <w:rPr>
          <w:rFonts w:ascii="Palatino Linotype" w:eastAsia="Palatino Linotype" w:hAnsi="Palatino Linotype" w:cs="Palatino Linotype"/>
          <w:i/>
          <w:sz w:val="22"/>
          <w:szCs w:val="22"/>
        </w:rPr>
        <w:t>que</w:t>
      </w:r>
      <w:proofErr w:type="gramEnd"/>
      <w:r w:rsidRPr="00A477B1">
        <w:rPr>
          <w:rFonts w:ascii="Palatino Linotype" w:eastAsia="Palatino Linotype" w:hAnsi="Palatino Linotype" w:cs="Palatino Linotype"/>
          <w:i/>
          <w:sz w:val="22"/>
          <w:szCs w:val="22"/>
        </w:rPr>
        <w:t xml:space="preserve"> en materia de ampliación del plazo de respuesta, clasificación de la información </w:t>
      </w:r>
      <w:r w:rsidRPr="00A477B1">
        <w:rPr>
          <w:rFonts w:ascii="Palatino Linotype" w:eastAsia="Palatino Linotype" w:hAnsi="Palatino Linotype" w:cs="Palatino Linotype"/>
          <w:b/>
          <w:i/>
          <w:sz w:val="22"/>
          <w:szCs w:val="22"/>
        </w:rPr>
        <w:t>y declaración</w:t>
      </w:r>
      <w:r w:rsidRPr="00A477B1">
        <w:rPr>
          <w:rFonts w:ascii="Palatino Linotype" w:eastAsia="Palatino Linotype" w:hAnsi="Palatino Linotype" w:cs="Palatino Linotype"/>
          <w:i/>
          <w:sz w:val="22"/>
          <w:szCs w:val="22"/>
        </w:rPr>
        <w:t xml:space="preserve"> de inexistencia o </w:t>
      </w:r>
      <w:r w:rsidRPr="00A477B1">
        <w:rPr>
          <w:rFonts w:ascii="Palatino Linotype" w:eastAsia="Palatino Linotype" w:hAnsi="Palatino Linotype" w:cs="Palatino Linotype"/>
          <w:b/>
          <w:i/>
          <w:sz w:val="22"/>
          <w:szCs w:val="22"/>
        </w:rPr>
        <w:t>de incompetencia realicen los titulares de las áreas de los sujetos obligados;</w:t>
      </w:r>
    </w:p>
    <w:p w14:paraId="2D25A9A0" w14:textId="77777777" w:rsidR="007571E3" w:rsidRPr="00A477B1" w:rsidRDefault="007571E3" w:rsidP="007571E3">
      <w:pPr>
        <w:tabs>
          <w:tab w:val="left" w:pos="851"/>
        </w:tabs>
        <w:ind w:left="851" w:right="902"/>
        <w:jc w:val="both"/>
        <w:rPr>
          <w:rFonts w:ascii="Palatino Linotype" w:eastAsia="Palatino Linotype" w:hAnsi="Palatino Linotype" w:cs="Palatino Linotype"/>
          <w:b/>
          <w:i/>
          <w:sz w:val="22"/>
          <w:szCs w:val="22"/>
        </w:rPr>
      </w:pPr>
      <w:r w:rsidRPr="00A477B1">
        <w:rPr>
          <w:rFonts w:ascii="Palatino Linotype" w:eastAsia="Palatino Linotype" w:hAnsi="Palatino Linotype" w:cs="Palatino Linotype"/>
          <w:b/>
          <w:i/>
          <w:sz w:val="22"/>
          <w:szCs w:val="22"/>
        </w:rPr>
        <w:t>...</w:t>
      </w:r>
    </w:p>
    <w:p w14:paraId="18E91D51" w14:textId="77777777" w:rsidR="007571E3" w:rsidRPr="00A477B1" w:rsidRDefault="007571E3" w:rsidP="007571E3">
      <w:pPr>
        <w:tabs>
          <w:tab w:val="left" w:pos="851"/>
        </w:tabs>
        <w:ind w:left="851" w:right="902"/>
        <w:jc w:val="both"/>
        <w:rPr>
          <w:rFonts w:ascii="Palatino Linotype" w:eastAsia="Palatino Linotype" w:hAnsi="Palatino Linotype" w:cs="Palatino Linotype"/>
          <w:b/>
          <w:i/>
          <w:sz w:val="22"/>
          <w:szCs w:val="22"/>
        </w:rPr>
      </w:pPr>
      <w:r w:rsidRPr="00A477B1">
        <w:rPr>
          <w:rFonts w:ascii="Palatino Linotype" w:eastAsia="Palatino Linotype" w:hAnsi="Palatino Linotype" w:cs="Palatino Linotype"/>
          <w:b/>
          <w:i/>
          <w:sz w:val="22"/>
          <w:szCs w:val="22"/>
        </w:rPr>
        <w:t>Artículo 167</w:t>
      </w:r>
      <w:r w:rsidRPr="00A477B1">
        <w:rPr>
          <w:rFonts w:ascii="Palatino Linotype" w:eastAsia="Palatino Linotype" w:hAnsi="Palatino Linotype" w:cs="Palatino Linotype"/>
          <w:i/>
          <w:sz w:val="22"/>
          <w:szCs w:val="22"/>
        </w:rPr>
        <w:t xml:space="preserve">. </w:t>
      </w:r>
      <w:r w:rsidRPr="00A477B1">
        <w:rPr>
          <w:rFonts w:ascii="Palatino Linotype" w:eastAsia="Palatino Linotype" w:hAnsi="Palatino Linotype" w:cs="Palatino Linotype"/>
          <w:b/>
          <w:i/>
          <w:sz w:val="22"/>
          <w:szCs w:val="22"/>
        </w:rPr>
        <w:t>Cuando las unidades de transparencia determinen la notoria incompetencia</w:t>
      </w:r>
      <w:r w:rsidRPr="00A477B1">
        <w:rPr>
          <w:rFonts w:ascii="Palatino Linotype" w:eastAsia="Palatino Linotype" w:hAnsi="Palatino Linotype" w:cs="Palatino Linotype"/>
          <w:i/>
          <w:sz w:val="22"/>
          <w:szCs w:val="22"/>
        </w:rPr>
        <w:t xml:space="preserve"> por parte de los sujetos obligados, dentro del ámbito de aplicación, para atender la solicitud de acceso a la información, </w:t>
      </w:r>
      <w:r w:rsidRPr="00A477B1">
        <w:rPr>
          <w:rFonts w:ascii="Palatino Linotype" w:eastAsia="Palatino Linotype" w:hAnsi="Palatino Linotype" w:cs="Palatino Linotype"/>
          <w:b/>
          <w:i/>
          <w:sz w:val="22"/>
          <w:szCs w:val="22"/>
        </w:rPr>
        <w:t>deberán comunicarlo al solicitante, dentro de los tres días hábiles posteriores a la recepción de la solicitud</w:t>
      </w:r>
      <w:r w:rsidRPr="00A477B1">
        <w:rPr>
          <w:rFonts w:ascii="Palatino Linotype" w:eastAsia="Palatino Linotype" w:hAnsi="Palatino Linotype" w:cs="Palatino Linotype"/>
          <w:i/>
          <w:sz w:val="22"/>
          <w:szCs w:val="22"/>
        </w:rPr>
        <w:t xml:space="preserve"> y, </w:t>
      </w:r>
      <w:r w:rsidRPr="00A477B1">
        <w:rPr>
          <w:rFonts w:ascii="Palatino Linotype" w:eastAsia="Palatino Linotype" w:hAnsi="Palatino Linotype" w:cs="Palatino Linotype"/>
          <w:b/>
          <w:i/>
          <w:sz w:val="22"/>
          <w:szCs w:val="22"/>
        </w:rPr>
        <w:t xml:space="preserve">en su caso orientar al solicitante, el o los sujetos obligados competentes.” </w:t>
      </w:r>
    </w:p>
    <w:p w14:paraId="42167D20" w14:textId="77777777" w:rsidR="007571E3" w:rsidRPr="00A477B1" w:rsidRDefault="007571E3" w:rsidP="007571E3">
      <w:pPr>
        <w:tabs>
          <w:tab w:val="left" w:pos="142"/>
          <w:tab w:val="left" w:pos="284"/>
        </w:tabs>
        <w:spacing w:line="360" w:lineRule="auto"/>
        <w:jc w:val="both"/>
        <w:rPr>
          <w:rFonts w:ascii="Palatino Linotype" w:eastAsia="Palatino Linotype" w:hAnsi="Palatino Linotype" w:cs="Palatino Linotype"/>
          <w:sz w:val="22"/>
          <w:szCs w:val="22"/>
        </w:rPr>
      </w:pPr>
    </w:p>
    <w:p w14:paraId="73CB0026" w14:textId="77777777" w:rsidR="007571E3" w:rsidRPr="00A477B1" w:rsidRDefault="007571E3" w:rsidP="007571E3">
      <w:pPr>
        <w:tabs>
          <w:tab w:val="left" w:pos="142"/>
          <w:tab w:val="left" w:pos="284"/>
        </w:tabs>
        <w:spacing w:line="360" w:lineRule="auto"/>
        <w:jc w:val="both"/>
        <w:rPr>
          <w:rFonts w:ascii="Palatino Linotype" w:eastAsia="Palatino Linotype" w:hAnsi="Palatino Linotype" w:cs="Palatino Linotype"/>
          <w:b/>
          <w:sz w:val="22"/>
          <w:szCs w:val="22"/>
        </w:rPr>
      </w:pPr>
      <w:r w:rsidRPr="00A477B1">
        <w:rPr>
          <w:rFonts w:ascii="Palatino Linotype" w:eastAsia="Palatino Linotype" w:hAnsi="Palatino Linotype" w:cs="Palatino Linotype"/>
          <w:sz w:val="22"/>
          <w:szCs w:val="22"/>
        </w:rPr>
        <w:lastRenderedPageBreak/>
        <w:t>De los preceptos citados se desprende que es atribución del Comité de Transparencia confirmar, modificar o revocar, en su caso, la declaración de incompetencia,</w:t>
      </w:r>
      <w:r w:rsidRPr="00A477B1">
        <w:rPr>
          <w:rFonts w:ascii="Palatino Linotype" w:eastAsia="Palatino Linotype" w:hAnsi="Palatino Linotype" w:cs="Palatino Linotype"/>
          <w:b/>
          <w:sz w:val="22"/>
          <w:szCs w:val="22"/>
        </w:rPr>
        <w:t xml:space="preserve"> en aquellos casos en los que no se trate de una notoria incompetencia. </w:t>
      </w:r>
    </w:p>
    <w:p w14:paraId="4DD1B59A" w14:textId="77777777" w:rsidR="007571E3" w:rsidRPr="00A477B1" w:rsidRDefault="007571E3" w:rsidP="007571E3">
      <w:pPr>
        <w:tabs>
          <w:tab w:val="left" w:pos="142"/>
          <w:tab w:val="left" w:pos="284"/>
        </w:tabs>
        <w:spacing w:line="360" w:lineRule="auto"/>
        <w:jc w:val="both"/>
        <w:rPr>
          <w:rFonts w:ascii="Palatino Linotype" w:eastAsia="Palatino Linotype" w:hAnsi="Palatino Linotype" w:cs="Palatino Linotype"/>
          <w:sz w:val="22"/>
          <w:szCs w:val="22"/>
        </w:rPr>
      </w:pPr>
    </w:p>
    <w:p w14:paraId="0130C245" w14:textId="77777777" w:rsidR="007571E3" w:rsidRPr="00A477B1" w:rsidRDefault="007571E3" w:rsidP="007571E3">
      <w:pPr>
        <w:tabs>
          <w:tab w:val="left" w:pos="142"/>
          <w:tab w:val="left" w:pos="284"/>
        </w:tabs>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Puesto que la Ley también prevé que dicho acuerdo no es necesario cuando la Unidad de Transparencia determine que la incompetencia es notoria dando un plazo de tres días hábiles para hacerlo del conocimiento del particular, por lo que si bien, en el caso particular, no fue respetado dicho plazo, ello no cambia la circunstancia de que la incompetencia del sujeto obligado para dar atención a la solicitud de información siga siendo notoria. </w:t>
      </w:r>
    </w:p>
    <w:p w14:paraId="46998511" w14:textId="77777777" w:rsidR="007571E3" w:rsidRPr="00A477B1" w:rsidRDefault="007571E3" w:rsidP="007571E3">
      <w:pPr>
        <w:tabs>
          <w:tab w:val="left" w:pos="142"/>
          <w:tab w:val="left" w:pos="284"/>
        </w:tabs>
        <w:spacing w:line="360" w:lineRule="auto"/>
        <w:jc w:val="both"/>
        <w:rPr>
          <w:rFonts w:ascii="Palatino Linotype" w:eastAsia="Palatino Linotype" w:hAnsi="Palatino Linotype" w:cs="Palatino Linotype"/>
          <w:sz w:val="22"/>
          <w:szCs w:val="22"/>
        </w:rPr>
      </w:pPr>
    </w:p>
    <w:p w14:paraId="0A92B944" w14:textId="77777777" w:rsidR="007571E3" w:rsidRPr="00A477B1" w:rsidRDefault="007571E3" w:rsidP="007571E3">
      <w:pPr>
        <w:tabs>
          <w:tab w:val="left" w:pos="142"/>
          <w:tab w:val="left" w:pos="284"/>
        </w:tabs>
        <w:spacing w:line="360" w:lineRule="auto"/>
        <w:jc w:val="both"/>
        <w:rPr>
          <w:rFonts w:ascii="Palatino Linotype" w:eastAsia="Palatino Linotype" w:hAnsi="Palatino Linotype" w:cs="Palatino Linotype"/>
          <w:sz w:val="22"/>
          <w:szCs w:val="22"/>
          <w:u w:val="single"/>
        </w:rPr>
      </w:pPr>
      <w:r w:rsidRPr="00A477B1">
        <w:rPr>
          <w:rFonts w:ascii="Palatino Linotype" w:eastAsia="Palatino Linotype" w:hAnsi="Palatino Linotype" w:cs="Palatino Linotype"/>
          <w:sz w:val="22"/>
          <w:szCs w:val="22"/>
        </w:rPr>
        <w:t xml:space="preserve">En otras palabras, la Ley de la Materia confiere a las Unidades de Transparencia la posibilidad de notificar la incompetencia cuando esta sea notoria, siendo innecesario que dicha circunstancia sea sometida a consideración de los integrantes del Comité de Transparencia </w:t>
      </w:r>
      <w:r w:rsidRPr="00A477B1">
        <w:rPr>
          <w:rFonts w:ascii="Palatino Linotype" w:eastAsia="Palatino Linotype" w:hAnsi="Palatino Linotype" w:cs="Palatino Linotype"/>
          <w:sz w:val="22"/>
          <w:szCs w:val="22"/>
          <w:u w:val="single"/>
        </w:rPr>
        <w:t xml:space="preserve">para su aprobación. </w:t>
      </w:r>
    </w:p>
    <w:p w14:paraId="39DA2DB6" w14:textId="77777777" w:rsidR="007571E3" w:rsidRPr="00A477B1" w:rsidRDefault="007571E3" w:rsidP="007571E3">
      <w:pPr>
        <w:spacing w:line="360" w:lineRule="auto"/>
        <w:ind w:right="18"/>
        <w:jc w:val="both"/>
        <w:rPr>
          <w:rFonts w:ascii="Palatino Linotype" w:eastAsia="Palatino Linotype" w:hAnsi="Palatino Linotype" w:cs="Palatino Linotype"/>
          <w:sz w:val="22"/>
          <w:szCs w:val="22"/>
        </w:rPr>
      </w:pPr>
    </w:p>
    <w:p w14:paraId="021867F4" w14:textId="77777777" w:rsidR="007571E3" w:rsidRPr="00A477B1" w:rsidRDefault="007571E3" w:rsidP="007571E3">
      <w:pPr>
        <w:spacing w:line="360" w:lineRule="auto"/>
        <w:ind w:right="18"/>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Como sustento de lo anterior, resulta aplicable el Criterio 20/20, emitido por el entonces Instituto Nacional de Transparencia, Acceso a la Información, y Protección de Datos Personales, INAI, que lleva por rubro y texto los siguientes:  </w:t>
      </w:r>
    </w:p>
    <w:p w14:paraId="7D589E08" w14:textId="77777777" w:rsidR="007571E3" w:rsidRPr="00A477B1" w:rsidRDefault="007571E3" w:rsidP="007571E3">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4BB3810F" w14:textId="77777777" w:rsidR="007571E3" w:rsidRPr="00A477B1" w:rsidRDefault="007571E3" w:rsidP="007571E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A477B1">
        <w:rPr>
          <w:rFonts w:ascii="Palatino Linotype" w:eastAsia="Palatino Linotype" w:hAnsi="Palatino Linotype" w:cs="Palatino Linotype"/>
          <w:b/>
          <w:i/>
          <w:sz w:val="22"/>
          <w:szCs w:val="22"/>
        </w:rPr>
        <w:t>“Declaración de incompetencia por parte del Comité, cuando no sea notoria o manifiesta.</w:t>
      </w:r>
      <w:r w:rsidRPr="00A477B1">
        <w:rPr>
          <w:rFonts w:ascii="Palatino Linotype" w:eastAsia="Palatino Linotype" w:hAnsi="Palatino Linotype" w:cs="Palatino Linotype"/>
          <w:i/>
          <w:sz w:val="22"/>
          <w:szCs w:val="22"/>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406AF96F" w14:textId="77777777" w:rsidR="007571E3" w:rsidRPr="00A477B1" w:rsidRDefault="007571E3" w:rsidP="007571E3">
      <w:pPr>
        <w:tabs>
          <w:tab w:val="left" w:pos="142"/>
          <w:tab w:val="left" w:pos="284"/>
        </w:tabs>
        <w:spacing w:line="360" w:lineRule="auto"/>
        <w:jc w:val="both"/>
        <w:rPr>
          <w:rFonts w:ascii="Palatino Linotype" w:eastAsia="Palatino Linotype" w:hAnsi="Palatino Linotype" w:cs="Palatino Linotype"/>
          <w:sz w:val="22"/>
          <w:szCs w:val="22"/>
        </w:rPr>
      </w:pPr>
    </w:p>
    <w:p w14:paraId="62F0011F" w14:textId="77777777" w:rsidR="007571E3" w:rsidRPr="00A477B1" w:rsidRDefault="007571E3" w:rsidP="007571E3">
      <w:pPr>
        <w:tabs>
          <w:tab w:val="left" w:pos="142"/>
          <w:tab w:val="left" w:pos="284"/>
        </w:tabs>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De igual manera, el Pleno de este Instituto, a través del Criterio 02/04 emitido en la Segunda Época, precisa los alcances del artículo 167 de la Ley de Transparencia, al señalar que </w:t>
      </w:r>
      <w:r w:rsidRPr="00A477B1">
        <w:rPr>
          <w:rFonts w:ascii="Palatino Linotype" w:eastAsia="Palatino Linotype" w:hAnsi="Palatino Linotype" w:cs="Palatino Linotype"/>
          <w:sz w:val="22"/>
          <w:szCs w:val="22"/>
        </w:rPr>
        <w:lastRenderedPageBreak/>
        <w:t>corresponde al Comité de Transparencia confirmar la declaratoria de incompetencia y notificarle dicha determinación al particular, refiriéndose a aquellos casos en los que exista</w:t>
      </w:r>
      <w:r w:rsidRPr="00A477B1">
        <w:rPr>
          <w:rFonts w:ascii="Palatino Linotype" w:eastAsia="Palatino Linotype" w:hAnsi="Palatino Linotype" w:cs="Palatino Linotype"/>
          <w:b/>
          <w:sz w:val="22"/>
          <w:szCs w:val="22"/>
        </w:rPr>
        <w:t xml:space="preserve"> </w:t>
      </w:r>
      <w:r w:rsidRPr="00A477B1">
        <w:rPr>
          <w:rFonts w:ascii="Palatino Linotype" w:eastAsia="Palatino Linotype" w:hAnsi="Palatino Linotype" w:cs="Palatino Linotype"/>
          <w:b/>
          <w:sz w:val="22"/>
          <w:szCs w:val="22"/>
          <w:u w:val="single"/>
        </w:rPr>
        <w:t>duda razonable sobre la administración del documento materia de la solicitud de información</w:t>
      </w:r>
      <w:r w:rsidRPr="00A477B1">
        <w:rPr>
          <w:rFonts w:ascii="Palatino Linotype" w:eastAsia="Palatino Linotype" w:hAnsi="Palatino Linotype" w:cs="Palatino Linotype"/>
          <w:sz w:val="22"/>
          <w:szCs w:val="22"/>
        </w:rPr>
        <w:t>, como se lee enseguida:</w:t>
      </w:r>
    </w:p>
    <w:p w14:paraId="2C67EE62" w14:textId="77777777" w:rsidR="007571E3" w:rsidRPr="00A477B1" w:rsidRDefault="007571E3" w:rsidP="007571E3">
      <w:pPr>
        <w:spacing w:line="276" w:lineRule="auto"/>
        <w:ind w:left="851" w:right="900"/>
        <w:jc w:val="both"/>
        <w:rPr>
          <w:rFonts w:ascii="Palatino Linotype" w:eastAsia="Palatino Linotype" w:hAnsi="Palatino Linotype" w:cs="Palatino Linotype"/>
          <w:b/>
          <w:i/>
          <w:sz w:val="22"/>
          <w:szCs w:val="22"/>
        </w:rPr>
      </w:pPr>
    </w:p>
    <w:p w14:paraId="2A310390" w14:textId="77777777" w:rsidR="007571E3" w:rsidRPr="00A477B1" w:rsidRDefault="007571E3" w:rsidP="007571E3">
      <w:pPr>
        <w:spacing w:line="276" w:lineRule="auto"/>
        <w:ind w:left="851" w:right="900"/>
        <w:jc w:val="both"/>
        <w:rPr>
          <w:rFonts w:ascii="Palatino Linotype" w:eastAsia="Palatino Linotype" w:hAnsi="Palatino Linotype" w:cs="Palatino Linotype"/>
          <w:i/>
          <w:sz w:val="22"/>
          <w:szCs w:val="22"/>
        </w:rPr>
      </w:pPr>
      <w:r w:rsidRPr="00A477B1">
        <w:rPr>
          <w:rFonts w:ascii="Palatino Linotype" w:eastAsia="Palatino Linotype" w:hAnsi="Palatino Linotype" w:cs="Palatino Linotype"/>
          <w:b/>
          <w:i/>
          <w:sz w:val="22"/>
          <w:szCs w:val="22"/>
        </w:rPr>
        <w:t xml:space="preserve">“DECLARATORIA DE INCOMPETENCIA DEL SUJETO OBLIGADO. SUPUESTO PARA CONFIRMARLA POR ACUERDO DEL COMITÉ DE TRANSPARENCIA. </w:t>
      </w:r>
      <w:r w:rsidRPr="00A477B1">
        <w:rPr>
          <w:rFonts w:ascii="Palatino Linotype" w:eastAsia="Palatino Linotype" w:hAnsi="Palatino Linotype" w:cs="Palatino Linotype"/>
          <w:i/>
          <w:sz w:val="22"/>
          <w:szCs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w:t>
      </w:r>
      <w:proofErr w:type="gramStart"/>
      <w:r w:rsidRPr="00A477B1">
        <w:rPr>
          <w:rFonts w:ascii="Palatino Linotype" w:eastAsia="Palatino Linotype" w:hAnsi="Palatino Linotype" w:cs="Palatino Linotype"/>
          <w:i/>
          <w:sz w:val="22"/>
          <w:szCs w:val="22"/>
        </w:rPr>
        <w:t>la misma</w:t>
      </w:r>
      <w:proofErr w:type="gramEnd"/>
      <w:r w:rsidRPr="00A477B1">
        <w:rPr>
          <w:rFonts w:ascii="Palatino Linotype" w:eastAsia="Palatino Linotype" w:hAnsi="Palatino Linotype" w:cs="Palatino Linotype"/>
          <w:i/>
          <w:sz w:val="22"/>
          <w:szCs w:val="22"/>
        </w:rPr>
        <w:t xml:space="preserve">, así como en su caso, orientar al particular sobre el o los Sujetos Obligados competentes para su atención. No obstante, es importante resaltar que </w:t>
      </w:r>
      <w:r w:rsidRPr="00A477B1">
        <w:rPr>
          <w:rFonts w:ascii="Palatino Linotype" w:eastAsia="Palatino Linotype" w:hAnsi="Palatino Linotype" w:cs="Palatino Linotype"/>
          <w:b/>
          <w:i/>
          <w:sz w:val="22"/>
          <w:szCs w:val="22"/>
        </w:rPr>
        <w:t xml:space="preserve">al ejercer el derecho de acceso a la información pública cabe la posibilidad de que existan atribuciones concurrentes entre dos o más Sujetos Obligados que </w:t>
      </w:r>
      <w:r w:rsidRPr="00A477B1">
        <w:rPr>
          <w:rFonts w:ascii="Palatino Linotype" w:eastAsia="Palatino Linotype" w:hAnsi="Palatino Linotype" w:cs="Palatino Linotype"/>
          <w:b/>
          <w:i/>
          <w:sz w:val="22"/>
          <w:szCs w:val="22"/>
          <w:u w:val="single"/>
        </w:rPr>
        <w:t>impiden determinar dentro del término legal de tres días hábiles</w:t>
      </w:r>
      <w:r w:rsidRPr="00A477B1">
        <w:rPr>
          <w:rFonts w:ascii="Palatino Linotype" w:eastAsia="Palatino Linotype" w:hAnsi="Palatino Linotype" w:cs="Palatino Linotype"/>
          <w:b/>
          <w:i/>
          <w:sz w:val="22"/>
          <w:szCs w:val="22"/>
        </w:rPr>
        <w:t>, si se posee o no la información por el Sujeto Obligado requerid</w:t>
      </w:r>
      <w:r w:rsidRPr="00A477B1">
        <w:rPr>
          <w:rFonts w:ascii="Palatino Linotype" w:eastAsia="Palatino Linotype" w:hAnsi="Palatino Linotype" w:cs="Palatino Linotype"/>
          <w:i/>
          <w:sz w:val="22"/>
          <w:szCs w:val="22"/>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35627C9C" w14:textId="77777777" w:rsidR="007571E3" w:rsidRPr="00A477B1" w:rsidRDefault="007571E3" w:rsidP="007571E3">
      <w:pPr>
        <w:spacing w:line="360" w:lineRule="auto"/>
        <w:jc w:val="both"/>
        <w:rPr>
          <w:rFonts w:ascii="Palatino Linotype" w:eastAsia="Palatino Linotype" w:hAnsi="Palatino Linotype" w:cs="Palatino Linotype"/>
          <w:i/>
          <w:sz w:val="22"/>
          <w:szCs w:val="22"/>
        </w:rPr>
      </w:pPr>
    </w:p>
    <w:p w14:paraId="1E534996" w14:textId="396BAB34" w:rsidR="007571E3" w:rsidRPr="00A477B1" w:rsidRDefault="007571E3" w:rsidP="007571E3">
      <w:pPr>
        <w:spacing w:line="360" w:lineRule="auto"/>
        <w:jc w:val="both"/>
        <w:rPr>
          <w:rFonts w:ascii="Palatino Linotype" w:eastAsia="Palatino Linotype" w:hAnsi="Palatino Linotype" w:cs="Palatino Linotype"/>
          <w:b/>
          <w:sz w:val="22"/>
          <w:szCs w:val="22"/>
          <w:u w:val="single"/>
        </w:rPr>
      </w:pPr>
      <w:r w:rsidRPr="00A477B1">
        <w:rPr>
          <w:rFonts w:ascii="Palatino Linotype" w:eastAsia="Palatino Linotype" w:hAnsi="Palatino Linotype" w:cs="Palatino Linotype"/>
          <w:b/>
          <w:sz w:val="22"/>
          <w:szCs w:val="22"/>
        </w:rPr>
        <w:lastRenderedPageBreak/>
        <w:t>Al respecto, si bien en el caso no se declinó la competencia para conocer de lo solicitado en el plazo que establece el artículo 167 de la Ley de Transparencia Local,</w:t>
      </w:r>
      <w:r w:rsidRPr="00A477B1">
        <w:rPr>
          <w:rFonts w:ascii="Palatino Linotype" w:eastAsia="Palatino Linotype" w:hAnsi="Palatino Linotype" w:cs="Palatino Linotype"/>
          <w:sz w:val="22"/>
          <w:szCs w:val="22"/>
        </w:rPr>
        <w:t xml:space="preserve"> también lo es que ordenar al Comité de Transparencia del Sujeto Obligado que sesione para que emita un acuerdo en el que confirme la declaratoria de incompetencia para garantizar el derecho de la parte </w:t>
      </w:r>
      <w:r w:rsidRPr="00A477B1">
        <w:rPr>
          <w:rFonts w:ascii="Palatino Linotype" w:eastAsia="Palatino Linotype" w:hAnsi="Palatino Linotype" w:cs="Palatino Linotype"/>
          <w:b/>
          <w:sz w:val="22"/>
          <w:szCs w:val="22"/>
        </w:rPr>
        <w:t>Recurrente</w:t>
      </w:r>
      <w:r w:rsidRPr="00A477B1">
        <w:rPr>
          <w:rFonts w:ascii="Palatino Linotype" w:eastAsia="Palatino Linotype" w:hAnsi="Palatino Linotype" w:cs="Palatino Linotype"/>
          <w:sz w:val="22"/>
          <w:szCs w:val="22"/>
        </w:rPr>
        <w:t xml:space="preserve">, dilata los plazos del procedimiento, genera una carga adicional al </w:t>
      </w:r>
      <w:r w:rsidRPr="00A477B1">
        <w:rPr>
          <w:rFonts w:ascii="Palatino Linotype" w:eastAsia="Palatino Linotype" w:hAnsi="Palatino Linotype" w:cs="Palatino Linotype"/>
          <w:b/>
          <w:sz w:val="22"/>
          <w:szCs w:val="22"/>
        </w:rPr>
        <w:t>Sujeto Obligado</w:t>
      </w:r>
      <w:r w:rsidRPr="00A477B1">
        <w:rPr>
          <w:rFonts w:ascii="Palatino Linotype" w:eastAsia="Palatino Linotype" w:hAnsi="Palatino Linotype" w:cs="Palatino Linotype"/>
          <w:sz w:val="22"/>
          <w:szCs w:val="22"/>
        </w:rPr>
        <w:t xml:space="preserve">, y </w:t>
      </w:r>
      <w:r w:rsidRPr="00A477B1">
        <w:rPr>
          <w:rFonts w:ascii="Palatino Linotype" w:eastAsia="Palatino Linotype" w:hAnsi="Palatino Linotype" w:cs="Palatino Linotype"/>
          <w:b/>
          <w:sz w:val="22"/>
          <w:szCs w:val="22"/>
          <w:u w:val="single"/>
        </w:rPr>
        <w:t xml:space="preserve">ello no modifica el hecho de que la parte Recurrente no obtendrá la información que es de su interés por esta vía. </w:t>
      </w:r>
    </w:p>
    <w:p w14:paraId="7C3ABBF5" w14:textId="77777777" w:rsidR="007571E3" w:rsidRPr="00A477B1" w:rsidRDefault="007571E3" w:rsidP="007571E3">
      <w:pPr>
        <w:spacing w:line="360" w:lineRule="auto"/>
        <w:jc w:val="both"/>
        <w:rPr>
          <w:rFonts w:ascii="Palatino Linotype" w:eastAsia="Palatino Linotype" w:hAnsi="Palatino Linotype" w:cs="Palatino Linotype"/>
          <w:sz w:val="22"/>
          <w:szCs w:val="22"/>
        </w:rPr>
      </w:pPr>
    </w:p>
    <w:p w14:paraId="7449963E" w14:textId="77777777" w:rsidR="007571E3" w:rsidRPr="00A477B1" w:rsidRDefault="007571E3" w:rsidP="007571E3">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Por ello, instruir al Comité de Transparencia para que sesione y emita una resolución en la que se confirme una notoria incompetencia que ya fue declarada por el </w:t>
      </w:r>
      <w:r w:rsidRPr="00A477B1">
        <w:rPr>
          <w:rFonts w:ascii="Palatino Linotype" w:eastAsia="Palatino Linotype" w:hAnsi="Palatino Linotype" w:cs="Palatino Linotype"/>
          <w:b/>
          <w:sz w:val="22"/>
          <w:szCs w:val="22"/>
        </w:rPr>
        <w:t>Sujeto Obligado</w:t>
      </w:r>
      <w:r w:rsidRPr="00A477B1">
        <w:rPr>
          <w:rFonts w:ascii="Palatino Linotype" w:eastAsia="Palatino Linotype" w:hAnsi="Palatino Linotype" w:cs="Palatino Linotype"/>
          <w:sz w:val="22"/>
          <w:szCs w:val="22"/>
        </w:rPr>
        <w:t xml:space="preserve"> y analizada por este Organismo Garante, se aparta de los principios de sencillez y rapidez establecidos por la Ley de Transparencia y Acceso a la Información Pública del Estado de México y Municipios, en sus artículos 2, fracciones II y III, 21 y 150. </w:t>
      </w:r>
    </w:p>
    <w:p w14:paraId="4615CC9F" w14:textId="77777777" w:rsidR="007571E3" w:rsidRPr="00A477B1" w:rsidRDefault="007571E3" w:rsidP="007571E3">
      <w:pPr>
        <w:spacing w:line="360" w:lineRule="auto"/>
        <w:jc w:val="both"/>
        <w:rPr>
          <w:rFonts w:ascii="Palatino Linotype" w:eastAsia="Palatino Linotype" w:hAnsi="Palatino Linotype" w:cs="Palatino Linotype"/>
          <w:sz w:val="22"/>
          <w:szCs w:val="22"/>
        </w:rPr>
      </w:pPr>
    </w:p>
    <w:p w14:paraId="4D57D297" w14:textId="77777777" w:rsidR="007571E3" w:rsidRPr="00A477B1" w:rsidRDefault="007571E3" w:rsidP="007571E3">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Es por lo que, pese a que el </w:t>
      </w:r>
      <w:r w:rsidRPr="00A477B1">
        <w:rPr>
          <w:rFonts w:ascii="Palatino Linotype" w:eastAsia="Palatino Linotype" w:hAnsi="Palatino Linotype" w:cs="Palatino Linotype"/>
          <w:b/>
          <w:sz w:val="22"/>
          <w:szCs w:val="22"/>
        </w:rPr>
        <w:t>Sujeto Obligado</w:t>
      </w:r>
      <w:r w:rsidRPr="00A477B1">
        <w:rPr>
          <w:rFonts w:ascii="Palatino Linotype" w:eastAsia="Palatino Linotype" w:hAnsi="Palatino Linotype" w:cs="Palatino Linotype"/>
          <w:sz w:val="22"/>
          <w:szCs w:val="22"/>
        </w:rPr>
        <w:t xml:space="preserve"> pretendió declinar su competencia fuera del parámetro temporal que establece la Ley en la materia, también lo es que, en el caso particular no resulta dable ordenar el acuerdo que declare formalmente la incompetencia del </w:t>
      </w:r>
      <w:r w:rsidRPr="00A477B1">
        <w:rPr>
          <w:rFonts w:ascii="Palatino Linotype" w:eastAsia="Palatino Linotype" w:hAnsi="Palatino Linotype" w:cs="Palatino Linotype"/>
          <w:b/>
          <w:sz w:val="22"/>
          <w:szCs w:val="22"/>
        </w:rPr>
        <w:t xml:space="preserve">Sujeto Obligado </w:t>
      </w:r>
      <w:r w:rsidRPr="00A477B1">
        <w:rPr>
          <w:rFonts w:ascii="Palatino Linotype" w:eastAsia="Palatino Linotype" w:hAnsi="Palatino Linotype" w:cs="Palatino Linotype"/>
          <w:sz w:val="22"/>
          <w:szCs w:val="22"/>
        </w:rPr>
        <w:t>pues como se advirtió del estudio la incompetencia resulta notaria.</w:t>
      </w:r>
    </w:p>
    <w:p w14:paraId="3D36DB19" w14:textId="77777777" w:rsidR="007571E3" w:rsidRPr="00A477B1" w:rsidRDefault="007571E3" w:rsidP="007571E3">
      <w:pPr>
        <w:spacing w:line="360" w:lineRule="auto"/>
        <w:jc w:val="both"/>
        <w:rPr>
          <w:rFonts w:ascii="Palatino Linotype" w:eastAsia="Palatino Linotype" w:hAnsi="Palatino Linotype" w:cs="Palatino Linotype"/>
          <w:sz w:val="22"/>
          <w:szCs w:val="22"/>
        </w:rPr>
      </w:pPr>
    </w:p>
    <w:p w14:paraId="7C802BAA" w14:textId="77777777" w:rsidR="007571E3" w:rsidRPr="00A477B1" w:rsidRDefault="007571E3" w:rsidP="007571E3">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Ahora bien, resulta necesario precisar al </w:t>
      </w:r>
      <w:r w:rsidRPr="00A477B1">
        <w:rPr>
          <w:rFonts w:ascii="Palatino Linotype" w:eastAsia="Palatino Linotype" w:hAnsi="Palatino Linotype" w:cs="Palatino Linotype"/>
          <w:b/>
          <w:sz w:val="22"/>
          <w:szCs w:val="22"/>
        </w:rPr>
        <w:t>Sujeto Obligado</w:t>
      </w:r>
      <w:r w:rsidRPr="00A477B1">
        <w:rPr>
          <w:rFonts w:ascii="Palatino Linotype" w:eastAsia="Palatino Linotype" w:hAnsi="Palatino Linotype" w:cs="Palatino Linotype"/>
          <w:sz w:val="22"/>
          <w:szCs w:val="22"/>
        </w:rPr>
        <w:t xml:space="preserve"> que, el hecho de notificar a las personas solicitantes sobre la incompetencia cuando esta sea notoria, dentro del plazo de tres días siguientes a partir de la recepción de las solicitudes, permite que estas puedan presentar sin mayor dilación sus requerimientos de información ante los Sujetos Obligados competentes con la finalidad de obtener la información que es de su interés.</w:t>
      </w:r>
    </w:p>
    <w:p w14:paraId="5C1813F0" w14:textId="77777777" w:rsidR="007571E3" w:rsidRPr="00A477B1" w:rsidRDefault="007571E3" w:rsidP="007571E3">
      <w:pPr>
        <w:spacing w:line="360" w:lineRule="auto"/>
        <w:jc w:val="both"/>
        <w:rPr>
          <w:sz w:val="22"/>
          <w:szCs w:val="22"/>
        </w:rPr>
      </w:pPr>
    </w:p>
    <w:p w14:paraId="22C1CFB5" w14:textId="77777777" w:rsidR="007571E3" w:rsidRPr="00A477B1" w:rsidRDefault="007571E3" w:rsidP="007571E3">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lastRenderedPageBreak/>
        <w:t xml:space="preserve">Es por ello </w:t>
      </w:r>
      <w:proofErr w:type="gramStart"/>
      <w:r w:rsidRPr="00A477B1">
        <w:rPr>
          <w:rFonts w:ascii="Palatino Linotype" w:eastAsia="Palatino Linotype" w:hAnsi="Palatino Linotype" w:cs="Palatino Linotype"/>
          <w:sz w:val="22"/>
          <w:szCs w:val="22"/>
        </w:rPr>
        <w:t>que</w:t>
      </w:r>
      <w:proofErr w:type="gramEnd"/>
      <w:r w:rsidRPr="00A477B1">
        <w:rPr>
          <w:rFonts w:ascii="Palatino Linotype" w:eastAsia="Palatino Linotype" w:hAnsi="Palatino Linotype" w:cs="Palatino Linotype"/>
          <w:sz w:val="22"/>
          <w:szCs w:val="22"/>
        </w:rPr>
        <w:t xml:space="preserve"> resulta de suma importancia que las Unidades de Transparencia, cuando adviertan que dicho supuesto se actualiza, se ciñan al plazo que la normativa establece, a fin de ajustarse al principio de </w:t>
      </w:r>
      <w:proofErr w:type="spellStart"/>
      <w:r w:rsidRPr="00A477B1">
        <w:rPr>
          <w:rFonts w:ascii="Palatino Linotype" w:eastAsia="Palatino Linotype" w:hAnsi="Palatino Linotype" w:cs="Palatino Linotype"/>
          <w:sz w:val="22"/>
          <w:szCs w:val="22"/>
        </w:rPr>
        <w:t>expeditez</w:t>
      </w:r>
      <w:proofErr w:type="spellEnd"/>
      <w:r w:rsidRPr="00A477B1">
        <w:rPr>
          <w:rFonts w:ascii="Palatino Linotype" w:eastAsia="Palatino Linotype" w:hAnsi="Palatino Linotype" w:cs="Palatino Linotype"/>
          <w:sz w:val="22"/>
          <w:szCs w:val="22"/>
        </w:rPr>
        <w:t xml:space="preserve"> que en todo procedimiento en materia de transparencia se debe observar.</w:t>
      </w:r>
    </w:p>
    <w:p w14:paraId="004A0D5A" w14:textId="77777777" w:rsidR="007571E3" w:rsidRPr="00A477B1" w:rsidRDefault="007571E3" w:rsidP="007571E3">
      <w:pPr>
        <w:spacing w:line="360" w:lineRule="auto"/>
        <w:jc w:val="both"/>
        <w:rPr>
          <w:sz w:val="22"/>
          <w:szCs w:val="22"/>
        </w:rPr>
      </w:pPr>
    </w:p>
    <w:p w14:paraId="33EEEAD2" w14:textId="77777777" w:rsidR="007571E3" w:rsidRPr="00A477B1" w:rsidRDefault="007571E3" w:rsidP="007571E3">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En conclusión, cuando se advierta una notoria incompetencia respecto de la información solicitada por un particular, el </w:t>
      </w:r>
      <w:r w:rsidRPr="00A477B1">
        <w:rPr>
          <w:rFonts w:ascii="Palatino Linotype" w:eastAsia="Palatino Linotype" w:hAnsi="Palatino Linotype" w:cs="Palatino Linotype"/>
          <w:b/>
          <w:sz w:val="22"/>
          <w:szCs w:val="22"/>
        </w:rPr>
        <w:t>Sujeto Obligado</w:t>
      </w:r>
      <w:r w:rsidRPr="00A477B1">
        <w:rPr>
          <w:rFonts w:ascii="Palatino Linotype" w:eastAsia="Palatino Linotype" w:hAnsi="Palatino Linotype" w:cs="Palatino Linotype"/>
          <w:sz w:val="22"/>
          <w:szCs w:val="22"/>
        </w:rPr>
        <w:t xml:space="preserve"> </w:t>
      </w:r>
      <w:r w:rsidRPr="00A477B1">
        <w:rPr>
          <w:rFonts w:ascii="Palatino Linotype" w:eastAsia="Palatino Linotype" w:hAnsi="Palatino Linotype" w:cs="Palatino Linotype"/>
          <w:b/>
          <w:sz w:val="22"/>
          <w:szCs w:val="22"/>
        </w:rPr>
        <w:t xml:space="preserve">debe atender los plazos establecidos por la norma para declarar la incompetencia </w:t>
      </w:r>
      <w:r w:rsidRPr="00A477B1">
        <w:rPr>
          <w:rFonts w:ascii="Palatino Linotype" w:eastAsia="Palatino Linotype" w:hAnsi="Palatino Linotype" w:cs="Palatino Linotype"/>
          <w:sz w:val="22"/>
          <w:szCs w:val="22"/>
        </w:rPr>
        <w:t>para entregar información, con el propósito de que los particulares puedan acudir ante las instancias correspondientes para formular las solicitudes que estimen pertinentes.</w:t>
      </w:r>
    </w:p>
    <w:p w14:paraId="6FB34BCF" w14:textId="77777777" w:rsidR="007571E3" w:rsidRPr="00A477B1" w:rsidRDefault="007571E3" w:rsidP="007571E3">
      <w:pPr>
        <w:spacing w:line="360" w:lineRule="auto"/>
        <w:jc w:val="both"/>
        <w:rPr>
          <w:rFonts w:ascii="Palatino Linotype" w:eastAsia="Palatino Linotype" w:hAnsi="Palatino Linotype" w:cs="Palatino Linotype"/>
          <w:sz w:val="22"/>
          <w:szCs w:val="22"/>
        </w:rPr>
      </w:pPr>
    </w:p>
    <w:p w14:paraId="4C704467" w14:textId="3AC5ABA0" w:rsidR="007571E3" w:rsidRPr="00A477B1" w:rsidRDefault="007571E3" w:rsidP="007571E3">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Por lo que, resulta dable dejar a salvo los derechos del particular para que formule el requerimiento de información en análisis ante la </w:t>
      </w:r>
      <w:r w:rsidRPr="00A477B1">
        <w:rPr>
          <w:rFonts w:ascii="Palatino Linotype" w:eastAsia="Palatino Linotype" w:hAnsi="Palatino Linotype" w:cs="Palatino Linotype"/>
          <w:b/>
          <w:sz w:val="22"/>
          <w:szCs w:val="22"/>
        </w:rPr>
        <w:t xml:space="preserve">Secretaría de Movilidad del Estado de México, </w:t>
      </w:r>
      <w:r w:rsidRPr="00A477B1">
        <w:rPr>
          <w:rFonts w:ascii="Palatino Linotype" w:eastAsia="Palatino Linotype" w:hAnsi="Palatino Linotype" w:cs="Palatino Linotype"/>
          <w:sz w:val="22"/>
          <w:szCs w:val="22"/>
        </w:rPr>
        <w:t xml:space="preserve">por ser el ente obligado competente para atender </w:t>
      </w:r>
      <w:r w:rsidR="00BE4B8C" w:rsidRPr="00A477B1">
        <w:rPr>
          <w:rFonts w:ascii="Palatino Linotype" w:eastAsia="Palatino Linotype" w:hAnsi="Palatino Linotype" w:cs="Palatino Linotype"/>
          <w:sz w:val="22"/>
          <w:szCs w:val="22"/>
        </w:rPr>
        <w:t>lo solicitado</w:t>
      </w:r>
      <w:r w:rsidRPr="00A477B1">
        <w:rPr>
          <w:rFonts w:ascii="Palatino Linotype" w:eastAsia="Palatino Linotype" w:hAnsi="Palatino Linotype" w:cs="Palatino Linotype"/>
          <w:sz w:val="22"/>
          <w:szCs w:val="22"/>
        </w:rPr>
        <w:t>.</w:t>
      </w:r>
    </w:p>
    <w:p w14:paraId="0F8743C3" w14:textId="77777777" w:rsidR="007571E3" w:rsidRPr="00A477B1" w:rsidRDefault="007571E3" w:rsidP="007571E3">
      <w:pPr>
        <w:spacing w:line="360" w:lineRule="auto"/>
        <w:jc w:val="both"/>
        <w:rPr>
          <w:rFonts w:ascii="Palatino Linotype" w:eastAsia="Palatino Linotype" w:hAnsi="Palatino Linotype" w:cs="Palatino Linotype"/>
          <w:sz w:val="22"/>
          <w:szCs w:val="22"/>
        </w:rPr>
      </w:pPr>
    </w:p>
    <w:p w14:paraId="1DAB9A4D" w14:textId="168AD419" w:rsidR="007571E3" w:rsidRPr="00A477B1" w:rsidRDefault="007571E3" w:rsidP="00E8474C">
      <w:pPr>
        <w:spacing w:line="360" w:lineRule="auto"/>
        <w:jc w:val="both"/>
        <w:rPr>
          <w:rFonts w:ascii="Palatino Linotype" w:eastAsia="Palatino Linotype" w:hAnsi="Palatino Linotype" w:cs="Palatino Linotype"/>
          <w:b/>
          <w:sz w:val="22"/>
          <w:szCs w:val="22"/>
        </w:rPr>
      </w:pPr>
      <w:r w:rsidRPr="00A477B1">
        <w:rPr>
          <w:rFonts w:ascii="Palatino Linotype" w:eastAsia="Palatino Linotype" w:hAnsi="Palatino Linotype" w:cs="Palatino Linotype"/>
          <w:sz w:val="22"/>
          <w:szCs w:val="22"/>
        </w:rPr>
        <w:t xml:space="preserve">Bajo las consideraciones expuestas, es que los motivos de inconformidad hechos valer por la parte </w:t>
      </w:r>
      <w:r w:rsidRPr="00A477B1">
        <w:rPr>
          <w:rFonts w:ascii="Palatino Linotype" w:eastAsia="Palatino Linotype" w:hAnsi="Palatino Linotype" w:cs="Palatino Linotype"/>
          <w:b/>
          <w:sz w:val="22"/>
          <w:szCs w:val="22"/>
        </w:rPr>
        <w:t xml:space="preserve">Recurrente </w:t>
      </w:r>
      <w:r w:rsidRPr="00A477B1">
        <w:rPr>
          <w:rFonts w:ascii="Palatino Linotype" w:eastAsia="Palatino Linotype" w:hAnsi="Palatino Linotype" w:cs="Palatino Linotype"/>
          <w:sz w:val="22"/>
          <w:szCs w:val="22"/>
        </w:rPr>
        <w:t>resultan infundad</w:t>
      </w:r>
      <w:r w:rsidR="00BE4B8C" w:rsidRPr="00A477B1">
        <w:rPr>
          <w:rFonts w:ascii="Palatino Linotype" w:eastAsia="Palatino Linotype" w:hAnsi="Palatino Linotype" w:cs="Palatino Linotype"/>
          <w:sz w:val="22"/>
          <w:szCs w:val="22"/>
        </w:rPr>
        <w:t>o</w:t>
      </w:r>
      <w:r w:rsidRPr="00A477B1">
        <w:rPr>
          <w:rFonts w:ascii="Palatino Linotype" w:eastAsia="Palatino Linotype" w:hAnsi="Palatino Linotype" w:cs="Palatino Linotype"/>
          <w:sz w:val="22"/>
          <w:szCs w:val="22"/>
        </w:rPr>
        <w:t xml:space="preserve">s, siendo procedente </w:t>
      </w:r>
      <w:r w:rsidRPr="00A477B1">
        <w:rPr>
          <w:rFonts w:ascii="Palatino Linotype" w:eastAsia="Palatino Linotype" w:hAnsi="Palatino Linotype" w:cs="Palatino Linotype"/>
          <w:b/>
          <w:sz w:val="22"/>
          <w:szCs w:val="22"/>
        </w:rPr>
        <w:t xml:space="preserve">Confirmar </w:t>
      </w:r>
      <w:r w:rsidRPr="00A477B1">
        <w:rPr>
          <w:rFonts w:ascii="Palatino Linotype" w:eastAsia="Palatino Linotype" w:hAnsi="Palatino Linotype" w:cs="Palatino Linotype"/>
          <w:sz w:val="22"/>
          <w:szCs w:val="22"/>
        </w:rPr>
        <w:t xml:space="preserve">la respuesta del </w:t>
      </w:r>
      <w:r w:rsidRPr="00A477B1">
        <w:rPr>
          <w:rFonts w:ascii="Palatino Linotype" w:eastAsia="Palatino Linotype" w:hAnsi="Palatino Linotype" w:cs="Palatino Linotype"/>
          <w:b/>
          <w:sz w:val="22"/>
          <w:szCs w:val="22"/>
        </w:rPr>
        <w:t>Sujeto Obligado.</w:t>
      </w:r>
    </w:p>
    <w:p w14:paraId="48995A0A" w14:textId="77777777" w:rsidR="00E8474C" w:rsidRPr="00A477B1" w:rsidRDefault="00E8474C" w:rsidP="00E8474C">
      <w:pPr>
        <w:spacing w:line="360" w:lineRule="auto"/>
        <w:jc w:val="both"/>
        <w:rPr>
          <w:rFonts w:ascii="Palatino Linotype" w:eastAsia="Palatino Linotype" w:hAnsi="Palatino Linotype" w:cs="Palatino Linotype"/>
          <w:sz w:val="22"/>
          <w:szCs w:val="22"/>
        </w:rPr>
      </w:pPr>
    </w:p>
    <w:p w14:paraId="3D5DCA8C" w14:textId="63E4D088" w:rsidR="00F12C46" w:rsidRPr="00A477B1" w:rsidRDefault="00095DD5" w:rsidP="00E8474C">
      <w:pPr>
        <w:spacing w:line="360" w:lineRule="auto"/>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y 186 fracción I</w:t>
      </w:r>
      <w:r w:rsidR="00BE4B8C" w:rsidRPr="00A477B1">
        <w:rPr>
          <w:rFonts w:ascii="Palatino Linotype" w:eastAsia="Palatino Linotype" w:hAnsi="Palatino Linotype" w:cs="Palatino Linotype"/>
          <w:sz w:val="22"/>
          <w:szCs w:val="22"/>
        </w:rPr>
        <w:t>I</w:t>
      </w:r>
      <w:r w:rsidRPr="00A477B1">
        <w:rPr>
          <w:rFonts w:ascii="Palatino Linotype" w:eastAsia="Palatino Linotype" w:hAnsi="Palatino Linotype" w:cs="Palatino Linotype"/>
          <w:sz w:val="22"/>
          <w:szCs w:val="22"/>
        </w:rPr>
        <w:t xml:space="preserve"> de la Ley de Transparencia y Acceso a la Información Pública del Estado de México y Municipios, este Pleno:</w:t>
      </w:r>
    </w:p>
    <w:p w14:paraId="5C20E458" w14:textId="74E4F63B" w:rsidR="004227F3" w:rsidRPr="00A477B1" w:rsidRDefault="004227F3" w:rsidP="00E8474C">
      <w:pPr>
        <w:spacing w:line="360" w:lineRule="auto"/>
        <w:jc w:val="both"/>
        <w:rPr>
          <w:rFonts w:ascii="Palatino Linotype" w:eastAsia="Palatino Linotype" w:hAnsi="Palatino Linotype" w:cs="Palatino Linotype"/>
          <w:sz w:val="22"/>
          <w:szCs w:val="22"/>
        </w:rPr>
      </w:pPr>
    </w:p>
    <w:p w14:paraId="0EC735B7" w14:textId="77777777" w:rsidR="004227F3" w:rsidRPr="00A477B1" w:rsidRDefault="004227F3" w:rsidP="00E8474C">
      <w:pPr>
        <w:spacing w:line="360" w:lineRule="auto"/>
        <w:jc w:val="both"/>
        <w:rPr>
          <w:rFonts w:ascii="Palatino Linotype" w:eastAsia="Palatino Linotype" w:hAnsi="Palatino Linotype" w:cs="Palatino Linotype"/>
          <w:sz w:val="22"/>
          <w:szCs w:val="22"/>
        </w:rPr>
      </w:pPr>
    </w:p>
    <w:p w14:paraId="5230247D" w14:textId="77777777" w:rsidR="00F12C46" w:rsidRPr="00A477B1" w:rsidRDefault="00095DD5">
      <w:pPr>
        <w:spacing w:line="360" w:lineRule="auto"/>
        <w:ind w:right="-93"/>
        <w:jc w:val="center"/>
        <w:rPr>
          <w:rFonts w:ascii="Palatino Linotype" w:eastAsia="Palatino Linotype" w:hAnsi="Palatino Linotype" w:cs="Palatino Linotype"/>
          <w:b/>
          <w:sz w:val="22"/>
          <w:szCs w:val="22"/>
        </w:rPr>
      </w:pPr>
      <w:r w:rsidRPr="00A477B1">
        <w:rPr>
          <w:rFonts w:ascii="Palatino Linotype" w:eastAsia="Palatino Linotype" w:hAnsi="Palatino Linotype" w:cs="Palatino Linotype"/>
          <w:b/>
          <w:sz w:val="22"/>
          <w:szCs w:val="22"/>
        </w:rPr>
        <w:lastRenderedPageBreak/>
        <w:t>R E S U E L V E:</w:t>
      </w:r>
    </w:p>
    <w:p w14:paraId="3BD5D337" w14:textId="49A9EEAE" w:rsidR="00BE4B8C" w:rsidRPr="00A477B1" w:rsidRDefault="00BE4B8C" w:rsidP="00BE4B8C">
      <w:pPr>
        <w:spacing w:line="360" w:lineRule="auto"/>
        <w:jc w:val="both"/>
        <w:rPr>
          <w:rFonts w:ascii="Palatino Linotype" w:eastAsia="Palatino Linotype" w:hAnsi="Palatino Linotype" w:cs="Palatino Linotype"/>
          <w:b/>
          <w:sz w:val="22"/>
          <w:szCs w:val="22"/>
        </w:rPr>
      </w:pPr>
      <w:bookmarkStart w:id="6" w:name="_heading=h.3dy6vkm" w:colFirst="0" w:colLast="0"/>
      <w:bookmarkEnd w:id="6"/>
      <w:r w:rsidRPr="00A477B1">
        <w:rPr>
          <w:rFonts w:ascii="Palatino Linotype" w:eastAsia="Palatino Linotype" w:hAnsi="Palatino Linotype" w:cs="Palatino Linotype"/>
          <w:b/>
          <w:sz w:val="22"/>
          <w:szCs w:val="22"/>
        </w:rPr>
        <w:t xml:space="preserve">Primero. </w:t>
      </w:r>
      <w:r w:rsidRPr="00A477B1">
        <w:rPr>
          <w:rFonts w:ascii="Palatino Linotype" w:eastAsia="Palatino Linotype" w:hAnsi="Palatino Linotype" w:cs="Palatino Linotype"/>
          <w:sz w:val="22"/>
          <w:szCs w:val="22"/>
        </w:rPr>
        <w:t xml:space="preserve">Resultan </w:t>
      </w:r>
      <w:r w:rsidRPr="00A477B1">
        <w:rPr>
          <w:rFonts w:ascii="Palatino Linotype" w:eastAsia="Palatino Linotype" w:hAnsi="Palatino Linotype" w:cs="Palatino Linotype"/>
          <w:b/>
          <w:sz w:val="22"/>
          <w:szCs w:val="22"/>
        </w:rPr>
        <w:t>infundadas</w:t>
      </w:r>
      <w:r w:rsidRPr="00A477B1">
        <w:rPr>
          <w:rFonts w:ascii="Palatino Linotype" w:eastAsia="Palatino Linotype" w:hAnsi="Palatino Linotype" w:cs="Palatino Linotype"/>
          <w:sz w:val="22"/>
          <w:szCs w:val="22"/>
        </w:rPr>
        <w:t xml:space="preserve"> las</w:t>
      </w:r>
      <w:r w:rsidRPr="00A477B1">
        <w:rPr>
          <w:rFonts w:ascii="Palatino Linotype" w:eastAsia="Palatino Linotype" w:hAnsi="Palatino Linotype" w:cs="Palatino Linotype"/>
          <w:b/>
          <w:sz w:val="22"/>
          <w:szCs w:val="22"/>
        </w:rPr>
        <w:t xml:space="preserve"> </w:t>
      </w:r>
      <w:r w:rsidRPr="00A477B1">
        <w:rPr>
          <w:rFonts w:ascii="Palatino Linotype" w:eastAsia="Palatino Linotype" w:hAnsi="Palatino Linotype" w:cs="Palatino Linotype"/>
          <w:sz w:val="22"/>
          <w:szCs w:val="22"/>
        </w:rPr>
        <w:t xml:space="preserve">razones o motivos de inconformidad hechos valer por la parte </w:t>
      </w:r>
      <w:r w:rsidRPr="00A477B1">
        <w:rPr>
          <w:rFonts w:ascii="Palatino Linotype" w:eastAsia="Palatino Linotype" w:hAnsi="Palatino Linotype" w:cs="Palatino Linotype"/>
          <w:b/>
          <w:sz w:val="22"/>
          <w:szCs w:val="22"/>
        </w:rPr>
        <w:t>Recurrente</w:t>
      </w:r>
      <w:r w:rsidRPr="00A477B1">
        <w:rPr>
          <w:rFonts w:ascii="Palatino Linotype" w:eastAsia="Palatino Linotype" w:hAnsi="Palatino Linotype" w:cs="Palatino Linotype"/>
          <w:sz w:val="22"/>
          <w:szCs w:val="22"/>
        </w:rPr>
        <w:t xml:space="preserve"> en el Recurso de Revisión </w:t>
      </w:r>
      <w:r w:rsidRPr="00A477B1">
        <w:rPr>
          <w:rFonts w:ascii="Palatino Linotype" w:eastAsia="Palatino Linotype" w:hAnsi="Palatino Linotype" w:cs="Palatino Linotype"/>
          <w:b/>
          <w:sz w:val="22"/>
          <w:szCs w:val="22"/>
        </w:rPr>
        <w:t xml:space="preserve">05884/INFOEM/IP/RR/2025; </w:t>
      </w:r>
      <w:r w:rsidRPr="00A477B1">
        <w:rPr>
          <w:rFonts w:ascii="Palatino Linotype" w:eastAsia="Palatino Linotype" w:hAnsi="Palatino Linotype" w:cs="Palatino Linotype"/>
          <w:sz w:val="22"/>
          <w:szCs w:val="22"/>
        </w:rPr>
        <w:t xml:space="preserve">por lo que, en términos del Considerando </w:t>
      </w:r>
      <w:r w:rsidRPr="00A477B1">
        <w:rPr>
          <w:rFonts w:ascii="Palatino Linotype" w:eastAsia="Palatino Linotype" w:hAnsi="Palatino Linotype" w:cs="Palatino Linotype"/>
          <w:b/>
          <w:sz w:val="22"/>
          <w:szCs w:val="22"/>
        </w:rPr>
        <w:t>Cuarto</w:t>
      </w:r>
      <w:r w:rsidRPr="00A477B1">
        <w:rPr>
          <w:rFonts w:ascii="Palatino Linotype" w:eastAsia="Palatino Linotype" w:hAnsi="Palatino Linotype" w:cs="Palatino Linotype"/>
          <w:sz w:val="22"/>
          <w:szCs w:val="22"/>
        </w:rPr>
        <w:t xml:space="preserve"> de la presente resolución se </w:t>
      </w:r>
      <w:r w:rsidRPr="00A477B1">
        <w:rPr>
          <w:rFonts w:ascii="Palatino Linotype" w:eastAsia="Palatino Linotype" w:hAnsi="Palatino Linotype" w:cs="Palatino Linotype"/>
          <w:b/>
          <w:sz w:val="22"/>
          <w:szCs w:val="22"/>
        </w:rPr>
        <w:t xml:space="preserve">Confirma </w:t>
      </w:r>
      <w:r w:rsidRPr="00A477B1">
        <w:rPr>
          <w:rFonts w:ascii="Palatino Linotype" w:eastAsia="Palatino Linotype" w:hAnsi="Palatino Linotype" w:cs="Palatino Linotype"/>
          <w:sz w:val="22"/>
          <w:szCs w:val="22"/>
        </w:rPr>
        <w:t xml:space="preserve">la respuesta emitida por el </w:t>
      </w:r>
      <w:r w:rsidRPr="00A477B1">
        <w:rPr>
          <w:rFonts w:ascii="Palatino Linotype" w:eastAsia="Palatino Linotype" w:hAnsi="Palatino Linotype" w:cs="Palatino Linotype"/>
          <w:b/>
          <w:sz w:val="22"/>
          <w:szCs w:val="22"/>
        </w:rPr>
        <w:t xml:space="preserve">Sujeto Obligado. </w:t>
      </w:r>
    </w:p>
    <w:p w14:paraId="1514C62A" w14:textId="77777777" w:rsidR="00BE4B8C" w:rsidRPr="00A477B1" w:rsidRDefault="00BE4B8C" w:rsidP="00BE4B8C">
      <w:pPr>
        <w:spacing w:line="360" w:lineRule="auto"/>
        <w:jc w:val="both"/>
        <w:rPr>
          <w:rFonts w:ascii="Palatino Linotype" w:eastAsia="Palatino Linotype" w:hAnsi="Palatino Linotype" w:cs="Palatino Linotype"/>
          <w:b/>
          <w:sz w:val="22"/>
          <w:szCs w:val="22"/>
        </w:rPr>
      </w:pPr>
    </w:p>
    <w:p w14:paraId="59030349" w14:textId="77777777" w:rsidR="00BE4B8C" w:rsidRPr="00A477B1" w:rsidRDefault="00BE4B8C" w:rsidP="00BE4B8C">
      <w:pPr>
        <w:spacing w:line="360" w:lineRule="auto"/>
        <w:ind w:right="51"/>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b/>
          <w:sz w:val="22"/>
          <w:szCs w:val="22"/>
        </w:rPr>
        <w:t>Segundo. Notifíquese vía SAIMEX</w:t>
      </w:r>
      <w:r w:rsidRPr="00A477B1">
        <w:rPr>
          <w:rFonts w:ascii="Palatino Linotype" w:eastAsia="Palatino Linotype" w:hAnsi="Palatino Linotype" w:cs="Palatino Linotype"/>
          <w:sz w:val="22"/>
          <w:szCs w:val="22"/>
        </w:rPr>
        <w:t xml:space="preserve">, la presente resolución al Titular de la Unidad de Transparencia del </w:t>
      </w:r>
      <w:r w:rsidRPr="00A477B1">
        <w:rPr>
          <w:rFonts w:ascii="Palatino Linotype" w:eastAsia="Palatino Linotype" w:hAnsi="Palatino Linotype" w:cs="Palatino Linotype"/>
          <w:b/>
          <w:sz w:val="22"/>
          <w:szCs w:val="22"/>
        </w:rPr>
        <w:t>Sujeto Obligado</w:t>
      </w:r>
      <w:r w:rsidRPr="00A477B1">
        <w:rPr>
          <w:rFonts w:ascii="Palatino Linotype" w:eastAsia="Palatino Linotype" w:hAnsi="Palatino Linotype" w:cs="Palatino Linotype"/>
          <w:sz w:val="22"/>
          <w:szCs w:val="22"/>
        </w:rPr>
        <w:t>, para su conocimiento.</w:t>
      </w:r>
    </w:p>
    <w:p w14:paraId="63A1F30A" w14:textId="77777777" w:rsidR="00BE4B8C" w:rsidRPr="00A477B1" w:rsidRDefault="00BE4B8C" w:rsidP="00BE4B8C">
      <w:pPr>
        <w:spacing w:line="360" w:lineRule="auto"/>
        <w:jc w:val="both"/>
        <w:rPr>
          <w:rFonts w:ascii="Calibri" w:eastAsia="Calibri" w:hAnsi="Calibri" w:cs="Calibri"/>
          <w:sz w:val="22"/>
          <w:szCs w:val="22"/>
        </w:rPr>
      </w:pPr>
    </w:p>
    <w:p w14:paraId="56F5B992" w14:textId="77777777" w:rsidR="00BE4B8C" w:rsidRPr="00A477B1" w:rsidRDefault="00BE4B8C" w:rsidP="00BE4B8C">
      <w:pPr>
        <w:spacing w:line="360" w:lineRule="auto"/>
        <w:ind w:right="49"/>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b/>
          <w:sz w:val="22"/>
          <w:szCs w:val="22"/>
        </w:rPr>
        <w:t>Tercero. Notifíquese vía SAIMEX</w:t>
      </w:r>
      <w:r w:rsidRPr="00A477B1">
        <w:rPr>
          <w:rFonts w:ascii="Palatino Linotype" w:eastAsia="Palatino Linotype" w:hAnsi="Palatino Linotype" w:cs="Palatino Linotype"/>
          <w:sz w:val="22"/>
          <w:szCs w:val="22"/>
        </w:rPr>
        <w:t>,</w:t>
      </w:r>
      <w:r w:rsidRPr="00A477B1">
        <w:rPr>
          <w:rFonts w:ascii="Palatino Linotype" w:eastAsia="Palatino Linotype" w:hAnsi="Palatino Linotype" w:cs="Palatino Linotype"/>
          <w:b/>
          <w:sz w:val="22"/>
          <w:szCs w:val="22"/>
        </w:rPr>
        <w:t xml:space="preserve"> </w:t>
      </w:r>
      <w:r w:rsidRPr="00A477B1">
        <w:rPr>
          <w:rFonts w:ascii="Palatino Linotype" w:eastAsia="Palatino Linotype" w:hAnsi="Palatino Linotype" w:cs="Palatino Linotype"/>
          <w:sz w:val="22"/>
          <w:szCs w:val="22"/>
        </w:rPr>
        <w:t xml:space="preserve">a la parte </w:t>
      </w:r>
      <w:r w:rsidRPr="00A477B1">
        <w:rPr>
          <w:rFonts w:ascii="Palatino Linotype" w:eastAsia="Palatino Linotype" w:hAnsi="Palatino Linotype" w:cs="Palatino Linotype"/>
          <w:b/>
          <w:sz w:val="22"/>
          <w:szCs w:val="22"/>
        </w:rPr>
        <w:t>Recurrente</w:t>
      </w:r>
      <w:r w:rsidRPr="00A477B1">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 </w:t>
      </w:r>
    </w:p>
    <w:p w14:paraId="43C28A74" w14:textId="77777777" w:rsidR="00F12C46" w:rsidRPr="00A477B1" w:rsidRDefault="00F12C4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9466A32" w14:textId="452B06D1" w:rsidR="00F12C46" w:rsidRPr="00855338" w:rsidRDefault="00095DD5">
      <w:pPr>
        <w:spacing w:line="360" w:lineRule="auto"/>
        <w:ind w:right="-93"/>
        <w:jc w:val="both"/>
        <w:rPr>
          <w:rFonts w:ascii="Palatino Linotype" w:eastAsia="Palatino Linotype" w:hAnsi="Palatino Linotype" w:cs="Palatino Linotype"/>
          <w:sz w:val="22"/>
          <w:szCs w:val="22"/>
        </w:rPr>
      </w:pPr>
      <w:r w:rsidRPr="00A477B1">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12A51" w:rsidRPr="00A477B1">
        <w:rPr>
          <w:rFonts w:ascii="Palatino Linotype" w:eastAsia="Palatino Linotype" w:hAnsi="Palatino Linotype" w:cs="Palatino Linotype"/>
          <w:sz w:val="22"/>
          <w:szCs w:val="22"/>
        </w:rPr>
        <w:t>TRIGÉSIMA CUARTA</w:t>
      </w:r>
      <w:r w:rsidRPr="00A477B1">
        <w:rPr>
          <w:rFonts w:ascii="Palatino Linotype" w:eastAsia="Palatino Linotype" w:hAnsi="Palatino Linotype" w:cs="Palatino Linotype"/>
          <w:sz w:val="22"/>
          <w:szCs w:val="22"/>
        </w:rPr>
        <w:t xml:space="preserve"> SESIÓN ORDINARIA CELEBRADA EL </w:t>
      </w:r>
      <w:r w:rsidR="00312A51" w:rsidRPr="00A477B1">
        <w:rPr>
          <w:rFonts w:ascii="Palatino Linotype" w:eastAsia="Palatino Linotype" w:hAnsi="Palatino Linotype" w:cs="Palatino Linotype"/>
          <w:sz w:val="22"/>
          <w:szCs w:val="22"/>
        </w:rPr>
        <w:t>VEINTICUATRO DE SEPTIEMBRE</w:t>
      </w:r>
      <w:r w:rsidRPr="00A477B1">
        <w:rPr>
          <w:rFonts w:ascii="Palatino Linotype" w:eastAsia="Palatino Linotype" w:hAnsi="Palatino Linotype" w:cs="Palatino Linotype"/>
          <w:sz w:val="22"/>
          <w:szCs w:val="22"/>
        </w:rPr>
        <w:t xml:space="preserve"> DE DOS MIL VEINTICINCO, ANTE EL SECRETARIO TÉCNICO DEL PLENO ALEXIS TAPIA RAMÍREZ.</w:t>
      </w:r>
    </w:p>
    <w:p w14:paraId="3D64C2C7" w14:textId="77777777" w:rsidR="00F12C46" w:rsidRPr="00855338" w:rsidRDefault="00F12C46">
      <w:pPr>
        <w:spacing w:line="360" w:lineRule="auto"/>
        <w:ind w:right="-93"/>
        <w:jc w:val="both"/>
        <w:rPr>
          <w:rFonts w:ascii="Palatino Linotype" w:eastAsia="Palatino Linotype" w:hAnsi="Palatino Linotype" w:cs="Palatino Linotype"/>
          <w:sz w:val="22"/>
          <w:szCs w:val="22"/>
        </w:rPr>
      </w:pPr>
    </w:p>
    <w:p w14:paraId="5D911220" w14:textId="77777777" w:rsidR="00F12C46" w:rsidRPr="00855338" w:rsidRDefault="00F12C46">
      <w:pPr>
        <w:spacing w:line="360" w:lineRule="auto"/>
        <w:ind w:right="-93"/>
        <w:jc w:val="both"/>
        <w:rPr>
          <w:rFonts w:ascii="Palatino Linotype" w:eastAsia="Palatino Linotype" w:hAnsi="Palatino Linotype" w:cs="Palatino Linotype"/>
          <w:sz w:val="22"/>
          <w:szCs w:val="22"/>
        </w:rPr>
      </w:pPr>
    </w:p>
    <w:p w14:paraId="21713A8E" w14:textId="77777777" w:rsidR="00F12C46" w:rsidRPr="00855338" w:rsidRDefault="00F12C46">
      <w:pPr>
        <w:spacing w:line="360" w:lineRule="auto"/>
        <w:ind w:right="-93"/>
        <w:jc w:val="both"/>
        <w:rPr>
          <w:rFonts w:ascii="Palatino Linotype" w:eastAsia="Palatino Linotype" w:hAnsi="Palatino Linotype" w:cs="Palatino Linotype"/>
          <w:sz w:val="22"/>
          <w:szCs w:val="22"/>
        </w:rPr>
      </w:pPr>
    </w:p>
    <w:p w14:paraId="0FE026C4" w14:textId="77777777" w:rsidR="00F12C46" w:rsidRPr="00855338" w:rsidRDefault="00F12C46">
      <w:pPr>
        <w:spacing w:line="360" w:lineRule="auto"/>
        <w:ind w:right="-93"/>
        <w:jc w:val="both"/>
        <w:rPr>
          <w:rFonts w:ascii="Palatino Linotype" w:eastAsia="Palatino Linotype" w:hAnsi="Palatino Linotype" w:cs="Palatino Linotype"/>
          <w:sz w:val="22"/>
          <w:szCs w:val="22"/>
        </w:rPr>
      </w:pPr>
    </w:p>
    <w:p w14:paraId="253BE421" w14:textId="77777777" w:rsidR="00F12C46" w:rsidRPr="00855338" w:rsidRDefault="00F12C46">
      <w:pPr>
        <w:spacing w:line="360" w:lineRule="auto"/>
        <w:ind w:right="-93"/>
        <w:jc w:val="both"/>
        <w:rPr>
          <w:rFonts w:ascii="Palatino Linotype" w:eastAsia="Palatino Linotype" w:hAnsi="Palatino Linotype" w:cs="Palatino Linotype"/>
          <w:sz w:val="22"/>
          <w:szCs w:val="22"/>
        </w:rPr>
      </w:pPr>
    </w:p>
    <w:p w14:paraId="05AB7EF0" w14:textId="77777777" w:rsidR="00F12C46" w:rsidRPr="00855338" w:rsidRDefault="00F12C46">
      <w:pPr>
        <w:spacing w:line="360" w:lineRule="auto"/>
        <w:ind w:right="-93"/>
        <w:jc w:val="both"/>
        <w:rPr>
          <w:rFonts w:ascii="Palatino Linotype" w:eastAsia="Palatino Linotype" w:hAnsi="Palatino Linotype" w:cs="Palatino Linotype"/>
          <w:sz w:val="22"/>
          <w:szCs w:val="22"/>
        </w:rPr>
      </w:pPr>
    </w:p>
    <w:p w14:paraId="1F317277" w14:textId="77777777" w:rsidR="00F12C46" w:rsidRPr="00855338" w:rsidRDefault="00F12C46">
      <w:pPr>
        <w:spacing w:line="360" w:lineRule="auto"/>
        <w:ind w:right="-93"/>
        <w:jc w:val="both"/>
        <w:rPr>
          <w:rFonts w:ascii="Palatino Linotype" w:eastAsia="Palatino Linotype" w:hAnsi="Palatino Linotype" w:cs="Palatino Linotype"/>
          <w:sz w:val="22"/>
          <w:szCs w:val="22"/>
        </w:rPr>
      </w:pPr>
    </w:p>
    <w:p w14:paraId="4700F853" w14:textId="77777777" w:rsidR="00F12C46" w:rsidRPr="00855338" w:rsidRDefault="00F12C46">
      <w:pPr>
        <w:spacing w:line="360" w:lineRule="auto"/>
        <w:ind w:right="-93"/>
        <w:jc w:val="both"/>
        <w:rPr>
          <w:rFonts w:ascii="Palatino Linotype" w:eastAsia="Palatino Linotype" w:hAnsi="Palatino Linotype" w:cs="Palatino Linotype"/>
          <w:sz w:val="22"/>
          <w:szCs w:val="22"/>
        </w:rPr>
      </w:pPr>
    </w:p>
    <w:p w14:paraId="0B4371BB" w14:textId="77777777" w:rsidR="00F12C46" w:rsidRPr="00855338" w:rsidRDefault="00F12C46">
      <w:pPr>
        <w:spacing w:line="360" w:lineRule="auto"/>
        <w:ind w:right="-93"/>
        <w:jc w:val="both"/>
        <w:rPr>
          <w:rFonts w:ascii="Palatino Linotype" w:eastAsia="Palatino Linotype" w:hAnsi="Palatino Linotype" w:cs="Palatino Linotype"/>
          <w:sz w:val="22"/>
          <w:szCs w:val="22"/>
        </w:rPr>
      </w:pPr>
    </w:p>
    <w:p w14:paraId="356EC3CA" w14:textId="77777777" w:rsidR="00F12C46" w:rsidRPr="00855338" w:rsidRDefault="00F12C46">
      <w:pPr>
        <w:spacing w:line="360" w:lineRule="auto"/>
        <w:ind w:right="-93"/>
        <w:jc w:val="both"/>
        <w:rPr>
          <w:rFonts w:ascii="Palatino Linotype" w:eastAsia="Palatino Linotype" w:hAnsi="Palatino Linotype" w:cs="Palatino Linotype"/>
          <w:sz w:val="22"/>
          <w:szCs w:val="22"/>
        </w:rPr>
      </w:pPr>
    </w:p>
    <w:p w14:paraId="7559E057" w14:textId="77777777" w:rsidR="00F12C46" w:rsidRPr="00855338" w:rsidRDefault="00F12C46">
      <w:pPr>
        <w:spacing w:line="360" w:lineRule="auto"/>
        <w:ind w:right="-93"/>
        <w:jc w:val="both"/>
        <w:rPr>
          <w:rFonts w:ascii="Palatino Linotype" w:eastAsia="Palatino Linotype" w:hAnsi="Palatino Linotype" w:cs="Palatino Linotype"/>
          <w:sz w:val="22"/>
          <w:szCs w:val="22"/>
        </w:rPr>
      </w:pPr>
    </w:p>
    <w:p w14:paraId="14006025" w14:textId="77777777" w:rsidR="00F12C46" w:rsidRPr="00855338" w:rsidRDefault="00F12C46">
      <w:pPr>
        <w:spacing w:line="360" w:lineRule="auto"/>
        <w:ind w:right="-93"/>
        <w:jc w:val="both"/>
        <w:rPr>
          <w:rFonts w:ascii="Palatino Linotype" w:eastAsia="Palatino Linotype" w:hAnsi="Palatino Linotype" w:cs="Palatino Linotype"/>
          <w:sz w:val="22"/>
          <w:szCs w:val="22"/>
        </w:rPr>
      </w:pPr>
    </w:p>
    <w:p w14:paraId="6D752CB4" w14:textId="77777777" w:rsidR="00F12C46" w:rsidRPr="00855338" w:rsidRDefault="00F12C46">
      <w:pPr>
        <w:spacing w:line="360" w:lineRule="auto"/>
        <w:ind w:right="-93"/>
        <w:jc w:val="both"/>
        <w:rPr>
          <w:rFonts w:ascii="Palatino Linotype" w:eastAsia="Palatino Linotype" w:hAnsi="Palatino Linotype" w:cs="Palatino Linotype"/>
          <w:sz w:val="22"/>
          <w:szCs w:val="22"/>
        </w:rPr>
      </w:pPr>
    </w:p>
    <w:p w14:paraId="4340D73F" w14:textId="77777777" w:rsidR="00F12C46" w:rsidRPr="00855338" w:rsidRDefault="00F12C46">
      <w:pPr>
        <w:spacing w:line="360" w:lineRule="auto"/>
        <w:ind w:right="-93"/>
        <w:jc w:val="both"/>
        <w:rPr>
          <w:rFonts w:ascii="Palatino Linotype" w:eastAsia="Palatino Linotype" w:hAnsi="Palatino Linotype" w:cs="Palatino Linotype"/>
          <w:sz w:val="22"/>
          <w:szCs w:val="22"/>
        </w:rPr>
      </w:pPr>
    </w:p>
    <w:p w14:paraId="298E6E6B" w14:textId="77777777" w:rsidR="00F12C46" w:rsidRPr="00855338" w:rsidRDefault="00F12C46">
      <w:pPr>
        <w:spacing w:line="360" w:lineRule="auto"/>
        <w:ind w:right="-93"/>
        <w:jc w:val="both"/>
        <w:rPr>
          <w:rFonts w:ascii="Palatino Linotype" w:eastAsia="Palatino Linotype" w:hAnsi="Palatino Linotype" w:cs="Palatino Linotype"/>
          <w:sz w:val="22"/>
          <w:szCs w:val="22"/>
        </w:rPr>
      </w:pPr>
    </w:p>
    <w:p w14:paraId="582ED33D" w14:textId="77777777" w:rsidR="00F12C46" w:rsidRPr="00855338" w:rsidRDefault="00F12C46">
      <w:pPr>
        <w:spacing w:line="360" w:lineRule="auto"/>
        <w:ind w:right="-93"/>
        <w:jc w:val="both"/>
        <w:rPr>
          <w:rFonts w:ascii="Palatino Linotype" w:eastAsia="Palatino Linotype" w:hAnsi="Palatino Linotype" w:cs="Palatino Linotype"/>
          <w:sz w:val="22"/>
          <w:szCs w:val="22"/>
        </w:rPr>
      </w:pPr>
    </w:p>
    <w:p w14:paraId="176AB93C" w14:textId="77777777" w:rsidR="00F12C46" w:rsidRPr="00855338" w:rsidRDefault="00F12C46">
      <w:pPr>
        <w:spacing w:line="360" w:lineRule="auto"/>
        <w:ind w:right="-93"/>
        <w:jc w:val="both"/>
        <w:rPr>
          <w:rFonts w:ascii="Palatino Linotype" w:eastAsia="Palatino Linotype" w:hAnsi="Palatino Linotype" w:cs="Palatino Linotype"/>
          <w:sz w:val="22"/>
          <w:szCs w:val="22"/>
        </w:rPr>
      </w:pPr>
    </w:p>
    <w:p w14:paraId="7450DFC0" w14:textId="77777777" w:rsidR="00F12C46" w:rsidRPr="00855338" w:rsidRDefault="00F12C46">
      <w:pPr>
        <w:spacing w:line="360" w:lineRule="auto"/>
        <w:ind w:right="-93"/>
        <w:jc w:val="both"/>
        <w:rPr>
          <w:rFonts w:ascii="Palatino Linotype" w:eastAsia="Palatino Linotype" w:hAnsi="Palatino Linotype" w:cs="Palatino Linotype"/>
          <w:sz w:val="22"/>
          <w:szCs w:val="22"/>
        </w:rPr>
      </w:pPr>
    </w:p>
    <w:sectPr w:rsidR="00F12C46" w:rsidRPr="00855338">
      <w:headerReference w:type="default" r:id="rId16"/>
      <w:footerReference w:type="default" r:id="rId17"/>
      <w:headerReference w:type="first" r:id="rId18"/>
      <w:footerReference w:type="first" r:id="rId19"/>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45A3E" w14:textId="77777777" w:rsidR="001A4C87" w:rsidRDefault="001A4C87">
      <w:r>
        <w:separator/>
      </w:r>
    </w:p>
  </w:endnote>
  <w:endnote w:type="continuationSeparator" w:id="0">
    <w:p w14:paraId="3A15C907" w14:textId="77777777" w:rsidR="001A4C87" w:rsidRDefault="001A4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D8F7" w14:textId="77777777" w:rsidR="00F4325E" w:rsidRDefault="00F4325E">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A477B1">
      <w:rPr>
        <w:b/>
        <w:noProof/>
        <w:color w:val="000000"/>
      </w:rPr>
      <w:t>28</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A477B1">
      <w:rPr>
        <w:b/>
        <w:noProof/>
        <w:color w:val="000000"/>
      </w:rPr>
      <w:t>30</w:t>
    </w:r>
    <w:r>
      <w:rPr>
        <w:b/>
        <w:color w:val="000000"/>
      </w:rPr>
      <w:fldChar w:fldCharType="end"/>
    </w:r>
  </w:p>
  <w:p w14:paraId="242453A0" w14:textId="77777777" w:rsidR="00F4325E" w:rsidRDefault="00F4325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E0C3" w14:textId="77777777" w:rsidR="00F4325E" w:rsidRDefault="00F4325E">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A477B1">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A477B1">
      <w:rPr>
        <w:b/>
        <w:noProof/>
        <w:color w:val="000000"/>
      </w:rPr>
      <w:t>30</w:t>
    </w:r>
    <w:r>
      <w:rPr>
        <w:b/>
        <w:color w:val="000000"/>
      </w:rPr>
      <w:fldChar w:fldCharType="end"/>
    </w:r>
  </w:p>
  <w:p w14:paraId="45BB609F" w14:textId="77777777" w:rsidR="00F4325E" w:rsidRDefault="00F4325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268B6" w14:textId="77777777" w:rsidR="001A4C87" w:rsidRDefault="001A4C87">
      <w:r>
        <w:separator/>
      </w:r>
    </w:p>
  </w:footnote>
  <w:footnote w:type="continuationSeparator" w:id="0">
    <w:p w14:paraId="41867BD7" w14:textId="77777777" w:rsidR="001A4C87" w:rsidRDefault="001A4C87">
      <w:r>
        <w:continuationSeparator/>
      </w:r>
    </w:p>
  </w:footnote>
  <w:footnote w:id="1">
    <w:p w14:paraId="6C565477" w14:textId="77777777" w:rsidR="00F4325E" w:rsidRDefault="00F4325E" w:rsidP="00B97FAB">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46F33970" w14:textId="77777777" w:rsidR="00F4325E" w:rsidRDefault="00F4325E" w:rsidP="00B97FAB">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0F6EA7" w14:textId="77777777" w:rsidR="00F4325E" w:rsidRDefault="00F4325E">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4514B04B" w14:textId="77777777" w:rsidR="00F4325E" w:rsidRDefault="00F4325E">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C13B" w14:textId="77777777" w:rsidR="00F4325E" w:rsidRDefault="00F4325E">
    <w:pPr>
      <w:widowControl w:val="0"/>
      <w:pBdr>
        <w:top w:val="nil"/>
        <w:left w:val="nil"/>
        <w:bottom w:val="nil"/>
        <w:right w:val="nil"/>
        <w:between w:val="nil"/>
      </w:pBdr>
      <w:spacing w:line="276" w:lineRule="auto"/>
      <w:rPr>
        <w:color w:val="000000"/>
      </w:rPr>
    </w:pPr>
    <w:r>
      <w:rPr>
        <w:noProof/>
      </w:rPr>
      <w:drawing>
        <wp:anchor distT="0" distB="0" distL="0" distR="0" simplePos="0" relativeHeight="251658240" behindDoc="1" locked="0" layoutInCell="1" hidden="0" allowOverlap="1" wp14:anchorId="6BD05323" wp14:editId="321257C2">
          <wp:simplePos x="0" y="0"/>
          <wp:positionH relativeFrom="column">
            <wp:posOffset>-746118</wp:posOffset>
          </wp:positionH>
          <wp:positionV relativeFrom="paragraph">
            <wp:posOffset>-448303</wp:posOffset>
          </wp:positionV>
          <wp:extent cx="7809876" cy="10165823"/>
          <wp:effectExtent l="0" t="0" r="0" b="0"/>
          <wp:wrapNone/>
          <wp:docPr id="21431081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d"/>
      <w:tblW w:w="5603" w:type="dxa"/>
      <w:tblInd w:w="3544" w:type="dxa"/>
      <w:tblLayout w:type="fixed"/>
      <w:tblLook w:val="0400" w:firstRow="0" w:lastRow="0" w:firstColumn="0" w:lastColumn="0" w:noHBand="0" w:noVBand="1"/>
    </w:tblPr>
    <w:tblGrid>
      <w:gridCol w:w="2551"/>
      <w:gridCol w:w="3052"/>
    </w:tblGrid>
    <w:tr w:rsidR="00F4325E" w14:paraId="1611FDC4" w14:textId="77777777">
      <w:tc>
        <w:tcPr>
          <w:tcW w:w="2551" w:type="dxa"/>
          <w:vAlign w:val="center"/>
        </w:tcPr>
        <w:p w14:paraId="2BE1D94A" w14:textId="77777777" w:rsidR="00F4325E" w:rsidRDefault="00F4325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tc>
      <w:tc>
        <w:tcPr>
          <w:tcW w:w="3052" w:type="dxa"/>
          <w:vAlign w:val="center"/>
        </w:tcPr>
        <w:p w14:paraId="1259B218" w14:textId="29DD36E3" w:rsidR="00F4325E" w:rsidRDefault="00F4325E" w:rsidP="009B0D1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05884/INFOEM/IP/RR/2025</w:t>
          </w:r>
        </w:p>
      </w:tc>
    </w:tr>
    <w:tr w:rsidR="00F4325E" w14:paraId="0BC163CA" w14:textId="77777777">
      <w:trPr>
        <w:trHeight w:val="228"/>
      </w:trPr>
      <w:tc>
        <w:tcPr>
          <w:tcW w:w="2551" w:type="dxa"/>
          <w:vAlign w:val="center"/>
        </w:tcPr>
        <w:p w14:paraId="4B4100C6" w14:textId="77777777" w:rsidR="00F4325E" w:rsidRDefault="00F4325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p w14:paraId="17C78B17" w14:textId="77777777" w:rsidR="00F4325E" w:rsidRDefault="00F4325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5D2FBF0E" w14:textId="0CA2E387" w:rsidR="00F4325E" w:rsidRDefault="00F4325E">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sz w:val="22"/>
              <w:szCs w:val="22"/>
            </w:rPr>
          </w:pPr>
          <w:r w:rsidRPr="009B0D19">
            <w:rPr>
              <w:rFonts w:ascii="Palatino Linotype" w:eastAsia="Palatino Linotype" w:hAnsi="Palatino Linotype" w:cs="Palatino Linotype"/>
              <w:b/>
              <w:bCs/>
              <w:color w:val="000000"/>
              <w:sz w:val="22"/>
              <w:szCs w:val="22"/>
            </w:rPr>
            <w:t>Ayuntamiento de Toluca</w:t>
          </w:r>
        </w:p>
      </w:tc>
    </w:tr>
    <w:tr w:rsidR="00F4325E" w14:paraId="6C9206BD" w14:textId="77777777">
      <w:tc>
        <w:tcPr>
          <w:tcW w:w="2551" w:type="dxa"/>
          <w:vAlign w:val="center"/>
        </w:tcPr>
        <w:p w14:paraId="151DFED9" w14:textId="77777777" w:rsidR="00F4325E" w:rsidRDefault="00F4325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3AC682BB" w14:textId="77777777" w:rsidR="00F4325E" w:rsidRDefault="00F4325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39197373" w14:textId="77777777" w:rsidR="00F4325E" w:rsidRDefault="00F4325E">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C55A" w14:textId="77777777" w:rsidR="00F4325E" w:rsidRDefault="00F4325E">
    <w:pPr>
      <w:widowControl w:val="0"/>
      <w:pBdr>
        <w:top w:val="nil"/>
        <w:left w:val="nil"/>
        <w:bottom w:val="nil"/>
        <w:right w:val="nil"/>
        <w:between w:val="nil"/>
      </w:pBdr>
      <w:spacing w:line="276" w:lineRule="auto"/>
      <w:rPr>
        <w:rFonts w:ascii="Palatino Linotype" w:eastAsia="Palatino Linotype" w:hAnsi="Palatino Linotype" w:cs="Palatino Linotype"/>
      </w:rPr>
    </w:pPr>
    <w:r>
      <w:rPr>
        <w:noProof/>
      </w:rPr>
      <w:drawing>
        <wp:anchor distT="0" distB="0" distL="0" distR="0" simplePos="0" relativeHeight="251659264" behindDoc="1" locked="0" layoutInCell="1" hidden="0" allowOverlap="1" wp14:anchorId="04BD72A4" wp14:editId="72E3A3CA">
          <wp:simplePos x="0" y="0"/>
          <wp:positionH relativeFrom="column">
            <wp:posOffset>-988692</wp:posOffset>
          </wp:positionH>
          <wp:positionV relativeFrom="paragraph">
            <wp:posOffset>-363853</wp:posOffset>
          </wp:positionV>
          <wp:extent cx="7809876" cy="10165823"/>
          <wp:effectExtent l="0" t="0" r="0" b="0"/>
          <wp:wrapNone/>
          <wp:docPr id="21431081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7752D22D" w14:textId="77777777" w:rsidR="00F4325E" w:rsidRDefault="00F4325E">
    <w:pPr>
      <w:pBdr>
        <w:top w:val="nil"/>
        <w:left w:val="nil"/>
        <w:bottom w:val="nil"/>
        <w:right w:val="nil"/>
        <w:between w:val="nil"/>
      </w:pBdr>
      <w:tabs>
        <w:tab w:val="center" w:pos="4419"/>
        <w:tab w:val="right" w:pos="8838"/>
        <w:tab w:val="left" w:pos="3466"/>
      </w:tabs>
      <w:rPr>
        <w:color w:val="000000"/>
      </w:rPr>
    </w:pPr>
    <w:r>
      <w:rPr>
        <w:color w:val="000000"/>
      </w:rPr>
      <w:tab/>
    </w:r>
  </w:p>
  <w:tbl>
    <w:tblPr>
      <w:tblStyle w:val="ae"/>
      <w:tblW w:w="5603" w:type="dxa"/>
      <w:tblInd w:w="3544" w:type="dxa"/>
      <w:tblLayout w:type="fixed"/>
      <w:tblLook w:val="0400" w:firstRow="0" w:lastRow="0" w:firstColumn="0" w:lastColumn="0" w:noHBand="0" w:noVBand="1"/>
    </w:tblPr>
    <w:tblGrid>
      <w:gridCol w:w="2551"/>
      <w:gridCol w:w="3052"/>
    </w:tblGrid>
    <w:tr w:rsidR="00F4325E" w14:paraId="05A75F5D" w14:textId="77777777">
      <w:tc>
        <w:tcPr>
          <w:tcW w:w="2551" w:type="dxa"/>
          <w:vAlign w:val="center"/>
        </w:tcPr>
        <w:p w14:paraId="3F56094D" w14:textId="77777777" w:rsidR="00F4325E" w:rsidRDefault="00F4325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tc>
      <w:tc>
        <w:tcPr>
          <w:tcW w:w="3052" w:type="dxa"/>
          <w:vAlign w:val="center"/>
        </w:tcPr>
        <w:p w14:paraId="62AF99AD" w14:textId="09E30977" w:rsidR="00F4325E" w:rsidRDefault="00F4325E" w:rsidP="009B0D1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05884/INFOEM/IP/RR/2025</w:t>
          </w:r>
        </w:p>
      </w:tc>
    </w:tr>
    <w:tr w:rsidR="00F4325E" w14:paraId="25BEDFFA" w14:textId="77777777">
      <w:tc>
        <w:tcPr>
          <w:tcW w:w="2551" w:type="dxa"/>
          <w:vAlign w:val="center"/>
        </w:tcPr>
        <w:p w14:paraId="01021A47" w14:textId="77777777" w:rsidR="00F4325E" w:rsidRPr="001E3F80" w:rsidRDefault="00F4325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1E3F80">
            <w:rPr>
              <w:rFonts w:ascii="Palatino Linotype" w:eastAsia="Palatino Linotype" w:hAnsi="Palatino Linotype" w:cs="Palatino Linotype"/>
              <w:b/>
              <w:color w:val="000000" w:themeColor="text1"/>
              <w:sz w:val="22"/>
              <w:szCs w:val="22"/>
            </w:rPr>
            <w:t>Recurrente:</w:t>
          </w:r>
        </w:p>
      </w:tc>
      <w:tc>
        <w:tcPr>
          <w:tcW w:w="3052" w:type="dxa"/>
          <w:vAlign w:val="center"/>
        </w:tcPr>
        <w:p w14:paraId="48B6BEB4" w14:textId="0A2F0364" w:rsidR="00F4325E" w:rsidRDefault="00F4325E">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sz w:val="22"/>
              <w:szCs w:val="22"/>
            </w:rPr>
          </w:pPr>
        </w:p>
      </w:tc>
    </w:tr>
    <w:tr w:rsidR="00F4325E" w14:paraId="54920B19" w14:textId="77777777">
      <w:trPr>
        <w:trHeight w:val="228"/>
      </w:trPr>
      <w:tc>
        <w:tcPr>
          <w:tcW w:w="2551" w:type="dxa"/>
          <w:vAlign w:val="center"/>
        </w:tcPr>
        <w:p w14:paraId="26A33DEF" w14:textId="77777777" w:rsidR="00F4325E" w:rsidRDefault="00F4325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p w14:paraId="5F8BB192" w14:textId="77777777" w:rsidR="00F4325E" w:rsidRDefault="00F4325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0D280D47" w14:textId="10971C64" w:rsidR="00F4325E" w:rsidRDefault="00F4325E">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sz w:val="22"/>
              <w:szCs w:val="22"/>
            </w:rPr>
          </w:pPr>
          <w:r w:rsidRPr="009B0D19">
            <w:rPr>
              <w:rFonts w:ascii="Palatino Linotype" w:eastAsia="Palatino Linotype" w:hAnsi="Palatino Linotype" w:cs="Palatino Linotype"/>
              <w:b/>
              <w:bCs/>
              <w:color w:val="000000"/>
              <w:sz w:val="22"/>
              <w:szCs w:val="22"/>
            </w:rPr>
            <w:t>Ayuntamiento de Toluca</w:t>
          </w:r>
        </w:p>
      </w:tc>
    </w:tr>
    <w:tr w:rsidR="00F4325E" w14:paraId="5B0AD6F5" w14:textId="77777777">
      <w:tc>
        <w:tcPr>
          <w:tcW w:w="2551" w:type="dxa"/>
          <w:vAlign w:val="center"/>
        </w:tcPr>
        <w:p w14:paraId="01C0A1AA" w14:textId="77777777" w:rsidR="00F4325E" w:rsidRDefault="00F4325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5606B998" w14:textId="77777777" w:rsidR="00F4325E" w:rsidRDefault="00F4325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49E56492" w14:textId="77777777" w:rsidR="00F4325E" w:rsidRDefault="00F4325E">
    <w:pPr>
      <w:pBdr>
        <w:top w:val="nil"/>
        <w:left w:val="nil"/>
        <w:bottom w:val="nil"/>
        <w:right w:val="nil"/>
        <w:between w:val="nil"/>
      </w:pBdr>
      <w:tabs>
        <w:tab w:val="center" w:pos="4419"/>
        <w:tab w:val="right" w:pos="8838"/>
        <w:tab w:val="left" w:pos="346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E0069"/>
    <w:multiLevelType w:val="multilevel"/>
    <w:tmpl w:val="CB448714"/>
    <w:lvl w:ilvl="0">
      <w:start w:val="1"/>
      <w:numFmt w:val="decimal"/>
      <w:pStyle w:val="Listaconvietas3"/>
      <w:lvlText w:val="%1."/>
      <w:lvlJc w:val="left"/>
      <w:pPr>
        <w:ind w:left="347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DD0AEF"/>
    <w:multiLevelType w:val="hybridMultilevel"/>
    <w:tmpl w:val="E994666E"/>
    <w:lvl w:ilvl="0" w:tplc="4CDE78FC">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07A2794"/>
    <w:multiLevelType w:val="multilevel"/>
    <w:tmpl w:val="3DD2F3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6AD82FC2"/>
    <w:multiLevelType w:val="multilevel"/>
    <w:tmpl w:val="D3DEA9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7AD74A33"/>
    <w:multiLevelType w:val="multilevel"/>
    <w:tmpl w:val="868E7720"/>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579553218">
    <w:abstractNumId w:val="3"/>
  </w:num>
  <w:num w:numId="2" w16cid:durableId="125391788">
    <w:abstractNumId w:val="0"/>
  </w:num>
  <w:num w:numId="3" w16cid:durableId="2123180255">
    <w:abstractNumId w:val="2"/>
  </w:num>
  <w:num w:numId="4" w16cid:durableId="2003268363">
    <w:abstractNumId w:val="4"/>
  </w:num>
  <w:num w:numId="5" w16cid:durableId="997415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46"/>
    <w:rsid w:val="00095DD5"/>
    <w:rsid w:val="0011455F"/>
    <w:rsid w:val="0017193E"/>
    <w:rsid w:val="001A4C87"/>
    <w:rsid w:val="001E3F80"/>
    <w:rsid w:val="001F1B76"/>
    <w:rsid w:val="0028271B"/>
    <w:rsid w:val="002C79EB"/>
    <w:rsid w:val="00312A51"/>
    <w:rsid w:val="003F5F55"/>
    <w:rsid w:val="004227F3"/>
    <w:rsid w:val="00547521"/>
    <w:rsid w:val="005A636D"/>
    <w:rsid w:val="005C7314"/>
    <w:rsid w:val="00665C18"/>
    <w:rsid w:val="006D4F60"/>
    <w:rsid w:val="006F1D1F"/>
    <w:rsid w:val="007213ED"/>
    <w:rsid w:val="00737BC1"/>
    <w:rsid w:val="007531FF"/>
    <w:rsid w:val="007571E3"/>
    <w:rsid w:val="007A34A3"/>
    <w:rsid w:val="007A771F"/>
    <w:rsid w:val="007C113A"/>
    <w:rsid w:val="007C5A41"/>
    <w:rsid w:val="00826C04"/>
    <w:rsid w:val="00826F51"/>
    <w:rsid w:val="00855338"/>
    <w:rsid w:val="008662DE"/>
    <w:rsid w:val="009142B6"/>
    <w:rsid w:val="00915879"/>
    <w:rsid w:val="009A44A8"/>
    <w:rsid w:val="009B0D19"/>
    <w:rsid w:val="009D3810"/>
    <w:rsid w:val="00A27A5F"/>
    <w:rsid w:val="00A477B1"/>
    <w:rsid w:val="00A74BF8"/>
    <w:rsid w:val="00B97FAB"/>
    <w:rsid w:val="00BD15D6"/>
    <w:rsid w:val="00BE4B8C"/>
    <w:rsid w:val="00C02633"/>
    <w:rsid w:val="00C60056"/>
    <w:rsid w:val="00CA0504"/>
    <w:rsid w:val="00D11C6D"/>
    <w:rsid w:val="00D57B0B"/>
    <w:rsid w:val="00D61612"/>
    <w:rsid w:val="00E437AB"/>
    <w:rsid w:val="00E8474C"/>
    <w:rsid w:val="00F12C46"/>
    <w:rsid w:val="00F160D8"/>
    <w:rsid w:val="00F24267"/>
    <w:rsid w:val="00F32FED"/>
    <w:rsid w:val="00F4325E"/>
    <w:rsid w:val="00FC24B4"/>
    <w:rsid w:val="00FF7E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4934BA"/>
  <w15:docId w15:val="{6A5638F5-9AC6-400F-A512-260FC3D5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line="259" w:lineRule="auto"/>
      <w:outlineLvl w:val="0"/>
    </w:pPr>
    <w:rPr>
      <w:rFonts w:ascii="Calibri" w:eastAsia="Calibri" w:hAnsi="Calibri" w:cs="Calibri"/>
      <w:b/>
      <w:sz w:val="48"/>
      <w:szCs w:val="48"/>
    </w:rPr>
  </w:style>
  <w:style w:type="paragraph" w:styleId="Ttulo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rPr>
  </w:style>
  <w:style w:type="paragraph" w:styleId="Ttulo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rPr>
  </w:style>
  <w:style w:type="paragraph" w:styleId="Ttulo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rPr>
  </w:style>
  <w:style w:type="paragraph" w:styleId="Ttulo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rPr>
  </w:style>
  <w:style w:type="paragraph" w:styleId="Ttulo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line="259" w:lineRule="auto"/>
    </w:pPr>
    <w:rPr>
      <w:rFonts w:ascii="Calibri" w:eastAsia="Calibri" w:hAnsi="Calibri" w:cs="Calibri"/>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rPr>
      <w:rFonts w:ascii="Calibri" w:eastAsia="Calibri" w:hAnsi="Calibri" w:cs="Calibri"/>
      <w:sz w:val="22"/>
      <w:szCs w:val="22"/>
    </w:r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rPr>
      <w:rFonts w:ascii="Calibri" w:eastAsia="Calibri" w:hAnsi="Calibri" w:cs="Calibri"/>
      <w:sz w:val="22"/>
      <w:szCs w:val="22"/>
    </w:r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spacing w:after="160" w:line="259" w:lineRule="auto"/>
      <w:ind w:left="720"/>
      <w:contextualSpacing/>
    </w:pPr>
    <w:rPr>
      <w:rFonts w:ascii="Calibri" w:eastAsia="Calibri" w:hAnsi="Calibri" w:cs="Calibri"/>
      <w:sz w:val="22"/>
      <w:szCs w:val="22"/>
    </w:r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a">
    <w:basedOn w:val="TableNormal5"/>
    <w:tblPr>
      <w:tblStyleRowBandSize w:val="1"/>
      <w:tblStyleColBandSize w:val="1"/>
      <w:tblCellMar>
        <w:top w:w="15" w:type="dxa"/>
        <w:left w:w="15" w:type="dxa"/>
        <w:bottom w:w="15" w:type="dxa"/>
        <w:right w:w="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top w:w="15" w:type="dxa"/>
        <w:left w:w="115" w:type="dxa"/>
        <w:bottom w:w="15" w:type="dxa"/>
        <w:right w:w="115" w:type="dxa"/>
      </w:tblCellMar>
    </w:tblPr>
  </w:style>
  <w:style w:type="table" w:customStyle="1" w:styleId="a3">
    <w:basedOn w:val="TableNormal5"/>
    <w:tblPr>
      <w:tblStyleRowBandSize w:val="1"/>
      <w:tblStyleColBandSize w:val="1"/>
      <w:tblCellMar>
        <w:top w:w="15" w:type="dxa"/>
        <w:left w:w="115" w:type="dxa"/>
        <w:bottom w:w="15" w:type="dxa"/>
        <w:right w:w="115" w:type="dxa"/>
      </w:tblCellMar>
    </w:tblPr>
  </w:style>
  <w:style w:type="table" w:customStyle="1" w:styleId="a4">
    <w:basedOn w:val="TableNormal4"/>
    <w:tblPr>
      <w:tblStyleRowBandSize w:val="1"/>
      <w:tblStyleColBandSize w:val="1"/>
      <w:tblCellMar>
        <w:top w:w="15" w:type="dxa"/>
        <w:left w:w="115" w:type="dxa"/>
        <w:bottom w:w="15" w:type="dxa"/>
        <w:right w:w="115" w:type="dxa"/>
      </w:tblCellMar>
    </w:tblPr>
  </w:style>
  <w:style w:type="table" w:customStyle="1" w:styleId="a5">
    <w:basedOn w:val="TableNormal4"/>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p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top w:w="15" w:type="dxa"/>
        <w:left w:w="115" w:type="dxa"/>
        <w:bottom w:w="15" w:type="dxa"/>
        <w:right w:w="115" w:type="dxa"/>
      </w:tblCellMar>
    </w:tblPr>
  </w:style>
  <w:style w:type="table" w:customStyle="1" w:styleId="a8">
    <w:basedOn w:val="TableNormal3"/>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004A02"/>
    <w:rPr>
      <w:color w:val="605E5C"/>
      <w:shd w:val="clear" w:color="auto" w:fill="E1DFDD"/>
    </w:rPr>
  </w:style>
  <w:style w:type="table" w:customStyle="1" w:styleId="a9">
    <w:basedOn w:val="TableNormal2"/>
    <w:tblPr>
      <w:tblStyleRowBandSize w:val="1"/>
      <w:tblStyleColBandSize w:val="1"/>
      <w:tblCellMar>
        <w:top w:w="15" w:type="dxa"/>
        <w:left w:w="115" w:type="dxa"/>
        <w:bottom w:w="15" w:type="dxa"/>
        <w:right w:w="115" w:type="dxa"/>
      </w:tblCellMar>
    </w:tblPr>
  </w:style>
  <w:style w:type="table" w:customStyle="1" w:styleId="aa">
    <w:basedOn w:val="TableNormal2"/>
    <w:tblPr>
      <w:tblStyleRowBandSize w:val="1"/>
      <w:tblStyleColBandSize w:val="1"/>
      <w:tblCellMar>
        <w:top w:w="15" w:type="dxa"/>
        <w:left w:w="115" w:type="dxa"/>
        <w:bottom w:w="15" w:type="dxa"/>
        <w:right w:w="115" w:type="dxa"/>
      </w:tblCellMar>
    </w:tblPr>
  </w:style>
  <w:style w:type="paragraph" w:styleId="Listaconvietas3">
    <w:name w:val="List Bullet 3"/>
    <w:basedOn w:val="Normal"/>
    <w:uiPriority w:val="99"/>
    <w:unhideWhenUsed/>
    <w:rsid w:val="00C53246"/>
    <w:pPr>
      <w:numPr>
        <w:numId w:val="2"/>
      </w:numPr>
      <w:contextualSpacing/>
    </w:pPr>
    <w:rPr>
      <w:lang w:val="es-ES"/>
    </w:rPr>
  </w:style>
  <w:style w:type="table" w:customStyle="1" w:styleId="ab">
    <w:basedOn w:val="TableNormal1"/>
    <w:tblPr>
      <w:tblStyleRowBandSize w:val="1"/>
      <w:tblStyleColBandSize w:val="1"/>
      <w:tblCellMar>
        <w:top w:w="15" w:type="dxa"/>
        <w:left w:w="115" w:type="dxa"/>
        <w:bottom w:w="15" w:type="dxa"/>
        <w:right w:w="115" w:type="dxa"/>
      </w:tblCellMar>
    </w:tblPr>
  </w:style>
  <w:style w:type="table" w:customStyle="1" w:styleId="ac">
    <w:basedOn w:val="TableNormal1"/>
    <w:tblPr>
      <w:tblStyleRowBandSize w:val="1"/>
      <w:tblStyleColBandSize w:val="1"/>
      <w:tblCellMar>
        <w:top w:w="15" w:type="dxa"/>
        <w:left w:w="115" w:type="dxa"/>
        <w:bottom w:w="15" w:type="dxa"/>
        <w:right w:w="115" w:type="dxa"/>
      </w:tblCellMar>
    </w:tblPr>
  </w:style>
  <w:style w:type="paragraph" w:styleId="Subttulo">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rPr>
  </w:style>
  <w:style w:type="table" w:customStyle="1" w:styleId="ad">
    <w:basedOn w:val="TableNormal0"/>
    <w:tblPr>
      <w:tblStyleRowBandSize w:val="1"/>
      <w:tblStyleColBandSize w:val="1"/>
      <w:tblCellMar>
        <w:top w:w="15" w:type="dxa"/>
        <w:left w:w="115" w:type="dxa"/>
        <w:bottom w:w="15" w:type="dxa"/>
        <w:right w:w="115" w:type="dxa"/>
      </w:tblCellMar>
    </w:tblPr>
  </w:style>
  <w:style w:type="table" w:customStyle="1" w:styleId="ae">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69634.page"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glj45ondsRYR9o282lU9ZuKTAQ==">CgMxLjAyCGguZ2pkZ3hzMgloLjJldDkycDAyCWguMWZvYjl0ZTIJaC4zMGowemxsMg5oLmZ4N3Zjcm4xbWNpYTIJaC4zem55c2g3MghoLnR5amN3dDIJaC4zZHk2dmttOAByITFMRmVpc0VvZ01iTU54ZTV2QjBhNVpXUl9OMXJGMVVEUA==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7598</Words>
  <Characters>40741</Characters>
  <Application>Microsoft Office Word</Application>
  <DocSecurity>0</DocSecurity>
  <Lines>765</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2025-09-26T17:13:00Z</cp:lastPrinted>
  <dcterms:created xsi:type="dcterms:W3CDTF">2025-10-07T17:27:00Z</dcterms:created>
  <dcterms:modified xsi:type="dcterms:W3CDTF">2025-10-07T17:27:00Z</dcterms:modified>
</cp:coreProperties>
</file>