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10A3C" w14:textId="77777777" w:rsidR="004979B1" w:rsidRPr="0024200F" w:rsidRDefault="004979B1" w:rsidP="004979B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E9506B">
        <w:rPr>
          <w:rFonts w:ascii="Palatino Linotype" w:hAnsi="Palatino Linotype"/>
        </w:rPr>
        <w:t>dieciséis</w:t>
      </w:r>
      <w:r w:rsidR="00667103">
        <w:rPr>
          <w:rFonts w:ascii="Palatino Linotype" w:hAnsi="Palatino Linotype"/>
        </w:rPr>
        <w:t xml:space="preserve"> de ju</w:t>
      </w:r>
      <w:r w:rsidR="00366C5F">
        <w:rPr>
          <w:rFonts w:ascii="Palatino Linotype" w:hAnsi="Palatino Linotype"/>
        </w:rPr>
        <w:t>l</w:t>
      </w:r>
      <w:r w:rsidR="00667103">
        <w:rPr>
          <w:rFonts w:ascii="Palatino Linotype" w:hAnsi="Palatino Linotype"/>
        </w:rPr>
        <w:t>io</w:t>
      </w:r>
      <w:r>
        <w:rPr>
          <w:rFonts w:ascii="Palatino Linotype" w:hAnsi="Palatino Linotype"/>
        </w:rPr>
        <w:t xml:space="preserve"> de dos mil veinticinco.</w:t>
      </w:r>
    </w:p>
    <w:p w14:paraId="04629104" w14:textId="77777777" w:rsidR="004979B1" w:rsidRPr="0024200F" w:rsidRDefault="004979B1" w:rsidP="004979B1">
      <w:pPr>
        <w:spacing w:line="360" w:lineRule="auto"/>
        <w:jc w:val="both"/>
        <w:rPr>
          <w:rFonts w:ascii="Palatino Linotype" w:hAnsi="Palatino Linotype"/>
        </w:rPr>
      </w:pPr>
    </w:p>
    <w:p w14:paraId="54620B89" w14:textId="77777777" w:rsidR="004979B1" w:rsidRPr="002C3EC8" w:rsidRDefault="004979B1" w:rsidP="004979B1">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366C5F">
        <w:rPr>
          <w:rFonts w:ascii="Palatino Linotype" w:hAnsi="Palatino Linotype" w:cs="Arial"/>
          <w:b/>
          <w:bCs/>
          <w:lang w:eastAsia="es-MX"/>
        </w:rPr>
        <w:t>4010</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00366C5F" w:rsidRPr="00366C5F">
        <w:rPr>
          <w:rFonts w:ascii="Palatino Linotype" w:hAnsi="Palatino Linotype"/>
          <w:b/>
        </w:rPr>
        <w:t>Ayuntamiento de Calimaya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506172BE" w14:textId="77777777" w:rsidR="004979B1" w:rsidRPr="00D137CB" w:rsidRDefault="004979B1" w:rsidP="004979B1">
      <w:pPr>
        <w:pStyle w:val="infoemcitas"/>
        <w:jc w:val="center"/>
        <w:rPr>
          <w:b/>
          <w:bCs/>
          <w:i w:val="0"/>
          <w:iCs/>
          <w:sz w:val="24"/>
          <w:szCs w:val="28"/>
        </w:rPr>
      </w:pPr>
      <w:bookmarkStart w:id="0" w:name="_GoBack"/>
      <w:bookmarkEnd w:id="0"/>
    </w:p>
    <w:p w14:paraId="457BB30C" w14:textId="77777777" w:rsidR="004979B1" w:rsidRDefault="004979B1" w:rsidP="004979B1">
      <w:pPr>
        <w:pStyle w:val="infoemcitas"/>
        <w:jc w:val="center"/>
        <w:rPr>
          <w:b/>
          <w:bCs/>
          <w:i w:val="0"/>
          <w:iCs/>
          <w:sz w:val="28"/>
          <w:szCs w:val="28"/>
        </w:rPr>
      </w:pPr>
      <w:r w:rsidRPr="002C3EC8">
        <w:rPr>
          <w:b/>
          <w:bCs/>
          <w:i w:val="0"/>
          <w:iCs/>
          <w:sz w:val="28"/>
          <w:szCs w:val="28"/>
        </w:rPr>
        <w:t>A N T E C E D E N T E S   D E L   A S U N T O</w:t>
      </w:r>
    </w:p>
    <w:p w14:paraId="3590ACE6" w14:textId="77777777" w:rsidR="004979B1" w:rsidRPr="00D137CB" w:rsidRDefault="004979B1" w:rsidP="004979B1">
      <w:pPr>
        <w:pStyle w:val="infoemcitas"/>
        <w:jc w:val="center"/>
        <w:rPr>
          <w:b/>
          <w:bCs/>
          <w:i w:val="0"/>
          <w:iCs/>
          <w:sz w:val="24"/>
          <w:szCs w:val="28"/>
        </w:rPr>
      </w:pPr>
    </w:p>
    <w:p w14:paraId="0A45CFB8" w14:textId="77777777" w:rsidR="004979B1" w:rsidRPr="002C3EC8" w:rsidRDefault="004979B1" w:rsidP="004979B1">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333E895B" w14:textId="77777777" w:rsidR="004979B1" w:rsidRPr="00D705FF" w:rsidRDefault="004979B1" w:rsidP="004979B1">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303EE3">
        <w:rPr>
          <w:rFonts w:ascii="Palatino Linotype" w:hAnsi="Palatino Linotype" w:cs="Arial"/>
          <w:b/>
        </w:rPr>
        <w:t>cuatro</w:t>
      </w:r>
      <w:r w:rsidR="00DE62AD">
        <w:rPr>
          <w:rFonts w:ascii="Palatino Linotype" w:hAnsi="Palatino Linotype" w:cs="Arial"/>
          <w:b/>
        </w:rPr>
        <w:t xml:space="preserve"> de marzo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366C5F">
        <w:rPr>
          <w:rFonts w:ascii="Palatino Linotype" w:hAnsi="Palatino Linotype" w:cs="Arial"/>
          <w:b/>
        </w:rPr>
        <w:t>00138/CALIMAYA/IP/2025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012834CA" w14:textId="77777777" w:rsidR="004979B1" w:rsidRPr="001C7F6F" w:rsidRDefault="004979B1" w:rsidP="00303EE3">
      <w:pPr>
        <w:pStyle w:val="INFOEM"/>
        <w:rPr>
          <w:lang w:val="es-ES_tradnl" w:eastAsia="es-ES"/>
        </w:rPr>
      </w:pPr>
      <w:r w:rsidRPr="00D705FF">
        <w:rPr>
          <w:lang w:val="es-ES_tradnl" w:eastAsia="es-ES"/>
        </w:rPr>
        <w:t>“</w:t>
      </w:r>
      <w:r w:rsidR="00303EE3" w:rsidRPr="00303EE3">
        <w:rPr>
          <w:lang w:val="es-ES" w:eastAsia="es-ES"/>
        </w:rPr>
        <w:t xml:space="preserve">¿En cuál administración municipal, se aprobaron 12 millones de pesos para llevar </w:t>
      </w:r>
      <w:proofErr w:type="gramStart"/>
      <w:r w:rsidR="00303EE3" w:rsidRPr="00303EE3">
        <w:rPr>
          <w:lang w:val="es-ES" w:eastAsia="es-ES"/>
        </w:rPr>
        <w:t>a</w:t>
      </w:r>
      <w:proofErr w:type="gramEnd"/>
      <w:r w:rsidR="00303EE3" w:rsidRPr="00303EE3">
        <w:rPr>
          <w:lang w:val="es-ES" w:eastAsia="es-ES"/>
        </w:rPr>
        <w:t xml:space="preserve"> </w:t>
      </w:r>
      <w:proofErr w:type="spellStart"/>
      <w:r w:rsidR="00303EE3" w:rsidRPr="00303EE3">
        <w:rPr>
          <w:lang w:val="es-ES" w:eastAsia="es-ES"/>
        </w:rPr>
        <w:t>acabo</w:t>
      </w:r>
      <w:proofErr w:type="spellEnd"/>
      <w:r w:rsidR="00303EE3" w:rsidRPr="00303EE3">
        <w:rPr>
          <w:lang w:val="es-ES" w:eastAsia="es-ES"/>
        </w:rPr>
        <w:t xml:space="preserve"> la feria y/o el festival internacional cultural del mariachi de Calimaya? y requiero copia simple del acta de cabildo en la que se aprobó dicha cantidad.</w:t>
      </w:r>
      <w:r w:rsidRPr="00D705FF">
        <w:rPr>
          <w:lang w:val="es-ES_tradnl" w:eastAsia="es-ES"/>
        </w:rPr>
        <w:t>” (Sic)</w:t>
      </w:r>
    </w:p>
    <w:p w14:paraId="7E7DDCDB" w14:textId="77777777" w:rsidR="004979B1" w:rsidRPr="002C3EC8" w:rsidRDefault="004979B1" w:rsidP="004979B1">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3D8EB598" w14:textId="77777777" w:rsidR="004979B1" w:rsidRPr="00DE62AD" w:rsidRDefault="004979B1" w:rsidP="00DE62AD">
      <w:pPr>
        <w:spacing w:line="360" w:lineRule="auto"/>
        <w:jc w:val="both"/>
        <w:rPr>
          <w:rFonts w:ascii="Palatino Linotype" w:hAnsi="Palatino Linotype" w:cs="Arial"/>
          <w:b/>
        </w:rPr>
      </w:pPr>
    </w:p>
    <w:p w14:paraId="26D96D26" w14:textId="77777777" w:rsidR="004979B1" w:rsidRDefault="004979B1" w:rsidP="00DE62AD">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7E3D17FA" w14:textId="77777777" w:rsidR="004979B1" w:rsidRPr="00C0731C" w:rsidRDefault="004979B1" w:rsidP="004979B1">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303EE3">
        <w:rPr>
          <w:rFonts w:ascii="Palatino Linotype" w:hAnsi="Palatino Linotype" w:cs="Arial"/>
          <w:b/>
          <w:sz w:val="24"/>
        </w:rPr>
        <w:t>veinte de marzo</w:t>
      </w:r>
      <w:r w:rsidR="00DE62AD">
        <w:rPr>
          <w:rFonts w:ascii="Palatino Linotype" w:hAnsi="Palatino Linotype" w:cs="Arial"/>
          <w:b/>
          <w:sz w:val="24"/>
        </w:rPr>
        <w:t xml:space="preserve"> </w:t>
      </w:r>
      <w:r>
        <w:rPr>
          <w:rFonts w:ascii="Palatino Linotype" w:hAnsi="Palatino Linotype" w:cs="Arial"/>
          <w:b/>
          <w:sz w:val="24"/>
        </w:rPr>
        <w:t>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08CDD579" w14:textId="77777777" w:rsidR="004979B1" w:rsidRPr="00E818A5" w:rsidRDefault="004979B1" w:rsidP="004979B1">
      <w:pPr>
        <w:spacing w:line="360" w:lineRule="auto"/>
        <w:jc w:val="both"/>
        <w:rPr>
          <w:rFonts w:ascii="Palatino Linotype" w:hAnsi="Palatino Linotype" w:cs="Arial"/>
        </w:rPr>
      </w:pPr>
    </w:p>
    <w:p w14:paraId="5B833BFA" w14:textId="77777777" w:rsidR="004979B1" w:rsidRDefault="004979B1" w:rsidP="00DE62AD">
      <w:pPr>
        <w:ind w:left="567" w:right="567"/>
        <w:jc w:val="both"/>
        <w:rPr>
          <w:rFonts w:ascii="Palatino Linotype" w:hAnsi="Palatino Linotype" w:cs="Arial"/>
          <w:i/>
        </w:rPr>
      </w:pPr>
      <w:r>
        <w:rPr>
          <w:rFonts w:ascii="Palatino Linotype" w:hAnsi="Palatino Linotype" w:cs="Arial"/>
          <w:i/>
        </w:rPr>
        <w:t>“</w:t>
      </w:r>
      <w:r w:rsidR="00303EE3" w:rsidRPr="00303EE3">
        <w:rPr>
          <w:rFonts w:ascii="Palatino Linotype" w:hAnsi="Palatino Linotype" w:cs="Arial"/>
          <w:i/>
        </w:rPr>
        <w:t>ESTIMADO SOLICITANTE: EN ATENCIÓN A SU SOLICITUD DE INFORMACIÓN CON NÚMERO DE FOLIO 00138/CALIMAYA/IP/2025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EL OFICIO NÚMERO AC/SA/0309/2025 (SECRETARIA DEL AYUNTAMIENTO), SE DIÓ RESPUESTA A LA SOLICITUD CON NÚMERO DE FOLIO 00138/CALIMAYA/IP/2025, SE ADJUNTA EL OFICIO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r w:rsidR="00DE62AD" w:rsidRPr="00DE62AD">
        <w:rPr>
          <w:rFonts w:ascii="Palatino Linotype" w:hAnsi="Palatino Linotype" w:cs="Arial"/>
          <w:i/>
        </w:rPr>
        <w:t xml:space="preserve">" </w:t>
      </w:r>
      <w:r w:rsidRPr="00667998">
        <w:rPr>
          <w:rFonts w:ascii="Palatino Linotype" w:hAnsi="Palatino Linotype" w:cs="Arial"/>
          <w:i/>
        </w:rPr>
        <w:t>“(Sic).</w:t>
      </w:r>
    </w:p>
    <w:p w14:paraId="54A0C86D" w14:textId="77777777" w:rsidR="004979B1" w:rsidRDefault="004979B1" w:rsidP="004979B1">
      <w:pPr>
        <w:spacing w:line="360" w:lineRule="auto"/>
        <w:ind w:right="567"/>
        <w:jc w:val="both"/>
        <w:rPr>
          <w:rFonts w:ascii="Palatino Linotype" w:hAnsi="Palatino Linotype" w:cs="Arial"/>
        </w:rPr>
      </w:pPr>
    </w:p>
    <w:p w14:paraId="3735D8F0" w14:textId="77777777" w:rsidR="004979B1" w:rsidRDefault="004979B1" w:rsidP="004979B1">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DE62AD">
        <w:rPr>
          <w:rFonts w:ascii="Palatino Linotype" w:hAnsi="Palatino Linotype" w:cs="Arial"/>
        </w:rPr>
        <w:t>el archivo electrónico denominado</w:t>
      </w:r>
      <w:r>
        <w:rPr>
          <w:rFonts w:ascii="Palatino Linotype" w:hAnsi="Palatino Linotype" w:cs="Arial"/>
        </w:rPr>
        <w:t xml:space="preserve"> “</w:t>
      </w:r>
      <w:r w:rsidR="00303EE3" w:rsidRPr="00303EE3">
        <w:rPr>
          <w:rFonts w:ascii="Palatino Linotype" w:hAnsi="Palatino Linotype" w:cs="Arial"/>
          <w:b/>
          <w:i/>
        </w:rPr>
        <w:t>IP 138.pdf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27D032C6" w14:textId="77777777" w:rsidR="007936F4" w:rsidRDefault="007936F4" w:rsidP="004979B1">
      <w:pPr>
        <w:spacing w:line="360" w:lineRule="auto"/>
        <w:jc w:val="both"/>
        <w:rPr>
          <w:rFonts w:ascii="Palatino Linotype" w:hAnsi="Palatino Linotype" w:cs="Arial"/>
        </w:rPr>
      </w:pPr>
    </w:p>
    <w:p w14:paraId="7938A99F" w14:textId="77777777" w:rsidR="004979B1" w:rsidRPr="002C3EC8" w:rsidRDefault="004979B1" w:rsidP="004979B1">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0DD034D9" w14:textId="77777777" w:rsidR="004979B1" w:rsidRDefault="004979B1" w:rsidP="004979B1">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303EE3">
        <w:rPr>
          <w:rFonts w:ascii="Palatino Linotype" w:hAnsi="Palatino Linotype" w:cs="Arial"/>
          <w:b/>
        </w:rPr>
        <w:t>cuatro</w:t>
      </w:r>
      <w:r w:rsidR="007936F4">
        <w:rPr>
          <w:rFonts w:ascii="Palatino Linotype" w:hAnsi="Palatino Linotype" w:cs="Arial"/>
          <w:b/>
        </w:rPr>
        <w:t xml:space="preserve"> de abril</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w:t>
      </w:r>
      <w:r w:rsidR="00366C5F">
        <w:rPr>
          <w:rFonts w:ascii="Palatino Linotype" w:hAnsi="Palatino Linotype" w:cs="Arial"/>
          <w:b/>
        </w:rPr>
        <w:t>4010</w:t>
      </w:r>
      <w:r>
        <w:rPr>
          <w:rFonts w:ascii="Palatino Linotype" w:hAnsi="Palatino Linotype" w:cs="Arial"/>
          <w:b/>
        </w:rPr>
        <w:t>/INFOEM/IP/RR/2025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07881485" w14:textId="77777777" w:rsidR="004979B1" w:rsidRDefault="004979B1" w:rsidP="004979B1">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0A87E1D3" w14:textId="77777777" w:rsidR="004979B1" w:rsidRPr="007E4713" w:rsidRDefault="004979B1" w:rsidP="004979B1">
      <w:pPr>
        <w:pStyle w:val="INFOEM"/>
        <w:ind w:left="720"/>
      </w:pPr>
      <w:r w:rsidRPr="007E4713">
        <w:t>“</w:t>
      </w:r>
      <w:r w:rsidR="00303EE3" w:rsidRPr="00303EE3">
        <w:t>la respuesta de fecha 18 de marzo de 2025, por parte de la secretaria del ayuntamiento.</w:t>
      </w:r>
      <w:r>
        <w:t>” (</w:t>
      </w:r>
      <w:r w:rsidR="00CC1386">
        <w:t>Sic</w:t>
      </w:r>
      <w:r>
        <w:t>)</w:t>
      </w:r>
    </w:p>
    <w:p w14:paraId="19EF1546" w14:textId="77777777" w:rsidR="004979B1" w:rsidRPr="0033050B" w:rsidRDefault="004979B1" w:rsidP="004979B1">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040FEC0F" w14:textId="77777777" w:rsidR="004979B1" w:rsidRPr="007E4713" w:rsidRDefault="004979B1" w:rsidP="004979B1">
      <w:pPr>
        <w:pStyle w:val="INFOEM"/>
        <w:ind w:left="709"/>
      </w:pPr>
      <w:r w:rsidRPr="007E4713">
        <w:t>“</w:t>
      </w:r>
      <w:r w:rsidR="00303EE3" w:rsidRPr="00303EE3">
        <w:t>la secretaria del ayuntamiento lleva el registro de las actas de cabildo, cada administración municipal aprueba el presupuesto para celebrar la feria y/o festival internacional cultural del mariachi, por lo que la información solicitada debe obrar en las actas de cabildo. Solicite en que administración se aprobó el gasto de doce millones para dicha festividad, información que debe encontrarse en las actas de cabildo.</w:t>
      </w:r>
      <w:r w:rsidRPr="00DD2EDF">
        <w:t>”</w:t>
      </w:r>
      <w:r>
        <w:t xml:space="preserve"> (</w:t>
      </w:r>
      <w:r w:rsidR="00CC1386">
        <w:t>Sic</w:t>
      </w:r>
      <w:r>
        <w:t>)</w:t>
      </w:r>
    </w:p>
    <w:p w14:paraId="71DFB5D1" w14:textId="77777777" w:rsidR="004979B1" w:rsidRDefault="001C18D6" w:rsidP="004979B1">
      <w:pPr>
        <w:spacing w:before="240" w:line="360" w:lineRule="auto"/>
        <w:jc w:val="both"/>
        <w:rPr>
          <w:rFonts w:ascii="Palatino Linotype" w:hAnsi="Palatino Linotype" w:cs="Arial"/>
        </w:rPr>
      </w:pPr>
      <w:r>
        <w:rPr>
          <w:rFonts w:ascii="Palatino Linotype" w:hAnsi="Palatino Linotype" w:cs="Arial"/>
        </w:rPr>
        <w:t>Adicionalmente, el Recurrente adjuntó el archivo electrónico de nomi</w:t>
      </w:r>
      <w:r w:rsidR="00584383">
        <w:rPr>
          <w:rFonts w:ascii="Palatino Linotype" w:hAnsi="Palatino Linotype" w:cs="Arial"/>
        </w:rPr>
        <w:t xml:space="preserve">nado </w:t>
      </w:r>
      <w:r w:rsidR="00584383" w:rsidRPr="00584383">
        <w:rPr>
          <w:rFonts w:ascii="Palatino Linotype" w:hAnsi="Palatino Linotype" w:cs="Arial"/>
          <w:b/>
          <w:i/>
        </w:rPr>
        <w:t>“IP 138.pdf”</w:t>
      </w:r>
      <w:r w:rsidR="00584383">
        <w:rPr>
          <w:rFonts w:ascii="Palatino Linotype" w:hAnsi="Palatino Linotype" w:cs="Arial"/>
        </w:rPr>
        <w:t xml:space="preserve">, mismo que consiste en </w:t>
      </w:r>
      <w:r>
        <w:rPr>
          <w:rFonts w:ascii="Palatino Linotype" w:hAnsi="Palatino Linotype" w:cs="Arial"/>
        </w:rPr>
        <w:t>la</w:t>
      </w:r>
      <w:r w:rsidR="00584383">
        <w:rPr>
          <w:rFonts w:ascii="Palatino Linotype" w:hAnsi="Palatino Linotype" w:cs="Arial"/>
        </w:rPr>
        <w:t xml:space="preserve"> </w:t>
      </w:r>
      <w:r>
        <w:rPr>
          <w:rFonts w:ascii="Palatino Linotype" w:hAnsi="Palatino Linotype" w:cs="Arial"/>
        </w:rPr>
        <w:t>respuesta previamente entregada por el Sujeto Obligado.</w:t>
      </w:r>
    </w:p>
    <w:p w14:paraId="2E4EFFDF" w14:textId="77777777" w:rsidR="00584383" w:rsidRDefault="00584383" w:rsidP="00584383">
      <w:pPr>
        <w:spacing w:line="360" w:lineRule="auto"/>
        <w:jc w:val="both"/>
        <w:rPr>
          <w:rFonts w:ascii="Palatino Linotype" w:hAnsi="Palatino Linotype" w:cs="Arial"/>
        </w:rPr>
      </w:pPr>
    </w:p>
    <w:p w14:paraId="27BAEC0C" w14:textId="77777777" w:rsidR="004979B1" w:rsidRPr="002C3EC8" w:rsidRDefault="004979B1" w:rsidP="004979B1">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48FE60A0" w14:textId="77777777" w:rsidR="004979B1" w:rsidRDefault="004979B1" w:rsidP="004979B1">
      <w:pPr>
        <w:spacing w:before="240" w:line="360" w:lineRule="auto"/>
        <w:jc w:val="both"/>
        <w:rPr>
          <w:rFonts w:ascii="Palatino Linotype" w:hAnsi="Palatino Linotype" w:cs="Arial"/>
          <w:sz w:val="28"/>
        </w:rPr>
      </w:pPr>
      <w:r>
        <w:rPr>
          <w:rFonts w:ascii="Palatino Linotype" w:hAnsi="Palatino Linotype"/>
        </w:rPr>
        <w:lastRenderedPageBreak/>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303EE3">
        <w:rPr>
          <w:rFonts w:ascii="Palatino Linotype" w:hAnsi="Palatino Linotype"/>
          <w:b/>
        </w:rPr>
        <w:t>nueve</w:t>
      </w:r>
      <w:r w:rsidR="007936F4">
        <w:rPr>
          <w:rFonts w:ascii="Palatino Linotype" w:hAnsi="Palatino Linotype"/>
          <w:b/>
        </w:rPr>
        <w:t xml:space="preserve"> de abril</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61CDB2EA" w14:textId="77777777" w:rsidR="004979B1" w:rsidRPr="00D137CB" w:rsidRDefault="004979B1" w:rsidP="004979B1">
      <w:pPr>
        <w:spacing w:line="360" w:lineRule="auto"/>
        <w:jc w:val="both"/>
        <w:rPr>
          <w:rFonts w:ascii="Palatino Linotype" w:hAnsi="Palatino Linotype" w:cs="Arial"/>
        </w:rPr>
      </w:pPr>
    </w:p>
    <w:p w14:paraId="2B559E37" w14:textId="77777777" w:rsidR="004979B1" w:rsidRPr="00E52C83" w:rsidRDefault="004979B1" w:rsidP="004979B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0EA36A57" w14:textId="77777777" w:rsidR="004979B1" w:rsidRDefault="004979B1" w:rsidP="004979B1">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2E335496" w14:textId="77777777" w:rsidR="004979B1" w:rsidRPr="00DD2E32" w:rsidRDefault="004979B1" w:rsidP="004979B1">
      <w:pPr>
        <w:spacing w:line="360" w:lineRule="auto"/>
        <w:jc w:val="both"/>
        <w:rPr>
          <w:rFonts w:ascii="Palatino Linotype" w:hAnsi="Palatino Linotype" w:cs="Arial"/>
        </w:rPr>
      </w:pPr>
    </w:p>
    <w:p w14:paraId="0240D530" w14:textId="77777777" w:rsidR="004979B1" w:rsidRDefault="004979B1" w:rsidP="004979B1">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0C3F4BFC" w14:textId="77777777" w:rsidR="004979B1" w:rsidRDefault="004979B1" w:rsidP="004979B1">
      <w:pPr>
        <w:spacing w:line="360" w:lineRule="auto"/>
        <w:jc w:val="both"/>
        <w:rPr>
          <w:rFonts w:ascii="Palatino Linotype" w:eastAsia="Calibri" w:hAnsi="Palatino Linotype" w:cs="Arial"/>
          <w:b/>
          <w:sz w:val="28"/>
          <w:szCs w:val="28"/>
        </w:rPr>
      </w:pPr>
    </w:p>
    <w:p w14:paraId="7352C934" w14:textId="77777777" w:rsidR="00303EE3" w:rsidRPr="00821CCD" w:rsidRDefault="004979B1" w:rsidP="00303EE3">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00303EE3" w:rsidRPr="00821CCD">
        <w:rPr>
          <w:rFonts w:ascii="Palatino Linotype" w:eastAsia="Calibri" w:hAnsi="Palatino Linotype" w:cs="Arial"/>
          <w:b/>
          <w:sz w:val="28"/>
          <w:lang w:val="es-ES_tradnl"/>
        </w:rPr>
        <w:t>De la ampliación del término para resolver.</w:t>
      </w:r>
    </w:p>
    <w:p w14:paraId="49FDCBBD" w14:textId="77777777" w:rsidR="00303EE3" w:rsidRPr="001C7FB0" w:rsidRDefault="00303EE3" w:rsidP="00303EE3">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veintinueve de mayo de dos mil veinticinco</w:t>
      </w:r>
      <w:r w:rsidRPr="001C7FB0">
        <w:rPr>
          <w:rFonts w:ascii="Palatino Linotype" w:hAnsi="Palatino Linotype" w:cs="Arial"/>
        </w:rPr>
        <w:t xml:space="preserve">, se notificó a las partes el acuerdo por el que se ordena ampliar el plazo para la emisión de </w:t>
      </w:r>
      <w:r w:rsidRPr="001C7FB0">
        <w:rPr>
          <w:rFonts w:ascii="Palatino Linotype" w:hAnsi="Palatino Linotype" w:cs="Arial"/>
        </w:rPr>
        <w:lastRenderedPageBreak/>
        <w:t>la resolución, en términos del artículo 181 párrafo tercero de la Ley de Transparencia y Acceso a la Información Pública del Estado de México y Municipios, ordenándose turnar los expedientes a la resolución que en derecho proceda.</w:t>
      </w:r>
    </w:p>
    <w:p w14:paraId="287DE5F5" w14:textId="77777777" w:rsidR="00303EE3" w:rsidRDefault="00303EE3" w:rsidP="004979B1">
      <w:pPr>
        <w:spacing w:line="360" w:lineRule="auto"/>
        <w:jc w:val="both"/>
        <w:rPr>
          <w:rFonts w:ascii="Palatino Linotype" w:hAnsi="Palatino Linotype" w:cs="Arial"/>
          <w:b/>
          <w:sz w:val="28"/>
          <w:szCs w:val="28"/>
        </w:rPr>
      </w:pPr>
    </w:p>
    <w:p w14:paraId="00EBA8BF" w14:textId="77777777" w:rsidR="00303EE3" w:rsidRPr="002C3EC8" w:rsidRDefault="00667103" w:rsidP="00303EE3">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SÉPTIMO</w:t>
      </w:r>
      <w:r w:rsidRPr="00821CCD">
        <w:rPr>
          <w:rFonts w:ascii="Palatino Linotype" w:eastAsia="Calibri" w:hAnsi="Palatino Linotype" w:cs="Arial"/>
          <w:b/>
          <w:sz w:val="28"/>
          <w:lang w:val="es-ES_tradnl"/>
        </w:rPr>
        <w:t xml:space="preserve">. </w:t>
      </w:r>
      <w:r w:rsidR="00303EE3" w:rsidRPr="002C3EC8">
        <w:rPr>
          <w:rFonts w:ascii="Palatino Linotype" w:hAnsi="Palatino Linotype" w:cs="Arial"/>
          <w:b/>
          <w:sz w:val="28"/>
          <w:szCs w:val="28"/>
        </w:rPr>
        <w:t>Del Cierre de Instrucción.</w:t>
      </w:r>
    </w:p>
    <w:p w14:paraId="6BB55876" w14:textId="77777777" w:rsidR="00303EE3" w:rsidRDefault="00303EE3" w:rsidP="00303EE3">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Pr>
          <w:rFonts w:ascii="Palatino Linotype" w:hAnsi="Palatino Linotype" w:cs="Arial"/>
          <w:b/>
        </w:rPr>
        <w:t>primero de julio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270FA619" w14:textId="77777777" w:rsidR="004979B1" w:rsidRDefault="004979B1" w:rsidP="004979B1">
      <w:pPr>
        <w:spacing w:line="360" w:lineRule="auto"/>
        <w:jc w:val="both"/>
        <w:rPr>
          <w:rFonts w:ascii="Palatino Linotype" w:hAnsi="Palatino Linotype" w:cs="Arial"/>
          <w:b/>
          <w:sz w:val="28"/>
          <w:szCs w:val="28"/>
        </w:rPr>
      </w:pPr>
    </w:p>
    <w:p w14:paraId="1E63DC6F" w14:textId="77777777" w:rsidR="004979B1" w:rsidRPr="0024200F" w:rsidRDefault="004979B1" w:rsidP="004979B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780C4F82" w14:textId="77777777" w:rsidR="004979B1" w:rsidRPr="00825F67" w:rsidRDefault="004979B1" w:rsidP="004979B1">
      <w:pPr>
        <w:spacing w:line="360" w:lineRule="auto"/>
        <w:ind w:right="49"/>
        <w:jc w:val="both"/>
        <w:rPr>
          <w:rFonts w:ascii="Palatino Linotype" w:hAnsi="Palatino Linotype"/>
          <w:szCs w:val="28"/>
        </w:rPr>
      </w:pPr>
    </w:p>
    <w:p w14:paraId="0B532F7B" w14:textId="77777777" w:rsidR="004979B1" w:rsidRPr="002C3EC8" w:rsidRDefault="004979B1" w:rsidP="004979B1">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115141E6" w14:textId="77777777" w:rsidR="004979B1" w:rsidRPr="007C6AB6" w:rsidRDefault="004979B1" w:rsidP="004979B1">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6D4FA5">
        <w:rPr>
          <w:rFonts w:ascii="Palatino Linotype" w:hAnsi="Palatino Linotype"/>
        </w:rPr>
        <w:lastRenderedPageBreak/>
        <w:t>Acceso a la Información Pública y Protección de Datos Personales del Estado de México y Municipios</w:t>
      </w:r>
      <w:r w:rsidRPr="007C6AB6">
        <w:rPr>
          <w:rFonts w:ascii="Palatino Linotype" w:hAnsi="Palatino Linotype"/>
        </w:rPr>
        <w:t>.</w:t>
      </w:r>
    </w:p>
    <w:p w14:paraId="7559E194" w14:textId="77777777" w:rsidR="004979B1" w:rsidRPr="002C3EC8" w:rsidRDefault="004979B1" w:rsidP="004979B1">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142FE07B" w14:textId="77777777" w:rsidR="004979B1" w:rsidRDefault="004979B1" w:rsidP="004979B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C38FF3" w14:textId="77777777" w:rsidR="004979B1" w:rsidRPr="00821CCD" w:rsidRDefault="004979B1" w:rsidP="004979B1">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687618C5" w14:textId="77777777" w:rsidR="004979B1" w:rsidRPr="00821CCD" w:rsidRDefault="004979B1" w:rsidP="004979B1">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15A11FF3" w14:textId="77777777" w:rsidR="004979B1" w:rsidRPr="00821CCD" w:rsidRDefault="004979B1" w:rsidP="004979B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615373B5" w14:textId="77777777" w:rsidR="004979B1" w:rsidRPr="00821CCD" w:rsidRDefault="004979B1" w:rsidP="004979B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598ADD10" w14:textId="77777777" w:rsidR="004979B1" w:rsidRPr="00821CCD" w:rsidRDefault="004979B1" w:rsidP="004979B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3F4FA7BF" w14:textId="77777777" w:rsidR="004979B1" w:rsidRPr="00821CCD" w:rsidRDefault="004979B1" w:rsidP="004979B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6DE32AAB" w14:textId="77777777" w:rsidR="004979B1" w:rsidRPr="00821CCD" w:rsidRDefault="004979B1" w:rsidP="004979B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3EE8CB9F" w14:textId="77777777" w:rsidR="004979B1" w:rsidRPr="00821CCD" w:rsidRDefault="004979B1" w:rsidP="004979B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03D86304" w14:textId="77777777" w:rsidR="004979B1" w:rsidRPr="00821CCD" w:rsidRDefault="004979B1" w:rsidP="004979B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lastRenderedPageBreak/>
        <w:t xml:space="preserve">VII. La copia de la respuesta que se impugna y, en su caso, de la notificación correspondiente, en el caso de respuesta de la solicitud; y </w:t>
      </w:r>
    </w:p>
    <w:p w14:paraId="1F5B322C" w14:textId="77777777" w:rsidR="004979B1" w:rsidRPr="00821CCD" w:rsidRDefault="004979B1" w:rsidP="004979B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08A091C9" w14:textId="77777777" w:rsidR="004979B1" w:rsidRPr="00821CCD" w:rsidRDefault="004979B1" w:rsidP="004979B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130590A8" w14:textId="77777777" w:rsidR="004979B1" w:rsidRPr="00821CCD" w:rsidRDefault="004979B1" w:rsidP="004979B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578B3F31" w14:textId="77777777" w:rsidR="004979B1" w:rsidRPr="00821CCD" w:rsidRDefault="004979B1" w:rsidP="004979B1">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1404238E" w14:textId="77777777" w:rsidR="004979B1" w:rsidRPr="00821CCD" w:rsidRDefault="004979B1" w:rsidP="004979B1">
      <w:pPr>
        <w:autoSpaceDE w:val="0"/>
        <w:autoSpaceDN w:val="0"/>
        <w:adjustRightInd w:val="0"/>
        <w:spacing w:before="240" w:line="360" w:lineRule="auto"/>
        <w:jc w:val="both"/>
        <w:rPr>
          <w:rFonts w:ascii="Palatino Linotype" w:hAnsi="Palatino Linotype"/>
        </w:rPr>
      </w:pPr>
    </w:p>
    <w:p w14:paraId="7DD4AF83" w14:textId="77777777" w:rsidR="004979B1" w:rsidRPr="00821CCD" w:rsidRDefault="004979B1" w:rsidP="004979B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4979B1" w:rsidRPr="00821CCD" w14:paraId="2DE01B28" w14:textId="77777777" w:rsidTr="004979B1">
        <w:trPr>
          <w:trHeight w:val="1360"/>
        </w:trPr>
        <w:tc>
          <w:tcPr>
            <w:tcW w:w="7982" w:type="dxa"/>
          </w:tcPr>
          <w:p w14:paraId="635E25E1"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97E8F06" w14:textId="77777777" w:rsidR="004979B1" w:rsidRPr="00821CCD" w:rsidRDefault="004979B1" w:rsidP="004979B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Robusteciendo lo anterior se encuentra lo dispuesto en los artículos 6, Apartado A, fracciones III y IV, de la Constitución Política de los Estados Unidos Mexicanos y 5 </w:t>
      </w:r>
      <w:r w:rsidRPr="00821CCD">
        <w:rPr>
          <w:rFonts w:ascii="Palatino Linotype" w:hAnsi="Palatino Linotype"/>
        </w:rPr>
        <w:lastRenderedPageBreak/>
        <w:t>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4979B1" w:rsidRPr="00821CCD" w14:paraId="3C13FE55" w14:textId="77777777" w:rsidTr="004979B1">
        <w:trPr>
          <w:jc w:val="center"/>
        </w:trPr>
        <w:tc>
          <w:tcPr>
            <w:tcW w:w="8075" w:type="dxa"/>
          </w:tcPr>
          <w:p w14:paraId="57418337" w14:textId="77777777" w:rsidR="004979B1" w:rsidRPr="00821CCD" w:rsidRDefault="004979B1" w:rsidP="004979B1">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0753AB00"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FD3E68F"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6F40C155"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2245BB5D"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68319E66"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5296910F" w14:textId="77777777" w:rsidR="004979B1" w:rsidRPr="00821CCD" w:rsidRDefault="004979B1" w:rsidP="004979B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7547DCC4" w14:textId="77777777" w:rsidR="004979B1" w:rsidRPr="00821CCD" w:rsidRDefault="004979B1" w:rsidP="004979B1">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60ED2FC1"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064DF654"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77EFA79D"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FFE2D98"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527E7EE"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36F9426B"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375DC1D"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2B8A04D3"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68E7E6A5" w14:textId="77777777" w:rsidR="004979B1" w:rsidRPr="00821CCD" w:rsidRDefault="004979B1" w:rsidP="004979B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23883989" w14:textId="77777777" w:rsidR="004979B1" w:rsidRPr="00821CCD" w:rsidRDefault="004979B1" w:rsidP="004979B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6610DA3E" w14:textId="77777777" w:rsidR="004979B1" w:rsidRPr="00821CCD" w:rsidRDefault="004979B1" w:rsidP="004979B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2F9174C9" w14:textId="77777777" w:rsidR="004979B1" w:rsidRDefault="004979B1" w:rsidP="004979B1">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lastRenderedPageBreak/>
        <w:t>En conclusión, se cubrieron los requisitos de procedencia y procedibilidad y conforme a las constancias que obran en el expediente</w:t>
      </w:r>
      <w:r>
        <w:rPr>
          <w:rFonts w:ascii="Palatino Linotype" w:hAnsi="Palatino Linotype"/>
        </w:rPr>
        <w:t>.</w:t>
      </w:r>
    </w:p>
    <w:p w14:paraId="7A3A0AF3" w14:textId="77777777" w:rsidR="004979B1" w:rsidRPr="00FF46DA" w:rsidRDefault="004979B1" w:rsidP="004979B1">
      <w:pPr>
        <w:pStyle w:val="Prrafodelista"/>
        <w:autoSpaceDE w:val="0"/>
        <w:autoSpaceDN w:val="0"/>
        <w:adjustRightInd w:val="0"/>
        <w:spacing w:before="240" w:after="160" w:line="360" w:lineRule="auto"/>
        <w:ind w:left="0"/>
        <w:jc w:val="both"/>
        <w:rPr>
          <w:rFonts w:ascii="Palatino Linotype" w:hAnsi="Palatino Linotype" w:cs="Arial"/>
        </w:rPr>
      </w:pPr>
    </w:p>
    <w:p w14:paraId="1FC2F481" w14:textId="77777777" w:rsidR="004979B1" w:rsidRPr="002C3EC8" w:rsidRDefault="004979B1" w:rsidP="004979B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52AC5D1" w14:textId="77777777" w:rsidR="004979B1" w:rsidRPr="002C3EC8" w:rsidRDefault="004979B1" w:rsidP="004979B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F3AB4F" w14:textId="77777777" w:rsidR="004979B1" w:rsidRPr="002C3EC8" w:rsidRDefault="004979B1" w:rsidP="004979B1">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32FFBB02" w14:textId="77777777" w:rsidR="004979B1" w:rsidRDefault="004979B1" w:rsidP="004979B1">
      <w:pPr>
        <w:tabs>
          <w:tab w:val="left" w:pos="709"/>
        </w:tabs>
        <w:spacing w:before="240" w:line="360" w:lineRule="auto"/>
        <w:ind w:right="51"/>
        <w:jc w:val="both"/>
        <w:rPr>
          <w:rFonts w:ascii="Palatino Linotype" w:hAnsi="Palatino Linotype"/>
          <w:b/>
          <w:sz w:val="28"/>
          <w:szCs w:val="28"/>
        </w:rPr>
      </w:pPr>
    </w:p>
    <w:p w14:paraId="17B6163E" w14:textId="77777777" w:rsidR="004979B1" w:rsidRPr="002C3EC8" w:rsidRDefault="004979B1" w:rsidP="004979B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3F800C2F" w14:textId="77777777" w:rsidR="004979B1" w:rsidRPr="007379EE" w:rsidRDefault="004979B1" w:rsidP="004979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E6041BD" w14:textId="77777777" w:rsidR="004979B1" w:rsidRDefault="004979B1" w:rsidP="004979B1">
      <w:pPr>
        <w:autoSpaceDE w:val="0"/>
        <w:autoSpaceDN w:val="0"/>
        <w:adjustRightInd w:val="0"/>
        <w:ind w:right="567"/>
        <w:rPr>
          <w:rFonts w:ascii="Palatino Linotype" w:eastAsia="Calibri" w:hAnsi="Palatino Linotype" w:cs="Arial"/>
        </w:rPr>
      </w:pPr>
    </w:p>
    <w:p w14:paraId="3DC6C142" w14:textId="77777777" w:rsidR="004979B1" w:rsidRDefault="004979B1" w:rsidP="004979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0CF0D367" w14:textId="77777777" w:rsidR="004979B1" w:rsidRDefault="004979B1" w:rsidP="004979B1">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0DEAC267" w14:textId="77777777" w:rsidR="004979B1" w:rsidRPr="001C18D6" w:rsidRDefault="004979B1" w:rsidP="004979B1">
      <w:pPr>
        <w:pStyle w:val="Citas"/>
        <w:numPr>
          <w:ilvl w:val="0"/>
          <w:numId w:val="4"/>
        </w:numPr>
        <w:spacing w:before="0" w:after="0" w:line="240" w:lineRule="auto"/>
        <w:rPr>
          <w:b/>
        </w:rPr>
      </w:pPr>
      <w:r w:rsidRPr="001C18D6">
        <w:rPr>
          <w:b/>
        </w:rPr>
        <w:t xml:space="preserve">La negativa a la información solicitada; </w:t>
      </w:r>
    </w:p>
    <w:p w14:paraId="0230B4CD" w14:textId="77777777" w:rsidR="004979B1" w:rsidRDefault="004979B1" w:rsidP="004979B1">
      <w:pPr>
        <w:pStyle w:val="Citas"/>
        <w:numPr>
          <w:ilvl w:val="0"/>
          <w:numId w:val="4"/>
        </w:numPr>
        <w:spacing w:before="0" w:after="0" w:line="240" w:lineRule="auto"/>
      </w:pPr>
      <w:r w:rsidRPr="002E7A81">
        <w:t xml:space="preserve">La clasificación de la información; </w:t>
      </w:r>
    </w:p>
    <w:p w14:paraId="2194C59C" w14:textId="77777777" w:rsidR="004979B1" w:rsidRDefault="004979B1" w:rsidP="004979B1">
      <w:pPr>
        <w:pStyle w:val="Citas"/>
        <w:numPr>
          <w:ilvl w:val="0"/>
          <w:numId w:val="4"/>
        </w:numPr>
        <w:spacing w:before="0" w:after="0" w:line="240" w:lineRule="auto"/>
      </w:pPr>
      <w:r w:rsidRPr="002E7A81">
        <w:lastRenderedPageBreak/>
        <w:t xml:space="preserve">La declaración de inexistencia de la información; </w:t>
      </w:r>
    </w:p>
    <w:p w14:paraId="636DC0CC" w14:textId="77777777" w:rsidR="004979B1" w:rsidRDefault="004979B1" w:rsidP="004979B1">
      <w:pPr>
        <w:pStyle w:val="Citas"/>
        <w:numPr>
          <w:ilvl w:val="0"/>
          <w:numId w:val="4"/>
        </w:numPr>
        <w:spacing w:before="0" w:after="0" w:line="240" w:lineRule="auto"/>
      </w:pPr>
      <w:r w:rsidRPr="002E7A81">
        <w:t xml:space="preserve">La declaración de incompetencia por el sujeto obligado; </w:t>
      </w:r>
    </w:p>
    <w:p w14:paraId="048A3BC3" w14:textId="77777777" w:rsidR="004979B1" w:rsidRPr="001C18D6" w:rsidRDefault="004979B1" w:rsidP="004979B1">
      <w:pPr>
        <w:pStyle w:val="Citas"/>
        <w:numPr>
          <w:ilvl w:val="0"/>
          <w:numId w:val="4"/>
        </w:numPr>
        <w:spacing w:before="0" w:after="0" w:line="240" w:lineRule="auto"/>
      </w:pPr>
      <w:r w:rsidRPr="001C18D6">
        <w:t xml:space="preserve">La entrega de información incompleta; </w:t>
      </w:r>
    </w:p>
    <w:p w14:paraId="46235FA9" w14:textId="77777777" w:rsidR="004979B1" w:rsidRDefault="004979B1" w:rsidP="004979B1">
      <w:pPr>
        <w:pStyle w:val="Citas"/>
        <w:numPr>
          <w:ilvl w:val="0"/>
          <w:numId w:val="4"/>
        </w:numPr>
        <w:spacing w:before="0" w:after="0" w:line="240" w:lineRule="auto"/>
      </w:pPr>
      <w:r w:rsidRPr="002E7A81">
        <w:t xml:space="preserve">La entrega de información que no corresponda con lo solicitado; </w:t>
      </w:r>
    </w:p>
    <w:p w14:paraId="5619BC98" w14:textId="77777777" w:rsidR="004979B1" w:rsidRDefault="004979B1" w:rsidP="004979B1">
      <w:pPr>
        <w:pStyle w:val="Citas"/>
        <w:numPr>
          <w:ilvl w:val="0"/>
          <w:numId w:val="4"/>
        </w:numPr>
        <w:spacing w:before="0" w:after="0" w:line="240" w:lineRule="auto"/>
      </w:pPr>
      <w:r w:rsidRPr="002E7A81">
        <w:t xml:space="preserve">La falta de respuesta a una solicitud de acceso a la información; </w:t>
      </w:r>
    </w:p>
    <w:p w14:paraId="34650A22" w14:textId="77777777" w:rsidR="004979B1" w:rsidRDefault="004979B1" w:rsidP="004979B1">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234277F2" w14:textId="77777777" w:rsidR="004979B1" w:rsidRDefault="004979B1" w:rsidP="004979B1">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48003E3A" w14:textId="77777777" w:rsidR="004979B1" w:rsidRDefault="004979B1" w:rsidP="004979B1">
      <w:pPr>
        <w:pStyle w:val="Citas"/>
        <w:numPr>
          <w:ilvl w:val="0"/>
          <w:numId w:val="4"/>
        </w:numPr>
        <w:spacing w:before="0" w:after="0" w:line="240" w:lineRule="auto"/>
      </w:pPr>
      <w:r w:rsidRPr="002E7A81">
        <w:t xml:space="preserve">Los costos o tiempos de entrega de la información; </w:t>
      </w:r>
    </w:p>
    <w:p w14:paraId="4C602391" w14:textId="77777777" w:rsidR="004979B1" w:rsidRDefault="004979B1" w:rsidP="004979B1">
      <w:pPr>
        <w:pStyle w:val="Citas"/>
        <w:numPr>
          <w:ilvl w:val="0"/>
          <w:numId w:val="4"/>
        </w:numPr>
        <w:spacing w:before="0" w:after="0" w:line="240" w:lineRule="auto"/>
      </w:pPr>
      <w:r w:rsidRPr="002E7A81">
        <w:t xml:space="preserve">La falta de trámite a una solicitud; </w:t>
      </w:r>
    </w:p>
    <w:p w14:paraId="1F414C1E" w14:textId="77777777" w:rsidR="004979B1" w:rsidRDefault="004979B1" w:rsidP="004979B1">
      <w:pPr>
        <w:pStyle w:val="Citas"/>
        <w:numPr>
          <w:ilvl w:val="0"/>
          <w:numId w:val="4"/>
        </w:numPr>
        <w:spacing w:before="0" w:after="0" w:line="240" w:lineRule="auto"/>
      </w:pPr>
      <w:r w:rsidRPr="002E7A81">
        <w:t xml:space="preserve">La negativa a permitir la consulta directa de la información; </w:t>
      </w:r>
    </w:p>
    <w:p w14:paraId="2711D798" w14:textId="77777777" w:rsidR="004979B1" w:rsidRPr="00CD276B" w:rsidRDefault="004979B1" w:rsidP="004979B1">
      <w:pPr>
        <w:pStyle w:val="Citas"/>
        <w:numPr>
          <w:ilvl w:val="0"/>
          <w:numId w:val="4"/>
        </w:numPr>
        <w:spacing w:before="0" w:after="0" w:line="240" w:lineRule="auto"/>
      </w:pPr>
      <w:r w:rsidRPr="00CD276B">
        <w:t xml:space="preserve">La falta, deficiencia o insuficiencia de la fundamentación y/o motivación en la respuesta; y </w:t>
      </w:r>
    </w:p>
    <w:p w14:paraId="72889AA3" w14:textId="77777777" w:rsidR="004979B1" w:rsidRDefault="004979B1" w:rsidP="004979B1">
      <w:pPr>
        <w:pStyle w:val="Citas"/>
        <w:numPr>
          <w:ilvl w:val="0"/>
          <w:numId w:val="4"/>
        </w:numPr>
        <w:spacing w:before="0" w:after="0" w:line="240" w:lineRule="auto"/>
      </w:pPr>
      <w:r w:rsidRPr="002E7A81">
        <w:t xml:space="preserve">La orientación a un trámite específico. </w:t>
      </w:r>
    </w:p>
    <w:p w14:paraId="7DA156CC" w14:textId="77777777" w:rsidR="004979B1" w:rsidRPr="007379EE" w:rsidRDefault="004979B1" w:rsidP="004979B1">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18BCC6B" w14:textId="77777777" w:rsidR="004979B1" w:rsidRDefault="004979B1" w:rsidP="004979B1">
      <w:pPr>
        <w:autoSpaceDE w:val="0"/>
        <w:autoSpaceDN w:val="0"/>
        <w:adjustRightInd w:val="0"/>
        <w:ind w:right="567"/>
        <w:rPr>
          <w:rFonts w:ascii="Palatino Linotype" w:eastAsia="Calibri" w:hAnsi="Palatino Linotype" w:cs="Arial"/>
        </w:rPr>
      </w:pPr>
    </w:p>
    <w:p w14:paraId="5B2DE588" w14:textId="77777777" w:rsidR="004979B1" w:rsidRDefault="004979B1" w:rsidP="004979B1">
      <w:pPr>
        <w:autoSpaceDE w:val="0"/>
        <w:autoSpaceDN w:val="0"/>
        <w:adjustRightInd w:val="0"/>
        <w:ind w:right="567"/>
        <w:rPr>
          <w:rFonts w:ascii="Palatino Linotype" w:eastAsia="Calibri" w:hAnsi="Palatino Linotype" w:cs="Arial"/>
        </w:rPr>
      </w:pPr>
    </w:p>
    <w:p w14:paraId="0ACB893F" w14:textId="77777777" w:rsidR="004979B1" w:rsidRDefault="004979B1" w:rsidP="004979B1">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3D5CEC83" w14:textId="77777777" w:rsidR="004979B1" w:rsidRPr="00CA5FE5" w:rsidRDefault="004979B1" w:rsidP="004979B1">
      <w:pPr>
        <w:spacing w:line="360" w:lineRule="auto"/>
        <w:jc w:val="both"/>
        <w:rPr>
          <w:rFonts w:ascii="Palatino Linotype" w:hAnsi="Palatino Linotype" w:cs="Tahoma"/>
          <w:bCs/>
        </w:rPr>
      </w:pPr>
    </w:p>
    <w:p w14:paraId="30EA2107" w14:textId="77777777" w:rsidR="004979B1" w:rsidRPr="000C60A7" w:rsidRDefault="001C18D6" w:rsidP="004979B1">
      <w:pPr>
        <w:pStyle w:val="Prrafodelista"/>
        <w:numPr>
          <w:ilvl w:val="0"/>
          <w:numId w:val="3"/>
        </w:numPr>
        <w:tabs>
          <w:tab w:val="left" w:pos="1828"/>
        </w:tabs>
        <w:spacing w:line="360" w:lineRule="auto"/>
        <w:ind w:left="709"/>
        <w:jc w:val="both"/>
        <w:rPr>
          <w:rFonts w:ascii="Palatino Linotype" w:hAnsi="Palatino Linotype" w:cs="Tahoma"/>
          <w:bCs/>
        </w:rPr>
      </w:pPr>
      <w:r>
        <w:rPr>
          <w:rFonts w:ascii="Palatino Linotype" w:hAnsi="Palatino Linotype" w:cs="Tahoma"/>
          <w:bCs/>
        </w:rPr>
        <w:t xml:space="preserve">Administración en la que se aprobaron 12 millos de pesos para llevar a cabo la feria y/o festival internacional cultural del mariachi, con acta de cabildo en la que se aprobó dicha cantidad. </w:t>
      </w:r>
    </w:p>
    <w:p w14:paraId="2101CF4E" w14:textId="77777777" w:rsidR="004979B1" w:rsidRDefault="004979B1" w:rsidP="004979B1">
      <w:pPr>
        <w:spacing w:before="240" w:line="360" w:lineRule="auto"/>
        <w:jc w:val="both"/>
        <w:rPr>
          <w:rFonts w:ascii="Palatino Linotype" w:hAnsi="Palatino Linotype" w:cs="Arial"/>
        </w:rPr>
      </w:pPr>
    </w:p>
    <w:p w14:paraId="5D7A9AEE" w14:textId="77777777" w:rsidR="004979B1" w:rsidRPr="001106D5" w:rsidRDefault="004979B1" w:rsidP="001C18D6">
      <w:pPr>
        <w:spacing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366C5F">
        <w:rPr>
          <w:rFonts w:ascii="Palatino Linotype" w:hAnsi="Palatino Linotype" w:cs="Arial"/>
          <w:b/>
        </w:rPr>
        <w:t>00138/CALIMAYA/IP/2025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4396941F" w14:textId="77777777" w:rsidR="004979B1" w:rsidRPr="00E30A5B" w:rsidRDefault="001C18D6" w:rsidP="001C18D6">
      <w:pPr>
        <w:pStyle w:val="Sinespaciado"/>
        <w:numPr>
          <w:ilvl w:val="0"/>
          <w:numId w:val="1"/>
        </w:numPr>
        <w:spacing w:before="240" w:line="360" w:lineRule="auto"/>
        <w:jc w:val="both"/>
        <w:rPr>
          <w:rFonts w:ascii="Palatino Linotype" w:hAnsi="Palatino Linotype" w:cs="Arial"/>
          <w:b/>
          <w:i/>
          <w:sz w:val="24"/>
        </w:rPr>
      </w:pPr>
      <w:r w:rsidRPr="001C18D6">
        <w:rPr>
          <w:rFonts w:ascii="Palatino Linotype" w:hAnsi="Palatino Linotype" w:cs="Arial"/>
          <w:b/>
          <w:i/>
          <w:sz w:val="24"/>
        </w:rPr>
        <w:lastRenderedPageBreak/>
        <w:t>IP 138.pdf</w:t>
      </w:r>
      <w:r w:rsidR="004979B1">
        <w:rPr>
          <w:rFonts w:ascii="Palatino Linotype" w:hAnsi="Palatino Linotype" w:cs="Arial"/>
          <w:b/>
          <w:i/>
          <w:sz w:val="24"/>
        </w:rPr>
        <w:t xml:space="preserve">: </w:t>
      </w:r>
      <w:r w:rsidR="004979B1">
        <w:rPr>
          <w:rFonts w:ascii="Palatino Linotype" w:hAnsi="Palatino Linotype" w:cs="Arial"/>
          <w:sz w:val="24"/>
        </w:rPr>
        <w:t xml:space="preserve">constante de </w:t>
      </w:r>
      <w:r w:rsidR="00E86757">
        <w:rPr>
          <w:rFonts w:ascii="Palatino Linotype" w:hAnsi="Palatino Linotype" w:cs="Arial"/>
          <w:sz w:val="24"/>
        </w:rPr>
        <w:t xml:space="preserve">una </w:t>
      </w:r>
      <w:r w:rsidR="004979B1">
        <w:rPr>
          <w:rFonts w:ascii="Palatino Linotype" w:hAnsi="Palatino Linotype" w:cs="Arial"/>
          <w:sz w:val="24"/>
        </w:rPr>
        <w:t>foja, en forma</w:t>
      </w:r>
      <w:r w:rsidR="007936F4">
        <w:rPr>
          <w:rFonts w:ascii="Palatino Linotype" w:hAnsi="Palatino Linotype" w:cs="Arial"/>
          <w:sz w:val="24"/>
        </w:rPr>
        <w:t xml:space="preserve">to </w:t>
      </w:r>
      <w:proofErr w:type="spellStart"/>
      <w:r w:rsidR="007936F4">
        <w:rPr>
          <w:rFonts w:ascii="Palatino Linotype" w:hAnsi="Palatino Linotype" w:cs="Arial"/>
          <w:sz w:val="24"/>
        </w:rPr>
        <w:t>pdf</w:t>
      </w:r>
      <w:proofErr w:type="spellEnd"/>
      <w:r w:rsidR="007936F4">
        <w:rPr>
          <w:rFonts w:ascii="Palatino Linotype" w:hAnsi="Palatino Linotype" w:cs="Arial"/>
          <w:sz w:val="24"/>
        </w:rPr>
        <w:t xml:space="preserve">, </w:t>
      </w:r>
      <w:r w:rsidR="00E30A5B">
        <w:rPr>
          <w:rFonts w:ascii="Palatino Linotype" w:hAnsi="Palatino Linotype" w:cs="Arial"/>
          <w:sz w:val="24"/>
        </w:rPr>
        <w:t xml:space="preserve">contiene el oficio número </w:t>
      </w:r>
      <w:r>
        <w:rPr>
          <w:rFonts w:ascii="Palatino Linotype" w:hAnsi="Palatino Linotype" w:cs="Arial"/>
          <w:sz w:val="24"/>
        </w:rPr>
        <w:t>AC/SA/0309</w:t>
      </w:r>
      <w:r w:rsidR="00E30A5B">
        <w:rPr>
          <w:rFonts w:ascii="Palatino Linotype" w:hAnsi="Palatino Linotype" w:cs="Arial"/>
          <w:sz w:val="24"/>
        </w:rPr>
        <w:t xml:space="preserve">/2025, de fecha </w:t>
      </w:r>
      <w:r>
        <w:rPr>
          <w:rFonts w:ascii="Palatino Linotype" w:hAnsi="Palatino Linotype" w:cs="Arial"/>
          <w:sz w:val="24"/>
        </w:rPr>
        <w:t>dieciocho de marzo</w:t>
      </w:r>
      <w:r w:rsidR="00E30A5B">
        <w:rPr>
          <w:rFonts w:ascii="Palatino Linotype" w:hAnsi="Palatino Linotype" w:cs="Arial"/>
          <w:sz w:val="24"/>
        </w:rPr>
        <w:t xml:space="preserve"> de dos mil veinticinco, firmado por la </w:t>
      </w:r>
      <w:r>
        <w:rPr>
          <w:rFonts w:ascii="Palatino Linotype" w:hAnsi="Palatino Linotype" w:cs="Arial"/>
          <w:sz w:val="24"/>
        </w:rPr>
        <w:t>Secretaria del Ayuntamiento</w:t>
      </w:r>
      <w:r w:rsidR="00E30A5B">
        <w:rPr>
          <w:rFonts w:ascii="Palatino Linotype" w:hAnsi="Palatino Linotype" w:cs="Arial"/>
          <w:sz w:val="24"/>
        </w:rPr>
        <w:t>, en el que refiere lo siguiente:</w:t>
      </w:r>
    </w:p>
    <w:p w14:paraId="02BD462D" w14:textId="77777777" w:rsidR="00E30A5B" w:rsidRPr="00C46907" w:rsidRDefault="00E30A5B" w:rsidP="00E30A5B">
      <w:pPr>
        <w:pStyle w:val="Citas"/>
        <w:rPr>
          <w:b/>
        </w:rPr>
      </w:pPr>
      <w:r>
        <w:t>“…</w:t>
      </w:r>
      <w:r w:rsidR="001C18D6">
        <w:t xml:space="preserve"> dentro del periodo presidencial a cargo del Licenciado Oscar Hernández Meza, </w:t>
      </w:r>
      <w:r w:rsidR="001C18D6" w:rsidRPr="00C46907">
        <w:rPr>
          <w:b/>
        </w:rPr>
        <w:t>se llevó a cabo en tres ocasiones el festival internacional cultural de mariachi</w:t>
      </w:r>
      <w:r w:rsidR="001C18D6">
        <w:t xml:space="preserve">, dentro de este mandato, de </w:t>
      </w:r>
      <w:r w:rsidR="001C18D6" w:rsidRPr="00C46907">
        <w:rPr>
          <w:b/>
        </w:rPr>
        <w:t>manera anual se llevaban a cabo ruedas de prensa donde de manera pública se daban a conocer los montos anuales invertidos dentro de este.</w:t>
      </w:r>
    </w:p>
    <w:p w14:paraId="3239E8D1" w14:textId="77777777" w:rsidR="00584383" w:rsidRDefault="00584383" w:rsidP="00E30A5B">
      <w:pPr>
        <w:pStyle w:val="Citas"/>
      </w:pPr>
      <w:r>
        <w:t>Por otra</w:t>
      </w:r>
      <w:r w:rsidR="00C46907">
        <w:t xml:space="preserve"> parte, respetuosamente le solicito revisar los detalles que se encuentran disponibles en la página oficial de Facebook del Ayuntamiento de Calimaya Administración 2022- 2024:</w:t>
      </w:r>
    </w:p>
    <w:p w14:paraId="72A563CE" w14:textId="77777777" w:rsidR="00C46907" w:rsidRDefault="00C46907" w:rsidP="00E30A5B">
      <w:pPr>
        <w:pStyle w:val="Citas"/>
      </w:pPr>
      <w:r>
        <w:rPr>
          <w:noProof/>
          <w:lang w:eastAsia="es-MX"/>
        </w:rPr>
        <w:drawing>
          <wp:inline distT="0" distB="0" distL="0" distR="0" wp14:anchorId="696474A7" wp14:editId="4DDC160A">
            <wp:extent cx="4105275" cy="1763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FC6608.tmp"/>
                    <pic:cNvPicPr/>
                  </pic:nvPicPr>
                  <pic:blipFill>
                    <a:blip r:embed="rId7">
                      <a:extLst>
                        <a:ext uri="{28A0092B-C50C-407E-A947-70E740481C1C}">
                          <a14:useLocalDpi xmlns:a14="http://schemas.microsoft.com/office/drawing/2010/main" val="0"/>
                        </a:ext>
                      </a:extLst>
                    </a:blip>
                    <a:stretch>
                      <a:fillRect/>
                    </a:stretch>
                  </pic:blipFill>
                  <pic:spPr>
                    <a:xfrm>
                      <a:off x="0" y="0"/>
                      <a:ext cx="4810917" cy="206654"/>
                    </a:xfrm>
                    <a:prstGeom prst="rect">
                      <a:avLst/>
                    </a:prstGeom>
                  </pic:spPr>
                </pic:pic>
              </a:graphicData>
            </a:graphic>
          </wp:inline>
        </w:drawing>
      </w:r>
    </w:p>
    <w:p w14:paraId="4DF2CA6D" w14:textId="77777777" w:rsidR="00E30A5B" w:rsidRDefault="001C18D6" w:rsidP="00E30A5B">
      <w:pPr>
        <w:pStyle w:val="Citas"/>
      </w:pPr>
      <w:r>
        <w:t xml:space="preserve">Por otro parte, y </w:t>
      </w:r>
      <w:r w:rsidRPr="00C46907">
        <w:rPr>
          <w:b/>
        </w:rPr>
        <w:t>toda vez que los montos financieros y económicos no son actividades dentro del marco de mi competencia por no estar inmersos dentro de mis atribuciones</w:t>
      </w:r>
      <w:r>
        <w:t xml:space="preserve"> conferida en el artículo 91 de la Ley Orgánica Municipal del Estado de México, le pido que acuda a las áreas respectivas dentro del Ayuntamiento para la consulta de la información requerida. </w:t>
      </w:r>
    </w:p>
    <w:p w14:paraId="764C8359" w14:textId="77777777" w:rsidR="00E30A5B" w:rsidRPr="00CB07F7" w:rsidRDefault="00E30A5B" w:rsidP="00E30A5B">
      <w:pPr>
        <w:pStyle w:val="Citas"/>
      </w:pPr>
      <w:r>
        <w:t>…” (Sic)</w:t>
      </w:r>
    </w:p>
    <w:p w14:paraId="7057DFAC" w14:textId="77777777" w:rsidR="00D20A15" w:rsidRDefault="00D20A15" w:rsidP="00D20A15">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14:paraId="762CAA83" w14:textId="77777777" w:rsidR="004979B1" w:rsidRPr="00D20A15" w:rsidRDefault="004979B1" w:rsidP="00D20A15">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1C18D6" w:rsidRPr="001C18D6">
        <w:rPr>
          <w:rFonts w:ascii="Palatino Linotype" w:hAnsi="Palatino Linotype"/>
          <w:i/>
        </w:rPr>
        <w:t xml:space="preserve">la secretaria del ayuntamiento lleva el registro de las actas de cabildo, cada administración municipal aprueba el presupuesto para celebrar la </w:t>
      </w:r>
      <w:r w:rsidR="001C18D6" w:rsidRPr="001C18D6">
        <w:rPr>
          <w:rFonts w:ascii="Palatino Linotype" w:hAnsi="Palatino Linotype"/>
          <w:i/>
        </w:rPr>
        <w:lastRenderedPageBreak/>
        <w:t>feria y/o festival internacional cultural del mariachi, por lo que la información solicitada debe obrar en las actas de cabildo. Solicite en que administración se aprobó el gasto de doce millones para dicha festividad, información que debe encontrarse en las actas de cabildo.</w:t>
      </w:r>
      <w:r w:rsidRPr="00E175FB">
        <w:rPr>
          <w:rFonts w:ascii="Palatino Linotype" w:hAnsi="Palatino Linotype"/>
          <w:i/>
        </w:rPr>
        <w:t>”</w:t>
      </w:r>
      <w:r w:rsidRPr="00205720">
        <w:rPr>
          <w:rFonts w:ascii="Palatino Linotype" w:hAnsi="Palatino Linotype"/>
          <w:i/>
        </w:rPr>
        <w:t xml:space="preserve"> (Sic).</w:t>
      </w:r>
    </w:p>
    <w:p w14:paraId="2A966C7C" w14:textId="77777777" w:rsidR="00D20A15" w:rsidRDefault="00D20A15" w:rsidP="004979B1">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7CCA57D" w14:textId="77777777" w:rsidR="00CC1386" w:rsidRDefault="00CC1386" w:rsidP="00CC138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0F5A173" w14:textId="77777777" w:rsidR="005A7616" w:rsidRDefault="004979B1" w:rsidP="005A7616">
      <w:pPr>
        <w:spacing w:line="360" w:lineRule="auto"/>
        <w:jc w:val="both"/>
        <w:rPr>
          <w:rFonts w:ascii="Palatino Linotype" w:hAnsi="Palatino Linotype" w:cs="Arial"/>
        </w:rPr>
      </w:pPr>
      <w:r>
        <w:rPr>
          <w:rFonts w:ascii="Palatino Linotype" w:hAnsi="Palatino Linotype" w:cs="Arial"/>
        </w:rPr>
        <w:t xml:space="preserve"> </w:t>
      </w:r>
    </w:p>
    <w:p w14:paraId="5A3F87FA" w14:textId="77777777" w:rsidR="004979B1" w:rsidRDefault="004979B1" w:rsidP="005A7616">
      <w:pPr>
        <w:spacing w:line="360" w:lineRule="auto"/>
        <w:jc w:val="both"/>
        <w:rPr>
          <w:rFonts w:ascii="Palatino Linotype" w:hAnsi="Palatino Linotype" w:cs="Arial"/>
        </w:rPr>
      </w:pPr>
      <w:r>
        <w:rPr>
          <w:rFonts w:ascii="Palatino Linotype" w:hAnsi="Palatino Linotype" w:cs="Arial"/>
        </w:rPr>
        <w:t xml:space="preserve">Ahora bien, conforme a la Ley Orgánica Municipal </w:t>
      </w:r>
      <w:r w:rsidR="004E3FE4">
        <w:rPr>
          <w:rFonts w:ascii="Palatino Linotype" w:hAnsi="Palatino Linotype" w:cs="Arial"/>
        </w:rPr>
        <w:t xml:space="preserve">del Estado de México establece la forma en que los Ayuntamientos se integran, </w:t>
      </w:r>
      <w:r w:rsidR="005A7616">
        <w:rPr>
          <w:rFonts w:ascii="Palatino Linotype" w:hAnsi="Palatino Linotype" w:cs="Arial"/>
        </w:rPr>
        <w:t>sus atribuciones</w:t>
      </w:r>
      <w:r w:rsidR="00E06840">
        <w:rPr>
          <w:rFonts w:ascii="Palatino Linotype" w:hAnsi="Palatino Linotype" w:cs="Arial"/>
        </w:rPr>
        <w:t xml:space="preserve"> así como las de la Secretaría de Ayuntamiento</w:t>
      </w:r>
      <w:r w:rsidR="005A7616">
        <w:rPr>
          <w:rFonts w:ascii="Palatino Linotype" w:hAnsi="Palatino Linotype" w:cs="Arial"/>
        </w:rPr>
        <w:t>:</w:t>
      </w:r>
    </w:p>
    <w:p w14:paraId="52505B6F" w14:textId="77777777" w:rsidR="004979B1" w:rsidRPr="005A7616" w:rsidRDefault="004E3FE4" w:rsidP="003A7E92">
      <w:pPr>
        <w:pStyle w:val="Citas"/>
        <w:spacing w:line="240" w:lineRule="auto"/>
        <w:jc w:val="center"/>
        <w:rPr>
          <w:b/>
          <w:lang w:val="es-ES"/>
        </w:rPr>
      </w:pPr>
      <w:r w:rsidRPr="005A7616">
        <w:rPr>
          <w:b/>
          <w:lang w:val="es-ES"/>
        </w:rPr>
        <w:t>Integración e Instalación de los Ayuntamientos</w:t>
      </w:r>
    </w:p>
    <w:p w14:paraId="6FD09474" w14:textId="77777777" w:rsidR="004E3FE4" w:rsidRDefault="004E3FE4" w:rsidP="003A7E92">
      <w:pPr>
        <w:pStyle w:val="Citas"/>
        <w:spacing w:line="240" w:lineRule="auto"/>
        <w:rPr>
          <w:lang w:val="es-ES"/>
        </w:rPr>
      </w:pPr>
      <w:r w:rsidRPr="005A7616">
        <w:rPr>
          <w:b/>
          <w:lang w:val="es-ES"/>
        </w:rPr>
        <w:t>Artículo 16.-</w:t>
      </w:r>
      <w:r w:rsidRPr="004E3FE4">
        <w:rPr>
          <w:lang w:val="es-ES"/>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p>
    <w:p w14:paraId="2FDC0BE5" w14:textId="77777777" w:rsidR="004E3FE4" w:rsidRDefault="004E3FE4" w:rsidP="003A7E92">
      <w:pPr>
        <w:pStyle w:val="Citas"/>
        <w:spacing w:line="240" w:lineRule="auto"/>
        <w:rPr>
          <w:lang w:val="es-ES"/>
        </w:rPr>
      </w:pPr>
      <w:r>
        <w:rPr>
          <w:lang w:val="es-ES"/>
        </w:rPr>
        <w:t>…</w:t>
      </w:r>
    </w:p>
    <w:p w14:paraId="27C11D72" w14:textId="77777777" w:rsidR="004979B1" w:rsidRDefault="004E3FE4" w:rsidP="003A7E92">
      <w:pPr>
        <w:pStyle w:val="Citas"/>
        <w:spacing w:line="240" w:lineRule="auto"/>
      </w:pPr>
      <w:r w:rsidRPr="005A7616">
        <w:rPr>
          <w:b/>
        </w:rPr>
        <w:t>III. Un presidente, un síndico y siete regidores</w:t>
      </w:r>
      <w:r w:rsidRPr="004E3FE4">
        <w:t>, electos por planilla según el principio de mayoría relativa; un síndico y cinco regidores designados según el principio de representación proporcional, cuando se trate de municipios que tengan una población de más de 500 mil habitantes.</w:t>
      </w:r>
    </w:p>
    <w:p w14:paraId="36935C4E" w14:textId="77777777" w:rsidR="00E06840" w:rsidRDefault="00E06840" w:rsidP="003A7E92">
      <w:pPr>
        <w:pStyle w:val="Citas"/>
        <w:spacing w:line="240" w:lineRule="auto"/>
      </w:pPr>
      <w:r w:rsidRPr="00E06840">
        <w:rPr>
          <w:b/>
        </w:rPr>
        <w:lastRenderedPageBreak/>
        <w:t>Artículo 31.- Son atribuciones de los ayuntamientos</w:t>
      </w:r>
      <w:r w:rsidRPr="00E06840">
        <w:t xml:space="preserve">: </w:t>
      </w:r>
    </w:p>
    <w:p w14:paraId="4E48F786" w14:textId="77777777" w:rsidR="00E06840" w:rsidRDefault="00E06840" w:rsidP="003A7E92">
      <w:pPr>
        <w:pStyle w:val="Citas"/>
        <w:spacing w:line="240" w:lineRule="auto"/>
      </w:pPr>
      <w:r w:rsidRPr="00E06840">
        <w:t xml:space="preserve">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w:t>
      </w:r>
    </w:p>
    <w:p w14:paraId="604CABB1" w14:textId="77777777" w:rsidR="0097213F" w:rsidRDefault="0097213F" w:rsidP="003A7E92">
      <w:pPr>
        <w:pStyle w:val="Citas"/>
        <w:spacing w:line="240" w:lineRule="auto"/>
      </w:pPr>
      <w:r>
        <w:t>…</w:t>
      </w:r>
    </w:p>
    <w:p w14:paraId="7863813C" w14:textId="77777777" w:rsidR="0097213F" w:rsidRDefault="00E06840" w:rsidP="003A7E92">
      <w:pPr>
        <w:pStyle w:val="Citas"/>
        <w:spacing w:line="240" w:lineRule="auto"/>
      </w:pPr>
      <w:r w:rsidRPr="00E06840">
        <w:t xml:space="preserve">X. Conocer los informes contables y financieros anuales dentro de los tres meses siguientes a la terminación del ejercicio presupuestal que presentará el tesorero con el visto bueno del síndico; </w:t>
      </w:r>
    </w:p>
    <w:p w14:paraId="1C61D622" w14:textId="77777777" w:rsidR="0097213F" w:rsidRDefault="0097213F" w:rsidP="003A7E92">
      <w:pPr>
        <w:pStyle w:val="Citas"/>
        <w:spacing w:line="240" w:lineRule="auto"/>
      </w:pPr>
      <w:r>
        <w:t>…</w:t>
      </w:r>
    </w:p>
    <w:p w14:paraId="7060893A" w14:textId="77777777" w:rsidR="0097213F" w:rsidRPr="0097213F" w:rsidRDefault="0097213F" w:rsidP="003A7E92">
      <w:pPr>
        <w:pStyle w:val="Citas"/>
        <w:spacing w:line="240" w:lineRule="auto"/>
        <w:rPr>
          <w:b/>
        </w:rPr>
      </w:pPr>
      <w:r w:rsidRPr="0097213F">
        <w:rPr>
          <w:b/>
        </w:rPr>
        <w:t xml:space="preserve">XVIII. Administrar su hacienda en términos de ley, y controlar a través del presidente y síndico la aplicación del presupuesto de egresos del municipio; </w:t>
      </w:r>
    </w:p>
    <w:p w14:paraId="427D5CB9" w14:textId="77777777" w:rsidR="0097213F" w:rsidRDefault="0097213F" w:rsidP="003A7E92">
      <w:pPr>
        <w:pStyle w:val="Citas"/>
        <w:spacing w:line="240" w:lineRule="auto"/>
      </w:pPr>
      <w:r w:rsidRPr="0097213F">
        <w:rPr>
          <w:b/>
          <w:u w:val="single"/>
        </w:rPr>
        <w:t xml:space="preserve">XIX. Aprobar anualmente a más tardar el 20 de diciembre, su Presupuesto de Egresos, </w:t>
      </w:r>
      <w:r w:rsidRPr="0097213F">
        <w:t xml:space="preserve">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14:paraId="5E5AF95A" w14:textId="77777777" w:rsidR="0097213F" w:rsidRDefault="0097213F" w:rsidP="003A7E92">
      <w:pPr>
        <w:pStyle w:val="Citas"/>
        <w:spacing w:line="240" w:lineRule="auto"/>
      </w:pPr>
      <w:r w:rsidRPr="0097213F">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631CCADC" w14:textId="77777777" w:rsidR="0097213F" w:rsidRDefault="0097213F" w:rsidP="003A7E92">
      <w:pPr>
        <w:pStyle w:val="Citas"/>
        <w:spacing w:line="240" w:lineRule="auto"/>
      </w:pPr>
      <w:r w:rsidRPr="0097213F">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629F399B" w14:textId="77777777" w:rsidR="0097213F" w:rsidRDefault="0097213F" w:rsidP="003A7E92">
      <w:pPr>
        <w:pStyle w:val="Citas"/>
        <w:spacing w:line="240" w:lineRule="auto"/>
      </w:pPr>
      <w:r>
        <w:t>…</w:t>
      </w:r>
    </w:p>
    <w:p w14:paraId="1171C76D" w14:textId="77777777" w:rsidR="003A7E92" w:rsidRPr="003A7E92" w:rsidRDefault="003A7E92" w:rsidP="003A7E92">
      <w:pPr>
        <w:pStyle w:val="Citas"/>
        <w:spacing w:line="240" w:lineRule="auto"/>
        <w:rPr>
          <w:b/>
        </w:rPr>
      </w:pPr>
      <w:r w:rsidRPr="003A7E92">
        <w:rPr>
          <w:b/>
        </w:rPr>
        <w:t xml:space="preserve">Artículo 48.- La persona titular de la presidencia municipal tiene las siguientes atribuciones: </w:t>
      </w:r>
    </w:p>
    <w:p w14:paraId="54FC6B73" w14:textId="77777777" w:rsidR="003A7E92" w:rsidRPr="003A7E92" w:rsidRDefault="003A7E92" w:rsidP="003A7E92">
      <w:pPr>
        <w:pStyle w:val="Citas"/>
        <w:spacing w:line="240" w:lineRule="auto"/>
        <w:rPr>
          <w:b/>
        </w:rPr>
      </w:pPr>
      <w:r w:rsidRPr="003A7E92">
        <w:rPr>
          <w:b/>
        </w:rPr>
        <w:t xml:space="preserve">I. Presidir y dirigir las sesiones del ayuntamiento; </w:t>
      </w:r>
    </w:p>
    <w:p w14:paraId="72B30639" w14:textId="77777777" w:rsidR="003A7E92" w:rsidRPr="003A7E92" w:rsidRDefault="003A7E92" w:rsidP="003A7E92">
      <w:pPr>
        <w:pStyle w:val="Citas"/>
        <w:spacing w:line="240" w:lineRule="auto"/>
        <w:rPr>
          <w:b/>
        </w:rPr>
      </w:pPr>
      <w:r w:rsidRPr="003A7E92">
        <w:rPr>
          <w:b/>
        </w:rPr>
        <w:t>II. Ejecutar los acuerdos del ayuntamiento e informar su cumplimiento;</w:t>
      </w:r>
    </w:p>
    <w:p w14:paraId="5902A4AD" w14:textId="77777777" w:rsidR="003A7E92" w:rsidRDefault="003A7E92" w:rsidP="003A7E92">
      <w:pPr>
        <w:pStyle w:val="Citas"/>
        <w:spacing w:line="240" w:lineRule="auto"/>
      </w:pPr>
      <w:r>
        <w:lastRenderedPageBreak/>
        <w:t>…</w:t>
      </w:r>
    </w:p>
    <w:p w14:paraId="5574774F" w14:textId="77777777" w:rsidR="003A7E92" w:rsidRDefault="003A7E92" w:rsidP="003A7E92">
      <w:pPr>
        <w:pStyle w:val="Citas"/>
        <w:spacing w:line="240" w:lineRule="auto"/>
      </w:pPr>
      <w:r w:rsidRPr="003A7E92">
        <w:rPr>
          <w:b/>
        </w:rPr>
        <w:t>V. Convocar a sesiones ordinarias y extraordinarias a los integrantes del ayuntamiento</w:t>
      </w:r>
      <w:r w:rsidRPr="003A7E92">
        <w:t>;</w:t>
      </w:r>
    </w:p>
    <w:p w14:paraId="7011F234" w14:textId="77777777" w:rsidR="003A7E92" w:rsidRDefault="003A7E92" w:rsidP="004E3FE4">
      <w:pPr>
        <w:pStyle w:val="Citas"/>
      </w:pPr>
    </w:p>
    <w:p w14:paraId="7B85B34B" w14:textId="77777777" w:rsidR="005A7616" w:rsidRPr="005A7616" w:rsidRDefault="005A7616" w:rsidP="005A7616">
      <w:pPr>
        <w:pStyle w:val="Citas"/>
        <w:jc w:val="center"/>
        <w:rPr>
          <w:b/>
          <w:lang w:val="es-ES"/>
        </w:rPr>
      </w:pPr>
      <w:r w:rsidRPr="005A7616">
        <w:rPr>
          <w:b/>
          <w:lang w:val="es-ES"/>
        </w:rPr>
        <w:t>De los Regidores</w:t>
      </w:r>
    </w:p>
    <w:p w14:paraId="533C2E92" w14:textId="77777777" w:rsidR="005A7616" w:rsidRDefault="005A7616" w:rsidP="004E3FE4">
      <w:pPr>
        <w:pStyle w:val="Citas"/>
        <w:rPr>
          <w:lang w:val="es-ES"/>
        </w:rPr>
      </w:pPr>
      <w:r w:rsidRPr="005A7616">
        <w:rPr>
          <w:lang w:val="es-ES"/>
        </w:rPr>
        <w:t xml:space="preserve">Artículo 55.- Son atribuciones de los regidores, las siguientes: </w:t>
      </w:r>
    </w:p>
    <w:p w14:paraId="46D3674A" w14:textId="77777777" w:rsidR="005A7616" w:rsidRDefault="005A7616" w:rsidP="003A7E92">
      <w:pPr>
        <w:pStyle w:val="Citas"/>
        <w:numPr>
          <w:ilvl w:val="0"/>
          <w:numId w:val="35"/>
        </w:numPr>
        <w:spacing w:line="240" w:lineRule="auto"/>
        <w:rPr>
          <w:lang w:val="es-ES"/>
        </w:rPr>
      </w:pPr>
      <w:r w:rsidRPr="003A7E92">
        <w:rPr>
          <w:b/>
          <w:lang w:val="es-ES"/>
        </w:rPr>
        <w:t>Asistir puntualmente a las sesiones que celebre el ayuntamiento</w:t>
      </w:r>
      <w:r w:rsidRPr="005A7616">
        <w:rPr>
          <w:lang w:val="es-ES"/>
        </w:rPr>
        <w:t xml:space="preserve">; </w:t>
      </w:r>
    </w:p>
    <w:p w14:paraId="372E49F7" w14:textId="77777777" w:rsidR="005A7616" w:rsidRPr="005A7616" w:rsidRDefault="005A7616" w:rsidP="003A7E92">
      <w:pPr>
        <w:pStyle w:val="Citas"/>
        <w:numPr>
          <w:ilvl w:val="0"/>
          <w:numId w:val="35"/>
        </w:numPr>
        <w:spacing w:line="240" w:lineRule="auto"/>
      </w:pPr>
      <w:r w:rsidRPr="005A7616">
        <w:rPr>
          <w:lang w:val="es-ES"/>
        </w:rPr>
        <w:t xml:space="preserve">Suplir al presidente municipal en sus faltas temporales, en los términos establecidos por este ordenamiento; </w:t>
      </w:r>
    </w:p>
    <w:p w14:paraId="05D85888" w14:textId="77777777" w:rsidR="005A7616" w:rsidRPr="005A7616" w:rsidRDefault="005A7616" w:rsidP="003A7E92">
      <w:pPr>
        <w:pStyle w:val="Citas"/>
        <w:numPr>
          <w:ilvl w:val="0"/>
          <w:numId w:val="35"/>
        </w:numPr>
        <w:spacing w:line="240" w:lineRule="auto"/>
      </w:pPr>
      <w:r w:rsidRPr="005A7616">
        <w:rPr>
          <w:lang w:val="es-ES"/>
        </w:rPr>
        <w:t xml:space="preserve">Vigilar y atender el sector de la administración municipal que les sea encomendado por el ayuntamiento; </w:t>
      </w:r>
    </w:p>
    <w:p w14:paraId="57C91E0A" w14:textId="77777777" w:rsidR="004E3FE4" w:rsidRPr="005A7616" w:rsidRDefault="005A7616" w:rsidP="003A7E92">
      <w:pPr>
        <w:pStyle w:val="Citas"/>
        <w:numPr>
          <w:ilvl w:val="0"/>
          <w:numId w:val="35"/>
        </w:numPr>
        <w:spacing w:line="240" w:lineRule="auto"/>
      </w:pPr>
      <w:r w:rsidRPr="005A7616">
        <w:rPr>
          <w:lang w:val="es-ES"/>
        </w:rPr>
        <w:t>Participar responsablemente en las comisiones conferidas por el ayuntamiento y aquéllas que le designe en forma concreta el presidente municipal;</w:t>
      </w:r>
    </w:p>
    <w:p w14:paraId="59924E28" w14:textId="77777777" w:rsidR="005A7616" w:rsidRPr="005A7616" w:rsidRDefault="005A7616" w:rsidP="003A7E92">
      <w:pPr>
        <w:pStyle w:val="Citas"/>
        <w:numPr>
          <w:ilvl w:val="0"/>
          <w:numId w:val="35"/>
        </w:numPr>
        <w:spacing w:line="240" w:lineRule="auto"/>
      </w:pPr>
      <w:r w:rsidRPr="005A7616">
        <w:rPr>
          <w:lang w:val="es-ES"/>
        </w:rPr>
        <w:t xml:space="preserve">Proponer al ayuntamiento, alternativas de solución para la debida atención de los diferentes sectores de la administración municipal; </w:t>
      </w:r>
    </w:p>
    <w:p w14:paraId="5CCD3D48" w14:textId="77777777" w:rsidR="005A7616" w:rsidRPr="005A7616" w:rsidRDefault="005A7616" w:rsidP="003A7E92">
      <w:pPr>
        <w:pStyle w:val="Citas"/>
        <w:numPr>
          <w:ilvl w:val="0"/>
          <w:numId w:val="35"/>
        </w:numPr>
        <w:spacing w:line="240" w:lineRule="auto"/>
      </w:pPr>
      <w:r w:rsidRPr="005A7616">
        <w:rPr>
          <w:lang w:val="es-ES"/>
        </w:rPr>
        <w:t xml:space="preserve">Promover la participación ciudadana en apoyo a los programas que formule y apruebe el ayuntamiento; </w:t>
      </w:r>
    </w:p>
    <w:p w14:paraId="48B4CA73" w14:textId="77777777" w:rsidR="005A7616" w:rsidRPr="005A7616" w:rsidRDefault="005A7616" w:rsidP="003A7E92">
      <w:pPr>
        <w:pStyle w:val="Citas"/>
        <w:numPr>
          <w:ilvl w:val="0"/>
          <w:numId w:val="35"/>
        </w:numPr>
        <w:spacing w:line="240" w:lineRule="auto"/>
      </w:pPr>
      <w:r w:rsidRPr="003A7E92">
        <w:rPr>
          <w:b/>
          <w:lang w:val="es-ES"/>
        </w:rPr>
        <w:t>Firmar las Actas de Cabildo</w:t>
      </w:r>
      <w:r w:rsidRPr="005A7616">
        <w:rPr>
          <w:lang w:val="es-ES"/>
        </w:rPr>
        <w:t xml:space="preserve">, y </w:t>
      </w:r>
    </w:p>
    <w:p w14:paraId="5AC768B4" w14:textId="77777777" w:rsidR="005A7616" w:rsidRPr="00E06840" w:rsidRDefault="005A7616" w:rsidP="003A7E92">
      <w:pPr>
        <w:pStyle w:val="Citas"/>
        <w:numPr>
          <w:ilvl w:val="0"/>
          <w:numId w:val="35"/>
        </w:numPr>
        <w:spacing w:line="240" w:lineRule="auto"/>
      </w:pPr>
      <w:r w:rsidRPr="005A7616">
        <w:rPr>
          <w:lang w:val="es-ES"/>
        </w:rPr>
        <w:t>Las demás que les otorgue esta Ley y otras disposiciones aplicables.</w:t>
      </w:r>
    </w:p>
    <w:p w14:paraId="2F08B3CF" w14:textId="77777777" w:rsidR="00E06840" w:rsidRDefault="00E06840" w:rsidP="00E06840">
      <w:pPr>
        <w:pStyle w:val="Citas"/>
      </w:pPr>
      <w:r w:rsidRPr="00E06840">
        <w:rPr>
          <w:b/>
        </w:rPr>
        <w:t xml:space="preserve">Artículo 91.- La Secretaría del Ayuntamiento estará a cargo de un Secretario, el que, sin ser miembro del mismo, </w:t>
      </w:r>
      <w:r w:rsidRPr="00E06840">
        <w:t xml:space="preserve">deberá ser nombrado por el propio Ayuntamiento a propuesta del Presidente Municipal como lo marca el artículo 31 de la presente ley. Sus faltas temporales serán cubiertas por quien designe el Ayuntamiento y </w:t>
      </w:r>
      <w:r w:rsidRPr="00E06840">
        <w:rPr>
          <w:b/>
        </w:rPr>
        <w:t>sus atribuciones son las siguientes</w:t>
      </w:r>
      <w:r w:rsidRPr="00E06840">
        <w:t xml:space="preserve">: </w:t>
      </w:r>
    </w:p>
    <w:p w14:paraId="7BE6CDAF" w14:textId="77777777" w:rsidR="00E06840" w:rsidRPr="00E06840" w:rsidRDefault="00E06840" w:rsidP="003A7E92">
      <w:pPr>
        <w:pStyle w:val="Citas"/>
        <w:numPr>
          <w:ilvl w:val="0"/>
          <w:numId w:val="36"/>
        </w:numPr>
        <w:spacing w:line="240" w:lineRule="auto"/>
        <w:rPr>
          <w:b/>
          <w:u w:val="single"/>
        </w:rPr>
      </w:pPr>
      <w:r w:rsidRPr="00E06840">
        <w:rPr>
          <w:b/>
          <w:u w:val="single"/>
        </w:rPr>
        <w:lastRenderedPageBreak/>
        <w:t xml:space="preserve">Asistir a las sesiones del ayuntamiento y levantar las actas correspondientes; </w:t>
      </w:r>
    </w:p>
    <w:p w14:paraId="606DA955" w14:textId="77777777" w:rsidR="00E06840" w:rsidRDefault="00E06840" w:rsidP="003A7E92">
      <w:pPr>
        <w:pStyle w:val="Citas"/>
        <w:numPr>
          <w:ilvl w:val="0"/>
          <w:numId w:val="36"/>
        </w:numPr>
        <w:spacing w:line="240" w:lineRule="auto"/>
      </w:pPr>
      <w:r w:rsidRPr="00E06840">
        <w:t xml:space="preserve">Emitir los citatorios para la celebración de las sesiones de cabildo, convocadas legalmente; </w:t>
      </w:r>
    </w:p>
    <w:p w14:paraId="6A061E55" w14:textId="77777777" w:rsidR="00E06840" w:rsidRDefault="00E06840" w:rsidP="003A7E92">
      <w:pPr>
        <w:pStyle w:val="Citas"/>
        <w:numPr>
          <w:ilvl w:val="0"/>
          <w:numId w:val="36"/>
        </w:numPr>
        <w:spacing w:line="240" w:lineRule="auto"/>
      </w:pPr>
      <w:r w:rsidRPr="00E06840">
        <w:t xml:space="preserve">Dar cuenta en la primera sesión de cada mes, del número y contenido de los expedientes pasados a comisión, con mención de los que hayan sido resueltos y de los pendientes; </w:t>
      </w:r>
    </w:p>
    <w:p w14:paraId="07C697C5" w14:textId="77777777" w:rsidR="00E06840" w:rsidRPr="00E06840" w:rsidRDefault="00E06840" w:rsidP="003A7E92">
      <w:pPr>
        <w:pStyle w:val="Citas"/>
        <w:numPr>
          <w:ilvl w:val="0"/>
          <w:numId w:val="36"/>
        </w:numPr>
        <w:spacing w:line="240" w:lineRule="auto"/>
        <w:rPr>
          <w:b/>
          <w:u w:val="single"/>
        </w:rPr>
      </w:pPr>
      <w:r w:rsidRPr="00E06840">
        <w:rPr>
          <w:b/>
          <w:u w:val="single"/>
        </w:rPr>
        <w:t xml:space="preserve">Llevar y conservar los libros de actas de cabildo, obteniendo las firmas de los asistentes a las sesiones; </w:t>
      </w:r>
    </w:p>
    <w:p w14:paraId="68B921D4" w14:textId="77777777" w:rsidR="00E06840" w:rsidRDefault="00E06840" w:rsidP="003A7E92">
      <w:pPr>
        <w:pStyle w:val="Citas"/>
        <w:numPr>
          <w:ilvl w:val="0"/>
          <w:numId w:val="36"/>
        </w:numPr>
        <w:spacing w:line="240" w:lineRule="auto"/>
      </w:pPr>
      <w:r w:rsidRPr="00E06840">
        <w:t xml:space="preserve">Validar con su firma, los documentos oficiales emanados del ayuntamiento o de cualquiera de sus miembros; </w:t>
      </w:r>
    </w:p>
    <w:p w14:paraId="2153A3E0" w14:textId="77777777" w:rsidR="00E06840" w:rsidRDefault="00E06840" w:rsidP="003A7E92">
      <w:pPr>
        <w:pStyle w:val="Citas"/>
        <w:numPr>
          <w:ilvl w:val="0"/>
          <w:numId w:val="36"/>
        </w:numPr>
        <w:spacing w:line="240" w:lineRule="auto"/>
      </w:pPr>
      <w:r w:rsidRPr="00E06840">
        <w:t xml:space="preserve">Tener a su cargo el archivo general del ayuntamiento; </w:t>
      </w:r>
    </w:p>
    <w:p w14:paraId="20C28465" w14:textId="77777777" w:rsidR="00E06840" w:rsidRDefault="00E06840" w:rsidP="003A7E92">
      <w:pPr>
        <w:pStyle w:val="Citas"/>
        <w:numPr>
          <w:ilvl w:val="0"/>
          <w:numId w:val="36"/>
        </w:numPr>
        <w:spacing w:line="240" w:lineRule="auto"/>
      </w:pPr>
      <w:r w:rsidRPr="00E06840">
        <w:t xml:space="preserve">Controlar y distribuir la correspondencia oficial del ayuntamiento, dando cuenta diaria al presidente municipal para acordar su trámite; </w:t>
      </w:r>
    </w:p>
    <w:p w14:paraId="615DDD1F" w14:textId="77777777" w:rsidR="00E06840" w:rsidRDefault="00E06840" w:rsidP="003A7E92">
      <w:pPr>
        <w:pStyle w:val="Citas"/>
        <w:numPr>
          <w:ilvl w:val="0"/>
          <w:numId w:val="36"/>
        </w:numPr>
        <w:spacing w:line="240" w:lineRule="auto"/>
      </w:pPr>
      <w:r w:rsidRPr="00E06840">
        <w:t xml:space="preserve">Publicar los reglamentos, circulares y demás disposiciones municipales de observancia general; </w:t>
      </w:r>
    </w:p>
    <w:p w14:paraId="68F8E492" w14:textId="77777777" w:rsidR="00E06840" w:rsidRDefault="00E06840" w:rsidP="003A7E92">
      <w:pPr>
        <w:pStyle w:val="Citas"/>
        <w:numPr>
          <w:ilvl w:val="0"/>
          <w:numId w:val="36"/>
        </w:numPr>
        <w:spacing w:line="240" w:lineRule="auto"/>
      </w:pPr>
      <w:r w:rsidRPr="00E06840">
        <w:t xml:space="preserve">Compilar leyes, decretos, reglamentos, periódicos oficiales del estado, circulares y órdenes relativas a los distintos sectores de la administración pública municipal; </w:t>
      </w:r>
    </w:p>
    <w:p w14:paraId="2F65ADFA" w14:textId="77777777" w:rsidR="00E06840" w:rsidRDefault="00E06840" w:rsidP="003A7E92">
      <w:pPr>
        <w:pStyle w:val="Citas"/>
        <w:numPr>
          <w:ilvl w:val="0"/>
          <w:numId w:val="36"/>
        </w:numPr>
        <w:spacing w:line="240" w:lineRule="auto"/>
      </w:pPr>
      <w:r w:rsidRPr="00E06840">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6AD009BD" w14:textId="77777777" w:rsidR="00E06840" w:rsidRDefault="00E06840" w:rsidP="003A7E92">
      <w:pPr>
        <w:pStyle w:val="Citas"/>
        <w:numPr>
          <w:ilvl w:val="0"/>
          <w:numId w:val="36"/>
        </w:numPr>
        <w:spacing w:line="240" w:lineRule="auto"/>
      </w:pPr>
      <w:r w:rsidRPr="00E06840">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4A128129" w14:textId="77777777" w:rsidR="00E06840" w:rsidRDefault="00E06840" w:rsidP="003A7E92">
      <w:pPr>
        <w:pStyle w:val="Citas"/>
        <w:spacing w:line="240" w:lineRule="auto"/>
        <w:ind w:left="1571"/>
      </w:pPr>
      <w:r w:rsidRPr="00E06840">
        <w:t xml:space="preserve">En el caso de que el ayuntamiento adquiera por cualquier concepto bienes muebles o inmuebles durante su ejercicio, deberá realizar la actualización del inventario general de los bienes mueb1es e inmuebles y del sistema de </w:t>
      </w:r>
      <w:r w:rsidRPr="00E06840">
        <w:lastRenderedPageBreak/>
        <w:t xml:space="preserve">información inmobiliaria en un plazo de ciento veinte días hábiles a partir de su adquisición y presentar un informe trimestral al cabildo para su conocimiento y opinión. </w:t>
      </w:r>
    </w:p>
    <w:p w14:paraId="42F1D225" w14:textId="77777777" w:rsidR="00E06840" w:rsidRDefault="00E06840" w:rsidP="003A7E92">
      <w:pPr>
        <w:pStyle w:val="Citas"/>
        <w:numPr>
          <w:ilvl w:val="0"/>
          <w:numId w:val="36"/>
        </w:numPr>
        <w:spacing w:line="240" w:lineRule="auto"/>
      </w:pPr>
      <w:r w:rsidRPr="00E06840">
        <w:t>Integrar un sistema de información que contenga datos de los aspectos socio-económicos básicos del municipio;</w:t>
      </w:r>
      <w:r>
        <w:t xml:space="preserve"> </w:t>
      </w:r>
    </w:p>
    <w:p w14:paraId="52179D86" w14:textId="77777777" w:rsidR="00E06840" w:rsidRDefault="00E06840" w:rsidP="003A7E92">
      <w:pPr>
        <w:pStyle w:val="Citas"/>
        <w:numPr>
          <w:ilvl w:val="0"/>
          <w:numId w:val="36"/>
        </w:numPr>
        <w:spacing w:line="240" w:lineRule="auto"/>
      </w:pPr>
      <w:r w:rsidRPr="00E06840">
        <w:t xml:space="preserve">Ser responsable de la publicación de la Gaceta Municipal, así como de las publicaciones en los estrados de los Ayuntamientos; y </w:t>
      </w:r>
    </w:p>
    <w:p w14:paraId="6F02ED7A" w14:textId="77777777" w:rsidR="00E06840" w:rsidRDefault="00E06840" w:rsidP="003A7E92">
      <w:pPr>
        <w:pStyle w:val="Citas"/>
        <w:numPr>
          <w:ilvl w:val="0"/>
          <w:numId w:val="36"/>
        </w:numPr>
        <w:spacing w:line="240" w:lineRule="auto"/>
      </w:pPr>
      <w:r w:rsidRPr="00E06840">
        <w:t>Las demás que le confieran esta Ley y disposiciones aplicables.</w:t>
      </w:r>
    </w:p>
    <w:p w14:paraId="5E5D4C51" w14:textId="77777777" w:rsidR="00EB4532" w:rsidRDefault="00EB4532" w:rsidP="00EB4532">
      <w:pPr>
        <w:pStyle w:val="Citas"/>
        <w:spacing w:line="240" w:lineRule="auto"/>
      </w:pPr>
      <w:r w:rsidRPr="00EB4532">
        <w:rPr>
          <w:b/>
        </w:rPr>
        <w:t>Artículo 99.-</w:t>
      </w:r>
      <w:r w:rsidRPr="00EB4532">
        <w:t xml:space="preserve"> El presidente municipal presentará anualmente al ayuntamiento a más tardar el 20 de diciembre, el proyecto de presupuesto de egresos, para su consideración y aprobación. </w:t>
      </w:r>
    </w:p>
    <w:p w14:paraId="3C45A7F4" w14:textId="77777777" w:rsidR="00EB4532" w:rsidRPr="00EB4532" w:rsidRDefault="00EB4532" w:rsidP="00EB4532">
      <w:pPr>
        <w:pStyle w:val="Citas"/>
        <w:spacing w:line="240" w:lineRule="auto"/>
        <w:rPr>
          <w:b/>
        </w:rPr>
      </w:pPr>
      <w:r w:rsidRPr="00EB4532">
        <w:rPr>
          <w:b/>
        </w:rPr>
        <w:t xml:space="preserve">Artículo 100.- El presupuesto de egresos deberá contener las previsiones de gasto público que habrán de realizar los municipios.  </w:t>
      </w:r>
    </w:p>
    <w:p w14:paraId="5748FE07" w14:textId="77777777" w:rsidR="00EB4532" w:rsidRDefault="00EB4532" w:rsidP="00EB4532">
      <w:pPr>
        <w:pStyle w:val="Citas"/>
        <w:spacing w:line="240" w:lineRule="auto"/>
      </w:pPr>
      <w:r w:rsidRPr="00EB4532">
        <w:rPr>
          <w:b/>
        </w:rPr>
        <w:t>Artículo 101.-</w:t>
      </w:r>
      <w:r w:rsidRPr="00EB4532">
        <w:t xml:space="preserve"> El proyecto del presupuesto de egresos se integrará básicamente con: </w:t>
      </w:r>
    </w:p>
    <w:p w14:paraId="264629D6" w14:textId="77777777" w:rsidR="00EB4532" w:rsidRDefault="00EB4532" w:rsidP="00EB4532">
      <w:pPr>
        <w:pStyle w:val="Citas"/>
        <w:numPr>
          <w:ilvl w:val="0"/>
          <w:numId w:val="38"/>
        </w:numPr>
        <w:spacing w:line="240" w:lineRule="auto"/>
      </w:pPr>
      <w:r w:rsidRPr="00EB4532">
        <w:t xml:space="preserve">Los programas en que se señalen objetivos, metas y unidades responsables para su ejecución, así como la valuación estimada del programa; </w:t>
      </w:r>
    </w:p>
    <w:p w14:paraId="6CBFC1AB" w14:textId="77777777" w:rsidR="00EB4532" w:rsidRDefault="00EB4532" w:rsidP="00EB4532">
      <w:pPr>
        <w:pStyle w:val="Citas"/>
        <w:numPr>
          <w:ilvl w:val="0"/>
          <w:numId w:val="38"/>
        </w:numPr>
        <w:spacing w:line="240" w:lineRule="auto"/>
      </w:pPr>
      <w:r w:rsidRPr="00EB4532">
        <w:t xml:space="preserve">Estimación de los ingresos y gastos del ejercicio fiscal calendarizados; </w:t>
      </w:r>
    </w:p>
    <w:p w14:paraId="1375AF8A" w14:textId="77777777" w:rsidR="00EB4532" w:rsidRPr="004E3FE4" w:rsidRDefault="00EB4532" w:rsidP="00EB4532">
      <w:pPr>
        <w:pStyle w:val="Citas"/>
        <w:numPr>
          <w:ilvl w:val="0"/>
          <w:numId w:val="38"/>
        </w:numPr>
        <w:spacing w:line="240" w:lineRule="auto"/>
      </w:pPr>
      <w:r w:rsidRPr="00EB4532">
        <w:t>Situación de la deuda pública, incluyendo el contingente económico de los litigios laborales en los que el ayuntamiento forme parte.</w:t>
      </w:r>
    </w:p>
    <w:p w14:paraId="24DC02B2" w14:textId="77777777" w:rsidR="003A7E92" w:rsidRDefault="003A7E92" w:rsidP="005A7616">
      <w:pPr>
        <w:autoSpaceDE w:val="0"/>
        <w:autoSpaceDN w:val="0"/>
        <w:adjustRightInd w:val="0"/>
        <w:spacing w:before="240" w:after="240" w:line="360" w:lineRule="auto"/>
        <w:jc w:val="both"/>
        <w:rPr>
          <w:rFonts w:ascii="Palatino Linotype" w:hAnsi="Palatino Linotype" w:cs="Arial"/>
        </w:rPr>
      </w:pPr>
    </w:p>
    <w:p w14:paraId="27603E08" w14:textId="77777777" w:rsidR="004979B1" w:rsidRPr="00FA3F6D" w:rsidRDefault="004979B1" w:rsidP="005A761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Del estudio realizado,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3686"/>
        <w:gridCol w:w="1939"/>
      </w:tblGrid>
      <w:tr w:rsidR="004979B1" w14:paraId="0DC11BD7" w14:textId="77777777" w:rsidTr="004979B1">
        <w:trPr>
          <w:trHeight w:val="396"/>
        </w:trPr>
        <w:tc>
          <w:tcPr>
            <w:tcW w:w="3529" w:type="dxa"/>
            <w:shd w:val="clear" w:color="auto" w:fill="E7E6E6" w:themeFill="background2"/>
          </w:tcPr>
          <w:p w14:paraId="32388ACE" w14:textId="77777777" w:rsidR="004979B1" w:rsidRPr="00E80E99" w:rsidRDefault="004979B1" w:rsidP="004979B1">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686" w:type="dxa"/>
            <w:shd w:val="clear" w:color="auto" w:fill="E7E6E6" w:themeFill="background2"/>
          </w:tcPr>
          <w:p w14:paraId="3E31C8C4" w14:textId="77777777" w:rsidR="004979B1" w:rsidRPr="00E80E99" w:rsidRDefault="004979B1" w:rsidP="004979B1">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939" w:type="dxa"/>
            <w:shd w:val="clear" w:color="auto" w:fill="E7E6E6" w:themeFill="background2"/>
          </w:tcPr>
          <w:p w14:paraId="16EFEF6E" w14:textId="77777777" w:rsidR="004979B1" w:rsidRPr="00E80E99" w:rsidRDefault="004979B1" w:rsidP="004979B1">
            <w:pPr>
              <w:spacing w:line="360" w:lineRule="auto"/>
              <w:jc w:val="center"/>
              <w:rPr>
                <w:rFonts w:ascii="Palatino Linotype" w:hAnsi="Palatino Linotype"/>
                <w:b/>
                <w:i/>
                <w:color w:val="000000"/>
              </w:rPr>
            </w:pPr>
            <w:r>
              <w:rPr>
                <w:rFonts w:ascii="Palatino Linotype" w:hAnsi="Palatino Linotype"/>
                <w:b/>
                <w:i/>
                <w:color w:val="000000"/>
              </w:rPr>
              <w:t>Colma</w:t>
            </w:r>
          </w:p>
        </w:tc>
      </w:tr>
      <w:tr w:rsidR="004979B1" w14:paraId="1847ED87" w14:textId="77777777" w:rsidTr="004979B1">
        <w:trPr>
          <w:trHeight w:val="396"/>
        </w:trPr>
        <w:tc>
          <w:tcPr>
            <w:tcW w:w="3529" w:type="dxa"/>
          </w:tcPr>
          <w:p w14:paraId="4455C885" w14:textId="77777777" w:rsidR="004979B1" w:rsidRPr="00AE0C5C" w:rsidRDefault="0048476F" w:rsidP="004979B1">
            <w:pPr>
              <w:tabs>
                <w:tab w:val="left" w:pos="1828"/>
              </w:tabs>
              <w:jc w:val="both"/>
              <w:rPr>
                <w:rFonts w:ascii="Palatino Linotype" w:hAnsi="Palatino Linotype"/>
                <w:color w:val="000000"/>
              </w:rPr>
            </w:pPr>
            <w:r>
              <w:rPr>
                <w:rFonts w:ascii="Palatino Linotype" w:hAnsi="Palatino Linotype" w:cs="Tahoma"/>
                <w:bCs/>
              </w:rPr>
              <w:t xml:space="preserve">Administración en la que se aprobaron 12 millos de pesos para llevar a cabo la feria y/o festival internacional cultural </w:t>
            </w:r>
            <w:r>
              <w:rPr>
                <w:rFonts w:ascii="Palatino Linotype" w:hAnsi="Palatino Linotype" w:cs="Tahoma"/>
                <w:bCs/>
              </w:rPr>
              <w:lastRenderedPageBreak/>
              <w:t>del mariachi, con acta de cabildo en la que se aprobó dicha cantidad</w:t>
            </w:r>
          </w:p>
        </w:tc>
        <w:tc>
          <w:tcPr>
            <w:tcW w:w="3686" w:type="dxa"/>
          </w:tcPr>
          <w:p w14:paraId="29FA5FBF" w14:textId="77777777" w:rsidR="004979B1" w:rsidRDefault="00C46907" w:rsidP="00AE0C5C">
            <w:pPr>
              <w:jc w:val="both"/>
              <w:rPr>
                <w:rFonts w:ascii="Palatino Linotype" w:hAnsi="Palatino Linotype"/>
                <w:color w:val="000000"/>
                <w:sz w:val="22"/>
              </w:rPr>
            </w:pPr>
            <w:r>
              <w:rPr>
                <w:rFonts w:ascii="Palatino Linotype" w:hAnsi="Palatino Linotype"/>
                <w:color w:val="000000"/>
                <w:sz w:val="22"/>
              </w:rPr>
              <w:lastRenderedPageBreak/>
              <w:t xml:space="preserve">La Secretaria de Ayuntamiento refirió que en la administración pasada se realizaron 3 eventos, cuyo monto fue publicado en Facebook. </w:t>
            </w:r>
          </w:p>
          <w:p w14:paraId="0537FC88" w14:textId="77777777" w:rsidR="00C46907" w:rsidRDefault="00C46907" w:rsidP="00AE0C5C">
            <w:pPr>
              <w:jc w:val="both"/>
              <w:rPr>
                <w:rFonts w:ascii="Palatino Linotype" w:hAnsi="Palatino Linotype"/>
                <w:color w:val="000000"/>
                <w:sz w:val="22"/>
              </w:rPr>
            </w:pPr>
            <w:r>
              <w:rPr>
                <w:rFonts w:ascii="Palatino Linotype" w:hAnsi="Palatino Linotype"/>
                <w:color w:val="000000"/>
                <w:sz w:val="22"/>
              </w:rPr>
              <w:lastRenderedPageBreak/>
              <w:t>Adjunta liga en datos cerrados para su consulta.</w:t>
            </w:r>
          </w:p>
          <w:p w14:paraId="4FDF8E39" w14:textId="77777777" w:rsidR="00C46907" w:rsidRPr="00683B90" w:rsidRDefault="00C46907" w:rsidP="00AE0C5C">
            <w:pPr>
              <w:jc w:val="both"/>
              <w:rPr>
                <w:rFonts w:ascii="Palatino Linotype" w:hAnsi="Palatino Linotype"/>
                <w:color w:val="000000"/>
                <w:sz w:val="22"/>
              </w:rPr>
            </w:pPr>
            <w:r>
              <w:rPr>
                <w:rFonts w:ascii="Palatino Linotype" w:hAnsi="Palatino Linotype"/>
                <w:color w:val="000000"/>
                <w:sz w:val="22"/>
              </w:rPr>
              <w:t xml:space="preserve">Por otro parte, refiere que los montos financieros y económicos no son de su competencia. </w:t>
            </w:r>
          </w:p>
        </w:tc>
        <w:tc>
          <w:tcPr>
            <w:tcW w:w="1939" w:type="dxa"/>
          </w:tcPr>
          <w:p w14:paraId="4E600FFA" w14:textId="77777777" w:rsidR="00C46907" w:rsidRDefault="00C46907" w:rsidP="00C46907">
            <w:pPr>
              <w:jc w:val="center"/>
              <w:rPr>
                <w:rFonts w:ascii="Palatino Linotype" w:hAnsi="Palatino Linotype"/>
                <w:i/>
                <w:color w:val="000000"/>
              </w:rPr>
            </w:pPr>
            <w:r>
              <w:rPr>
                <w:rFonts w:ascii="Palatino Linotype" w:hAnsi="Palatino Linotype"/>
                <w:i/>
                <w:color w:val="000000"/>
              </w:rPr>
              <w:lastRenderedPageBreak/>
              <w:t>No</w:t>
            </w:r>
          </w:p>
          <w:p w14:paraId="5651B98B" w14:textId="77777777" w:rsidR="00C46907" w:rsidRPr="00163FF6" w:rsidRDefault="00C46907" w:rsidP="00C46907">
            <w:pPr>
              <w:jc w:val="center"/>
              <w:rPr>
                <w:rFonts w:ascii="Palatino Linotype" w:hAnsi="Palatino Linotype"/>
                <w:i/>
                <w:color w:val="000000"/>
              </w:rPr>
            </w:pPr>
          </w:p>
        </w:tc>
      </w:tr>
    </w:tbl>
    <w:p w14:paraId="1A701A54" w14:textId="77777777" w:rsidR="004979B1" w:rsidRDefault="004979B1" w:rsidP="004979B1">
      <w:pPr>
        <w:spacing w:line="360" w:lineRule="auto"/>
        <w:jc w:val="both"/>
        <w:rPr>
          <w:rFonts w:ascii="Palatino Linotype" w:hAnsi="Palatino Linotype" w:cs="Arial"/>
          <w:lang w:val="es-ES_tradnl" w:eastAsia="es-MX"/>
        </w:rPr>
      </w:pPr>
    </w:p>
    <w:p w14:paraId="59AECA87" w14:textId="77777777" w:rsidR="00C46907" w:rsidRDefault="00C46907" w:rsidP="00BC2C41">
      <w:pPr>
        <w:spacing w:line="360" w:lineRule="auto"/>
        <w:jc w:val="both"/>
        <w:rPr>
          <w:rFonts w:ascii="Palatino Linotype" w:hAnsi="Palatino Linotype" w:cs="Arial"/>
        </w:rPr>
      </w:pPr>
      <w:r>
        <w:rPr>
          <w:rFonts w:ascii="Palatino Linotype" w:hAnsi="Palatino Linotype" w:cs="Arial"/>
        </w:rPr>
        <w:t>Derivado de lo anterior, si bien se pronunció el área competente, lo cierto es que, remitió una liga electrónica en datos cerrados.</w:t>
      </w:r>
    </w:p>
    <w:p w14:paraId="219C77DC" w14:textId="77777777" w:rsidR="00C46907" w:rsidRDefault="00C46907" w:rsidP="00BC2C41">
      <w:pPr>
        <w:spacing w:line="360" w:lineRule="auto"/>
        <w:jc w:val="both"/>
        <w:rPr>
          <w:rFonts w:ascii="Palatino Linotype" w:hAnsi="Palatino Linotype" w:cs="Arial"/>
        </w:rPr>
      </w:pPr>
    </w:p>
    <w:p w14:paraId="0AAEEC19" w14:textId="77777777" w:rsidR="00C46907" w:rsidRPr="00C46907" w:rsidRDefault="00C46907" w:rsidP="00C46907">
      <w:pPr>
        <w:spacing w:line="360" w:lineRule="auto"/>
        <w:jc w:val="both"/>
        <w:rPr>
          <w:rFonts w:ascii="Palatino Linotype" w:eastAsia="Calibri" w:hAnsi="Palatino Linotype" w:cs="Tahoma"/>
          <w:bCs/>
          <w:szCs w:val="22"/>
          <w:lang w:val="es-ES_tradnl" w:eastAsia="es-MX"/>
        </w:rPr>
      </w:pPr>
      <w:r w:rsidRPr="00C46907">
        <w:rPr>
          <w:rFonts w:ascii="Palatino Linotype" w:eastAsia="Calibri" w:hAnsi="Palatino Linotype" w:cs="Tahoma"/>
          <w:bCs/>
          <w:szCs w:val="22"/>
          <w:lang w:val="es-ES_tradnl" w:eastAsia="es-MX"/>
        </w:rPr>
        <w:t xml:space="preserve">Ante tal situación, se debe precisar que dicho medio electrónico se encuentra en un formato cerrado, es decir que, para </w:t>
      </w:r>
      <w:r w:rsidRPr="00C46907">
        <w:rPr>
          <w:rFonts w:ascii="Palatino Linotype" w:eastAsia="Calibri" w:hAnsi="Palatino Linotype" w:cs="Tahoma"/>
          <w:b/>
          <w:bCs/>
          <w:szCs w:val="22"/>
          <w:lang w:val="es-ES_tradnl" w:eastAsia="es-MX"/>
        </w:rPr>
        <w:t xml:space="preserve">LA PARTE RECURRENTE </w:t>
      </w:r>
      <w:r w:rsidRPr="00C46907">
        <w:rPr>
          <w:rFonts w:ascii="Palatino Linotype" w:eastAsia="Calibri" w:hAnsi="Palatino Linotype" w:cs="Tahoma"/>
          <w:bCs/>
          <w:szCs w:val="22"/>
          <w:lang w:val="es-ES_tradnl" w:eastAsia="es-MX"/>
        </w:rPr>
        <w:t>implica realizar una transcripción de la totalidad de los caracteres que integran el link, lo cual puede llevar a errores técnicos y humanos que impidan o dificulten a los solicitantes allegarse de la información que conforme a su derecho sea requerida.</w:t>
      </w:r>
    </w:p>
    <w:p w14:paraId="73A41EE5" w14:textId="77777777" w:rsidR="00C46907" w:rsidRPr="00C46907" w:rsidRDefault="00C46907" w:rsidP="00C46907">
      <w:pPr>
        <w:spacing w:line="360" w:lineRule="auto"/>
        <w:jc w:val="both"/>
        <w:rPr>
          <w:rFonts w:ascii="Palatino Linotype" w:eastAsia="Calibri" w:hAnsi="Palatino Linotype" w:cs="Tahoma"/>
          <w:bCs/>
          <w:szCs w:val="22"/>
          <w:lang w:val="es-ES_tradnl" w:eastAsia="es-MX"/>
        </w:rPr>
      </w:pPr>
    </w:p>
    <w:p w14:paraId="7A4230A6" w14:textId="77777777" w:rsidR="00C46907" w:rsidRPr="00C46907" w:rsidRDefault="00C46907" w:rsidP="00C46907">
      <w:pPr>
        <w:spacing w:line="360" w:lineRule="auto"/>
        <w:jc w:val="both"/>
        <w:rPr>
          <w:rFonts w:ascii="Palatino Linotype" w:eastAsia="Calibri" w:hAnsi="Palatino Linotype" w:cs="Tahoma"/>
          <w:b/>
          <w:bCs/>
          <w:i/>
          <w:szCs w:val="22"/>
          <w:lang w:val="es-ES_tradnl" w:eastAsia="es-MX"/>
        </w:rPr>
      </w:pPr>
      <w:r w:rsidRPr="00C46907">
        <w:rPr>
          <w:rFonts w:ascii="Palatino Linotype" w:eastAsia="Calibri" w:hAnsi="Palatino Linotype" w:cs="Tahoma"/>
          <w:bCs/>
          <w:szCs w:val="22"/>
          <w:lang w:val="es-ES_tradnl" w:eastAsia="es-MX"/>
        </w:rPr>
        <w:t>Al respecto la Carta Internacional de Datos Abiertos; prevé que: “</w:t>
      </w:r>
      <w:r w:rsidRPr="00C46907">
        <w:rPr>
          <w:rFonts w:ascii="Palatino Linotype" w:eastAsia="Calibri" w:hAnsi="Palatino Linotype" w:cs="Tahoma"/>
          <w:bCs/>
          <w:i/>
          <w:szCs w:val="22"/>
          <w:lang w:val="es-ES_tradnl" w:eastAsia="es-MX"/>
        </w:rPr>
        <w:t>los</w:t>
      </w:r>
      <w:r w:rsidRPr="00C46907">
        <w:rPr>
          <w:rFonts w:ascii="Palatino Linotype" w:eastAsia="Calibri" w:hAnsi="Palatino Linotype" w:cs="Tahoma"/>
          <w:bCs/>
          <w:szCs w:val="22"/>
          <w:lang w:val="es-ES_tradnl" w:eastAsia="es-MX"/>
        </w:rPr>
        <w:t xml:space="preserve"> </w:t>
      </w:r>
      <w:r w:rsidRPr="00C46907">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58513B14" w14:textId="77777777" w:rsidR="00C46907" w:rsidRPr="00C46907" w:rsidRDefault="00C46907" w:rsidP="00C46907">
      <w:pPr>
        <w:spacing w:line="360" w:lineRule="auto"/>
        <w:jc w:val="both"/>
        <w:rPr>
          <w:rFonts w:ascii="Palatino Linotype" w:eastAsia="Calibri" w:hAnsi="Palatino Linotype" w:cs="Tahoma"/>
          <w:b/>
          <w:bCs/>
          <w:i/>
          <w:szCs w:val="22"/>
          <w:lang w:val="es-ES_tradnl" w:eastAsia="es-MX"/>
        </w:rPr>
      </w:pPr>
    </w:p>
    <w:p w14:paraId="3F5441F6" w14:textId="77777777" w:rsidR="00C46907" w:rsidRPr="00C46907" w:rsidRDefault="00C46907" w:rsidP="00C46907">
      <w:pPr>
        <w:spacing w:line="360" w:lineRule="auto"/>
        <w:jc w:val="both"/>
        <w:rPr>
          <w:rFonts w:ascii="Palatino Linotype" w:eastAsia="Calibri" w:hAnsi="Palatino Linotype" w:cs="Tahoma"/>
          <w:bCs/>
          <w:szCs w:val="22"/>
          <w:lang w:val="es-ES_tradnl" w:eastAsia="es-MX"/>
        </w:rPr>
      </w:pPr>
      <w:r w:rsidRPr="00C46907">
        <w:rPr>
          <w:rFonts w:ascii="Palatino Linotype" w:eastAsia="Calibri" w:hAnsi="Palatino Linotype" w:cs="Tahoma"/>
          <w:bCs/>
          <w:szCs w:val="22"/>
          <w:lang w:val="es-ES_tradnl" w:eastAsia="es-MX"/>
        </w:rPr>
        <w:t>Por su parte, el Decreto por el que se establece la regulación en materia de Datos Abiertos, publicado en el Diario Oficial de la Federación el veinte de febrero de dos mil quince, indica en su artículo segundo lo siguiente:</w:t>
      </w:r>
    </w:p>
    <w:p w14:paraId="1E735016" w14:textId="77777777" w:rsidR="00C46907" w:rsidRPr="00C46907" w:rsidRDefault="00C46907" w:rsidP="00C46907">
      <w:pPr>
        <w:spacing w:line="360" w:lineRule="auto"/>
        <w:jc w:val="both"/>
        <w:rPr>
          <w:rFonts w:ascii="Palatino Linotype" w:eastAsia="Calibri" w:hAnsi="Palatino Linotype" w:cs="Tahoma"/>
          <w:bCs/>
          <w:szCs w:val="22"/>
          <w:lang w:val="es-ES_tradnl" w:eastAsia="es-MX"/>
        </w:rPr>
      </w:pPr>
    </w:p>
    <w:p w14:paraId="48D42E0A" w14:textId="77777777" w:rsidR="00C46907" w:rsidRPr="00C46907" w:rsidRDefault="00C46907" w:rsidP="00C46907">
      <w:pPr>
        <w:ind w:left="567" w:right="616"/>
        <w:jc w:val="both"/>
        <w:rPr>
          <w:rFonts w:ascii="Palatino Linotype" w:eastAsia="Calibri" w:hAnsi="Palatino Linotype" w:cs="Tahoma"/>
          <w:b/>
          <w:bCs/>
          <w:i/>
          <w:szCs w:val="22"/>
          <w:lang w:val="es-ES_tradnl" w:eastAsia="es-MX"/>
        </w:rPr>
      </w:pPr>
      <w:r w:rsidRPr="00C46907">
        <w:rPr>
          <w:rFonts w:ascii="Palatino Linotype" w:eastAsia="Calibri" w:hAnsi="Palatino Linotype" w:cs="Tahoma"/>
          <w:b/>
          <w:bCs/>
          <w:i/>
          <w:szCs w:val="22"/>
          <w:lang w:val="es-ES_tradnl" w:eastAsia="es-MX"/>
        </w:rPr>
        <w:t>ARTÍCULO SEGUNDO. -Para los efectos del presente Decreto, se entenderá por:</w:t>
      </w:r>
    </w:p>
    <w:p w14:paraId="0EF70B81" w14:textId="77777777" w:rsidR="00C46907" w:rsidRPr="00C46907" w:rsidRDefault="00C46907" w:rsidP="00C46907">
      <w:pPr>
        <w:ind w:left="567" w:right="616"/>
        <w:jc w:val="both"/>
        <w:rPr>
          <w:rFonts w:ascii="Palatino Linotype" w:eastAsia="Calibri" w:hAnsi="Palatino Linotype" w:cs="Tahoma"/>
          <w:bCs/>
          <w:i/>
          <w:szCs w:val="22"/>
          <w:lang w:val="es-ES_tradnl" w:eastAsia="es-MX"/>
        </w:rPr>
      </w:pPr>
      <w:r w:rsidRPr="00C46907">
        <w:rPr>
          <w:rFonts w:ascii="Palatino Linotype" w:eastAsia="Calibri" w:hAnsi="Palatino Linotype" w:cs="Tahoma"/>
          <w:bCs/>
          <w:i/>
          <w:szCs w:val="22"/>
          <w:lang w:val="es-ES_tradnl" w:eastAsia="es-MX"/>
        </w:rPr>
        <w:t>I al IV…</w:t>
      </w:r>
    </w:p>
    <w:p w14:paraId="36810D7C" w14:textId="77777777" w:rsidR="00C46907" w:rsidRPr="00C46907" w:rsidRDefault="00C46907" w:rsidP="00C46907">
      <w:pPr>
        <w:ind w:left="567" w:right="616"/>
        <w:jc w:val="both"/>
        <w:rPr>
          <w:rFonts w:ascii="Palatino Linotype" w:eastAsia="Calibri" w:hAnsi="Palatino Linotype" w:cs="Tahoma"/>
          <w:bCs/>
          <w:i/>
          <w:szCs w:val="22"/>
          <w:lang w:val="es-ES_tradnl" w:eastAsia="es-MX"/>
        </w:rPr>
      </w:pPr>
      <w:r w:rsidRPr="00C46907">
        <w:rPr>
          <w:rFonts w:ascii="Palatino Linotype" w:eastAsia="Calibri" w:hAnsi="Palatino Linotype" w:cs="Tahoma"/>
          <w:b/>
          <w:bCs/>
          <w:i/>
          <w:szCs w:val="22"/>
          <w:lang w:val="es-ES_tradnl" w:eastAsia="es-MX"/>
        </w:rPr>
        <w:lastRenderedPageBreak/>
        <w:t>V. Datos abiertos</w:t>
      </w:r>
      <w:r w:rsidRPr="00C46907">
        <w:rPr>
          <w:rFonts w:ascii="Palatino Linotype" w:eastAsia="Calibri" w:hAnsi="Palatino Linotype" w:cs="Tahoma"/>
          <w:bCs/>
          <w:i/>
          <w:szCs w:val="22"/>
          <w:lang w:val="es-ES_tradnl" w:eastAsia="es-MX"/>
        </w:rPr>
        <w:t xml:space="preserve">: los datos digitales de carácter público que son accesibles en línea, y pueden </w:t>
      </w:r>
      <w:r w:rsidRPr="00C46907">
        <w:rPr>
          <w:rFonts w:ascii="Palatino Linotype" w:eastAsia="Calibri" w:hAnsi="Palatino Linotype" w:cs="Tahoma"/>
          <w:b/>
          <w:bCs/>
          <w:i/>
          <w:szCs w:val="22"/>
          <w:u w:val="single"/>
          <w:lang w:val="es-ES_tradnl" w:eastAsia="es-MX"/>
        </w:rPr>
        <w:t>ser usados, reutilizados y redistribuidos</w:t>
      </w:r>
      <w:r w:rsidRPr="00C46907">
        <w:rPr>
          <w:rFonts w:ascii="Palatino Linotype" w:eastAsia="Calibri" w:hAnsi="Palatino Linotype" w:cs="Tahoma"/>
          <w:bCs/>
          <w:i/>
          <w:szCs w:val="22"/>
          <w:lang w:val="es-ES_tradnl" w:eastAsia="es-MX"/>
        </w:rPr>
        <w:t>, por cualquier interesado</w:t>
      </w:r>
    </w:p>
    <w:p w14:paraId="0FEF1BAD" w14:textId="77777777" w:rsidR="00C46907" w:rsidRPr="00C46907" w:rsidRDefault="00C46907" w:rsidP="00C46907">
      <w:pPr>
        <w:ind w:left="567" w:right="616"/>
        <w:jc w:val="both"/>
        <w:rPr>
          <w:rFonts w:ascii="Palatino Linotype" w:eastAsia="Calibri" w:hAnsi="Palatino Linotype" w:cs="Tahoma"/>
          <w:bCs/>
          <w:i/>
          <w:szCs w:val="22"/>
          <w:lang w:val="es-ES_tradnl" w:eastAsia="es-MX"/>
        </w:rPr>
      </w:pPr>
      <w:r w:rsidRPr="00C46907">
        <w:rPr>
          <w:rFonts w:ascii="Palatino Linotype" w:eastAsia="Calibri" w:hAnsi="Palatino Linotype" w:cs="Tahoma"/>
          <w:bCs/>
          <w:i/>
          <w:szCs w:val="22"/>
          <w:lang w:val="es-ES_tradnl" w:eastAsia="es-MX"/>
        </w:rPr>
        <w:t>VI al VIII…</w:t>
      </w:r>
    </w:p>
    <w:p w14:paraId="63057637" w14:textId="77777777" w:rsidR="00C46907" w:rsidRPr="00C46907" w:rsidRDefault="00C46907" w:rsidP="00C46907">
      <w:pPr>
        <w:ind w:left="567" w:right="616"/>
        <w:jc w:val="both"/>
        <w:rPr>
          <w:rFonts w:ascii="Palatino Linotype" w:eastAsia="Calibri" w:hAnsi="Palatino Linotype" w:cs="Tahoma"/>
          <w:bCs/>
          <w:i/>
          <w:szCs w:val="22"/>
          <w:lang w:val="es-ES_tradnl" w:eastAsia="es-MX"/>
        </w:rPr>
      </w:pPr>
      <w:r w:rsidRPr="00C46907">
        <w:rPr>
          <w:rFonts w:ascii="Palatino Linotype" w:eastAsia="Calibri" w:hAnsi="Palatino Linotype" w:cs="Tahoma"/>
          <w:b/>
          <w:bCs/>
          <w:i/>
          <w:szCs w:val="22"/>
          <w:lang w:val="es-ES_tradnl" w:eastAsia="es-MX"/>
        </w:rPr>
        <w:t>IX. Formato Abierto:</w:t>
      </w:r>
      <w:r w:rsidRPr="00C46907">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C46907">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C46907">
        <w:rPr>
          <w:rFonts w:ascii="Palatino Linotype" w:eastAsia="Calibri" w:hAnsi="Palatino Linotype" w:cs="Tahoma"/>
          <w:bCs/>
          <w:i/>
          <w:szCs w:val="22"/>
          <w:lang w:val="es-ES_tradnl" w:eastAsia="es-MX"/>
        </w:rPr>
        <w:t>;</w:t>
      </w:r>
    </w:p>
    <w:p w14:paraId="639508ED" w14:textId="77777777" w:rsidR="00C46907" w:rsidRPr="00C46907" w:rsidRDefault="00C46907" w:rsidP="00C46907">
      <w:pPr>
        <w:ind w:left="567" w:right="616"/>
        <w:jc w:val="both"/>
        <w:rPr>
          <w:rFonts w:ascii="Palatino Linotype" w:eastAsia="Calibri" w:hAnsi="Palatino Linotype" w:cs="Tahoma"/>
          <w:bCs/>
          <w:i/>
          <w:szCs w:val="22"/>
          <w:lang w:val="es-ES_tradnl" w:eastAsia="es-MX"/>
        </w:rPr>
      </w:pPr>
      <w:r w:rsidRPr="00C46907">
        <w:rPr>
          <w:rFonts w:ascii="Palatino Linotype" w:eastAsia="Calibri" w:hAnsi="Palatino Linotype" w:cs="Tahoma"/>
          <w:bCs/>
          <w:i/>
          <w:szCs w:val="22"/>
          <w:lang w:val="es-ES_tradnl" w:eastAsia="es-MX"/>
        </w:rPr>
        <w:t>X al XII…</w:t>
      </w:r>
    </w:p>
    <w:p w14:paraId="678449FB" w14:textId="77777777" w:rsidR="00C46907" w:rsidRPr="00C46907" w:rsidRDefault="00C46907" w:rsidP="00C46907">
      <w:pPr>
        <w:spacing w:line="360" w:lineRule="auto"/>
        <w:ind w:left="567"/>
        <w:jc w:val="both"/>
        <w:rPr>
          <w:rFonts w:ascii="Palatino Linotype" w:eastAsia="Calibri" w:hAnsi="Palatino Linotype" w:cs="Tahoma"/>
          <w:bCs/>
          <w:szCs w:val="22"/>
          <w:lang w:val="es-ES_tradnl" w:eastAsia="es-MX"/>
        </w:rPr>
      </w:pPr>
    </w:p>
    <w:p w14:paraId="591712E0" w14:textId="77777777" w:rsidR="00C46907" w:rsidRPr="00C46907" w:rsidRDefault="00C46907" w:rsidP="00C46907">
      <w:pPr>
        <w:spacing w:line="360" w:lineRule="auto"/>
        <w:jc w:val="both"/>
        <w:rPr>
          <w:rFonts w:ascii="Palatino Linotype" w:eastAsia="Calibri" w:hAnsi="Palatino Linotype" w:cs="Tahoma"/>
          <w:bCs/>
          <w:szCs w:val="22"/>
          <w:lang w:val="es-ES_tradnl" w:eastAsia="es-MX"/>
        </w:rPr>
      </w:pPr>
      <w:r w:rsidRPr="00C46907">
        <w:rPr>
          <w:rFonts w:ascii="Palatino Linotype" w:eastAsia="Calibri" w:hAnsi="Palatino Linotype" w:cs="Tahoma"/>
          <w:bCs/>
          <w:szCs w:val="22"/>
          <w:lang w:val="es-ES_tradnl" w:eastAsia="es-MX"/>
        </w:rPr>
        <w:t>Lo anterior, se robustece con lo dispuesto por la Ley de Transparencia y Acceso a la Información Pública del Estado de México y Municipios; la cual establece en su artículo 3°, fracción VIII, lo siguiente:</w:t>
      </w:r>
    </w:p>
    <w:p w14:paraId="653BFC68" w14:textId="77777777" w:rsidR="00C46907" w:rsidRPr="00C46907" w:rsidRDefault="00C46907" w:rsidP="00C46907">
      <w:pPr>
        <w:spacing w:line="360" w:lineRule="auto"/>
        <w:jc w:val="both"/>
        <w:rPr>
          <w:rFonts w:ascii="Palatino Linotype" w:eastAsia="Calibri" w:hAnsi="Palatino Linotype" w:cs="Tahoma"/>
          <w:bCs/>
          <w:szCs w:val="22"/>
          <w:lang w:val="es-ES_tradnl" w:eastAsia="es-MX"/>
        </w:rPr>
      </w:pPr>
    </w:p>
    <w:p w14:paraId="494F043D" w14:textId="77777777" w:rsidR="00C46907" w:rsidRPr="00C46907" w:rsidRDefault="00C46907" w:rsidP="00C46907">
      <w:pPr>
        <w:ind w:left="567" w:right="616"/>
        <w:jc w:val="both"/>
        <w:rPr>
          <w:rFonts w:ascii="Palatino Linotype" w:eastAsia="Calibri" w:hAnsi="Palatino Linotype" w:cs="Calibri"/>
          <w:b/>
          <w:i/>
          <w:szCs w:val="22"/>
          <w:lang w:val="es-ES_tradnl" w:eastAsia="es-MX"/>
        </w:rPr>
      </w:pPr>
      <w:r w:rsidRPr="00C46907">
        <w:rPr>
          <w:rFonts w:ascii="Palatino Linotype" w:eastAsia="Calibri" w:hAnsi="Palatino Linotype" w:cs="Calibri"/>
          <w:b/>
          <w:i/>
          <w:szCs w:val="22"/>
          <w:lang w:val="es-ES_tradnl" w:eastAsia="es-MX"/>
        </w:rPr>
        <w:t>Artículo 3. Para los efectos de la presente Ley se entenderá por:</w:t>
      </w:r>
    </w:p>
    <w:p w14:paraId="7762658F" w14:textId="77777777" w:rsidR="00C46907" w:rsidRPr="00C46907" w:rsidRDefault="00C46907" w:rsidP="00C46907">
      <w:pPr>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i/>
          <w:szCs w:val="22"/>
          <w:lang w:val="es-ES_tradnl" w:eastAsia="es-MX"/>
        </w:rPr>
        <w:t>I al VII…</w:t>
      </w:r>
    </w:p>
    <w:p w14:paraId="14DF1125" w14:textId="77777777" w:rsidR="00C46907" w:rsidRPr="00C46907" w:rsidRDefault="00C46907" w:rsidP="00C46907">
      <w:pPr>
        <w:ind w:left="567" w:right="616"/>
        <w:jc w:val="both"/>
        <w:rPr>
          <w:rFonts w:ascii="Palatino Linotype" w:eastAsia="Calibri" w:hAnsi="Palatino Linotype" w:cs="Tahoma"/>
          <w:bCs/>
          <w:i/>
          <w:szCs w:val="22"/>
          <w:lang w:val="es-ES_tradnl" w:eastAsia="es-MX"/>
        </w:rPr>
      </w:pPr>
      <w:r w:rsidRPr="00C46907">
        <w:rPr>
          <w:rFonts w:ascii="Palatino Linotype" w:eastAsia="Calibri" w:hAnsi="Palatino Linotype" w:cs="Calibri"/>
          <w:b/>
          <w:i/>
          <w:szCs w:val="22"/>
          <w:lang w:val="es-ES_tradnl" w:eastAsia="es-MX"/>
        </w:rPr>
        <w:t>VIII. Datos abiertos</w:t>
      </w:r>
      <w:r w:rsidRPr="00C46907">
        <w:rPr>
          <w:rFonts w:ascii="Palatino Linotype" w:eastAsia="Calibri" w:hAnsi="Palatino Linotype" w:cs="Calibri"/>
          <w:i/>
          <w:szCs w:val="22"/>
          <w:lang w:val="es-ES_tradnl" w:eastAsia="es-MX"/>
        </w:rPr>
        <w:t xml:space="preserve">: Los datos digitales de carácter público </w:t>
      </w:r>
      <w:r w:rsidRPr="00C46907">
        <w:rPr>
          <w:rFonts w:ascii="Palatino Linotype" w:eastAsia="Calibri" w:hAnsi="Palatino Linotype" w:cs="Calibri"/>
          <w:b/>
          <w:i/>
          <w:szCs w:val="22"/>
          <w:lang w:val="es-ES_tradnl" w:eastAsia="es-MX"/>
        </w:rPr>
        <w:t>que son accesibles</w:t>
      </w:r>
      <w:r w:rsidRPr="00C46907">
        <w:rPr>
          <w:rFonts w:ascii="Palatino Linotype" w:eastAsia="Calibri" w:hAnsi="Palatino Linotype" w:cs="Calibri"/>
          <w:i/>
          <w:szCs w:val="22"/>
          <w:lang w:val="es-ES_tradnl" w:eastAsia="es-MX"/>
        </w:rPr>
        <w:t xml:space="preserve"> en línea </w:t>
      </w:r>
      <w:r w:rsidRPr="00C46907">
        <w:rPr>
          <w:rFonts w:ascii="Palatino Linotype" w:eastAsia="Calibri" w:hAnsi="Palatino Linotype" w:cs="Calibri"/>
          <w:b/>
          <w:i/>
          <w:szCs w:val="22"/>
          <w:lang w:val="es-ES_tradnl" w:eastAsia="es-MX"/>
        </w:rPr>
        <w:t xml:space="preserve">que pueden </w:t>
      </w:r>
      <w:r w:rsidRPr="00C46907">
        <w:rPr>
          <w:rFonts w:ascii="Palatino Linotype" w:eastAsia="Calibri" w:hAnsi="Palatino Linotype" w:cs="Calibri"/>
          <w:b/>
          <w:i/>
          <w:szCs w:val="22"/>
          <w:u w:val="single"/>
          <w:lang w:val="es-ES_tradnl" w:eastAsia="es-MX"/>
        </w:rPr>
        <w:t>ser usados, reutilizados y redistribuidos</w:t>
      </w:r>
      <w:r w:rsidRPr="00C46907">
        <w:rPr>
          <w:rFonts w:ascii="Palatino Linotype" w:eastAsia="Calibri" w:hAnsi="Palatino Linotype" w:cs="Calibri"/>
          <w:i/>
          <w:szCs w:val="22"/>
          <w:lang w:val="es-ES_tradnl" w:eastAsia="es-MX"/>
        </w:rPr>
        <w:t xml:space="preserve"> por cualquier interesado y que tienen las siguientes características:</w:t>
      </w:r>
    </w:p>
    <w:p w14:paraId="4CA16506" w14:textId="77777777" w:rsidR="00C46907" w:rsidRPr="00C46907" w:rsidRDefault="00C46907" w:rsidP="00C46907">
      <w:pPr>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b/>
          <w:i/>
          <w:szCs w:val="22"/>
          <w:lang w:val="es-ES_tradnl" w:eastAsia="es-MX"/>
        </w:rPr>
        <w:t xml:space="preserve">a) Accesibles: </w:t>
      </w:r>
      <w:r w:rsidRPr="00C46907">
        <w:rPr>
          <w:rFonts w:ascii="Palatino Linotype" w:eastAsia="Calibri" w:hAnsi="Palatino Linotype" w:cs="Calibri"/>
          <w:i/>
          <w:szCs w:val="22"/>
          <w:lang w:val="es-ES_tradnl" w:eastAsia="es-MX"/>
        </w:rPr>
        <w:t>Los datos están disponibles para la gama más amplia de usuarios, para cualquier propósito;</w:t>
      </w:r>
    </w:p>
    <w:p w14:paraId="66AD73F0" w14:textId="77777777" w:rsidR="00C46907" w:rsidRPr="00C46907" w:rsidRDefault="00C46907" w:rsidP="00C46907">
      <w:pPr>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b/>
          <w:i/>
          <w:szCs w:val="22"/>
          <w:lang w:val="es-ES_tradnl" w:eastAsia="es-MX"/>
        </w:rPr>
        <w:t>b) Integrales</w:t>
      </w:r>
      <w:r w:rsidRPr="00C46907">
        <w:rPr>
          <w:rFonts w:ascii="Palatino Linotype" w:eastAsia="Calibri" w:hAnsi="Palatino Linotype" w:cs="Calibri"/>
          <w:i/>
          <w:szCs w:val="22"/>
          <w:lang w:val="es-ES_tradnl" w:eastAsia="es-MX"/>
        </w:rPr>
        <w:t>: Contienen el tema que describen a detalle y con los metadatos necesarios;</w:t>
      </w:r>
    </w:p>
    <w:p w14:paraId="2745B972" w14:textId="77777777" w:rsidR="00C46907" w:rsidRPr="00C46907" w:rsidRDefault="00C46907" w:rsidP="00C46907">
      <w:pPr>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b/>
          <w:i/>
          <w:szCs w:val="22"/>
          <w:lang w:val="es-ES_tradnl" w:eastAsia="es-MX"/>
        </w:rPr>
        <w:t>c) Gratuitos</w:t>
      </w:r>
      <w:r w:rsidRPr="00C46907">
        <w:rPr>
          <w:rFonts w:ascii="Palatino Linotype" w:eastAsia="Calibri" w:hAnsi="Palatino Linotype" w:cs="Calibri"/>
          <w:i/>
          <w:szCs w:val="22"/>
          <w:lang w:val="es-ES_tradnl" w:eastAsia="es-MX"/>
        </w:rPr>
        <w:t xml:space="preserve">: Se obtienen sin entregar a cambio contraprestación alguna; </w:t>
      </w:r>
    </w:p>
    <w:p w14:paraId="38E81C89" w14:textId="77777777" w:rsidR="00C46907" w:rsidRPr="00C46907" w:rsidRDefault="00C46907" w:rsidP="00C46907">
      <w:pPr>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b/>
          <w:i/>
          <w:szCs w:val="22"/>
          <w:lang w:val="es-ES_tradnl" w:eastAsia="es-MX"/>
        </w:rPr>
        <w:t>d) No discriminatorios:</w:t>
      </w:r>
      <w:r w:rsidRPr="00C46907">
        <w:rPr>
          <w:rFonts w:ascii="Palatino Linotype" w:eastAsia="Calibri" w:hAnsi="Palatino Linotype" w:cs="Calibri"/>
          <w:i/>
          <w:szCs w:val="22"/>
          <w:lang w:val="es-ES_tradnl" w:eastAsia="es-MX"/>
        </w:rPr>
        <w:t xml:space="preserve"> Los datos están disponibles para cualquier persona, sin necesidad de registro; </w:t>
      </w:r>
    </w:p>
    <w:p w14:paraId="3B9B909B" w14:textId="77777777" w:rsidR="00C46907" w:rsidRPr="00C46907" w:rsidRDefault="00C46907" w:rsidP="00C46907">
      <w:pPr>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b/>
          <w:i/>
          <w:szCs w:val="22"/>
          <w:lang w:val="es-ES_tradnl" w:eastAsia="es-MX"/>
        </w:rPr>
        <w:t>e) Oportunos</w:t>
      </w:r>
      <w:r w:rsidRPr="00C46907">
        <w:rPr>
          <w:rFonts w:ascii="Palatino Linotype" w:eastAsia="Calibri" w:hAnsi="Palatino Linotype" w:cs="Calibri"/>
          <w:i/>
          <w:szCs w:val="22"/>
          <w:lang w:val="es-ES_tradnl" w:eastAsia="es-MX"/>
        </w:rPr>
        <w:t xml:space="preserve">: Son actualizados, periódicamente, conforme se generen; </w:t>
      </w:r>
    </w:p>
    <w:p w14:paraId="5A07662B" w14:textId="77777777" w:rsidR="00C46907" w:rsidRPr="00C46907" w:rsidRDefault="00C46907" w:rsidP="00C46907">
      <w:pPr>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b/>
          <w:i/>
          <w:szCs w:val="22"/>
          <w:lang w:val="es-ES_tradnl" w:eastAsia="es-MX"/>
        </w:rPr>
        <w:t>f) Permanentes</w:t>
      </w:r>
      <w:r w:rsidRPr="00C46907">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14:paraId="68E773FC" w14:textId="77777777" w:rsidR="00C46907" w:rsidRPr="00C46907" w:rsidRDefault="00C46907" w:rsidP="00C46907">
      <w:pPr>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b/>
          <w:i/>
          <w:szCs w:val="22"/>
          <w:lang w:val="es-ES_tradnl" w:eastAsia="es-MX"/>
        </w:rPr>
        <w:t>g) Primarios</w:t>
      </w:r>
      <w:r w:rsidRPr="00C46907">
        <w:rPr>
          <w:rFonts w:ascii="Palatino Linotype" w:eastAsia="Calibri" w:hAnsi="Palatino Linotype" w:cs="Calibri"/>
          <w:i/>
          <w:szCs w:val="22"/>
          <w:lang w:val="es-ES_tradnl" w:eastAsia="es-MX"/>
        </w:rPr>
        <w:t xml:space="preserve">: Provienen de la fuente de origen con el máximo nivel de desagregación posible; </w:t>
      </w:r>
    </w:p>
    <w:p w14:paraId="125967C3" w14:textId="77777777" w:rsidR="00C46907" w:rsidRPr="00C46907" w:rsidRDefault="00C46907" w:rsidP="00C46907">
      <w:pPr>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b/>
          <w:i/>
          <w:szCs w:val="22"/>
          <w:lang w:val="es-ES_tradnl" w:eastAsia="es-MX"/>
        </w:rPr>
        <w:t>h) Legibles por máquinas</w:t>
      </w:r>
      <w:r w:rsidRPr="00C46907">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14:paraId="0AEE55D2" w14:textId="77777777" w:rsidR="00C46907" w:rsidRPr="00C46907" w:rsidRDefault="00C46907" w:rsidP="00C46907">
      <w:pPr>
        <w:ind w:left="567" w:right="616"/>
        <w:jc w:val="both"/>
        <w:rPr>
          <w:rFonts w:ascii="Palatino Linotype" w:eastAsia="Calibri" w:hAnsi="Palatino Linotype" w:cs="Calibri"/>
          <w:b/>
          <w:i/>
          <w:szCs w:val="22"/>
          <w:lang w:val="es-ES_tradnl" w:eastAsia="es-MX"/>
        </w:rPr>
      </w:pPr>
      <w:r w:rsidRPr="00C46907">
        <w:rPr>
          <w:rFonts w:ascii="Palatino Linotype" w:eastAsia="Calibri" w:hAnsi="Palatino Linotype" w:cs="Calibri"/>
          <w:b/>
          <w:i/>
          <w:szCs w:val="22"/>
          <w:lang w:val="es-ES_tradnl" w:eastAsia="es-MX"/>
        </w:rPr>
        <w:lastRenderedPageBreak/>
        <w:t>i) En formatos abiertos</w:t>
      </w:r>
      <w:r w:rsidRPr="00C46907">
        <w:rPr>
          <w:rFonts w:ascii="Palatino Linotype" w:eastAsia="Calibri" w:hAnsi="Palatino Linotype" w:cs="Calibri"/>
          <w:i/>
          <w:szCs w:val="22"/>
          <w:lang w:val="es-ES_tradnl" w:eastAsia="es-MX"/>
        </w:rPr>
        <w:t>: Los datos estarán disponibles c</w:t>
      </w:r>
      <w:r w:rsidRPr="00C46907">
        <w:rPr>
          <w:rFonts w:ascii="Palatino Linotype" w:eastAsia="Calibri" w:hAnsi="Palatino Linotype" w:cs="Calibri"/>
          <w:b/>
          <w:i/>
          <w:szCs w:val="22"/>
          <w:lang w:val="es-ES_tradnl" w:eastAsia="es-MX"/>
        </w:rPr>
        <w:t xml:space="preserve">on el conjunto de características técnicas y de presentación </w:t>
      </w:r>
      <w:r w:rsidRPr="00C46907">
        <w:rPr>
          <w:rFonts w:ascii="Palatino Linotype" w:eastAsia="Calibri" w:hAnsi="Palatino Linotype" w:cs="Calibri"/>
          <w:i/>
          <w:szCs w:val="22"/>
          <w:lang w:val="es-ES_tradnl" w:eastAsia="es-MX"/>
        </w:rPr>
        <w:t xml:space="preserve">que corresponden a la estructura lógica usada para almacenar datos en un archivo digital, </w:t>
      </w:r>
      <w:r w:rsidRPr="00C46907">
        <w:rPr>
          <w:rFonts w:ascii="Palatino Linotype" w:eastAsia="Calibri" w:hAnsi="Palatino Linotype" w:cs="Calibri"/>
          <w:b/>
          <w:i/>
          <w:szCs w:val="22"/>
          <w:lang w:val="es-ES_tradnl" w:eastAsia="es-MX"/>
        </w:rPr>
        <w:t>cuyas especificaciones técnicas están disponibles públicamente</w:t>
      </w:r>
      <w:r w:rsidRPr="00C46907">
        <w:rPr>
          <w:rFonts w:ascii="Palatino Linotype" w:eastAsia="Calibri" w:hAnsi="Palatino Linotype" w:cs="Calibri"/>
          <w:i/>
          <w:szCs w:val="22"/>
          <w:lang w:val="es-ES_tradnl" w:eastAsia="es-MX"/>
        </w:rPr>
        <w:t xml:space="preserve">, que </w:t>
      </w:r>
      <w:r w:rsidRPr="00C46907">
        <w:rPr>
          <w:rFonts w:ascii="Palatino Linotype" w:eastAsia="Calibri" w:hAnsi="Palatino Linotype" w:cs="Calibri"/>
          <w:b/>
          <w:i/>
          <w:szCs w:val="22"/>
          <w:lang w:val="es-ES_tradnl" w:eastAsia="es-MX"/>
        </w:rPr>
        <w:t xml:space="preserve">no suponen una dificultad de acceso y </w:t>
      </w:r>
      <w:r w:rsidRPr="00C46907">
        <w:rPr>
          <w:rFonts w:ascii="Palatino Linotype" w:eastAsia="Calibri" w:hAnsi="Palatino Linotype" w:cs="Calibri"/>
          <w:b/>
          <w:i/>
          <w:szCs w:val="22"/>
          <w:u w:val="single"/>
          <w:lang w:val="es-ES_tradnl" w:eastAsia="es-MX"/>
        </w:rPr>
        <w:t>que su aplicación y reproducción no estén condicionadas</w:t>
      </w:r>
      <w:r w:rsidRPr="00C46907">
        <w:rPr>
          <w:rFonts w:ascii="Palatino Linotype" w:eastAsia="Calibri" w:hAnsi="Palatino Linotype" w:cs="Calibri"/>
          <w:b/>
          <w:i/>
          <w:szCs w:val="22"/>
          <w:lang w:val="es-ES_tradnl" w:eastAsia="es-MX"/>
        </w:rPr>
        <w:t xml:space="preserve"> a contraprestación alguna; y </w:t>
      </w:r>
    </w:p>
    <w:p w14:paraId="745F12AE" w14:textId="77777777" w:rsidR="00C46907" w:rsidRPr="00C46907" w:rsidRDefault="00C46907" w:rsidP="00C46907">
      <w:pPr>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b/>
          <w:i/>
          <w:szCs w:val="22"/>
          <w:lang w:val="es-ES_tradnl" w:eastAsia="es-MX"/>
        </w:rPr>
        <w:t>j) De libre uso:</w:t>
      </w:r>
      <w:r w:rsidRPr="00C46907">
        <w:rPr>
          <w:rFonts w:ascii="Palatino Linotype" w:eastAsia="Calibri" w:hAnsi="Palatino Linotype" w:cs="Calibri"/>
          <w:i/>
          <w:szCs w:val="22"/>
          <w:lang w:val="es-ES_tradnl" w:eastAsia="es-MX"/>
        </w:rPr>
        <w:t xml:space="preserve"> Citan la fuente de origen como único requerimiento para ser utilizados libremente.</w:t>
      </w:r>
    </w:p>
    <w:p w14:paraId="7E5CA2A8" w14:textId="77777777" w:rsidR="00C46907" w:rsidRPr="00C46907" w:rsidRDefault="00C46907" w:rsidP="00C46907">
      <w:pPr>
        <w:spacing w:line="360" w:lineRule="auto"/>
        <w:ind w:left="567" w:right="616"/>
        <w:jc w:val="both"/>
        <w:rPr>
          <w:rFonts w:ascii="Palatino Linotype" w:eastAsia="Calibri" w:hAnsi="Palatino Linotype" w:cs="Calibri"/>
          <w:i/>
          <w:szCs w:val="22"/>
          <w:lang w:val="es-ES_tradnl" w:eastAsia="es-MX"/>
        </w:rPr>
      </w:pPr>
      <w:r w:rsidRPr="00C46907">
        <w:rPr>
          <w:rFonts w:ascii="Palatino Linotype" w:eastAsia="Calibri" w:hAnsi="Palatino Linotype" w:cs="Calibri"/>
          <w:i/>
          <w:szCs w:val="22"/>
          <w:lang w:val="es-ES_tradnl" w:eastAsia="es-MX"/>
        </w:rPr>
        <w:t>IX al XLV…</w:t>
      </w:r>
    </w:p>
    <w:p w14:paraId="42D8F434" w14:textId="77777777" w:rsidR="00C46907" w:rsidRDefault="00C46907" w:rsidP="00BC2C41">
      <w:pPr>
        <w:spacing w:line="360" w:lineRule="auto"/>
        <w:jc w:val="both"/>
        <w:rPr>
          <w:rFonts w:ascii="Palatino Linotype" w:hAnsi="Palatino Linotype" w:cs="Arial"/>
        </w:rPr>
      </w:pPr>
    </w:p>
    <w:p w14:paraId="181D3B65" w14:textId="77777777" w:rsidR="00C46907" w:rsidRDefault="00487D1B" w:rsidP="00BC2C41">
      <w:pPr>
        <w:spacing w:line="360" w:lineRule="auto"/>
        <w:jc w:val="both"/>
        <w:rPr>
          <w:rFonts w:ascii="Palatino Linotype" w:hAnsi="Palatino Linotype" w:cs="Arial"/>
        </w:rPr>
      </w:pPr>
      <w:r>
        <w:rPr>
          <w:rFonts w:ascii="Palatino Linotype" w:hAnsi="Palatino Linotype" w:cs="Arial"/>
        </w:rPr>
        <w:t>Sin embargo, el Presidente Municipal dio una rueda de prensa el 13 de febrero de dos mil veinticinco, misma que fue transmitida en vivo mediante su cuenta de Facebook, y en la que el Presidente refirió que en administraciones anteriores se destinaron</w:t>
      </w:r>
      <w:r w:rsidR="00D524C7">
        <w:rPr>
          <w:rFonts w:ascii="Palatino Linotype" w:hAnsi="Palatino Linotype" w:cs="Arial"/>
        </w:rPr>
        <w:t xml:space="preserve"> de 10 a 12 millones (minuto 43:23)</w:t>
      </w:r>
    </w:p>
    <w:p w14:paraId="347C56A0" w14:textId="77777777" w:rsidR="00487D1B" w:rsidRDefault="0055535A" w:rsidP="00BC2C41">
      <w:pPr>
        <w:spacing w:line="360" w:lineRule="auto"/>
        <w:jc w:val="both"/>
        <w:rPr>
          <w:rFonts w:ascii="Palatino Linotype" w:hAnsi="Palatino Linotype" w:cs="Arial"/>
        </w:rPr>
      </w:pPr>
      <w:hyperlink r:id="rId8" w:history="1">
        <w:r w:rsidR="00487D1B" w:rsidRPr="00E412E4">
          <w:rPr>
            <w:rStyle w:val="Hipervnculo"/>
            <w:rFonts w:ascii="Palatino Linotype" w:hAnsi="Palatino Linotype" w:cs="Arial"/>
          </w:rPr>
          <w:t>https://www.facebook.com/OmarGSanchezV/videos/1002519555026951</w:t>
        </w:r>
      </w:hyperlink>
    </w:p>
    <w:p w14:paraId="2114162A" w14:textId="77777777" w:rsidR="00487D1B" w:rsidRDefault="00487D1B" w:rsidP="00D524C7">
      <w:pPr>
        <w:spacing w:line="360" w:lineRule="auto"/>
        <w:rPr>
          <w:rFonts w:ascii="Palatino Linotype" w:hAnsi="Palatino Linotype" w:cs="Arial"/>
        </w:rPr>
      </w:pPr>
      <w:r>
        <w:rPr>
          <w:rFonts w:ascii="Palatino Linotype" w:hAnsi="Palatino Linotype" w:cs="Arial"/>
          <w:noProof/>
          <w:lang w:val="es-MX" w:eastAsia="es-MX"/>
        </w:rPr>
        <w:drawing>
          <wp:inline distT="0" distB="0" distL="0" distR="0" wp14:anchorId="0F4662A4" wp14:editId="75107871">
            <wp:extent cx="2620191" cy="260985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7-01 at 1.41.15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2832" cy="2622441"/>
                    </a:xfrm>
                    <a:prstGeom prst="rect">
                      <a:avLst/>
                    </a:prstGeom>
                  </pic:spPr>
                </pic:pic>
              </a:graphicData>
            </a:graphic>
          </wp:inline>
        </w:drawing>
      </w:r>
      <w:r w:rsidR="00D524C7">
        <w:rPr>
          <w:rFonts w:ascii="Palatino Linotype" w:hAnsi="Palatino Linotype" w:cs="Arial"/>
          <w:noProof/>
          <w:lang w:val="es-MX" w:eastAsia="es-MX"/>
        </w:rPr>
        <w:drawing>
          <wp:inline distT="0" distB="0" distL="0" distR="0" wp14:anchorId="11E63197" wp14:editId="4709272D">
            <wp:extent cx="3051751" cy="22383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FCA167.tmp"/>
                    <pic:cNvPicPr/>
                  </pic:nvPicPr>
                  <pic:blipFill>
                    <a:blip r:embed="rId10">
                      <a:extLst>
                        <a:ext uri="{28A0092B-C50C-407E-A947-70E740481C1C}">
                          <a14:useLocalDpi xmlns:a14="http://schemas.microsoft.com/office/drawing/2010/main" val="0"/>
                        </a:ext>
                      </a:extLst>
                    </a:blip>
                    <a:stretch>
                      <a:fillRect/>
                    </a:stretch>
                  </pic:blipFill>
                  <pic:spPr>
                    <a:xfrm>
                      <a:off x="0" y="0"/>
                      <a:ext cx="3081841" cy="2260445"/>
                    </a:xfrm>
                    <a:prstGeom prst="rect">
                      <a:avLst/>
                    </a:prstGeom>
                  </pic:spPr>
                </pic:pic>
              </a:graphicData>
            </a:graphic>
          </wp:inline>
        </w:drawing>
      </w:r>
    </w:p>
    <w:p w14:paraId="1AA2FB2A" w14:textId="77777777" w:rsidR="00D524C7" w:rsidRDefault="00D524C7" w:rsidP="00D524C7">
      <w:pPr>
        <w:spacing w:line="360" w:lineRule="auto"/>
        <w:rPr>
          <w:rFonts w:ascii="Palatino Linotype" w:hAnsi="Palatino Linotype" w:cs="Arial"/>
        </w:rPr>
      </w:pPr>
    </w:p>
    <w:p w14:paraId="798A2CAE" w14:textId="77777777" w:rsidR="00487D1B" w:rsidRPr="00566BA1" w:rsidRDefault="00487D1B" w:rsidP="00487D1B">
      <w:pPr>
        <w:spacing w:line="360" w:lineRule="auto"/>
        <w:jc w:val="both"/>
        <w:rPr>
          <w:rFonts w:ascii="Palatino Linotype" w:eastAsia="Palatino Linotype" w:hAnsi="Palatino Linotype" w:cs="Palatino Linotype"/>
        </w:rPr>
      </w:pPr>
      <w:r w:rsidRPr="00F12C09">
        <w:rPr>
          <w:rFonts w:ascii="Palatino Linotype" w:eastAsia="Palatino Linotype" w:hAnsi="Palatino Linotype" w:cs="Palatino Linotype"/>
        </w:rPr>
        <w:t xml:space="preserve">Con base a lo anterior, podemos concluir que </w:t>
      </w:r>
      <w:r>
        <w:rPr>
          <w:rFonts w:ascii="Palatino Linotype" w:eastAsia="Palatino Linotype" w:hAnsi="Palatino Linotype" w:cs="Palatino Linotype"/>
        </w:rPr>
        <w:t>el Presidente Municipal</w:t>
      </w:r>
      <w:r w:rsidRPr="00A357B2">
        <w:rPr>
          <w:rFonts w:ascii="Palatino Linotype" w:eastAsia="Palatino Linotype" w:hAnsi="Palatino Linotype" w:cs="Palatino Linotype"/>
        </w:rPr>
        <w:t xml:space="preserve"> </w:t>
      </w:r>
      <w:r>
        <w:rPr>
          <w:rFonts w:ascii="Palatino Linotype" w:eastAsia="Palatino Linotype" w:hAnsi="Palatino Linotype" w:cs="Palatino Linotype"/>
        </w:rPr>
        <w:t xml:space="preserve">realizó una transmisión en vivo </w:t>
      </w:r>
      <w:r w:rsidR="00D1307A">
        <w:rPr>
          <w:rFonts w:ascii="Palatino Linotype" w:eastAsia="Palatino Linotype" w:hAnsi="Palatino Linotype" w:cs="Palatino Linotype"/>
        </w:rPr>
        <w:t>sobre el</w:t>
      </w:r>
      <w:r>
        <w:rPr>
          <w:rFonts w:ascii="Palatino Linotype" w:eastAsia="Palatino Linotype" w:hAnsi="Palatino Linotype" w:cs="Palatino Linotype"/>
        </w:rPr>
        <w:t xml:space="preserve"> festejo ya referido, </w:t>
      </w:r>
      <w:r w:rsidRPr="00F12C09">
        <w:rPr>
          <w:rFonts w:ascii="Palatino Linotype" w:eastAsia="Palatino Linotype" w:hAnsi="Palatino Linotype" w:cs="Palatino Linotype"/>
        </w:rPr>
        <w:t xml:space="preserve">sirve de sustento a lo anterior </w:t>
      </w:r>
      <w:r w:rsidRPr="00F12C09">
        <w:rPr>
          <w:rFonts w:ascii="Palatino Linotype" w:eastAsia="Palatino Linotype" w:hAnsi="Palatino Linotype" w:cs="Palatino Linotype"/>
          <w:color w:val="000000"/>
        </w:rPr>
        <w:t>las siguientes tesis jurisprudenciales</w:t>
      </w:r>
      <w:r w:rsidRPr="00F12C09">
        <w:rPr>
          <w:rFonts w:ascii="Palatino Linotype" w:eastAsia="Palatino Linotype" w:hAnsi="Palatino Linotype" w:cs="Palatino Linotype"/>
        </w:rPr>
        <w:t>:</w:t>
      </w:r>
    </w:p>
    <w:p w14:paraId="44E118C8" w14:textId="77777777" w:rsidR="00487D1B" w:rsidRPr="00F12C09" w:rsidRDefault="00487D1B" w:rsidP="00487D1B">
      <w:pPr>
        <w:pStyle w:val="INFOEM"/>
        <w:jc w:val="center"/>
        <w:rPr>
          <w:b/>
        </w:rPr>
      </w:pPr>
      <w:r w:rsidRPr="00F12C09">
        <w:rPr>
          <w:b/>
        </w:rPr>
        <w:lastRenderedPageBreak/>
        <w:t>HECHOS NOTORIOS. CONCEPTOS GENERAL Y JURÍDICO</w:t>
      </w:r>
    </w:p>
    <w:p w14:paraId="0A807704" w14:textId="77777777" w:rsidR="00487D1B" w:rsidRPr="00F12C09" w:rsidRDefault="00487D1B" w:rsidP="00487D1B">
      <w:pPr>
        <w:pStyle w:val="INFOEM"/>
      </w:pPr>
      <w:r w:rsidRPr="00F12C09">
        <w:t xml:space="preserve">Conforme al artículo </w:t>
      </w:r>
      <w:hyperlink r:id="rId11">
        <w:r w:rsidRPr="00F12C09">
          <w:t>88 del Código Federal de Procedimientos Civiles</w:t>
        </w:r>
      </w:hyperlink>
      <w:r w:rsidRPr="00F12C09">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7D629D6E" w14:textId="77777777" w:rsidR="00487D1B" w:rsidRPr="00F12C09" w:rsidRDefault="00487D1B" w:rsidP="00487D1B">
      <w:pPr>
        <w:pStyle w:val="INFOEM"/>
      </w:pPr>
      <w:r w:rsidRPr="00F12C09">
        <w:t>Controversia constitucional 24/2005. Cámara de Diputados del Congreso de la Unión. 9 de marzo de 2006. Once votos. Ponente: José Ramón Cossío Díaz. Secretarios: Raúl Manuel Mejía Garza y Laura Patricia Rojas Zamudio.</w:t>
      </w:r>
    </w:p>
    <w:p w14:paraId="4B3E8204" w14:textId="77777777" w:rsidR="00487D1B" w:rsidRDefault="00487D1B" w:rsidP="00487D1B">
      <w:pPr>
        <w:pStyle w:val="INFOEM"/>
      </w:pPr>
      <w:r w:rsidRPr="00F12C09">
        <w:t>El Tribunal Pleno, el dieciséis de mayo en curso, aprobó, con el número 74/2006, la tesis jurisprudencial que antecede. México, Distrito Federal, a dieciséis de mayo de dos mil seis.</w:t>
      </w:r>
    </w:p>
    <w:p w14:paraId="380EB370" w14:textId="77777777" w:rsidR="00487D1B" w:rsidRPr="00F12C09" w:rsidRDefault="00487D1B" w:rsidP="00487D1B">
      <w:pPr>
        <w:pStyle w:val="INFOEM"/>
      </w:pPr>
      <w:r w:rsidRPr="00F12C09">
        <w:t>Nota: Esta tesis fue objeto de la denuncia relativa a la contradicción de tesis 91/2014, desechada por notoriamente improcedente, mediante acuerdo de 24 de marzo de 2014.”</w:t>
      </w:r>
    </w:p>
    <w:p w14:paraId="27069D51" w14:textId="77777777" w:rsidR="00487D1B" w:rsidRDefault="00487D1B" w:rsidP="00487D1B">
      <w:pPr>
        <w:pStyle w:val="INFOEM"/>
        <w:rPr>
          <w:sz w:val="24"/>
          <w:szCs w:val="24"/>
        </w:rPr>
      </w:pPr>
      <w:r w:rsidRPr="00923A83">
        <w:rPr>
          <w:b/>
          <w:sz w:val="24"/>
          <w:szCs w:val="24"/>
          <w:u w:val="single"/>
        </w:rPr>
        <w:t xml:space="preserve">PÁGINAS WEB O ELECTRÓNICAS. SU CONTENIDO ES UN HECHO NOTORIO Y SUSCEPTIBLE DE SER VALORADO EN UNA </w:t>
      </w:r>
      <w:r w:rsidRPr="00923A83">
        <w:rPr>
          <w:b/>
          <w:sz w:val="24"/>
          <w:szCs w:val="24"/>
          <w:u w:val="single"/>
        </w:rPr>
        <w:lastRenderedPageBreak/>
        <w:t>DECISIÓN JUDICIAL</w:t>
      </w:r>
      <w:r w:rsidRPr="00F12C09">
        <w:rPr>
          <w:b/>
          <w:sz w:val="24"/>
          <w:szCs w:val="24"/>
        </w:rPr>
        <w:t>.</w:t>
      </w:r>
      <w:r w:rsidRPr="00F12C09">
        <w:rPr>
          <w:rFonts w:ascii="Times New Roman" w:eastAsia="Times New Roman" w:hAnsi="Times New Roman" w:cs="Times New Roman"/>
          <w:b/>
          <w:sz w:val="24"/>
          <w:szCs w:val="24"/>
        </w:rPr>
        <w:t xml:space="preserve"> </w:t>
      </w:r>
      <w:r w:rsidRPr="00F12C09">
        <w:rPr>
          <w:sz w:val="24"/>
          <w:szCs w:val="24"/>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43CDE6CC" w14:textId="77777777" w:rsidR="00487D1B" w:rsidRDefault="00487D1B" w:rsidP="00487D1B">
      <w:pPr>
        <w:pStyle w:val="INFOEM"/>
        <w:rPr>
          <w:sz w:val="24"/>
          <w:szCs w:val="24"/>
        </w:rPr>
      </w:pPr>
      <w:r w:rsidRPr="00F12C09">
        <w:rPr>
          <w:sz w:val="24"/>
          <w:szCs w:val="24"/>
        </w:rPr>
        <w:t xml:space="preserve">TERCER TRIBUNAL COLEGIADO EN MATERIA CIVIL DEL PRIMER CIRCUITO. Amparo en revisión 365/2012. </w:t>
      </w:r>
      <w:proofErr w:type="spellStart"/>
      <w:r w:rsidRPr="00F12C09">
        <w:rPr>
          <w:sz w:val="24"/>
          <w:szCs w:val="24"/>
        </w:rPr>
        <w:t>Mardygras</w:t>
      </w:r>
      <w:proofErr w:type="spellEnd"/>
      <w:r w:rsidRPr="00F12C09">
        <w:rPr>
          <w:sz w:val="24"/>
          <w:szCs w:val="24"/>
        </w:rPr>
        <w:t xml:space="preserve">, S.A. de C.V. 7 de diciembre de 2012. Unanimidad de votos. Ponente: Neófito López Ramos. Secretaria: Ana Lilia Osorno Arroyo. </w:t>
      </w:r>
    </w:p>
    <w:p w14:paraId="4D1BE6B1" w14:textId="77777777" w:rsidR="00487D1B" w:rsidRDefault="00EB4532" w:rsidP="00BC2C41">
      <w:pPr>
        <w:spacing w:line="360" w:lineRule="auto"/>
        <w:jc w:val="both"/>
        <w:rPr>
          <w:rFonts w:ascii="Palatino Linotype" w:hAnsi="Palatino Linotype" w:cs="Arial"/>
        </w:rPr>
      </w:pPr>
      <w:r>
        <w:rPr>
          <w:rFonts w:ascii="Palatino Linotype" w:hAnsi="Palatino Linotype" w:cs="Arial"/>
        </w:rPr>
        <w:lastRenderedPageBreak/>
        <w:t>Por lo anterior se tienen las siguientes consideraciones:</w:t>
      </w:r>
    </w:p>
    <w:p w14:paraId="426DF230" w14:textId="77777777" w:rsidR="00EB4532" w:rsidRDefault="00EB4532" w:rsidP="00EB4532">
      <w:pPr>
        <w:pStyle w:val="Prrafodelista"/>
        <w:numPr>
          <w:ilvl w:val="0"/>
          <w:numId w:val="37"/>
        </w:numPr>
        <w:spacing w:line="360" w:lineRule="auto"/>
        <w:jc w:val="both"/>
        <w:rPr>
          <w:rFonts w:ascii="Palatino Linotype" w:hAnsi="Palatino Linotype" w:cs="Arial"/>
        </w:rPr>
      </w:pPr>
      <w:r>
        <w:rPr>
          <w:rFonts w:ascii="Palatino Linotype" w:hAnsi="Palatino Linotype" w:cs="Arial"/>
        </w:rPr>
        <w:t>El Presupuesto de Egresos Municipal es aprobado por el Cabildo.</w:t>
      </w:r>
    </w:p>
    <w:p w14:paraId="0EF0E5C5" w14:textId="77777777" w:rsidR="00EB4532" w:rsidRDefault="00EB4532" w:rsidP="00EB4532">
      <w:pPr>
        <w:pStyle w:val="Prrafodelista"/>
        <w:numPr>
          <w:ilvl w:val="0"/>
          <w:numId w:val="37"/>
        </w:numPr>
        <w:spacing w:line="360" w:lineRule="auto"/>
        <w:jc w:val="both"/>
        <w:rPr>
          <w:rFonts w:ascii="Palatino Linotype" w:hAnsi="Palatino Linotype" w:cs="Arial"/>
        </w:rPr>
      </w:pPr>
      <w:r>
        <w:rPr>
          <w:rFonts w:ascii="Palatino Linotype" w:hAnsi="Palatino Linotype" w:cs="Arial"/>
        </w:rPr>
        <w:t>Dicho presupuesto debe contener las previsiones de gasto público que habrán de realizar los municipios.</w:t>
      </w:r>
    </w:p>
    <w:p w14:paraId="4AAB713C" w14:textId="77777777" w:rsidR="00EB4532" w:rsidRPr="00EB4532" w:rsidRDefault="00EB4532" w:rsidP="00EB4532">
      <w:pPr>
        <w:pStyle w:val="Prrafodelista"/>
        <w:numPr>
          <w:ilvl w:val="0"/>
          <w:numId w:val="37"/>
        </w:numPr>
        <w:spacing w:line="360" w:lineRule="auto"/>
        <w:jc w:val="both"/>
        <w:rPr>
          <w:rFonts w:ascii="Palatino Linotype" w:hAnsi="Palatino Linotype" w:cs="Arial"/>
        </w:rPr>
      </w:pPr>
      <w:r>
        <w:rPr>
          <w:rFonts w:ascii="Palatino Linotype" w:hAnsi="Palatino Linotype" w:cs="Arial"/>
          <w:noProof/>
          <w:lang w:val="es-MX" w:eastAsia="es-MX"/>
        </w:rPr>
        <w:t xml:space="preserve">El Presidente Municipal emitió un pronunciamiento relacionado con la solicitud de información, es decir, refirió que en administraciones pasadas se destinaban de 10 a 12 millones de pesos, lo que constituye un hecho notorio. </w:t>
      </w:r>
    </w:p>
    <w:p w14:paraId="2E23ED41" w14:textId="77777777" w:rsidR="00EB4532" w:rsidRDefault="00EB4532" w:rsidP="00BC2C41">
      <w:pPr>
        <w:spacing w:line="360" w:lineRule="auto"/>
        <w:jc w:val="both"/>
        <w:rPr>
          <w:rFonts w:ascii="Palatino Linotype" w:hAnsi="Palatino Linotype" w:cs="Arial"/>
        </w:rPr>
      </w:pPr>
    </w:p>
    <w:p w14:paraId="3351A404" w14:textId="77777777" w:rsidR="00BC2C41" w:rsidRPr="009E63DA" w:rsidRDefault="00BC2C41" w:rsidP="00BC2C41">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5E0DF947" w14:textId="77777777" w:rsidR="00BC2C41" w:rsidRPr="009E63DA" w:rsidRDefault="00BC2C41" w:rsidP="00BC2C41">
      <w:pPr>
        <w:ind w:left="567" w:right="567"/>
        <w:jc w:val="both"/>
        <w:rPr>
          <w:rFonts w:ascii="Palatino Linotype" w:hAnsi="Palatino Linotype"/>
        </w:rPr>
      </w:pPr>
    </w:p>
    <w:p w14:paraId="5921121A" w14:textId="77777777" w:rsidR="00BC2C41" w:rsidRPr="009E63DA" w:rsidRDefault="00BC2C41" w:rsidP="00BC2C41">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64C04C34" w14:textId="77777777" w:rsidR="00BC2C41" w:rsidRPr="009E63DA" w:rsidRDefault="00BC2C41" w:rsidP="00BC2C41">
      <w:pPr>
        <w:ind w:left="851" w:right="851"/>
        <w:jc w:val="both"/>
        <w:rPr>
          <w:rFonts w:ascii="Palatino Linotype" w:hAnsi="Palatino Linotype"/>
          <w:i/>
        </w:rPr>
      </w:pPr>
      <w:r w:rsidRPr="009E63DA">
        <w:rPr>
          <w:rFonts w:ascii="Palatino Linotype" w:hAnsi="Palatino Linotype"/>
          <w:i/>
        </w:rPr>
        <w:t>…</w:t>
      </w:r>
    </w:p>
    <w:p w14:paraId="40386226" w14:textId="77777777" w:rsidR="00BC2C41" w:rsidRPr="009E63DA" w:rsidRDefault="00BC2C41" w:rsidP="00BC2C41">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4E1A1DED" w14:textId="77777777" w:rsidR="00BC2C41" w:rsidRPr="009E63DA" w:rsidRDefault="00BC2C41" w:rsidP="00BC2C41">
      <w:pPr>
        <w:ind w:left="851" w:right="851"/>
        <w:jc w:val="both"/>
        <w:rPr>
          <w:rFonts w:ascii="Palatino Linotype" w:hAnsi="Palatino Linotype"/>
          <w:i/>
        </w:rPr>
      </w:pPr>
    </w:p>
    <w:p w14:paraId="5AFAE9EF" w14:textId="77777777" w:rsidR="00BC2C41" w:rsidRPr="009E63DA" w:rsidRDefault="00BC2C41" w:rsidP="00BC2C41">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ED51AF" w14:textId="77777777" w:rsidR="00BC2C41" w:rsidRPr="009E63DA" w:rsidRDefault="00BC2C41" w:rsidP="00BC2C41">
      <w:pPr>
        <w:ind w:left="851" w:right="851"/>
        <w:jc w:val="both"/>
        <w:rPr>
          <w:rFonts w:ascii="Palatino Linotype" w:hAnsi="Palatino Linotype"/>
          <w:bCs/>
          <w:i/>
        </w:rPr>
      </w:pPr>
    </w:p>
    <w:p w14:paraId="39639AF0" w14:textId="77777777" w:rsidR="00BC2C41" w:rsidRPr="009E63DA" w:rsidRDefault="00BC2C41" w:rsidP="00BC2C41">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w:t>
      </w:r>
      <w:r w:rsidRPr="009E63DA">
        <w:rPr>
          <w:rFonts w:ascii="Palatino Linotype" w:hAnsi="Palatino Linotype"/>
          <w:bCs/>
          <w:i/>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3BC666" w14:textId="77777777" w:rsidR="00BC2C41" w:rsidRPr="009E63DA" w:rsidRDefault="00BC2C41" w:rsidP="00BC2C41">
      <w:pPr>
        <w:ind w:left="851" w:right="851"/>
        <w:jc w:val="both"/>
        <w:rPr>
          <w:rFonts w:ascii="Palatino Linotype" w:hAnsi="Palatino Linotype"/>
          <w:bCs/>
          <w:i/>
        </w:rPr>
      </w:pPr>
    </w:p>
    <w:p w14:paraId="39370F65" w14:textId="77777777" w:rsidR="00BC2C41" w:rsidRPr="009E63DA" w:rsidRDefault="00BC2C41" w:rsidP="00BC2C41">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10567574" w14:textId="77777777" w:rsidR="00BC2C41" w:rsidRPr="009E63DA" w:rsidRDefault="00BC2C41" w:rsidP="00BC2C41">
      <w:pPr>
        <w:ind w:left="851" w:right="851"/>
        <w:jc w:val="both"/>
        <w:rPr>
          <w:rFonts w:ascii="Palatino Linotype" w:hAnsi="Palatino Linotype"/>
          <w:i/>
        </w:rPr>
      </w:pPr>
    </w:p>
    <w:p w14:paraId="5FE49BDC" w14:textId="77777777" w:rsidR="00BC2C41" w:rsidRPr="009E63DA" w:rsidRDefault="00BC2C41" w:rsidP="00BC2C41">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03C3404" w14:textId="77777777" w:rsidR="00BC2C41" w:rsidRPr="009E63DA" w:rsidRDefault="00BC2C41" w:rsidP="00BC2C41">
      <w:pPr>
        <w:ind w:left="851" w:right="851"/>
        <w:jc w:val="both"/>
        <w:rPr>
          <w:rFonts w:ascii="Palatino Linotype" w:hAnsi="Palatino Linotype"/>
          <w:i/>
        </w:rPr>
      </w:pPr>
    </w:p>
    <w:p w14:paraId="00A46947" w14:textId="77777777" w:rsidR="00BC2C41" w:rsidRPr="009E63DA" w:rsidRDefault="00BC2C41" w:rsidP="00BC2C41">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3E678AE1" w14:textId="77777777" w:rsidR="00BC2C41" w:rsidRPr="009E63DA" w:rsidRDefault="00BC2C41" w:rsidP="00BC2C41">
      <w:pPr>
        <w:jc w:val="both"/>
        <w:rPr>
          <w:rFonts w:ascii="Palatino Linotype" w:hAnsi="Palatino Linotype"/>
        </w:rPr>
      </w:pPr>
    </w:p>
    <w:p w14:paraId="2547BB86" w14:textId="77777777" w:rsidR="00BC2C41" w:rsidRDefault="00BC2C41" w:rsidP="00BC2C41">
      <w:pPr>
        <w:spacing w:line="360" w:lineRule="auto"/>
        <w:jc w:val="both"/>
        <w:rPr>
          <w:rFonts w:ascii="Palatino Linotype" w:eastAsia="Calibri" w:hAnsi="Palatino Linotype" w:cs="Arial"/>
          <w:color w:val="000000"/>
          <w:lang w:val="es-ES_tradnl" w:eastAsia="es-MX"/>
        </w:rPr>
      </w:pPr>
    </w:p>
    <w:p w14:paraId="4BF1C431" w14:textId="77777777" w:rsidR="00BC2C41" w:rsidRDefault="00BC2C41" w:rsidP="00BC2C41">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150074B4" w14:textId="77777777" w:rsidR="004979B1" w:rsidRPr="009E63DA" w:rsidRDefault="004979B1" w:rsidP="004979B1">
      <w:pPr>
        <w:spacing w:line="360" w:lineRule="auto"/>
        <w:jc w:val="both"/>
        <w:rPr>
          <w:rFonts w:ascii="Palatino Linotype" w:hAnsi="Palatino Linotype" w:cs="Arial"/>
          <w:noProof/>
          <w:color w:val="000000"/>
          <w:lang w:eastAsia="es-MX"/>
        </w:rPr>
      </w:pPr>
    </w:p>
    <w:p w14:paraId="4D89DC41" w14:textId="77777777" w:rsidR="004979B1" w:rsidRPr="007C7D03" w:rsidRDefault="004979B1" w:rsidP="004979B1">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3CD392AA" w14:textId="77777777" w:rsidR="004979B1" w:rsidRPr="00F54FF7" w:rsidRDefault="004979B1" w:rsidP="004979B1">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BAE5090" w14:textId="77777777" w:rsidR="004979B1" w:rsidRPr="00F54FF7" w:rsidRDefault="004979B1" w:rsidP="004979B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09555EC3" w14:textId="77777777" w:rsidR="004979B1" w:rsidRPr="00F54FF7" w:rsidRDefault="004979B1" w:rsidP="004979B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2B210607"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2CF1144F"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37A4E567"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4C017DEE"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7048E14F" w14:textId="77777777" w:rsidR="004979B1" w:rsidRPr="00F54FF7" w:rsidRDefault="004979B1" w:rsidP="004979B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lastRenderedPageBreak/>
        <w:t>[…]</w:t>
      </w:r>
    </w:p>
    <w:p w14:paraId="36F88956" w14:textId="77777777" w:rsidR="004979B1" w:rsidRPr="00F54FF7" w:rsidRDefault="004979B1" w:rsidP="004979B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77B988F9" w14:textId="77777777" w:rsidR="004979B1" w:rsidRPr="00F54FF7" w:rsidRDefault="004979B1" w:rsidP="004979B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23C8A568" w14:textId="77777777" w:rsidR="004979B1" w:rsidRPr="00F54FF7" w:rsidRDefault="004979B1" w:rsidP="004979B1">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637E3E73"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7D2EC067"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05982E93" w14:textId="77777777" w:rsidR="004979B1" w:rsidRDefault="004979B1" w:rsidP="004979B1">
      <w:pPr>
        <w:spacing w:line="360" w:lineRule="auto"/>
        <w:ind w:right="51"/>
        <w:jc w:val="both"/>
        <w:rPr>
          <w:rFonts w:ascii="Palatino Linotype" w:eastAsia="Calibri" w:hAnsi="Palatino Linotype" w:cs="Arial"/>
          <w:lang w:val="es-ES_tradnl" w:eastAsia="es-MX"/>
        </w:rPr>
      </w:pPr>
    </w:p>
    <w:p w14:paraId="3A3F7A52" w14:textId="77777777" w:rsidR="004979B1" w:rsidRDefault="004979B1" w:rsidP="004979B1">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w:t>
      </w:r>
      <w:r w:rsidRPr="00F54FF7">
        <w:rPr>
          <w:rFonts w:ascii="Palatino Linotype" w:eastAsia="Calibri" w:hAnsi="Palatino Linotype" w:cs="Arial"/>
          <w:lang w:val="es-ES_tradnl" w:eastAsia="es-MX"/>
        </w:rPr>
        <w:lastRenderedPageBreak/>
        <w:t>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3044691E" w14:textId="77777777" w:rsidR="004979B1" w:rsidRDefault="004979B1" w:rsidP="004979B1">
      <w:pPr>
        <w:spacing w:line="360" w:lineRule="auto"/>
        <w:ind w:right="51"/>
        <w:jc w:val="both"/>
        <w:rPr>
          <w:rFonts w:ascii="Palatino Linotype" w:eastAsia="Calibri" w:hAnsi="Palatino Linotype" w:cs="Arial"/>
          <w:lang w:val="es-ES_tradnl" w:eastAsia="es-MX"/>
        </w:rPr>
      </w:pPr>
    </w:p>
    <w:p w14:paraId="4B8168C2" w14:textId="77777777" w:rsidR="0030325B" w:rsidRPr="0030325B" w:rsidRDefault="0030325B" w:rsidP="0030325B">
      <w:pPr>
        <w:spacing w:after="160" w:line="360" w:lineRule="auto"/>
        <w:jc w:val="both"/>
        <w:rPr>
          <w:rFonts w:ascii="Palatino Linotype" w:eastAsia="Calibri" w:hAnsi="Palatino Linotype" w:cs="Arial"/>
          <w:szCs w:val="22"/>
          <w:lang w:val="es-MX" w:eastAsia="en-US"/>
        </w:rPr>
      </w:pPr>
      <w:r w:rsidRPr="0030325B">
        <w:rPr>
          <w:rFonts w:ascii="Palatino Linotype" w:eastAsia="Calibri" w:hAnsi="Palatino Linotype"/>
          <w:szCs w:val="22"/>
          <w:lang w:val="es-MX" w:eastAsia="en-US"/>
        </w:rPr>
        <w:t xml:space="preserve">En mérito de lo expuesto en líneas anteriores, resultan parcialmente fundados los motivos de inconformidad que arguye </w:t>
      </w:r>
      <w:r w:rsidRPr="0030325B">
        <w:rPr>
          <w:rFonts w:ascii="Palatino Linotype" w:eastAsia="Calibri" w:hAnsi="Palatino Linotype"/>
          <w:bCs/>
          <w:szCs w:val="22"/>
          <w:lang w:val="es-MX" w:eastAsia="en-US"/>
        </w:rPr>
        <w:t>el</w:t>
      </w:r>
      <w:r w:rsidRPr="0030325B">
        <w:rPr>
          <w:rFonts w:ascii="Palatino Linotype" w:eastAsia="Calibri" w:hAnsi="Palatino Linotype"/>
          <w:b/>
          <w:bCs/>
          <w:szCs w:val="22"/>
          <w:lang w:val="es-MX" w:eastAsia="en-US"/>
        </w:rPr>
        <w:t xml:space="preserve"> Recurrente </w:t>
      </w:r>
      <w:r w:rsidRPr="0030325B">
        <w:rPr>
          <w:rFonts w:ascii="Palatino Linotype" w:eastAsia="Calibri" w:hAnsi="Palatino Linotype"/>
          <w:szCs w:val="22"/>
          <w:lang w:val="es-MX" w:eastAsia="en-US"/>
        </w:rPr>
        <w:t xml:space="preserve">en su medio de impugnación que fue materia de estudio, por ello </w:t>
      </w:r>
      <w:r w:rsidRPr="0030325B">
        <w:rPr>
          <w:rFonts w:ascii="Palatino Linotype" w:eastAsia="Calibri" w:hAnsi="Palatino Linotype" w:cs="Arial"/>
          <w:szCs w:val="22"/>
          <w:lang w:val="es-MX" w:eastAsia="en-US"/>
        </w:rPr>
        <w:t>con fundamento en la</w:t>
      </w:r>
      <w:r w:rsidRPr="0030325B">
        <w:rPr>
          <w:rFonts w:ascii="Palatino Linotype" w:eastAsia="Calibri" w:hAnsi="Palatino Linotype" w:cs="Arial"/>
          <w:b/>
          <w:szCs w:val="22"/>
          <w:lang w:val="es-MX" w:eastAsia="en-US"/>
        </w:rPr>
        <w:t xml:space="preserve"> </w:t>
      </w:r>
      <w:r w:rsidRPr="0030325B">
        <w:rPr>
          <w:rFonts w:ascii="Palatino Linotype" w:eastAsia="Calibri" w:hAnsi="Palatino Linotype" w:cs="Arial"/>
          <w:b/>
          <w:bCs/>
          <w:i/>
          <w:szCs w:val="22"/>
          <w:lang w:val="es-MX" w:eastAsia="en-US"/>
        </w:rPr>
        <w:t>primera hipótesis</w:t>
      </w:r>
      <w:r w:rsidRPr="0030325B">
        <w:rPr>
          <w:rFonts w:ascii="Palatino Linotype" w:eastAsia="Calibri" w:hAnsi="Palatino Linotype" w:cs="Arial"/>
          <w:b/>
          <w:szCs w:val="22"/>
          <w:lang w:val="es-MX" w:eastAsia="en-US"/>
        </w:rPr>
        <w:t xml:space="preserve"> </w:t>
      </w:r>
      <w:r w:rsidRPr="0030325B">
        <w:rPr>
          <w:rFonts w:ascii="Palatino Linotype" w:eastAsia="Calibri" w:hAnsi="Palatino Linotype" w:cs="Arial"/>
          <w:szCs w:val="22"/>
          <w:lang w:val="es-MX" w:eastAsia="en-US"/>
        </w:rPr>
        <w:t>de la fracción</w:t>
      </w:r>
      <w:r w:rsidRPr="0030325B">
        <w:rPr>
          <w:rFonts w:ascii="Palatino Linotype" w:eastAsia="Calibri" w:hAnsi="Palatino Linotype" w:cs="Arial"/>
          <w:b/>
          <w:szCs w:val="22"/>
          <w:lang w:val="es-MX" w:eastAsia="en-US"/>
        </w:rPr>
        <w:t xml:space="preserve"> </w:t>
      </w:r>
      <w:r w:rsidRPr="0030325B">
        <w:rPr>
          <w:rFonts w:ascii="Palatino Linotype" w:eastAsia="Calibri" w:hAnsi="Palatino Linotype" w:cs="Arial"/>
          <w:szCs w:val="22"/>
          <w:lang w:val="es-MX" w:eastAsia="en-US"/>
        </w:rPr>
        <w:t>III, del artículo 186,</w:t>
      </w:r>
      <w:r w:rsidRPr="0030325B">
        <w:rPr>
          <w:rFonts w:ascii="Palatino Linotype" w:eastAsia="Calibri" w:hAnsi="Palatino Linotype" w:cs="Arial"/>
          <w:b/>
          <w:szCs w:val="22"/>
          <w:lang w:val="es-MX" w:eastAsia="en-US"/>
        </w:rPr>
        <w:t xml:space="preserve"> </w:t>
      </w:r>
      <w:r w:rsidRPr="0030325B">
        <w:rPr>
          <w:rFonts w:ascii="Palatino Linotype" w:eastAsia="Calibri" w:hAnsi="Palatino Linotype" w:cs="Arial"/>
          <w:szCs w:val="22"/>
          <w:lang w:val="es-MX" w:eastAsia="en-US"/>
        </w:rPr>
        <w:t xml:space="preserve">de la Ley de Transparencia y Acceso a la Información Pública del Estado de México y Municipios, se </w:t>
      </w:r>
      <w:r w:rsidRPr="0030325B">
        <w:rPr>
          <w:rFonts w:ascii="Palatino Linotype" w:eastAsia="Calibri" w:hAnsi="Palatino Linotype" w:cs="Arial"/>
          <w:b/>
          <w:szCs w:val="22"/>
          <w:lang w:val="es-MX" w:eastAsia="en-US"/>
        </w:rPr>
        <w:t xml:space="preserve">REVOCA </w:t>
      </w:r>
      <w:r w:rsidRPr="0030325B">
        <w:rPr>
          <w:rFonts w:ascii="Palatino Linotype" w:eastAsia="Calibri" w:hAnsi="Palatino Linotype" w:cs="Arial"/>
          <w:szCs w:val="22"/>
          <w:lang w:val="es-MX" w:eastAsia="en-US"/>
        </w:rPr>
        <w:t>la respuesta a la solicitud de información número</w:t>
      </w:r>
      <w:r w:rsidRPr="0030325B">
        <w:rPr>
          <w:rFonts w:ascii="Palatino Linotype" w:eastAsia="Calibri" w:hAnsi="Palatino Linotype"/>
          <w:b/>
          <w:szCs w:val="22"/>
          <w:lang w:val="es-MX" w:eastAsia="en-US"/>
        </w:rPr>
        <w:t xml:space="preserve"> </w:t>
      </w:r>
      <w:r w:rsidRPr="0030325B">
        <w:rPr>
          <w:rFonts w:ascii="Palatino Linotype" w:eastAsia="Calibri" w:hAnsi="Palatino Linotype" w:cs="Arial"/>
          <w:b/>
          <w:szCs w:val="22"/>
          <w:lang w:val="es-MX" w:eastAsia="en-US"/>
        </w:rPr>
        <w:t xml:space="preserve">00138/CALIMAYA/IP/2025, </w:t>
      </w:r>
      <w:r w:rsidRPr="0030325B">
        <w:rPr>
          <w:rFonts w:ascii="Palatino Linotype" w:eastAsia="Calibri" w:hAnsi="Palatino Linotype" w:cs="Arial"/>
          <w:szCs w:val="22"/>
          <w:lang w:val="es-MX" w:eastAsia="en-US"/>
        </w:rPr>
        <w:t xml:space="preserve">que ha sido materia del presente fallo. </w:t>
      </w:r>
    </w:p>
    <w:p w14:paraId="3E9CB18B" w14:textId="77777777" w:rsidR="0030325B" w:rsidRPr="0030325B" w:rsidRDefault="0030325B" w:rsidP="0030325B">
      <w:pPr>
        <w:spacing w:after="160" w:line="360" w:lineRule="auto"/>
        <w:jc w:val="both"/>
        <w:rPr>
          <w:rFonts w:ascii="Palatino Linotype" w:eastAsia="Calibri" w:hAnsi="Palatino Linotype"/>
          <w:sz w:val="22"/>
          <w:szCs w:val="22"/>
          <w:lang w:val="es-MX" w:eastAsia="en-US"/>
        </w:rPr>
      </w:pPr>
      <w:r w:rsidRPr="0030325B">
        <w:rPr>
          <w:rFonts w:ascii="Palatino Linotype" w:eastAsia="Calibri" w:hAnsi="Palatino Linotype"/>
          <w:sz w:val="22"/>
          <w:szCs w:val="22"/>
          <w:lang w:val="es-MX" w:eastAsia="en-US"/>
        </w:rPr>
        <w:t>Por lo antes expuesto y fundado es de resolverse y,</w:t>
      </w:r>
    </w:p>
    <w:p w14:paraId="1C53FDE3" w14:textId="77777777" w:rsidR="0030325B" w:rsidRPr="0030325B" w:rsidRDefault="0030325B" w:rsidP="0030325B">
      <w:pPr>
        <w:spacing w:after="160" w:line="360" w:lineRule="auto"/>
        <w:jc w:val="both"/>
        <w:rPr>
          <w:rFonts w:ascii="Palatino Linotype" w:eastAsia="Calibri" w:hAnsi="Palatino Linotype"/>
          <w:sz w:val="22"/>
          <w:szCs w:val="22"/>
          <w:lang w:val="es-MX" w:eastAsia="en-US"/>
        </w:rPr>
      </w:pPr>
    </w:p>
    <w:p w14:paraId="5D3F9F84" w14:textId="77777777" w:rsidR="0030325B" w:rsidRPr="0030325B" w:rsidRDefault="0030325B" w:rsidP="0030325B">
      <w:pPr>
        <w:spacing w:before="240" w:after="240" w:line="360" w:lineRule="auto"/>
        <w:jc w:val="center"/>
        <w:rPr>
          <w:rFonts w:ascii="Palatino Linotype" w:eastAsia="Calibri" w:hAnsi="Palatino Linotype"/>
          <w:b/>
          <w:spacing w:val="60"/>
          <w:sz w:val="28"/>
          <w:szCs w:val="22"/>
          <w:lang w:val="es-MX" w:eastAsia="en-US"/>
        </w:rPr>
      </w:pPr>
      <w:r w:rsidRPr="0030325B">
        <w:rPr>
          <w:rFonts w:ascii="Palatino Linotype" w:eastAsia="Calibri" w:hAnsi="Palatino Linotype"/>
          <w:b/>
          <w:spacing w:val="60"/>
          <w:sz w:val="28"/>
          <w:szCs w:val="22"/>
          <w:lang w:val="es-MX" w:eastAsia="en-US"/>
        </w:rPr>
        <w:t>S E RESUELVE</w:t>
      </w:r>
    </w:p>
    <w:p w14:paraId="6CD771AD" w14:textId="77777777" w:rsidR="0030325B" w:rsidRPr="0030325B" w:rsidRDefault="0030325B" w:rsidP="0030325B">
      <w:pPr>
        <w:spacing w:line="360" w:lineRule="auto"/>
        <w:jc w:val="both"/>
        <w:rPr>
          <w:rFonts w:ascii="Palatino Linotype" w:hAnsi="Palatino Linotype" w:cs="Arial"/>
        </w:rPr>
      </w:pPr>
      <w:r w:rsidRPr="0030325B">
        <w:rPr>
          <w:rFonts w:ascii="Palatino Linotype" w:hAnsi="Palatino Linotype" w:cs="Arial"/>
          <w:b/>
          <w:sz w:val="28"/>
          <w:szCs w:val="28"/>
        </w:rPr>
        <w:t>PRIMERO</w:t>
      </w:r>
      <w:r w:rsidRPr="0030325B">
        <w:rPr>
          <w:rFonts w:ascii="Palatino Linotype" w:hAnsi="Palatino Linotype" w:cs="Arial"/>
          <w:sz w:val="32"/>
          <w:szCs w:val="28"/>
        </w:rPr>
        <w:t>.</w:t>
      </w:r>
      <w:r w:rsidRPr="0030325B">
        <w:rPr>
          <w:rFonts w:ascii="Palatino Linotype" w:hAnsi="Palatino Linotype" w:cs="Arial"/>
        </w:rPr>
        <w:t xml:space="preserve"> Se</w:t>
      </w:r>
      <w:r w:rsidRPr="0030325B">
        <w:rPr>
          <w:rFonts w:ascii="Palatino Linotype" w:hAnsi="Palatino Linotype" w:cs="Arial"/>
          <w:b/>
        </w:rPr>
        <w:t xml:space="preserve"> REVOCA </w:t>
      </w:r>
      <w:r w:rsidRPr="0030325B">
        <w:rPr>
          <w:rFonts w:ascii="Palatino Linotype" w:hAnsi="Palatino Linotype" w:cs="Arial"/>
        </w:rPr>
        <w:t xml:space="preserve">la respuesta del </w:t>
      </w:r>
      <w:r w:rsidRPr="0030325B">
        <w:rPr>
          <w:rFonts w:ascii="Palatino Linotype" w:hAnsi="Palatino Linotype" w:cs="Arial"/>
          <w:b/>
        </w:rPr>
        <w:t>Sujeto Obligado</w:t>
      </w:r>
      <w:r w:rsidRPr="0030325B">
        <w:rPr>
          <w:rFonts w:ascii="Palatino Linotype" w:hAnsi="Palatino Linotype" w:cs="Arial"/>
        </w:rPr>
        <w:t xml:space="preserve"> a la solicitud de acceso a la información pública</w:t>
      </w:r>
      <w:r w:rsidRPr="0030325B">
        <w:rPr>
          <w:rFonts w:ascii="Palatino Linotype" w:hAnsi="Palatino Linotype" w:cs="Arial"/>
          <w:b/>
        </w:rPr>
        <w:t xml:space="preserve"> </w:t>
      </w:r>
      <w:r w:rsidRPr="0030325B">
        <w:rPr>
          <w:rFonts w:ascii="Palatino Linotype" w:hAnsi="Palatino Linotype"/>
          <w:b/>
        </w:rPr>
        <w:t>00138/CALIMAYA/IP/2025</w:t>
      </w:r>
      <w:r w:rsidRPr="0030325B">
        <w:rPr>
          <w:rFonts w:ascii="Palatino Linotype" w:hAnsi="Palatino Linotype" w:cs="Arial"/>
        </w:rPr>
        <w:t>,</w:t>
      </w:r>
      <w:r w:rsidRPr="0030325B">
        <w:rPr>
          <w:rFonts w:ascii="Palatino Linotype" w:hAnsi="Palatino Linotype" w:cs="Tahoma"/>
          <w:b/>
        </w:rPr>
        <w:t xml:space="preserve"> </w:t>
      </w:r>
      <w:r w:rsidRPr="0030325B">
        <w:rPr>
          <w:rFonts w:ascii="Palatino Linotype" w:hAnsi="Palatino Linotype" w:cs="Arial"/>
        </w:rPr>
        <w:t>por resultar fundados</w:t>
      </w:r>
      <w:r w:rsidRPr="0030325B">
        <w:rPr>
          <w:rFonts w:ascii="Palatino Linotype" w:hAnsi="Palatino Linotype" w:cs="Arial"/>
          <w:b/>
        </w:rPr>
        <w:t xml:space="preserve"> </w:t>
      </w:r>
      <w:r w:rsidRPr="0030325B">
        <w:rPr>
          <w:rFonts w:ascii="Palatino Linotype" w:hAnsi="Palatino Linotype" w:cs="Arial"/>
        </w:rPr>
        <w:t xml:space="preserve">los motivos de inconformidad vertidos por la parte </w:t>
      </w:r>
      <w:r w:rsidRPr="0030325B">
        <w:rPr>
          <w:rFonts w:ascii="Palatino Linotype" w:hAnsi="Palatino Linotype" w:cs="Arial"/>
          <w:b/>
        </w:rPr>
        <w:t>Recurrente</w:t>
      </w:r>
      <w:r w:rsidRPr="0030325B">
        <w:rPr>
          <w:rFonts w:ascii="Palatino Linotype" w:hAnsi="Palatino Linotype" w:cs="Arial"/>
        </w:rPr>
        <w:t>, en términos del considerando</w:t>
      </w:r>
      <w:r w:rsidRPr="0030325B">
        <w:rPr>
          <w:rFonts w:ascii="Palatino Linotype" w:hAnsi="Palatino Linotype" w:cs="Arial"/>
          <w:b/>
        </w:rPr>
        <w:t xml:space="preserve"> CUARTO </w:t>
      </w:r>
      <w:r w:rsidRPr="0030325B">
        <w:rPr>
          <w:rFonts w:ascii="Palatino Linotype" w:hAnsi="Palatino Linotype" w:cs="Arial"/>
        </w:rPr>
        <w:t>de la presente Resolución.</w:t>
      </w:r>
    </w:p>
    <w:p w14:paraId="2030FB2D" w14:textId="77777777" w:rsidR="0030325B" w:rsidRPr="0030325B" w:rsidRDefault="0030325B" w:rsidP="0030325B">
      <w:pPr>
        <w:spacing w:line="360" w:lineRule="auto"/>
        <w:jc w:val="both"/>
        <w:rPr>
          <w:rFonts w:ascii="Palatino Linotype" w:hAnsi="Palatino Linotype" w:cs="Arial"/>
        </w:rPr>
      </w:pPr>
    </w:p>
    <w:p w14:paraId="1220B49C" w14:textId="77777777" w:rsidR="0030325B" w:rsidRPr="00834E7F" w:rsidRDefault="0030325B" w:rsidP="0030325B">
      <w:pPr>
        <w:spacing w:line="360" w:lineRule="auto"/>
        <w:jc w:val="both"/>
        <w:rPr>
          <w:rFonts w:ascii="Palatino Linotype" w:hAnsi="Palatino Linotype" w:cs="Tahoma"/>
          <w:highlight w:val="yellow"/>
        </w:rPr>
      </w:pPr>
      <w:r w:rsidRPr="0030325B">
        <w:rPr>
          <w:rFonts w:ascii="Palatino Linotype" w:hAnsi="Palatino Linotype" w:cs="Arial"/>
          <w:b/>
          <w:sz w:val="28"/>
        </w:rPr>
        <w:t>SEGUNDO</w:t>
      </w:r>
      <w:r w:rsidRPr="0030325B">
        <w:rPr>
          <w:rFonts w:ascii="Palatino Linotype" w:hAnsi="Palatino Linotype" w:cs="Arial"/>
          <w:b/>
        </w:rPr>
        <w:t>.</w:t>
      </w:r>
      <w:r w:rsidRPr="0030325B">
        <w:rPr>
          <w:rFonts w:ascii="Palatino Linotype" w:hAnsi="Palatino Linotype" w:cs="Tahoma"/>
        </w:rPr>
        <w:t xml:space="preserve"> </w:t>
      </w:r>
      <w:r w:rsidR="00D552C9">
        <w:rPr>
          <w:rFonts w:ascii="Palatino Linotype" w:hAnsi="Palatino Linotype" w:cs="Tahoma"/>
        </w:rPr>
        <w:t xml:space="preserve">Se </w:t>
      </w:r>
      <w:r w:rsidR="00D552C9">
        <w:rPr>
          <w:rFonts w:ascii="Palatino Linotype" w:hAnsi="Palatino Linotype" w:cs="Tahoma"/>
          <w:b/>
        </w:rPr>
        <w:t>ORDENA</w:t>
      </w:r>
      <w:r w:rsidR="00D552C9">
        <w:rPr>
          <w:rFonts w:ascii="Palatino Linotype" w:hAnsi="Palatino Linotype" w:cs="Tahoma"/>
        </w:rPr>
        <w:t xml:space="preserve"> al </w:t>
      </w:r>
      <w:r w:rsidR="00D552C9">
        <w:rPr>
          <w:rFonts w:ascii="Palatino Linotype" w:hAnsi="Palatino Linotype" w:cs="Tahoma"/>
          <w:b/>
        </w:rPr>
        <w:t>Sujeto Obligado,</w:t>
      </w:r>
      <w:r w:rsidR="00D552C9">
        <w:rPr>
          <w:rFonts w:ascii="Palatino Linotype" w:hAnsi="Palatino Linotype" w:cs="Tahoma"/>
        </w:rPr>
        <w:t xml:space="preserve"> haga entrega a la parte </w:t>
      </w:r>
      <w:r w:rsidR="00D552C9">
        <w:rPr>
          <w:rFonts w:ascii="Palatino Linotype" w:hAnsi="Palatino Linotype" w:cs="Tahoma"/>
          <w:b/>
        </w:rPr>
        <w:t>Recurrente</w:t>
      </w:r>
      <w:r w:rsidR="00D552C9">
        <w:rPr>
          <w:rFonts w:ascii="Palatino Linotype" w:hAnsi="Palatino Linotype" w:cs="Tahoma"/>
        </w:rPr>
        <w:t>, previa búsqueda exhaustiva y razonable, a través del Sistema de Acceso a la Información Mexiquense (</w:t>
      </w:r>
      <w:r w:rsidR="00D552C9">
        <w:rPr>
          <w:rFonts w:ascii="Palatino Linotype" w:hAnsi="Palatino Linotype" w:cs="Tahoma"/>
          <w:b/>
        </w:rPr>
        <w:t>SAIMEX</w:t>
      </w:r>
      <w:r w:rsidR="00D552C9">
        <w:rPr>
          <w:rFonts w:ascii="Palatino Linotype" w:hAnsi="Palatino Linotype" w:cs="Tahoma"/>
        </w:rPr>
        <w:t>), en versión pública de ser procedente</w:t>
      </w:r>
      <w:r w:rsidRPr="0030325B">
        <w:rPr>
          <w:rFonts w:ascii="Palatino Linotype" w:hAnsi="Palatino Linotype" w:cs="Tahoma"/>
        </w:rPr>
        <w:t>, de lo siguiente:</w:t>
      </w:r>
    </w:p>
    <w:p w14:paraId="0BBD6E30" w14:textId="77777777" w:rsidR="004979B1" w:rsidRPr="00D31AED" w:rsidRDefault="00487D1B" w:rsidP="004341D5">
      <w:pPr>
        <w:pStyle w:val="INFOEM"/>
        <w:numPr>
          <w:ilvl w:val="0"/>
          <w:numId w:val="13"/>
        </w:numPr>
        <w:spacing w:after="0"/>
        <w:ind w:right="567"/>
        <w:rPr>
          <w:i w:val="0"/>
          <w:sz w:val="28"/>
          <w:szCs w:val="24"/>
        </w:rPr>
      </w:pPr>
      <w:r>
        <w:rPr>
          <w:rFonts w:cs="Tahoma"/>
          <w:bCs/>
          <w:i w:val="0"/>
          <w:sz w:val="24"/>
          <w:lang w:val="es-ES"/>
        </w:rPr>
        <w:lastRenderedPageBreak/>
        <w:t xml:space="preserve">Acta de cabildo en la que se aprobaron </w:t>
      </w:r>
      <w:r w:rsidR="00D524C7">
        <w:rPr>
          <w:rFonts w:cs="Tahoma"/>
          <w:bCs/>
          <w:i w:val="0"/>
          <w:sz w:val="24"/>
          <w:lang w:val="es-ES"/>
        </w:rPr>
        <w:t xml:space="preserve">hasta </w:t>
      </w:r>
      <w:r>
        <w:rPr>
          <w:rFonts w:cs="Tahoma"/>
          <w:bCs/>
          <w:i w:val="0"/>
          <w:sz w:val="24"/>
          <w:lang w:val="es-ES"/>
        </w:rPr>
        <w:t xml:space="preserve">12 millones de pesos para llevar a cabo el Festival Internacional Cultural del Mariachi, al cuatro de marzo de dos mil veinticinco. </w:t>
      </w:r>
      <w:r w:rsidR="004979B1" w:rsidRPr="00D31AED">
        <w:rPr>
          <w:rFonts w:cs="Tahoma"/>
          <w:bCs/>
          <w:i w:val="0"/>
          <w:sz w:val="24"/>
          <w:lang w:val="es-ES"/>
        </w:rPr>
        <w:t xml:space="preserve"> </w:t>
      </w:r>
    </w:p>
    <w:p w14:paraId="7D38CCAC" w14:textId="77777777" w:rsidR="004979B1" w:rsidRPr="00285FC3" w:rsidRDefault="004979B1" w:rsidP="004979B1">
      <w:pPr>
        <w:pStyle w:val="INFOEM"/>
        <w:spacing w:before="0" w:after="0"/>
        <w:ind w:left="720" w:right="567"/>
      </w:pPr>
    </w:p>
    <w:p w14:paraId="0710ED41" w14:textId="77777777" w:rsidR="004979B1" w:rsidRDefault="004979B1" w:rsidP="004979B1">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F6A9960" w14:textId="77777777" w:rsidR="004979B1" w:rsidRPr="00DC5E29" w:rsidRDefault="004979B1" w:rsidP="004979B1">
      <w:pPr>
        <w:spacing w:line="360" w:lineRule="auto"/>
        <w:jc w:val="both"/>
        <w:rPr>
          <w:rFonts w:ascii="Palatino Linotype" w:hAnsi="Palatino Linotype" w:cs="Arial"/>
        </w:rPr>
      </w:pPr>
    </w:p>
    <w:p w14:paraId="278ACBA6" w14:textId="77777777" w:rsidR="004979B1" w:rsidRPr="00DC5E29" w:rsidRDefault="004979B1" w:rsidP="004979B1">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B355A1" w14:textId="77777777" w:rsidR="004979B1" w:rsidRPr="00DC5E29" w:rsidRDefault="004979B1" w:rsidP="004979B1">
      <w:pPr>
        <w:spacing w:line="360" w:lineRule="auto"/>
        <w:ind w:right="-595"/>
        <w:jc w:val="both"/>
        <w:rPr>
          <w:rFonts w:ascii="Palatino Linotype" w:hAnsi="Palatino Linotype" w:cs="Tahoma"/>
          <w:bCs/>
        </w:rPr>
      </w:pPr>
    </w:p>
    <w:p w14:paraId="04E8CF6B" w14:textId="77777777" w:rsidR="004979B1" w:rsidRDefault="004979B1" w:rsidP="004979B1">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w:t>
      </w:r>
      <w:r w:rsidRPr="00DC5E29">
        <w:rPr>
          <w:rFonts w:ascii="Palatino Linotype" w:hAnsi="Palatino Linotype" w:cs="Arial"/>
        </w:rPr>
        <w:lastRenderedPageBreak/>
        <w:t xml:space="preserve">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7269EBBF" w14:textId="77777777" w:rsidR="004979B1" w:rsidRPr="00DC5E29" w:rsidRDefault="004979B1" w:rsidP="004979B1">
      <w:pPr>
        <w:autoSpaceDE w:val="0"/>
        <w:autoSpaceDN w:val="0"/>
        <w:adjustRightInd w:val="0"/>
        <w:spacing w:line="360" w:lineRule="auto"/>
        <w:jc w:val="both"/>
        <w:rPr>
          <w:rFonts w:ascii="Palatino Linotype" w:hAnsi="Palatino Linotype" w:cs="Arial"/>
        </w:rPr>
      </w:pPr>
    </w:p>
    <w:p w14:paraId="64860136" w14:textId="77777777" w:rsidR="004979B1" w:rsidRDefault="004979B1" w:rsidP="004979B1">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3E95428" w14:textId="77777777" w:rsidR="004979B1" w:rsidRDefault="004979B1" w:rsidP="004979B1">
      <w:pPr>
        <w:spacing w:line="360" w:lineRule="auto"/>
        <w:jc w:val="both"/>
        <w:rPr>
          <w:rFonts w:ascii="Palatino Linotype" w:hAnsi="Palatino Linotype" w:cs="Arial"/>
        </w:rPr>
      </w:pPr>
    </w:p>
    <w:p w14:paraId="294E2659" w14:textId="4818A8CC" w:rsidR="004979B1" w:rsidRPr="007C3942" w:rsidRDefault="004979B1" w:rsidP="004979B1">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sidR="003D03B5">
        <w:rPr>
          <w:rFonts w:ascii="Palatino Linotype" w:hAnsi="Palatino Linotype" w:cs="Arial"/>
        </w:rPr>
        <w:t xml:space="preserve"> </w:t>
      </w:r>
      <w:r w:rsidRPr="007C3942">
        <w:rPr>
          <w:rFonts w:ascii="Palatino Linotype" w:hAnsi="Palatino Linotype" w:cs="Arial"/>
        </w:rPr>
        <w:t xml:space="preserve">Y GUADALUPE RAMÍREZ PEÑA, EN LA </w:t>
      </w:r>
      <w:r w:rsidR="004662ED">
        <w:rPr>
          <w:rFonts w:ascii="Palatino Linotype" w:hAnsi="Palatino Linotype" w:cs="Arial"/>
        </w:rPr>
        <w:t>VIGÉS</w:t>
      </w:r>
      <w:r>
        <w:rPr>
          <w:rFonts w:ascii="Palatino Linotype" w:hAnsi="Palatino Linotype" w:cs="Arial"/>
        </w:rPr>
        <w:t xml:space="preserve">IMA </w:t>
      </w:r>
      <w:r w:rsidR="00E9506B">
        <w:rPr>
          <w:rFonts w:ascii="Palatino Linotype" w:hAnsi="Palatino Linotype" w:cs="Arial"/>
        </w:rPr>
        <w:t>SEX</w:t>
      </w:r>
      <w:r w:rsidR="002B3A50">
        <w:rPr>
          <w:rFonts w:ascii="Palatino Linotype" w:hAnsi="Palatino Linotype" w:cs="Arial"/>
        </w:rPr>
        <w:t xml:space="preserve">TA </w:t>
      </w:r>
      <w:r w:rsidRPr="007C3942">
        <w:rPr>
          <w:rFonts w:ascii="Palatino Linotype" w:hAnsi="Palatino Linotype" w:cs="Arial"/>
        </w:rPr>
        <w:t>SESIÓN ORDINARIA CELEBRADA EL</w:t>
      </w:r>
      <w:r>
        <w:rPr>
          <w:rFonts w:ascii="Palatino Linotype" w:hAnsi="Palatino Linotype" w:cs="Arial"/>
        </w:rPr>
        <w:t xml:space="preserve"> </w:t>
      </w:r>
      <w:r w:rsidR="00E9506B">
        <w:rPr>
          <w:rFonts w:ascii="Palatino Linotype" w:hAnsi="Palatino Linotype" w:cs="Arial"/>
        </w:rPr>
        <w:t>DIECISÉIS</w:t>
      </w:r>
      <w:r w:rsidR="004662ED">
        <w:rPr>
          <w:rFonts w:ascii="Palatino Linotype" w:hAnsi="Palatino Linotype" w:cs="Arial"/>
        </w:rPr>
        <w:t xml:space="preserve"> DE JU</w:t>
      </w:r>
      <w:r w:rsidR="002B3A50">
        <w:rPr>
          <w:rFonts w:ascii="Palatino Linotype" w:hAnsi="Palatino Linotype" w:cs="Arial"/>
        </w:rPr>
        <w:t>L</w:t>
      </w:r>
      <w:r w:rsidR="004662ED">
        <w:rPr>
          <w:rFonts w:ascii="Palatino Linotype" w:hAnsi="Palatino Linotype" w:cs="Arial"/>
        </w:rPr>
        <w:t>IO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12151C">
        <w:rPr>
          <w:rFonts w:ascii="Palatino Linotype" w:hAnsi="Palatino Linotype" w:cs="Arial"/>
        </w:rPr>
        <w:t>----------</w:t>
      </w:r>
      <w:r>
        <w:rPr>
          <w:rFonts w:ascii="Palatino Linotype" w:hAnsi="Palatino Linotype" w:cs="Arial"/>
        </w:rPr>
        <w:t>---</w:t>
      </w:r>
    </w:p>
    <w:p w14:paraId="3621F76E" w14:textId="77777777" w:rsidR="004979B1" w:rsidRDefault="004979B1" w:rsidP="004979B1">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002B3A50">
        <w:rPr>
          <w:rFonts w:ascii="Palatino Linotype" w:hAnsi="Palatino Linotype" w:cs="Arial"/>
          <w:sz w:val="16"/>
        </w:rPr>
        <w:t>JMV/CCR/</w:t>
      </w:r>
      <w:r w:rsidR="00E25A01">
        <w:rPr>
          <w:rFonts w:ascii="Palatino Linotype" w:hAnsi="Palatino Linotype" w:cs="Arial"/>
          <w:sz w:val="16"/>
        </w:rPr>
        <w:t>LMST</w:t>
      </w:r>
    </w:p>
    <w:p w14:paraId="501DFB4B" w14:textId="77777777" w:rsidR="004979B1" w:rsidRDefault="004979B1" w:rsidP="004979B1"/>
    <w:p w14:paraId="293E5F43" w14:textId="77777777" w:rsidR="004979B1" w:rsidRDefault="004979B1" w:rsidP="004979B1"/>
    <w:p w14:paraId="58D96036" w14:textId="77777777" w:rsidR="004979B1" w:rsidRDefault="004979B1" w:rsidP="004979B1"/>
    <w:p w14:paraId="264CCD69" w14:textId="77777777" w:rsidR="004979B1" w:rsidRDefault="004979B1" w:rsidP="004979B1"/>
    <w:p w14:paraId="6B710E28" w14:textId="77777777" w:rsidR="004979B1" w:rsidRDefault="004979B1" w:rsidP="004979B1"/>
    <w:p w14:paraId="6B390CA4" w14:textId="77777777" w:rsidR="004979B1" w:rsidRDefault="004979B1" w:rsidP="004979B1"/>
    <w:p w14:paraId="06A6D004" w14:textId="77777777" w:rsidR="004979B1" w:rsidRDefault="004979B1" w:rsidP="004979B1"/>
    <w:p w14:paraId="4886D43D" w14:textId="77777777" w:rsidR="004979B1" w:rsidRDefault="004979B1" w:rsidP="004979B1"/>
    <w:p w14:paraId="7788F722" w14:textId="77777777" w:rsidR="004979B1" w:rsidRDefault="004979B1" w:rsidP="004979B1"/>
    <w:p w14:paraId="5C7DBE6C" w14:textId="77777777" w:rsidR="004979B1" w:rsidRDefault="004979B1" w:rsidP="004979B1"/>
    <w:p w14:paraId="5EFF24CD" w14:textId="77777777" w:rsidR="004979B1" w:rsidRDefault="004979B1" w:rsidP="004979B1"/>
    <w:p w14:paraId="7D33B811" w14:textId="77777777" w:rsidR="004979B1" w:rsidRDefault="004979B1" w:rsidP="004979B1"/>
    <w:p w14:paraId="44295E16" w14:textId="77777777" w:rsidR="004979B1" w:rsidRDefault="004979B1" w:rsidP="004979B1"/>
    <w:p w14:paraId="020B39DA" w14:textId="77777777" w:rsidR="004979B1" w:rsidRDefault="004979B1" w:rsidP="004979B1"/>
    <w:p w14:paraId="03B71B18" w14:textId="77777777" w:rsidR="004979B1" w:rsidRDefault="004979B1" w:rsidP="004979B1"/>
    <w:p w14:paraId="2297125B" w14:textId="77777777" w:rsidR="004979B1" w:rsidRDefault="004979B1" w:rsidP="004979B1"/>
    <w:p w14:paraId="18A80518" w14:textId="77777777" w:rsidR="004979B1" w:rsidRDefault="004979B1" w:rsidP="004979B1"/>
    <w:p w14:paraId="00D81E5C" w14:textId="77777777" w:rsidR="004979B1" w:rsidRDefault="004979B1" w:rsidP="004979B1"/>
    <w:p w14:paraId="7E1166D4" w14:textId="77777777" w:rsidR="004979B1" w:rsidRDefault="004979B1" w:rsidP="004979B1"/>
    <w:p w14:paraId="7CA2CC6F" w14:textId="77777777" w:rsidR="004979B1" w:rsidRDefault="004979B1" w:rsidP="004979B1"/>
    <w:p w14:paraId="0C89C439" w14:textId="77777777" w:rsidR="004979B1" w:rsidRDefault="004979B1" w:rsidP="004979B1"/>
    <w:p w14:paraId="1C3988F7" w14:textId="77777777" w:rsidR="004979B1" w:rsidRDefault="004979B1" w:rsidP="004979B1"/>
    <w:p w14:paraId="66481F6E" w14:textId="77777777" w:rsidR="004979B1" w:rsidRDefault="004979B1" w:rsidP="004979B1"/>
    <w:p w14:paraId="77EAA589" w14:textId="77777777" w:rsidR="004979B1" w:rsidRDefault="004979B1" w:rsidP="004979B1"/>
    <w:p w14:paraId="7FDD6C28" w14:textId="77777777" w:rsidR="004979B1" w:rsidRDefault="004979B1" w:rsidP="004979B1"/>
    <w:p w14:paraId="6C8B303E" w14:textId="77777777" w:rsidR="004979B1" w:rsidRDefault="004979B1" w:rsidP="004979B1"/>
    <w:p w14:paraId="32C6A227" w14:textId="77777777" w:rsidR="004979B1" w:rsidRDefault="004979B1" w:rsidP="004979B1"/>
    <w:p w14:paraId="09476DBD" w14:textId="77777777" w:rsidR="004979B1" w:rsidRDefault="004979B1" w:rsidP="004979B1"/>
    <w:p w14:paraId="1449AEA6" w14:textId="77777777" w:rsidR="004979B1" w:rsidRDefault="004979B1" w:rsidP="004979B1"/>
    <w:p w14:paraId="69BDD89D" w14:textId="77777777" w:rsidR="004979B1" w:rsidRDefault="004979B1" w:rsidP="004979B1"/>
    <w:p w14:paraId="332BF5B9" w14:textId="77777777" w:rsidR="004979B1" w:rsidRDefault="004979B1" w:rsidP="004979B1"/>
    <w:p w14:paraId="387E8942" w14:textId="77777777" w:rsidR="00214FE0" w:rsidRDefault="00214FE0"/>
    <w:sectPr w:rsidR="00214FE0" w:rsidSect="004979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4B95F" w14:textId="77777777" w:rsidR="00487D1B" w:rsidRDefault="00487D1B" w:rsidP="004979B1">
      <w:r>
        <w:separator/>
      </w:r>
    </w:p>
  </w:endnote>
  <w:endnote w:type="continuationSeparator" w:id="0">
    <w:p w14:paraId="2A0525DA" w14:textId="77777777" w:rsidR="00487D1B" w:rsidRDefault="00487D1B" w:rsidP="0049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76E4B" w14:textId="77777777" w:rsidR="00487D1B" w:rsidRPr="00A2780F" w:rsidRDefault="00487D1B" w:rsidP="004979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5535A">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5535A">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A6E8F" w14:textId="77777777" w:rsidR="00487D1B" w:rsidRPr="00070856" w:rsidRDefault="00487D1B" w:rsidP="004979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5535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5535A">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ABD15" w14:textId="77777777" w:rsidR="00487D1B" w:rsidRDefault="00487D1B" w:rsidP="004979B1">
      <w:r>
        <w:separator/>
      </w:r>
    </w:p>
  </w:footnote>
  <w:footnote w:type="continuationSeparator" w:id="0">
    <w:p w14:paraId="1D535707" w14:textId="77777777" w:rsidR="00487D1B" w:rsidRDefault="00487D1B" w:rsidP="004979B1">
      <w:r>
        <w:continuationSeparator/>
      </w:r>
    </w:p>
  </w:footnote>
  <w:footnote w:id="1">
    <w:p w14:paraId="4384480B" w14:textId="77777777" w:rsidR="00487D1B" w:rsidRPr="005552A8" w:rsidRDefault="00487D1B" w:rsidP="004979B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4CC945B" w14:textId="77777777" w:rsidR="00487D1B" w:rsidRPr="005552A8" w:rsidRDefault="00487D1B" w:rsidP="004979B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87D1B" w:rsidRPr="008F2CCC" w14:paraId="42025696" w14:textId="77777777" w:rsidTr="004979B1">
      <w:tc>
        <w:tcPr>
          <w:tcW w:w="3620" w:type="dxa"/>
        </w:tcPr>
        <w:p w14:paraId="1F4C447D" w14:textId="77777777" w:rsidR="00487D1B" w:rsidRPr="007E5FC4" w:rsidRDefault="00487D1B" w:rsidP="004979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4BEC443B" w14:textId="77777777" w:rsidR="00487D1B" w:rsidRPr="00664658" w:rsidRDefault="00487D1B" w:rsidP="00366C5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04010/INFOEM/IP/RR/2025</w:t>
          </w:r>
        </w:p>
      </w:tc>
    </w:tr>
    <w:tr w:rsidR="00487D1B" w:rsidRPr="008F2CCC" w14:paraId="399C7E4D" w14:textId="77777777" w:rsidTr="004979B1">
      <w:tc>
        <w:tcPr>
          <w:tcW w:w="3620" w:type="dxa"/>
        </w:tcPr>
        <w:p w14:paraId="6EC09972" w14:textId="77777777" w:rsidR="00487D1B" w:rsidRPr="007E5FC4" w:rsidRDefault="00487D1B" w:rsidP="004979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6DCBAC43" w14:textId="77777777" w:rsidR="00487D1B" w:rsidRPr="00664658" w:rsidRDefault="00487D1B" w:rsidP="004979B1">
          <w:pPr>
            <w:spacing w:line="276" w:lineRule="auto"/>
            <w:jc w:val="right"/>
            <w:rPr>
              <w:rFonts w:ascii="Palatino Linotype" w:hAnsi="Palatino Linotype"/>
              <w:b/>
              <w:sz w:val="22"/>
              <w:szCs w:val="22"/>
              <w:lang w:val="es-ES_tradnl"/>
            </w:rPr>
          </w:pPr>
          <w:r w:rsidRPr="00366C5F">
            <w:rPr>
              <w:rFonts w:ascii="Palatino Linotype" w:hAnsi="Palatino Linotype"/>
              <w:b/>
              <w:sz w:val="22"/>
              <w:szCs w:val="22"/>
            </w:rPr>
            <w:t>Ayuntamiento de Calimaya</w:t>
          </w:r>
        </w:p>
      </w:tc>
    </w:tr>
    <w:tr w:rsidR="00487D1B" w:rsidRPr="008F2CCC" w14:paraId="2B6567E7" w14:textId="77777777" w:rsidTr="004979B1">
      <w:trPr>
        <w:trHeight w:val="228"/>
      </w:trPr>
      <w:tc>
        <w:tcPr>
          <w:tcW w:w="3620" w:type="dxa"/>
        </w:tcPr>
        <w:p w14:paraId="43A62278" w14:textId="77777777" w:rsidR="00487D1B" w:rsidRPr="007E5FC4" w:rsidRDefault="00487D1B" w:rsidP="004979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57852EE8" w14:textId="77777777" w:rsidR="00487D1B" w:rsidRPr="00664658" w:rsidRDefault="00487D1B" w:rsidP="004979B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C4FD8CA" w14:textId="77777777" w:rsidR="00487D1B" w:rsidRDefault="00487D1B" w:rsidP="004979B1">
    <w:pPr>
      <w:pStyle w:val="Encabezado"/>
      <w:tabs>
        <w:tab w:val="clear" w:pos="4252"/>
        <w:tab w:val="clear" w:pos="8504"/>
        <w:tab w:val="left" w:pos="2326"/>
      </w:tabs>
      <w:rPr>
        <w:rFonts w:ascii="Palatino Linotype" w:hAnsi="Palatino Linotype"/>
        <w:sz w:val="20"/>
      </w:rPr>
    </w:pPr>
  </w:p>
  <w:p w14:paraId="4E3CAF59" w14:textId="77777777" w:rsidR="00487D1B" w:rsidRPr="001779E0" w:rsidRDefault="00487D1B" w:rsidP="004979B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4759573" wp14:editId="0DF33AD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87D1B" w:rsidRPr="008F2CCC" w14:paraId="1FB91175" w14:textId="77777777" w:rsidTr="004979B1">
      <w:tc>
        <w:tcPr>
          <w:tcW w:w="2977" w:type="dxa"/>
        </w:tcPr>
        <w:p w14:paraId="15DEE841" w14:textId="77777777" w:rsidR="00487D1B" w:rsidRPr="007E5FC4" w:rsidRDefault="00487D1B"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2380D005" w14:textId="77777777" w:rsidR="00487D1B" w:rsidRPr="008F2CCC" w:rsidRDefault="00487D1B" w:rsidP="00103D0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04010/INFOEM/IP/RR/2025</w:t>
          </w:r>
        </w:p>
      </w:tc>
    </w:tr>
    <w:tr w:rsidR="00487D1B" w:rsidRPr="008F2CCC" w14:paraId="29851A64" w14:textId="77777777" w:rsidTr="004979B1">
      <w:tc>
        <w:tcPr>
          <w:tcW w:w="2977" w:type="dxa"/>
          <w:vAlign w:val="center"/>
        </w:tcPr>
        <w:p w14:paraId="19DF6D7A" w14:textId="77777777" w:rsidR="00487D1B" w:rsidRPr="007E5FC4" w:rsidRDefault="00487D1B"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2B77AF19" w14:textId="64ED4417" w:rsidR="00487D1B" w:rsidRPr="008F2CCC" w:rsidRDefault="0055535A" w:rsidP="004979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487D1B">
            <w:rPr>
              <w:rFonts w:ascii="Palatino Linotype" w:hAnsi="Palatino Linotype"/>
              <w:b/>
              <w:sz w:val="22"/>
              <w:szCs w:val="22"/>
              <w:lang w:val="es-ES_tradnl"/>
            </w:rPr>
            <w:t xml:space="preserve"> </w:t>
          </w:r>
        </w:p>
      </w:tc>
    </w:tr>
    <w:tr w:rsidR="00487D1B" w:rsidRPr="008F2CCC" w14:paraId="6FDA27D6" w14:textId="77777777" w:rsidTr="004979B1">
      <w:trPr>
        <w:trHeight w:val="228"/>
      </w:trPr>
      <w:tc>
        <w:tcPr>
          <w:tcW w:w="2977" w:type="dxa"/>
        </w:tcPr>
        <w:p w14:paraId="72522CAA" w14:textId="77777777" w:rsidR="00487D1B" w:rsidRPr="007E5FC4" w:rsidRDefault="00487D1B"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55887AC1" w14:textId="77777777" w:rsidR="00487D1B" w:rsidRPr="00DC41C8" w:rsidRDefault="00487D1B" w:rsidP="004979B1">
          <w:pPr>
            <w:spacing w:line="360" w:lineRule="auto"/>
            <w:jc w:val="right"/>
            <w:rPr>
              <w:rFonts w:ascii="Palatino Linotype" w:hAnsi="Palatino Linotype"/>
              <w:b/>
              <w:sz w:val="22"/>
              <w:szCs w:val="22"/>
            </w:rPr>
          </w:pPr>
          <w:r w:rsidRPr="00103D04">
            <w:rPr>
              <w:rFonts w:ascii="Palatino Linotype" w:hAnsi="Palatino Linotype"/>
              <w:b/>
              <w:sz w:val="22"/>
              <w:szCs w:val="22"/>
            </w:rPr>
            <w:t>Ayuntamiento de Calimaya</w:t>
          </w:r>
        </w:p>
      </w:tc>
    </w:tr>
    <w:tr w:rsidR="00487D1B" w:rsidRPr="008F2CCC" w14:paraId="517A7E18" w14:textId="77777777" w:rsidTr="004979B1">
      <w:tc>
        <w:tcPr>
          <w:tcW w:w="2977" w:type="dxa"/>
        </w:tcPr>
        <w:p w14:paraId="1F3721E6" w14:textId="77777777" w:rsidR="00487D1B" w:rsidRPr="007E5FC4" w:rsidRDefault="00487D1B"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211C306D" w14:textId="77777777" w:rsidR="00487D1B" w:rsidRPr="008F2CCC" w:rsidRDefault="00487D1B" w:rsidP="004979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34436E8" w14:textId="77777777" w:rsidR="00487D1B" w:rsidRPr="009F1AB6" w:rsidRDefault="00487D1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72415D4" wp14:editId="4E663ECE">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621"/>
    <w:multiLevelType w:val="hybridMultilevel"/>
    <w:tmpl w:val="EB64EB24"/>
    <w:lvl w:ilvl="0" w:tplc="2B06D5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042EEC"/>
    <w:multiLevelType w:val="hybridMultilevel"/>
    <w:tmpl w:val="A43E8314"/>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5" w15:restartNumberingAfterBreak="0">
    <w:nsid w:val="16156B15"/>
    <w:multiLevelType w:val="hybridMultilevel"/>
    <w:tmpl w:val="514C40F6"/>
    <w:lvl w:ilvl="0" w:tplc="3774E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3FA5FA9"/>
    <w:multiLevelType w:val="hybridMultilevel"/>
    <w:tmpl w:val="4F7E0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5B4A20"/>
    <w:multiLevelType w:val="hybridMultilevel"/>
    <w:tmpl w:val="617418B0"/>
    <w:lvl w:ilvl="0" w:tplc="D6E250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60C6359"/>
    <w:multiLevelType w:val="hybridMultilevel"/>
    <w:tmpl w:val="9F24D958"/>
    <w:lvl w:ilvl="0" w:tplc="52A281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482B05"/>
    <w:multiLevelType w:val="hybridMultilevel"/>
    <w:tmpl w:val="28ACA8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3713F47"/>
    <w:multiLevelType w:val="hybridMultilevel"/>
    <w:tmpl w:val="7A686BD8"/>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3DBC0C91"/>
    <w:multiLevelType w:val="hybridMultilevel"/>
    <w:tmpl w:val="959856C6"/>
    <w:lvl w:ilvl="0" w:tplc="FBF6D742">
      <w:start w:val="5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DC191F"/>
    <w:multiLevelType w:val="hybridMultilevel"/>
    <w:tmpl w:val="CCFC8724"/>
    <w:lvl w:ilvl="0" w:tplc="4C5E316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893511"/>
    <w:multiLevelType w:val="hybridMultilevel"/>
    <w:tmpl w:val="A5B4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C76AD7"/>
    <w:multiLevelType w:val="hybridMultilevel"/>
    <w:tmpl w:val="72CED38A"/>
    <w:lvl w:ilvl="0" w:tplc="FC1C74D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72603C9"/>
    <w:multiLevelType w:val="hybridMultilevel"/>
    <w:tmpl w:val="BA74A89C"/>
    <w:lvl w:ilvl="0" w:tplc="17C2B43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74838FF"/>
    <w:multiLevelType w:val="hybridMultilevel"/>
    <w:tmpl w:val="3BD47FC8"/>
    <w:lvl w:ilvl="0" w:tplc="16E485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036D2F"/>
    <w:multiLevelType w:val="hybridMultilevel"/>
    <w:tmpl w:val="CFAC82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A820A0"/>
    <w:multiLevelType w:val="hybridMultilevel"/>
    <w:tmpl w:val="D0EC9542"/>
    <w:lvl w:ilvl="0" w:tplc="5CEE79F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F3A0C0A"/>
    <w:multiLevelType w:val="hybridMultilevel"/>
    <w:tmpl w:val="E020D182"/>
    <w:lvl w:ilvl="0" w:tplc="7BB2D9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B9F71E6"/>
    <w:multiLevelType w:val="hybridMultilevel"/>
    <w:tmpl w:val="4E7A0CEA"/>
    <w:lvl w:ilvl="0" w:tplc="8794D00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6DA05BB1"/>
    <w:multiLevelType w:val="hybridMultilevel"/>
    <w:tmpl w:val="8BB084AC"/>
    <w:lvl w:ilvl="0" w:tplc="971CB03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2805E95"/>
    <w:multiLevelType w:val="hybridMultilevel"/>
    <w:tmpl w:val="7854AF7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504AD1"/>
    <w:multiLevelType w:val="hybridMultilevel"/>
    <w:tmpl w:val="21D41E5C"/>
    <w:lvl w:ilvl="0" w:tplc="D2B4DB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9EC36BC"/>
    <w:multiLevelType w:val="hybridMultilevel"/>
    <w:tmpl w:val="20DCDF24"/>
    <w:lvl w:ilvl="0" w:tplc="37CCEF1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B8C77CE"/>
    <w:multiLevelType w:val="hybridMultilevel"/>
    <w:tmpl w:val="BA04E3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D2558DE"/>
    <w:multiLevelType w:val="hybridMultilevel"/>
    <w:tmpl w:val="AC7EE8AC"/>
    <w:lvl w:ilvl="0" w:tplc="C36227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5"/>
  </w:num>
  <w:num w:numId="4">
    <w:abstractNumId w:val="6"/>
  </w:num>
  <w:num w:numId="5">
    <w:abstractNumId w:val="31"/>
  </w:num>
  <w:num w:numId="6">
    <w:abstractNumId w:val="33"/>
  </w:num>
  <w:num w:numId="7">
    <w:abstractNumId w:val="7"/>
  </w:num>
  <w:num w:numId="8">
    <w:abstractNumId w:val="36"/>
  </w:num>
  <w:num w:numId="9">
    <w:abstractNumId w:val="13"/>
  </w:num>
  <w:num w:numId="10">
    <w:abstractNumId w:val="16"/>
  </w:num>
  <w:num w:numId="11">
    <w:abstractNumId w:val="14"/>
  </w:num>
  <w:num w:numId="12">
    <w:abstractNumId w:val="12"/>
  </w:num>
  <w:num w:numId="13">
    <w:abstractNumId w:val="27"/>
  </w:num>
  <w:num w:numId="14">
    <w:abstractNumId w:val="1"/>
  </w:num>
  <w:num w:numId="15">
    <w:abstractNumId w:val="3"/>
  </w:num>
  <w:num w:numId="16">
    <w:abstractNumId w:val="37"/>
  </w:num>
  <w:num w:numId="17">
    <w:abstractNumId w:val="11"/>
  </w:num>
  <w:num w:numId="18">
    <w:abstractNumId w:val="4"/>
  </w:num>
  <w:num w:numId="19">
    <w:abstractNumId w:val="19"/>
  </w:num>
  <w:num w:numId="20">
    <w:abstractNumId w:val="24"/>
  </w:num>
  <w:num w:numId="21">
    <w:abstractNumId w:val="17"/>
  </w:num>
  <w:num w:numId="22">
    <w:abstractNumId w:val="26"/>
  </w:num>
  <w:num w:numId="23">
    <w:abstractNumId w:val="35"/>
  </w:num>
  <w:num w:numId="24">
    <w:abstractNumId w:val="23"/>
  </w:num>
  <w:num w:numId="25">
    <w:abstractNumId w:val="18"/>
  </w:num>
  <w:num w:numId="26">
    <w:abstractNumId w:val="0"/>
  </w:num>
  <w:num w:numId="27">
    <w:abstractNumId w:val="5"/>
  </w:num>
  <w:num w:numId="28">
    <w:abstractNumId w:val="28"/>
  </w:num>
  <w:num w:numId="29">
    <w:abstractNumId w:val="9"/>
  </w:num>
  <w:num w:numId="30">
    <w:abstractNumId w:val="34"/>
  </w:num>
  <w:num w:numId="31">
    <w:abstractNumId w:val="22"/>
  </w:num>
  <w:num w:numId="32">
    <w:abstractNumId w:val="25"/>
  </w:num>
  <w:num w:numId="33">
    <w:abstractNumId w:val="21"/>
  </w:num>
  <w:num w:numId="34">
    <w:abstractNumId w:val="32"/>
  </w:num>
  <w:num w:numId="35">
    <w:abstractNumId w:val="30"/>
  </w:num>
  <w:num w:numId="36">
    <w:abstractNumId w:val="29"/>
  </w:num>
  <w:num w:numId="37">
    <w:abstractNumId w:val="2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B1"/>
    <w:rsid w:val="000630E1"/>
    <w:rsid w:val="00103D04"/>
    <w:rsid w:val="0012151C"/>
    <w:rsid w:val="001C18D6"/>
    <w:rsid w:val="00214FE0"/>
    <w:rsid w:val="00291B6B"/>
    <w:rsid w:val="002B3A50"/>
    <w:rsid w:val="0030325B"/>
    <w:rsid w:val="00303EE3"/>
    <w:rsid w:val="00366C5F"/>
    <w:rsid w:val="003A7E92"/>
    <w:rsid w:val="003D03B5"/>
    <w:rsid w:val="004341D5"/>
    <w:rsid w:val="004662ED"/>
    <w:rsid w:val="0048476F"/>
    <w:rsid w:val="00487D1B"/>
    <w:rsid w:val="004979B1"/>
    <w:rsid w:val="004E3FE4"/>
    <w:rsid w:val="0055535A"/>
    <w:rsid w:val="00584383"/>
    <w:rsid w:val="005A7616"/>
    <w:rsid w:val="00656DEB"/>
    <w:rsid w:val="00667103"/>
    <w:rsid w:val="006F0EC3"/>
    <w:rsid w:val="00725E0F"/>
    <w:rsid w:val="007936F4"/>
    <w:rsid w:val="0086691F"/>
    <w:rsid w:val="00891ACF"/>
    <w:rsid w:val="0097213F"/>
    <w:rsid w:val="00A205AE"/>
    <w:rsid w:val="00AE0C5C"/>
    <w:rsid w:val="00B90418"/>
    <w:rsid w:val="00B92D0F"/>
    <w:rsid w:val="00BC2C41"/>
    <w:rsid w:val="00C46907"/>
    <w:rsid w:val="00CC1386"/>
    <w:rsid w:val="00D1307A"/>
    <w:rsid w:val="00D20A15"/>
    <w:rsid w:val="00D524C7"/>
    <w:rsid w:val="00D552C9"/>
    <w:rsid w:val="00DE62AD"/>
    <w:rsid w:val="00E06840"/>
    <w:rsid w:val="00E25A01"/>
    <w:rsid w:val="00E30A5B"/>
    <w:rsid w:val="00E86757"/>
    <w:rsid w:val="00E9506B"/>
    <w:rsid w:val="00EB45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3E23"/>
  <w15:chartTrackingRefBased/>
  <w15:docId w15:val="{A3E21764-37ED-4E0F-90F0-1679EF52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9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79B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979B1"/>
    <w:rPr>
      <w:rFonts w:eastAsiaTheme="minorEastAsia"/>
      <w:sz w:val="24"/>
      <w:szCs w:val="24"/>
      <w:lang w:val="es-ES_tradnl" w:eastAsia="es-ES"/>
    </w:rPr>
  </w:style>
  <w:style w:type="paragraph" w:styleId="Piedepgina">
    <w:name w:val="footer"/>
    <w:basedOn w:val="Normal"/>
    <w:link w:val="PiedepginaCar"/>
    <w:uiPriority w:val="99"/>
    <w:unhideWhenUsed/>
    <w:rsid w:val="004979B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979B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979B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979B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979B1"/>
    <w:pPr>
      <w:spacing w:after="0" w:line="240" w:lineRule="auto"/>
    </w:pPr>
  </w:style>
  <w:style w:type="character" w:customStyle="1" w:styleId="SinespaciadoCar">
    <w:name w:val="Sin espaciado Car"/>
    <w:aliases w:val="Francesa Car,INAI Car"/>
    <w:link w:val="Sinespaciado"/>
    <w:uiPriority w:val="1"/>
    <w:locked/>
    <w:rsid w:val="004979B1"/>
  </w:style>
  <w:style w:type="character" w:styleId="Hipervnculo">
    <w:name w:val="Hyperlink"/>
    <w:aliases w:val="Hipervínculo1,Hipervínculo11,Hipervínculo12,Hipervínculo13,Hipervínculo14,Hipervínculo15"/>
    <w:basedOn w:val="Fuentedeprrafopredeter"/>
    <w:uiPriority w:val="99"/>
    <w:unhideWhenUsed/>
    <w:rsid w:val="004979B1"/>
    <w:rPr>
      <w:color w:val="0563C1" w:themeColor="hyperlink"/>
      <w:u w:val="single"/>
    </w:rPr>
  </w:style>
  <w:style w:type="paragraph" w:customStyle="1" w:styleId="INFOEM">
    <w:name w:val="INFOEM"/>
    <w:basedOn w:val="Normal"/>
    <w:qFormat/>
    <w:rsid w:val="004979B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4979B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979B1"/>
    <w:rPr>
      <w:vertAlign w:val="superscript"/>
    </w:rPr>
  </w:style>
  <w:style w:type="paragraph" w:customStyle="1" w:styleId="infoemcitas">
    <w:name w:val="infoem citas"/>
    <w:basedOn w:val="Normal"/>
    <w:qFormat/>
    <w:rsid w:val="004979B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49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9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979B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4979B1"/>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4979B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marGSanchezV/videos/100251955502695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32</Pages>
  <Words>7312</Words>
  <Characters>40217</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9</cp:revision>
  <dcterms:created xsi:type="dcterms:W3CDTF">2025-07-01T20:01:00Z</dcterms:created>
  <dcterms:modified xsi:type="dcterms:W3CDTF">2025-08-22T19:13:00Z</dcterms:modified>
</cp:coreProperties>
</file>