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9C3DA" w14:textId="2CFCA92F" w:rsidR="00A82033" w:rsidRPr="00F00356" w:rsidRDefault="00E64F74" w:rsidP="00F00356">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F0035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F00356">
        <w:rPr>
          <w:rFonts w:ascii="Palatino Linotype" w:eastAsia="Palatino Linotype" w:hAnsi="Palatino Linotype" w:cs="Palatino Linotype"/>
          <w:b/>
          <w:color w:val="000000" w:themeColor="text1"/>
        </w:rPr>
        <w:t>veintidós</w:t>
      </w:r>
      <w:r w:rsidR="00D422E9">
        <w:rPr>
          <w:rFonts w:ascii="Palatino Linotype" w:eastAsia="Palatino Linotype" w:hAnsi="Palatino Linotype" w:cs="Palatino Linotype"/>
          <w:b/>
          <w:color w:val="000000" w:themeColor="text1"/>
        </w:rPr>
        <w:t xml:space="preserve"> (22)</w:t>
      </w:r>
      <w:r w:rsidRPr="00F00356">
        <w:rPr>
          <w:rFonts w:ascii="Palatino Linotype" w:eastAsia="Palatino Linotype" w:hAnsi="Palatino Linotype" w:cs="Palatino Linotype"/>
          <w:b/>
          <w:color w:val="000000" w:themeColor="text1"/>
        </w:rPr>
        <w:t xml:space="preserve"> de octubre de dos mil veinticinco</w:t>
      </w:r>
      <w:r w:rsidRPr="00F00356">
        <w:rPr>
          <w:rFonts w:ascii="Palatino Linotype" w:eastAsia="Palatino Linotype" w:hAnsi="Palatino Linotype" w:cs="Palatino Linotype"/>
          <w:color w:val="000000" w:themeColor="text1"/>
        </w:rPr>
        <w:t>.</w:t>
      </w:r>
    </w:p>
    <w:p w14:paraId="273B75F6" w14:textId="77777777" w:rsidR="00A82033" w:rsidRPr="00F00356" w:rsidRDefault="00A82033" w:rsidP="00F00356">
      <w:pPr>
        <w:tabs>
          <w:tab w:val="left" w:pos="3465"/>
        </w:tabs>
        <w:spacing w:line="360" w:lineRule="auto"/>
        <w:jc w:val="both"/>
        <w:rPr>
          <w:rFonts w:ascii="Palatino Linotype" w:eastAsia="Palatino Linotype" w:hAnsi="Palatino Linotype" w:cs="Palatino Linotype"/>
          <w:color w:val="000000" w:themeColor="text1"/>
        </w:rPr>
      </w:pPr>
    </w:p>
    <w:p w14:paraId="2F292A45" w14:textId="61A04DE3" w:rsidR="00A82033" w:rsidRPr="00F00356" w:rsidRDefault="00E64F74"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VISTO</w:t>
      </w:r>
      <w:r w:rsidRPr="00F00356">
        <w:rPr>
          <w:rFonts w:ascii="Palatino Linotype" w:eastAsia="Palatino Linotype" w:hAnsi="Palatino Linotype" w:cs="Palatino Linotype"/>
          <w:color w:val="000000" w:themeColor="text1"/>
        </w:rPr>
        <w:t xml:space="preserve"> el expediente electrónico formado con motivo del recurso de revisión </w:t>
      </w:r>
      <w:r w:rsidRPr="00F00356">
        <w:rPr>
          <w:rFonts w:ascii="Palatino Linotype" w:eastAsia="Palatino Linotype" w:hAnsi="Palatino Linotype" w:cs="Palatino Linotype"/>
          <w:b/>
          <w:color w:val="000000" w:themeColor="text1"/>
        </w:rPr>
        <w:t xml:space="preserve">05378/INFOEM/IP/RR/2025, </w:t>
      </w:r>
      <w:r w:rsidRPr="00F00356">
        <w:rPr>
          <w:rFonts w:ascii="Palatino Linotype" w:eastAsia="Palatino Linotype" w:hAnsi="Palatino Linotype" w:cs="Palatino Linotype"/>
          <w:color w:val="000000" w:themeColor="text1"/>
        </w:rPr>
        <w:t>promovido por</w:t>
      </w:r>
      <w:r w:rsidR="00F03427">
        <w:rPr>
          <w:rFonts w:ascii="Palatino Linotype" w:eastAsia="Palatino Linotype" w:hAnsi="Palatino Linotype" w:cs="Palatino Linotype"/>
          <w:b/>
          <w:color w:val="000000" w:themeColor="text1"/>
        </w:rPr>
        <w:t xml:space="preserve"> XXXX</w:t>
      </w:r>
      <w:r w:rsidRPr="00F00356">
        <w:rPr>
          <w:rFonts w:ascii="Palatino Linotype" w:eastAsia="Palatino Linotype" w:hAnsi="Palatino Linotype" w:cs="Palatino Linotype"/>
          <w:color w:val="000000" w:themeColor="text1"/>
        </w:rPr>
        <w:t xml:space="preserve">, a quien en lo sucesivo se le identificará como </w:t>
      </w:r>
      <w:r w:rsidRPr="00F00356">
        <w:rPr>
          <w:rFonts w:ascii="Palatino Linotype" w:eastAsia="Palatino Linotype" w:hAnsi="Palatino Linotype" w:cs="Palatino Linotype"/>
          <w:b/>
          <w:color w:val="000000" w:themeColor="text1"/>
        </w:rPr>
        <w:t>EL RECURRENTE</w:t>
      </w:r>
      <w:r w:rsidRPr="00F00356">
        <w:rPr>
          <w:rFonts w:ascii="Palatino Linotype" w:eastAsia="Palatino Linotype" w:hAnsi="Palatino Linotype" w:cs="Palatino Linotype"/>
          <w:color w:val="000000" w:themeColor="text1"/>
        </w:rPr>
        <w:t xml:space="preserve">, en contra de la falta de  respuesta del </w:t>
      </w:r>
      <w:r w:rsidRPr="00F00356">
        <w:rPr>
          <w:rFonts w:ascii="Palatino Linotype" w:eastAsia="Palatino Linotype" w:hAnsi="Palatino Linotype" w:cs="Palatino Linotype"/>
          <w:b/>
          <w:color w:val="000000" w:themeColor="text1"/>
        </w:rPr>
        <w:t xml:space="preserve">Ayuntamiento de Toluca, </w:t>
      </w:r>
      <w:r w:rsidRPr="00F00356">
        <w:rPr>
          <w:rFonts w:ascii="Palatino Linotype" w:eastAsia="Palatino Linotype" w:hAnsi="Palatino Linotype" w:cs="Palatino Linotype"/>
          <w:color w:val="000000" w:themeColor="text1"/>
        </w:rPr>
        <w:t>en adelante el</w:t>
      </w:r>
      <w:r w:rsidRPr="00F00356">
        <w:rPr>
          <w:rFonts w:ascii="Palatino Linotype" w:eastAsia="Palatino Linotype" w:hAnsi="Palatino Linotype" w:cs="Palatino Linotype"/>
          <w:b/>
          <w:color w:val="000000" w:themeColor="text1"/>
        </w:rPr>
        <w:t xml:space="preserve"> SUJETO OBLIGADO</w:t>
      </w:r>
      <w:r w:rsidRPr="00F00356">
        <w:rPr>
          <w:rFonts w:ascii="Palatino Linotype" w:eastAsia="Palatino Linotype" w:hAnsi="Palatino Linotype" w:cs="Palatino Linotype"/>
          <w:color w:val="000000" w:themeColor="text1"/>
        </w:rPr>
        <w:t>, se procede a dictar la presente resolución, con base en los siguientes:</w:t>
      </w:r>
    </w:p>
    <w:p w14:paraId="73F3457D" w14:textId="77777777" w:rsidR="00D422E9" w:rsidRDefault="00D422E9" w:rsidP="00F00356">
      <w:pPr>
        <w:pStyle w:val="Ttulo1"/>
        <w:spacing w:before="0" w:line="360" w:lineRule="auto"/>
        <w:jc w:val="center"/>
        <w:rPr>
          <w:rFonts w:ascii="Palatino Linotype" w:eastAsia="Palatino Linotype" w:hAnsi="Palatino Linotype" w:cs="Palatino Linotype"/>
          <w:b/>
          <w:color w:val="000000" w:themeColor="text1"/>
          <w:sz w:val="24"/>
          <w:szCs w:val="24"/>
        </w:rPr>
      </w:pPr>
    </w:p>
    <w:p w14:paraId="594772FB" w14:textId="77777777" w:rsidR="00A82033" w:rsidRPr="00F00356" w:rsidRDefault="00E64F74" w:rsidP="00F00356">
      <w:pPr>
        <w:pStyle w:val="Ttulo1"/>
        <w:spacing w:before="0" w:line="360" w:lineRule="auto"/>
        <w:jc w:val="center"/>
        <w:rPr>
          <w:rFonts w:ascii="Palatino Linotype" w:eastAsia="Palatino Linotype" w:hAnsi="Palatino Linotype" w:cs="Palatino Linotype"/>
          <w:b/>
          <w:color w:val="000000" w:themeColor="text1"/>
          <w:sz w:val="24"/>
          <w:szCs w:val="24"/>
        </w:rPr>
      </w:pPr>
      <w:r w:rsidRPr="00F00356">
        <w:rPr>
          <w:rFonts w:ascii="Palatino Linotype" w:eastAsia="Palatino Linotype" w:hAnsi="Palatino Linotype" w:cs="Palatino Linotype"/>
          <w:b/>
          <w:color w:val="000000" w:themeColor="text1"/>
          <w:sz w:val="24"/>
          <w:szCs w:val="24"/>
        </w:rPr>
        <w:t>A N T E C E D E N T E S</w:t>
      </w:r>
    </w:p>
    <w:p w14:paraId="2512DFD3" w14:textId="77777777" w:rsidR="00A82033" w:rsidRPr="00F00356" w:rsidRDefault="00A82033" w:rsidP="00F00356">
      <w:pPr>
        <w:rPr>
          <w:rFonts w:ascii="Palatino Linotype" w:hAnsi="Palatino Linotype"/>
          <w:color w:val="000000" w:themeColor="text1"/>
        </w:rPr>
      </w:pPr>
    </w:p>
    <w:p w14:paraId="602176EB"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El día</w:t>
      </w:r>
      <w:r w:rsidRPr="00F00356">
        <w:rPr>
          <w:rFonts w:ascii="Palatino Linotype" w:eastAsia="Palatino Linotype" w:hAnsi="Palatino Linotype" w:cs="Palatino Linotype"/>
          <w:b/>
          <w:color w:val="000000" w:themeColor="text1"/>
        </w:rPr>
        <w:t xml:space="preserve"> nueve de abril de dos mil veinticinco, </w:t>
      </w:r>
      <w:r w:rsidRPr="00F00356">
        <w:rPr>
          <w:rFonts w:ascii="Palatino Linotype" w:eastAsia="Palatino Linotype" w:hAnsi="Palatino Linotype" w:cs="Palatino Linotype"/>
          <w:color w:val="000000" w:themeColor="text1"/>
        </w:rPr>
        <w:t xml:space="preserve">el solicitante presento una solicitud de información ante el </w:t>
      </w:r>
      <w:r w:rsidRPr="00F00356">
        <w:rPr>
          <w:rFonts w:ascii="Palatino Linotype" w:eastAsia="Palatino Linotype" w:hAnsi="Palatino Linotype" w:cs="Palatino Linotype"/>
          <w:b/>
          <w:color w:val="000000" w:themeColor="text1"/>
        </w:rPr>
        <w:t>SUJETO OBLIGADO vía SAIMEX,</w:t>
      </w:r>
      <w:r w:rsidRPr="00F00356">
        <w:rPr>
          <w:rFonts w:ascii="Palatino Linotype" w:eastAsia="Palatino Linotype" w:hAnsi="Palatino Linotype" w:cs="Palatino Linotype"/>
          <w:color w:val="000000" w:themeColor="text1"/>
        </w:rPr>
        <w:t xml:space="preserve"> la solicitud de información pública fue  registrada con el número</w:t>
      </w:r>
      <w:r w:rsidRPr="00F00356">
        <w:rPr>
          <w:rFonts w:ascii="Palatino Linotype" w:eastAsia="Palatino Linotype" w:hAnsi="Palatino Linotype" w:cs="Palatino Linotype"/>
          <w:b/>
          <w:color w:val="000000" w:themeColor="text1"/>
        </w:rPr>
        <w:t xml:space="preserve"> 02116/TOLUCA/IP/2025; </w:t>
      </w:r>
      <w:r w:rsidRPr="00F00356">
        <w:rPr>
          <w:rFonts w:ascii="Palatino Linotype" w:eastAsia="Palatino Linotype" w:hAnsi="Palatino Linotype" w:cs="Palatino Linotype"/>
          <w:color w:val="000000" w:themeColor="text1"/>
        </w:rPr>
        <w:t>en la que se solicitó la siguiente información:</w:t>
      </w:r>
    </w:p>
    <w:p w14:paraId="7EDC0A55"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A854D79"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i/>
          <w:color w:val="000000" w:themeColor="text1"/>
        </w:rPr>
        <w:t>“Se solicita el expediente completo de los participantes para defensores de derechos humanos de todos los ganadores y los participantes, con su curricular, carta de postulacion, programa de trabajo, y los requisitos d ela convocatoria del año 2016 a la fecha.”</w:t>
      </w:r>
    </w:p>
    <w:p w14:paraId="46F9F8B1" w14:textId="77777777" w:rsidR="00A82033"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6BDCF4F" w14:textId="77777777" w:rsidR="00D422E9" w:rsidRPr="00F00356" w:rsidRDefault="00D422E9"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C6810E" w14:textId="77777777" w:rsidR="00A82033" w:rsidRPr="00F00356" w:rsidRDefault="00E64F74" w:rsidP="00F0035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Se eligió como modalidad de entrega de la información: A través del </w:t>
      </w:r>
      <w:r w:rsidRPr="00F00356">
        <w:rPr>
          <w:rFonts w:ascii="Palatino Linotype" w:eastAsia="Palatino Linotype" w:hAnsi="Palatino Linotype" w:cs="Palatino Linotype"/>
          <w:b/>
          <w:color w:val="000000" w:themeColor="text1"/>
        </w:rPr>
        <w:t>SAIMEX.</w:t>
      </w:r>
    </w:p>
    <w:p w14:paraId="2051DF5D"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FF2AE3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El </w:t>
      </w:r>
      <w:r w:rsidRPr="00F00356">
        <w:rPr>
          <w:rFonts w:ascii="Palatino Linotype" w:eastAsia="Palatino Linotype" w:hAnsi="Palatino Linotype" w:cs="Palatino Linotype"/>
          <w:b/>
          <w:color w:val="000000" w:themeColor="text1"/>
        </w:rPr>
        <w:t xml:space="preserve">nueve de abril de dos mil veinticinco, </w:t>
      </w:r>
      <w:r w:rsidRPr="00F00356">
        <w:rPr>
          <w:rFonts w:ascii="Palatino Linotype" w:eastAsia="Palatino Linotype" w:hAnsi="Palatino Linotype" w:cs="Palatino Linotype"/>
          <w:color w:val="000000" w:themeColor="text1"/>
        </w:rPr>
        <w:t xml:space="preserve">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giro el requerimiento de información para que fuera atendida la solicitud de información </w:t>
      </w:r>
      <w:r w:rsidRPr="00F00356">
        <w:rPr>
          <w:rFonts w:ascii="Palatino Linotype" w:eastAsia="Palatino Linotype" w:hAnsi="Palatino Linotype" w:cs="Palatino Linotype"/>
          <w:b/>
          <w:color w:val="000000" w:themeColor="text1"/>
        </w:rPr>
        <w:t xml:space="preserve">02116/TOLUCA/IP/2025. </w:t>
      </w:r>
    </w:p>
    <w:p w14:paraId="1C11DC4E"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3D66E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Como se observa del tablero del Sistema de Acceso a la Información el </w:t>
      </w:r>
      <w:r w:rsidRPr="00F00356">
        <w:rPr>
          <w:rFonts w:ascii="Palatino Linotype" w:eastAsia="Palatino Linotype" w:hAnsi="Palatino Linotype" w:cs="Palatino Linotype"/>
          <w:b/>
          <w:color w:val="000000" w:themeColor="text1"/>
        </w:rPr>
        <w:t>SUJETO OBLIGADO fue omiso en rendir respuesta a la solicitud de información 02116/TOLUCA/IP/2025</w:t>
      </w:r>
      <w:r w:rsidRPr="00F00356">
        <w:rPr>
          <w:rFonts w:ascii="Palatino Linotype" w:eastAsia="Palatino Linotype" w:hAnsi="Palatino Linotype" w:cs="Palatino Linotype"/>
          <w:color w:val="000000" w:themeColor="text1"/>
        </w:rPr>
        <w:t xml:space="preserve">. </w:t>
      </w:r>
    </w:p>
    <w:p w14:paraId="72A10866"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6CC2DA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lo anterior, ante la falta de respuesta del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el entonces </w:t>
      </w:r>
      <w:r w:rsidRPr="00F00356">
        <w:rPr>
          <w:rFonts w:ascii="Palatino Linotype" w:eastAsia="Palatino Linotype" w:hAnsi="Palatino Linotype" w:cs="Palatino Linotype"/>
          <w:b/>
          <w:color w:val="000000" w:themeColor="text1"/>
        </w:rPr>
        <w:t xml:space="preserve">SOLICITANTE </w:t>
      </w:r>
      <w:r w:rsidRPr="00F00356">
        <w:rPr>
          <w:rFonts w:ascii="Palatino Linotype" w:eastAsia="Palatino Linotype" w:hAnsi="Palatino Linotype" w:cs="Palatino Linotype"/>
          <w:color w:val="000000" w:themeColor="text1"/>
        </w:rPr>
        <w:t>interpuso el recurso de revisión, y, señaló como:</w:t>
      </w:r>
    </w:p>
    <w:p w14:paraId="020088EF"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991F8D0" w14:textId="77777777" w:rsidR="00A82033" w:rsidRPr="00F00356" w:rsidRDefault="00E64F74" w:rsidP="00F00356">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 xml:space="preserve">Acto impugnado: </w:t>
      </w:r>
      <w:r w:rsidRPr="00F00356">
        <w:rPr>
          <w:rFonts w:ascii="Palatino Linotype" w:eastAsia="Palatino Linotype" w:hAnsi="Palatino Linotype" w:cs="Palatino Linotype"/>
          <w:i/>
          <w:color w:val="000000" w:themeColor="text1"/>
        </w:rPr>
        <w:t>“Me quede esperando la respuesta a mi solicitud.” (Sic)</w:t>
      </w:r>
    </w:p>
    <w:p w14:paraId="2003220D" w14:textId="77777777" w:rsidR="00A82033" w:rsidRPr="00F00356" w:rsidRDefault="00A82033" w:rsidP="00F00356">
      <w:pPr>
        <w:pBdr>
          <w:top w:val="nil"/>
          <w:left w:val="nil"/>
          <w:bottom w:val="nil"/>
          <w:right w:val="nil"/>
          <w:between w:val="nil"/>
        </w:pBdr>
        <w:jc w:val="both"/>
        <w:rPr>
          <w:rFonts w:ascii="Palatino Linotype" w:eastAsia="Palatino Linotype" w:hAnsi="Palatino Linotype" w:cs="Palatino Linotype"/>
          <w:i/>
          <w:color w:val="000000" w:themeColor="text1"/>
        </w:rPr>
      </w:pPr>
    </w:p>
    <w:p w14:paraId="333E1913" w14:textId="77777777" w:rsidR="00A82033" w:rsidRPr="00F00356" w:rsidRDefault="00E64F74" w:rsidP="00F00356">
      <w:pPr>
        <w:numPr>
          <w:ilvl w:val="0"/>
          <w:numId w:val="6"/>
        </w:numPr>
        <w:pBdr>
          <w:top w:val="nil"/>
          <w:left w:val="nil"/>
          <w:bottom w:val="nil"/>
          <w:right w:val="nil"/>
          <w:between w:val="nil"/>
        </w:pBdr>
        <w:ind w:left="0" w:firstLine="0"/>
        <w:jc w:val="both"/>
        <w:rPr>
          <w:rFonts w:ascii="Palatino Linotype" w:eastAsia="Times New Roman" w:hAnsi="Palatino Linotype" w:cs="Times New Roman"/>
          <w:color w:val="000000" w:themeColor="text1"/>
        </w:rPr>
      </w:pPr>
      <w:r w:rsidRPr="00F00356">
        <w:rPr>
          <w:rFonts w:ascii="Palatino Linotype" w:eastAsia="Palatino Linotype" w:hAnsi="Palatino Linotype" w:cs="Palatino Linotype"/>
          <w:b/>
          <w:color w:val="000000" w:themeColor="text1"/>
        </w:rPr>
        <w:t>Razones o Motivos de Inconformidad:</w:t>
      </w:r>
      <w:r w:rsidRPr="00F00356">
        <w:rPr>
          <w:rFonts w:ascii="Palatino Linotype" w:eastAsia="Palatino Linotype" w:hAnsi="Palatino Linotype" w:cs="Palatino Linotype"/>
          <w:b/>
          <w:i/>
          <w:color w:val="000000" w:themeColor="text1"/>
        </w:rPr>
        <w:t xml:space="preserve"> </w:t>
      </w:r>
      <w:r w:rsidRPr="00F00356">
        <w:rPr>
          <w:rFonts w:ascii="Palatino Linotype" w:eastAsia="Verdana" w:hAnsi="Palatino Linotype" w:cs="Verdana"/>
          <w:color w:val="000000" w:themeColor="text1"/>
        </w:rPr>
        <w:t>“</w:t>
      </w:r>
      <w:r w:rsidRPr="00F00356">
        <w:rPr>
          <w:rFonts w:ascii="Palatino Linotype" w:eastAsia="Palatino Linotype" w:hAnsi="Palatino Linotype" w:cs="Palatino Linotype"/>
          <w:i/>
          <w:color w:val="000000" w:themeColor="text1"/>
        </w:rPr>
        <w:t>Es una hecho de convencionalidad violentando nunca dieron respuesta a la solicitud." (Sic)</w:t>
      </w:r>
    </w:p>
    <w:p w14:paraId="7054CB43" w14:textId="77777777" w:rsidR="00A82033" w:rsidRPr="00F00356" w:rsidRDefault="00A82033" w:rsidP="00F00356">
      <w:pPr>
        <w:spacing w:line="360" w:lineRule="auto"/>
        <w:rPr>
          <w:rFonts w:ascii="Palatino Linotype" w:eastAsia="Palatino Linotype" w:hAnsi="Palatino Linotype" w:cs="Palatino Linotype"/>
          <w:i/>
          <w:color w:val="000000" w:themeColor="text1"/>
        </w:rPr>
      </w:pPr>
    </w:p>
    <w:p w14:paraId="0006AF9F"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F00356">
        <w:rPr>
          <w:rFonts w:ascii="Palatino Linotype" w:eastAsia="Palatino Linotype" w:hAnsi="Palatino Linotype" w:cs="Palatino Linotype"/>
          <w:b/>
          <w:color w:val="000000" w:themeColor="text1"/>
        </w:rPr>
        <w:t>quince de mayo de dos mil veinticinco</w:t>
      </w:r>
      <w:r w:rsidRPr="00F00356">
        <w:rPr>
          <w:rFonts w:ascii="Palatino Linotype" w:eastAsia="Palatino Linotype" w:hAnsi="Palatino Linotype" w:cs="Palatino Linotype"/>
          <w:color w:val="000000" w:themeColor="text1"/>
        </w:rPr>
        <w:t xml:space="preserve">, puso a disposición de las partes el expediente electrónico vía </w:t>
      </w:r>
      <w:r w:rsidRPr="00F00356">
        <w:rPr>
          <w:rFonts w:ascii="Palatino Linotype" w:eastAsia="Palatino Linotype" w:hAnsi="Palatino Linotype" w:cs="Palatino Linotype"/>
          <w:b/>
          <w:color w:val="000000" w:themeColor="text1"/>
        </w:rPr>
        <w:t xml:space="preserve">SAIMEX </w:t>
      </w:r>
      <w:r w:rsidRPr="00F00356">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 xml:space="preserve"> presentará el Informe Justificado procedente.</w:t>
      </w:r>
    </w:p>
    <w:p w14:paraId="1B8C17FE"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812BB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De lo anterior,</w:t>
      </w:r>
      <w:r w:rsidRPr="00F00356">
        <w:rPr>
          <w:rFonts w:ascii="Palatino Linotype" w:eastAsia="Palatino Linotype" w:hAnsi="Palatino Linotype" w:cs="Palatino Linotype"/>
          <w:b/>
          <w:color w:val="000000" w:themeColor="text1"/>
        </w:rPr>
        <w:t xml:space="preserve"> </w:t>
      </w:r>
      <w:r w:rsidRPr="00F00356">
        <w:rPr>
          <w:rFonts w:ascii="Palatino Linotype" w:eastAsia="Palatino Linotype" w:hAnsi="Palatino Linotype" w:cs="Palatino Linotype"/>
          <w:color w:val="000000" w:themeColor="text1"/>
        </w:rPr>
        <w:t xml:space="preserve">el </w:t>
      </w:r>
      <w:r w:rsidRPr="00F00356">
        <w:rPr>
          <w:rFonts w:ascii="Palatino Linotype" w:eastAsia="Palatino Linotype" w:hAnsi="Palatino Linotype" w:cs="Palatino Linotype"/>
          <w:b/>
          <w:color w:val="000000" w:themeColor="text1"/>
        </w:rPr>
        <w:t>veintitrés de mayo de dos mil veinticinco</w:t>
      </w:r>
      <w:r w:rsidRPr="002A11A1">
        <w:rPr>
          <w:rFonts w:ascii="Palatino Linotype" w:eastAsia="Palatino Linotype" w:hAnsi="Palatino Linotype" w:cs="Palatino Linotype"/>
          <w:b/>
          <w:color w:val="000000" w:themeColor="text1"/>
        </w:rPr>
        <w:t xml:space="preserve">, </w:t>
      </w:r>
      <w:r w:rsidRPr="002A11A1">
        <w:rPr>
          <w:rFonts w:ascii="Palatino Linotype" w:eastAsia="Palatino Linotype" w:hAnsi="Palatino Linotype" w:cs="Palatino Linotype"/>
          <w:color w:val="000000" w:themeColor="text1"/>
        </w:rPr>
        <w:t xml:space="preserve">el </w:t>
      </w:r>
      <w:r w:rsidR="00515F0B" w:rsidRPr="002A11A1">
        <w:rPr>
          <w:rFonts w:ascii="Palatino Linotype" w:eastAsia="Palatino Linotype" w:hAnsi="Palatino Linotype" w:cs="Palatino Linotype"/>
          <w:b/>
          <w:color w:val="000000" w:themeColor="text1"/>
        </w:rPr>
        <w:t xml:space="preserve">SUJETO OBLIGADO </w:t>
      </w:r>
      <w:r w:rsidRPr="002A11A1">
        <w:rPr>
          <w:rFonts w:ascii="Palatino Linotype" w:eastAsia="Palatino Linotype" w:hAnsi="Palatino Linotype" w:cs="Palatino Linotype"/>
          <w:color w:val="000000" w:themeColor="text1"/>
        </w:rPr>
        <w:t>entrego dos archivos electrónicos en formato en pdf, cuyo</w:t>
      </w:r>
      <w:r w:rsidRPr="00F00356">
        <w:rPr>
          <w:rFonts w:ascii="Palatino Linotype" w:eastAsia="Palatino Linotype" w:hAnsi="Palatino Linotype" w:cs="Palatino Linotype"/>
          <w:color w:val="000000" w:themeColor="text1"/>
        </w:rPr>
        <w:t xml:space="preserve"> contenido grosso modo es el siguiente.</w:t>
      </w:r>
    </w:p>
    <w:p w14:paraId="6FCA292B"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lastRenderedPageBreak/>
        <w:t xml:space="preserve">Ratificación 05378.pdf: </w:t>
      </w:r>
      <w:r w:rsidRPr="00F00356">
        <w:rPr>
          <w:rFonts w:ascii="Palatino Linotype" w:eastAsia="Palatino Linotype" w:hAnsi="Palatino Linotype" w:cs="Palatino Linotype"/>
          <w:i/>
          <w:color w:val="000000" w:themeColor="text1"/>
        </w:rPr>
        <w:t xml:space="preserve">oficio del Titular de la Unidad de Transparencia, mediante el cual ratifica las respuestas de la Secretaría de Ayuntamiento, de la Dirección General de Administración y de la Defensoría Municipal de Derechos Humanos. </w:t>
      </w:r>
    </w:p>
    <w:p w14:paraId="399A5088" w14:textId="77777777" w:rsidR="00A82033" w:rsidRDefault="00A82033" w:rsidP="00F00356">
      <w:pPr>
        <w:pBdr>
          <w:top w:val="nil"/>
          <w:left w:val="nil"/>
          <w:bottom w:val="nil"/>
          <w:right w:val="nil"/>
          <w:between w:val="nil"/>
        </w:pBdr>
        <w:jc w:val="both"/>
        <w:rPr>
          <w:rFonts w:ascii="Palatino Linotype" w:eastAsia="Palatino Linotype" w:hAnsi="Palatino Linotype" w:cs="Palatino Linotype"/>
          <w:i/>
          <w:color w:val="000000" w:themeColor="text1"/>
        </w:rPr>
      </w:pPr>
    </w:p>
    <w:p w14:paraId="70103943" w14:textId="77777777" w:rsidR="00F00356" w:rsidRPr="00F00356" w:rsidRDefault="00F00356" w:rsidP="00F00356">
      <w:pPr>
        <w:pBdr>
          <w:top w:val="nil"/>
          <w:left w:val="nil"/>
          <w:bottom w:val="nil"/>
          <w:right w:val="nil"/>
          <w:between w:val="nil"/>
        </w:pBdr>
        <w:jc w:val="both"/>
        <w:rPr>
          <w:rFonts w:ascii="Palatino Linotype" w:eastAsia="Palatino Linotype" w:hAnsi="Palatino Linotype" w:cs="Palatino Linotype"/>
          <w:i/>
          <w:color w:val="000000" w:themeColor="text1"/>
        </w:rPr>
      </w:pPr>
    </w:p>
    <w:p w14:paraId="3971A099" w14:textId="77777777" w:rsidR="00A82033" w:rsidRDefault="00E64F74" w:rsidP="00F00356">
      <w:pPr>
        <w:pBdr>
          <w:top w:val="nil"/>
          <w:left w:val="nil"/>
          <w:bottom w:val="nil"/>
          <w:right w:val="nil"/>
          <w:between w:val="nil"/>
        </w:pBd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oficio de la Directora General de Administración, mediante el cual que lo solicitado no forma parte de su competencia.</w:t>
      </w:r>
    </w:p>
    <w:p w14:paraId="572ADEBA" w14:textId="77777777" w:rsidR="00F00356" w:rsidRPr="00F00356" w:rsidRDefault="00F00356" w:rsidP="00F00356">
      <w:pPr>
        <w:pBdr>
          <w:top w:val="nil"/>
          <w:left w:val="nil"/>
          <w:bottom w:val="nil"/>
          <w:right w:val="nil"/>
          <w:between w:val="nil"/>
        </w:pBdr>
        <w:jc w:val="both"/>
        <w:rPr>
          <w:rFonts w:ascii="Palatino Linotype" w:eastAsia="Palatino Linotype" w:hAnsi="Palatino Linotype" w:cs="Palatino Linotype"/>
          <w:i/>
          <w:color w:val="000000" w:themeColor="text1"/>
        </w:rPr>
      </w:pPr>
    </w:p>
    <w:p w14:paraId="22AF7AE9" w14:textId="77777777" w:rsidR="00515F0B" w:rsidRPr="00F00356" w:rsidRDefault="00515F0B" w:rsidP="00F00356">
      <w:pPr>
        <w:pBdr>
          <w:top w:val="nil"/>
          <w:left w:val="nil"/>
          <w:bottom w:val="nil"/>
          <w:right w:val="nil"/>
          <w:between w:val="nil"/>
        </w:pBdr>
        <w:jc w:val="both"/>
        <w:rPr>
          <w:rFonts w:ascii="Palatino Linotype" w:eastAsia="Palatino Linotype" w:hAnsi="Palatino Linotype" w:cs="Palatino Linotype"/>
          <w:i/>
          <w:color w:val="000000" w:themeColor="text1"/>
        </w:rPr>
      </w:pPr>
    </w:p>
    <w:p w14:paraId="410B015B"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Por su parte 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 xml:space="preserve">dejo de realizar manifestaciones que a su derecho conviniera y asistiera. </w:t>
      </w:r>
    </w:p>
    <w:p w14:paraId="5E3FC930" w14:textId="77777777" w:rsidR="00A82033" w:rsidRPr="00F00356" w:rsidRDefault="00A82033" w:rsidP="00F00356">
      <w:pPr>
        <w:rPr>
          <w:rFonts w:ascii="Palatino Linotype" w:eastAsia="Palatino Linotype" w:hAnsi="Palatino Linotype" w:cs="Palatino Linotype"/>
          <w:color w:val="000000" w:themeColor="text1"/>
          <w:highlight w:val="white"/>
        </w:rPr>
      </w:pPr>
      <w:bookmarkStart w:id="1" w:name="_heading=h.3znysh7" w:colFirst="0" w:colLast="0"/>
      <w:bookmarkEnd w:id="1"/>
    </w:p>
    <w:p w14:paraId="50161B11"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w:t>
      </w:r>
      <w:r w:rsidRPr="00F00356">
        <w:rPr>
          <w:rFonts w:ascii="Palatino Linotype" w:eastAsia="Palatino Linotype" w:hAnsi="Palatino Linotype" w:cs="Palatino Linotype"/>
          <w:b/>
          <w:color w:val="000000" w:themeColor="text1"/>
        </w:rPr>
        <w:t>trece de octubre de dos mil veinticinco</w:t>
      </w:r>
      <w:r w:rsidRPr="00F00356">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F00356">
        <w:rPr>
          <w:rFonts w:ascii="Palatino Linotype" w:eastAsia="Palatino Linotype" w:hAnsi="Palatino Linotype" w:cs="Palatino Linotype"/>
          <w:color w:val="000000" w:themeColor="text1"/>
        </w:rPr>
        <w:t>l Estado de México y Municipios.</w:t>
      </w:r>
    </w:p>
    <w:p w14:paraId="7B1932D7"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0C04FE1"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highlight w:val="white"/>
        </w:rPr>
        <w:t xml:space="preserve">Seguidamente, mediante acuerdo de fecha </w:t>
      </w:r>
      <w:r w:rsidRPr="00F00356">
        <w:rPr>
          <w:rFonts w:ascii="Palatino Linotype" w:eastAsia="Palatino Linotype" w:hAnsi="Palatino Linotype" w:cs="Palatino Linotype"/>
          <w:b/>
          <w:color w:val="000000" w:themeColor="text1"/>
          <w:highlight w:val="white"/>
        </w:rPr>
        <w:t xml:space="preserve">diecisiete de octubre de dos mil veinticinco, </w:t>
      </w:r>
      <w:r w:rsidRPr="00F00356">
        <w:rPr>
          <w:rFonts w:ascii="Palatino Linotype" w:eastAsia="Palatino Linotype" w:hAnsi="Palatino Linotype" w:cs="Palatino Linotype"/>
          <w:color w:val="000000" w:themeColor="text1"/>
          <w:highlight w:val="white"/>
        </w:rPr>
        <w:t xml:space="preserve"> se decretó el cierre de instrucción, por lo que no ha</w:t>
      </w:r>
      <w:r w:rsidR="00F00356">
        <w:rPr>
          <w:rFonts w:ascii="Palatino Linotype" w:eastAsia="Palatino Linotype" w:hAnsi="Palatino Linotype" w:cs="Palatino Linotype"/>
          <w:color w:val="000000" w:themeColor="text1"/>
          <w:highlight w:val="white"/>
        </w:rPr>
        <w:t>biendo más que hacer constar, y</w:t>
      </w:r>
    </w:p>
    <w:p w14:paraId="4CF6E114" w14:textId="77777777" w:rsidR="00D422E9" w:rsidRDefault="00D422E9" w:rsidP="00F0035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646B8A2" w14:textId="77777777" w:rsidR="00A82033" w:rsidRPr="00F00356" w:rsidRDefault="00E64F74" w:rsidP="00F0035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C O N S I D E R A N D O</w:t>
      </w:r>
    </w:p>
    <w:p w14:paraId="3225EE34" w14:textId="77777777" w:rsidR="00A82033" w:rsidRPr="00F00356" w:rsidRDefault="00A82033" w:rsidP="00F0035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74300213" w14:textId="77777777" w:rsidR="00A82033" w:rsidRPr="00F00356" w:rsidRDefault="00E64F74" w:rsidP="00F00356">
      <w:pPr>
        <w:pStyle w:val="Ttulo2"/>
        <w:spacing w:before="0" w:line="360" w:lineRule="auto"/>
        <w:rPr>
          <w:rFonts w:ascii="Palatino Linotype" w:eastAsia="Palatino Linotype" w:hAnsi="Palatino Linotype" w:cs="Palatino Linotype"/>
          <w:b/>
          <w:color w:val="000000" w:themeColor="text1"/>
          <w:sz w:val="24"/>
          <w:szCs w:val="24"/>
        </w:rPr>
      </w:pPr>
      <w:bookmarkStart w:id="2" w:name="_heading=h.2et92p0" w:colFirst="0" w:colLast="0"/>
      <w:bookmarkEnd w:id="2"/>
      <w:r w:rsidRPr="00F00356">
        <w:rPr>
          <w:rFonts w:ascii="Palatino Linotype" w:eastAsia="Palatino Linotype" w:hAnsi="Palatino Linotype" w:cs="Palatino Linotype"/>
          <w:b/>
          <w:color w:val="000000" w:themeColor="text1"/>
          <w:sz w:val="24"/>
          <w:szCs w:val="24"/>
        </w:rPr>
        <w:t>PRIMERO. De la competencia</w:t>
      </w:r>
    </w:p>
    <w:p w14:paraId="70CC9427"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w:t>
      </w:r>
      <w:r w:rsidRPr="00F00356">
        <w:rPr>
          <w:rFonts w:ascii="Palatino Linotype" w:eastAsia="Palatino Linotype" w:hAnsi="Palatino Linotype" w:cs="Palatino Linotype"/>
          <w:color w:val="000000" w:themeColor="text1"/>
          <w:highlight w:val="white"/>
        </w:rPr>
        <w:t>Recurso</w:t>
      </w:r>
      <w:r w:rsidRPr="00F00356">
        <w:rPr>
          <w:rFonts w:ascii="Palatino Linotype" w:eastAsia="Palatino Linotype" w:hAnsi="Palatino Linotype" w:cs="Palatino Linotype"/>
          <w:color w:val="000000" w:themeColor="text1"/>
        </w:rPr>
        <w:t xml:space="preserve"> de Revisión, conforme a lo dispuesto en el artículo 5, párrafos trigésimo séptimo, trigésimo octavo y trigésimo noveno fracciones IV y V de la Constitución Política </w:t>
      </w:r>
      <w:r w:rsidRPr="00F00356">
        <w:rPr>
          <w:rFonts w:ascii="Palatino Linotype" w:eastAsia="Palatino Linotype" w:hAnsi="Palatino Linotype" w:cs="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35C82BE"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F10A67D" w14:textId="77777777" w:rsidR="00A82033" w:rsidRPr="00F00356" w:rsidRDefault="00E64F74" w:rsidP="00F00356">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tyjcwt" w:colFirst="0" w:colLast="0"/>
      <w:bookmarkEnd w:id="3"/>
      <w:r w:rsidRPr="00F00356">
        <w:rPr>
          <w:rFonts w:ascii="Palatino Linotype" w:eastAsia="Palatino Linotype" w:hAnsi="Palatino Linotype" w:cs="Palatino Linotype"/>
          <w:b/>
          <w:color w:val="000000" w:themeColor="text1"/>
          <w:sz w:val="24"/>
          <w:szCs w:val="24"/>
        </w:rPr>
        <w:t>SEGUNDO. De la oportunidad y procedencia.</w:t>
      </w:r>
    </w:p>
    <w:p w14:paraId="4DC9A5DF"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BED3327"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color w:val="000000" w:themeColor="text1"/>
        </w:rPr>
      </w:pPr>
    </w:p>
    <w:p w14:paraId="65D04285"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Por ende, se constituye la figura jurídica de la </w:t>
      </w:r>
      <w:r w:rsidRPr="00F00356">
        <w:rPr>
          <w:rFonts w:ascii="Palatino Linotype" w:eastAsia="Palatino Linotype" w:hAnsi="Palatino Linotype" w:cs="Palatino Linotype"/>
          <w:i/>
          <w:color w:val="000000" w:themeColor="text1"/>
        </w:rPr>
        <w:t>negativa ficta</w:t>
      </w:r>
      <w:r w:rsidRPr="00F00356">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F00356">
        <w:rPr>
          <w:rFonts w:ascii="Palatino Linotype" w:eastAsia="Palatino Linotype" w:hAnsi="Palatino Linotype" w:cs="Palatino Linotype"/>
          <w:b/>
          <w:color w:val="000000" w:themeColor="text1"/>
        </w:rPr>
        <w:t>178</w:t>
      </w:r>
      <w:r w:rsidRPr="00F00356">
        <w:rPr>
          <w:rFonts w:ascii="Palatino Linotype" w:eastAsia="Palatino Linotype" w:hAnsi="Palatino Linotype" w:cs="Palatino Linotype"/>
          <w:color w:val="000000" w:themeColor="text1"/>
        </w:rPr>
        <w:t xml:space="preserve"> segundo párrafo de </w:t>
      </w:r>
      <w:r w:rsidRPr="00F00356">
        <w:rPr>
          <w:rFonts w:ascii="Palatino Linotype" w:eastAsia="Palatino Linotype" w:hAnsi="Palatino Linotype" w:cs="Palatino Linotype"/>
          <w:b/>
          <w:color w:val="000000" w:themeColor="text1"/>
        </w:rPr>
        <w:t>Ley de Transparencia y Acceso a la Información Pública del Estado de México y Municipios</w:t>
      </w:r>
      <w:r w:rsidRPr="00F00356">
        <w:rPr>
          <w:rFonts w:ascii="Palatino Linotype" w:eastAsia="Palatino Linotype" w:hAnsi="Palatino Linotype" w:cs="Palatino Linotype"/>
          <w:color w:val="000000" w:themeColor="text1"/>
          <w:highlight w:val="white"/>
        </w:rPr>
        <w:t xml:space="preserve">, que dispone; ante la falta de respuesta del </w:t>
      </w:r>
      <w:r w:rsidRPr="00F00356">
        <w:rPr>
          <w:rFonts w:ascii="Palatino Linotype" w:eastAsia="Palatino Linotype" w:hAnsi="Palatino Linotype" w:cs="Palatino Linotype"/>
          <w:b/>
          <w:color w:val="000000" w:themeColor="text1"/>
          <w:highlight w:val="white"/>
        </w:rPr>
        <w:t>SUJETO OBLIGADO,</w:t>
      </w:r>
      <w:r w:rsidRPr="00F00356">
        <w:rPr>
          <w:rFonts w:ascii="Palatino Linotype" w:eastAsia="Palatino Linotype" w:hAnsi="Palatino Linotype" w:cs="Palatino Linotype"/>
          <w:color w:val="000000" w:themeColor="text1"/>
          <w:highlight w:val="white"/>
        </w:rPr>
        <w:t xml:space="preserve"> dentro de los plazos establecidos en esta Ley, a una solicitud de acceso a la información pública, el recurso </w:t>
      </w:r>
      <w:r w:rsidRPr="00F00356">
        <w:rPr>
          <w:rFonts w:ascii="Palatino Linotype" w:eastAsia="Palatino Linotype" w:hAnsi="Palatino Linotype" w:cs="Palatino Linotype"/>
          <w:b/>
          <w:color w:val="000000" w:themeColor="text1"/>
          <w:highlight w:val="white"/>
        </w:rPr>
        <w:t xml:space="preserve">podrá ser interpuesto en cualquier momento. </w:t>
      </w:r>
    </w:p>
    <w:p w14:paraId="0194E2FA"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color w:val="000000" w:themeColor="text1"/>
        </w:rPr>
      </w:pPr>
    </w:p>
    <w:p w14:paraId="47D4518F"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Por lo que, tratándose de la </w:t>
      </w:r>
      <w:r w:rsidRPr="00F00356">
        <w:rPr>
          <w:rFonts w:ascii="Palatino Linotype" w:eastAsia="Palatino Linotype" w:hAnsi="Palatino Linotype" w:cs="Palatino Linotype"/>
          <w:i/>
          <w:color w:val="000000" w:themeColor="text1"/>
        </w:rPr>
        <w:t>negativa ficta</w:t>
      </w:r>
      <w:r w:rsidRPr="00F00356">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00356">
        <w:rPr>
          <w:rFonts w:ascii="Palatino Linotype" w:eastAsia="Palatino Linotype" w:hAnsi="Palatino Linotype" w:cs="Palatino Linotype"/>
          <w:i/>
          <w:color w:val="000000" w:themeColor="text1"/>
        </w:rPr>
        <w:t>negativa ficta</w:t>
      </w:r>
      <w:r w:rsidRPr="00F00356">
        <w:rPr>
          <w:rFonts w:ascii="Palatino Linotype" w:eastAsia="Palatino Linotype" w:hAnsi="Palatino Linotype" w:cs="Palatino Linotype"/>
          <w:color w:val="000000" w:themeColor="text1"/>
        </w:rPr>
        <w:t>, que señala:</w:t>
      </w:r>
    </w:p>
    <w:p w14:paraId="3749B264" w14:textId="77777777" w:rsidR="00A82033" w:rsidRPr="00F00356" w:rsidRDefault="00E64F74" w:rsidP="00F00356">
      <w:pPr>
        <w:tabs>
          <w:tab w:val="left" w:pos="284"/>
          <w:tab w:val="left" w:pos="7655"/>
          <w:tab w:val="left" w:pos="7938"/>
        </w:tabs>
        <w:spacing w:after="240"/>
        <w:jc w:val="center"/>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Criterio 0001-15</w:t>
      </w:r>
    </w:p>
    <w:p w14:paraId="214D8AA9" w14:textId="77777777" w:rsidR="00A82033" w:rsidRPr="00F00356" w:rsidRDefault="00E64F74" w:rsidP="00F00356">
      <w:pPr>
        <w:tabs>
          <w:tab w:val="left" w:pos="284"/>
          <w:tab w:val="left" w:pos="7655"/>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NEGATIVA FICTA. PLAZO PARA INTERPONER EL RECURSO DE REVISIÓN TRATÁNDOSE DE.</w:t>
      </w:r>
      <w:r w:rsidRPr="00F00356">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6CD3130" w14:textId="77777777" w:rsidR="00A82033" w:rsidRPr="00F00356" w:rsidRDefault="00A82033" w:rsidP="00F00356">
      <w:pPr>
        <w:tabs>
          <w:tab w:val="left" w:pos="284"/>
          <w:tab w:val="left" w:pos="7655"/>
        </w:tabs>
        <w:spacing w:before="240" w:after="240"/>
        <w:jc w:val="both"/>
        <w:rPr>
          <w:rFonts w:ascii="Palatino Linotype" w:eastAsia="Palatino Linotype" w:hAnsi="Palatino Linotype" w:cs="Palatino Linotype"/>
          <w:i/>
          <w:color w:val="000000" w:themeColor="text1"/>
        </w:rPr>
      </w:pPr>
    </w:p>
    <w:p w14:paraId="78E4D653"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Lo anterior, se explica porque la </w:t>
      </w:r>
      <w:r w:rsidRPr="00F00356">
        <w:rPr>
          <w:rFonts w:ascii="Palatino Linotype" w:eastAsia="Palatino Linotype" w:hAnsi="Palatino Linotype" w:cs="Palatino Linotype"/>
          <w:b/>
          <w:color w:val="000000" w:themeColor="text1"/>
          <w:u w:val="single"/>
        </w:rPr>
        <w:t>posible ausencia</w:t>
      </w:r>
      <w:r w:rsidRPr="00F00356">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w:t>
      </w:r>
    </w:p>
    <w:p w14:paraId="7DFF30D3"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2010676"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3A71F1"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b/>
          <w:i/>
          <w:color w:val="000000" w:themeColor="text1"/>
        </w:rPr>
        <w:t>Las solicitudes anónimas</w:t>
      </w:r>
      <w:r w:rsidRPr="00F00356">
        <w:rPr>
          <w:rFonts w:ascii="Palatino Linotype" w:eastAsia="Palatino Linotype" w:hAnsi="Palatino Linotype" w:cs="Palatino Linotype"/>
          <w:i/>
          <w:color w:val="000000" w:themeColor="text1"/>
        </w:rPr>
        <w:t xml:space="preserve">, con nombre incompleto o seudónimo </w:t>
      </w:r>
      <w:r w:rsidRPr="00F00356">
        <w:rPr>
          <w:rFonts w:ascii="Palatino Linotype" w:eastAsia="Palatino Linotype" w:hAnsi="Palatino Linotype" w:cs="Palatino Linotype"/>
          <w:b/>
          <w:i/>
          <w:color w:val="000000" w:themeColor="text1"/>
        </w:rPr>
        <w:t>serán procedentes para su trámite por parte del sujeto obligado ante quien se presente</w:t>
      </w:r>
      <w:r w:rsidRPr="00F00356">
        <w:rPr>
          <w:rFonts w:ascii="Palatino Linotype" w:eastAsia="Palatino Linotype" w:hAnsi="Palatino Linotype" w:cs="Palatino Linotype"/>
          <w:i/>
          <w:color w:val="000000" w:themeColor="text1"/>
        </w:rPr>
        <w:t>. No podrá requerirse información adicional con motivo del nombre proporcionado por el solicitante."</w:t>
      </w:r>
    </w:p>
    <w:p w14:paraId="7331F10E" w14:textId="77777777" w:rsidR="00A82033" w:rsidRDefault="00A82033" w:rsidP="00F00356">
      <w:pPr>
        <w:jc w:val="both"/>
        <w:rPr>
          <w:rFonts w:ascii="Palatino Linotype" w:eastAsia="Palatino Linotype" w:hAnsi="Palatino Linotype" w:cs="Palatino Linotype"/>
          <w:i/>
          <w:color w:val="000000" w:themeColor="text1"/>
        </w:rPr>
      </w:pPr>
    </w:p>
    <w:p w14:paraId="362593DC" w14:textId="77777777" w:rsidR="00D422E9" w:rsidRPr="00F00356" w:rsidRDefault="00D422E9" w:rsidP="00F00356">
      <w:pPr>
        <w:jc w:val="both"/>
        <w:rPr>
          <w:rFonts w:ascii="Palatino Linotype" w:eastAsia="Palatino Linotype" w:hAnsi="Palatino Linotype" w:cs="Palatino Linotype"/>
          <w:i/>
          <w:color w:val="000000" w:themeColor="text1"/>
        </w:rPr>
      </w:pPr>
    </w:p>
    <w:p w14:paraId="5DF9A35D"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4CFD1B99"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b/>
          <w:i/>
          <w:color w:val="000000" w:themeColor="text1"/>
        </w:rPr>
        <w:t>Artículo 6.-</w:t>
      </w:r>
      <w:r w:rsidRPr="00F0035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189D3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Para efectos de lo dispuesto en el presente artículo se observará lo siguiente:</w:t>
      </w:r>
    </w:p>
    <w:p w14:paraId="3C551323" w14:textId="77777777" w:rsidR="00A82033" w:rsidRPr="00F00356" w:rsidRDefault="00A82033" w:rsidP="00F00356">
      <w:pPr>
        <w:jc w:val="both"/>
        <w:rPr>
          <w:rFonts w:ascii="Palatino Linotype" w:eastAsia="Palatino Linotype" w:hAnsi="Palatino Linotype" w:cs="Palatino Linotype"/>
          <w:i/>
          <w:color w:val="000000" w:themeColor="text1"/>
        </w:rPr>
      </w:pPr>
    </w:p>
    <w:p w14:paraId="26CC07B9"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C510E28" w14:textId="77777777" w:rsidR="00A82033" w:rsidRPr="00F00356" w:rsidRDefault="00A82033" w:rsidP="00F00356">
      <w:pPr>
        <w:jc w:val="both"/>
        <w:rPr>
          <w:rFonts w:ascii="Palatino Linotype" w:eastAsia="Palatino Linotype" w:hAnsi="Palatino Linotype" w:cs="Palatino Linotype"/>
          <w:i/>
          <w:color w:val="000000" w:themeColor="text1"/>
        </w:rPr>
      </w:pPr>
    </w:p>
    <w:p w14:paraId="4C991F7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F00356">
        <w:rPr>
          <w:rFonts w:ascii="Palatino Linotype" w:eastAsia="Palatino Linotype" w:hAnsi="Palatino Linotype" w:cs="Palatino Linotype"/>
          <w:color w:val="000000" w:themeColor="text1"/>
        </w:rPr>
        <w:t>(Sic)</w:t>
      </w:r>
    </w:p>
    <w:p w14:paraId="29584FA0" w14:textId="77777777" w:rsidR="00A82033" w:rsidRPr="00F00356" w:rsidRDefault="00A82033" w:rsidP="00F00356">
      <w:pPr>
        <w:spacing w:line="360" w:lineRule="auto"/>
        <w:jc w:val="both"/>
        <w:rPr>
          <w:rFonts w:ascii="Palatino Linotype" w:eastAsia="Palatino Linotype" w:hAnsi="Palatino Linotype" w:cs="Palatino Linotype"/>
          <w:i/>
          <w:color w:val="000000" w:themeColor="text1"/>
        </w:rPr>
      </w:pPr>
    </w:p>
    <w:p w14:paraId="3BF38697"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087F240D"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b/>
          <w:i/>
          <w:color w:val="000000" w:themeColor="text1"/>
        </w:rPr>
        <w:t>Artículo 5.-</w:t>
      </w:r>
      <w:r w:rsidRPr="00F0035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w:t>
      </w:r>
      <w:r w:rsidRPr="00F00356">
        <w:rPr>
          <w:rFonts w:ascii="Palatino Linotype" w:eastAsia="Palatino Linotype" w:hAnsi="Palatino Linotype" w:cs="Palatino Linotype"/>
          <w:i/>
          <w:color w:val="000000" w:themeColor="text1"/>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096CE5B"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0477456A"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6EAEAA81"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3DCFFD24"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6F2F25AB"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EC4F7EB"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6567FAAA"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6108352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00356">
        <w:rPr>
          <w:rFonts w:ascii="Palatino Linotype" w:eastAsia="Palatino Linotype" w:hAnsi="Palatino Linotype" w:cs="Palatino Linotype"/>
          <w:color w:val="000000" w:themeColor="text1"/>
        </w:rPr>
        <w:t>(Sic)</w:t>
      </w:r>
    </w:p>
    <w:p w14:paraId="12ED155B" w14:textId="77777777" w:rsidR="00A82033" w:rsidRPr="00F00356" w:rsidRDefault="00A82033" w:rsidP="00F00356">
      <w:pPr>
        <w:spacing w:line="360" w:lineRule="auto"/>
        <w:jc w:val="both"/>
        <w:rPr>
          <w:rFonts w:ascii="Palatino Linotype" w:eastAsia="Palatino Linotype" w:hAnsi="Palatino Linotype" w:cs="Palatino Linotype"/>
          <w:i/>
          <w:color w:val="000000" w:themeColor="text1"/>
        </w:rPr>
      </w:pPr>
    </w:p>
    <w:p w14:paraId="2C591043"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6FD1A9C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b/>
          <w:i/>
          <w:color w:val="000000" w:themeColor="text1"/>
        </w:rPr>
        <w:t>Artículo 1</w:t>
      </w:r>
      <w:r w:rsidRPr="00F0035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6A8C5C"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7977C4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987042F" w14:textId="77777777" w:rsidR="00A82033" w:rsidRDefault="00A82033" w:rsidP="00F00356">
      <w:pPr>
        <w:jc w:val="both"/>
        <w:rPr>
          <w:rFonts w:ascii="Palatino Linotype" w:eastAsia="Palatino Linotype" w:hAnsi="Palatino Linotype" w:cs="Palatino Linotype"/>
          <w:i/>
          <w:color w:val="000000" w:themeColor="text1"/>
        </w:rPr>
      </w:pPr>
    </w:p>
    <w:p w14:paraId="5AA61F5C" w14:textId="77777777" w:rsidR="00D422E9" w:rsidRPr="00F00356" w:rsidRDefault="00D422E9" w:rsidP="00F00356">
      <w:pPr>
        <w:jc w:val="both"/>
        <w:rPr>
          <w:rFonts w:ascii="Palatino Linotype" w:eastAsia="Palatino Linotype" w:hAnsi="Palatino Linotype" w:cs="Palatino Linotype"/>
          <w:i/>
          <w:color w:val="000000" w:themeColor="text1"/>
        </w:rPr>
      </w:pPr>
    </w:p>
    <w:p w14:paraId="0BB863DB" w14:textId="77777777" w:rsidR="00A82033" w:rsidRPr="00F00356" w:rsidRDefault="00E64F74" w:rsidP="00F00356">
      <w:pPr>
        <w:numPr>
          <w:ilvl w:val="0"/>
          <w:numId w:val="1"/>
        </w:numP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F00356">
        <w:rPr>
          <w:rFonts w:ascii="Palatino Linotype" w:eastAsia="Palatino Linotype" w:hAnsi="Palatino Linotype" w:cs="Palatino Linotype"/>
          <w:i/>
          <w:color w:val="000000" w:themeColor="text1"/>
        </w:rPr>
        <w:t>derecho fundamental exime a quien lo ejerce</w:t>
      </w:r>
      <w:r w:rsidRPr="00F0035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BDB87CC"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FF582A2" w14:textId="77777777" w:rsidR="00A82033" w:rsidRPr="00F00356" w:rsidRDefault="00E64F74" w:rsidP="00F00356">
      <w:pPr>
        <w:numPr>
          <w:ilvl w:val="0"/>
          <w:numId w:val="1"/>
        </w:numPr>
        <w:spacing w:line="360" w:lineRule="auto"/>
        <w:ind w:left="0" w:firstLine="0"/>
        <w:jc w:val="both"/>
        <w:rPr>
          <w:rFonts w:ascii="Palatino Linotype" w:hAnsi="Palatino Linotype"/>
          <w:color w:val="000000" w:themeColor="text1"/>
        </w:rPr>
      </w:pPr>
      <w:r w:rsidRPr="00F00356">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F00356">
        <w:rPr>
          <w:rFonts w:ascii="Palatino Linotype" w:eastAsia="Palatino Linotype" w:hAnsi="Palatino Linotype" w:cs="Palatino Linotype"/>
          <w:b/>
          <w:color w:val="000000" w:themeColor="text1"/>
        </w:rPr>
        <w:t>RECURRENTE</w:t>
      </w:r>
      <w:r w:rsidRPr="00F00356">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795DFC3"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B605B8"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b/>
          <w:color w:val="000000" w:themeColor="text1"/>
        </w:rPr>
      </w:pPr>
    </w:p>
    <w:p w14:paraId="5106416E" w14:textId="77777777" w:rsidR="00A82033" w:rsidRPr="00F00356" w:rsidRDefault="00E64F74" w:rsidP="00F00356">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gjdgxs" w:colFirst="0" w:colLast="0"/>
      <w:bookmarkEnd w:id="4"/>
      <w:r w:rsidRPr="00F00356">
        <w:rPr>
          <w:rFonts w:ascii="Palatino Linotype" w:eastAsia="Palatino Linotype" w:hAnsi="Palatino Linotype" w:cs="Palatino Linotype"/>
          <w:b/>
          <w:color w:val="000000" w:themeColor="text1"/>
          <w:sz w:val="24"/>
          <w:szCs w:val="24"/>
        </w:rPr>
        <w:t xml:space="preserve">TERCERO. Del planteamiento de la </w:t>
      </w:r>
      <w:r w:rsidRPr="00F00356">
        <w:rPr>
          <w:rFonts w:ascii="Palatino Linotype" w:eastAsia="Palatino Linotype" w:hAnsi="Palatino Linotype" w:cs="Palatino Linotype"/>
          <w:b/>
          <w:i/>
          <w:color w:val="000000" w:themeColor="text1"/>
          <w:sz w:val="24"/>
          <w:szCs w:val="24"/>
        </w:rPr>
        <w:t>Litis</w:t>
      </w:r>
      <w:r w:rsidRPr="00F00356">
        <w:rPr>
          <w:rFonts w:ascii="Palatino Linotype" w:eastAsia="Palatino Linotype" w:hAnsi="Palatino Linotype" w:cs="Palatino Linotype"/>
          <w:b/>
          <w:color w:val="000000" w:themeColor="text1"/>
          <w:sz w:val="24"/>
          <w:szCs w:val="24"/>
        </w:rPr>
        <w:t>.</w:t>
      </w:r>
    </w:p>
    <w:p w14:paraId="7808EDC7"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14:paraId="7BA1D23A"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De los participantes y ganadores para Defensor Municipal del dos mil dieciséis al nueve de abril de dos mil veinticinco</w:t>
      </w:r>
    </w:p>
    <w:p w14:paraId="0A0B03E5"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Expediente completo </w:t>
      </w:r>
    </w:p>
    <w:p w14:paraId="63A10F61"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Curriculum</w:t>
      </w:r>
    </w:p>
    <w:p w14:paraId="34D7D601"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Carta de postulación,</w:t>
      </w:r>
    </w:p>
    <w:p w14:paraId="5739AF11"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Programa de trabajo</w:t>
      </w:r>
    </w:p>
    <w:p w14:paraId="5AFDFCAF"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Requisitos de la convocatoria </w:t>
      </w:r>
    </w:p>
    <w:p w14:paraId="5CD3B9C9" w14:textId="77777777" w:rsidR="00A82033" w:rsidRDefault="00A82033"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320DEE5B" w14:textId="77777777" w:rsidR="00D422E9" w:rsidRPr="00F00356" w:rsidRDefault="00D422E9"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418B49A8"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Tal y como se observa en el tablero del expediente electrónico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fue omiso en entregar respuesta.  </w:t>
      </w:r>
    </w:p>
    <w:p w14:paraId="1795929E"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026700B"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dichas condiciones, la </w:t>
      </w:r>
      <w:r w:rsidRPr="00F00356">
        <w:rPr>
          <w:rFonts w:ascii="Palatino Linotype" w:eastAsia="Palatino Linotype" w:hAnsi="Palatino Linotype" w:cs="Palatino Linotype"/>
          <w:i/>
          <w:color w:val="000000" w:themeColor="text1"/>
        </w:rPr>
        <w:t>Litis</w:t>
      </w:r>
      <w:r w:rsidRPr="00F00356">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00356">
        <w:rPr>
          <w:rFonts w:ascii="Palatino Linotype" w:eastAsia="Palatino Linotype" w:hAnsi="Palatino Linotype" w:cs="Palatino Linotype"/>
          <w:b/>
          <w:color w:val="000000" w:themeColor="text1"/>
        </w:rPr>
        <w:t xml:space="preserve">fracción I </w:t>
      </w:r>
      <w:r w:rsidRPr="00F00356">
        <w:rPr>
          <w:rFonts w:ascii="Palatino Linotype" w:eastAsia="Palatino Linotype" w:hAnsi="Palatino Linotype" w:cs="Palatino Linotype"/>
          <w:color w:val="000000" w:themeColor="text1"/>
        </w:rPr>
        <w:t>de la Ley</w:t>
      </w:r>
      <w:r w:rsidRPr="00F00356">
        <w:rPr>
          <w:rFonts w:ascii="Palatino Linotype" w:eastAsia="Palatino Linotype" w:hAnsi="Palatino Linotype" w:cs="Palatino Linotype"/>
          <w:b/>
          <w:color w:val="000000" w:themeColor="text1"/>
        </w:rPr>
        <w:t xml:space="preserve"> de Transparencia y Acceso a la Información Pública del Estado de </w:t>
      </w:r>
      <w:r w:rsidRPr="00F00356">
        <w:rPr>
          <w:rFonts w:ascii="Palatino Linotype" w:eastAsia="Palatino Linotype" w:hAnsi="Palatino Linotype" w:cs="Palatino Linotype"/>
          <w:color w:val="000000" w:themeColor="text1"/>
        </w:rPr>
        <w:t>México</w:t>
      </w:r>
      <w:r w:rsidRPr="00F00356">
        <w:rPr>
          <w:rFonts w:ascii="Palatino Linotype" w:eastAsia="Palatino Linotype" w:hAnsi="Palatino Linotype" w:cs="Palatino Linotype"/>
          <w:b/>
          <w:color w:val="000000" w:themeColor="text1"/>
        </w:rPr>
        <w:t xml:space="preserve"> y Municipios</w:t>
      </w:r>
      <w:r w:rsidRPr="00F00356">
        <w:rPr>
          <w:rFonts w:ascii="Palatino Linotype" w:eastAsia="Palatino Linotype" w:hAnsi="Palatino Linotype" w:cs="Palatino Linotype"/>
          <w:color w:val="000000" w:themeColor="text1"/>
        </w:rPr>
        <w:t xml:space="preserve">; fracción que determina la negativa de la información solicitada; contexto del cual se dolió </w:t>
      </w:r>
      <w:r w:rsidRPr="00F00356">
        <w:rPr>
          <w:rFonts w:ascii="Palatino Linotype" w:eastAsia="Palatino Linotype" w:hAnsi="Palatino Linotype" w:cs="Palatino Linotype"/>
          <w:b/>
          <w:color w:val="000000" w:themeColor="text1"/>
        </w:rPr>
        <w:t xml:space="preserve">EL RECURRENTE </w:t>
      </w:r>
      <w:r w:rsidRPr="00F00356">
        <w:rPr>
          <w:rFonts w:ascii="Palatino Linotype" w:eastAsia="Palatino Linotype" w:hAnsi="Palatino Linotype" w:cs="Palatino Linotype"/>
          <w:color w:val="000000" w:themeColor="text1"/>
        </w:rPr>
        <w:t>al momento de interponer su inconformidad.</w:t>
      </w:r>
    </w:p>
    <w:p w14:paraId="3DA53C20"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7006135"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modo tal que el presente recurso de revisión se abocara en determinar si 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 xml:space="preserve"> con su respuesta ciertamente actualiza la causal de procedencia</w:t>
      </w:r>
      <w:r w:rsidRPr="00F00356">
        <w:rPr>
          <w:rFonts w:ascii="Palatino Linotype" w:eastAsia="Palatino Linotype" w:hAnsi="Palatino Linotype" w:cs="Palatino Linotype"/>
          <w:b/>
          <w:color w:val="000000" w:themeColor="text1"/>
        </w:rPr>
        <w:t xml:space="preserve"> </w:t>
      </w:r>
      <w:r w:rsidRPr="00F00356">
        <w:rPr>
          <w:rFonts w:ascii="Palatino Linotype" w:eastAsia="Palatino Linotype" w:hAnsi="Palatino Linotype" w:cs="Palatino Linotype"/>
          <w:color w:val="000000" w:themeColor="text1"/>
        </w:rPr>
        <w:t xml:space="preserve">antes </w:t>
      </w:r>
      <w:r w:rsidRPr="00F00356">
        <w:rPr>
          <w:rFonts w:ascii="Palatino Linotype" w:eastAsia="Palatino Linotype" w:hAnsi="Palatino Linotype" w:cs="Palatino Linotype"/>
          <w:color w:val="000000" w:themeColor="text1"/>
        </w:rPr>
        <w:lastRenderedPageBreak/>
        <w:t>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49DEFF8"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A0BBC09" w14:textId="77777777" w:rsidR="00A82033" w:rsidRPr="00F00356" w:rsidRDefault="00E64F74" w:rsidP="00F00356">
      <w:pPr>
        <w:keepNext/>
        <w:keepLines/>
        <w:spacing w:line="360" w:lineRule="auto"/>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CUARTO. Del estudio y resolución del asunto</w:t>
      </w:r>
    </w:p>
    <w:p w14:paraId="796142C6" w14:textId="77777777" w:rsidR="00A82033" w:rsidRPr="00F00356" w:rsidRDefault="00E64F74" w:rsidP="00F00356">
      <w:pPr>
        <w:keepNext/>
        <w:keepLines/>
        <w:numPr>
          <w:ilvl w:val="0"/>
          <w:numId w:val="11"/>
        </w:numPr>
        <w:spacing w:after="240" w:line="360" w:lineRule="auto"/>
        <w:ind w:left="0" w:firstLine="0"/>
        <w:rPr>
          <w:rFonts w:ascii="Palatino Linotype" w:eastAsia="Palatino Linotype" w:hAnsi="Palatino Linotype" w:cs="Palatino Linotype"/>
          <w:b/>
          <w:color w:val="000000" w:themeColor="text1"/>
        </w:rPr>
      </w:pPr>
      <w:bookmarkStart w:id="5" w:name="_heading=h.1t3h5sf" w:colFirst="0" w:colLast="0"/>
      <w:bookmarkEnd w:id="5"/>
      <w:r w:rsidRPr="00F00356">
        <w:rPr>
          <w:rFonts w:ascii="Palatino Linotype" w:eastAsia="Palatino Linotype" w:hAnsi="Palatino Linotype" w:cs="Palatino Linotype"/>
          <w:b/>
          <w:color w:val="000000" w:themeColor="text1"/>
        </w:rPr>
        <w:t>Del derecho de acceso a la información.</w:t>
      </w:r>
    </w:p>
    <w:p w14:paraId="234BAD7A"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94AEB6D"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3A3680BA"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Definiendo el Derecho de Acceso a la Información Pública como: </w:t>
      </w:r>
      <w:r w:rsidRPr="00F00356">
        <w:rPr>
          <w:rFonts w:ascii="Palatino Linotype" w:eastAsia="Palatino Linotype" w:hAnsi="Palatino Linotype" w:cs="Palatino Linotype"/>
          <w:i/>
          <w:color w:val="000000" w:themeColor="text1"/>
        </w:rPr>
        <w:t>La igualdad de oportunidades para recibir, buscar e impartir información</w:t>
      </w:r>
      <w:r w:rsidRPr="00F00356">
        <w:rPr>
          <w:rFonts w:ascii="Palatino Linotype" w:eastAsia="Palatino Linotype" w:hAnsi="Palatino Linotype" w:cs="Palatino Linotype"/>
          <w:i/>
          <w:color w:val="000000" w:themeColor="text1"/>
          <w:vertAlign w:val="superscript"/>
        </w:rPr>
        <w:footnoteReference w:id="1"/>
      </w:r>
      <w:r w:rsidRPr="00F0035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00356">
        <w:rPr>
          <w:rFonts w:ascii="Palatino Linotype" w:eastAsia="Palatino Linotype" w:hAnsi="Palatino Linotype" w:cs="Palatino Linotype"/>
          <w:i/>
          <w:color w:val="000000" w:themeColor="text1"/>
          <w:vertAlign w:val="superscript"/>
        </w:rPr>
        <w:footnoteReference w:id="2"/>
      </w:r>
      <w:r w:rsidRPr="00F00356">
        <w:rPr>
          <w:rFonts w:ascii="Palatino Linotype" w:eastAsia="Palatino Linotype" w:hAnsi="Palatino Linotype" w:cs="Palatino Linotype"/>
          <w:color w:val="000000" w:themeColor="text1"/>
        </w:rPr>
        <w:t>que se constituye como una herramienta fundamental para ejercer</w:t>
      </w:r>
      <w:r w:rsidRPr="00F0035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F00356">
        <w:rPr>
          <w:rFonts w:ascii="Palatino Linotype" w:eastAsia="Palatino Linotype" w:hAnsi="Palatino Linotype" w:cs="Palatino Linotype"/>
          <w:i/>
          <w:color w:val="000000" w:themeColor="text1"/>
        </w:rPr>
        <w:lastRenderedPageBreak/>
        <w:t>está dando un adecuado cumplimiento a las funciones públicas,</w:t>
      </w:r>
      <w:r w:rsidRPr="00F00356">
        <w:rPr>
          <w:rFonts w:ascii="Palatino Linotype" w:eastAsia="Palatino Linotype" w:hAnsi="Palatino Linotype" w:cs="Palatino Linotype"/>
          <w:i/>
          <w:color w:val="000000" w:themeColor="text1"/>
          <w:vertAlign w:val="superscript"/>
        </w:rPr>
        <w:footnoteReference w:id="3"/>
      </w:r>
      <w:r w:rsidRPr="00F00356">
        <w:rPr>
          <w:rFonts w:ascii="Palatino Linotype" w:eastAsia="Palatino Linotype" w:hAnsi="Palatino Linotype" w:cs="Palatino Linotype"/>
          <w:color w:val="000000" w:themeColor="text1"/>
        </w:rPr>
        <w:t>fomentando</w:t>
      </w:r>
      <w:r w:rsidRPr="00F00356">
        <w:rPr>
          <w:rFonts w:ascii="Palatino Linotype" w:eastAsia="Palatino Linotype" w:hAnsi="Palatino Linotype" w:cs="Palatino Linotype"/>
          <w:i/>
          <w:color w:val="000000" w:themeColor="text1"/>
        </w:rPr>
        <w:t xml:space="preserve"> la transparencia de las actividades estatales y </w:t>
      </w:r>
      <w:r w:rsidRPr="00F00356">
        <w:rPr>
          <w:rFonts w:ascii="Palatino Linotype" w:eastAsia="Palatino Linotype" w:hAnsi="Palatino Linotype" w:cs="Palatino Linotype"/>
          <w:color w:val="000000" w:themeColor="text1"/>
        </w:rPr>
        <w:t>promoviendo</w:t>
      </w:r>
      <w:r w:rsidRPr="00F00356">
        <w:rPr>
          <w:rFonts w:ascii="Palatino Linotype" w:eastAsia="Palatino Linotype" w:hAnsi="Palatino Linotype" w:cs="Palatino Linotype"/>
          <w:i/>
          <w:color w:val="000000" w:themeColor="text1"/>
        </w:rPr>
        <w:t xml:space="preserve"> la responsabilidad de los funcionarios sobre su gestión pública,</w:t>
      </w:r>
      <w:r w:rsidRPr="00F00356">
        <w:rPr>
          <w:rFonts w:ascii="Palatino Linotype" w:eastAsia="Palatino Linotype" w:hAnsi="Palatino Linotype" w:cs="Palatino Linotype"/>
          <w:i/>
          <w:color w:val="000000" w:themeColor="text1"/>
          <w:vertAlign w:val="superscript"/>
        </w:rPr>
        <w:footnoteReference w:id="4"/>
      </w:r>
      <w:r w:rsidRPr="00F00356">
        <w:rPr>
          <w:rFonts w:ascii="Palatino Linotype" w:eastAsia="Palatino Linotype" w:hAnsi="Palatino Linotype" w:cs="Palatino Linotype"/>
          <w:color w:val="000000" w:themeColor="text1"/>
        </w:rPr>
        <w:t>que permite</w:t>
      </w:r>
      <w:r w:rsidRPr="00F0035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7F52806"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730D60D1"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333B3AF"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b/>
          <w:i/>
          <w:color w:val="000000" w:themeColor="text1"/>
        </w:rPr>
        <w:t>Artículo 1.-</w:t>
      </w:r>
      <w:r w:rsidRPr="00F00356">
        <w:rPr>
          <w:rFonts w:ascii="Palatino Linotype" w:eastAsia="Palatino Linotype" w:hAnsi="Palatino Linotype" w:cs="Palatino Linotype"/>
          <w:i/>
          <w:color w:val="000000" w:themeColor="text1"/>
        </w:rPr>
        <w:t xml:space="preserve"> </w:t>
      </w:r>
    </w:p>
    <w:p w14:paraId="51811EAF"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6182FEC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Todas las</w:t>
      </w:r>
      <w:r w:rsidRPr="00F00356">
        <w:rPr>
          <w:rFonts w:ascii="Palatino Linotype" w:eastAsia="Palatino Linotype" w:hAnsi="Palatino Linotype" w:cs="Palatino Linotype"/>
          <w:color w:val="000000" w:themeColor="text1"/>
        </w:rPr>
        <w:t xml:space="preserve"> </w:t>
      </w:r>
      <w:r w:rsidRPr="00F0035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9761FDD" w14:textId="77777777" w:rsidR="00A82033" w:rsidRPr="00F00356" w:rsidRDefault="00E64F74" w:rsidP="00F00356">
      <w:pPr>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i/>
          <w:color w:val="000000" w:themeColor="text1"/>
        </w:rPr>
        <w:t>(…)</w:t>
      </w:r>
      <w:r w:rsidRPr="00F00356">
        <w:rPr>
          <w:rFonts w:ascii="Palatino Linotype" w:eastAsia="Palatino Linotype" w:hAnsi="Palatino Linotype" w:cs="Palatino Linotype"/>
          <w:color w:val="000000" w:themeColor="text1"/>
        </w:rPr>
        <w:t>”.</w:t>
      </w:r>
    </w:p>
    <w:p w14:paraId="43B16B3A" w14:textId="77777777" w:rsidR="00A82033" w:rsidRPr="00F00356" w:rsidRDefault="00A82033" w:rsidP="00F00356">
      <w:pPr>
        <w:jc w:val="both"/>
        <w:rPr>
          <w:rFonts w:ascii="Palatino Linotype" w:eastAsia="Palatino Linotype" w:hAnsi="Palatino Linotype" w:cs="Palatino Linotype"/>
          <w:b/>
          <w:color w:val="000000" w:themeColor="text1"/>
        </w:rPr>
      </w:pPr>
    </w:p>
    <w:p w14:paraId="086B7959"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E1B06AD"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DDBEF4C"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F00356">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14:paraId="16AFD2F0" w14:textId="77777777" w:rsidR="00A82033" w:rsidRPr="00F00356" w:rsidRDefault="00E64F74" w:rsidP="00F00356">
      <w:pPr>
        <w:tabs>
          <w:tab w:val="left" w:pos="7938"/>
        </w:tabs>
        <w:spacing w:after="24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Constitución Política de los Estados Unidos Mexicanos</w:t>
      </w:r>
    </w:p>
    <w:p w14:paraId="723BF470"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6.</w:t>
      </w:r>
    </w:p>
    <w:p w14:paraId="011D4FD2"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5C8BEAC0"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Para efectos de lo dispuesto en el presente artículo se observará lo siguiente:</w:t>
      </w:r>
    </w:p>
    <w:p w14:paraId="7EB9C22E"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Para el ejercicio del derecho de acceso a la información</w:t>
      </w:r>
      <w:r w:rsidRPr="00F00356">
        <w:rPr>
          <w:rFonts w:ascii="Palatino Linotype" w:eastAsia="Palatino Linotype" w:hAnsi="Palatino Linotype" w:cs="Palatino Linotype"/>
          <w:i/>
          <w:color w:val="000000" w:themeColor="text1"/>
        </w:rPr>
        <w:t xml:space="preserve">, la Federación y </w:t>
      </w:r>
      <w:r w:rsidRPr="00F0035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75B62BC"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I. Toda la información en posesión de cualquier</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autoridad</w:t>
      </w:r>
      <w:r w:rsidRPr="00F0035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00356">
        <w:rPr>
          <w:rFonts w:ascii="Palatino Linotype" w:eastAsia="Palatino Linotype" w:hAnsi="Palatino Linotype" w:cs="Palatino Linotype"/>
          <w:b/>
          <w:i/>
          <w:color w:val="000000" w:themeColor="text1"/>
        </w:rPr>
        <w:t>municipal</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es pública</w:t>
      </w:r>
      <w:r w:rsidRPr="00F0035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0035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003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7E7A23C" w14:textId="77777777" w:rsidR="00A82033" w:rsidRPr="00F00356" w:rsidRDefault="00A82033" w:rsidP="00F00356">
      <w:pPr>
        <w:tabs>
          <w:tab w:val="left" w:pos="567"/>
          <w:tab w:val="left" w:pos="7938"/>
        </w:tabs>
        <w:spacing w:before="240"/>
        <w:jc w:val="both"/>
        <w:rPr>
          <w:rFonts w:ascii="Palatino Linotype" w:eastAsia="Palatino Linotype" w:hAnsi="Palatino Linotype" w:cs="Palatino Linotype"/>
          <w:b/>
          <w:i/>
          <w:color w:val="000000" w:themeColor="text1"/>
        </w:rPr>
      </w:pPr>
    </w:p>
    <w:p w14:paraId="1C47ACC5" w14:textId="77777777" w:rsidR="00A82033" w:rsidRPr="00F00356" w:rsidRDefault="00E64F74" w:rsidP="00F00356">
      <w:pPr>
        <w:tabs>
          <w:tab w:val="left" w:pos="7938"/>
        </w:tabs>
        <w:spacing w:after="24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Constitución Política del Estado Libre y Soberano de México</w:t>
      </w:r>
    </w:p>
    <w:p w14:paraId="04BBB44C"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“Artículo 5</w:t>
      </w:r>
      <w:r w:rsidRPr="00F00356">
        <w:rPr>
          <w:rFonts w:ascii="Palatino Linotype" w:eastAsia="Palatino Linotype" w:hAnsi="Palatino Linotype" w:cs="Palatino Linotype"/>
          <w:i/>
          <w:color w:val="000000" w:themeColor="text1"/>
        </w:rPr>
        <w:t xml:space="preserve">.- </w:t>
      </w:r>
    </w:p>
    <w:p w14:paraId="300079F6"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w:t>
      </w:r>
    </w:p>
    <w:p w14:paraId="1D53AE9B"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00356">
        <w:rPr>
          <w:rFonts w:ascii="Palatino Linotype" w:eastAsia="Palatino Linotype" w:hAnsi="Palatino Linotype" w:cs="Palatino Linotype"/>
          <w:i/>
          <w:color w:val="000000" w:themeColor="text1"/>
        </w:rPr>
        <w:t>.</w:t>
      </w:r>
    </w:p>
    <w:p w14:paraId="2E5E3ACA"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0021FFC"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lastRenderedPageBreak/>
        <w:t>Este derecho se regirá por los principios y bases siguientes</w:t>
      </w:r>
      <w:r w:rsidRPr="00F00356">
        <w:rPr>
          <w:rFonts w:ascii="Palatino Linotype" w:eastAsia="Palatino Linotype" w:hAnsi="Palatino Linotype" w:cs="Palatino Linotype"/>
          <w:i/>
          <w:color w:val="000000" w:themeColor="text1"/>
        </w:rPr>
        <w:t>:</w:t>
      </w:r>
    </w:p>
    <w:p w14:paraId="1C920720" w14:textId="77777777" w:rsidR="00A82033" w:rsidRPr="00F00356" w:rsidRDefault="00E64F74" w:rsidP="00F00356">
      <w:pPr>
        <w:tabs>
          <w:tab w:val="left" w:pos="7938"/>
        </w:tabs>
        <w:spacing w:before="240" w:after="24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I. Toda la información en posesión de cualquier autoridad, entidad, órgano y organismos de los</w:t>
      </w:r>
      <w:r w:rsidRPr="00F0035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00356">
        <w:rPr>
          <w:rFonts w:ascii="Palatino Linotype" w:eastAsia="Palatino Linotype" w:hAnsi="Palatino Linotype" w:cs="Palatino Linotype"/>
          <w:b/>
          <w:i/>
          <w:color w:val="000000" w:themeColor="text1"/>
        </w:rPr>
        <w:t>municipales</w:t>
      </w:r>
      <w:r w:rsidRPr="00F0035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00356">
        <w:rPr>
          <w:rFonts w:ascii="Palatino Linotype" w:eastAsia="Palatino Linotype" w:hAnsi="Palatino Linotype" w:cs="Palatino Linotype"/>
          <w:b/>
          <w:i/>
          <w:color w:val="000000" w:themeColor="text1"/>
        </w:rPr>
        <w:t>es pública</w:t>
      </w:r>
      <w:r w:rsidRPr="00F0035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00356">
        <w:rPr>
          <w:rFonts w:ascii="Palatino Linotype" w:eastAsia="Palatino Linotype" w:hAnsi="Palatino Linotype" w:cs="Palatino Linotype"/>
          <w:b/>
          <w:i/>
          <w:color w:val="000000" w:themeColor="text1"/>
        </w:rPr>
        <w:t>En la interpretación de este derecho deberá prevalecer el principio de máxima publicidad</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003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2824C7" w14:textId="77777777" w:rsidR="00A82033" w:rsidRPr="00F00356" w:rsidRDefault="00A82033" w:rsidP="00F00356">
      <w:pPr>
        <w:tabs>
          <w:tab w:val="left" w:pos="567"/>
        </w:tabs>
        <w:spacing w:before="240" w:after="240"/>
        <w:jc w:val="both"/>
        <w:rPr>
          <w:rFonts w:ascii="Palatino Linotype" w:eastAsia="Palatino Linotype" w:hAnsi="Palatino Linotype" w:cs="Palatino Linotype"/>
          <w:b/>
          <w:i/>
          <w:color w:val="000000" w:themeColor="text1"/>
        </w:rPr>
      </w:pPr>
    </w:p>
    <w:p w14:paraId="0417AB15"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0035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00356">
        <w:rPr>
          <w:rFonts w:ascii="Palatino Linotype" w:eastAsia="Palatino Linotype" w:hAnsi="Palatino Linotype" w:cs="Palatino Linotype"/>
          <w:color w:val="000000" w:themeColor="text1"/>
        </w:rPr>
        <w:t>, contemplando el derecho de las personas con discapacidad y hablantes de lengua indígena.</w:t>
      </w:r>
    </w:p>
    <w:p w14:paraId="1B0AEE5E"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D67464C"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00356">
        <w:rPr>
          <w:rFonts w:ascii="Palatino Linotype" w:eastAsia="Palatino Linotype" w:hAnsi="Palatino Linotype" w:cs="Palatino Linotype"/>
          <w:i/>
          <w:color w:val="000000" w:themeColor="text1"/>
        </w:rPr>
        <w:t>solicitudes de acceso a la información</w:t>
      </w:r>
      <w:r w:rsidRPr="00F00356">
        <w:rPr>
          <w:rFonts w:ascii="Palatino Linotype" w:eastAsia="Palatino Linotype" w:hAnsi="Palatino Linotype" w:cs="Palatino Linotype"/>
          <w:color w:val="000000" w:themeColor="text1"/>
        </w:rPr>
        <w:t>.</w:t>
      </w:r>
    </w:p>
    <w:p w14:paraId="4E00834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4B971C6"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4d34og8" w:colFirst="0" w:colLast="0"/>
      <w:bookmarkEnd w:id="6"/>
      <w:r w:rsidRPr="00F00356">
        <w:rPr>
          <w:rFonts w:ascii="Palatino Linotype" w:eastAsia="Palatino Linotype" w:hAnsi="Palatino Linotype" w:cs="Palatino Linotype"/>
          <w:color w:val="000000" w:themeColor="text1"/>
        </w:rPr>
        <w:t xml:space="preserve">Así entonces, se procede analizar, en primer lugar, si 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E23802A" w14:textId="77777777" w:rsidR="00A82033" w:rsidRPr="00F00356" w:rsidRDefault="00E64F74" w:rsidP="00F00356">
      <w:pPr>
        <w:keepNext/>
        <w:keepLines/>
        <w:spacing w:after="240" w:line="360" w:lineRule="auto"/>
        <w:rPr>
          <w:rFonts w:ascii="Palatino Linotype" w:eastAsia="Palatino Linotype" w:hAnsi="Palatino Linotype" w:cs="Palatino Linotype"/>
          <w:b/>
          <w:color w:val="000000" w:themeColor="text1"/>
        </w:rPr>
      </w:pPr>
      <w:bookmarkStart w:id="7" w:name="_heading=h.2s8eyo1" w:colFirst="0" w:colLast="0"/>
      <w:bookmarkEnd w:id="7"/>
      <w:r w:rsidRPr="00F00356">
        <w:rPr>
          <w:rFonts w:ascii="Palatino Linotype" w:eastAsia="Palatino Linotype" w:hAnsi="Palatino Linotype" w:cs="Palatino Linotype"/>
          <w:b/>
          <w:color w:val="000000" w:themeColor="text1"/>
        </w:rPr>
        <w:lastRenderedPageBreak/>
        <w:t>II. De la información solicitada y la respuesta del SUJETO OBLIGADO</w:t>
      </w:r>
    </w:p>
    <w:p w14:paraId="22F89ECE"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 xml:space="preserve">Ahora bien, es necesario recordar la información que fue solicitada por 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consistió en obtener lo siguiente</w:t>
      </w:r>
      <w:r w:rsidRPr="00F00356">
        <w:rPr>
          <w:rFonts w:ascii="Palatino Linotype" w:eastAsia="Palatino Linotype" w:hAnsi="Palatino Linotype" w:cs="Palatino Linotype"/>
          <w:b/>
          <w:i/>
          <w:color w:val="000000" w:themeColor="text1"/>
        </w:rPr>
        <w:t xml:space="preserve">. </w:t>
      </w:r>
    </w:p>
    <w:p w14:paraId="36F10C9E"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87DE3B0"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De los participantes y ganadores para Defensor Municipal del dos mil dieciséis al nueve de abril de dos mil veinticinco.</w:t>
      </w:r>
    </w:p>
    <w:p w14:paraId="7094AC0E" w14:textId="77777777" w:rsidR="00A82033" w:rsidRPr="00F00356" w:rsidRDefault="00A82033"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3"/>
        <w:gridCol w:w="2132"/>
        <w:gridCol w:w="2963"/>
        <w:gridCol w:w="2410"/>
      </w:tblGrid>
      <w:tr w:rsidR="00F00356" w:rsidRPr="00F00356" w14:paraId="29399A69" w14:textId="77777777" w:rsidTr="00D422E9">
        <w:tc>
          <w:tcPr>
            <w:tcW w:w="2413" w:type="dxa"/>
          </w:tcPr>
          <w:p w14:paraId="12997C1E" w14:textId="77777777" w:rsidR="00A82033" w:rsidRPr="00F00356" w:rsidRDefault="00E64F74" w:rsidP="00D422E9">
            <w:pPr>
              <w:jc w:val="center"/>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Información solicitada</w:t>
            </w:r>
          </w:p>
        </w:tc>
        <w:tc>
          <w:tcPr>
            <w:tcW w:w="2132" w:type="dxa"/>
          </w:tcPr>
          <w:p w14:paraId="253B3516" w14:textId="05479464" w:rsidR="00A82033" w:rsidRPr="00F00356" w:rsidRDefault="00E64F74" w:rsidP="00D422E9">
            <w:pPr>
              <w:jc w:val="center"/>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Respuesta</w:t>
            </w:r>
          </w:p>
        </w:tc>
        <w:tc>
          <w:tcPr>
            <w:tcW w:w="2963" w:type="dxa"/>
          </w:tcPr>
          <w:p w14:paraId="6B704A95" w14:textId="77777777" w:rsidR="00A82033" w:rsidRPr="00F00356" w:rsidRDefault="00E64F74" w:rsidP="00D422E9">
            <w:pPr>
              <w:jc w:val="center"/>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Manifestaciones</w:t>
            </w:r>
          </w:p>
        </w:tc>
        <w:tc>
          <w:tcPr>
            <w:tcW w:w="2410" w:type="dxa"/>
          </w:tcPr>
          <w:p w14:paraId="4DEA1BCE" w14:textId="261473A8" w:rsidR="00A82033" w:rsidRPr="00F00356" w:rsidRDefault="00E64F74" w:rsidP="00D422E9">
            <w:pPr>
              <w:jc w:val="center"/>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Colma</w:t>
            </w:r>
          </w:p>
        </w:tc>
      </w:tr>
      <w:tr w:rsidR="00F00356" w:rsidRPr="00F00356" w14:paraId="585F52AF" w14:textId="77777777" w:rsidTr="00D422E9">
        <w:tc>
          <w:tcPr>
            <w:tcW w:w="2413" w:type="dxa"/>
          </w:tcPr>
          <w:p w14:paraId="21E56931"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Expediente completo </w:t>
            </w:r>
          </w:p>
        </w:tc>
        <w:tc>
          <w:tcPr>
            <w:tcW w:w="2132" w:type="dxa"/>
          </w:tcPr>
          <w:p w14:paraId="7901355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No hubo respuesta </w:t>
            </w:r>
          </w:p>
        </w:tc>
        <w:tc>
          <w:tcPr>
            <w:tcW w:w="2963" w:type="dxa"/>
          </w:tcPr>
          <w:p w14:paraId="3E695CAC"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Ratificación 05378.pdf: </w:t>
            </w:r>
            <w:r w:rsidRPr="00F00356">
              <w:rPr>
                <w:rFonts w:ascii="Palatino Linotype" w:eastAsia="Palatino Linotype" w:hAnsi="Palatino Linotype" w:cs="Palatino Linotype"/>
                <w:i/>
                <w:color w:val="000000" w:themeColor="text1"/>
              </w:rPr>
              <w:t>oficio del Titular de la Unidad de Transparencia, mediante el cual ratifica las respuestas de la Secretaría de Ayuntamiento, de la Dirección General de Administración y de la Defensoría Municipal de Derechos Humanos.</w:t>
            </w:r>
            <w:r w:rsidRPr="00F00356">
              <w:rPr>
                <w:rFonts w:ascii="Palatino Linotype" w:eastAsia="Palatino Linotype" w:hAnsi="Palatino Linotype" w:cs="Palatino Linotype"/>
                <w:b/>
                <w:i/>
                <w:color w:val="000000" w:themeColor="text1"/>
              </w:rPr>
              <w:t xml:space="preserve"> </w:t>
            </w:r>
          </w:p>
          <w:p w14:paraId="6B150055"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oficio de la Directora General de Administración, mediante el cual que lo solicitado no forma parte de su competencia.</w:t>
            </w:r>
          </w:p>
        </w:tc>
        <w:tc>
          <w:tcPr>
            <w:tcW w:w="2410" w:type="dxa"/>
          </w:tcPr>
          <w:p w14:paraId="1FBAB285"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No colma toda vez que no se hace entrega de la información. </w:t>
            </w:r>
          </w:p>
        </w:tc>
      </w:tr>
      <w:tr w:rsidR="00F00356" w:rsidRPr="00F00356" w14:paraId="1AA26D48" w14:textId="77777777" w:rsidTr="00D422E9">
        <w:tc>
          <w:tcPr>
            <w:tcW w:w="2413" w:type="dxa"/>
          </w:tcPr>
          <w:p w14:paraId="5BF3F085"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Curriculum</w:t>
            </w:r>
          </w:p>
        </w:tc>
        <w:tc>
          <w:tcPr>
            <w:tcW w:w="2132" w:type="dxa"/>
          </w:tcPr>
          <w:p w14:paraId="385EFC34"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hubo respuesta</w:t>
            </w:r>
          </w:p>
        </w:tc>
        <w:tc>
          <w:tcPr>
            <w:tcW w:w="2963" w:type="dxa"/>
          </w:tcPr>
          <w:p w14:paraId="2EFE2139"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Ratificación 05378.pdf: </w:t>
            </w:r>
            <w:r w:rsidRPr="00F00356">
              <w:rPr>
                <w:rFonts w:ascii="Palatino Linotype" w:eastAsia="Palatino Linotype" w:hAnsi="Palatino Linotype" w:cs="Palatino Linotype"/>
                <w:i/>
                <w:color w:val="000000" w:themeColor="text1"/>
              </w:rPr>
              <w:t xml:space="preserve">oficio del Titular de la Unidad de Transparencia, mediante el cual ratifica las respuestas de la Secretaría de Ayuntamiento, de la Dirección General de Administración y de la </w:t>
            </w:r>
            <w:r w:rsidRPr="00F00356">
              <w:rPr>
                <w:rFonts w:ascii="Palatino Linotype" w:eastAsia="Palatino Linotype" w:hAnsi="Palatino Linotype" w:cs="Palatino Linotype"/>
                <w:i/>
                <w:color w:val="000000" w:themeColor="text1"/>
              </w:rPr>
              <w:lastRenderedPageBreak/>
              <w:t>Defensoría Municipal de Derechos Humanos.</w:t>
            </w:r>
            <w:r w:rsidRPr="00F00356">
              <w:rPr>
                <w:rFonts w:ascii="Palatino Linotype" w:eastAsia="Palatino Linotype" w:hAnsi="Palatino Linotype" w:cs="Palatino Linotype"/>
                <w:b/>
                <w:i/>
                <w:color w:val="000000" w:themeColor="text1"/>
              </w:rPr>
              <w:t xml:space="preserve"> </w:t>
            </w:r>
          </w:p>
          <w:p w14:paraId="664D4260"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oficio de la Directora General de Administración, mediante el cual que lo solicitado no forma parte de su competencia.</w:t>
            </w:r>
          </w:p>
        </w:tc>
        <w:tc>
          <w:tcPr>
            <w:tcW w:w="2410" w:type="dxa"/>
          </w:tcPr>
          <w:p w14:paraId="3CF83F55"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lastRenderedPageBreak/>
              <w:t>No colma toda vez que no se hace entrega de la información.</w:t>
            </w:r>
          </w:p>
        </w:tc>
      </w:tr>
      <w:tr w:rsidR="00F00356" w:rsidRPr="00F00356" w14:paraId="55B9D193" w14:textId="77777777" w:rsidTr="00D422E9">
        <w:tc>
          <w:tcPr>
            <w:tcW w:w="2413" w:type="dxa"/>
          </w:tcPr>
          <w:p w14:paraId="64472EFB"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Carta de postulación</w:t>
            </w:r>
          </w:p>
        </w:tc>
        <w:tc>
          <w:tcPr>
            <w:tcW w:w="2132" w:type="dxa"/>
          </w:tcPr>
          <w:p w14:paraId="19E24C7F"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hubo respuesta</w:t>
            </w:r>
          </w:p>
        </w:tc>
        <w:tc>
          <w:tcPr>
            <w:tcW w:w="2963" w:type="dxa"/>
          </w:tcPr>
          <w:p w14:paraId="199D5A8A"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Ratificación 05378.pdf: </w:t>
            </w:r>
            <w:r w:rsidRPr="00F00356">
              <w:rPr>
                <w:rFonts w:ascii="Palatino Linotype" w:eastAsia="Palatino Linotype" w:hAnsi="Palatino Linotype" w:cs="Palatino Linotype"/>
                <w:i/>
                <w:color w:val="000000" w:themeColor="text1"/>
              </w:rPr>
              <w:t>oficio del Titular de la Unidad de Transparencia, mediante el cual ratifica las respuestas de la Secretaría de Ayuntamiento, de la Dirección General de Administración y de la Defensoría Municipal de Derechos Humanos.</w:t>
            </w:r>
            <w:r w:rsidRPr="00F00356">
              <w:rPr>
                <w:rFonts w:ascii="Palatino Linotype" w:eastAsia="Palatino Linotype" w:hAnsi="Palatino Linotype" w:cs="Palatino Linotype"/>
                <w:b/>
                <w:i/>
                <w:color w:val="000000" w:themeColor="text1"/>
              </w:rPr>
              <w:t xml:space="preserve"> </w:t>
            </w:r>
          </w:p>
          <w:p w14:paraId="44A70EAA"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oficio de la Directora General de Administración, mediante el cual que lo solicitado no forma parte de su competencia.</w:t>
            </w:r>
          </w:p>
        </w:tc>
        <w:tc>
          <w:tcPr>
            <w:tcW w:w="2410" w:type="dxa"/>
          </w:tcPr>
          <w:p w14:paraId="57EA61E1"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colma toda vez que no se hace entrega de la información.</w:t>
            </w:r>
          </w:p>
        </w:tc>
      </w:tr>
      <w:tr w:rsidR="00F00356" w:rsidRPr="00F00356" w14:paraId="00F27AE2" w14:textId="77777777" w:rsidTr="00D422E9">
        <w:tc>
          <w:tcPr>
            <w:tcW w:w="2413" w:type="dxa"/>
          </w:tcPr>
          <w:p w14:paraId="54A9D043"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Programa de trabajo</w:t>
            </w:r>
          </w:p>
        </w:tc>
        <w:tc>
          <w:tcPr>
            <w:tcW w:w="2132" w:type="dxa"/>
          </w:tcPr>
          <w:p w14:paraId="11A78EB5"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hubo respuesta</w:t>
            </w:r>
          </w:p>
        </w:tc>
        <w:tc>
          <w:tcPr>
            <w:tcW w:w="2963" w:type="dxa"/>
          </w:tcPr>
          <w:p w14:paraId="641A6C99"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Ratificación 05378.pdf: </w:t>
            </w:r>
            <w:r w:rsidRPr="00F00356">
              <w:rPr>
                <w:rFonts w:ascii="Palatino Linotype" w:eastAsia="Palatino Linotype" w:hAnsi="Palatino Linotype" w:cs="Palatino Linotype"/>
                <w:i/>
                <w:color w:val="000000" w:themeColor="text1"/>
              </w:rPr>
              <w:t>oficio del Titular de la Unidad de Transparencia, mediante el cual ratifica las respuestas de la Secretaría de Ayuntamiento, de la Dirección General de Administración y de la Defensoría Municipal de Derechos Humanos.</w:t>
            </w:r>
            <w:r w:rsidRPr="00F00356">
              <w:rPr>
                <w:rFonts w:ascii="Palatino Linotype" w:eastAsia="Palatino Linotype" w:hAnsi="Palatino Linotype" w:cs="Palatino Linotype"/>
                <w:b/>
                <w:i/>
                <w:color w:val="000000" w:themeColor="text1"/>
              </w:rPr>
              <w:t xml:space="preserve"> </w:t>
            </w:r>
          </w:p>
          <w:p w14:paraId="64C52849"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 xml:space="preserve">oficio de la Directora </w:t>
            </w:r>
            <w:r w:rsidRPr="00F00356">
              <w:rPr>
                <w:rFonts w:ascii="Palatino Linotype" w:eastAsia="Palatino Linotype" w:hAnsi="Palatino Linotype" w:cs="Palatino Linotype"/>
                <w:i/>
                <w:color w:val="000000" w:themeColor="text1"/>
              </w:rPr>
              <w:lastRenderedPageBreak/>
              <w:t>General de Administración, mediante el cual que lo solicitado no forma parte de su competencia.</w:t>
            </w:r>
          </w:p>
        </w:tc>
        <w:tc>
          <w:tcPr>
            <w:tcW w:w="2410" w:type="dxa"/>
          </w:tcPr>
          <w:p w14:paraId="7AA75846"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lastRenderedPageBreak/>
              <w:t>No colma toda vez que no se hace entrega de la información.</w:t>
            </w:r>
          </w:p>
        </w:tc>
      </w:tr>
      <w:tr w:rsidR="00A82033" w:rsidRPr="00F00356" w14:paraId="64393215" w14:textId="77777777" w:rsidTr="00D422E9">
        <w:tc>
          <w:tcPr>
            <w:tcW w:w="2413" w:type="dxa"/>
          </w:tcPr>
          <w:p w14:paraId="7160D08B" w14:textId="77777777" w:rsidR="00A82033" w:rsidRPr="00F00356" w:rsidRDefault="00E64F74"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Requisitos de la convocatoria </w:t>
            </w:r>
          </w:p>
        </w:tc>
        <w:tc>
          <w:tcPr>
            <w:tcW w:w="2132" w:type="dxa"/>
          </w:tcPr>
          <w:p w14:paraId="2A2D574A"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hubo respuesta</w:t>
            </w:r>
          </w:p>
        </w:tc>
        <w:tc>
          <w:tcPr>
            <w:tcW w:w="2963" w:type="dxa"/>
          </w:tcPr>
          <w:p w14:paraId="287A7B64"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Ratificación 05378.pdf: </w:t>
            </w:r>
            <w:r w:rsidRPr="00F00356">
              <w:rPr>
                <w:rFonts w:ascii="Palatino Linotype" w:eastAsia="Palatino Linotype" w:hAnsi="Palatino Linotype" w:cs="Palatino Linotype"/>
                <w:i/>
                <w:color w:val="000000" w:themeColor="text1"/>
              </w:rPr>
              <w:t>oficio del Titular de la Unidad de Transparencia, mediante el cual ratifica las respuestas de la Secretaría de Ayuntamiento, de la Dirección General de Administración y de la Defensoría Municipal de Derechos Humanos.</w:t>
            </w:r>
            <w:r w:rsidRPr="00F00356">
              <w:rPr>
                <w:rFonts w:ascii="Palatino Linotype" w:eastAsia="Palatino Linotype" w:hAnsi="Palatino Linotype" w:cs="Palatino Linotype"/>
                <w:b/>
                <w:i/>
                <w:color w:val="000000" w:themeColor="text1"/>
              </w:rPr>
              <w:t xml:space="preserve"> </w:t>
            </w:r>
          </w:p>
          <w:p w14:paraId="7DDC6612"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ANEXOS 05378-2025.pdf: </w:t>
            </w:r>
            <w:r w:rsidRPr="00F00356">
              <w:rPr>
                <w:rFonts w:ascii="Palatino Linotype" w:eastAsia="Palatino Linotype" w:hAnsi="Palatino Linotype" w:cs="Palatino Linotype"/>
                <w:i/>
                <w:color w:val="000000" w:themeColor="text1"/>
              </w:rPr>
              <w:t>oficio de la Directora General de Administración, mediante el cual que lo solicitado no forma parte de su competencia.</w:t>
            </w:r>
          </w:p>
        </w:tc>
        <w:tc>
          <w:tcPr>
            <w:tcW w:w="2410" w:type="dxa"/>
          </w:tcPr>
          <w:p w14:paraId="0B44A9F7" w14:textId="77777777" w:rsidR="00A82033" w:rsidRPr="00F00356" w:rsidRDefault="00E64F74" w:rsidP="00F00356">
            <w:pPr>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No colma toda vez que no se hace entrega de la información.</w:t>
            </w:r>
          </w:p>
        </w:tc>
      </w:tr>
    </w:tbl>
    <w:p w14:paraId="0143492B" w14:textId="77777777" w:rsidR="00A82033" w:rsidRPr="00F00356" w:rsidRDefault="00A82033" w:rsidP="00F00356">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0D5A9B90" w14:textId="77777777" w:rsidR="00A82033" w:rsidRPr="00F00356" w:rsidRDefault="00E64F74" w:rsidP="00F003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 xml:space="preserve">De la tabla anterior se tiene que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no colmo el derecho de acceso a la información del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 xml:space="preserve">toda vez que la información no fue entregada, situación por la cual se hace el siguiente </w:t>
      </w:r>
      <w:r w:rsidR="008E782E">
        <w:rPr>
          <w:rFonts w:ascii="Palatino Linotype" w:eastAsia="Palatino Linotype" w:hAnsi="Palatino Linotype" w:cs="Palatino Linotype"/>
          <w:color w:val="000000" w:themeColor="text1"/>
        </w:rPr>
        <w:t>análisis</w:t>
      </w:r>
      <w:r w:rsidRPr="00F00356">
        <w:rPr>
          <w:rFonts w:ascii="Palatino Linotype" w:eastAsia="Palatino Linotype" w:hAnsi="Palatino Linotype" w:cs="Palatino Linotype"/>
          <w:color w:val="000000" w:themeColor="text1"/>
        </w:rPr>
        <w:t xml:space="preserve">. </w:t>
      </w:r>
    </w:p>
    <w:p w14:paraId="680EABD8" w14:textId="77777777" w:rsidR="00A82033" w:rsidRPr="00F00356" w:rsidRDefault="00A82033" w:rsidP="00F00356">
      <w:pPr>
        <w:widowControl w:val="0"/>
        <w:spacing w:line="360" w:lineRule="auto"/>
        <w:jc w:val="both"/>
        <w:rPr>
          <w:rFonts w:ascii="Palatino Linotype" w:eastAsia="Palatino Linotype" w:hAnsi="Palatino Linotype" w:cs="Palatino Linotype"/>
          <w:color w:val="000000" w:themeColor="text1"/>
        </w:rPr>
      </w:pPr>
    </w:p>
    <w:p w14:paraId="15E35C38" w14:textId="77777777" w:rsidR="00A82033"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esa línea, resulta necesario traer a estudio los artículos 31 fracciones IX Bis y XLII, 147 A, 147 D, 147 E, 147 G, y 147 I, de la Ley Orgánica Municipal del Estado de México, el cual establece que el Ayuntamiento contará con el ejercicio de diversas atribuciones entre otras las siguientes:</w:t>
      </w:r>
    </w:p>
    <w:p w14:paraId="56A76F2F" w14:textId="77777777" w:rsidR="00F03427" w:rsidRDefault="00F03427" w:rsidP="00F03427">
      <w:pPr>
        <w:pStyle w:val="Prrafodelista"/>
        <w:rPr>
          <w:rFonts w:ascii="Palatino Linotype" w:eastAsia="Palatino Linotype" w:hAnsi="Palatino Linotype" w:cs="Palatino Linotype"/>
          <w:color w:val="000000" w:themeColor="text1"/>
        </w:rPr>
      </w:pPr>
    </w:p>
    <w:p w14:paraId="030E4CDD" w14:textId="77777777" w:rsidR="00F03427" w:rsidRPr="00F00356" w:rsidRDefault="00F03427" w:rsidP="00F0342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E558AF0"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tbl>
      <w:tblPr>
        <w:tblStyle w:val="a0"/>
        <w:tblW w:w="9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
        <w:gridCol w:w="1956"/>
        <w:gridCol w:w="1482"/>
        <w:gridCol w:w="1559"/>
        <w:gridCol w:w="1701"/>
        <w:gridCol w:w="1559"/>
      </w:tblGrid>
      <w:tr w:rsidR="00F00356" w:rsidRPr="00F00356" w14:paraId="1072F755" w14:textId="77777777" w:rsidTr="00D422E9">
        <w:tc>
          <w:tcPr>
            <w:tcW w:w="1441" w:type="dxa"/>
          </w:tcPr>
          <w:p w14:paraId="42BFF4AD" w14:textId="77777777" w:rsidR="00A82033" w:rsidRPr="00F00356" w:rsidRDefault="00E64F74" w:rsidP="00F00356">
            <w:pPr>
              <w:widowControl w:val="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lastRenderedPageBreak/>
              <w:t>Artículo 31 fracciones IX Bis y XLII</w:t>
            </w:r>
          </w:p>
        </w:tc>
        <w:tc>
          <w:tcPr>
            <w:tcW w:w="1956" w:type="dxa"/>
          </w:tcPr>
          <w:p w14:paraId="591A625E"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147 A</w:t>
            </w:r>
          </w:p>
        </w:tc>
        <w:tc>
          <w:tcPr>
            <w:tcW w:w="1482" w:type="dxa"/>
          </w:tcPr>
          <w:p w14:paraId="643CA1F6"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147 D</w:t>
            </w:r>
          </w:p>
        </w:tc>
        <w:tc>
          <w:tcPr>
            <w:tcW w:w="1559" w:type="dxa"/>
          </w:tcPr>
          <w:p w14:paraId="051E5734"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147 E</w:t>
            </w:r>
          </w:p>
        </w:tc>
        <w:tc>
          <w:tcPr>
            <w:tcW w:w="1701" w:type="dxa"/>
          </w:tcPr>
          <w:p w14:paraId="78040A87"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147 I</w:t>
            </w:r>
          </w:p>
        </w:tc>
        <w:tc>
          <w:tcPr>
            <w:tcW w:w="1559" w:type="dxa"/>
          </w:tcPr>
          <w:p w14:paraId="4E14D66D"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Artículo 147 G</w:t>
            </w:r>
          </w:p>
        </w:tc>
      </w:tr>
      <w:tr w:rsidR="00A82033" w:rsidRPr="00F00356" w14:paraId="46087FD4" w14:textId="77777777" w:rsidTr="00D422E9">
        <w:tc>
          <w:tcPr>
            <w:tcW w:w="1441" w:type="dxa"/>
          </w:tcPr>
          <w:p w14:paraId="2587224A" w14:textId="77777777" w:rsidR="00A82033" w:rsidRPr="00F00356" w:rsidRDefault="00E64F74" w:rsidP="00F00356">
            <w:pPr>
              <w:widowControl w:val="0"/>
              <w:pBdr>
                <w:top w:val="nil"/>
                <w:left w:val="nil"/>
                <w:bottom w:val="nil"/>
                <w:right w:val="nil"/>
                <w:between w:val="nil"/>
              </w:pBd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Crear en el ámbito de sus respectivas competencias una Defensoría Municipal de Derechos Humanos, la cual gozará de autonomía en sus decisiones y en el ejercicio de presupuesto; y</w:t>
            </w:r>
          </w:p>
          <w:p w14:paraId="4C3B4361" w14:textId="77777777" w:rsidR="00A82033" w:rsidRPr="00F00356" w:rsidRDefault="00E64F74" w:rsidP="00F00356">
            <w:pPr>
              <w:widowControl w:val="0"/>
              <w:pBdr>
                <w:top w:val="nil"/>
                <w:left w:val="nil"/>
                <w:bottom w:val="nil"/>
                <w:right w:val="nil"/>
                <w:between w:val="nil"/>
              </w:pBd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Convocar al procedimiento de designación de los Defensores Municipales de Derechos Humanos.</w:t>
            </w:r>
          </w:p>
          <w:p w14:paraId="1894B98E" w14:textId="77777777" w:rsidR="00A82033" w:rsidRPr="00F00356" w:rsidRDefault="00A82033" w:rsidP="00F00356">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tc>
        <w:tc>
          <w:tcPr>
            <w:tcW w:w="1956" w:type="dxa"/>
          </w:tcPr>
          <w:p w14:paraId="1C9F43D8"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 xml:space="preserve">En cada municipio, el ayuntamiento respectivo, mediante acuerdo de cabildo, </w:t>
            </w:r>
            <w:r w:rsidRPr="00F00356">
              <w:rPr>
                <w:rFonts w:ascii="Palatino Linotype" w:eastAsia="Palatino Linotype" w:hAnsi="Palatino Linotype" w:cs="Palatino Linotype"/>
                <w:b/>
                <w:i/>
                <w:color w:val="000000" w:themeColor="text1"/>
              </w:rPr>
              <w:t>expedirá con la oportunidad una convocatoria</w:t>
            </w:r>
            <w:r w:rsidRPr="00F00356">
              <w:rPr>
                <w:rFonts w:ascii="Palatino Linotype" w:eastAsia="Palatino Linotype" w:hAnsi="Palatino Linotype" w:cs="Palatino Linotype"/>
                <w:i/>
                <w:color w:val="000000" w:themeColor="text1"/>
              </w:rPr>
              <w:t xml:space="preserve"> abierta a toda la población para designar al defensor Municipal de Derechos Humanos, que deberá durar en el cargo tres años, contando a partir de la fecha de su designación, pudiendo ser reelecto por el ayuntamiento por una sola vez por igual periodo, de acuerdo a lo siguiente:</w:t>
            </w:r>
          </w:p>
          <w:p w14:paraId="24FA8558"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p w14:paraId="39DA4C92"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La convocatoria abierta se emitirá </w:t>
            </w:r>
            <w:r w:rsidRPr="00F00356">
              <w:rPr>
                <w:rFonts w:ascii="Palatino Linotype" w:eastAsia="Palatino Linotype" w:hAnsi="Palatino Linotype" w:cs="Palatino Linotype"/>
                <w:i/>
                <w:color w:val="000000" w:themeColor="text1"/>
              </w:rPr>
              <w:lastRenderedPageBreak/>
              <w:t>dentro de los primeros 60 días naturales del periodo constitucional del Ayuntamiento;</w:t>
            </w:r>
          </w:p>
          <w:p w14:paraId="06B86172"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La convocatoria abierta se publicará y deberá permanecer su difusión por un periodo de cuando menos quince días y no mayor a veinte días naturales, en los lugares de mayor afluencia del municipio, así como en el periódico de mayor circulación dentro del territorio municipal;</w:t>
            </w:r>
          </w:p>
          <w:p w14:paraId="6A7F152C"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La convocatoria abierta también se difundirá y se hará del conocimiento de las organizaciones y asociaciones interesadas en el respeto, promoción, </w:t>
            </w:r>
            <w:r w:rsidRPr="00F00356">
              <w:rPr>
                <w:rFonts w:ascii="Palatino Linotype" w:eastAsia="Palatino Linotype" w:hAnsi="Palatino Linotype" w:cs="Palatino Linotype"/>
                <w:i/>
                <w:color w:val="000000" w:themeColor="text1"/>
              </w:rPr>
              <w:lastRenderedPageBreak/>
              <w:t>divulgación y cultura de los derechos humanos;</w:t>
            </w:r>
          </w:p>
          <w:p w14:paraId="285C331F"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De no ocurrir a la convocatoria más de tres aspirantes, el ayuntamiento deberá emitir una segunda convocatoria dentro de los 10 días naturales siguientes al vencimiento de la primera convocatoria;</w:t>
            </w:r>
          </w:p>
          <w:p w14:paraId="7421E295"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w:t>
            </w:r>
            <w:r w:rsidRPr="00F00356">
              <w:rPr>
                <w:rFonts w:ascii="Palatino Linotype" w:eastAsia="Palatino Linotype" w:hAnsi="Palatino Linotype" w:cs="Palatino Linotype"/>
                <w:i/>
                <w:color w:val="000000" w:themeColor="text1"/>
              </w:rPr>
              <w:lastRenderedPageBreak/>
              <w:t xml:space="preserve">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 Municipal de </w:t>
            </w:r>
            <w:r w:rsidRPr="00F00356">
              <w:rPr>
                <w:rFonts w:ascii="Palatino Linotype" w:eastAsia="Palatino Linotype" w:hAnsi="Palatino Linotype" w:cs="Palatino Linotype"/>
                <w:i/>
                <w:color w:val="000000" w:themeColor="text1"/>
              </w:rPr>
              <w:lastRenderedPageBreak/>
              <w:t>Derechos Humanos; y</w:t>
            </w:r>
          </w:p>
          <w:p w14:paraId="52FE626B"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Si al inicio de la administración municipal no se cuenta con un Defensor Municipal de Derechos Humanos, el ayuntamiento deberá emitir la convocatoria respectiva a más tardar dentro de los quince días naturales siguientes a que se le haya tomado la protesta de ley </w:t>
            </w:r>
          </w:p>
          <w:p w14:paraId="0412791E"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tc>
        <w:tc>
          <w:tcPr>
            <w:tcW w:w="1482" w:type="dxa"/>
          </w:tcPr>
          <w:p w14:paraId="53BD29FF"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La convocatoria abierta que emita el ayuntamiento para acceder a Defensor Municipal de Derechos Humanos deberá reunir cuando menos, lo siguiente:</w:t>
            </w:r>
          </w:p>
          <w:p w14:paraId="1B00FB06"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p w14:paraId="0FAAD16D"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Nombre del ayuntamiento convocante y fundamento legal; </w:t>
            </w:r>
          </w:p>
          <w:p w14:paraId="2730F793"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Requisitos que esta Ley exige para ser aspirante a Defensor Municipal de Derechos Humanos; </w:t>
            </w:r>
          </w:p>
          <w:p w14:paraId="1C9685FD"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 xml:space="preserve">Documentos soporte de los requisitos exigidos a los aspirantes; </w:t>
            </w:r>
          </w:p>
          <w:p w14:paraId="559F0E9B"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Plazo para su presentación; </w:t>
            </w:r>
          </w:p>
          <w:p w14:paraId="52002607"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Lugar de recepción de los mismos; </w:t>
            </w:r>
          </w:p>
          <w:p w14:paraId="6ABFAC96"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Descripción del procedimiento de selección; y </w:t>
            </w:r>
          </w:p>
          <w:p w14:paraId="564CF2B9"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Publicación de resultados</w:t>
            </w:r>
          </w:p>
          <w:p w14:paraId="61088330"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p w14:paraId="1E9DBC6E"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tc>
        <w:tc>
          <w:tcPr>
            <w:tcW w:w="1559" w:type="dxa"/>
          </w:tcPr>
          <w:p w14:paraId="24528255"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lastRenderedPageBreak/>
              <w:t>La Secretaría del Ayuntamiento recibirá las solicitudes y documentación de los aspirantes, acusándolo de recibido y con el folio respectivo y lo hará del conocimiento del ayuntamiento en la sesión de cabildo ordinaria siguiente,</w:t>
            </w:r>
            <w:r w:rsidRPr="00F00356">
              <w:rPr>
                <w:rFonts w:ascii="Palatino Linotype" w:eastAsia="Palatino Linotype" w:hAnsi="Palatino Linotype" w:cs="Palatino Linotype"/>
                <w:i/>
                <w:color w:val="000000" w:themeColor="text1"/>
              </w:rPr>
              <w:t xml:space="preserve"> a fin de acordar su remisión a la Comisión Municipal de Derechos Humanos, para la declaratoria de terna, en </w:t>
            </w:r>
            <w:r w:rsidRPr="00F00356">
              <w:rPr>
                <w:rFonts w:ascii="Palatino Linotype" w:eastAsia="Palatino Linotype" w:hAnsi="Palatino Linotype" w:cs="Palatino Linotype"/>
                <w:i/>
                <w:color w:val="000000" w:themeColor="text1"/>
              </w:rPr>
              <w:lastRenderedPageBreak/>
              <w:t>no más de cinco días hábiles, acompañando copia certificada del punto de acuerdo respectivo.</w:t>
            </w:r>
          </w:p>
          <w:p w14:paraId="0C5EBD77"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tc>
        <w:tc>
          <w:tcPr>
            <w:tcW w:w="1701" w:type="dxa"/>
          </w:tcPr>
          <w:p w14:paraId="299735C1"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La o el Defensor Municipal de Derechos Humanos debe reunir los requisitos siguientes:</w:t>
            </w:r>
          </w:p>
          <w:p w14:paraId="28F5F772"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Ser mexicano en pleno goce y ejercicio de sus derechos políticos y civiles;</w:t>
            </w:r>
          </w:p>
          <w:p w14:paraId="7F228B14"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 Tener residencia efectiva en el municipio no menor a tres años; </w:t>
            </w:r>
          </w:p>
          <w:p w14:paraId="6B3E8715"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Contar preferentemente con título de licenciado en derecho o disciplinas afines, así como experiencia o estudios en derechos humanos;</w:t>
            </w:r>
          </w:p>
          <w:p w14:paraId="58D1248B"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 xml:space="preserve">Tener más de 23 años al momento de su designación; </w:t>
            </w:r>
          </w:p>
          <w:p w14:paraId="6A73C255"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Gozar de buena fama pública y no haber sido condenado por sentencia ejecutoriada por delito intencional. </w:t>
            </w:r>
          </w:p>
          <w:p w14:paraId="75F32EE9"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No haber sido sancionado en el desempeño de empleo, cargo o comisión en los servicios públicos federal, estatal o municipal, con motivo de alguna recomendación emitida por organismos públicos de derechos humanos; y </w:t>
            </w:r>
          </w:p>
          <w:p w14:paraId="0D5BA067"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No haber sido objeto de sanción de inhabilitación o destitución administrativa</w:t>
            </w:r>
            <w:r w:rsidRPr="00F00356">
              <w:rPr>
                <w:rFonts w:ascii="Palatino Linotype" w:eastAsia="Palatino Linotype" w:hAnsi="Palatino Linotype" w:cs="Palatino Linotype"/>
                <w:i/>
                <w:color w:val="000000" w:themeColor="text1"/>
              </w:rPr>
              <w:lastRenderedPageBreak/>
              <w:t>s para el desempeño de empleo, cargo o comisión en el servicio público, mediante resolución que haya causado estado.  Y</w:t>
            </w:r>
          </w:p>
          <w:p w14:paraId="0F25375C" w14:textId="77777777" w:rsidR="00A82033" w:rsidRPr="00F00356" w:rsidRDefault="00E64F74" w:rsidP="00F00356">
            <w:pPr>
              <w:tabs>
                <w:tab w:val="left" w:pos="0"/>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Certificación en materia de derechos humanos, que para tal efecto emita la Comisión de Derechos Humanos del Estado de México.</w:t>
            </w:r>
          </w:p>
          <w:p w14:paraId="21C970C8"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tc>
        <w:tc>
          <w:tcPr>
            <w:tcW w:w="1559" w:type="dxa"/>
          </w:tcPr>
          <w:p w14:paraId="47F87083" w14:textId="77777777" w:rsidR="00A82033" w:rsidRPr="00F00356" w:rsidRDefault="00E64F74" w:rsidP="00F00356">
            <w:pPr>
              <w:tabs>
                <w:tab w:val="left" w:pos="0"/>
              </w:tabs>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lastRenderedPageBreak/>
              <w:t>La Comisión Municipal de Derechos Humanos remitirá al cabildo la declaratoria de terna correspondiente</w:t>
            </w:r>
            <w:r w:rsidRPr="00F00356">
              <w:rPr>
                <w:rFonts w:ascii="Palatino Linotype" w:eastAsia="Palatino Linotype" w:hAnsi="Palatino Linotype" w:cs="Palatino Linotype"/>
                <w:i/>
                <w:color w:val="000000" w:themeColor="text1"/>
              </w:rPr>
              <w:t xml:space="preserve">, para que la comunique a los aspirantes propuestos, en la siguiente sesión ordinaria, expongan su propuesta de plan de trabajo. </w:t>
            </w:r>
            <w:r w:rsidRPr="00F00356">
              <w:rPr>
                <w:rFonts w:ascii="Palatino Linotype" w:eastAsia="Palatino Linotype" w:hAnsi="Palatino Linotype" w:cs="Palatino Linotype"/>
                <w:b/>
                <w:i/>
                <w:color w:val="000000" w:themeColor="text1"/>
              </w:rPr>
              <w:t xml:space="preserve"> </w:t>
            </w:r>
          </w:p>
          <w:p w14:paraId="210132D9" w14:textId="77777777" w:rsidR="00A82033" w:rsidRPr="00F00356" w:rsidRDefault="00A82033" w:rsidP="00F00356">
            <w:pPr>
              <w:tabs>
                <w:tab w:val="left" w:pos="0"/>
              </w:tabs>
              <w:jc w:val="both"/>
              <w:rPr>
                <w:rFonts w:ascii="Palatino Linotype" w:eastAsia="Palatino Linotype" w:hAnsi="Palatino Linotype" w:cs="Palatino Linotype"/>
                <w:i/>
                <w:color w:val="000000" w:themeColor="text1"/>
              </w:rPr>
            </w:pPr>
          </w:p>
        </w:tc>
      </w:tr>
    </w:tbl>
    <w:p w14:paraId="4F1CCF6B"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F4E08D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lo anterior, se tiene que el área habilitada del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es la Secretaría del Ayuntamiento, toda vez que es quien recibe las solicitudes de la documentación de los aspirantes a Defensores Municipales para que posteriormente la Comisión Municipal de Derechos Humanos remita al cabildo la declaratoria de terna</w:t>
      </w:r>
      <w:r w:rsidRPr="00F00356">
        <w:rPr>
          <w:rFonts w:ascii="Palatino Linotype" w:eastAsia="Palatino Linotype" w:hAnsi="Palatino Linotype" w:cs="Palatino Linotype"/>
          <w:b/>
          <w:i/>
          <w:color w:val="000000" w:themeColor="text1"/>
        </w:rPr>
        <w:t xml:space="preserve"> </w:t>
      </w:r>
      <w:r w:rsidRPr="00F00356">
        <w:rPr>
          <w:rFonts w:ascii="Palatino Linotype" w:eastAsia="Palatino Linotype" w:hAnsi="Palatino Linotype" w:cs="Palatino Linotype"/>
          <w:color w:val="000000" w:themeColor="text1"/>
        </w:rPr>
        <w:t>correspondiente</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color w:val="000000" w:themeColor="text1"/>
        </w:rPr>
        <w:t xml:space="preserve">para la elección del Defensor Municipal. </w:t>
      </w:r>
    </w:p>
    <w:p w14:paraId="0FB54F09"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9A5D19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esa línea, se aprecia que el Sujeto Obligado puede conocer de la información solicitada, dado que el procedimiento para llevar a cabo la asignación de la persona titular </w:t>
      </w:r>
      <w:r w:rsidRPr="00F00356">
        <w:rPr>
          <w:rFonts w:ascii="Palatino Linotype" w:eastAsia="Palatino Linotype" w:hAnsi="Palatino Linotype" w:cs="Palatino Linotype"/>
          <w:color w:val="000000" w:themeColor="text1"/>
        </w:rPr>
        <w:lastRenderedPageBreak/>
        <w:t xml:space="preserve">de la Defensoría Municipal de Derechos Humanos se lleva a cabo por parte del Ayuntamiento, a través del Secretario del Ayuntamiento y la designación de Cabildo. </w:t>
      </w:r>
    </w:p>
    <w:p w14:paraId="2965F548" w14:textId="77777777" w:rsidR="00A82033" w:rsidRPr="00F00356" w:rsidRDefault="00A82033" w:rsidP="00F00356">
      <w:pPr>
        <w:widowControl w:val="0"/>
        <w:spacing w:line="360" w:lineRule="auto"/>
        <w:jc w:val="both"/>
        <w:rPr>
          <w:rFonts w:ascii="Palatino Linotype" w:eastAsia="Palatino Linotype" w:hAnsi="Palatino Linotype" w:cs="Palatino Linotype"/>
          <w:b/>
          <w:color w:val="000000" w:themeColor="text1"/>
        </w:rPr>
      </w:pPr>
    </w:p>
    <w:p w14:paraId="477F8ED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consecuencia se determina que si bien es cierto en la etapa de manifestaciones el Titular de la Unidad de Transparencia refiere que ratificaba la respuesta de la </w:t>
      </w:r>
      <w:r w:rsidRPr="00F00356">
        <w:rPr>
          <w:rFonts w:ascii="Palatino Linotype" w:eastAsia="Palatino Linotype" w:hAnsi="Palatino Linotype" w:cs="Palatino Linotype"/>
          <w:b/>
          <w:color w:val="000000" w:themeColor="text1"/>
        </w:rPr>
        <w:t>Secretaría del Ayuntamiento</w:t>
      </w:r>
      <w:r w:rsidRPr="00F00356">
        <w:rPr>
          <w:rFonts w:ascii="Palatino Linotype" w:eastAsia="Palatino Linotype" w:hAnsi="Palatino Linotype" w:cs="Palatino Linotype"/>
          <w:color w:val="000000" w:themeColor="text1"/>
        </w:rPr>
        <w:t xml:space="preserve">, también lo es que de la misma no se entregó información, situación por la cual no se puede tener por colmado el derecho de acceso a la información. </w:t>
      </w:r>
    </w:p>
    <w:p w14:paraId="0396C298"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49B3EC7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se debe de precisar que 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 xml:space="preserve">solicita la información del año 2016  al nueve de abril de dos mil veinticinco, situación por la cual se consultó los Bandos Municipales, de los cuales se localizó que dentro de la estructura se cuenta con la Defensoría Municipal de Derechos Humanos de los periodos solicitados. </w:t>
      </w:r>
    </w:p>
    <w:p w14:paraId="1682F091" w14:textId="77777777" w:rsidR="00A82033" w:rsidRPr="00F00356" w:rsidRDefault="00A82033" w:rsidP="00F00356">
      <w:pPr>
        <w:widowControl w:val="0"/>
        <w:spacing w:line="360" w:lineRule="auto"/>
        <w:jc w:val="both"/>
        <w:rPr>
          <w:rFonts w:ascii="Palatino Linotype" w:eastAsia="Palatino Linotype" w:hAnsi="Palatino Linotype" w:cs="Palatino Linotype"/>
          <w:color w:val="000000" w:themeColor="text1"/>
        </w:rPr>
      </w:pPr>
    </w:p>
    <w:p w14:paraId="385396A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Conforme a lo anterior, se logra vislumbrar que la pretensión del ahora Recurrente es obtener los documentos que dieran cuenta de los expedientes completos, Curriculum, Carta de Postulación, Programa de Trabajo y los Requisitos de la Convocatoria  de los aspirantes y ganadores para la postulación a ocupar el cargo de Defensor Municipal  de la Defensoría Municipal de Derechos Humanos del Ayuntamiento  Toluca, del nueve de abril de dos mil dieciséis, al nueve de abril de dos mil veinticinco.</w:t>
      </w:r>
    </w:p>
    <w:p w14:paraId="79C79CC5" w14:textId="77777777" w:rsidR="00A82033" w:rsidRDefault="00A82033" w:rsidP="00F00356">
      <w:pPr>
        <w:spacing w:line="360" w:lineRule="auto"/>
        <w:jc w:val="both"/>
        <w:rPr>
          <w:rFonts w:ascii="Palatino Linotype" w:eastAsia="Palatino Linotype" w:hAnsi="Palatino Linotype" w:cs="Palatino Linotype"/>
          <w:b/>
          <w:color w:val="000000" w:themeColor="text1"/>
        </w:rPr>
      </w:pPr>
    </w:p>
    <w:p w14:paraId="75B40B1E" w14:textId="77777777" w:rsidR="00D422E9" w:rsidRDefault="00D422E9" w:rsidP="00F00356">
      <w:pPr>
        <w:spacing w:line="360" w:lineRule="auto"/>
        <w:jc w:val="both"/>
        <w:rPr>
          <w:rFonts w:ascii="Palatino Linotype" w:eastAsia="Palatino Linotype" w:hAnsi="Palatino Linotype" w:cs="Palatino Linotype"/>
          <w:b/>
          <w:color w:val="000000" w:themeColor="text1"/>
        </w:rPr>
      </w:pPr>
    </w:p>
    <w:p w14:paraId="171B6ED1" w14:textId="77777777" w:rsidR="00D422E9" w:rsidRDefault="00D422E9" w:rsidP="00F00356">
      <w:pPr>
        <w:spacing w:line="360" w:lineRule="auto"/>
        <w:jc w:val="both"/>
        <w:rPr>
          <w:rFonts w:ascii="Palatino Linotype" w:eastAsia="Palatino Linotype" w:hAnsi="Palatino Linotype" w:cs="Palatino Linotype"/>
          <w:b/>
          <w:color w:val="000000" w:themeColor="text1"/>
        </w:rPr>
      </w:pPr>
    </w:p>
    <w:p w14:paraId="12771794" w14:textId="77777777" w:rsidR="00D422E9" w:rsidRDefault="00D422E9" w:rsidP="00F00356">
      <w:pPr>
        <w:spacing w:line="360" w:lineRule="auto"/>
        <w:jc w:val="both"/>
        <w:rPr>
          <w:rFonts w:ascii="Palatino Linotype" w:eastAsia="Palatino Linotype" w:hAnsi="Palatino Linotype" w:cs="Palatino Linotype"/>
          <w:b/>
          <w:color w:val="000000" w:themeColor="text1"/>
        </w:rPr>
      </w:pPr>
    </w:p>
    <w:p w14:paraId="7DD03F76" w14:textId="77777777" w:rsidR="00D422E9" w:rsidRDefault="00D422E9" w:rsidP="00F00356">
      <w:pPr>
        <w:spacing w:line="360" w:lineRule="auto"/>
        <w:jc w:val="both"/>
        <w:rPr>
          <w:rFonts w:ascii="Palatino Linotype" w:eastAsia="Palatino Linotype" w:hAnsi="Palatino Linotype" w:cs="Palatino Linotype"/>
          <w:b/>
          <w:color w:val="000000" w:themeColor="text1"/>
        </w:rPr>
      </w:pPr>
    </w:p>
    <w:p w14:paraId="79D6276D" w14:textId="3344E939"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lastRenderedPageBreak/>
        <w:t>En cuanto a los expedientes de los aspirantes a defensores municipales y ganadores a</w:t>
      </w:r>
      <w:r w:rsidR="00D422E9">
        <w:rPr>
          <w:rFonts w:ascii="Palatino Linotype" w:eastAsia="Palatino Linotype" w:hAnsi="Palatino Linotype" w:cs="Palatino Linotype"/>
          <w:b/>
          <w:color w:val="000000" w:themeColor="text1"/>
        </w:rPr>
        <w:t>l cargo se analiza lo siguiente:</w:t>
      </w:r>
    </w:p>
    <w:p w14:paraId="2AC8DC9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primer punto, se debe de referir que de una búsqueda realizada por este Organismo Garante se localizó el nombre de las personas defensoras de derechos humanos en el Ayuntamiento de Toluca conforme a lo siguiente:</w:t>
      </w:r>
    </w:p>
    <w:p w14:paraId="3837D4B4" w14:textId="77777777" w:rsidR="00A82033" w:rsidRPr="00F00356" w:rsidRDefault="00E64F74" w:rsidP="00F0035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2016- Mtra. María Elena López Barrera Defensora Municipal de Derechos Humanos de Toluca, en el Directorio de la Administración pública descrito en el primer informe de gobierno de la administración 2016-2018. </w:t>
      </w:r>
      <w:hyperlink r:id="rId8">
        <w:r w:rsidRPr="00F00356">
          <w:rPr>
            <w:rFonts w:ascii="Palatino Linotype" w:eastAsia="Palatino Linotype" w:hAnsi="Palatino Linotype" w:cs="Palatino Linotype"/>
            <w:color w:val="000000" w:themeColor="text1"/>
            <w:u w:val="single"/>
          </w:rPr>
          <w:t>https://www2.toluca.gob.mx/wp-content/uploads/2021/06/Tol-pdf-upl-acta-1erInforme-gobierno-2016-2018.pdf</w:t>
        </w:r>
      </w:hyperlink>
      <w:r w:rsidRPr="00F00356">
        <w:rPr>
          <w:rFonts w:ascii="Palatino Linotype" w:eastAsia="Palatino Linotype" w:hAnsi="Palatino Linotype" w:cs="Palatino Linotype"/>
          <w:color w:val="000000" w:themeColor="text1"/>
        </w:rPr>
        <w:t xml:space="preserve"> </w:t>
      </w:r>
    </w:p>
    <w:p w14:paraId="50E7CAF1" w14:textId="77777777" w:rsidR="00A82033" w:rsidRPr="00F00356" w:rsidRDefault="00E64F74" w:rsidP="00F0035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2018- Dra. María José Bernal Ballesteros Defensora Municipal de Derechos Humanos de Toluca en el Directorio de la Administración pública descrito en el tercer informe de gobierno de la administración 2016-2018.</w:t>
      </w:r>
    </w:p>
    <w:p w14:paraId="67615950" w14:textId="77777777" w:rsidR="00A82033" w:rsidRPr="00F00356" w:rsidRDefault="00E64F74" w:rsidP="00F0035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2023- Titular María José Bernal Ballesteros. Sitio IPOMEX del Sujeto Obligado, específicamente en los registros de Directorio, del ejercicio 2023</w:t>
      </w:r>
    </w:p>
    <w:p w14:paraId="1CAC4322" w14:textId="77777777" w:rsidR="00A82033" w:rsidRPr="00F00356" w:rsidRDefault="00E64F74" w:rsidP="00F0035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2025: Dra. Zulairam Janet Arreola Arreola, Sitio IPOMEX del Sujeto Obligado, específicamente en los registros de Directorio, del ejercicio 2025</w:t>
      </w:r>
    </w:p>
    <w:p w14:paraId="17982680"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4309CA5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esa línea, se debe de referir que si hubo procesos para la selección de los Defensores Municipales del Ayuntamiento de Toluca por lo periodos solicitados, situación por la cual se debieron de haber aperturado los expedientes, situación por la cual se analiza la información contenida en los mismos, así como la susceptibilidad de la clasificación </w:t>
      </w:r>
    </w:p>
    <w:p w14:paraId="69A4ADF8" w14:textId="77777777" w:rsidR="00A82033" w:rsidRDefault="00A82033" w:rsidP="00F00356">
      <w:pPr>
        <w:spacing w:line="360" w:lineRule="auto"/>
        <w:jc w:val="both"/>
        <w:rPr>
          <w:rFonts w:ascii="Palatino Linotype" w:eastAsia="Palatino Linotype" w:hAnsi="Palatino Linotype" w:cs="Palatino Linotype"/>
          <w:color w:val="000000" w:themeColor="text1"/>
        </w:rPr>
      </w:pPr>
    </w:p>
    <w:p w14:paraId="391F82A3" w14:textId="77777777" w:rsidR="00D422E9" w:rsidRDefault="00D422E9" w:rsidP="00F00356">
      <w:pPr>
        <w:spacing w:line="360" w:lineRule="auto"/>
        <w:jc w:val="both"/>
        <w:rPr>
          <w:rFonts w:ascii="Palatino Linotype" w:eastAsia="Palatino Linotype" w:hAnsi="Palatino Linotype" w:cs="Palatino Linotype"/>
          <w:color w:val="000000" w:themeColor="text1"/>
        </w:rPr>
      </w:pPr>
    </w:p>
    <w:p w14:paraId="08E368EE" w14:textId="77777777" w:rsidR="00D422E9" w:rsidRPr="00F00356" w:rsidRDefault="00D422E9" w:rsidP="00F00356">
      <w:pPr>
        <w:spacing w:line="360" w:lineRule="auto"/>
        <w:jc w:val="both"/>
        <w:rPr>
          <w:rFonts w:ascii="Palatino Linotype" w:eastAsia="Palatino Linotype" w:hAnsi="Palatino Linotype" w:cs="Palatino Linotype"/>
          <w:color w:val="000000" w:themeColor="text1"/>
        </w:rPr>
      </w:pPr>
    </w:p>
    <w:p w14:paraId="6DB2E3AD"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lastRenderedPageBreak/>
        <w:t>Del expediente completo</w:t>
      </w:r>
    </w:p>
    <w:p w14:paraId="4A72B1AF"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 xml:space="preserve">Firma en documentos para participar en la convocatoria. </w:t>
      </w:r>
    </w:p>
    <w:p w14:paraId="782AA507"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Al respecto, la firma es considerada un dato personal, al tratarse de información gráfica a través de la cual su titular exterioriza su voluntad en actos públicos y privados; sin embargo, en el presente caso, se trata de aquellas que se plasmaron en actos correspondientes al ejercicio de facultades y atribuciones, por lo que resulta necesario traer a colación el Criterio 10/10, emitido por el entonces Instituto Federal de Acceso a la Información y Protección de Datos, mismo que a la letra señala:</w:t>
      </w:r>
    </w:p>
    <w:p w14:paraId="75B455F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“La firma de los servidores públicos es información de carácter público cuando ésta es utilizada en el ejercicio de las facultades conferidas para el desempeño del servicio público.</w:t>
      </w:r>
      <w:r w:rsidRPr="00F00356">
        <w:rPr>
          <w:rFonts w:ascii="Palatino Linotype" w:eastAsia="Palatino Linotype" w:hAnsi="Palatino Linotype" w:cs="Palatino Linotype"/>
          <w:i/>
          <w:color w:val="000000" w:themeColor="text1"/>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2253E736"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7D9D8D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Conforme a lo anterior, se advierte que la firma si bien es un dato personal confidencial, en tanto que identifica o hace identificable a su titular, cuando un servidor público emite un acto como autoridad, en ejercicio de las funciones que tiene conferidas, la firma mediante la cual valida dicho acto es pública; </w:t>
      </w:r>
      <w:r w:rsidRPr="00F00356">
        <w:rPr>
          <w:rFonts w:ascii="Palatino Linotype" w:eastAsia="Palatino Linotype" w:hAnsi="Palatino Linotype" w:cs="Palatino Linotype"/>
          <w:b/>
          <w:color w:val="000000" w:themeColor="text1"/>
        </w:rPr>
        <w:t>lo mismo sucede cuando firma documentos que integran la solicitud formal para participar por el cargo y que por tanto, no se relacionan con la vida privada de la persona servidora pública,</w:t>
      </w:r>
      <w:r w:rsidRPr="00F00356">
        <w:rPr>
          <w:rFonts w:ascii="Palatino Linotype" w:eastAsia="Palatino Linotype" w:hAnsi="Palatino Linotype" w:cs="Palatino Linotype"/>
          <w:color w:val="000000" w:themeColor="text1"/>
        </w:rPr>
        <w:t xml:space="preserve"> por lo que, en el caso concreto, no actualizan la causal de clasificación establecida en el artículo 143, fracción I de la Ley de Transparencia y Acceso a la Información Pública del Estado de México y </w:t>
      </w:r>
      <w:r w:rsidRPr="00F00356">
        <w:rPr>
          <w:rFonts w:ascii="Palatino Linotype" w:eastAsia="Palatino Linotype" w:hAnsi="Palatino Linotype" w:cs="Palatino Linotype"/>
          <w:color w:val="000000" w:themeColor="text1"/>
        </w:rPr>
        <w:lastRenderedPageBreak/>
        <w:t xml:space="preserve">Municipios; en consecuencia al momento de que se entregue la información de las personas asignadas para ser Defensores Municipales, deberán de dejarse visibles. </w:t>
      </w:r>
    </w:p>
    <w:p w14:paraId="6EBC2AFC" w14:textId="77777777" w:rsidR="00A82033" w:rsidRPr="00F00356" w:rsidRDefault="00A82033" w:rsidP="00F00356">
      <w:pPr>
        <w:spacing w:line="360" w:lineRule="auto"/>
        <w:jc w:val="both"/>
        <w:rPr>
          <w:rFonts w:ascii="Palatino Linotype" w:eastAsia="Palatino Linotype" w:hAnsi="Palatino Linotype" w:cs="Palatino Linotype"/>
          <w:b/>
          <w:color w:val="000000" w:themeColor="text1"/>
        </w:rPr>
      </w:pPr>
      <w:bookmarkStart w:id="8" w:name="_heading=h.xsos6vv41100" w:colFirst="0" w:colLast="0"/>
      <w:bookmarkEnd w:id="8"/>
    </w:p>
    <w:p w14:paraId="43C9E827" w14:textId="77777777"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Fotografía</w:t>
      </w:r>
    </w:p>
    <w:p w14:paraId="194C6DD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41D9842"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1E66F1B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530BB5"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02F51AF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w:t>
      </w:r>
      <w:r w:rsidRPr="00F00356">
        <w:rPr>
          <w:rFonts w:ascii="Palatino Linotype" w:eastAsia="Palatino Linotype" w:hAnsi="Palatino Linotype" w:cs="Palatino Linotype"/>
          <w:color w:val="000000" w:themeColor="text1"/>
        </w:rPr>
        <w:lastRenderedPageBreak/>
        <w:t>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01915AF"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2D618FC7"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2D58E6D"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25C5A9D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B125AF4"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7A380A0B"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Por lo anterior, todas las fotografías de los servidores públicos, deben ser consideradas un dato personal, que no puede ser clasificado como confidencial, pues en este </w:t>
      </w:r>
      <w:r w:rsidRPr="00F00356">
        <w:rPr>
          <w:rFonts w:ascii="Palatino Linotype" w:eastAsia="Palatino Linotype" w:hAnsi="Palatino Linotype" w:cs="Palatino Linotype"/>
          <w:color w:val="000000" w:themeColor="text1"/>
        </w:rPr>
        <w:lastRenderedPageBreak/>
        <w:t>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2E64C2B"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6804F758"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2191D020" w14:textId="77777777" w:rsidR="00A82033" w:rsidRPr="00F00356" w:rsidRDefault="00A82033" w:rsidP="00F00356">
      <w:pPr>
        <w:spacing w:line="360" w:lineRule="auto"/>
        <w:jc w:val="both"/>
        <w:rPr>
          <w:rFonts w:ascii="Palatino Linotype" w:eastAsia="Palatino Linotype" w:hAnsi="Palatino Linotype" w:cs="Palatino Linotype"/>
          <w:b/>
          <w:color w:val="000000" w:themeColor="text1"/>
        </w:rPr>
      </w:pPr>
    </w:p>
    <w:p w14:paraId="71EA1757"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 xml:space="preserve">Nombre y firma de Instituciones educativas que emiten documentos que acrediten el grado de estudio. </w:t>
      </w:r>
    </w:p>
    <w:p w14:paraId="3C681A4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Tanto el nombre y firma de instituciones que emiten el documento que acredita el grado de estudios es información que abona y robustece la validez del documento, dado que respaldan que la persona formó parte de la institución y acreditó o culminó satisfactoriamente el curso y en consecuencia se emiten los documentos de grado de estudio, lo cual no entorpece o violenta la privacidad de la persona, por el contrario, favorece a incrementar la validez del documento, en consecuencia, debe ser información pública.  </w:t>
      </w:r>
    </w:p>
    <w:p w14:paraId="00C44D6B"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05DAA385"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por cuanto hace a los requisitos dispuestos en el Artículo 147 I. de la Ley Orgánica Municipal del Estado de México, se encuentran que la persona sea mexicana, tenga residencia en el municipio, tenga más de 23 años al momento de la designación, no haber sido sancionado o inhabilitada, tener pleno goce y ejercicio de derechos políticos y civiles, </w:t>
      </w:r>
      <w:r w:rsidRPr="00F00356">
        <w:rPr>
          <w:rFonts w:ascii="Palatino Linotype" w:eastAsia="Palatino Linotype" w:hAnsi="Palatino Linotype" w:cs="Palatino Linotype"/>
          <w:color w:val="000000" w:themeColor="text1"/>
        </w:rPr>
        <w:lastRenderedPageBreak/>
        <w:t xml:space="preserve">así como no haber sido condenado por sentencia ejecutoriada por delito intencional, por tanto, se aprecia que, en los documentos antes referidos se debe dejar visible la información que permita advertir dicha situación; es decir, se debe dejar </w:t>
      </w:r>
      <w:r w:rsidRPr="00F00356">
        <w:rPr>
          <w:rFonts w:ascii="Palatino Linotype" w:eastAsia="Palatino Linotype" w:hAnsi="Palatino Linotype" w:cs="Palatino Linotype"/>
          <w:b/>
          <w:color w:val="000000" w:themeColor="text1"/>
        </w:rPr>
        <w:t>visible la fecha de nacimiento</w:t>
      </w:r>
      <w:r w:rsidRPr="00F00356">
        <w:rPr>
          <w:rFonts w:ascii="Palatino Linotype" w:eastAsia="Palatino Linotype" w:hAnsi="Palatino Linotype" w:cs="Palatino Linotype"/>
          <w:color w:val="000000" w:themeColor="text1"/>
        </w:rPr>
        <w:t xml:space="preserve">, que permita advertir que las personas contaban con más de 23 años; así como </w:t>
      </w:r>
      <w:r w:rsidRPr="00F00356">
        <w:rPr>
          <w:rFonts w:ascii="Palatino Linotype" w:eastAsia="Palatino Linotype" w:hAnsi="Palatino Linotype" w:cs="Palatino Linotype"/>
          <w:b/>
          <w:color w:val="000000" w:themeColor="text1"/>
        </w:rPr>
        <w:t>el municipio</w:t>
      </w:r>
      <w:r w:rsidRPr="00F00356">
        <w:rPr>
          <w:rFonts w:ascii="Palatino Linotype" w:eastAsia="Palatino Linotype" w:hAnsi="Palatino Linotype" w:cs="Palatino Linotype"/>
          <w:color w:val="000000" w:themeColor="text1"/>
        </w:rPr>
        <w:t xml:space="preserve"> </w:t>
      </w:r>
      <w:r w:rsidRPr="00F00356">
        <w:rPr>
          <w:rFonts w:ascii="Palatino Linotype" w:eastAsia="Palatino Linotype" w:hAnsi="Palatino Linotype" w:cs="Palatino Linotype"/>
          <w:b/>
          <w:color w:val="000000" w:themeColor="text1"/>
        </w:rPr>
        <w:t>en el que residen</w:t>
      </w:r>
      <w:r w:rsidRPr="00F00356">
        <w:rPr>
          <w:rFonts w:ascii="Palatino Linotype" w:eastAsia="Palatino Linotype" w:hAnsi="Palatino Linotype" w:cs="Palatino Linotype"/>
          <w:color w:val="000000" w:themeColor="text1"/>
        </w:rPr>
        <w:t xml:space="preserve">, para acreditar que tenían residencia efectiva en el municipio; </w:t>
      </w:r>
      <w:r w:rsidRPr="00F00356">
        <w:rPr>
          <w:rFonts w:ascii="Palatino Linotype" w:eastAsia="Palatino Linotype" w:hAnsi="Palatino Linotype" w:cs="Palatino Linotype"/>
          <w:b/>
          <w:color w:val="000000" w:themeColor="text1"/>
        </w:rPr>
        <w:t>la nacionalidad</w:t>
      </w:r>
      <w:r w:rsidRPr="00F00356">
        <w:rPr>
          <w:rFonts w:ascii="Palatino Linotype" w:eastAsia="Palatino Linotype" w:hAnsi="Palatino Linotype" w:cs="Palatino Linotype"/>
          <w:color w:val="000000" w:themeColor="text1"/>
        </w:rPr>
        <w:t xml:space="preserve"> para acreditar que tengan la nacionalidad mexicana; y que no fueron sancionadas o inhabilitadas para demostrar su viabilidad; adicionalmente el </w:t>
      </w:r>
      <w:r w:rsidRPr="00F00356">
        <w:rPr>
          <w:rFonts w:ascii="Palatino Linotype" w:eastAsia="Palatino Linotype" w:hAnsi="Palatino Linotype" w:cs="Palatino Linotype"/>
          <w:b/>
          <w:color w:val="000000" w:themeColor="text1"/>
        </w:rPr>
        <w:t>informe o certificado de no antecedentes</w:t>
      </w:r>
      <w:r w:rsidRPr="00F00356">
        <w:rPr>
          <w:rFonts w:ascii="Palatino Linotype" w:eastAsia="Palatino Linotype" w:hAnsi="Palatino Linotype" w:cs="Palatino Linotype"/>
          <w:color w:val="000000" w:themeColor="text1"/>
        </w:rPr>
        <w:t xml:space="preserve"> penales da cuenta del pleno goce y ejercicio de sus derechos políticos y electorales además de no haber sido condenadas por sentencia ejecutoriada.</w:t>
      </w:r>
    </w:p>
    <w:p w14:paraId="2FBFC7C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B603E45"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atención a lo anterior, se advierte que la fecha de nacimiento, el municipio de residencia, la nacionalidad, las constancias que den cuenta de no haber sido inhabilitadas o que no cuentan con antecedentes penales, permiten acreditar que las personas cumplen con los requisitos exigidos para el cargo, y por tanto, su entrega y transparencia abona a conocer el debido procedimiento para su elección y si bien, se pueden tratar de datos personales confidenciales, es superado por el interés público de conocer, dado que se trata de información que da cuenta del procedimiento para  su elección y favorece el debido escrutinio sobre el mismo, en consecuencia resulta procedente su entrega y adquieren calidad de información pública.  </w:t>
      </w:r>
    </w:p>
    <w:p w14:paraId="6641CC38"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5447F3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Lo anterior sin menoscabo de que proteger los datos personales confidenciales, por tanto, deberá entregar la información en versión pública y se deberá proporcionar el Acuerdo de Clasificación donde el Comité de Transparencia, confirme la eliminación de los datos confidenciales de acuerdo con los artículos 49, fracciones II y VIII, 132, fracción II, 143, </w:t>
      </w:r>
      <w:r w:rsidRPr="00F00356">
        <w:rPr>
          <w:rFonts w:ascii="Palatino Linotype" w:eastAsia="Palatino Linotype" w:hAnsi="Palatino Linotype" w:cs="Palatino Linotype"/>
          <w:color w:val="000000" w:themeColor="text1"/>
        </w:rPr>
        <w:lastRenderedPageBreak/>
        <w:t xml:space="preserve">fracción I y 149 de la Ley de Transparencia y Acceso a la Información Pública del Estado de México y Municipios. </w:t>
      </w:r>
    </w:p>
    <w:p w14:paraId="2FD08EDC"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F0564C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Aunado a lo anterior, cabe señalar que de los requisitos dispuestos en el artículo 147 I de la Ley Orgánica Municipal se prevé que se acredite contar preferentemente </w:t>
      </w:r>
      <w:r w:rsidRPr="00F00356">
        <w:rPr>
          <w:rFonts w:ascii="Palatino Linotype" w:eastAsia="Palatino Linotype" w:hAnsi="Palatino Linotype" w:cs="Palatino Linotype"/>
          <w:b/>
          <w:color w:val="000000" w:themeColor="text1"/>
        </w:rPr>
        <w:t>con título de licenciado en derecho o disciplinas afines y contar con la certificación en materia de derechos humanos</w:t>
      </w:r>
      <w:r w:rsidRPr="00F00356">
        <w:rPr>
          <w:rFonts w:ascii="Palatino Linotype" w:eastAsia="Palatino Linotype" w:hAnsi="Palatino Linotype" w:cs="Palatino Linotype"/>
          <w:color w:val="000000" w:themeColor="text1"/>
        </w:rPr>
        <w:t xml:space="preserve"> </w:t>
      </w:r>
      <w:r w:rsidRPr="00F00356">
        <w:rPr>
          <w:rFonts w:ascii="Palatino Linotype" w:eastAsia="Palatino Linotype" w:hAnsi="Palatino Linotype" w:cs="Palatino Linotype"/>
          <w:b/>
          <w:color w:val="000000" w:themeColor="text1"/>
        </w:rPr>
        <w:t xml:space="preserve">que para tales efectos emita la Comisión de Derechos Humanos, </w:t>
      </w:r>
      <w:r w:rsidRPr="00F00356">
        <w:rPr>
          <w:rFonts w:ascii="Palatino Linotype" w:eastAsia="Palatino Linotype" w:hAnsi="Palatino Linotype" w:cs="Palatino Linotype"/>
          <w:color w:val="000000" w:themeColor="text1"/>
        </w:rPr>
        <w:t xml:space="preserve">en consecuencia, el Sujeto Obligado </w:t>
      </w:r>
      <w:r w:rsidRPr="00F00356">
        <w:rPr>
          <w:rFonts w:ascii="Palatino Linotype" w:eastAsia="Palatino Linotype" w:hAnsi="Palatino Linotype" w:cs="Palatino Linotype"/>
          <w:b/>
          <w:color w:val="000000" w:themeColor="text1"/>
        </w:rPr>
        <w:t xml:space="preserve">deberá entregar la información </w:t>
      </w:r>
      <w:r w:rsidRPr="00F00356">
        <w:rPr>
          <w:rFonts w:ascii="Palatino Linotype" w:eastAsia="Palatino Linotype" w:hAnsi="Palatino Linotype" w:cs="Palatino Linotype"/>
          <w:color w:val="000000" w:themeColor="text1"/>
        </w:rPr>
        <w:t xml:space="preserve">referente al Título  Profesional  y a la Certificación en metateria de Derechos Humanos </w:t>
      </w:r>
      <w:r w:rsidRPr="00F00356">
        <w:rPr>
          <w:rFonts w:ascii="Palatino Linotype" w:eastAsia="Palatino Linotype" w:hAnsi="Palatino Linotype" w:cs="Palatino Linotype"/>
          <w:b/>
          <w:color w:val="000000" w:themeColor="text1"/>
        </w:rPr>
        <w:t xml:space="preserve">deberán de proporcionarse en versión pública. </w:t>
      </w:r>
    </w:p>
    <w:p w14:paraId="3CF77AAF"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7D2A708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este contexto, se considera que el Sujeto Obligado deberá proporcionar la información contenida en el expediente aperturado para la designación de las personas designadas a Defensores Municipales del Ayuntamiento de Toluca del periodo del nueve de abril de dos mil dieciséis al nueve de abril de dos mil veinticinco. </w:t>
      </w:r>
    </w:p>
    <w:p w14:paraId="602AD20A"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65C8A71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Ahora bien, se debe precisar que de la información que sea entregada puede encontrarse información curricular, misma que deberá de ser entregada en versión pública, situación por la cual se analiza lo siguiente.</w:t>
      </w:r>
    </w:p>
    <w:p w14:paraId="5DBE246B"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28816A1"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 xml:space="preserve">De la información curricular. </w:t>
      </w:r>
    </w:p>
    <w:p w14:paraId="34AFD53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Al respecto, dicho documento podría contener diversa información susceptible de clasificar, por lo que deberá observar dicha circunstancia, entre otra la siguiente:</w:t>
      </w:r>
    </w:p>
    <w:p w14:paraId="5892B388" w14:textId="77777777" w:rsidR="00A82033" w:rsidRDefault="00A82033" w:rsidP="00F00356">
      <w:pPr>
        <w:spacing w:line="360" w:lineRule="auto"/>
        <w:jc w:val="both"/>
        <w:rPr>
          <w:rFonts w:ascii="Palatino Linotype" w:eastAsia="Palatino Linotype" w:hAnsi="Palatino Linotype" w:cs="Palatino Linotype"/>
          <w:color w:val="000000" w:themeColor="text1"/>
        </w:rPr>
      </w:pPr>
    </w:p>
    <w:p w14:paraId="173D3167" w14:textId="77777777" w:rsidR="00D422E9" w:rsidRPr="00F00356" w:rsidRDefault="00D422E9" w:rsidP="00F00356">
      <w:pPr>
        <w:spacing w:line="360" w:lineRule="auto"/>
        <w:jc w:val="both"/>
        <w:rPr>
          <w:rFonts w:ascii="Palatino Linotype" w:eastAsia="Palatino Linotype" w:hAnsi="Palatino Linotype" w:cs="Palatino Linotype"/>
          <w:color w:val="000000" w:themeColor="text1"/>
        </w:rPr>
      </w:pPr>
    </w:p>
    <w:p w14:paraId="0EFE567B"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lastRenderedPageBreak/>
        <w:t xml:space="preserve">Calificaciones y promedio </w:t>
      </w:r>
    </w:p>
    <w:p w14:paraId="48A3C1D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4D4F5594"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7792E2C2" w14:textId="471250E1" w:rsidR="00A82033" w:rsidRPr="00D422E9" w:rsidRDefault="00E64F74" w:rsidP="00D422E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422E9">
        <w:rPr>
          <w:rFonts w:ascii="Palatino Linotype" w:eastAsia="Palatino Linotype" w:hAnsi="Palatino Linotype" w:cs="Palatino Linotype"/>
          <w:color w:val="000000" w:themeColor="text1"/>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59121E11"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7185A1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Finalmente, el promedio es la suma de las calificaciones y créditos, respectivamente que obtuvo una persona, durante un determinado curso, carrera, entre otros, por lo que, refleja el grado de conocimientos adquiridos durante el desarrollo escolar, lo cual, corresponde a una cuestión privada del servidor público.</w:t>
      </w:r>
    </w:p>
    <w:p w14:paraId="3EB8F37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En ese contexto, toda vez que las calificaciones y promedios obtenidos, dan cuenta del desempeño obtenido dentro de una asignatura, lo cual, únicamente concierne a la vida íntima de este y forma parte de su vida privada;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12610335" w14:textId="77777777" w:rsidR="00A82033" w:rsidRPr="00F00356" w:rsidRDefault="00E64F74" w:rsidP="00F00356">
      <w:pPr>
        <w:spacing w:line="360" w:lineRule="auto"/>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w:t>
      </w:r>
      <w:r w:rsidRPr="00F00356">
        <w:rPr>
          <w:rFonts w:ascii="Palatino Linotype" w:eastAsia="Palatino Linotype" w:hAnsi="Palatino Linotype" w:cs="Palatino Linotype"/>
          <w:i/>
          <w:color w:val="000000" w:themeColor="text1"/>
        </w:rPr>
        <w:lastRenderedPageBreak/>
        <w:t xml:space="preserve">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 </w:t>
      </w:r>
    </w:p>
    <w:p w14:paraId="4F9321E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De conformidad con lo señalado, se colige que las actividades que realicen los particulares, dentro del ámbito privado, o dentro de la esfera particular, es información que debe protegerse. Conforme a lo anterior y lo expuesto, se advierte que el desempeño escolar de una persona, es información de vida privada; por lo cual, se considera que las calificaciones y promedio, son confidenciales, en términos del artículo 143, fracción I, de la Ley de Transparencia y Acceso a la Información Pública del Estado de México y Municipios.</w:t>
      </w:r>
    </w:p>
    <w:p w14:paraId="5A877AA5"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DC8BC29" w14:textId="77777777"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Clave Única de Registro de Población (CURP).</w:t>
      </w:r>
    </w:p>
    <w:p w14:paraId="2CBD796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BE61EE7"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463C8B9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BC4DE14"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A88692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ese orden de ideas, la Secretaría de Gobernación en las direcciones </w:t>
      </w:r>
      <w:hyperlink r:id="rId9">
        <w:r w:rsidRPr="00F00356">
          <w:rPr>
            <w:rFonts w:ascii="Palatino Linotype" w:eastAsia="Palatino Linotype" w:hAnsi="Palatino Linotype" w:cs="Palatino Linotype"/>
            <w:color w:val="000000" w:themeColor="text1"/>
            <w:u w:val="single"/>
          </w:rPr>
          <w:t>https://consultas.curp.gob.mx/CurpSP/html/informacionecurpPS.html</w:t>
        </w:r>
      </w:hyperlink>
      <w:r w:rsidRPr="00F00356">
        <w:rPr>
          <w:rFonts w:ascii="Palatino Linotype" w:eastAsia="Palatino Linotype" w:hAnsi="Palatino Linotype" w:cs="Palatino Linotype"/>
          <w:color w:val="000000" w:themeColor="text1"/>
        </w:rPr>
        <w:t xml:space="preserve"> y </w:t>
      </w:r>
      <w:hyperlink r:id="rId10">
        <w:r w:rsidRPr="00F00356">
          <w:rPr>
            <w:rFonts w:ascii="Palatino Linotype" w:eastAsia="Palatino Linotype" w:hAnsi="Palatino Linotype" w:cs="Palatino Linotype"/>
            <w:color w:val="000000" w:themeColor="text1"/>
            <w:u w:val="single"/>
          </w:rPr>
          <w:t>https://www.gob.mx/segob/renapo/acciones-y-programas/clave-unica-de-registro-de-poblacion-curp-142226</w:t>
        </w:r>
      </w:hyperlink>
      <w:r w:rsidRPr="00F00356">
        <w:rPr>
          <w:rFonts w:ascii="Palatino Linotype" w:eastAsia="Palatino Linotype" w:hAnsi="Palatino Linotype" w:cs="Palatino Linotype"/>
          <w:color w:val="000000" w:themeColor="text1"/>
        </w:rPr>
        <w:t xml:space="preserve"> (consultadas el seis de junio de dos mil veintidós), estableció que la </w:t>
      </w:r>
      <w:r w:rsidRPr="00F00356">
        <w:rPr>
          <w:rFonts w:ascii="Palatino Linotype" w:eastAsia="Palatino Linotype" w:hAnsi="Palatino Linotype" w:cs="Palatino Linotype"/>
          <w:color w:val="000000" w:themeColor="text1"/>
        </w:rPr>
        <w:lastRenderedPageBreak/>
        <w:t xml:space="preserve">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00356">
        <w:rPr>
          <w:rFonts w:ascii="Palatino Linotype" w:eastAsia="Palatino Linotype" w:hAnsi="Palatino Linotype" w:cs="Palatino Linotype"/>
          <w:b/>
          <w:color w:val="000000" w:themeColor="text1"/>
        </w:rPr>
        <w:t>se generan a partir de los datos contenidos en el documento probatorio de la identidad</w:t>
      </w:r>
      <w:r w:rsidRPr="00F00356">
        <w:rPr>
          <w:rFonts w:ascii="Palatino Linotype" w:eastAsia="Palatino Linotype" w:hAnsi="Palatino Linotype" w:cs="Palatino Linotype"/>
          <w:color w:val="000000" w:themeColor="text1"/>
        </w:rPr>
        <w:t xml:space="preserve"> </w:t>
      </w:r>
      <w:r w:rsidRPr="00F00356">
        <w:rPr>
          <w:rFonts w:ascii="Palatino Linotype" w:eastAsia="Palatino Linotype" w:hAnsi="Palatino Linotype" w:cs="Palatino Linotype"/>
          <w:b/>
          <w:color w:val="000000" w:themeColor="text1"/>
        </w:rPr>
        <w:t xml:space="preserve">del interesado </w:t>
      </w:r>
      <w:r w:rsidRPr="00F00356">
        <w:rPr>
          <w:rFonts w:ascii="Palatino Linotype" w:eastAsia="Palatino Linotype" w:hAnsi="Palatino Linotype" w:cs="Palatino Linotype"/>
          <w:color w:val="000000" w:themeColor="text1"/>
        </w:rPr>
        <w:t>(acta de nacimiento, carta de naturalización o documento migratorio) de la siguiente forma:</w:t>
      </w:r>
    </w:p>
    <w:p w14:paraId="6665161B" w14:textId="77777777" w:rsidR="00A82033" w:rsidRPr="00F00356" w:rsidRDefault="00E64F74" w:rsidP="00F00356">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El primero y segundo apellidos, así como al nombre de pila;</w:t>
      </w:r>
    </w:p>
    <w:p w14:paraId="4F0E03B7" w14:textId="77777777" w:rsidR="00A82033" w:rsidRPr="00F00356" w:rsidRDefault="00E64F74" w:rsidP="00F00356">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La fecha de nacimiento;</w:t>
      </w:r>
    </w:p>
    <w:p w14:paraId="67B1719F" w14:textId="77777777" w:rsidR="00A82033" w:rsidRPr="00F00356" w:rsidRDefault="00E64F74" w:rsidP="00F00356">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El sexo, y</w:t>
      </w:r>
    </w:p>
    <w:p w14:paraId="1D60E16B" w14:textId="77777777" w:rsidR="00A82033" w:rsidRPr="00F00356" w:rsidRDefault="00E64F74" w:rsidP="00F00356">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La entidad federativa de nacimiento.</w:t>
      </w:r>
    </w:p>
    <w:p w14:paraId="28B474A1"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DEB0527"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Los dos últimos elementos de la Clave Única de Registro de Población evitan la duplicidad de la Clave y garantizan su correcta integración.</w:t>
      </w:r>
    </w:p>
    <w:p w14:paraId="2C3179A4"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114659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6892F1D"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57E1314B"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Situación que se robustece, con el Criterio 18/17, emitido por el Instituto Nacional de Transparencia, Acceso a la Información y Protección de Datos Personales, que establece lo siguiente:</w:t>
      </w:r>
    </w:p>
    <w:p w14:paraId="588E18BB" w14:textId="77777777" w:rsidR="00A82033" w:rsidRPr="00F00356" w:rsidRDefault="00E64F74" w:rsidP="00F00356">
      <w:pPr>
        <w:spacing w:line="360" w:lineRule="auto"/>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lastRenderedPageBreak/>
        <w:t xml:space="preserve">“Clave Única de Registro de Población (CURP). </w:t>
      </w:r>
      <w:r w:rsidRPr="00F00356">
        <w:rPr>
          <w:rFonts w:ascii="Palatino Linotype" w:eastAsia="Palatino Linotype" w:hAnsi="Palatino Linotype" w:cs="Palatino Linotype"/>
          <w:i/>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579DC4"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24C4E4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462FC97"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480F2B1" w14:textId="77777777"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Registro Federal de Contribuyentes (RFC).</w:t>
      </w:r>
    </w:p>
    <w:p w14:paraId="1671C7D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60BC6F1"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CDBC47F"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60E17C7"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5B2E66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B3D4D8B"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19D47E5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80006A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40C2B35"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42585711" w14:textId="77777777" w:rsidR="00A82033" w:rsidRPr="00F00356" w:rsidRDefault="00E64F74" w:rsidP="00F00356">
      <w:pPr>
        <w:spacing w:line="360" w:lineRule="auto"/>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“Registro Federal de Contribuyentes (RFC) de personas físicas.</w:t>
      </w:r>
      <w:r w:rsidRPr="00F00356">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14:paraId="521111CC"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73E4AB27"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F00356">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14:paraId="2686F486"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25F8E2D" w14:textId="77777777"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Nombres de personas que no son servidores públicos</w:t>
      </w:r>
    </w:p>
    <w:p w14:paraId="5051CAA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F00356">
        <w:rPr>
          <w:rFonts w:ascii="Palatino Linotype" w:eastAsia="Palatino Linotype" w:hAnsi="Palatino Linotype" w:cs="Palatino Linotype"/>
          <w:i/>
          <w:color w:val="000000" w:themeColor="text1"/>
        </w:rPr>
        <w:t>per se</w:t>
      </w:r>
      <w:r w:rsidRPr="00F00356">
        <w:rPr>
          <w:rFonts w:ascii="Palatino Linotype" w:eastAsia="Palatino Linotype" w:hAnsi="Palatino Linotype" w:cs="Palatino Linotype"/>
          <w:color w:val="000000" w:themeColor="text1"/>
        </w:rPr>
        <w:t xml:space="preserve"> es un elemento que hace a una persona física identificada o identificable, por lo que, </w:t>
      </w:r>
      <w:r w:rsidRPr="00F00356">
        <w:rPr>
          <w:rFonts w:ascii="Palatino Linotype" w:eastAsia="Palatino Linotype" w:hAnsi="Palatino Linotype" w:cs="Palatino Linotype"/>
          <w:b/>
          <w:color w:val="000000" w:themeColor="text1"/>
        </w:rPr>
        <w:t>se considera un dato personal.</w:t>
      </w:r>
    </w:p>
    <w:p w14:paraId="6CD7D46F"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EFDA4E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669CBE25" w14:textId="77777777" w:rsidR="00A82033" w:rsidRPr="00F00356" w:rsidRDefault="00E64F74" w:rsidP="00F00356">
      <w:pPr>
        <w:spacing w:line="360" w:lineRule="auto"/>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“Nombre del titular de una licencia que no involucre el aprovechamiento de bienes, servicios y/o recursos públicos, constituye un dato personal susceptible de clasificar como confidencial.</w:t>
      </w:r>
      <w:r w:rsidRPr="00F00356">
        <w:rPr>
          <w:rFonts w:ascii="Palatino Linotype" w:eastAsia="Palatino Linotype" w:hAnsi="Palatino Linotype" w:cs="Palatino Linotype"/>
          <w:i/>
          <w:color w:val="000000" w:themeColor="text1"/>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w:t>
      </w:r>
      <w:r w:rsidRPr="00F00356">
        <w:rPr>
          <w:rFonts w:ascii="Palatino Linotype" w:eastAsia="Palatino Linotype" w:hAnsi="Palatino Linotype" w:cs="Palatino Linotype"/>
          <w:i/>
          <w:color w:val="000000" w:themeColor="text1"/>
        </w:rPr>
        <w:lastRenderedPageBreak/>
        <w:t>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63779AB"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3943620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Con base en lo anterior, procede su eliminación de las versiones públicas, pues actualiza el supuesto previsto en el artículo 143 fracción I de la Ley de Transparencia y Acceso a la Información Pública del Estado de México y Municipios.</w:t>
      </w:r>
    </w:p>
    <w:p w14:paraId="69135B6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6A6BAF0" w14:textId="77777777" w:rsidR="00A82033" w:rsidRPr="00F00356" w:rsidRDefault="00E64F74"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Correo electrónico particular.</w:t>
      </w:r>
    </w:p>
    <w:p w14:paraId="711554B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0E58E3A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32135C3"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2C183C01" w14:textId="77777777" w:rsidR="00A82033" w:rsidRPr="00F00356" w:rsidRDefault="00E64F74"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Número de teléfono o celular particular.</w:t>
      </w:r>
    </w:p>
    <w:p w14:paraId="209D180C"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45B0463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1682C59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31E2CCE8"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4DBA9B6"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u w:val="single"/>
        </w:rPr>
        <w:t>Carta de postulación</w:t>
      </w:r>
    </w:p>
    <w:p w14:paraId="60A6FC28"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Ahora bien, respecto a la carta de postulación, esta puede entenderse como la solicitud formal para participar en el proceso de elección para ocupar el cargo de Defensor Municipal de Derechos Humanos del Ayuntamiento de Toluca, situación por la cual se debe de analizar que dicha carta de postulación puede integrase por el domicilio particular, situación por la cual se analiza lo siguiente.</w:t>
      </w:r>
    </w:p>
    <w:p w14:paraId="6F617D32" w14:textId="77777777" w:rsidR="00A82033" w:rsidRPr="00F00356" w:rsidRDefault="00E64F74" w:rsidP="00F00356">
      <w:pP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lastRenderedPageBreak/>
        <w:t>Domicilio de particulares</w:t>
      </w:r>
    </w:p>
    <w:p w14:paraId="27DC0F1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w:t>
      </w:r>
      <w:r w:rsidRPr="00F00356">
        <w:rPr>
          <w:rFonts w:ascii="Palatino Linotype" w:eastAsia="Palatino Linotype" w:hAnsi="Palatino Linotype" w:cs="Palatino Linotype"/>
          <w:b/>
          <w:color w:val="000000" w:themeColor="text1"/>
        </w:rPr>
        <w:t>trata de un dato personal confidencial,</w:t>
      </w:r>
      <w:r w:rsidRPr="00F00356">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w:t>
      </w:r>
    </w:p>
    <w:p w14:paraId="403AA0BE" w14:textId="77777777" w:rsidR="00A82033" w:rsidRPr="00F00356" w:rsidRDefault="00A82033" w:rsidP="00F00356">
      <w:pPr>
        <w:spacing w:line="360" w:lineRule="auto"/>
        <w:jc w:val="both"/>
        <w:rPr>
          <w:rFonts w:ascii="Palatino Linotype" w:eastAsia="Palatino Linotype" w:hAnsi="Palatino Linotype" w:cs="Palatino Linotype"/>
          <w:b/>
          <w:color w:val="000000" w:themeColor="text1"/>
        </w:rPr>
      </w:pPr>
    </w:p>
    <w:p w14:paraId="2435814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Al respecto, tal y como se señaló en líneas anteriores, resulta público únicamente el municipio de residencia, dado que da cuenta de que la persona cumplió con el requisito dispuesto en el artículo 147 I fracción II de la Ley Orgánica Municipal del Estado de México que establece que debe tener residencia efectiva en el municipio. </w:t>
      </w:r>
    </w:p>
    <w:p w14:paraId="33AC4121"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724B506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esa línea, se tiene que precisar que dentro de los requisitos que contienen las convocatorias vienen documentos como lo es el Acta de Nacimiento y la Credencial de Elector, documentos que pueden dar cuenta de la fecha de nacimiento, lugar de residencia y nacionalidad, situación por la cual se debe de referir que por su naturaleza son documentos que deben  ser clasificados en tu totalidad, ya que los datos incluidos en los mismos forman parte de la esfera de la vida privada, sin embargo en el caso en particular como es un requisito la edad, la nacionalidad y la residencia son datos que deben de dejarse a la vista del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 xml:space="preserve">toda vez con los mismos se transparenta el proceso de selección. </w:t>
      </w:r>
    </w:p>
    <w:p w14:paraId="4E5848D9"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EF86F9"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r w:rsidRPr="00F00356">
        <w:rPr>
          <w:rFonts w:ascii="Palatino Linotype" w:eastAsia="Palatino Linotype" w:hAnsi="Palatino Linotype" w:cs="Palatino Linotype"/>
          <w:b/>
          <w:color w:val="000000" w:themeColor="text1"/>
          <w:u w:val="single"/>
        </w:rPr>
        <w:lastRenderedPageBreak/>
        <w:t>Programa de trabajo</w:t>
      </w:r>
    </w:p>
    <w:p w14:paraId="3ABFED7C"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Respecto al programa de trabajó, se debe tener en consideración que el artículo 147 G, de la Ley Orgánica Municipal del Estado de México prevé que, en el proceso de elección de Defensor Municipal de Derechos Humanos, la Comisión Municipal de Derechos Humanos remitirá al cabildo la declaratoria de terna correspondiente, para que la comunique a los aspirantes propuestos, para que en la siguiente sesión ordinaria, expongan su propuesta de plan de trabajo y que será el Cabildo quién determine o designe a la persona Defensora, en este sentido se advierte la fuente obligacional para contar con un plan de trabajo, la cual se expone en Cabildo y que en su caso puede constar en las actas de cabildo correspondiente o bien, que se entregaron como parte de la documentación. </w:t>
      </w:r>
    </w:p>
    <w:p w14:paraId="70067DC5"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4413D29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Respecto a los requisitos de la convocatoria, se advierte que el artículo 147 D, fracciones II y III de la misma Ley Orgánica Municipal, establece que dentro de la convocatoria que emita el Ayuntamiento, se deben establecer los requisitos que exige la Ley para el aspirante a Defensor y los documentos soporte de los requisitos exigidos, por tanto, el Sujeto Obligado debe conocer de lo solicitado, situación por la cual deberá de entregar el plan de trabajo, </w:t>
      </w:r>
    </w:p>
    <w:p w14:paraId="4782FDF1"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754CF89"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 xml:space="preserve">DE LOS PARTICIPANTES EN LAS CONVOCATORIAS. </w:t>
      </w:r>
    </w:p>
    <w:p w14:paraId="33DB7DFE"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es procedente analizar la naturaleza de la información solicitada, puesto que, si bien dentro de las personas que participan en las convocatorias se seleccionan algunas para tener algún cargo o para recibir o hacer uso de recursos públicos, lo cierto es que también existen </w:t>
      </w:r>
      <w:r w:rsidRPr="00F00356">
        <w:rPr>
          <w:rFonts w:ascii="Palatino Linotype" w:eastAsia="Palatino Linotype" w:hAnsi="Palatino Linotype" w:cs="Palatino Linotype"/>
          <w:b/>
          <w:color w:val="000000" w:themeColor="text1"/>
        </w:rPr>
        <w:t>participantes que no fueron seleccionados</w:t>
      </w:r>
      <w:r w:rsidRPr="00F00356">
        <w:rPr>
          <w:rFonts w:ascii="Palatino Linotype" w:eastAsia="Palatino Linotype" w:hAnsi="Palatino Linotype" w:cs="Palatino Linotype"/>
          <w:color w:val="000000" w:themeColor="text1"/>
        </w:rPr>
        <w:t xml:space="preserve">, por tanto, se debe analizar su naturaleza. </w:t>
      </w:r>
    </w:p>
    <w:p w14:paraId="0E0A725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Lo anterior resulta así, </w:t>
      </w:r>
      <w:r w:rsidRPr="00F00356">
        <w:rPr>
          <w:rFonts w:ascii="Palatino Linotype" w:eastAsia="Palatino Linotype" w:hAnsi="Palatino Linotype" w:cs="Palatino Linotype"/>
          <w:b/>
          <w:color w:val="000000" w:themeColor="text1"/>
        </w:rPr>
        <w:t>de las personas que no son seleccionadas o ganadoras, entendidas como postulantes</w:t>
      </w:r>
      <w:r w:rsidRPr="00F00356">
        <w:rPr>
          <w:rFonts w:ascii="Palatino Linotype" w:eastAsia="Palatino Linotype" w:hAnsi="Palatino Linotype" w:cs="Palatino Linotype"/>
          <w:color w:val="000000" w:themeColor="text1"/>
        </w:rPr>
        <w:t>, participaron en un procedimiento de naturaleza pública, lo cierto es que al no ser seleccionados y, por lo tanto, no obtener un cargo o adquirir recursos o hacer uso de los mismos, su información resultaría de naturaleza privada, pues corresponde a su decisión personal y voluntaria de participar en un proceso específico.</w:t>
      </w:r>
    </w:p>
    <w:p w14:paraId="41D053A2" w14:textId="77777777" w:rsidR="00A82033" w:rsidRPr="00F00356" w:rsidRDefault="00A82033" w:rsidP="00F00356">
      <w:pPr>
        <w:widowControl w:val="0"/>
        <w:tabs>
          <w:tab w:val="center" w:pos="4522"/>
        </w:tabs>
        <w:spacing w:line="360" w:lineRule="auto"/>
        <w:jc w:val="both"/>
        <w:rPr>
          <w:rFonts w:ascii="Palatino Linotype" w:eastAsia="Palatino Linotype" w:hAnsi="Palatino Linotype" w:cs="Palatino Linotype"/>
          <w:color w:val="000000" w:themeColor="text1"/>
        </w:rPr>
      </w:pPr>
    </w:p>
    <w:p w14:paraId="70254F4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ese contexto, resulta necesario precisar que la Suprema Corte de Justicia de la Nación ha reconocido como derechos fundamentales de las personas, </w:t>
      </w:r>
      <w:r w:rsidRPr="00F00356">
        <w:rPr>
          <w:rFonts w:ascii="Palatino Linotype" w:eastAsia="Palatino Linotype" w:hAnsi="Palatino Linotype" w:cs="Palatino Linotype"/>
          <w:b/>
          <w:color w:val="000000" w:themeColor="text1"/>
        </w:rPr>
        <w:t>el derecho a la intimidad y a la propia imagen</w:t>
      </w:r>
      <w:r w:rsidRPr="00F00356">
        <w:rPr>
          <w:rFonts w:ascii="Palatino Linotype" w:eastAsia="Palatino Linotype" w:hAnsi="Palatino Linotype" w:cs="Palatino Linotype"/>
          <w:color w:val="000000" w:themeColor="text1"/>
        </w:rPr>
        <w:t>, en el siguiente criterio:</w:t>
      </w:r>
    </w:p>
    <w:p w14:paraId="5CDE4AE1"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“DERECHOS A LA INTIMIDAD, PROPIA IMAGEN, IDENTIDAD PERSONAL Y SEXUAL. CONSTITUYEN DERECHOS DE DEFENSA Y 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w:t>
      </w:r>
      <w:r w:rsidRPr="00F00356">
        <w:rPr>
          <w:rFonts w:ascii="Palatino Linotype" w:eastAsia="Palatino Linotype" w:hAnsi="Palatino Linotype" w:cs="Palatino Linotype"/>
          <w:i/>
          <w:color w:val="000000" w:themeColor="text1"/>
        </w:rPr>
        <w:lastRenderedPageBreak/>
        <w:t>la existencia de eventuales intromisiones que los lesionen por lo que, si bien no son absolutos, sólo por ley podrá justificarse su intromisión, siempre que medie un interés superior.”</w:t>
      </w:r>
    </w:p>
    <w:p w14:paraId="56EB6E68" w14:textId="77777777" w:rsidR="00A82033" w:rsidRPr="00F00356" w:rsidRDefault="00E64F74"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 </w:t>
      </w:r>
    </w:p>
    <w:p w14:paraId="20F76F5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ese sentido, es derecho de todo individuo a no ser conocido por otros en ciertos aspectos de su vida y, por ende, el poder de decisión sobre la publicidad o información de datos relativos a su persona </w:t>
      </w:r>
      <w:r w:rsidRPr="00F00356">
        <w:rPr>
          <w:rFonts w:ascii="Palatino Linotype" w:eastAsia="Palatino Linotype" w:hAnsi="Palatino Linotype" w:cs="Palatino Linotype"/>
          <w:b/>
          <w:color w:val="000000" w:themeColor="text1"/>
        </w:rPr>
        <w:t xml:space="preserve">(derecho a la intimidad). </w:t>
      </w:r>
      <w:r w:rsidRPr="00F00356">
        <w:rPr>
          <w:rFonts w:ascii="Palatino Linotype" w:eastAsia="Palatino Linotype" w:hAnsi="Palatino Linotype" w:cs="Palatino Linotype"/>
          <w:color w:val="000000" w:themeColor="text1"/>
        </w:rPr>
        <w:t xml:space="preserve">Asimismo, el </w:t>
      </w:r>
      <w:r w:rsidRPr="00F00356">
        <w:rPr>
          <w:rFonts w:ascii="Palatino Linotype" w:eastAsia="Palatino Linotype" w:hAnsi="Palatino Linotype" w:cs="Palatino Linotype"/>
          <w:b/>
          <w:color w:val="000000" w:themeColor="text1"/>
        </w:rPr>
        <w:t>derecho a la propia imagen</w:t>
      </w:r>
      <w:r w:rsidRPr="00F00356">
        <w:rPr>
          <w:rFonts w:ascii="Palatino Linotype" w:eastAsia="Palatino Linotype" w:hAnsi="Palatino Linotype" w:cs="Palatino Linotype"/>
          <w:color w:val="000000" w:themeColor="text1"/>
        </w:rPr>
        <w:t xml:space="preserve"> es el derecho de decidir, de forma libre, sobre la manera en que elige mostrarse frente a los demás.</w:t>
      </w:r>
    </w:p>
    <w:p w14:paraId="4F78059F"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4A7C7F80"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ese sentido, el artículo 12 de la Declaración Universal de los Derechos Humanos</w:t>
      </w: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color w:val="000000" w:themeColor="text1"/>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25342A11"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5D3E9C7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4605C70B"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6B1B8D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Finalmente, el artículo 17 del Pacto Internacional de los Derechos Civiles y Políticos señala que nadie será objeto de injerencias arbitrarias o ilegales en su vida privada, su familia, su domicilio o su correspondencia, ni de ataques ilegales a su honra y reputación; y </w:t>
      </w:r>
      <w:r w:rsidRPr="00F00356">
        <w:rPr>
          <w:rFonts w:ascii="Palatino Linotype" w:eastAsia="Palatino Linotype" w:hAnsi="Palatino Linotype" w:cs="Palatino Linotype"/>
          <w:color w:val="000000" w:themeColor="text1"/>
        </w:rPr>
        <w:lastRenderedPageBreak/>
        <w:t>que toda persona tiene derecho a la protección de la ley contra esas injerencias o esos ataques.</w:t>
      </w:r>
    </w:p>
    <w:p w14:paraId="4B0D6474"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5BD3872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t xml:space="preserve">En ese contexto, se considera que dar a conocer </w:t>
      </w:r>
      <w:r w:rsidRPr="00F00356">
        <w:rPr>
          <w:rFonts w:ascii="Palatino Linotype" w:eastAsia="Palatino Linotype" w:hAnsi="Palatino Linotype" w:cs="Palatino Linotype"/>
          <w:b/>
          <w:color w:val="000000" w:themeColor="text1"/>
        </w:rPr>
        <w:t xml:space="preserve">la información de los participantes que no fueron </w:t>
      </w:r>
      <w:r w:rsidRPr="00F00356">
        <w:rPr>
          <w:rFonts w:ascii="Palatino Linotype" w:eastAsia="Palatino Linotype" w:hAnsi="Palatino Linotype" w:cs="Palatino Linotype"/>
          <w:color w:val="000000" w:themeColor="text1"/>
        </w:rPr>
        <w:t>elegidos</w:t>
      </w:r>
      <w:r w:rsidRPr="00F00356">
        <w:rPr>
          <w:rFonts w:ascii="Palatino Linotype" w:eastAsia="Palatino Linotype" w:hAnsi="Palatino Linotype" w:cs="Palatino Linotype"/>
          <w:b/>
          <w:color w:val="000000" w:themeColor="text1"/>
        </w:rPr>
        <w:t>, constituye información confidencial</w:t>
      </w:r>
      <w:r w:rsidRPr="00F00356">
        <w:rPr>
          <w:rFonts w:ascii="Palatino Linotype" w:eastAsia="Palatino Linotype" w:hAnsi="Palatino Linotype" w:cs="Palatino Linotype"/>
          <w:color w:val="000000" w:themeColor="text1"/>
        </w:rPr>
        <w:t xml:space="preserve"> que afecta su esfera privada, puesto que podrían generar una percepción negativa de éstas, al dar a conocer las pautas y circunstancias por las cuales no ganaron, como pudiera ser la falta de cumplimiento de requisitos, falta de experiencia, conocimientos, entre otros. Por lo que, que </w:t>
      </w:r>
      <w:r w:rsidRPr="00F00356">
        <w:rPr>
          <w:rFonts w:ascii="Palatino Linotype" w:eastAsia="Palatino Linotype" w:hAnsi="Palatino Linotype" w:cs="Palatino Linotype"/>
          <w:b/>
          <w:color w:val="000000" w:themeColor="text1"/>
        </w:rPr>
        <w:t>afectaría su esfera privada.</w:t>
      </w:r>
    </w:p>
    <w:p w14:paraId="5CF4311D"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1F0D18D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DB7921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w:t>
      </w:r>
      <w:r w:rsidRPr="00F00356">
        <w:rPr>
          <w:rFonts w:ascii="Palatino Linotype" w:eastAsia="Palatino Linotype" w:hAnsi="Palatino Linotype" w:cs="Palatino Linotype"/>
          <w:i/>
          <w:color w:val="000000" w:themeColor="text1"/>
        </w:rPr>
        <w:lastRenderedPageBreak/>
        <w:t>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66BBD6A"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1E4E758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De conformidad con lo señalado, se colige que las actividades que realicen los particulares, dentro del ámbito privado, o dentro de la esfera particular, es información que debe protegerse. En el presente caso, proporcionar la información de los participantes que no fueron seleccionador, iría en contra del derecho a la vida privada; es decir, un acto de voluntad de dichas personas para participar.</w:t>
      </w:r>
    </w:p>
    <w:p w14:paraId="68080D01"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En consecuencia, se estima que resulta procedente </w:t>
      </w:r>
      <w:r w:rsidRPr="00F00356">
        <w:rPr>
          <w:rFonts w:ascii="Palatino Linotype" w:eastAsia="Palatino Linotype" w:hAnsi="Palatino Linotype" w:cs="Palatino Linotype"/>
          <w:b/>
          <w:color w:val="000000" w:themeColor="text1"/>
        </w:rPr>
        <w:t>la clasificación de los documentos entregados por las personas participantes que no fueron seleccionadas; es decir, de las personas postulantes</w:t>
      </w:r>
      <w:r w:rsidRPr="00F00356">
        <w:rPr>
          <w:rFonts w:ascii="Palatino Linotype" w:eastAsia="Palatino Linotype" w:hAnsi="Palatino Linotype" w:cs="Palatino Linotype"/>
          <w:color w:val="000000" w:themeColor="text1"/>
        </w:rPr>
        <w:t>, para formar parte del proceso de selección, en términos del artículo 143, fracción I de la Ley de Transparencia y Acceso a la Información Pública del Estado de México y Municipios.</w:t>
      </w:r>
    </w:p>
    <w:p w14:paraId="17E7D408" w14:textId="77777777" w:rsidR="00A82033" w:rsidRPr="00F00356" w:rsidRDefault="00A82033" w:rsidP="00F00356">
      <w:pPr>
        <w:widowControl w:val="0"/>
        <w:tabs>
          <w:tab w:val="center" w:pos="4522"/>
        </w:tabs>
        <w:spacing w:line="360" w:lineRule="auto"/>
        <w:jc w:val="both"/>
        <w:rPr>
          <w:rFonts w:ascii="Palatino Linotype" w:eastAsia="Palatino Linotype" w:hAnsi="Palatino Linotype" w:cs="Palatino Linotype"/>
          <w:color w:val="000000" w:themeColor="text1"/>
        </w:rPr>
      </w:pPr>
    </w:p>
    <w:p w14:paraId="33BDE34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atención a todo lo antes expuesto, se aprecia que argumento de la parte Recurrente que resulta FUNDADO en virtud de que el Sujeto Obligado no entregó la información completa, por tanto, es procedente ordenar la entrega de la información, en los términos previamente expuestos.  </w:t>
      </w:r>
    </w:p>
    <w:p w14:paraId="16C46F90"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08F8A236"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Para el caso de que, la información cuente con datos personales confidenciales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45739C40"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F3E2AA6" w14:textId="77777777" w:rsidR="00A82033" w:rsidRPr="00F00356" w:rsidRDefault="00E64F74"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CURRICULUM VITAE</w:t>
      </w:r>
    </w:p>
    <w:p w14:paraId="38053D38"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 Por lo que respecta a este punto de la solicitud de información, se debe de referir que dentro de los requisitos que marcan las convocatorias se tiene que debe de entregar el Curriculum Vitae, situación por la cual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deberá de entregar dicho documento para colmar el derecho a la información del </w:t>
      </w:r>
      <w:r w:rsidRPr="00F00356">
        <w:rPr>
          <w:rFonts w:ascii="Palatino Linotype" w:eastAsia="Palatino Linotype" w:hAnsi="Palatino Linotype" w:cs="Palatino Linotype"/>
          <w:b/>
          <w:color w:val="000000" w:themeColor="text1"/>
        </w:rPr>
        <w:t xml:space="preserve">RECURRENTE. </w:t>
      </w:r>
    </w:p>
    <w:p w14:paraId="3C0A599F" w14:textId="77777777" w:rsidR="00A82033" w:rsidRPr="00F00356"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1CFF27"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1775659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Cabe precisar que de la información que se ordena se aprecia que puede contar con datos personales confidenciales, entre ellos, RFC, CURP, nombre de particulares ajenos al servicio público, domicilios, correos electrónicos y teléfonos particulares, los cuales deben atender al análisis previamente citado, además, se deberá considerar los siguientes:</w:t>
      </w:r>
    </w:p>
    <w:p w14:paraId="0DC642D2" w14:textId="77777777" w:rsidR="00A82033" w:rsidRPr="00F00356" w:rsidRDefault="00A82033" w:rsidP="00F00356">
      <w:pPr>
        <w:tabs>
          <w:tab w:val="left" w:pos="4962"/>
        </w:tabs>
        <w:spacing w:line="360" w:lineRule="auto"/>
        <w:jc w:val="both"/>
        <w:rPr>
          <w:rFonts w:ascii="Palatino Linotype" w:eastAsia="Palatino Linotype" w:hAnsi="Palatino Linotype" w:cs="Palatino Linotype"/>
          <w:color w:val="000000" w:themeColor="text1"/>
        </w:rPr>
      </w:pPr>
    </w:p>
    <w:p w14:paraId="09FE2F49" w14:textId="77777777" w:rsidR="00A82033" w:rsidRPr="00F00356" w:rsidRDefault="00E64F74"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Firma de servidores públicos en documentos comprobatorios de estudios</w:t>
      </w:r>
    </w:p>
    <w:p w14:paraId="066C6FE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90CE22F" w14:textId="77777777" w:rsidR="00A82033" w:rsidRPr="00F00356" w:rsidRDefault="00E64F74" w:rsidP="00F00356">
      <w:pPr>
        <w:tabs>
          <w:tab w:val="left" w:pos="4962"/>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w:t>
      </w:r>
    </w:p>
    <w:p w14:paraId="4E4DD79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B540C94" w14:textId="77777777" w:rsidR="00A82033" w:rsidRPr="00F00356" w:rsidRDefault="00E64F74" w:rsidP="00F00356">
      <w:pPr>
        <w:tabs>
          <w:tab w:val="left" w:pos="4962"/>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w:t>
      </w:r>
    </w:p>
    <w:p w14:paraId="02734C02"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entonces Instituto Nacional de Transparencia, Acceso a la Información y Protección de Datos Personales, que establece lo siguiente:</w:t>
      </w:r>
    </w:p>
    <w:p w14:paraId="19F7E505" w14:textId="23859DAC" w:rsidR="00A82033" w:rsidRPr="00F00356" w:rsidRDefault="00E64F74" w:rsidP="00D422E9">
      <w:pPr>
        <w:shd w:val="clear" w:color="auto" w:fill="FFFFFF"/>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w:t>
      </w:r>
      <w:r w:rsidRPr="00F00356">
        <w:rPr>
          <w:rFonts w:ascii="Palatino Linotype" w:eastAsia="Palatino Linotype" w:hAnsi="Palatino Linotype" w:cs="Palatino Linotype"/>
          <w:b/>
          <w:i/>
          <w:color w:val="000000" w:themeColor="text1"/>
        </w:rPr>
        <w:t>“Firma y rúbrica de servidores públicos.</w:t>
      </w:r>
      <w:r w:rsidRPr="00F00356">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14:paraId="5619ACC2" w14:textId="77777777" w:rsidR="00A82033" w:rsidRPr="00F00356" w:rsidRDefault="00E64F74" w:rsidP="00F00356">
      <w:pPr>
        <w:tabs>
          <w:tab w:val="left" w:pos="4962"/>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w:t>
      </w:r>
    </w:p>
    <w:p w14:paraId="3205744E"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164BA86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6F886FF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603CADA0" w14:textId="77777777" w:rsidR="00A82033" w:rsidRPr="00F00356" w:rsidRDefault="00A82033" w:rsidP="00F00356">
      <w:pPr>
        <w:rPr>
          <w:rFonts w:ascii="Palatino Linotype" w:eastAsia="Palatino Linotype" w:hAnsi="Palatino Linotype" w:cs="Palatino Linotype"/>
          <w:color w:val="000000" w:themeColor="text1"/>
        </w:rPr>
      </w:pPr>
    </w:p>
    <w:p w14:paraId="12DDAADE"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se tiene que 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 xml:space="preserve">solicito información del nueve de abril dos mil dieciséis al nueve de abril de dos mil veinticinco, situación por la cual se debe de analizar de los años 2016 al 2019, pudiera no encontrarse la información en los archivos del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por haber causado baja documental, situación por la cual se analiza lo siguiente. </w:t>
      </w:r>
    </w:p>
    <w:p w14:paraId="5CF0D506"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1E2920DF"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lo anterior,  es importante referir el estudio de la baja documental que considera la </w:t>
      </w:r>
      <w:r w:rsidRPr="00F00356">
        <w:rPr>
          <w:rFonts w:ascii="Palatino Linotype" w:eastAsia="Palatino Linotype" w:hAnsi="Palatino Linotype" w:cs="Palatino Linotype"/>
          <w:b/>
          <w:color w:val="000000" w:themeColor="text1"/>
        </w:rPr>
        <w:t xml:space="preserve">LEY DE ARCHIVOS Y ADMINISTRACIÓN DE DOCUMENTOS DEL ESTADO DE MÉXICO Y MUNICIPIOS, en su artículo 1 ° </w:t>
      </w:r>
      <w:r w:rsidRPr="00F00356">
        <w:rPr>
          <w:rFonts w:ascii="Palatino Linotype" w:eastAsia="Palatino Linotype" w:hAnsi="Palatino Linotype" w:cs="Palatino Linotype"/>
          <w:color w:val="000000" w:themeColor="text1"/>
        </w:rPr>
        <w:t xml:space="preserve">tiene como objeto </w:t>
      </w:r>
      <w:r w:rsidRPr="00F00356">
        <w:rPr>
          <w:rFonts w:ascii="Palatino Linotype" w:eastAsia="Palatino Linotype" w:hAnsi="Palatino Linotype" w:cs="Palatino Linotype"/>
          <w:i/>
          <w:color w:val="000000" w:themeColor="text1"/>
        </w:rPr>
        <w:t xml:space="preserve">“Artículo 1.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w:t>
      </w:r>
      <w:r w:rsidRPr="00F00356">
        <w:rPr>
          <w:rFonts w:ascii="Palatino Linotype" w:eastAsia="Palatino Linotype" w:hAnsi="Palatino Linotype" w:cs="Palatino Linotype"/>
          <w:i/>
          <w:color w:val="000000" w:themeColor="text1"/>
        </w:rPr>
        <w:lastRenderedPageBreak/>
        <w:t xml:space="preserve">del Estado de México y municipios. Así como determinar las bases de organización y funcionamiento del Sistema Estatal de Archivos y </w:t>
      </w:r>
      <w:r w:rsidRPr="00F00356">
        <w:rPr>
          <w:rFonts w:ascii="Palatino Linotype" w:eastAsia="Palatino Linotype" w:hAnsi="Palatino Linotype" w:cs="Palatino Linotype"/>
          <w:b/>
          <w:i/>
          <w:color w:val="000000" w:themeColor="text1"/>
        </w:rPr>
        <w:t>fomentar el resguardo, difusión y acceso público</w:t>
      </w:r>
      <w:r w:rsidRPr="00F00356">
        <w:rPr>
          <w:rFonts w:ascii="Palatino Linotype" w:eastAsia="Palatino Linotype" w:hAnsi="Palatino Linotype" w:cs="Palatino Linotype"/>
          <w:i/>
          <w:color w:val="000000" w:themeColor="text1"/>
        </w:rPr>
        <w:t xml:space="preserve"> de Archivos privados de relevancia histórica, social, cultural, científica y técnica estatal…” </w:t>
      </w:r>
    </w:p>
    <w:p w14:paraId="2ADECEC0" w14:textId="77777777" w:rsidR="00A82033" w:rsidRPr="00F00356" w:rsidRDefault="00A82033" w:rsidP="00F00356">
      <w:pPr>
        <w:spacing w:line="360" w:lineRule="auto"/>
        <w:jc w:val="both"/>
        <w:rPr>
          <w:rFonts w:ascii="Palatino Linotype" w:eastAsia="Palatino Linotype" w:hAnsi="Palatino Linotype" w:cs="Palatino Linotype"/>
          <w:i/>
          <w:color w:val="000000" w:themeColor="text1"/>
        </w:rPr>
      </w:pPr>
    </w:p>
    <w:p w14:paraId="40AE5705"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Así mismo, la normativa citada con antelación, considera en su artículo cuarto los siguientes hechos que son de relevancia para el estudio del presente recurso: </w:t>
      </w:r>
    </w:p>
    <w:p w14:paraId="7B4D284A"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V. Archivo de Concentración</w:t>
      </w:r>
      <w:r w:rsidRPr="00F00356">
        <w:rPr>
          <w:rFonts w:ascii="Palatino Linotype" w:eastAsia="Palatino Linotype" w:hAnsi="Palatino Linotype" w:cs="Palatino Linotype"/>
          <w:i/>
          <w:color w:val="000000" w:themeColor="text1"/>
        </w:rPr>
        <w:t xml:space="preserve">: Al integrado por documentos transferidos desde las áreas o unidades productoras, cuyo uso y consulta es esporádica y que permanecen en él, hasta su Disposición Documental; </w:t>
      </w:r>
    </w:p>
    <w:p w14:paraId="5A0F980A"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VI. </w:t>
      </w:r>
      <w:r w:rsidRPr="00F00356">
        <w:rPr>
          <w:rFonts w:ascii="Palatino Linotype" w:eastAsia="Palatino Linotype" w:hAnsi="Palatino Linotype" w:cs="Palatino Linotype"/>
          <w:b/>
          <w:i/>
          <w:color w:val="000000" w:themeColor="text1"/>
        </w:rPr>
        <w:t>Archivo de Trámite</w:t>
      </w:r>
      <w:r w:rsidRPr="00F00356">
        <w:rPr>
          <w:rFonts w:ascii="Palatino Linotype" w:eastAsia="Palatino Linotype" w:hAnsi="Palatino Linotype" w:cs="Palatino Linotype"/>
          <w:i/>
          <w:color w:val="000000" w:themeColor="text1"/>
        </w:rPr>
        <w:t xml:space="preserve">: Al integrado por Documentos de Archivo de uso cotidiano y necesario para el ejercicio de las atribuciones y funciones de los Sujetos Obligados; </w:t>
      </w:r>
    </w:p>
    <w:p w14:paraId="2348ACE6"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VII</w:t>
      </w:r>
      <w:r w:rsidRPr="00F00356">
        <w:rPr>
          <w:rFonts w:ascii="Palatino Linotype" w:eastAsia="Palatino Linotype" w:hAnsi="Palatino Linotype" w:cs="Palatino Linotype"/>
          <w:b/>
          <w:i/>
          <w:color w:val="000000" w:themeColor="text1"/>
        </w:rPr>
        <w:t>. Archivo General:</w:t>
      </w:r>
      <w:r w:rsidRPr="00F00356">
        <w:rPr>
          <w:rFonts w:ascii="Palatino Linotype" w:eastAsia="Palatino Linotype" w:hAnsi="Palatino Linotype" w:cs="Palatino Linotype"/>
          <w:i/>
          <w:color w:val="000000" w:themeColor="text1"/>
        </w:rPr>
        <w:t xml:space="preserve"> Al Archivo General de la Nación</w:t>
      </w:r>
    </w:p>
    <w:p w14:paraId="361DB14C"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VIII. Archivo General del Estado:</w:t>
      </w:r>
      <w:r w:rsidRPr="00F00356">
        <w:rPr>
          <w:rFonts w:ascii="Palatino Linotype" w:eastAsia="Palatino Linotype" w:hAnsi="Palatino Linotype" w:cs="Palatino Linotype"/>
          <w:i/>
          <w:color w:val="000000" w:themeColor="text1"/>
        </w:rPr>
        <w:t xml:space="preserve"> Al Archivo General del Estado de México;</w:t>
      </w:r>
    </w:p>
    <w:p w14:paraId="2C277DDD"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IX. Archivo Histórico:</w:t>
      </w:r>
      <w:r w:rsidRPr="00F00356">
        <w:rPr>
          <w:rFonts w:ascii="Palatino Linotype" w:eastAsia="Palatino Linotype" w:hAnsi="Palatino Linotype" w:cs="Palatino Linotype"/>
          <w:i/>
          <w:color w:val="000000" w:themeColor="text1"/>
        </w:rPr>
        <w:t xml:space="preserve"> Al integrado por documentos de conservación permanente y de relevancia para la memoria estatal o municipal de carácter público;</w:t>
      </w:r>
    </w:p>
    <w:p w14:paraId="0214452E"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XIII. </w:t>
      </w:r>
      <w:r w:rsidRPr="00F00356">
        <w:rPr>
          <w:rFonts w:ascii="Palatino Linotype" w:eastAsia="Palatino Linotype" w:hAnsi="Palatino Linotype" w:cs="Palatino Linotype"/>
          <w:b/>
          <w:i/>
          <w:color w:val="000000" w:themeColor="text1"/>
        </w:rPr>
        <w:t>Baja Documental:</w:t>
      </w:r>
      <w:r w:rsidRPr="00F00356">
        <w:rPr>
          <w:rFonts w:ascii="Palatino Linotype" w:eastAsia="Palatino Linotype" w:hAnsi="Palatino Linotype" w:cs="Palatino Linotype"/>
          <w:i/>
          <w:color w:val="000000" w:themeColor="text1"/>
        </w:rPr>
        <w:t xml:space="preserve"> A la eliminación de aquella documentación que haya prescrito su vigencia, valores documentales y, en su caso, plazos de conservación; y que no posea valores históricos, de acuerdo con la Ley y las disposiciones jurídicas aplicables; </w:t>
      </w:r>
    </w:p>
    <w:p w14:paraId="5EAEAA89"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XIV</w:t>
      </w:r>
      <w:r w:rsidRPr="00F00356">
        <w:rPr>
          <w:rFonts w:ascii="Palatino Linotype" w:eastAsia="Palatino Linotype" w:hAnsi="Palatino Linotype" w:cs="Palatino Linotype"/>
          <w:b/>
          <w:i/>
          <w:color w:val="000000" w:themeColor="text1"/>
        </w:rPr>
        <w:t>. Catálogo de Disposición Documental:</w:t>
      </w:r>
      <w:r w:rsidRPr="00F00356">
        <w:rPr>
          <w:rFonts w:ascii="Palatino Linotype" w:eastAsia="Palatino Linotype" w:hAnsi="Palatino Linotype" w:cs="Palatino Linotype"/>
          <w:i/>
          <w:color w:val="000000" w:themeColor="text1"/>
        </w:rPr>
        <w:t xml:space="preserve"> Al registro general y sistemático que establece los valores documentales, la Vigencia Documental, los plazos de conservación y la Disposición Documental; </w:t>
      </w:r>
    </w:p>
    <w:p w14:paraId="6DD125C8"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XV. Ciclo Vital:</w:t>
      </w:r>
      <w:r w:rsidRPr="00F00356">
        <w:rPr>
          <w:rFonts w:ascii="Palatino Linotype" w:eastAsia="Palatino Linotype" w:hAnsi="Palatino Linotype" w:cs="Palatino Linotype"/>
          <w:i/>
          <w:color w:val="000000" w:themeColor="text1"/>
        </w:rPr>
        <w:t xml:space="preserve"> A las etapas por las que atraviesan los Documentos de Archivo desde su producción o recepción hasta su Baja Documental o Transferencia a un Archivo Histórico;”</w:t>
      </w:r>
    </w:p>
    <w:p w14:paraId="0BA35C9A" w14:textId="77777777" w:rsidR="00A82033" w:rsidRDefault="00A82033" w:rsidP="00F00356">
      <w:pPr>
        <w:rPr>
          <w:rFonts w:ascii="Palatino Linotype" w:eastAsia="Palatino Linotype" w:hAnsi="Palatino Linotype" w:cs="Palatino Linotype"/>
          <w:i/>
          <w:color w:val="000000" w:themeColor="text1"/>
        </w:rPr>
      </w:pPr>
    </w:p>
    <w:p w14:paraId="7061410E" w14:textId="77777777" w:rsidR="00F03427" w:rsidRPr="00F00356" w:rsidRDefault="00F03427" w:rsidP="00F00356">
      <w:pPr>
        <w:rPr>
          <w:rFonts w:ascii="Palatino Linotype" w:eastAsia="Palatino Linotype" w:hAnsi="Palatino Linotype" w:cs="Palatino Linotype"/>
          <w:i/>
          <w:color w:val="000000" w:themeColor="text1"/>
        </w:rPr>
      </w:pPr>
    </w:p>
    <w:p w14:paraId="152425A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Es necesario precisar que la LEY DE ARCHIVOS Y ADMINISTRACIÓN DE DOCUMENTOS DEL ESTADO DE MÉXICO Y MUNICIPIOS, en su artículo 10° refiere que los sujetos obligados son responsables de organizar y conservar sus Archivos; de la operación de su Sistema Institucional; del cumplimiento de lo dispuesto por esta Ley; así como por las determinaciones que emita el Consejo Estatal, según corresponda; y deberán </w:t>
      </w:r>
      <w:r w:rsidRPr="00F00356">
        <w:rPr>
          <w:rFonts w:ascii="Palatino Linotype" w:eastAsia="Palatino Linotype" w:hAnsi="Palatino Linotype" w:cs="Palatino Linotype"/>
          <w:color w:val="000000" w:themeColor="text1"/>
        </w:rPr>
        <w:lastRenderedPageBreak/>
        <w:t xml:space="preserve">garantizar que no se sustraigan, dañen o eliminen Documentos de Archivo y la información a su cargo. </w:t>
      </w:r>
    </w:p>
    <w:p w14:paraId="26C49FB4" w14:textId="77777777" w:rsidR="00A82033" w:rsidRPr="00F00356" w:rsidRDefault="00A82033" w:rsidP="00F00356">
      <w:pPr>
        <w:spacing w:line="360" w:lineRule="auto"/>
        <w:jc w:val="both"/>
        <w:rPr>
          <w:rFonts w:ascii="Palatino Linotype" w:eastAsia="Palatino Linotype" w:hAnsi="Palatino Linotype" w:cs="Palatino Linotype"/>
          <w:i/>
          <w:color w:val="000000" w:themeColor="text1"/>
        </w:rPr>
      </w:pPr>
    </w:p>
    <w:p w14:paraId="602F8CC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Por su parte, la ley de  la materia en el ámbito estatal en su artículo 3°, fracción XLI refiere que el sujeto obligado es : </w:t>
      </w:r>
    </w:p>
    <w:p w14:paraId="1B38F767"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Sujetos obligados:</w:t>
      </w:r>
      <w:r w:rsidRPr="00F00356">
        <w:rPr>
          <w:rFonts w:ascii="Palatino Linotype" w:eastAsia="Palatino Linotype" w:hAnsi="Palatino Linotype" w:cs="Palatino Linotype"/>
          <w:i/>
          <w:color w:val="000000" w:themeColor="text1"/>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377F1F9" w14:textId="77777777" w:rsidR="00A82033" w:rsidRPr="00F00356" w:rsidRDefault="00A82033" w:rsidP="00F00356">
      <w:pPr>
        <w:spacing w:line="360" w:lineRule="auto"/>
        <w:rPr>
          <w:rFonts w:ascii="Palatino Linotype" w:eastAsia="Palatino Linotype" w:hAnsi="Palatino Linotype" w:cs="Palatino Linotype"/>
          <w:i/>
          <w:color w:val="000000" w:themeColor="text1"/>
        </w:rPr>
      </w:pPr>
    </w:p>
    <w:p w14:paraId="5B8AC934"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el artículo 31 ° de la LEY DE ARCHIVOS Y ADMINISTRACIÓN DE DOCUMENTOS DEL ESTADO DE MÉXICO Y MUNICIPIOS, establece que Cada Sujeto Obligado debe contar con un Archivo de Concentración, que tendrá las siguientes funciones: </w:t>
      </w:r>
    </w:p>
    <w:p w14:paraId="7655B185"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Asegurar y describir los Fondos Documentales bajo su resguardo, así como la consulta de los Expedientes; </w:t>
      </w:r>
    </w:p>
    <w:p w14:paraId="50882F28"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Recibir las Transferencias Primarias y brindar servicios de préstamo y consulta a las unidades o áreas administrativas productoras de la documentación que resguarda; </w:t>
      </w:r>
    </w:p>
    <w:p w14:paraId="1385E47B" w14:textId="77777777" w:rsidR="00A82033" w:rsidRPr="00F00356" w:rsidRDefault="00E64F74" w:rsidP="00F00356">
      <w:pPr>
        <w:numPr>
          <w:ilvl w:val="0"/>
          <w:numId w:val="8"/>
        </w:numPr>
        <w:ind w:left="0" w:firstLine="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Conservar los Expedientes hasta cumplir su Vigencia Documental de acuerdo con lo establecido en el Catálogo de Disposición Documental; </w:t>
      </w:r>
    </w:p>
    <w:p w14:paraId="129AF916"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Colaborar con el Área Coordinadora de Archivos en la elaboración de los Instrumentos de Control Archivístico previstos en esta Ley y en sus disposiciones reglamentarias;</w:t>
      </w:r>
      <w:r w:rsidRPr="00F00356">
        <w:rPr>
          <w:rFonts w:ascii="Palatino Linotype" w:hAnsi="Palatino Linotype"/>
          <w:color w:val="000000" w:themeColor="text1"/>
        </w:rPr>
        <w:t xml:space="preserve"> </w:t>
      </w:r>
    </w:p>
    <w:p w14:paraId="5E526F85"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Participar con el Área Coordinadora de Archivos en la elaboración de los criterios de Valoración y Disposición Documental; </w:t>
      </w:r>
    </w:p>
    <w:p w14:paraId="1B8D39CE" w14:textId="77777777" w:rsidR="00A82033" w:rsidRPr="00F00356" w:rsidRDefault="00E64F74" w:rsidP="00F00356">
      <w:pPr>
        <w:numPr>
          <w:ilvl w:val="0"/>
          <w:numId w:val="8"/>
        </w:numPr>
        <w:ind w:left="0" w:firstLine="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i/>
          <w:color w:val="000000" w:themeColor="text1"/>
        </w:rPr>
        <w:t xml:space="preserve"> </w:t>
      </w:r>
      <w:r w:rsidRPr="00F00356">
        <w:rPr>
          <w:rFonts w:ascii="Palatino Linotype" w:eastAsia="Palatino Linotype" w:hAnsi="Palatino Linotype" w:cs="Palatino Linotype"/>
          <w:b/>
          <w:i/>
          <w:color w:val="000000" w:themeColor="text1"/>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14:paraId="13EF4A50"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Identificar los Expedientes que integran las Series documentales que hayan cumplido su Vigencia Documental y que cuenten con valores históricos, y que serán transferidos a los Archivos Históricos de los Sujetos Obligados, según corresponda;</w:t>
      </w:r>
    </w:p>
    <w:p w14:paraId="5E02948F"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lastRenderedPageBreak/>
        <w:t xml:space="preserve"> Integrar a sus respectivos Expedientes, el registro de los procesos de Disposición Documental, incluyendo dictámenes, actas e inventarios;</w:t>
      </w:r>
    </w:p>
    <w:p w14:paraId="240A2651"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346CA846"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Realizar la Transferencia Secundaria de las Series documentales que hayan cumplido su Vigencia Documental y posean valores evidenciales, testimoniales e informativos al Archivo Histórico del Sujeto Obligado, o al Archivo General del Estado según corresponda, y</w:t>
      </w:r>
    </w:p>
    <w:p w14:paraId="47805DC5" w14:textId="77777777" w:rsidR="00A82033" w:rsidRPr="00F00356" w:rsidRDefault="00E64F74" w:rsidP="00F00356">
      <w:pPr>
        <w:numPr>
          <w:ilvl w:val="0"/>
          <w:numId w:val="8"/>
        </w:numPr>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 Las que establezca el Consejo Estatal, y las disposiciones jurídicas aplicables.</w:t>
      </w:r>
    </w:p>
    <w:p w14:paraId="229A2E54" w14:textId="77777777" w:rsidR="00A82033" w:rsidRDefault="00A82033" w:rsidP="00F00356">
      <w:pPr>
        <w:rPr>
          <w:rFonts w:ascii="Palatino Linotype" w:eastAsia="Palatino Linotype" w:hAnsi="Palatino Linotype" w:cs="Palatino Linotype"/>
          <w:color w:val="000000" w:themeColor="text1"/>
        </w:rPr>
      </w:pPr>
    </w:p>
    <w:p w14:paraId="5E09A4E7" w14:textId="77777777" w:rsidR="00F03427" w:rsidRPr="00F00356" w:rsidRDefault="00F03427" w:rsidP="00F00356">
      <w:pPr>
        <w:rPr>
          <w:rFonts w:ascii="Palatino Linotype" w:eastAsia="Palatino Linotype" w:hAnsi="Palatino Linotype" w:cs="Palatino Linotype"/>
          <w:color w:val="000000" w:themeColor="text1"/>
        </w:rPr>
      </w:pPr>
    </w:p>
    <w:p w14:paraId="0FF0053D"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ese sentido, se tienen que tomar en cuenta los Criterios Técnicos de las dependencias y Organismos Auxiliares de la Administración Pública Estatal Para la Elaboración, Actualización, Registro y Validación del Catálogo de Disposición Documental, mismo que refiere en su artículo 8 la vigencia y plazos de conservación documental de la siguiente manera. </w:t>
      </w:r>
    </w:p>
    <w:p w14:paraId="0605BBE5" w14:textId="77777777" w:rsidR="00A82033" w:rsidRPr="00F00356" w:rsidRDefault="00E64F74" w:rsidP="00F00356">
      <w:pPr>
        <w:tabs>
          <w:tab w:val="left" w:pos="851"/>
        </w:tabs>
        <w:jc w:val="both"/>
        <w:rPr>
          <w:rFonts w:ascii="Palatino Linotype" w:hAnsi="Palatino Linotype"/>
          <w:i/>
          <w:color w:val="000000" w:themeColor="text1"/>
        </w:rPr>
      </w:pPr>
      <w:r w:rsidRPr="00F00356">
        <w:rPr>
          <w:rFonts w:ascii="Palatino Linotype" w:eastAsia="Palatino Linotype" w:hAnsi="Palatino Linotype" w:cs="Palatino Linotype"/>
          <w:b/>
          <w:i/>
          <w:color w:val="000000" w:themeColor="text1"/>
        </w:rPr>
        <w:t>Artículo 8.</w:t>
      </w:r>
      <w:r w:rsidRPr="00F00356">
        <w:rPr>
          <w:rFonts w:ascii="Palatino Linotype" w:eastAsia="Palatino Linotype" w:hAnsi="Palatino Linotype" w:cs="Palatino Linotype"/>
          <w:i/>
          <w:color w:val="000000" w:themeColor="text1"/>
        </w:rPr>
        <w:t xml:space="preserve"> Para el establecimiento de las vigencias documentales, los plazos de conservación y la disposición final de las series, las dependencias y organismos deberán contemplar el marco normativo bajo el cual se produjeron las series y considerar los periodos de guarda y custodia siguientes:</w:t>
      </w:r>
      <w:r w:rsidRPr="00F00356">
        <w:rPr>
          <w:rFonts w:ascii="Palatino Linotype" w:hAnsi="Palatino Linotype"/>
          <w:i/>
          <w:color w:val="000000" w:themeColor="text1"/>
        </w:rPr>
        <w:t xml:space="preserve"> </w:t>
      </w:r>
    </w:p>
    <w:p w14:paraId="250605A7" w14:textId="77777777" w:rsidR="00A82033" w:rsidRPr="00F00356" w:rsidRDefault="00E64F74" w:rsidP="00F00356">
      <w:pPr>
        <w:numPr>
          <w:ilvl w:val="0"/>
          <w:numId w:val="7"/>
        </w:numPr>
        <w:tabs>
          <w:tab w:val="left" w:pos="851"/>
        </w:tabs>
        <w:ind w:left="0" w:firstLine="0"/>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2 años como mínimo para expedientes de asuntos concluidos en los archivos de trámite de las unidades administrativas, periodo que se computará a partir del día siguiente a la fecha del documento con el que se dé por concluido el asunto que motivó la integración de cada expediente; </w:t>
      </w:r>
    </w:p>
    <w:p w14:paraId="731399C0" w14:textId="77777777" w:rsidR="00A82033" w:rsidRPr="00F00356" w:rsidRDefault="00E64F74" w:rsidP="00F00356">
      <w:pPr>
        <w:tabs>
          <w:tab w:val="left" w:pos="851"/>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II. 6 años para expedientes de series documentales con valor documental administrativo; </w:t>
      </w:r>
    </w:p>
    <w:p w14:paraId="51FE62E5" w14:textId="77777777" w:rsidR="00A82033" w:rsidRPr="00F00356" w:rsidRDefault="00E64F74" w:rsidP="00F00356">
      <w:pPr>
        <w:tabs>
          <w:tab w:val="left" w:pos="851"/>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III. 6 años como mínimo para expedientes de series documentales con valor documental fiscal-contable; </w:t>
      </w:r>
    </w:p>
    <w:p w14:paraId="2724C6AE" w14:textId="77777777" w:rsidR="00A82033" w:rsidRPr="00F00356" w:rsidRDefault="00E64F74" w:rsidP="00F00356">
      <w:pPr>
        <w:tabs>
          <w:tab w:val="left" w:pos="851"/>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IV. 12 años para expedientes de series documentales con valor documental jurídico-legal; </w:t>
      </w:r>
    </w:p>
    <w:p w14:paraId="48E6D2BC" w14:textId="77777777" w:rsidR="00A82033" w:rsidRPr="00F00356" w:rsidRDefault="00E64F74" w:rsidP="00F00356">
      <w:pPr>
        <w:tabs>
          <w:tab w:val="left" w:pos="851"/>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 xml:space="preserve">V. Cuando en la legislación se establezca un tiempo superior al señalado en las fracciones anteriores, se considerará éste para establecer los plazos de conservación de las series. </w:t>
      </w:r>
    </w:p>
    <w:p w14:paraId="5A2F41C0" w14:textId="77777777" w:rsidR="00A82033" w:rsidRPr="00F00356" w:rsidRDefault="00E64F74" w:rsidP="00F00356">
      <w:pPr>
        <w:tabs>
          <w:tab w:val="left" w:pos="851"/>
        </w:tabs>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VI. Los plazos de conservación relativos al archivo contable gubernamental se determinarán atendiendo lo señalado en el Código Financiero del Estado de México y Municipios y en las disposiciones establecidas al respecto por la Secretaría de Finanzas del Gobierno del Estado de México y la Secretaría de Hacienda y Crédito Público.</w:t>
      </w:r>
    </w:p>
    <w:p w14:paraId="61FA3937" w14:textId="77777777" w:rsidR="00A82033" w:rsidRPr="00F00356" w:rsidRDefault="00A82033" w:rsidP="00F00356">
      <w:pPr>
        <w:tabs>
          <w:tab w:val="left" w:pos="851"/>
        </w:tabs>
        <w:jc w:val="both"/>
        <w:rPr>
          <w:rFonts w:ascii="Palatino Linotype" w:eastAsia="Palatino Linotype" w:hAnsi="Palatino Linotype" w:cs="Palatino Linotype"/>
          <w:i/>
          <w:color w:val="000000" w:themeColor="text1"/>
        </w:rPr>
      </w:pPr>
    </w:p>
    <w:p w14:paraId="5771E459"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Sirve de apoyo el criterio 14-09 que emite el Instituto Nacional de Transparencia, Acceso a la Información y Protección de Datos Personales, vigente a la fecha de la solicitud de información,  que a la letra dice:</w:t>
      </w:r>
    </w:p>
    <w:p w14:paraId="4751FD5A"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b/>
          <w:i/>
          <w:color w:val="000000" w:themeColor="text1"/>
        </w:rPr>
        <w:t>Baja documental</w:t>
      </w:r>
      <w:r w:rsidRPr="00F00356">
        <w:rPr>
          <w:rFonts w:ascii="Palatino Linotype" w:eastAsia="Palatino Linotype" w:hAnsi="Palatino Linotype" w:cs="Palatino Linotype"/>
          <w:i/>
          <w:color w:val="000000" w:themeColor="text1"/>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F71496D" w14:textId="77777777" w:rsidR="00A82033" w:rsidRPr="00F00356" w:rsidRDefault="00A82033" w:rsidP="00F00356">
      <w:pPr>
        <w:jc w:val="both"/>
        <w:rPr>
          <w:rFonts w:ascii="Palatino Linotype" w:eastAsia="Palatino Linotype" w:hAnsi="Palatino Linotype" w:cs="Palatino Linotype"/>
          <w:i/>
          <w:color w:val="000000" w:themeColor="text1"/>
        </w:rPr>
      </w:pPr>
    </w:p>
    <w:p w14:paraId="281AAB5F"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Expedientes:</w:t>
      </w:r>
    </w:p>
    <w:p w14:paraId="222D2E0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4650/07 Instituto de Seguridad y Servicios Sociales de los Trabajadores del</w:t>
      </w:r>
    </w:p>
    <w:p w14:paraId="3A4ADC0B"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Estado – Alonso Lujambio Irazábal</w:t>
      </w:r>
    </w:p>
    <w:p w14:paraId="64E85940"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0908/08 Instituto Mexicano del Seguro Social – Alonso Lujambio Irazábal</w:t>
      </w:r>
    </w:p>
    <w:p w14:paraId="40B4E27D"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4961/08 Instituto Mexicano del Seguro Social – Alonso Gómez-Robledo V.</w:t>
      </w:r>
    </w:p>
    <w:p w14:paraId="7661A103"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0820/09  Secretaría de Agricultura, Ganadería, Desarrollo Rural, Pesca y</w:t>
      </w:r>
    </w:p>
    <w:p w14:paraId="1A6AD47F"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Alimentación – Jacqueline Peschard Mariscal</w:t>
      </w:r>
    </w:p>
    <w:p w14:paraId="0F66CEE7"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3928/09 Administración Federal de Servicios Educativos en el Distrito Federal –</w:t>
      </w:r>
    </w:p>
    <w:p w14:paraId="761C2152" w14:textId="77777777" w:rsidR="00A82033" w:rsidRPr="00F00356" w:rsidRDefault="00E64F74" w:rsidP="00F00356">
      <w:pPr>
        <w:jc w:val="both"/>
        <w:rPr>
          <w:rFonts w:ascii="Palatino Linotype" w:eastAsia="Palatino Linotype" w:hAnsi="Palatino Linotype" w:cs="Palatino Linotype"/>
          <w:i/>
          <w:color w:val="000000" w:themeColor="text1"/>
        </w:rPr>
      </w:pPr>
      <w:r w:rsidRPr="00F00356">
        <w:rPr>
          <w:rFonts w:ascii="Palatino Linotype" w:eastAsia="Palatino Linotype" w:hAnsi="Palatino Linotype" w:cs="Palatino Linotype"/>
          <w:i/>
          <w:color w:val="000000" w:themeColor="text1"/>
        </w:rPr>
        <w:t>María Marván Laborde</w:t>
      </w:r>
    </w:p>
    <w:p w14:paraId="303749D7"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54188B1B" w14:textId="77777777" w:rsidR="00A82033" w:rsidRPr="00F00356" w:rsidRDefault="00A82033" w:rsidP="00F00356">
      <w:pPr>
        <w:jc w:val="both"/>
        <w:rPr>
          <w:rFonts w:ascii="Palatino Linotype" w:eastAsia="Palatino Linotype" w:hAnsi="Palatino Linotype" w:cs="Palatino Linotype"/>
          <w:color w:val="000000" w:themeColor="text1"/>
        </w:rPr>
      </w:pPr>
    </w:p>
    <w:p w14:paraId="4C9D6805"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lo anterior, toda vez que del año 2016 al 2019, ha transcurrido el tiempo de la conservación de archivos que, es que es que pudiera ser que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no cuente con los documentos que contenga la información de los Defensores Municipales nombrado, situación por la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deberá de emitir el Acuerdo de Inexistencia en términos de los artículos 49, fracciones II y XIII, 169 y 170 de la Ley de Transparencia y Acceso a la Información Pública del Estado de México y Municipios que al respecto emita su Comité de Transparencia, acompañado del acta de baja documental.</w:t>
      </w:r>
    </w:p>
    <w:p w14:paraId="68F1BE4A"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Por último, se debe de precisar que el expediente completo se integra por el Curriculum Vitae, por la Carta de Postulación y por el Programa de Trabajo, situación por la cual al ordenar el expediente de los Defensores Públicos Municipales nombrados del nueve de abril de dos mil dieciséis al nueve de abril de dos mil veinticinco es que se tendrá colmado el derecho de acceso a la información del </w:t>
      </w:r>
      <w:r w:rsidRPr="00F00356">
        <w:rPr>
          <w:rFonts w:ascii="Palatino Linotype" w:eastAsia="Palatino Linotype" w:hAnsi="Palatino Linotype" w:cs="Palatino Linotype"/>
          <w:b/>
          <w:color w:val="000000" w:themeColor="text1"/>
        </w:rPr>
        <w:t xml:space="preserve">RECURRENTE. </w:t>
      </w:r>
    </w:p>
    <w:p w14:paraId="1D1DFBF8" w14:textId="77777777" w:rsidR="00515F0B" w:rsidRPr="00F00356" w:rsidRDefault="00515F0B" w:rsidP="00F00356">
      <w:pPr>
        <w:pStyle w:val="Prrafodelista"/>
        <w:ind w:left="0"/>
        <w:rPr>
          <w:rFonts w:ascii="Palatino Linotype" w:eastAsia="Palatino Linotype" w:hAnsi="Palatino Linotype" w:cs="Palatino Linotype"/>
          <w:color w:val="000000" w:themeColor="text1"/>
        </w:rPr>
      </w:pPr>
    </w:p>
    <w:p w14:paraId="22581FD4" w14:textId="77777777" w:rsidR="00515F0B" w:rsidRPr="002A11A1" w:rsidRDefault="00515F0B" w:rsidP="00F00356">
      <w:pPr>
        <w:keepNext/>
        <w:keepLines/>
        <w:tabs>
          <w:tab w:val="left" w:pos="284"/>
        </w:tabs>
        <w:spacing w:before="240"/>
        <w:outlineLvl w:val="0"/>
        <w:rPr>
          <w:rFonts w:ascii="Palatino Linotype" w:eastAsia="MS Gothic" w:hAnsi="Palatino Linotype" w:cstheme="majorBidi"/>
          <w:b/>
          <w:color w:val="000000" w:themeColor="text1"/>
        </w:rPr>
      </w:pPr>
      <w:bookmarkStart w:id="9" w:name="_Toc68793658"/>
      <w:bookmarkStart w:id="10" w:name="_Toc87549681"/>
      <w:r w:rsidRPr="002A11A1">
        <w:rPr>
          <w:rFonts w:ascii="Palatino Linotype" w:eastAsia="MS Gothic" w:hAnsi="Palatino Linotype" w:cstheme="majorBidi"/>
          <w:b/>
          <w:color w:val="000000" w:themeColor="text1"/>
        </w:rPr>
        <w:t>QUINTO. Vista al órgano de control interno competente.</w:t>
      </w:r>
      <w:bookmarkEnd w:id="9"/>
      <w:bookmarkEnd w:id="10"/>
    </w:p>
    <w:p w14:paraId="4FAA0E90"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Arial"/>
          <w:color w:val="000000" w:themeColor="text1"/>
        </w:rPr>
      </w:pPr>
      <w:r w:rsidRPr="002A11A1">
        <w:rPr>
          <w:rFonts w:ascii="Palatino Linotype" w:eastAsiaTheme="minorEastAsia" w:hAnsi="Palatino Linotype" w:cs="Arial"/>
          <w:color w:val="000000" w:themeColor="text1"/>
        </w:rPr>
        <w:t xml:space="preserve">La </w:t>
      </w:r>
      <w:r w:rsidRPr="002A11A1">
        <w:rPr>
          <w:rFonts w:ascii="Palatino Linotype" w:eastAsia="Palatino Linotype" w:hAnsi="Palatino Linotype" w:cs="Palatino Linotype"/>
          <w:color w:val="000000" w:themeColor="text1"/>
        </w:rPr>
        <w:t>Ley</w:t>
      </w:r>
      <w:r w:rsidRPr="002A11A1">
        <w:rPr>
          <w:rFonts w:ascii="Palatino Linotype" w:eastAsiaTheme="minorEastAsia" w:hAnsi="Palatino Linotype" w:cs="Arial"/>
          <w:color w:val="000000" w:themeColor="text1"/>
        </w:rPr>
        <w:t xml:space="preserve"> de Transparencia y Acceso a la Información Pública del Estado de México y Municipios en los artículos 222 fracción I y II, 162 y 59 fracción I y II establecen los siguiente:</w:t>
      </w:r>
    </w:p>
    <w:p w14:paraId="49FD85BA"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Artículo 222. Son causas de responsabilidad administrativa de los servidores públicos de los sujetos obligados, por incumplimiento de las obligaciones establecidas en la materia de la presente Ley, las siguientes:</w:t>
      </w:r>
    </w:p>
    <w:p w14:paraId="1DFFFB20"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 xml:space="preserve">I. Cualquier acto u omisión que provoque la suspensión o deficiencia en la atención de las solicitudes de información; </w:t>
      </w:r>
    </w:p>
    <w:p w14:paraId="0051CA34"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II. La falta de respuesta a las solicitudes de información en los plazos señalados en la normatividad aplicable;</w:t>
      </w:r>
    </w:p>
    <w:p w14:paraId="5CC6DC9E"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III. a XXI. …</w:t>
      </w:r>
    </w:p>
    <w:p w14:paraId="540A8E4A"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4017C88" w14:textId="77777777" w:rsidR="00515F0B" w:rsidRPr="002A11A1" w:rsidRDefault="00515F0B" w:rsidP="00F00356">
      <w:pPr>
        <w:tabs>
          <w:tab w:val="left" w:pos="284"/>
        </w:tabs>
        <w:contextualSpacing/>
        <w:jc w:val="both"/>
        <w:rPr>
          <w:rFonts w:ascii="Palatino Linotype" w:hAnsi="Palatino Linotype"/>
          <w:i/>
          <w:iCs/>
          <w:color w:val="000000" w:themeColor="text1"/>
        </w:rPr>
      </w:pPr>
    </w:p>
    <w:p w14:paraId="38134A78"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Artículo 59. Los servidores públicos habilitados tendrán las funciones siguientes:</w:t>
      </w:r>
    </w:p>
    <w:p w14:paraId="571CA7FF" w14:textId="77777777" w:rsidR="00515F0B" w:rsidRPr="002A11A1" w:rsidRDefault="00515F0B" w:rsidP="00F00356">
      <w:pPr>
        <w:tabs>
          <w:tab w:val="left" w:pos="284"/>
        </w:tabs>
        <w:contextualSpacing/>
        <w:jc w:val="both"/>
        <w:rPr>
          <w:rFonts w:ascii="Palatino Linotype" w:hAnsi="Palatino Linotype"/>
          <w:i/>
          <w:iCs/>
          <w:color w:val="000000" w:themeColor="text1"/>
        </w:rPr>
      </w:pPr>
    </w:p>
    <w:p w14:paraId="0165C9A4"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 xml:space="preserve">I. Localizar la información que le solicite la Unidad de Transparencia; </w:t>
      </w:r>
    </w:p>
    <w:p w14:paraId="38F5508D"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II. Proporcionar la información que obre en los archivos y que le sea solicitada por la Unidad de Transparencia;</w:t>
      </w:r>
    </w:p>
    <w:p w14:paraId="361FFF00" w14:textId="77777777" w:rsidR="00515F0B" w:rsidRPr="002A11A1" w:rsidRDefault="00515F0B" w:rsidP="00F00356">
      <w:pPr>
        <w:tabs>
          <w:tab w:val="left" w:pos="284"/>
        </w:tabs>
        <w:contextualSpacing/>
        <w:jc w:val="both"/>
        <w:rPr>
          <w:rFonts w:ascii="Palatino Linotype" w:hAnsi="Palatino Linotype"/>
          <w:i/>
          <w:iCs/>
          <w:color w:val="000000" w:themeColor="text1"/>
        </w:rPr>
      </w:pPr>
      <w:r w:rsidRPr="002A11A1">
        <w:rPr>
          <w:rFonts w:ascii="Palatino Linotype" w:hAnsi="Palatino Linotype"/>
          <w:i/>
          <w:iCs/>
          <w:color w:val="000000" w:themeColor="text1"/>
        </w:rPr>
        <w:t>III. a VII. …”</w:t>
      </w:r>
    </w:p>
    <w:p w14:paraId="048676C6" w14:textId="77777777" w:rsidR="00515F0B" w:rsidRPr="002A11A1" w:rsidRDefault="00515F0B" w:rsidP="00F00356">
      <w:pPr>
        <w:tabs>
          <w:tab w:val="left" w:pos="284"/>
        </w:tabs>
        <w:spacing w:line="360" w:lineRule="auto"/>
        <w:contextualSpacing/>
        <w:jc w:val="both"/>
        <w:rPr>
          <w:rFonts w:ascii="Palatino Linotype" w:eastAsiaTheme="minorEastAsia" w:hAnsi="Palatino Linotype" w:cs="Arial"/>
          <w:i/>
          <w:iCs/>
          <w:color w:val="000000" w:themeColor="text1"/>
        </w:rPr>
      </w:pPr>
    </w:p>
    <w:p w14:paraId="35874041"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Arial"/>
          <w:color w:val="000000" w:themeColor="text1"/>
        </w:rPr>
      </w:pPr>
      <w:r w:rsidRPr="002A11A1">
        <w:rPr>
          <w:rFonts w:ascii="Palatino Linotype" w:eastAsiaTheme="minorEastAsia" w:hAnsi="Palatino Linotype" w:cs="Arial"/>
          <w:color w:val="000000" w:themeColor="text1"/>
        </w:rPr>
        <w:t xml:space="preserve">Las Unidades de Transparencia cuando reciben solicitudes deben identificar la información solicitada, a efecto de realizar el turno a las áreas que de acuerdo a sus </w:t>
      </w:r>
      <w:r w:rsidRPr="002A11A1">
        <w:rPr>
          <w:rFonts w:ascii="Palatino Linotype" w:eastAsiaTheme="minorEastAsia" w:hAnsi="Palatino Linotype" w:cs="Arial"/>
          <w:color w:val="000000" w:themeColor="text1"/>
        </w:rPr>
        <w:lastRenderedPageBreak/>
        <w:t xml:space="preserve">atribuciones, </w:t>
      </w:r>
      <w:r w:rsidRPr="002A11A1">
        <w:rPr>
          <w:rFonts w:ascii="Palatino Linotype" w:eastAsia="Palatino Linotype" w:hAnsi="Palatino Linotype" w:cs="Palatino Linotype"/>
          <w:color w:val="000000" w:themeColor="text1"/>
        </w:rPr>
        <w:t>facultades</w:t>
      </w:r>
      <w:r w:rsidRPr="002A11A1">
        <w:rPr>
          <w:rFonts w:ascii="Palatino Linotype" w:eastAsiaTheme="minorEastAsia" w:hAnsi="Palatino Linotype" w:cs="Arial"/>
          <w:color w:val="000000" w:themeColor="text1"/>
        </w:rPr>
        <w:t xml:space="preserve"> y competencias deban generar, administrar y/o poseer lo requerido; para que, a su vez, realicen la búsqueda exhaustiva y razonable y entreguen los documentos necesarios para generar la respuesta y proporcionarla al recurrente.</w:t>
      </w:r>
    </w:p>
    <w:p w14:paraId="20B8CB8A" w14:textId="77777777" w:rsidR="00515F0B" w:rsidRPr="002A11A1" w:rsidRDefault="00515F0B" w:rsidP="00F00356">
      <w:pPr>
        <w:tabs>
          <w:tab w:val="left" w:pos="284"/>
        </w:tabs>
        <w:spacing w:line="360" w:lineRule="auto"/>
        <w:jc w:val="both"/>
        <w:rPr>
          <w:rFonts w:ascii="Palatino Linotype" w:eastAsiaTheme="minorEastAsia" w:hAnsi="Palatino Linotype" w:cs="Arial"/>
          <w:color w:val="000000" w:themeColor="text1"/>
        </w:rPr>
      </w:pPr>
    </w:p>
    <w:p w14:paraId="6C65435F"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Arial"/>
          <w:color w:val="000000" w:themeColor="text1"/>
        </w:rPr>
      </w:pPr>
      <w:r w:rsidRPr="002A11A1">
        <w:rPr>
          <w:rFonts w:ascii="Palatino Linotype" w:eastAsiaTheme="minorEastAsia" w:hAnsi="Palatino Linotype" w:cs="Arial"/>
          <w:color w:val="000000" w:themeColor="text1"/>
        </w:rPr>
        <w:t xml:space="preserve">La omisión a las obligaciones, tanto del Titular de la Unidad de Transparencia como de los </w:t>
      </w:r>
      <w:r w:rsidRPr="002A11A1">
        <w:rPr>
          <w:rFonts w:ascii="Palatino Linotype" w:eastAsia="Palatino Linotype" w:hAnsi="Palatino Linotype" w:cs="Palatino Linotype"/>
          <w:color w:val="000000" w:themeColor="text1"/>
        </w:rPr>
        <w:t>servidores</w:t>
      </w:r>
      <w:r w:rsidRPr="002A11A1">
        <w:rPr>
          <w:rFonts w:ascii="Palatino Linotype" w:eastAsiaTheme="minorEastAsia" w:hAnsi="Palatino Linotype" w:cs="Arial"/>
          <w:color w:val="000000" w:themeColor="text1"/>
        </w:rPr>
        <w:t xml:space="preserve"> públicos habilitados puede causar la suspensión, deficiencia o la falta de respuesta a las solicitudes de acceso a la información que formulen los particulares, siendo esto una causa de responsabilidad.</w:t>
      </w:r>
    </w:p>
    <w:p w14:paraId="03D69657" w14:textId="77777777" w:rsidR="00515F0B" w:rsidRPr="002A11A1" w:rsidRDefault="00515F0B" w:rsidP="00F00356">
      <w:pPr>
        <w:tabs>
          <w:tab w:val="left" w:pos="284"/>
        </w:tabs>
        <w:spacing w:line="360" w:lineRule="auto"/>
        <w:jc w:val="both"/>
        <w:rPr>
          <w:rFonts w:ascii="Palatino Linotype" w:eastAsiaTheme="minorEastAsia" w:hAnsi="Palatino Linotype" w:cs="Arial"/>
          <w:color w:val="000000" w:themeColor="text1"/>
        </w:rPr>
      </w:pPr>
    </w:p>
    <w:p w14:paraId="5A5240C6"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Arial"/>
          <w:color w:val="000000" w:themeColor="text1"/>
        </w:rPr>
      </w:pPr>
      <w:r w:rsidRPr="002A11A1">
        <w:rPr>
          <w:rFonts w:ascii="Palatino Linotype" w:eastAsiaTheme="minorEastAsia" w:hAnsi="Palatino Linotype" w:cs="Arial"/>
          <w:color w:val="000000" w:themeColor="text1"/>
        </w:rPr>
        <w:t xml:space="preserve">En el presente asunto en particular, se tiene que el Titular de la Unidad de </w:t>
      </w:r>
      <w:r w:rsidRPr="002A11A1">
        <w:rPr>
          <w:rFonts w:ascii="Palatino Linotype" w:eastAsia="Palatino Linotype" w:hAnsi="Palatino Linotype" w:cs="Palatino Linotype"/>
          <w:color w:val="000000" w:themeColor="text1"/>
        </w:rPr>
        <w:t>Transparencia</w:t>
      </w:r>
      <w:r w:rsidRPr="002A11A1">
        <w:rPr>
          <w:rFonts w:ascii="Palatino Linotype" w:eastAsiaTheme="minorEastAsia" w:hAnsi="Palatino Linotype" w:cs="Arial"/>
          <w:color w:val="000000" w:themeColor="text1"/>
        </w:rPr>
        <w:t xml:space="preserve"> no turnó la solicitud al Servidor Público Habilitado.</w:t>
      </w:r>
    </w:p>
    <w:p w14:paraId="208BDC79" w14:textId="77777777" w:rsidR="00515F0B" w:rsidRPr="002A11A1" w:rsidRDefault="00515F0B" w:rsidP="00F00356">
      <w:pPr>
        <w:pBdr>
          <w:top w:val="nil"/>
          <w:left w:val="nil"/>
          <w:bottom w:val="nil"/>
          <w:right w:val="nil"/>
          <w:between w:val="nil"/>
        </w:pBdr>
        <w:tabs>
          <w:tab w:val="left" w:pos="0"/>
        </w:tabs>
        <w:spacing w:line="360" w:lineRule="auto"/>
        <w:jc w:val="both"/>
        <w:rPr>
          <w:rFonts w:ascii="Palatino Linotype" w:eastAsiaTheme="minorEastAsia" w:hAnsi="Palatino Linotype" w:cs="Arial"/>
          <w:color w:val="000000" w:themeColor="text1"/>
        </w:rPr>
      </w:pPr>
    </w:p>
    <w:p w14:paraId="3095E10E"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EastAsia" w:hAnsi="Palatino Linotype" w:cstheme="minorBidi"/>
          <w:color w:val="000000" w:themeColor="text1"/>
        </w:rPr>
      </w:pPr>
      <w:r w:rsidRPr="002A11A1">
        <w:rPr>
          <w:rFonts w:ascii="Palatino Linotype" w:hAnsi="Palatino Linotype" w:cs="Arial"/>
          <w:color w:val="000000" w:themeColor="text1"/>
        </w:rPr>
        <w:t>Se tiene que el Titular de la Unidad de Transparencia incumplió con sus funciones, atribuciones y competencias, al no dar trámite a la solicitud, lo cual tuvo como consecuencia la falta de respuesta a ambas solicitudes.</w:t>
      </w:r>
    </w:p>
    <w:p w14:paraId="00E79A6D" w14:textId="77777777" w:rsidR="00515F0B" w:rsidRPr="002A11A1" w:rsidRDefault="00515F0B" w:rsidP="00F00356">
      <w:pPr>
        <w:pStyle w:val="Prrafodelista"/>
        <w:ind w:left="0"/>
        <w:rPr>
          <w:rFonts w:ascii="Palatino Linotype" w:eastAsiaTheme="minorEastAsia" w:hAnsi="Palatino Linotype" w:cstheme="minorBidi"/>
          <w:color w:val="000000" w:themeColor="text1"/>
        </w:rPr>
      </w:pPr>
    </w:p>
    <w:p w14:paraId="5A81F056" w14:textId="77777777" w:rsidR="00515F0B" w:rsidRPr="002A11A1" w:rsidRDefault="00515F0B"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A11A1">
        <w:rPr>
          <w:rFonts w:ascii="Palatino Linotype" w:hAnsi="Palatino Linotype"/>
          <w:color w:val="000000" w:themeColor="text1"/>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Pr="002A11A1">
        <w:rPr>
          <w:rFonts w:ascii="Palatino Linotype" w:eastAsia="MS Gothic" w:hAnsi="Palatino Linotype" w:cstheme="majorBidi"/>
          <w:color w:val="000000" w:themeColor="text1"/>
        </w:rPr>
        <w:t xml:space="preserve">órgano interno de </w:t>
      </w:r>
      <w:r w:rsidRPr="002A11A1">
        <w:rPr>
          <w:rFonts w:ascii="Palatino Linotype" w:eastAsia="Palatino Linotype" w:hAnsi="Palatino Linotype" w:cs="Palatino Linotype"/>
          <w:color w:val="000000" w:themeColor="text1"/>
        </w:rPr>
        <w:t>control</w:t>
      </w:r>
      <w:r w:rsidRPr="002A11A1">
        <w:rPr>
          <w:rFonts w:ascii="Palatino Linotype" w:eastAsia="MS Gothic" w:hAnsi="Palatino Linotype" w:cstheme="majorBidi"/>
          <w:color w:val="000000" w:themeColor="text1"/>
        </w:rPr>
        <w:t xml:space="preserve"> </w:t>
      </w:r>
      <w:r w:rsidRPr="002A11A1">
        <w:rPr>
          <w:rFonts w:ascii="Palatino Linotype" w:hAnsi="Palatino Linotype"/>
          <w:color w:val="000000" w:themeColor="text1"/>
        </w:rPr>
        <w:t>competente, para que inicie, en su caso, el procedimiento de responsabilidad respectivo.</w:t>
      </w:r>
    </w:p>
    <w:p w14:paraId="45EDF480" w14:textId="77777777" w:rsidR="00A82033" w:rsidRDefault="00A82033"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7FE9983" w14:textId="77777777" w:rsidR="00D422E9" w:rsidRDefault="00D422E9"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D54221C" w14:textId="77777777" w:rsidR="00D422E9" w:rsidRPr="00F00356" w:rsidRDefault="00D422E9" w:rsidP="00F0035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4C9A37F" w14:textId="77777777" w:rsidR="00A82033" w:rsidRPr="00F00356" w:rsidRDefault="00515F0B"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lastRenderedPageBreak/>
        <w:t>SEXTO</w:t>
      </w:r>
      <w:r w:rsidR="00E64F74" w:rsidRPr="00F00356">
        <w:rPr>
          <w:rFonts w:ascii="Palatino Linotype" w:eastAsia="Palatino Linotype" w:hAnsi="Palatino Linotype" w:cs="Palatino Linotype"/>
          <w:b/>
          <w:color w:val="000000" w:themeColor="text1"/>
        </w:rPr>
        <w:t>. De la versión pública.</w:t>
      </w:r>
    </w:p>
    <w:p w14:paraId="3FDD4916" w14:textId="77777777" w:rsidR="00A82033" w:rsidRPr="00F00356" w:rsidRDefault="00E64F74" w:rsidP="00F00356">
      <w:pPr>
        <w:pStyle w:val="Ttulo1"/>
        <w:numPr>
          <w:ilvl w:val="0"/>
          <w:numId w:val="2"/>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1" w:name="_heading=h.4hm3vlrjjcw2" w:colFirst="0" w:colLast="0"/>
      <w:bookmarkEnd w:id="11"/>
      <w:r w:rsidRPr="00F00356">
        <w:rPr>
          <w:rFonts w:ascii="Palatino Linotype" w:eastAsia="Palatino Linotype" w:hAnsi="Palatino Linotype" w:cs="Palatino Linotype"/>
          <w:b/>
          <w:color w:val="000000" w:themeColor="text1"/>
          <w:sz w:val="24"/>
          <w:szCs w:val="24"/>
        </w:rPr>
        <w:t xml:space="preserve">Nociones generales. </w:t>
      </w:r>
    </w:p>
    <w:p w14:paraId="4D8DBD2F"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Debe destacarse que, debido a la naturaleza de la información solicitada,</w:t>
      </w:r>
      <w:r w:rsidRPr="00F00356">
        <w:rPr>
          <w:rFonts w:ascii="Palatino Linotype" w:eastAsia="Palatino Linotype" w:hAnsi="Palatino Linotype" w:cs="Palatino Linotype"/>
          <w:b/>
          <w:color w:val="000000" w:themeColor="text1"/>
        </w:rPr>
        <w:t xml:space="preserve"> </w:t>
      </w:r>
      <w:r w:rsidRPr="00F00356">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F00356">
        <w:rPr>
          <w:rFonts w:ascii="Palatino Linotype" w:eastAsia="Palatino Linotype" w:hAnsi="Palatino Linotype" w:cs="Palatino Linotype"/>
          <w:b/>
          <w:color w:val="000000" w:themeColor="text1"/>
        </w:rPr>
        <w:t xml:space="preserve">Sujeto Obligado </w:t>
      </w:r>
      <w:r w:rsidRPr="00F0035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19F8E96" w14:textId="77777777" w:rsidR="00A82033" w:rsidRPr="00F00356" w:rsidRDefault="00A82033" w:rsidP="00F00356">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712DFA83"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No pasa desapercibido para este Órgano Garante que los </w:t>
      </w:r>
      <w:r w:rsidRPr="00F00356">
        <w:rPr>
          <w:rFonts w:ascii="Palatino Linotype" w:eastAsia="Palatino Linotype" w:hAnsi="Palatino Linotype" w:cs="Palatino Linotype"/>
          <w:b/>
          <w:color w:val="000000" w:themeColor="text1"/>
        </w:rPr>
        <w:t xml:space="preserve">Sujetos Obligados </w:t>
      </w:r>
      <w:r w:rsidRPr="00F0035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BF0749F"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color w:val="000000" w:themeColor="text1"/>
        </w:rPr>
      </w:pPr>
    </w:p>
    <w:tbl>
      <w:tblPr>
        <w:tblStyle w:val="a1"/>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2"/>
        <w:gridCol w:w="6945"/>
      </w:tblGrid>
      <w:tr w:rsidR="00F00356" w:rsidRPr="00F00356" w14:paraId="7B8B0E94" w14:textId="77777777" w:rsidTr="00D422E9">
        <w:tc>
          <w:tcPr>
            <w:tcW w:w="2552" w:type="dxa"/>
            <w:tcBorders>
              <w:top w:val="single" w:sz="4" w:space="0" w:color="BFBFBF"/>
              <w:left w:val="single" w:sz="4" w:space="0" w:color="BFBFBF"/>
              <w:bottom w:val="single" w:sz="4" w:space="0" w:color="BFBFBF"/>
              <w:right w:val="single" w:sz="4" w:space="0" w:color="BFBFBF"/>
            </w:tcBorders>
          </w:tcPr>
          <w:p w14:paraId="22B6A326" w14:textId="77777777" w:rsidR="00A82033" w:rsidRPr="00F00356" w:rsidRDefault="00E64F74" w:rsidP="00F00356">
            <w:pPr>
              <w:tabs>
                <w:tab w:val="left" w:pos="284"/>
              </w:tabs>
              <w:spacing w:line="360" w:lineRule="auto"/>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 Requisitos previos.</w:t>
            </w:r>
          </w:p>
        </w:tc>
        <w:tc>
          <w:tcPr>
            <w:tcW w:w="6945" w:type="dxa"/>
            <w:tcBorders>
              <w:top w:val="single" w:sz="4" w:space="0" w:color="BFBFBF"/>
              <w:left w:val="single" w:sz="4" w:space="0" w:color="BFBFBF"/>
              <w:bottom w:val="single" w:sz="4" w:space="0" w:color="BFBFBF"/>
              <w:right w:val="single" w:sz="4" w:space="0" w:color="BFBFBF"/>
            </w:tcBorders>
          </w:tcPr>
          <w:p w14:paraId="539DA2CC"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17B5C93"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549B65E4"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68A0CAA5"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0035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0035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00356" w:rsidRPr="00F00356" w14:paraId="3EF53165" w14:textId="77777777" w:rsidTr="00D422E9">
        <w:tc>
          <w:tcPr>
            <w:tcW w:w="2552" w:type="dxa"/>
            <w:tcBorders>
              <w:top w:val="single" w:sz="4" w:space="0" w:color="BFBFBF"/>
              <w:left w:val="single" w:sz="4" w:space="0" w:color="BFBFBF"/>
              <w:bottom w:val="single" w:sz="4" w:space="0" w:color="BFBFBF"/>
              <w:right w:val="single" w:sz="4" w:space="0" w:color="BFBFBF"/>
            </w:tcBorders>
          </w:tcPr>
          <w:p w14:paraId="20BB4086" w14:textId="77777777" w:rsidR="00A82033" w:rsidRPr="00F00356" w:rsidRDefault="00E64F74" w:rsidP="00F00356">
            <w:pPr>
              <w:tabs>
                <w:tab w:val="left" w:pos="284"/>
              </w:tabs>
              <w:spacing w:line="360" w:lineRule="auto"/>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b) Supuestos de clasificación.</w:t>
            </w:r>
          </w:p>
        </w:tc>
        <w:tc>
          <w:tcPr>
            <w:tcW w:w="6945" w:type="dxa"/>
            <w:tcBorders>
              <w:top w:val="single" w:sz="4" w:space="0" w:color="BFBFBF"/>
              <w:left w:val="single" w:sz="4" w:space="0" w:color="BFBFBF"/>
              <w:bottom w:val="single" w:sz="4" w:space="0" w:color="BFBFBF"/>
              <w:right w:val="single" w:sz="4" w:space="0" w:color="BFBFBF"/>
            </w:tcBorders>
          </w:tcPr>
          <w:p w14:paraId="4AA718CA"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76EDB7F"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E75002"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w:t>
            </w:r>
            <w:r w:rsidRPr="00F00356">
              <w:rPr>
                <w:rFonts w:ascii="Palatino Linotype" w:eastAsia="Palatino Linotype" w:hAnsi="Palatino Linotype" w:cs="Palatino Linotype"/>
                <w:b/>
                <w:color w:val="000000" w:themeColor="text1"/>
              </w:rPr>
              <w:t>Sujeto Obligado</w:t>
            </w:r>
            <w:r w:rsidRPr="00F00356">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F00356">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F00356" w:rsidRPr="00F00356" w14:paraId="1E6FECB3" w14:textId="77777777" w:rsidTr="00D422E9">
        <w:tc>
          <w:tcPr>
            <w:tcW w:w="2552" w:type="dxa"/>
            <w:tcBorders>
              <w:top w:val="single" w:sz="4" w:space="0" w:color="BFBFBF"/>
              <w:left w:val="single" w:sz="4" w:space="0" w:color="BFBFBF"/>
              <w:bottom w:val="single" w:sz="4" w:space="0" w:color="BFBFBF"/>
              <w:right w:val="single" w:sz="4" w:space="0" w:color="BFBFBF"/>
            </w:tcBorders>
          </w:tcPr>
          <w:p w14:paraId="5F74D345" w14:textId="77777777" w:rsidR="00A82033" w:rsidRPr="00F00356" w:rsidRDefault="00E64F74" w:rsidP="00F00356">
            <w:pPr>
              <w:tabs>
                <w:tab w:val="left" w:pos="284"/>
              </w:tabs>
              <w:spacing w:line="360" w:lineRule="auto"/>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c) Formalidades para emitir el acuerdo de clasificación.</w:t>
            </w:r>
          </w:p>
        </w:tc>
        <w:tc>
          <w:tcPr>
            <w:tcW w:w="6945" w:type="dxa"/>
            <w:tcBorders>
              <w:top w:val="single" w:sz="4" w:space="0" w:color="BFBFBF"/>
              <w:left w:val="single" w:sz="4" w:space="0" w:color="BFBFBF"/>
              <w:bottom w:val="single" w:sz="4" w:space="0" w:color="BFBFBF"/>
              <w:right w:val="single" w:sz="4" w:space="0" w:color="BFBFBF"/>
            </w:tcBorders>
          </w:tcPr>
          <w:p w14:paraId="1FD9E745"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589F672"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Es necesario que </w:t>
            </w:r>
            <w:r w:rsidRPr="00F00356">
              <w:rPr>
                <w:rFonts w:ascii="Palatino Linotype" w:eastAsia="Palatino Linotype" w:hAnsi="Palatino Linotype" w:cs="Palatino Linotype"/>
                <w:b/>
                <w:color w:val="000000" w:themeColor="text1"/>
                <w:u w:val="single"/>
              </w:rPr>
              <w:t>el acto reúna con los requisitos elementales</w:t>
            </w:r>
            <w:r w:rsidRPr="00F00356">
              <w:rPr>
                <w:rFonts w:ascii="Palatino Linotype" w:eastAsia="Palatino Linotype" w:hAnsi="Palatino Linotype" w:cs="Palatino Linotype"/>
                <w:color w:val="000000" w:themeColor="text1"/>
              </w:rPr>
              <w:t>, entre ellos, que la autoridad que va a emitir el acto de autoridad sea la legalmente facultada para ello.</w:t>
            </w:r>
          </w:p>
          <w:p w14:paraId="18C0259E"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00356" w:rsidRPr="00F00356" w14:paraId="2180AC88" w14:textId="77777777" w:rsidTr="00D422E9">
        <w:tc>
          <w:tcPr>
            <w:tcW w:w="2552" w:type="dxa"/>
            <w:tcBorders>
              <w:top w:val="single" w:sz="4" w:space="0" w:color="BFBFBF"/>
              <w:left w:val="single" w:sz="4" w:space="0" w:color="BFBFBF"/>
              <w:bottom w:val="single" w:sz="4" w:space="0" w:color="BFBFBF"/>
              <w:right w:val="single" w:sz="4" w:space="0" w:color="BFBFBF"/>
            </w:tcBorders>
          </w:tcPr>
          <w:p w14:paraId="46D861C0" w14:textId="77777777" w:rsidR="00A82033" w:rsidRPr="00F00356" w:rsidRDefault="00A82033" w:rsidP="00F00356">
            <w:pPr>
              <w:tabs>
                <w:tab w:val="left" w:pos="284"/>
              </w:tabs>
              <w:spacing w:line="360" w:lineRule="auto"/>
              <w:rPr>
                <w:rFonts w:ascii="Palatino Linotype" w:eastAsia="Palatino Linotype" w:hAnsi="Palatino Linotype" w:cs="Palatino Linotype"/>
                <w:color w:val="000000" w:themeColor="text1"/>
              </w:rPr>
            </w:pPr>
          </w:p>
          <w:p w14:paraId="762ACA9A"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 Requisitos de fondo del acuerdo de clasificación. </w:t>
            </w:r>
          </w:p>
        </w:tc>
        <w:tc>
          <w:tcPr>
            <w:tcW w:w="6945" w:type="dxa"/>
            <w:tcBorders>
              <w:top w:val="single" w:sz="4" w:space="0" w:color="BFBFBF"/>
              <w:left w:val="single" w:sz="4" w:space="0" w:color="BFBFBF"/>
              <w:bottom w:val="single" w:sz="4" w:space="0" w:color="BFBFBF"/>
              <w:right w:val="single" w:sz="4" w:space="0" w:color="BFBFBF"/>
            </w:tcBorders>
          </w:tcPr>
          <w:p w14:paraId="62AB7D90"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F00356">
              <w:rPr>
                <w:rFonts w:ascii="Palatino Linotype" w:eastAsia="Palatino Linotype" w:hAnsi="Palatino Linotype" w:cs="Palatino Linotype"/>
                <w:color w:val="000000" w:themeColor="text1"/>
              </w:rPr>
              <w:lastRenderedPageBreak/>
              <w:t xml:space="preserve">prueba, para justificar las restricciones, corresponde a los </w:t>
            </w:r>
            <w:r w:rsidRPr="00F00356">
              <w:rPr>
                <w:rFonts w:ascii="Palatino Linotype" w:eastAsia="Palatino Linotype" w:hAnsi="Palatino Linotype" w:cs="Palatino Linotype"/>
                <w:b/>
                <w:color w:val="000000" w:themeColor="text1"/>
              </w:rPr>
              <w:t>Sujetos Obligados</w:t>
            </w:r>
            <w:r w:rsidRPr="00F00356">
              <w:rPr>
                <w:rFonts w:ascii="Palatino Linotype" w:eastAsia="Palatino Linotype" w:hAnsi="Palatino Linotype" w:cs="Palatino Linotype"/>
                <w:color w:val="000000" w:themeColor="text1"/>
              </w:rPr>
              <w:t xml:space="preserve">, por lo que deberán fundar y motivar debidamente la clasificación. </w:t>
            </w:r>
          </w:p>
          <w:p w14:paraId="67FCF4D2"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De lo anterior, se desprende que para una correcta </w:t>
            </w:r>
            <w:r w:rsidRPr="00F00356">
              <w:rPr>
                <w:rFonts w:ascii="Palatino Linotype" w:eastAsia="Palatino Linotype" w:hAnsi="Palatino Linotype" w:cs="Palatino Linotype"/>
                <w:b/>
                <w:color w:val="000000" w:themeColor="text1"/>
              </w:rPr>
              <w:t>clasificación total o parcial</w:t>
            </w:r>
            <w:r w:rsidRPr="00F0035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E4911A0"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4361234"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964F7BC"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Ahora bien, </w:t>
            </w:r>
            <w:r w:rsidRPr="00F00356">
              <w:rPr>
                <w:rFonts w:ascii="Palatino Linotype" w:eastAsia="Palatino Linotype" w:hAnsi="Palatino Linotype" w:cs="Palatino Linotype"/>
                <w:b/>
                <w:color w:val="000000" w:themeColor="text1"/>
                <w:u w:val="single"/>
              </w:rPr>
              <w:t>para cada caso además de fundar y motivar</w:t>
            </w:r>
            <w:r w:rsidRPr="00F00356">
              <w:rPr>
                <w:rFonts w:ascii="Palatino Linotype" w:eastAsia="Palatino Linotype" w:hAnsi="Palatino Linotype" w:cs="Palatino Linotype"/>
                <w:color w:val="000000" w:themeColor="text1"/>
              </w:rPr>
              <w:t xml:space="preserve">, se debe identificar con claridad que datos contenidos en las </w:t>
            </w:r>
            <w:r w:rsidRPr="00F00356">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82033" w:rsidRPr="00F00356" w14:paraId="52549723" w14:textId="77777777" w:rsidTr="00D422E9">
        <w:tc>
          <w:tcPr>
            <w:tcW w:w="2552" w:type="dxa"/>
            <w:tcBorders>
              <w:top w:val="single" w:sz="4" w:space="0" w:color="BFBFBF"/>
              <w:left w:val="single" w:sz="4" w:space="0" w:color="BFBFBF"/>
              <w:bottom w:val="single" w:sz="4" w:space="0" w:color="BFBFBF"/>
              <w:right w:val="single" w:sz="4" w:space="0" w:color="BFBFBF"/>
            </w:tcBorders>
          </w:tcPr>
          <w:p w14:paraId="6067B0F3"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Borders>
              <w:top w:val="single" w:sz="4" w:space="0" w:color="BFBFBF"/>
              <w:left w:val="single" w:sz="4" w:space="0" w:color="BFBFBF"/>
              <w:bottom w:val="single" w:sz="4" w:space="0" w:color="BFBFBF"/>
              <w:right w:val="single" w:sz="4" w:space="0" w:color="BFBFBF"/>
            </w:tcBorders>
          </w:tcPr>
          <w:p w14:paraId="04FC486D"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D733186"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73FB6CD" w14:textId="77777777" w:rsidR="00A82033" w:rsidRPr="00F00356" w:rsidRDefault="00E64F74" w:rsidP="00F00356">
            <w:pPr>
              <w:tabs>
                <w:tab w:val="left" w:pos="284"/>
              </w:tabs>
              <w:spacing w:line="360" w:lineRule="auto"/>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236EA31" w14:textId="77777777" w:rsidR="00A82033" w:rsidRPr="00F00356" w:rsidRDefault="00A82033" w:rsidP="00F00356">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5FC3106C"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F00356">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14:paraId="5959E908" w14:textId="77777777" w:rsidR="00A82033" w:rsidRPr="00F00356" w:rsidRDefault="00A82033" w:rsidP="00F00356">
      <w:pPr>
        <w:pBdr>
          <w:top w:val="nil"/>
          <w:left w:val="nil"/>
          <w:bottom w:val="nil"/>
          <w:right w:val="nil"/>
          <w:between w:val="nil"/>
        </w:pBdr>
        <w:rPr>
          <w:rFonts w:ascii="Palatino Linotype" w:eastAsia="Palatino Linotype" w:hAnsi="Palatino Linotype" w:cs="Palatino Linotype"/>
          <w:color w:val="000000" w:themeColor="text1"/>
        </w:rPr>
      </w:pPr>
    </w:p>
    <w:p w14:paraId="694DC407" w14:textId="77777777" w:rsidR="00A82033" w:rsidRPr="00F00356" w:rsidRDefault="00E64F74" w:rsidP="00F0035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Por lo anteriormente expuesto y fundado, este </w:t>
      </w:r>
      <w:r w:rsidRPr="00F00356">
        <w:rPr>
          <w:rFonts w:ascii="Palatino Linotype" w:eastAsia="Palatino Linotype" w:hAnsi="Palatino Linotype" w:cs="Palatino Linotype"/>
          <w:b/>
          <w:color w:val="000000" w:themeColor="text1"/>
        </w:rPr>
        <w:t>ÓRGANO GARANTE</w:t>
      </w:r>
      <w:r w:rsidRPr="00F00356">
        <w:rPr>
          <w:rFonts w:ascii="Palatino Linotype" w:eastAsia="Palatino Linotype" w:hAnsi="Palatino Linotype" w:cs="Palatino Linotype"/>
          <w:color w:val="000000" w:themeColor="text1"/>
        </w:rPr>
        <w:t xml:space="preserve"> emite los siguientes:</w:t>
      </w:r>
    </w:p>
    <w:p w14:paraId="67661E80" w14:textId="77777777" w:rsidR="00A82033" w:rsidRPr="00F00356" w:rsidRDefault="00A82033" w:rsidP="00F0035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B85DCF" w14:textId="77777777" w:rsidR="00A82033" w:rsidRPr="00F00356" w:rsidRDefault="00E64F74" w:rsidP="00F00356">
      <w:pPr>
        <w:pStyle w:val="Ttulo1"/>
        <w:jc w:val="center"/>
        <w:rPr>
          <w:rFonts w:ascii="Palatino Linotype" w:eastAsia="Palatino Linotype" w:hAnsi="Palatino Linotype" w:cs="Palatino Linotype"/>
          <w:b/>
          <w:color w:val="000000" w:themeColor="text1"/>
          <w:sz w:val="24"/>
          <w:szCs w:val="24"/>
        </w:rPr>
      </w:pPr>
      <w:bookmarkStart w:id="12" w:name="_heading=h.lnxbz9" w:colFirst="0" w:colLast="0"/>
      <w:bookmarkEnd w:id="12"/>
      <w:r w:rsidRPr="00F00356">
        <w:rPr>
          <w:rFonts w:ascii="Palatino Linotype" w:eastAsia="Palatino Linotype" w:hAnsi="Palatino Linotype" w:cs="Palatino Linotype"/>
          <w:b/>
          <w:color w:val="000000" w:themeColor="text1"/>
          <w:sz w:val="24"/>
          <w:szCs w:val="24"/>
        </w:rPr>
        <w:t>R E S O L U T I V O S</w:t>
      </w:r>
    </w:p>
    <w:p w14:paraId="2BF38AAB"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b/>
          <w:color w:val="000000" w:themeColor="text1"/>
        </w:rPr>
      </w:pPr>
    </w:p>
    <w:p w14:paraId="391B8C00"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b/>
          <w:color w:val="000000" w:themeColor="text1"/>
        </w:rPr>
        <w:t xml:space="preserve">PRIMERO. </w:t>
      </w:r>
      <w:r w:rsidRPr="00F00356">
        <w:rPr>
          <w:rFonts w:ascii="Palatino Linotype" w:eastAsia="Palatino Linotype" w:hAnsi="Palatino Linotype" w:cs="Palatino Linotype"/>
          <w:color w:val="000000" w:themeColor="text1"/>
        </w:rPr>
        <w:t>Resultan fundadas las</w:t>
      </w:r>
      <w:r w:rsidRPr="00F00356">
        <w:rPr>
          <w:rFonts w:ascii="Palatino Linotype" w:eastAsia="Palatino Linotype" w:hAnsi="Palatino Linotype" w:cs="Palatino Linotype"/>
          <w:b/>
          <w:color w:val="000000" w:themeColor="text1"/>
        </w:rPr>
        <w:t xml:space="preserve"> </w:t>
      </w:r>
      <w:r w:rsidRPr="00F00356">
        <w:rPr>
          <w:rFonts w:ascii="Palatino Linotype" w:eastAsia="Palatino Linotype" w:hAnsi="Palatino Linotype" w:cs="Palatino Linotype"/>
          <w:color w:val="000000" w:themeColor="text1"/>
        </w:rPr>
        <w:t xml:space="preserve">razones o motivos de inconformidad hechos valer en el recurso de revisión </w:t>
      </w:r>
      <w:r w:rsidRPr="00F00356">
        <w:rPr>
          <w:rFonts w:ascii="Palatino Linotype" w:eastAsia="Palatino Linotype" w:hAnsi="Palatino Linotype" w:cs="Palatino Linotype"/>
          <w:b/>
          <w:color w:val="000000" w:themeColor="text1"/>
        </w:rPr>
        <w:t xml:space="preserve">05378/INFOEM/IP/RR/2025 </w:t>
      </w:r>
      <w:r w:rsidRPr="00F00356">
        <w:rPr>
          <w:rFonts w:ascii="Palatino Linotype" w:eastAsia="Palatino Linotype" w:hAnsi="Palatino Linotype" w:cs="Palatino Linotype"/>
          <w:color w:val="000000" w:themeColor="text1"/>
        </w:rPr>
        <w:t xml:space="preserve">en términos de los </w:t>
      </w:r>
      <w:r w:rsidRPr="00F00356">
        <w:rPr>
          <w:rFonts w:ascii="Palatino Linotype" w:eastAsia="Palatino Linotype" w:hAnsi="Palatino Linotype" w:cs="Palatino Linotype"/>
          <w:b/>
          <w:color w:val="000000" w:themeColor="text1"/>
        </w:rPr>
        <w:t xml:space="preserve">Considerandos CUARTO y </w:t>
      </w:r>
      <w:r w:rsidR="00515F0B" w:rsidRPr="00F00356">
        <w:rPr>
          <w:rFonts w:ascii="Palatino Linotype" w:eastAsia="Palatino Linotype" w:hAnsi="Palatino Linotype" w:cs="Palatino Linotype"/>
          <w:b/>
          <w:color w:val="000000" w:themeColor="text1"/>
        </w:rPr>
        <w:t xml:space="preserve">SEXTO </w:t>
      </w:r>
      <w:r w:rsidRPr="00F00356">
        <w:rPr>
          <w:rFonts w:ascii="Palatino Linotype" w:eastAsia="Palatino Linotype" w:hAnsi="Palatino Linotype" w:cs="Palatino Linotype"/>
          <w:color w:val="000000" w:themeColor="text1"/>
        </w:rPr>
        <w:t>de la presente resolución.</w:t>
      </w:r>
    </w:p>
    <w:p w14:paraId="70D6B995"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color w:val="000000" w:themeColor="text1"/>
        </w:rPr>
      </w:pPr>
    </w:p>
    <w:p w14:paraId="789A844F" w14:textId="77777777" w:rsidR="00A82033" w:rsidRPr="00F00356" w:rsidRDefault="00E64F74" w:rsidP="00F00356">
      <w:pPr>
        <w:tabs>
          <w:tab w:val="left" w:pos="284"/>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 xml:space="preserve">SEGUNDO. </w:t>
      </w:r>
      <w:r w:rsidRPr="00F00356">
        <w:rPr>
          <w:rFonts w:ascii="Palatino Linotype" w:eastAsia="Palatino Linotype" w:hAnsi="Palatino Linotype" w:cs="Palatino Linotype"/>
          <w:color w:val="000000" w:themeColor="text1"/>
        </w:rPr>
        <w:t xml:space="preserve">Se </w:t>
      </w:r>
      <w:r w:rsidRPr="00F00356">
        <w:rPr>
          <w:rFonts w:ascii="Palatino Linotype" w:eastAsia="Palatino Linotype" w:hAnsi="Palatino Linotype" w:cs="Palatino Linotype"/>
          <w:b/>
          <w:color w:val="000000" w:themeColor="text1"/>
        </w:rPr>
        <w:t xml:space="preserve">ORDENA </w:t>
      </w:r>
      <w:r w:rsidRPr="00F00356">
        <w:rPr>
          <w:rFonts w:ascii="Palatino Linotype" w:eastAsia="Palatino Linotype" w:hAnsi="Palatino Linotype" w:cs="Palatino Linotype"/>
          <w:color w:val="000000" w:themeColor="text1"/>
        </w:rPr>
        <w:t xml:space="preserve">al </w:t>
      </w:r>
      <w:r w:rsidRPr="00F00356">
        <w:rPr>
          <w:rFonts w:ascii="Palatino Linotype" w:eastAsia="Palatino Linotype" w:hAnsi="Palatino Linotype" w:cs="Palatino Linotype"/>
          <w:b/>
          <w:color w:val="000000" w:themeColor="text1"/>
        </w:rPr>
        <w:t xml:space="preserve">Ayuntamiento de Toluca </w:t>
      </w:r>
      <w:r w:rsidRPr="00F00356">
        <w:rPr>
          <w:rFonts w:ascii="Palatino Linotype" w:eastAsia="Palatino Linotype" w:hAnsi="Palatino Linotype" w:cs="Palatino Linotype"/>
          <w:color w:val="000000" w:themeColor="text1"/>
        </w:rPr>
        <w:t xml:space="preserve">entregar vía Sistema de Acceso a la Información Mexiquense </w:t>
      </w:r>
      <w:r w:rsidRPr="00F00356">
        <w:rPr>
          <w:rFonts w:ascii="Palatino Linotype" w:eastAsia="Palatino Linotype" w:hAnsi="Palatino Linotype" w:cs="Palatino Linotype"/>
          <w:b/>
          <w:color w:val="000000" w:themeColor="text1"/>
        </w:rPr>
        <w:t>(SAIMEX)</w:t>
      </w:r>
      <w:r w:rsidRPr="00F00356">
        <w:rPr>
          <w:rFonts w:ascii="Palatino Linotype" w:eastAsia="Palatino Linotype" w:hAnsi="Palatino Linotype" w:cs="Palatino Linotype"/>
          <w:color w:val="000000" w:themeColor="text1"/>
        </w:rPr>
        <w:t xml:space="preserve">, la siguiente información. </w:t>
      </w:r>
    </w:p>
    <w:p w14:paraId="5AD2BC37" w14:textId="77777777" w:rsidR="00A82033" w:rsidRPr="00F00356" w:rsidRDefault="00A82033" w:rsidP="00F00356">
      <w:pPr>
        <w:spacing w:line="360" w:lineRule="auto"/>
        <w:jc w:val="both"/>
        <w:rPr>
          <w:rFonts w:ascii="Palatino Linotype" w:eastAsia="Palatino Linotype" w:hAnsi="Palatino Linotype" w:cs="Palatino Linotype"/>
          <w:b/>
          <w:color w:val="000000" w:themeColor="text1"/>
        </w:rPr>
      </w:pPr>
    </w:p>
    <w:p w14:paraId="618B6B03" w14:textId="77777777" w:rsidR="00A82033" w:rsidRPr="00F00356" w:rsidRDefault="00E64F74" w:rsidP="00F00356">
      <w:pPr>
        <w:numPr>
          <w:ilvl w:val="0"/>
          <w:numId w:val="9"/>
        </w:numPr>
        <w:pBdr>
          <w:top w:val="nil"/>
          <w:left w:val="nil"/>
          <w:bottom w:val="nil"/>
          <w:right w:val="nil"/>
          <w:between w:val="nil"/>
        </w:pBdr>
        <w:spacing w:line="259" w:lineRule="auto"/>
        <w:ind w:left="0" w:firstLine="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 xml:space="preserve">Expedientes completos de las personas nombradas como Defensores Municipales de Derechos Humanos; del nueve de abril de dos mil dieciséis al nueve de abril de dos mil veinticinco; y </w:t>
      </w:r>
    </w:p>
    <w:p w14:paraId="3C95348C" w14:textId="77777777" w:rsidR="00A82033" w:rsidRPr="00F00356" w:rsidRDefault="00A82033" w:rsidP="00F00356">
      <w:pPr>
        <w:pBdr>
          <w:top w:val="nil"/>
          <w:left w:val="nil"/>
          <w:bottom w:val="nil"/>
          <w:right w:val="nil"/>
          <w:between w:val="nil"/>
        </w:pBdr>
        <w:spacing w:line="259" w:lineRule="auto"/>
        <w:jc w:val="both"/>
        <w:rPr>
          <w:rFonts w:ascii="Palatino Linotype" w:eastAsia="Palatino Linotype" w:hAnsi="Palatino Linotype" w:cs="Palatino Linotype"/>
          <w:b/>
          <w:i/>
          <w:color w:val="000000" w:themeColor="text1"/>
        </w:rPr>
      </w:pPr>
    </w:p>
    <w:p w14:paraId="430DAC43" w14:textId="77777777" w:rsidR="00A82033" w:rsidRPr="00F00356" w:rsidRDefault="00E64F74" w:rsidP="00F00356">
      <w:pPr>
        <w:numPr>
          <w:ilvl w:val="0"/>
          <w:numId w:val="9"/>
        </w:numPr>
        <w:pBdr>
          <w:top w:val="nil"/>
          <w:left w:val="nil"/>
          <w:bottom w:val="nil"/>
          <w:right w:val="nil"/>
          <w:between w:val="nil"/>
        </w:pBdr>
        <w:spacing w:line="259" w:lineRule="auto"/>
        <w:ind w:left="0" w:firstLine="0"/>
        <w:jc w:val="both"/>
        <w:rPr>
          <w:rFonts w:ascii="Palatino Linotype" w:eastAsia="Palatino Linotype" w:hAnsi="Palatino Linotype" w:cs="Palatino Linotype"/>
          <w:b/>
          <w:i/>
          <w:color w:val="000000" w:themeColor="text1"/>
        </w:rPr>
      </w:pPr>
      <w:r w:rsidRPr="00F00356">
        <w:rPr>
          <w:rFonts w:ascii="Palatino Linotype" w:eastAsia="Palatino Linotype" w:hAnsi="Palatino Linotype" w:cs="Palatino Linotype"/>
          <w:b/>
          <w:i/>
          <w:color w:val="000000" w:themeColor="text1"/>
        </w:rPr>
        <w:t>Acuerdo emitido por el Comité de Transparencia, por medio del cual se confirme la clasificación, en términos de los artículos 49, fracciones II y VIII, 132, fracción II, 143 y 149 de la Ley de Transparencia y Acceso a la Información Pública del Estado de México y Municipios, de los expedientes de las personas que participaron para ser titular de la Defensoría Municipal de los Derechos Humanos de Toluca, del nueve de abril de dos mil dieciséis al nueve de abril de dos mil veinticinco y que no resultaron elegidos.</w:t>
      </w:r>
    </w:p>
    <w:p w14:paraId="7E96522A" w14:textId="77777777" w:rsidR="00A82033" w:rsidRPr="00F00356" w:rsidRDefault="00A82033" w:rsidP="00F00356">
      <w:pPr>
        <w:pBdr>
          <w:top w:val="nil"/>
          <w:left w:val="nil"/>
          <w:bottom w:val="nil"/>
          <w:right w:val="nil"/>
          <w:between w:val="nil"/>
        </w:pBdr>
        <w:spacing w:line="259" w:lineRule="auto"/>
        <w:jc w:val="both"/>
        <w:rPr>
          <w:rFonts w:ascii="Palatino Linotype" w:eastAsia="Palatino Linotype" w:hAnsi="Palatino Linotype" w:cs="Palatino Linotype"/>
          <w:b/>
          <w:i/>
          <w:color w:val="000000" w:themeColor="text1"/>
        </w:rPr>
      </w:pPr>
    </w:p>
    <w:p w14:paraId="67DB0E91" w14:textId="77777777" w:rsidR="00A82033" w:rsidRPr="00F00356" w:rsidRDefault="00A82033" w:rsidP="00F00356">
      <w:pPr>
        <w:pBdr>
          <w:top w:val="nil"/>
          <w:left w:val="nil"/>
          <w:bottom w:val="nil"/>
          <w:right w:val="nil"/>
          <w:between w:val="nil"/>
        </w:pBdr>
        <w:spacing w:after="160" w:line="259" w:lineRule="auto"/>
        <w:jc w:val="both"/>
        <w:rPr>
          <w:rFonts w:ascii="Palatino Linotype" w:eastAsia="Palatino Linotype" w:hAnsi="Palatino Linotype" w:cs="Palatino Linotype"/>
          <w:b/>
          <w:color w:val="000000" w:themeColor="text1"/>
        </w:rPr>
      </w:pPr>
    </w:p>
    <w:p w14:paraId="59CAAD83" w14:textId="77777777" w:rsidR="00A82033" w:rsidRPr="00F00356" w:rsidRDefault="00E64F74" w:rsidP="00F00356">
      <w:pPr>
        <w:tabs>
          <w:tab w:val="left" w:pos="8080"/>
        </w:tabs>
        <w:spacing w:line="360" w:lineRule="auto"/>
        <w:jc w:val="both"/>
        <w:rPr>
          <w:rFonts w:ascii="Palatino Linotype" w:eastAsia="Palatino Linotype" w:hAnsi="Palatino Linotype" w:cs="Palatino Linotype"/>
          <w:b/>
          <w:color w:val="000000" w:themeColor="text1"/>
        </w:rPr>
      </w:pPr>
      <w:r w:rsidRPr="00F00356">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00356">
        <w:rPr>
          <w:rFonts w:ascii="Palatino Linotype" w:eastAsia="Palatino Linotype" w:hAnsi="Palatino Linotype" w:cs="Palatino Linotype"/>
          <w:b/>
          <w:color w:val="000000" w:themeColor="text1"/>
        </w:rPr>
        <w:t>RECURRENTE.</w:t>
      </w:r>
    </w:p>
    <w:p w14:paraId="4F6F5674" w14:textId="77777777" w:rsidR="00A82033" w:rsidRPr="00F00356" w:rsidRDefault="00A82033" w:rsidP="00F00356">
      <w:pPr>
        <w:tabs>
          <w:tab w:val="left" w:pos="284"/>
        </w:tabs>
        <w:spacing w:line="360" w:lineRule="auto"/>
        <w:jc w:val="both"/>
        <w:rPr>
          <w:rFonts w:ascii="Palatino Linotype" w:eastAsia="Palatino Linotype" w:hAnsi="Palatino Linotype" w:cs="Palatino Linotype"/>
          <w:color w:val="000000" w:themeColor="text1"/>
        </w:rPr>
      </w:pPr>
    </w:p>
    <w:p w14:paraId="7D546E23" w14:textId="77777777" w:rsidR="00A82033" w:rsidRPr="00F00356" w:rsidRDefault="00E64F74" w:rsidP="00F00356">
      <w:pPr>
        <w:tabs>
          <w:tab w:val="left" w:pos="8080"/>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 xml:space="preserve">Para el caso de que la información de los años dos mil dieciséis, dos mil diecisiete, dos mil dieciocho y dos mil diecinueve, no obre en los archivos del </w:t>
      </w:r>
      <w:r w:rsidRPr="00F00356">
        <w:rPr>
          <w:rFonts w:ascii="Palatino Linotype" w:eastAsia="Palatino Linotype" w:hAnsi="Palatino Linotype" w:cs="Palatino Linotype"/>
          <w:b/>
          <w:color w:val="000000" w:themeColor="text1"/>
        </w:rPr>
        <w:t>SUJETO OBLIGADO por haber causado baja documental</w:t>
      </w:r>
      <w:r w:rsidRPr="00F00356">
        <w:rPr>
          <w:rFonts w:ascii="Palatino Linotype" w:eastAsia="Palatino Linotype" w:hAnsi="Palatino Linotype" w:cs="Palatino Linotype"/>
          <w:color w:val="000000" w:themeColor="text1"/>
        </w:rPr>
        <w:t xml:space="preserve"> deberá de emitir el Acuerdo del Comité de Transparencia que manera fundada y motivada sustente la inexistencia de la información, en términos de en términos de los artículos 49, fracciones II y XIII, 169 y 170 de la Ley de Transparencia y Acceso a la Información Pública del Estado de México y Municipios que al respecto emita su Comité de Transparencia, acompañado del acta de baja documental.</w:t>
      </w:r>
    </w:p>
    <w:p w14:paraId="2B12384A" w14:textId="77777777" w:rsidR="00A82033" w:rsidRPr="00F00356" w:rsidRDefault="00A82033" w:rsidP="00F00356">
      <w:pPr>
        <w:tabs>
          <w:tab w:val="left" w:pos="284"/>
          <w:tab w:val="left" w:pos="8080"/>
        </w:tabs>
        <w:spacing w:line="360" w:lineRule="auto"/>
        <w:jc w:val="both"/>
        <w:rPr>
          <w:rFonts w:ascii="Palatino Linotype" w:eastAsia="Palatino Linotype" w:hAnsi="Palatino Linotype" w:cs="Palatino Linotype"/>
          <w:b/>
          <w:color w:val="000000" w:themeColor="text1"/>
        </w:rPr>
      </w:pPr>
    </w:p>
    <w:p w14:paraId="75064738" w14:textId="77777777" w:rsidR="00A82033" w:rsidRPr="00F00356" w:rsidRDefault="00E64F74" w:rsidP="00F00356">
      <w:pPr>
        <w:tabs>
          <w:tab w:val="left" w:pos="284"/>
          <w:tab w:val="left" w:pos="8080"/>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TERCERO. NOTIFÍQUESE</w:t>
      </w:r>
      <w:r w:rsidRPr="00F00356">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00356">
        <w:rPr>
          <w:rFonts w:ascii="Palatino Linotype" w:eastAsia="Palatino Linotype" w:hAnsi="Palatino Linotype" w:cs="Palatino Linotype"/>
          <w:b/>
          <w:color w:val="000000" w:themeColor="text1"/>
        </w:rPr>
        <w:t>dé cumplimiento a lo ordenado dentro del plazo de diez días hábiles</w:t>
      </w:r>
      <w:r w:rsidRPr="00F0035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FAF577" w14:textId="77777777" w:rsidR="00A82033" w:rsidRPr="00F00356" w:rsidRDefault="00E64F74" w:rsidP="00F00356">
      <w:pPr>
        <w:tabs>
          <w:tab w:val="left" w:pos="8080"/>
        </w:tabs>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lastRenderedPageBreak/>
        <w:t xml:space="preserve">CUARTO. </w:t>
      </w:r>
      <w:r w:rsidRPr="00F00356">
        <w:rPr>
          <w:rFonts w:ascii="Palatino Linotype" w:eastAsia="Palatino Linotype" w:hAnsi="Palatino Linotype" w:cs="Palatino Linotype"/>
          <w:color w:val="000000" w:themeColor="text1"/>
        </w:rPr>
        <w:t xml:space="preserve">Notifíquese a </w:t>
      </w:r>
      <w:r w:rsidRPr="00F00356">
        <w:rPr>
          <w:rFonts w:ascii="Palatino Linotype" w:eastAsia="Palatino Linotype" w:hAnsi="Palatino Linotype" w:cs="Palatino Linotype"/>
          <w:b/>
          <w:color w:val="000000" w:themeColor="text1"/>
        </w:rPr>
        <w:t>EL RECURRENTE</w:t>
      </w:r>
      <w:r w:rsidRPr="00F00356">
        <w:rPr>
          <w:rFonts w:ascii="Palatino Linotype" w:eastAsia="Palatino Linotype" w:hAnsi="Palatino Linotype" w:cs="Palatino Linotype"/>
          <w:color w:val="000000" w:themeColor="text1"/>
        </w:rPr>
        <w:t xml:space="preserve"> la presente resolución, vía SAIMEX.</w:t>
      </w:r>
    </w:p>
    <w:p w14:paraId="62A7AAE6" w14:textId="77777777" w:rsidR="00A82033" w:rsidRPr="00F00356" w:rsidRDefault="00A82033" w:rsidP="00F00356">
      <w:pPr>
        <w:shd w:val="clear" w:color="auto" w:fill="FFFFFF"/>
        <w:spacing w:line="360" w:lineRule="auto"/>
        <w:jc w:val="both"/>
        <w:rPr>
          <w:rFonts w:ascii="Palatino Linotype" w:eastAsia="Palatino Linotype" w:hAnsi="Palatino Linotype" w:cs="Palatino Linotype"/>
          <w:color w:val="000000" w:themeColor="text1"/>
        </w:rPr>
      </w:pPr>
    </w:p>
    <w:p w14:paraId="55541D22" w14:textId="77777777" w:rsidR="00A82033" w:rsidRPr="00F00356" w:rsidRDefault="00E64F74" w:rsidP="00F00356">
      <w:pPr>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 xml:space="preserve">QUINTO. Gírese </w:t>
      </w:r>
      <w:r w:rsidRPr="00F00356">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00356">
        <w:rPr>
          <w:rFonts w:ascii="Palatino Linotype" w:eastAsia="Palatino Linotype" w:hAnsi="Palatino Linotype" w:cs="Palatino Linotype"/>
          <w:b/>
          <w:color w:val="000000" w:themeColor="text1"/>
        </w:rPr>
        <w:t>CUARTO</w:t>
      </w:r>
      <w:r w:rsidRPr="00F00356">
        <w:rPr>
          <w:rFonts w:ascii="Palatino Linotype" w:eastAsia="Palatino Linotype" w:hAnsi="Palatino Linotype" w:cs="Palatino Linotype"/>
          <w:color w:val="000000" w:themeColor="text1"/>
        </w:rPr>
        <w:t xml:space="preserve"> de la presente resolución.</w:t>
      </w:r>
    </w:p>
    <w:p w14:paraId="16EE8A8E" w14:textId="77777777" w:rsidR="00A82033" w:rsidRPr="00F00356" w:rsidRDefault="00A82033" w:rsidP="00F00356">
      <w:pPr>
        <w:shd w:val="clear" w:color="auto" w:fill="FFFFFF"/>
        <w:spacing w:line="360" w:lineRule="auto"/>
        <w:jc w:val="both"/>
        <w:rPr>
          <w:rFonts w:ascii="Palatino Linotype" w:eastAsia="Palatino Linotype" w:hAnsi="Palatino Linotype" w:cs="Palatino Linotype"/>
          <w:color w:val="000000" w:themeColor="text1"/>
        </w:rPr>
      </w:pPr>
    </w:p>
    <w:p w14:paraId="58461DF6" w14:textId="77777777" w:rsidR="00A82033" w:rsidRPr="00F00356" w:rsidRDefault="00E64F74" w:rsidP="00F00356">
      <w:pPr>
        <w:shd w:val="clear" w:color="auto" w:fill="FFFFFF"/>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SEXTO</w:t>
      </w:r>
      <w:r w:rsidRPr="00F00356">
        <w:rPr>
          <w:rFonts w:ascii="Palatino Linotype" w:eastAsia="Palatino Linotype" w:hAnsi="Palatino Linotype" w:cs="Palatino Linotype"/>
          <w:color w:val="000000" w:themeColor="text1"/>
        </w:rPr>
        <w:t xml:space="preserve">. Hágase del conocimiento del </w:t>
      </w:r>
      <w:r w:rsidRPr="00F00356">
        <w:rPr>
          <w:rFonts w:ascii="Palatino Linotype" w:eastAsia="Palatino Linotype" w:hAnsi="Palatino Linotype" w:cs="Palatino Linotype"/>
          <w:b/>
          <w:color w:val="000000" w:themeColor="text1"/>
        </w:rPr>
        <w:t>RECURRENTE</w:t>
      </w:r>
      <w:r w:rsidRPr="00F00356">
        <w:rPr>
          <w:rFonts w:ascii="Palatino Linotype" w:eastAsia="Palatino Linotype" w:hAnsi="Palatino Linotype" w:cs="Palatino Linotype"/>
          <w:color w:val="000000" w:themeColor="text1"/>
        </w:rPr>
        <w:t xml:space="preserve"> que la respuesta que dé </w:t>
      </w:r>
      <w:r w:rsidRPr="00F00356">
        <w:rPr>
          <w:rFonts w:ascii="Palatino Linotype" w:eastAsia="Palatino Linotype" w:hAnsi="Palatino Linotype" w:cs="Palatino Linotype"/>
          <w:b/>
          <w:color w:val="000000" w:themeColor="text1"/>
        </w:rPr>
        <w:t>EL SUJETO OBLIGADO</w:t>
      </w:r>
      <w:r w:rsidRPr="00F00356">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F00356">
        <w:rPr>
          <w:rFonts w:ascii="Palatino Linotype" w:eastAsia="Palatino Linotype" w:hAnsi="Palatino Linotype" w:cs="Palatino Linotype"/>
          <w:color w:val="000000" w:themeColor="text1"/>
        </w:rPr>
        <w:tab/>
      </w:r>
    </w:p>
    <w:p w14:paraId="14F83EEF" w14:textId="77777777" w:rsidR="00A82033" w:rsidRPr="00F00356" w:rsidRDefault="00A82033" w:rsidP="00F00356">
      <w:pPr>
        <w:shd w:val="clear" w:color="auto" w:fill="FFFFFF"/>
        <w:spacing w:line="360" w:lineRule="auto"/>
        <w:jc w:val="both"/>
        <w:rPr>
          <w:rFonts w:ascii="Palatino Linotype" w:eastAsia="Palatino Linotype" w:hAnsi="Palatino Linotype" w:cs="Palatino Linotype"/>
          <w:color w:val="000000" w:themeColor="text1"/>
        </w:rPr>
      </w:pPr>
    </w:p>
    <w:p w14:paraId="12932521" w14:textId="77777777" w:rsidR="00A82033" w:rsidRDefault="00E64F74" w:rsidP="00F00356">
      <w:pPr>
        <w:shd w:val="clear" w:color="auto" w:fill="FFFFFF"/>
        <w:spacing w:line="360" w:lineRule="auto"/>
        <w:jc w:val="both"/>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b/>
          <w:color w:val="000000" w:themeColor="text1"/>
        </w:rPr>
        <w:t>SÉPTIMA.</w:t>
      </w:r>
      <w:r w:rsidRPr="00F00356">
        <w:rPr>
          <w:rFonts w:ascii="Palatino Linotype" w:eastAsia="Palatino Linotype" w:hAnsi="Palatino Linotype" w:cs="Palatino Linotype"/>
          <w:color w:val="000000" w:themeColor="text1"/>
        </w:rPr>
        <w:t xml:space="preserve"> Se hace del conocimiento del </w:t>
      </w:r>
      <w:r w:rsidRPr="00F00356">
        <w:rPr>
          <w:rFonts w:ascii="Palatino Linotype" w:eastAsia="Palatino Linotype" w:hAnsi="Palatino Linotype" w:cs="Palatino Linotype"/>
          <w:b/>
          <w:color w:val="000000" w:themeColor="text1"/>
        </w:rPr>
        <w:t xml:space="preserve">RECURRENTE </w:t>
      </w:r>
      <w:r w:rsidRPr="00F00356">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2040F59" w14:textId="77777777" w:rsidR="008E782E" w:rsidRPr="00F00356" w:rsidRDefault="008E782E" w:rsidP="00F00356">
      <w:pPr>
        <w:shd w:val="clear" w:color="auto" w:fill="FFFFFF"/>
        <w:spacing w:line="360" w:lineRule="auto"/>
        <w:jc w:val="both"/>
        <w:rPr>
          <w:rFonts w:ascii="Palatino Linotype" w:eastAsia="Palatino Linotype" w:hAnsi="Palatino Linotype" w:cs="Palatino Linotype"/>
          <w:color w:val="000000" w:themeColor="text1"/>
        </w:rPr>
      </w:pPr>
    </w:p>
    <w:p w14:paraId="4947BFB2" w14:textId="77777777" w:rsidR="00A82033" w:rsidRPr="00F00356" w:rsidRDefault="008E782E" w:rsidP="00F00356">
      <w:pPr>
        <w:spacing w:line="360" w:lineRule="auto"/>
        <w:jc w:val="both"/>
        <w:rPr>
          <w:rFonts w:ascii="Palatino Linotype" w:eastAsia="Palatino Linotype" w:hAnsi="Palatino Linotype" w:cs="Palatino Linotype"/>
          <w:color w:val="000000" w:themeColor="text1"/>
        </w:rPr>
      </w:pPr>
      <w:bookmarkStart w:id="13" w:name="_heading=h.30j0zll" w:colFirst="0" w:colLast="0"/>
      <w:bookmarkEnd w:id="13"/>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14940">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CRISTINA </w:t>
      </w:r>
      <w:r w:rsidRPr="00575AE2">
        <w:rPr>
          <w:rFonts w:ascii="Palatino Linotype" w:eastAsia="Palatino Linotype" w:hAnsi="Palatino Linotype" w:cs="Palatino Linotype"/>
        </w:rPr>
        <w:lastRenderedPageBreak/>
        <w:t>MORALES MARTÍNEZ</w:t>
      </w:r>
      <w:r w:rsidR="00C14940">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LUIS GUSTAVO PARRA NORIEGA</w:t>
      </w:r>
      <w:r w:rsidR="00C14940">
        <w:rPr>
          <w:rFonts w:ascii="Palatino Linotype" w:eastAsia="Palatino Linotype" w:hAnsi="Palatino Linotype" w:cs="Palatino Linotype"/>
        </w:rPr>
        <w:t xml:space="preserve"> EMITIENDO VOTO PARTICULAR CUNCURRENTE</w:t>
      </w:r>
      <w:r w:rsidRPr="00575AE2">
        <w:rPr>
          <w:rFonts w:ascii="Palatino Linotype" w:eastAsia="Palatino Linotype" w:hAnsi="Palatino Linotype" w:cs="Palatino Linotype"/>
        </w:rPr>
        <w:t xml:space="preserve"> Y GUADALUPE RAMÍREZ PEÑA</w:t>
      </w:r>
      <w:r w:rsidR="00C14940">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091E0A9"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57649ACB" w14:textId="77777777" w:rsidR="00A82033" w:rsidRPr="00F00356" w:rsidRDefault="00A82033" w:rsidP="00F00356">
      <w:pPr>
        <w:spacing w:line="360" w:lineRule="auto"/>
        <w:jc w:val="both"/>
        <w:rPr>
          <w:rFonts w:ascii="Palatino Linotype" w:eastAsia="Palatino Linotype" w:hAnsi="Palatino Linotype" w:cs="Palatino Linotype"/>
          <w:color w:val="000000" w:themeColor="text1"/>
        </w:rPr>
      </w:pPr>
    </w:p>
    <w:p w14:paraId="4993510F"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33999B32"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26E39279"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03770679"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0840139F"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1D3D6F10"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58DA8A69" w14:textId="77777777" w:rsidR="00A82033" w:rsidRPr="00F00356" w:rsidRDefault="00A82033" w:rsidP="00F00356">
      <w:pPr>
        <w:spacing w:line="360" w:lineRule="auto"/>
        <w:rPr>
          <w:rFonts w:ascii="Palatino Linotype" w:eastAsia="Palatino Linotype" w:hAnsi="Palatino Linotype" w:cs="Palatino Linotype"/>
          <w:color w:val="000000" w:themeColor="text1"/>
        </w:rPr>
      </w:pPr>
    </w:p>
    <w:p w14:paraId="52FCB091" w14:textId="77777777" w:rsidR="00A82033" w:rsidRPr="00F00356" w:rsidRDefault="00E64F74" w:rsidP="00F00356">
      <w:pPr>
        <w:tabs>
          <w:tab w:val="left" w:pos="3374"/>
        </w:tabs>
        <w:spacing w:line="360" w:lineRule="auto"/>
        <w:rPr>
          <w:rFonts w:ascii="Palatino Linotype" w:eastAsia="Palatino Linotype" w:hAnsi="Palatino Linotype" w:cs="Palatino Linotype"/>
          <w:color w:val="000000" w:themeColor="text1"/>
        </w:rPr>
      </w:pPr>
      <w:r w:rsidRPr="00F00356">
        <w:rPr>
          <w:rFonts w:ascii="Palatino Linotype" w:eastAsia="Palatino Linotype" w:hAnsi="Palatino Linotype" w:cs="Palatino Linotype"/>
          <w:color w:val="000000" w:themeColor="text1"/>
        </w:rPr>
        <w:tab/>
      </w:r>
    </w:p>
    <w:p w14:paraId="430E7D06" w14:textId="77777777" w:rsidR="00A82033" w:rsidRPr="00F00356" w:rsidRDefault="00A82033" w:rsidP="00F00356">
      <w:pPr>
        <w:tabs>
          <w:tab w:val="left" w:pos="3374"/>
        </w:tabs>
        <w:spacing w:line="360" w:lineRule="auto"/>
        <w:rPr>
          <w:rFonts w:ascii="Palatino Linotype" w:eastAsia="Palatino Linotype" w:hAnsi="Palatino Linotype" w:cs="Palatino Linotype"/>
          <w:color w:val="000000" w:themeColor="text1"/>
        </w:rPr>
      </w:pPr>
    </w:p>
    <w:p w14:paraId="1DDF1A8F" w14:textId="77777777" w:rsidR="00A82033" w:rsidRPr="00F00356" w:rsidRDefault="00A82033" w:rsidP="00F00356">
      <w:pPr>
        <w:tabs>
          <w:tab w:val="left" w:pos="3374"/>
        </w:tabs>
        <w:spacing w:line="360" w:lineRule="auto"/>
        <w:rPr>
          <w:rFonts w:ascii="Palatino Linotype" w:eastAsia="Palatino Linotype" w:hAnsi="Palatino Linotype" w:cs="Palatino Linotype"/>
          <w:color w:val="000000" w:themeColor="text1"/>
        </w:rPr>
      </w:pPr>
    </w:p>
    <w:p w14:paraId="130AAF74" w14:textId="77777777" w:rsidR="00A82033" w:rsidRPr="00F00356" w:rsidRDefault="00A82033" w:rsidP="00F00356">
      <w:pPr>
        <w:tabs>
          <w:tab w:val="left" w:pos="3374"/>
        </w:tabs>
        <w:spacing w:line="360" w:lineRule="auto"/>
        <w:rPr>
          <w:rFonts w:ascii="Palatino Linotype" w:eastAsia="Palatino Linotype" w:hAnsi="Palatino Linotype" w:cs="Palatino Linotype"/>
          <w:color w:val="000000" w:themeColor="text1"/>
        </w:rPr>
      </w:pPr>
    </w:p>
    <w:p w14:paraId="1BF99DE7" w14:textId="77777777" w:rsidR="00A82033" w:rsidRPr="00F00356" w:rsidRDefault="00E64F74" w:rsidP="00F00356">
      <w:pPr>
        <w:rPr>
          <w:rFonts w:ascii="Palatino Linotype" w:hAnsi="Palatino Linotype"/>
          <w:color w:val="000000" w:themeColor="text1"/>
        </w:rPr>
      </w:pPr>
      <w:r w:rsidRPr="00F00356">
        <w:rPr>
          <w:rFonts w:ascii="Palatino Linotype" w:eastAsia="Palatino Linotype" w:hAnsi="Palatino Linotype" w:cs="Palatino Linotype"/>
          <w:color w:val="000000" w:themeColor="text1"/>
        </w:rPr>
        <w:t xml:space="preserve"> </w:t>
      </w:r>
    </w:p>
    <w:p w14:paraId="522B7990" w14:textId="77777777" w:rsidR="00A82033" w:rsidRPr="00F00356" w:rsidRDefault="00A82033" w:rsidP="00F00356">
      <w:pPr>
        <w:rPr>
          <w:rFonts w:ascii="Palatino Linotype" w:hAnsi="Palatino Linotype"/>
          <w:color w:val="000000" w:themeColor="text1"/>
        </w:rPr>
      </w:pPr>
    </w:p>
    <w:p w14:paraId="68E37090" w14:textId="77777777" w:rsidR="00A82033" w:rsidRPr="00F00356" w:rsidRDefault="00A82033" w:rsidP="00F00356">
      <w:pPr>
        <w:rPr>
          <w:rFonts w:ascii="Palatino Linotype" w:hAnsi="Palatino Linotype"/>
          <w:color w:val="000000" w:themeColor="text1"/>
        </w:rPr>
      </w:pPr>
    </w:p>
    <w:p w14:paraId="786229B0" w14:textId="77777777" w:rsidR="00A82033" w:rsidRPr="00F00356" w:rsidRDefault="00A82033" w:rsidP="00F00356">
      <w:pPr>
        <w:rPr>
          <w:rFonts w:ascii="Palatino Linotype" w:hAnsi="Palatino Linotype"/>
          <w:color w:val="000000" w:themeColor="text1"/>
        </w:rPr>
      </w:pPr>
    </w:p>
    <w:p w14:paraId="68E63BEC" w14:textId="77777777" w:rsidR="00A82033" w:rsidRPr="00F00356" w:rsidRDefault="00A82033" w:rsidP="00F00356">
      <w:pPr>
        <w:rPr>
          <w:rFonts w:ascii="Palatino Linotype" w:hAnsi="Palatino Linotype"/>
          <w:color w:val="000000" w:themeColor="text1"/>
        </w:rPr>
      </w:pPr>
    </w:p>
    <w:p w14:paraId="6395B7A8" w14:textId="77777777" w:rsidR="00A82033" w:rsidRPr="00F00356" w:rsidRDefault="00A82033" w:rsidP="00F00356">
      <w:pPr>
        <w:rPr>
          <w:rFonts w:ascii="Palatino Linotype" w:hAnsi="Palatino Linotype"/>
          <w:color w:val="000000" w:themeColor="text1"/>
        </w:rPr>
      </w:pPr>
    </w:p>
    <w:p w14:paraId="01B38998" w14:textId="77777777" w:rsidR="00A82033" w:rsidRPr="00F00356" w:rsidRDefault="00A82033" w:rsidP="00F00356">
      <w:pPr>
        <w:rPr>
          <w:rFonts w:ascii="Palatino Linotype" w:hAnsi="Palatino Linotype"/>
          <w:color w:val="000000" w:themeColor="text1"/>
        </w:rPr>
      </w:pPr>
    </w:p>
    <w:p w14:paraId="5FB22C5D" w14:textId="77777777" w:rsidR="00A82033" w:rsidRPr="00F00356" w:rsidRDefault="00A82033" w:rsidP="00F00356">
      <w:pPr>
        <w:rPr>
          <w:rFonts w:ascii="Palatino Linotype" w:hAnsi="Palatino Linotype"/>
          <w:color w:val="000000" w:themeColor="text1"/>
        </w:rPr>
      </w:pPr>
    </w:p>
    <w:p w14:paraId="515CC2B4" w14:textId="77777777" w:rsidR="00A82033" w:rsidRPr="00F00356" w:rsidRDefault="00A82033" w:rsidP="00F00356">
      <w:pPr>
        <w:rPr>
          <w:rFonts w:ascii="Palatino Linotype" w:hAnsi="Palatino Linotype"/>
          <w:color w:val="000000" w:themeColor="text1"/>
        </w:rPr>
      </w:pPr>
    </w:p>
    <w:sectPr w:rsidR="00A82033" w:rsidRPr="00F00356" w:rsidSect="00D422E9">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0B198" w14:textId="77777777" w:rsidR="007728EB" w:rsidRDefault="007728EB">
      <w:r>
        <w:separator/>
      </w:r>
    </w:p>
  </w:endnote>
  <w:endnote w:type="continuationSeparator" w:id="0">
    <w:p w14:paraId="7AE705C6" w14:textId="77777777" w:rsidR="007728EB" w:rsidRDefault="0077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2F99" w14:textId="77777777" w:rsidR="00F00356" w:rsidRDefault="00F003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342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3427">
      <w:rPr>
        <w:rFonts w:ascii="Palatino Linotype" w:eastAsia="Palatino Linotype" w:hAnsi="Palatino Linotype" w:cs="Palatino Linotype"/>
        <w:noProof/>
        <w:color w:val="000000"/>
        <w:sz w:val="20"/>
        <w:szCs w:val="20"/>
      </w:rPr>
      <w:t>64</w:t>
    </w:r>
    <w:r>
      <w:rPr>
        <w:rFonts w:ascii="Palatino Linotype" w:eastAsia="Palatino Linotype" w:hAnsi="Palatino Linotype" w:cs="Palatino Linotype"/>
        <w:color w:val="000000"/>
        <w:sz w:val="20"/>
        <w:szCs w:val="20"/>
      </w:rPr>
      <w:fldChar w:fldCharType="end"/>
    </w:r>
  </w:p>
  <w:p w14:paraId="25C8FF23" w14:textId="77777777" w:rsidR="00F00356" w:rsidRDefault="00F0035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2B40" w14:textId="77777777" w:rsidR="00F00356" w:rsidRDefault="00F003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034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03427">
      <w:rPr>
        <w:rFonts w:ascii="Palatino Linotype" w:eastAsia="Palatino Linotype" w:hAnsi="Palatino Linotype" w:cs="Palatino Linotype"/>
        <w:noProof/>
        <w:color w:val="000000"/>
        <w:sz w:val="20"/>
        <w:szCs w:val="20"/>
      </w:rPr>
      <w:t>64</w:t>
    </w:r>
    <w:r>
      <w:rPr>
        <w:rFonts w:ascii="Palatino Linotype" w:eastAsia="Palatino Linotype" w:hAnsi="Palatino Linotype" w:cs="Palatino Linotype"/>
        <w:color w:val="000000"/>
        <w:sz w:val="20"/>
        <w:szCs w:val="20"/>
      </w:rPr>
      <w:fldChar w:fldCharType="end"/>
    </w:r>
  </w:p>
  <w:p w14:paraId="6C702D29" w14:textId="77777777" w:rsidR="00F00356" w:rsidRDefault="00F0035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D017A" w14:textId="77777777" w:rsidR="007728EB" w:rsidRDefault="007728EB">
      <w:r>
        <w:separator/>
      </w:r>
    </w:p>
  </w:footnote>
  <w:footnote w:type="continuationSeparator" w:id="0">
    <w:p w14:paraId="7CF1DE4F" w14:textId="77777777" w:rsidR="007728EB" w:rsidRDefault="007728EB">
      <w:r>
        <w:continuationSeparator/>
      </w:r>
    </w:p>
  </w:footnote>
  <w:footnote w:id="1">
    <w:p w14:paraId="5A44A0B2" w14:textId="77777777" w:rsidR="00F00356" w:rsidRDefault="00F003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5D5B185" w14:textId="77777777" w:rsidR="00F00356" w:rsidRDefault="00F003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2080186" w14:textId="77777777" w:rsidR="00F00356" w:rsidRDefault="00F003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482F5316" w14:textId="77777777" w:rsidR="00F00356" w:rsidRDefault="00F003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4D40" w14:textId="77777777" w:rsidR="00F00356" w:rsidRDefault="007728EB">
    <w:pPr>
      <w:pBdr>
        <w:top w:val="nil"/>
        <w:left w:val="nil"/>
        <w:bottom w:val="nil"/>
        <w:right w:val="nil"/>
        <w:between w:val="nil"/>
      </w:pBdr>
      <w:tabs>
        <w:tab w:val="center" w:pos="4419"/>
        <w:tab w:val="right" w:pos="8838"/>
      </w:tabs>
      <w:rPr>
        <w:color w:val="000000"/>
      </w:rPr>
    </w:pPr>
    <w:r>
      <w:rPr>
        <w:color w:val="000000"/>
      </w:rPr>
      <w:pict w14:anchorId="45D75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749" w:type="dxa"/>
      <w:tblInd w:w="3032" w:type="dxa"/>
      <w:tblLayout w:type="fixed"/>
      <w:tblLook w:val="0400" w:firstRow="0" w:lastRow="0" w:firstColumn="0" w:lastColumn="0" w:noHBand="0" w:noVBand="1"/>
    </w:tblPr>
    <w:tblGrid>
      <w:gridCol w:w="2976"/>
      <w:gridCol w:w="3773"/>
    </w:tblGrid>
    <w:tr w:rsidR="00F00356" w:rsidRPr="00F00356" w14:paraId="5AFC4526" w14:textId="77777777" w:rsidTr="00F00356">
      <w:trPr>
        <w:trHeight w:val="227"/>
      </w:trPr>
      <w:tc>
        <w:tcPr>
          <w:tcW w:w="2976" w:type="dxa"/>
          <w:vAlign w:val="center"/>
        </w:tcPr>
        <w:p w14:paraId="49CFD9BB" w14:textId="77777777" w:rsidR="00F00356" w:rsidRPr="00F00356" w:rsidRDefault="00F00356" w:rsidP="00F00356">
          <w:pPr>
            <w:ind w:right="34"/>
            <w:jc w:val="right"/>
            <w:rPr>
              <w:rFonts w:ascii="Palatino Linotype" w:eastAsia="Palatino Linotype" w:hAnsi="Palatino Linotype" w:cs="Palatino Linotype"/>
              <w:b/>
            </w:rPr>
          </w:pPr>
          <w:r w:rsidRPr="00F00356">
            <w:rPr>
              <w:rFonts w:ascii="Palatino Linotype" w:eastAsia="Palatino Linotype" w:hAnsi="Palatino Linotype" w:cs="Palatino Linotype"/>
              <w:b/>
            </w:rPr>
            <w:t>Recurso de Revisión:</w:t>
          </w:r>
        </w:p>
      </w:tc>
      <w:tc>
        <w:tcPr>
          <w:tcW w:w="3773" w:type="dxa"/>
          <w:vAlign w:val="center"/>
        </w:tcPr>
        <w:p w14:paraId="45E0C542" w14:textId="77777777" w:rsidR="00F00356" w:rsidRPr="00F00356" w:rsidRDefault="00F00356" w:rsidP="00F0035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00356">
            <w:rPr>
              <w:rFonts w:ascii="Palatino Linotype" w:eastAsia="Palatino Linotype" w:hAnsi="Palatino Linotype" w:cs="Palatino Linotype"/>
              <w:color w:val="000000"/>
            </w:rPr>
            <w:t>0</w:t>
          </w:r>
          <w:r w:rsidRPr="00F00356">
            <w:rPr>
              <w:rFonts w:ascii="Palatino Linotype" w:eastAsia="Palatino Linotype" w:hAnsi="Palatino Linotype" w:cs="Palatino Linotype"/>
            </w:rPr>
            <w:t>5378</w:t>
          </w:r>
          <w:r w:rsidRPr="00F00356">
            <w:rPr>
              <w:rFonts w:ascii="Palatino Linotype" w:eastAsia="Palatino Linotype" w:hAnsi="Palatino Linotype" w:cs="Palatino Linotype"/>
              <w:color w:val="000000"/>
            </w:rPr>
            <w:t>/INFOEM/IP/RR/2025</w:t>
          </w:r>
        </w:p>
      </w:tc>
    </w:tr>
    <w:tr w:rsidR="00F00356" w:rsidRPr="00F00356" w14:paraId="537CA386" w14:textId="77777777" w:rsidTr="00F00356">
      <w:trPr>
        <w:trHeight w:val="242"/>
      </w:trPr>
      <w:tc>
        <w:tcPr>
          <w:tcW w:w="2976" w:type="dxa"/>
          <w:vAlign w:val="center"/>
        </w:tcPr>
        <w:p w14:paraId="1AF5AA49" w14:textId="77777777" w:rsidR="00F00356" w:rsidRPr="00F00356" w:rsidRDefault="00F00356" w:rsidP="00F00356">
          <w:pPr>
            <w:ind w:right="34"/>
            <w:jc w:val="right"/>
            <w:rPr>
              <w:rFonts w:ascii="Palatino Linotype" w:eastAsia="Palatino Linotype" w:hAnsi="Palatino Linotype" w:cs="Palatino Linotype"/>
              <w:b/>
            </w:rPr>
          </w:pPr>
          <w:r w:rsidRPr="00F00356">
            <w:rPr>
              <w:rFonts w:ascii="Palatino Linotype" w:eastAsia="Palatino Linotype" w:hAnsi="Palatino Linotype" w:cs="Palatino Linotype"/>
              <w:b/>
            </w:rPr>
            <w:t>Sujeto Obligado:</w:t>
          </w:r>
        </w:p>
      </w:tc>
      <w:tc>
        <w:tcPr>
          <w:tcW w:w="3773" w:type="dxa"/>
          <w:vAlign w:val="center"/>
        </w:tcPr>
        <w:p w14:paraId="5D926013" w14:textId="77777777" w:rsidR="00F00356" w:rsidRPr="00F00356" w:rsidRDefault="00F00356" w:rsidP="00F0035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00356">
            <w:rPr>
              <w:rFonts w:ascii="Palatino Linotype" w:eastAsia="Palatino Linotype" w:hAnsi="Palatino Linotype" w:cs="Palatino Linotype"/>
              <w:color w:val="000000"/>
            </w:rPr>
            <w:t>Ayuntamiento de Toluca</w:t>
          </w:r>
        </w:p>
      </w:tc>
    </w:tr>
    <w:tr w:rsidR="00F00356" w:rsidRPr="00F00356" w14:paraId="07A0B6CF" w14:textId="77777777" w:rsidTr="00F00356">
      <w:trPr>
        <w:trHeight w:val="342"/>
      </w:trPr>
      <w:tc>
        <w:tcPr>
          <w:tcW w:w="2976" w:type="dxa"/>
          <w:vAlign w:val="center"/>
        </w:tcPr>
        <w:p w14:paraId="6F9A37B9" w14:textId="77777777" w:rsidR="00F00356" w:rsidRPr="00F00356" w:rsidRDefault="00F00356" w:rsidP="00F00356">
          <w:pPr>
            <w:ind w:right="34"/>
            <w:jc w:val="right"/>
            <w:rPr>
              <w:rFonts w:ascii="Palatino Linotype" w:eastAsia="Palatino Linotype" w:hAnsi="Palatino Linotype" w:cs="Palatino Linotype"/>
              <w:b/>
            </w:rPr>
          </w:pPr>
          <w:r w:rsidRPr="00F00356">
            <w:rPr>
              <w:rFonts w:ascii="Palatino Linotype" w:eastAsia="Palatino Linotype" w:hAnsi="Palatino Linotype" w:cs="Palatino Linotype"/>
              <w:b/>
            </w:rPr>
            <w:t>Comisionada Ponente:</w:t>
          </w:r>
        </w:p>
      </w:tc>
      <w:tc>
        <w:tcPr>
          <w:tcW w:w="3773" w:type="dxa"/>
          <w:vAlign w:val="center"/>
        </w:tcPr>
        <w:p w14:paraId="0A58B191" w14:textId="77777777" w:rsidR="00F00356" w:rsidRPr="00F00356" w:rsidRDefault="00F00356" w:rsidP="00F0035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00356">
            <w:rPr>
              <w:rFonts w:ascii="Palatino Linotype" w:eastAsia="Palatino Linotype" w:hAnsi="Palatino Linotype" w:cs="Palatino Linotype"/>
              <w:color w:val="000000"/>
            </w:rPr>
            <w:t>María del Rosario Mejía Ayala</w:t>
          </w:r>
        </w:p>
      </w:tc>
    </w:tr>
  </w:tbl>
  <w:p w14:paraId="3B91E057" w14:textId="77777777" w:rsidR="00F00356" w:rsidRDefault="007728E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203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207" w:type="dxa"/>
      <w:tblLayout w:type="fixed"/>
      <w:tblLook w:val="0400" w:firstRow="0" w:lastRow="0" w:firstColumn="0" w:lastColumn="0" w:noHBand="0" w:noVBand="1"/>
    </w:tblPr>
    <w:tblGrid>
      <w:gridCol w:w="2977"/>
      <w:gridCol w:w="3683"/>
    </w:tblGrid>
    <w:tr w:rsidR="00F00356" w14:paraId="4DDF4AE3" w14:textId="77777777">
      <w:trPr>
        <w:trHeight w:val="227"/>
      </w:trPr>
      <w:tc>
        <w:tcPr>
          <w:tcW w:w="2977" w:type="dxa"/>
          <w:vAlign w:val="center"/>
        </w:tcPr>
        <w:p w14:paraId="64D36310" w14:textId="77777777" w:rsidR="00F00356" w:rsidRPr="00F00356" w:rsidRDefault="00F00356" w:rsidP="00F00356">
          <w:pPr>
            <w:jc w:val="right"/>
            <w:rPr>
              <w:rFonts w:ascii="Palatino Linotype" w:eastAsia="Palatino Linotype" w:hAnsi="Palatino Linotype" w:cs="Palatino Linotype"/>
              <w:b/>
            </w:rPr>
          </w:pPr>
          <w:r w:rsidRPr="00F00356">
            <w:rPr>
              <w:rFonts w:ascii="Palatino Linotype" w:eastAsia="Palatino Linotype" w:hAnsi="Palatino Linotype" w:cs="Palatino Linotype"/>
              <w:b/>
            </w:rPr>
            <w:t>Recurso de Revisión:</w:t>
          </w:r>
        </w:p>
      </w:tc>
      <w:tc>
        <w:tcPr>
          <w:tcW w:w="3683" w:type="dxa"/>
          <w:vAlign w:val="center"/>
        </w:tcPr>
        <w:p w14:paraId="1C8C4FD4" w14:textId="77777777" w:rsidR="00F00356" w:rsidRPr="00F00356" w:rsidRDefault="00F00356" w:rsidP="00F0035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00356">
            <w:rPr>
              <w:rFonts w:ascii="Palatino Linotype" w:eastAsia="Palatino Linotype" w:hAnsi="Palatino Linotype" w:cs="Palatino Linotype"/>
              <w:color w:val="000000"/>
            </w:rPr>
            <w:t>0</w:t>
          </w:r>
          <w:r w:rsidRPr="00F00356">
            <w:rPr>
              <w:rFonts w:ascii="Palatino Linotype" w:eastAsia="Palatino Linotype" w:hAnsi="Palatino Linotype" w:cs="Palatino Linotype"/>
            </w:rPr>
            <w:t>5378</w:t>
          </w:r>
          <w:r w:rsidRPr="00F00356">
            <w:rPr>
              <w:rFonts w:ascii="Palatino Linotype" w:eastAsia="Palatino Linotype" w:hAnsi="Palatino Linotype" w:cs="Palatino Linotype"/>
              <w:color w:val="000000"/>
            </w:rPr>
            <w:t>/INFOEM/IP/RR/2025</w:t>
          </w:r>
        </w:p>
      </w:tc>
    </w:tr>
    <w:tr w:rsidR="00F00356" w14:paraId="5C44CA05" w14:textId="77777777">
      <w:trPr>
        <w:trHeight w:val="242"/>
      </w:trPr>
      <w:tc>
        <w:tcPr>
          <w:tcW w:w="2977" w:type="dxa"/>
          <w:vAlign w:val="center"/>
        </w:tcPr>
        <w:p w14:paraId="0A48BC43" w14:textId="77777777" w:rsidR="00F00356" w:rsidRPr="00F00356" w:rsidRDefault="00F00356" w:rsidP="00F00356">
          <w:pPr>
            <w:jc w:val="right"/>
            <w:rPr>
              <w:rFonts w:ascii="Palatino Linotype" w:eastAsia="Palatino Linotype" w:hAnsi="Palatino Linotype" w:cs="Palatino Linotype"/>
              <w:b/>
            </w:rPr>
          </w:pPr>
          <w:r w:rsidRPr="00F00356">
            <w:rPr>
              <w:rFonts w:ascii="Palatino Linotype" w:eastAsia="Palatino Linotype" w:hAnsi="Palatino Linotype" w:cs="Palatino Linotype"/>
              <w:b/>
            </w:rPr>
            <w:t>Recurrente:</w:t>
          </w:r>
        </w:p>
      </w:tc>
      <w:tc>
        <w:tcPr>
          <w:tcW w:w="3683" w:type="dxa"/>
        </w:tcPr>
        <w:p w14:paraId="236B08FE" w14:textId="32EE852F" w:rsidR="00F00356" w:rsidRPr="00F00356" w:rsidRDefault="00F00356" w:rsidP="00F0342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sidRPr="00F00356">
            <w:rPr>
              <w:rFonts w:ascii="Palatino Linotype" w:eastAsia="Palatino Linotype" w:hAnsi="Palatino Linotype" w:cs="Palatino Linotype"/>
              <w:color w:val="000000"/>
            </w:rPr>
            <w:t> </w:t>
          </w:r>
          <w:r w:rsidR="00F03427">
            <w:rPr>
              <w:rFonts w:ascii="Palatino Linotype" w:eastAsia="Palatino Linotype" w:hAnsi="Palatino Linotype" w:cs="Palatino Linotype"/>
              <w:color w:val="000000"/>
            </w:rPr>
            <w:t>XXXX</w:t>
          </w:r>
        </w:p>
      </w:tc>
    </w:tr>
    <w:tr w:rsidR="00F00356" w14:paraId="0D612845" w14:textId="77777777">
      <w:trPr>
        <w:trHeight w:val="342"/>
      </w:trPr>
      <w:tc>
        <w:tcPr>
          <w:tcW w:w="2977" w:type="dxa"/>
          <w:vAlign w:val="center"/>
        </w:tcPr>
        <w:p w14:paraId="5607022C" w14:textId="77777777" w:rsidR="00F00356" w:rsidRPr="00F00356" w:rsidRDefault="00F00356" w:rsidP="00F00356">
          <w:pPr>
            <w:jc w:val="right"/>
            <w:rPr>
              <w:rFonts w:ascii="Palatino Linotype" w:eastAsia="Palatino Linotype" w:hAnsi="Palatino Linotype" w:cs="Palatino Linotype"/>
              <w:b/>
            </w:rPr>
          </w:pPr>
          <w:r w:rsidRPr="00F00356">
            <w:rPr>
              <w:rFonts w:ascii="Palatino Linotype" w:eastAsia="Palatino Linotype" w:hAnsi="Palatino Linotype" w:cs="Palatino Linotype"/>
              <w:b/>
            </w:rPr>
            <w:t>Sujeto Obligado:</w:t>
          </w:r>
        </w:p>
      </w:tc>
      <w:tc>
        <w:tcPr>
          <w:tcW w:w="3683" w:type="dxa"/>
          <w:vAlign w:val="center"/>
        </w:tcPr>
        <w:p w14:paraId="65EB4273" w14:textId="77777777" w:rsidR="00F00356" w:rsidRPr="00F00356" w:rsidRDefault="00F00356" w:rsidP="00F0035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00356">
            <w:rPr>
              <w:rFonts w:ascii="Palatino Linotype" w:eastAsia="Palatino Linotype" w:hAnsi="Palatino Linotype" w:cs="Palatino Linotype"/>
              <w:color w:val="000000"/>
            </w:rPr>
            <w:t>Ayuntamiento de Toluca</w:t>
          </w:r>
        </w:p>
      </w:tc>
    </w:tr>
    <w:tr w:rsidR="00F00356" w14:paraId="71930C65" w14:textId="77777777">
      <w:trPr>
        <w:trHeight w:val="342"/>
      </w:trPr>
      <w:tc>
        <w:tcPr>
          <w:tcW w:w="2977" w:type="dxa"/>
          <w:vAlign w:val="center"/>
        </w:tcPr>
        <w:p w14:paraId="6352A785" w14:textId="77777777" w:rsidR="00F00356" w:rsidRPr="00F00356" w:rsidRDefault="00F00356" w:rsidP="00F00356">
          <w:pPr>
            <w:jc w:val="right"/>
            <w:rPr>
              <w:rFonts w:ascii="Palatino Linotype" w:eastAsia="Palatino Linotype" w:hAnsi="Palatino Linotype" w:cs="Palatino Linotype"/>
              <w:b/>
            </w:rPr>
          </w:pPr>
          <w:r w:rsidRPr="00F00356">
            <w:rPr>
              <w:rFonts w:ascii="Palatino Linotype" w:eastAsia="Palatino Linotype" w:hAnsi="Palatino Linotype" w:cs="Palatino Linotype"/>
              <w:b/>
            </w:rPr>
            <w:t>Comisionada Ponente:</w:t>
          </w:r>
        </w:p>
      </w:tc>
      <w:tc>
        <w:tcPr>
          <w:tcW w:w="3683" w:type="dxa"/>
          <w:vAlign w:val="center"/>
        </w:tcPr>
        <w:p w14:paraId="74F18BF4" w14:textId="77777777" w:rsidR="00F00356" w:rsidRPr="00F00356" w:rsidRDefault="00F00356" w:rsidP="00F0035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00356">
            <w:rPr>
              <w:rFonts w:ascii="Palatino Linotype" w:eastAsia="Palatino Linotype" w:hAnsi="Palatino Linotype" w:cs="Palatino Linotype"/>
              <w:color w:val="000000"/>
            </w:rPr>
            <w:t>María del Rosario Mejía Ayala</w:t>
          </w:r>
        </w:p>
      </w:tc>
    </w:tr>
  </w:tbl>
  <w:p w14:paraId="314F692A" w14:textId="77777777" w:rsidR="00F00356" w:rsidRDefault="007728EB">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18784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C0C"/>
    <w:multiLevelType w:val="multilevel"/>
    <w:tmpl w:val="E3D8820E"/>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15:restartNumberingAfterBreak="0">
    <w:nsid w:val="11620C5E"/>
    <w:multiLevelType w:val="multilevel"/>
    <w:tmpl w:val="56209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874E9"/>
    <w:multiLevelType w:val="multilevel"/>
    <w:tmpl w:val="9BB62E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00671B"/>
    <w:multiLevelType w:val="multilevel"/>
    <w:tmpl w:val="652A9CD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2543428C"/>
    <w:multiLevelType w:val="multilevel"/>
    <w:tmpl w:val="869A6D0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7023DD0"/>
    <w:multiLevelType w:val="multilevel"/>
    <w:tmpl w:val="048A73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1D1611"/>
    <w:multiLevelType w:val="multilevel"/>
    <w:tmpl w:val="943A21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AA6902"/>
    <w:multiLevelType w:val="multilevel"/>
    <w:tmpl w:val="67F8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0839D1"/>
    <w:multiLevelType w:val="hybridMultilevel"/>
    <w:tmpl w:val="1E449844"/>
    <w:lvl w:ilvl="0" w:tplc="C302A056">
      <w:start w:val="1"/>
      <w:numFmt w:val="decimal"/>
      <w:lvlText w:val="%1."/>
      <w:lvlJc w:val="left"/>
      <w:pPr>
        <w:ind w:left="644"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5335CF"/>
    <w:multiLevelType w:val="multilevel"/>
    <w:tmpl w:val="20BA0158"/>
    <w:lvl w:ilvl="0">
      <w:start w:val="1"/>
      <w:numFmt w:val="upperRoman"/>
      <w:pStyle w:val="Listaconvietas2"/>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69984A87"/>
    <w:multiLevelType w:val="multilevel"/>
    <w:tmpl w:val="A696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7A76B6"/>
    <w:multiLevelType w:val="multilevel"/>
    <w:tmpl w:val="DF320D4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11"/>
  </w:num>
  <w:num w:numId="5">
    <w:abstractNumId w:val="1"/>
  </w:num>
  <w:num w:numId="6">
    <w:abstractNumId w:val="7"/>
  </w:num>
  <w:num w:numId="7">
    <w:abstractNumId w:val="4"/>
  </w:num>
  <w:num w:numId="8">
    <w:abstractNumId w:val="6"/>
  </w:num>
  <w:num w:numId="9">
    <w:abstractNumId w:val="0"/>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33"/>
    <w:rsid w:val="00202E35"/>
    <w:rsid w:val="00291B4C"/>
    <w:rsid w:val="002A11A1"/>
    <w:rsid w:val="004A4E1C"/>
    <w:rsid w:val="00515F0B"/>
    <w:rsid w:val="007728EB"/>
    <w:rsid w:val="008E782E"/>
    <w:rsid w:val="009B3D4F"/>
    <w:rsid w:val="00A05E33"/>
    <w:rsid w:val="00A82033"/>
    <w:rsid w:val="00C14940"/>
    <w:rsid w:val="00D422E9"/>
    <w:rsid w:val="00D902E7"/>
    <w:rsid w:val="00E64F74"/>
    <w:rsid w:val="00F00356"/>
    <w:rsid w:val="00F03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441AD"/>
  <w15:docId w15:val="{D82D5EE9-D348-4EEE-8866-1E9F1DD5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67BB3"/>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967BB3"/>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7BB3"/>
    <w:pPr>
      <w:ind w:left="720"/>
      <w:contextualSpacing/>
    </w:pPr>
  </w:style>
  <w:style w:type="table" w:styleId="Tablaconcuadrcula">
    <w:name w:val="Table Grid"/>
    <w:basedOn w:val="Tablanormal"/>
    <w:uiPriority w:val="39"/>
    <w:rsid w:val="0096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qFormat/>
    <w:rsid w:val="00967BB3"/>
    <w:pPr>
      <w:numPr>
        <w:numId w:val="11"/>
      </w:numPr>
      <w:contextualSpacing/>
    </w:pPr>
  </w:style>
  <w:style w:type="paragraph" w:styleId="Piedepgina">
    <w:name w:val="footer"/>
    <w:basedOn w:val="Normal"/>
    <w:link w:val="PiedepginaCar"/>
    <w:uiPriority w:val="99"/>
    <w:unhideWhenUsed/>
    <w:rsid w:val="00DE3CE0"/>
    <w:pPr>
      <w:tabs>
        <w:tab w:val="center" w:pos="4419"/>
        <w:tab w:val="right" w:pos="8838"/>
      </w:tabs>
    </w:pPr>
  </w:style>
  <w:style w:type="character" w:customStyle="1" w:styleId="PiedepginaCar">
    <w:name w:val="Pie de página Car"/>
    <w:basedOn w:val="Fuentedeprrafopredeter"/>
    <w:link w:val="Piedepgina"/>
    <w:uiPriority w:val="99"/>
    <w:rsid w:val="00DE3CE0"/>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1/06/Tol-pdf-upl-acta-1erInforme-gobierno-2016-201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CfmXwzj/4h+RpJMPyKCjh6T3Q==">CgMxLjAyCWguM3pueXNoNzIJaC4yZXQ5MnAwMghoLnR5amN3dDIIaC5namRneHMyCWguMXQzaDVzZjIJaC40ZDM0b2c4MgloLjJzOGV5bzEyDmgueHNvczZ2djQxMTAwMg5oLjRobTN2bHJqamN3MjIIaC5sbnhiejkyCWguMzBqMHpsbDgAciExTHpNY1VLeTM1cHFaczZKLUQ0TDB1S3BrT3dqWEtBX0U=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16304</Words>
  <Characters>89676</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dcterms:created xsi:type="dcterms:W3CDTF">2025-10-20T19:54:00Z</dcterms:created>
  <dcterms:modified xsi:type="dcterms:W3CDTF">2025-11-13T19:13:00Z</dcterms:modified>
</cp:coreProperties>
</file>