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252307" w:rsidRDefault="001E3125">
      <w:pPr>
        <w:spacing w:line="360" w:lineRule="auto"/>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2748F7" w:rsidRPr="00252307">
        <w:rPr>
          <w:rFonts w:ascii="Palatino Linotype" w:eastAsia="Palatino Linotype" w:hAnsi="Palatino Linotype" w:cs="Palatino Linotype"/>
          <w:sz w:val="22"/>
          <w:szCs w:val="22"/>
        </w:rPr>
        <w:t>seis (06)</w:t>
      </w:r>
      <w:r w:rsidR="00AE262A" w:rsidRPr="00252307">
        <w:rPr>
          <w:rFonts w:ascii="Palatino Linotype" w:eastAsia="Palatino Linotype" w:hAnsi="Palatino Linotype" w:cs="Palatino Linotype"/>
          <w:sz w:val="22"/>
          <w:szCs w:val="22"/>
        </w:rPr>
        <w:t xml:space="preserve"> de </w:t>
      </w:r>
      <w:r w:rsidR="002748F7" w:rsidRPr="00252307">
        <w:rPr>
          <w:rFonts w:ascii="Palatino Linotype" w:eastAsia="Palatino Linotype" w:hAnsi="Palatino Linotype" w:cs="Palatino Linotype"/>
          <w:sz w:val="22"/>
          <w:szCs w:val="22"/>
        </w:rPr>
        <w:t>marzo</w:t>
      </w:r>
      <w:r w:rsidR="00AE262A" w:rsidRPr="00252307">
        <w:rPr>
          <w:rFonts w:ascii="Palatino Linotype" w:eastAsia="Palatino Linotype" w:hAnsi="Palatino Linotype" w:cs="Palatino Linotype"/>
          <w:sz w:val="22"/>
          <w:szCs w:val="22"/>
        </w:rPr>
        <w:t xml:space="preserve"> de dos mil veinticinco</w:t>
      </w:r>
      <w:r w:rsidRPr="00252307">
        <w:rPr>
          <w:rFonts w:ascii="Palatino Linotype" w:eastAsia="Palatino Linotype" w:hAnsi="Palatino Linotype" w:cs="Palatino Linotype"/>
          <w:sz w:val="22"/>
          <w:szCs w:val="22"/>
        </w:rPr>
        <w:t>.</w:t>
      </w:r>
    </w:p>
    <w:p w:rsidR="00E94D86" w:rsidRPr="00252307" w:rsidRDefault="00E94D86" w:rsidP="00C82ED1">
      <w:pPr>
        <w:jc w:val="both"/>
        <w:rPr>
          <w:rFonts w:ascii="Palatino Linotype" w:eastAsia="Palatino Linotype" w:hAnsi="Palatino Linotype" w:cs="Palatino Linotype"/>
          <w:sz w:val="22"/>
          <w:szCs w:val="22"/>
        </w:rPr>
      </w:pPr>
    </w:p>
    <w:p w:rsidR="00E94D86" w:rsidRPr="00252307" w:rsidRDefault="001E3125">
      <w:pPr>
        <w:spacing w:line="360" w:lineRule="auto"/>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sz w:val="22"/>
          <w:szCs w:val="22"/>
        </w:rPr>
        <w:t>VISTO</w:t>
      </w:r>
      <w:r w:rsidRPr="00252307">
        <w:rPr>
          <w:rFonts w:ascii="Palatino Linotype" w:eastAsia="Palatino Linotype" w:hAnsi="Palatino Linotype" w:cs="Palatino Linotype"/>
          <w:sz w:val="22"/>
          <w:szCs w:val="22"/>
        </w:rPr>
        <w:t xml:space="preserve"> el expediente electrónico formado con motivo del recurso de revisión </w:t>
      </w:r>
      <w:r w:rsidR="002748F7" w:rsidRPr="00252307">
        <w:rPr>
          <w:rFonts w:ascii="Palatino Linotype" w:eastAsia="Palatino Linotype" w:hAnsi="Palatino Linotype" w:cs="Palatino Linotype"/>
          <w:b/>
          <w:sz w:val="22"/>
          <w:szCs w:val="22"/>
        </w:rPr>
        <w:t>03723</w:t>
      </w:r>
      <w:r w:rsidRPr="00252307">
        <w:rPr>
          <w:rFonts w:ascii="Palatino Linotype" w:eastAsia="Palatino Linotype" w:hAnsi="Palatino Linotype" w:cs="Palatino Linotype"/>
          <w:b/>
          <w:sz w:val="22"/>
          <w:szCs w:val="22"/>
        </w:rPr>
        <w:t xml:space="preserve">/INFOEM/IP/RR/2024, </w:t>
      </w:r>
      <w:r w:rsidRPr="00252307">
        <w:rPr>
          <w:rFonts w:ascii="Palatino Linotype" w:eastAsia="Palatino Linotype" w:hAnsi="Palatino Linotype" w:cs="Palatino Linotype"/>
          <w:sz w:val="22"/>
          <w:szCs w:val="22"/>
        </w:rPr>
        <w:t>promovido por</w:t>
      </w:r>
      <w:r w:rsidR="004401C8" w:rsidRPr="00252307">
        <w:rPr>
          <w:rFonts w:ascii="Palatino Linotype" w:eastAsia="Palatino Linotype" w:hAnsi="Palatino Linotype" w:cs="Palatino Linotype"/>
          <w:sz w:val="22"/>
          <w:szCs w:val="22"/>
        </w:rPr>
        <w:t xml:space="preserve"> un</w:t>
      </w:r>
      <w:r w:rsidR="004401C8" w:rsidRPr="00252307">
        <w:rPr>
          <w:rFonts w:ascii="Palatino Linotype" w:eastAsia="Palatino Linotype" w:hAnsi="Palatino Linotype" w:cs="Palatino Linotype"/>
          <w:b/>
          <w:sz w:val="22"/>
          <w:szCs w:val="22"/>
        </w:rPr>
        <w:t xml:space="preserve"> RECURRENTE</w:t>
      </w:r>
      <w:r w:rsidRPr="00252307">
        <w:rPr>
          <w:rFonts w:ascii="Palatino Linotype" w:eastAsia="Palatino Linotype" w:hAnsi="Palatino Linotype" w:cs="Palatino Linotype"/>
          <w:b/>
          <w:sz w:val="22"/>
          <w:szCs w:val="22"/>
        </w:rPr>
        <w:t>,</w:t>
      </w:r>
      <w:r w:rsidRPr="00252307">
        <w:rPr>
          <w:rFonts w:ascii="Palatino Linotype" w:eastAsia="Palatino Linotype" w:hAnsi="Palatino Linotype" w:cs="Palatino Linotype"/>
          <w:sz w:val="22"/>
          <w:szCs w:val="22"/>
        </w:rPr>
        <w:t xml:space="preserve"> en contra de la respuesta de</w:t>
      </w:r>
      <w:r w:rsidR="002748F7"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l</w:t>
      </w:r>
      <w:r w:rsidR="002748F7" w:rsidRPr="00252307">
        <w:rPr>
          <w:rFonts w:ascii="Palatino Linotype" w:eastAsia="Palatino Linotype" w:hAnsi="Palatino Linotype" w:cs="Palatino Linotype"/>
          <w:sz w:val="22"/>
          <w:szCs w:val="22"/>
        </w:rPr>
        <w:t xml:space="preserve">a </w:t>
      </w:r>
      <w:r w:rsidR="002748F7" w:rsidRPr="00252307">
        <w:rPr>
          <w:rFonts w:ascii="Palatino Linotype" w:eastAsia="Palatino Linotype" w:hAnsi="Palatino Linotype" w:cs="Palatino Linotype"/>
          <w:b/>
          <w:color w:val="000000"/>
          <w:sz w:val="22"/>
          <w:szCs w:val="22"/>
        </w:rPr>
        <w:t>Secretaría de Movilidad</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en adelante el</w:t>
      </w:r>
      <w:r w:rsidRPr="00252307">
        <w:rPr>
          <w:rFonts w:ascii="Palatino Linotype" w:eastAsia="Palatino Linotype" w:hAnsi="Palatino Linotype" w:cs="Palatino Linotype"/>
          <w:b/>
          <w:sz w:val="22"/>
          <w:szCs w:val="22"/>
        </w:rPr>
        <w:t xml:space="preserve"> SUJETO OBLIGADO</w:t>
      </w:r>
      <w:r w:rsidRPr="00252307">
        <w:rPr>
          <w:rFonts w:ascii="Palatino Linotype" w:eastAsia="Palatino Linotype" w:hAnsi="Palatino Linotype" w:cs="Palatino Linotype"/>
          <w:sz w:val="22"/>
          <w:szCs w:val="22"/>
        </w:rPr>
        <w:t>, por lo que se procede a dictar la presente resolución, con base en los siguientes:</w:t>
      </w:r>
    </w:p>
    <w:p w:rsidR="00E94D86" w:rsidRPr="00252307" w:rsidRDefault="00E94D86" w:rsidP="00C82ED1">
      <w:pPr>
        <w:jc w:val="both"/>
        <w:rPr>
          <w:rFonts w:ascii="Palatino Linotype" w:eastAsia="Palatino Linotype" w:hAnsi="Palatino Linotype" w:cs="Palatino Linotype"/>
          <w:sz w:val="22"/>
          <w:szCs w:val="22"/>
        </w:rPr>
      </w:pPr>
    </w:p>
    <w:p w:rsidR="00E94D86" w:rsidRPr="00252307" w:rsidRDefault="001E3125">
      <w:pPr>
        <w:keepNext/>
        <w:keepLines/>
        <w:spacing w:line="360" w:lineRule="auto"/>
        <w:jc w:val="center"/>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A N T E C E D E N T E S</w:t>
      </w:r>
    </w:p>
    <w:p w:rsidR="00E94D86" w:rsidRPr="00252307" w:rsidRDefault="00E94D86" w:rsidP="00C82ED1">
      <w:pPr>
        <w:rPr>
          <w:rFonts w:ascii="Palatino Linotype" w:eastAsia="Palatino Linotype" w:hAnsi="Palatino Linotype" w:cs="Palatino Linotype"/>
          <w:sz w:val="22"/>
          <w:szCs w:val="22"/>
        </w:rPr>
      </w:pPr>
    </w:p>
    <w:p w:rsidR="00E94D86" w:rsidRPr="002523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El </w:t>
      </w:r>
      <w:r w:rsidR="003A1F84" w:rsidRPr="00252307">
        <w:rPr>
          <w:rFonts w:ascii="Palatino Linotype" w:eastAsia="Palatino Linotype" w:hAnsi="Palatino Linotype" w:cs="Palatino Linotype"/>
          <w:sz w:val="22"/>
          <w:szCs w:val="22"/>
        </w:rPr>
        <w:t>veintisiete de mayo</w:t>
      </w:r>
      <w:r w:rsidR="006E5F99"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de dos mil veinticuatro, la</w:t>
      </w:r>
      <w:r w:rsidRPr="00252307">
        <w:rPr>
          <w:rFonts w:ascii="Palatino Linotype" w:eastAsia="Palatino Linotype" w:hAnsi="Palatino Linotype" w:cs="Palatino Linotype"/>
          <w:b/>
          <w:sz w:val="22"/>
          <w:szCs w:val="22"/>
        </w:rPr>
        <w:t xml:space="preserve"> RECURRENTE </w:t>
      </w:r>
      <w:r w:rsidRPr="00252307">
        <w:rPr>
          <w:rFonts w:ascii="Palatino Linotype" w:eastAsia="Palatino Linotype" w:hAnsi="Palatino Linotype" w:cs="Palatino Linotype"/>
          <w:sz w:val="22"/>
          <w:szCs w:val="22"/>
        </w:rPr>
        <w:t xml:space="preserve">presentó ante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a través del el Sistema de Acceso a la Información Mexiquense </w:t>
      </w:r>
      <w:r w:rsidRPr="00252307">
        <w:rPr>
          <w:rFonts w:ascii="Palatino Linotype" w:eastAsia="Palatino Linotype" w:hAnsi="Palatino Linotype" w:cs="Palatino Linotype"/>
          <w:b/>
          <w:sz w:val="22"/>
          <w:szCs w:val="22"/>
        </w:rPr>
        <w:t>(SAIMEX),</w:t>
      </w:r>
      <w:r w:rsidRPr="00252307">
        <w:rPr>
          <w:rFonts w:ascii="Palatino Linotype" w:eastAsia="Palatino Linotype" w:hAnsi="Palatino Linotype" w:cs="Palatino Linotype"/>
          <w:sz w:val="22"/>
          <w:szCs w:val="22"/>
        </w:rPr>
        <w:t xml:space="preserve"> la solicitud de información pública </w:t>
      </w:r>
      <w:r w:rsidR="003A1F84" w:rsidRPr="00252307">
        <w:rPr>
          <w:rFonts w:ascii="Palatino Linotype" w:eastAsia="Palatino Linotype" w:hAnsi="Palatino Linotype" w:cs="Palatino Linotype"/>
          <w:b/>
          <w:sz w:val="22"/>
          <w:szCs w:val="22"/>
        </w:rPr>
        <w:t>00384</w:t>
      </w:r>
      <w:r w:rsidRPr="00252307">
        <w:rPr>
          <w:rFonts w:ascii="Palatino Linotype" w:eastAsia="Palatino Linotype" w:hAnsi="Palatino Linotype" w:cs="Palatino Linotype"/>
          <w:b/>
          <w:sz w:val="22"/>
          <w:szCs w:val="22"/>
        </w:rPr>
        <w:t>/</w:t>
      </w:r>
      <w:r w:rsidR="003A1F84" w:rsidRPr="00252307">
        <w:rPr>
          <w:rFonts w:ascii="Palatino Linotype" w:eastAsia="Palatino Linotype" w:hAnsi="Palatino Linotype" w:cs="Palatino Linotype"/>
          <w:b/>
          <w:sz w:val="22"/>
          <w:szCs w:val="22"/>
        </w:rPr>
        <w:t>SMOV</w:t>
      </w:r>
      <w:r w:rsidRPr="00252307">
        <w:rPr>
          <w:rFonts w:ascii="Palatino Linotype" w:eastAsia="Palatino Linotype" w:hAnsi="Palatino Linotype" w:cs="Palatino Linotype"/>
          <w:b/>
          <w:sz w:val="22"/>
          <w:szCs w:val="22"/>
        </w:rPr>
        <w:t>/IP/2024</w:t>
      </w:r>
      <w:r w:rsidRPr="00252307">
        <w:rPr>
          <w:rFonts w:ascii="Palatino Linotype" w:eastAsia="Palatino Linotype" w:hAnsi="Palatino Linotype" w:cs="Palatino Linotype"/>
          <w:sz w:val="22"/>
          <w:szCs w:val="22"/>
        </w:rPr>
        <w:t>, en la que solicitó:</w:t>
      </w:r>
    </w:p>
    <w:p w:rsidR="00E94D86" w:rsidRPr="00252307" w:rsidRDefault="00E94D86" w:rsidP="00C82ED1">
      <w:pPr>
        <w:jc w:val="both"/>
        <w:rPr>
          <w:rFonts w:ascii="Palatino Linotype" w:eastAsia="Palatino Linotype" w:hAnsi="Palatino Linotype" w:cs="Palatino Linotype"/>
          <w:sz w:val="22"/>
          <w:szCs w:val="22"/>
        </w:rPr>
      </w:pPr>
    </w:p>
    <w:p w:rsidR="006E5F99" w:rsidRPr="00252307" w:rsidRDefault="001E3125" w:rsidP="003A1F84">
      <w:pPr>
        <w:ind w:left="567" w:right="567"/>
        <w:jc w:val="both"/>
        <w:rPr>
          <w:rFonts w:ascii="Palatino Linotype" w:hAnsi="Palatino Linotype"/>
          <w:i/>
          <w:sz w:val="22"/>
          <w:szCs w:val="22"/>
        </w:rPr>
      </w:pPr>
      <w:r w:rsidRPr="00252307">
        <w:rPr>
          <w:rFonts w:ascii="Palatino Linotype" w:eastAsia="Palatino Linotype" w:hAnsi="Palatino Linotype" w:cs="Palatino Linotype"/>
          <w:i/>
          <w:color w:val="000000"/>
          <w:sz w:val="22"/>
          <w:szCs w:val="22"/>
        </w:rPr>
        <w:t>“</w:t>
      </w:r>
      <w:r w:rsidR="003A1F84" w:rsidRPr="00252307">
        <w:rPr>
          <w:rFonts w:ascii="Palatino Linotype" w:hAnsi="Palatino Linotype"/>
          <w:i/>
          <w:color w:val="000000"/>
          <w:sz w:val="22"/>
          <w:szCs w:val="22"/>
        </w:rPr>
        <w:t xml:space="preserve">Se </w:t>
      </w:r>
      <w:r w:rsidR="003A1F84" w:rsidRPr="00252307">
        <w:rPr>
          <w:rFonts w:ascii="Palatino Linotype" w:hAnsi="Palatino Linotype"/>
          <w:i/>
          <w:sz w:val="22"/>
          <w:szCs w:val="22"/>
        </w:rPr>
        <w:t xml:space="preserve">solicita el </w:t>
      </w:r>
      <w:proofErr w:type="spellStart"/>
      <w:r w:rsidR="003A1F84" w:rsidRPr="00252307">
        <w:rPr>
          <w:rFonts w:ascii="Palatino Linotype" w:hAnsi="Palatino Linotype"/>
          <w:i/>
          <w:sz w:val="22"/>
          <w:szCs w:val="22"/>
        </w:rPr>
        <w:t>curriculum</w:t>
      </w:r>
      <w:proofErr w:type="spellEnd"/>
      <w:r w:rsidR="003A1F84" w:rsidRPr="00252307">
        <w:rPr>
          <w:rFonts w:ascii="Palatino Linotype" w:hAnsi="Palatino Linotype"/>
          <w:i/>
          <w:sz w:val="22"/>
          <w:szCs w:val="22"/>
        </w:rPr>
        <w:t xml:space="preserve">, comprobante de estudios </w:t>
      </w:r>
      <w:proofErr w:type="spellStart"/>
      <w:r w:rsidR="003A1F84" w:rsidRPr="00252307">
        <w:rPr>
          <w:rFonts w:ascii="Palatino Linotype" w:hAnsi="Palatino Linotype"/>
          <w:i/>
          <w:sz w:val="22"/>
          <w:szCs w:val="22"/>
        </w:rPr>
        <w:t>fum</w:t>
      </w:r>
      <w:proofErr w:type="spellEnd"/>
      <w:r w:rsidR="003A1F84" w:rsidRPr="00252307">
        <w:rPr>
          <w:rFonts w:ascii="Palatino Linotype" w:hAnsi="Palatino Linotype"/>
          <w:i/>
          <w:sz w:val="22"/>
          <w:szCs w:val="22"/>
        </w:rPr>
        <w:t>, fecha de alta y sueldo del personal de la Coordinación de Estudios y Proyectos Especiales de su dependencia y la autorización para que el personal este en campañas municipales y no en la oficina de trabajo.</w:t>
      </w:r>
      <w:r w:rsidRPr="00252307">
        <w:rPr>
          <w:rFonts w:ascii="Palatino Linotype" w:eastAsia="Palatino Linotype" w:hAnsi="Palatino Linotype" w:cs="Palatino Linotype"/>
          <w:i/>
          <w:color w:val="000000"/>
          <w:sz w:val="22"/>
          <w:szCs w:val="22"/>
        </w:rPr>
        <w:t xml:space="preserve">” (Sic) </w:t>
      </w:r>
    </w:p>
    <w:p w:rsidR="00E94D86" w:rsidRPr="00252307" w:rsidRDefault="00E94D86" w:rsidP="00C82ED1">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E94D86" w:rsidRPr="002523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Se hace constar que se señaló como modalidad de entrega de la información a través del </w:t>
      </w:r>
      <w:r w:rsidRPr="00252307">
        <w:rPr>
          <w:rFonts w:ascii="Palatino Linotype" w:eastAsia="Palatino Linotype" w:hAnsi="Palatino Linotype" w:cs="Palatino Linotype"/>
          <w:b/>
          <w:sz w:val="22"/>
          <w:szCs w:val="22"/>
        </w:rPr>
        <w:t>SAIMEX.</w:t>
      </w:r>
    </w:p>
    <w:p w:rsidR="00E94D86" w:rsidRPr="00252307" w:rsidRDefault="00E94D86" w:rsidP="00C82ED1">
      <w:pPr>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El </w:t>
      </w:r>
      <w:r w:rsidR="003A1F84" w:rsidRPr="00252307">
        <w:rPr>
          <w:rFonts w:ascii="Palatino Linotype" w:eastAsia="Palatino Linotype" w:hAnsi="Palatino Linotype" w:cs="Palatino Linotype"/>
          <w:sz w:val="22"/>
          <w:szCs w:val="22"/>
        </w:rPr>
        <w:t>diecisiete de junio</w:t>
      </w:r>
      <w:r w:rsidRPr="00252307">
        <w:rPr>
          <w:rFonts w:ascii="Palatino Linotype" w:eastAsia="Palatino Linotype" w:hAnsi="Palatino Linotype" w:cs="Palatino Linotype"/>
          <w:sz w:val="22"/>
          <w:szCs w:val="22"/>
        </w:rPr>
        <w:t xml:space="preserve"> de dos mil veinticuatro,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b/>
          <w:i/>
          <w:sz w:val="22"/>
          <w:szCs w:val="22"/>
        </w:rPr>
        <w:t xml:space="preserve"> </w:t>
      </w:r>
      <w:r w:rsidRPr="00252307">
        <w:rPr>
          <w:rFonts w:ascii="Palatino Linotype" w:eastAsia="Palatino Linotype" w:hAnsi="Palatino Linotype" w:cs="Palatino Linotype"/>
          <w:sz w:val="22"/>
          <w:szCs w:val="22"/>
        </w:rPr>
        <w:t>dio respuesta a la solicitud de información, en los siguientes términos:</w:t>
      </w:r>
    </w:p>
    <w:p w:rsidR="00E94D86" w:rsidRPr="00252307" w:rsidRDefault="00E94D86" w:rsidP="00C82ED1">
      <w:pPr>
        <w:ind w:right="-592"/>
        <w:jc w:val="both"/>
        <w:rPr>
          <w:rFonts w:ascii="Palatino Linotype" w:eastAsia="Palatino Linotype" w:hAnsi="Palatino Linotype" w:cs="Palatino Linotype"/>
          <w:sz w:val="22"/>
          <w:szCs w:val="22"/>
        </w:rPr>
      </w:pPr>
    </w:p>
    <w:p w:rsidR="00E94D86" w:rsidRPr="00252307" w:rsidRDefault="004401C8" w:rsidP="004F5574">
      <w:pPr>
        <w:ind w:left="567" w:right="567"/>
        <w:jc w:val="both"/>
        <w:rPr>
          <w:rFonts w:ascii="Palatino Linotype" w:eastAsia="Palatino Linotype" w:hAnsi="Palatino Linotype" w:cs="Palatino Linotype"/>
          <w:i/>
          <w:color w:val="000000"/>
          <w:sz w:val="22"/>
          <w:szCs w:val="22"/>
        </w:rPr>
      </w:pPr>
      <w:r w:rsidRPr="00252307">
        <w:rPr>
          <w:rFonts w:ascii="Palatino Linotype" w:eastAsia="Palatino Linotype" w:hAnsi="Palatino Linotype" w:cs="Palatino Linotype"/>
          <w:i/>
          <w:sz w:val="22"/>
          <w:szCs w:val="22"/>
        </w:rPr>
        <w:t>“…</w:t>
      </w:r>
      <w:r w:rsidR="003A1F84" w:rsidRPr="00252307">
        <w:rPr>
          <w:rFonts w:ascii="Palatino Linotype" w:hAnsi="Palatino Linotype"/>
          <w:i/>
          <w:color w:val="000000"/>
          <w:sz w:val="22"/>
          <w:szCs w:val="22"/>
        </w:rPr>
        <w:t>Se adjunta respuesta</w:t>
      </w:r>
      <w:r w:rsidR="001E3125" w:rsidRPr="00252307">
        <w:rPr>
          <w:rFonts w:ascii="Palatino Linotype" w:eastAsia="Palatino Linotype" w:hAnsi="Palatino Linotype" w:cs="Palatino Linotype"/>
          <w:i/>
          <w:color w:val="000000"/>
          <w:sz w:val="22"/>
          <w:szCs w:val="22"/>
        </w:rPr>
        <w:t>…” (Sic)</w:t>
      </w:r>
    </w:p>
    <w:p w:rsidR="00FC50EC" w:rsidRPr="00252307" w:rsidRDefault="00FC50EC" w:rsidP="00C82ED1">
      <w:pPr>
        <w:ind w:left="567" w:right="710"/>
        <w:jc w:val="both"/>
        <w:rPr>
          <w:rFonts w:ascii="Palatino Linotype" w:eastAsia="Palatino Linotype" w:hAnsi="Palatino Linotype" w:cs="Palatino Linotype"/>
          <w:i/>
          <w:color w:val="000000"/>
          <w:sz w:val="22"/>
          <w:szCs w:val="22"/>
        </w:rPr>
      </w:pPr>
    </w:p>
    <w:p w:rsidR="003A1F84" w:rsidRPr="00252307" w:rsidRDefault="001E3125" w:rsidP="004F5574">
      <w:pPr>
        <w:ind w:right="257"/>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Archivos electrónicos adjuntos:</w:t>
      </w:r>
    </w:p>
    <w:p w:rsidR="00E94D86" w:rsidRPr="00252307" w:rsidRDefault="00E94D86" w:rsidP="00C82ED1">
      <w:pPr>
        <w:ind w:right="-592"/>
        <w:jc w:val="both"/>
        <w:rPr>
          <w:rFonts w:ascii="Palatino Linotype" w:eastAsia="Palatino Linotype" w:hAnsi="Palatino Linotype" w:cs="Palatino Linotype"/>
          <w:sz w:val="22"/>
          <w:szCs w:val="22"/>
        </w:rPr>
      </w:pPr>
    </w:p>
    <w:p w:rsidR="003A1F84" w:rsidRPr="00252307" w:rsidRDefault="007224A6" w:rsidP="003A1F84">
      <w:pPr>
        <w:ind w:left="567" w:right="567"/>
        <w:jc w:val="both"/>
        <w:rPr>
          <w:rFonts w:ascii="Palatino Linotype" w:eastAsia="Palatino Linotype" w:hAnsi="Palatino Linotype" w:cs="Palatino Linotype"/>
          <w:sz w:val="22"/>
          <w:szCs w:val="22"/>
        </w:rPr>
      </w:pPr>
      <w:hyperlink r:id="rId8" w:tgtFrame="_blank" w:history="1">
        <w:r w:rsidR="003A1F84" w:rsidRPr="00252307">
          <w:rPr>
            <w:rStyle w:val="Hipervnculo"/>
            <w:rFonts w:ascii="Palatino Linotype" w:hAnsi="Palatino Linotype" w:cs="Arial"/>
            <w:b/>
            <w:bCs/>
            <w:color w:val="auto"/>
            <w:sz w:val="22"/>
            <w:szCs w:val="22"/>
            <w:u w:val="none"/>
          </w:rPr>
          <w:t>SAIMEX 00384 CH.pdf</w:t>
        </w:r>
      </w:hyperlink>
      <w:r w:rsidR="003A1F84" w:rsidRPr="00252307">
        <w:rPr>
          <w:rFonts w:ascii="Palatino Linotype" w:hAnsi="Palatino Linotype"/>
          <w:b/>
          <w:sz w:val="22"/>
          <w:szCs w:val="22"/>
        </w:rPr>
        <w:t xml:space="preserve">: </w:t>
      </w:r>
      <w:r w:rsidR="003A1F84" w:rsidRPr="00252307">
        <w:rPr>
          <w:rFonts w:ascii="Palatino Linotype" w:hAnsi="Palatino Linotype"/>
          <w:sz w:val="22"/>
          <w:szCs w:val="22"/>
        </w:rPr>
        <w:t xml:space="preserve">Oficio suscrito por el Subdirector de Administración del Capital Humano, por medio del cual, referente al personal de la “Coordinación de Estadios y Proyectos Especiales” como se expresó tácitamente, </w:t>
      </w:r>
      <w:r w:rsidR="00D063C3" w:rsidRPr="00252307">
        <w:rPr>
          <w:rFonts w:ascii="Palatino Linotype" w:hAnsi="Palatino Linotype"/>
          <w:sz w:val="22"/>
          <w:szCs w:val="22"/>
        </w:rPr>
        <w:t xml:space="preserve">refirió que </w:t>
      </w:r>
      <w:r w:rsidR="003A1F84" w:rsidRPr="00252307">
        <w:rPr>
          <w:rFonts w:ascii="Palatino Linotype" w:hAnsi="Palatino Linotype"/>
          <w:sz w:val="22"/>
          <w:szCs w:val="22"/>
        </w:rPr>
        <w:t xml:space="preserve">no se </w:t>
      </w:r>
      <w:r w:rsidR="003A1F84" w:rsidRPr="00252307">
        <w:rPr>
          <w:rFonts w:ascii="Palatino Linotype" w:hAnsi="Palatino Linotype"/>
          <w:sz w:val="22"/>
          <w:szCs w:val="22"/>
        </w:rPr>
        <w:lastRenderedPageBreak/>
        <w:t>encontró información que coincida con los criterio</w:t>
      </w:r>
      <w:r w:rsidR="00D063C3" w:rsidRPr="00252307">
        <w:rPr>
          <w:rFonts w:ascii="Palatino Linotype" w:hAnsi="Palatino Linotype"/>
          <w:sz w:val="22"/>
          <w:szCs w:val="22"/>
        </w:rPr>
        <w:t>s</w:t>
      </w:r>
      <w:r w:rsidR="003A1F84" w:rsidRPr="00252307">
        <w:rPr>
          <w:rFonts w:ascii="Palatino Linotype" w:hAnsi="Palatino Linotype"/>
          <w:sz w:val="22"/>
          <w:szCs w:val="22"/>
        </w:rPr>
        <w:t xml:space="preserve"> solicitados en </w:t>
      </w:r>
      <w:r w:rsidR="00D063C3" w:rsidRPr="00252307">
        <w:rPr>
          <w:rFonts w:ascii="Palatino Linotype" w:hAnsi="Palatino Linotype"/>
          <w:sz w:val="22"/>
          <w:szCs w:val="22"/>
        </w:rPr>
        <w:t xml:space="preserve">las </w:t>
      </w:r>
      <w:r w:rsidR="003A1F84" w:rsidRPr="00252307">
        <w:rPr>
          <w:rFonts w:ascii="Palatino Linotype" w:hAnsi="Palatino Linotype"/>
          <w:sz w:val="22"/>
          <w:szCs w:val="22"/>
        </w:rPr>
        <w:t xml:space="preserve">bases de datos, expedientes o cualquier documentación física de la </w:t>
      </w:r>
      <w:r w:rsidR="00D063C3" w:rsidRPr="00252307">
        <w:rPr>
          <w:rFonts w:ascii="Palatino Linotype" w:hAnsi="Palatino Linotype"/>
          <w:sz w:val="22"/>
          <w:szCs w:val="22"/>
        </w:rPr>
        <w:t>Unidad Administrativa a su cargo, por lo cual, no puede proporcionar la información solicitada. Asimismo, sugirió verificar lo manifestado en el organigrama de la Secretaría de Movilidad del Estado de México</w:t>
      </w:r>
      <w:r w:rsidR="00AB686B" w:rsidRPr="00252307">
        <w:rPr>
          <w:rFonts w:ascii="Palatino Linotype" w:hAnsi="Palatino Linotype"/>
          <w:sz w:val="22"/>
          <w:szCs w:val="22"/>
        </w:rPr>
        <w:t xml:space="preserve"> que se encuentra en el Portal de Información Pública de Oficio Mexiquense (IPOMEX 4.0), Artículo 92, Estructura Organizacional, Fracción II B Organigrama.</w:t>
      </w:r>
    </w:p>
    <w:p w:rsidR="003A1F84" w:rsidRPr="00252307" w:rsidRDefault="003A1F84" w:rsidP="00C82ED1">
      <w:pPr>
        <w:ind w:right="-592"/>
        <w:jc w:val="both"/>
        <w:rPr>
          <w:rFonts w:ascii="Palatino Linotype" w:eastAsia="Palatino Linotype" w:hAnsi="Palatino Linotype" w:cs="Palatino Linotype"/>
          <w:sz w:val="22"/>
          <w:szCs w:val="22"/>
        </w:rPr>
      </w:pPr>
    </w:p>
    <w:p w:rsidR="00C82ED1" w:rsidRPr="00252307" w:rsidRDefault="001E3125"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El </w:t>
      </w:r>
      <w:r w:rsidR="00D063C3" w:rsidRPr="00252307">
        <w:rPr>
          <w:rFonts w:ascii="Palatino Linotype" w:eastAsia="Palatino Linotype" w:hAnsi="Palatino Linotype" w:cs="Palatino Linotype"/>
          <w:sz w:val="22"/>
          <w:szCs w:val="22"/>
        </w:rPr>
        <w:t>dieciocho de junio</w:t>
      </w:r>
      <w:r w:rsidRPr="00252307">
        <w:rPr>
          <w:rFonts w:ascii="Palatino Linotype" w:eastAsia="Palatino Linotype" w:hAnsi="Palatino Linotype" w:cs="Palatino Linotype"/>
          <w:sz w:val="22"/>
          <w:szCs w:val="22"/>
        </w:rPr>
        <w:t xml:space="preserve"> de dos mil veinticuatro,</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 xml:space="preserve">el </w:t>
      </w:r>
      <w:r w:rsidRPr="00252307">
        <w:rPr>
          <w:rFonts w:ascii="Palatino Linotype" w:eastAsia="Palatino Linotype" w:hAnsi="Palatino Linotype" w:cs="Palatino Linotype"/>
          <w:b/>
          <w:sz w:val="22"/>
          <w:szCs w:val="22"/>
        </w:rPr>
        <w:t>RECURRENTE</w:t>
      </w:r>
      <w:r w:rsidRPr="00252307">
        <w:rPr>
          <w:rFonts w:ascii="Palatino Linotype" w:eastAsia="Palatino Linotype" w:hAnsi="Palatino Linotype" w:cs="Palatino Linotype"/>
          <w:sz w:val="22"/>
          <w:szCs w:val="22"/>
        </w:rPr>
        <w:t xml:space="preserve"> interpuso el recurso de revisión en contra de la respuesta, señalando como:</w:t>
      </w:r>
    </w:p>
    <w:p w:rsidR="00C82ED1" w:rsidRPr="00252307" w:rsidRDefault="00C82ED1" w:rsidP="00C82ED1">
      <w:pPr>
        <w:ind w:right="1"/>
        <w:jc w:val="both"/>
        <w:rPr>
          <w:rFonts w:ascii="Palatino Linotype" w:eastAsia="Palatino Linotype" w:hAnsi="Palatino Linotype" w:cs="Palatino Linotype"/>
          <w:sz w:val="22"/>
          <w:szCs w:val="22"/>
        </w:rPr>
      </w:pPr>
    </w:p>
    <w:p w:rsidR="00E94D86" w:rsidRPr="00252307" w:rsidRDefault="001E3125" w:rsidP="00C82ED1">
      <w:pPr>
        <w:ind w:left="567" w:right="568"/>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sz w:val="22"/>
          <w:szCs w:val="22"/>
        </w:rPr>
        <w:t>Acto impugnado</w:t>
      </w:r>
      <w:r w:rsidRPr="00252307">
        <w:rPr>
          <w:rFonts w:ascii="Palatino Linotype" w:eastAsia="Palatino Linotype" w:hAnsi="Palatino Linotype" w:cs="Palatino Linotype"/>
          <w:b/>
          <w:i/>
          <w:sz w:val="22"/>
          <w:szCs w:val="22"/>
        </w:rPr>
        <w:t>:</w:t>
      </w:r>
      <w:r w:rsidRPr="00252307">
        <w:rPr>
          <w:rFonts w:ascii="Palatino Linotype" w:eastAsia="Palatino Linotype" w:hAnsi="Palatino Linotype" w:cs="Palatino Linotype"/>
          <w:i/>
          <w:color w:val="000000"/>
          <w:sz w:val="22"/>
          <w:szCs w:val="22"/>
        </w:rPr>
        <w:t xml:space="preserve"> “</w:t>
      </w:r>
      <w:r w:rsidR="004F5574" w:rsidRPr="00252307">
        <w:rPr>
          <w:rFonts w:ascii="Palatino Linotype" w:hAnsi="Palatino Linotype"/>
          <w:i/>
          <w:color w:val="000000"/>
          <w:sz w:val="22"/>
          <w:szCs w:val="22"/>
        </w:rPr>
        <w:t xml:space="preserve">Niega </w:t>
      </w:r>
      <w:r w:rsidR="00D063C3" w:rsidRPr="00252307">
        <w:rPr>
          <w:rFonts w:ascii="Palatino Linotype" w:hAnsi="Palatino Linotype"/>
          <w:i/>
          <w:color w:val="000000"/>
          <w:sz w:val="22"/>
          <w:szCs w:val="22"/>
        </w:rPr>
        <w:t xml:space="preserve">la </w:t>
      </w:r>
      <w:proofErr w:type="spellStart"/>
      <w:r w:rsidR="00D063C3" w:rsidRPr="00252307">
        <w:rPr>
          <w:rFonts w:ascii="Palatino Linotype" w:hAnsi="Palatino Linotype"/>
          <w:i/>
          <w:color w:val="000000"/>
          <w:sz w:val="22"/>
          <w:szCs w:val="22"/>
        </w:rPr>
        <w:t>infromación</w:t>
      </w:r>
      <w:proofErr w:type="spellEnd"/>
      <w:r w:rsidR="00D063C3" w:rsidRPr="00252307">
        <w:rPr>
          <w:rFonts w:ascii="Palatino Linotype" w:hAnsi="Palatino Linotype"/>
          <w:i/>
          <w:color w:val="000000"/>
          <w:sz w:val="22"/>
          <w:szCs w:val="22"/>
        </w:rPr>
        <w:t xml:space="preserve"> </w:t>
      </w:r>
      <w:proofErr w:type="spellStart"/>
      <w:r w:rsidR="00D063C3" w:rsidRPr="00252307">
        <w:rPr>
          <w:rFonts w:ascii="Palatino Linotype" w:hAnsi="Palatino Linotype"/>
          <w:i/>
          <w:color w:val="000000"/>
          <w:sz w:val="22"/>
          <w:szCs w:val="22"/>
        </w:rPr>
        <w:t>mandano</w:t>
      </w:r>
      <w:proofErr w:type="spellEnd"/>
      <w:r w:rsidR="00D063C3" w:rsidRPr="00252307">
        <w:rPr>
          <w:rFonts w:ascii="Palatino Linotype" w:hAnsi="Palatino Linotype"/>
          <w:i/>
          <w:color w:val="000000"/>
          <w:sz w:val="22"/>
          <w:szCs w:val="22"/>
        </w:rPr>
        <w:t xml:space="preserve"> a un link que no es accesible y no se tiene toda la información</w:t>
      </w:r>
      <w:r w:rsidRPr="00252307">
        <w:rPr>
          <w:rFonts w:ascii="Palatino Linotype" w:eastAsia="Palatino Linotype" w:hAnsi="Palatino Linotype" w:cs="Palatino Linotype"/>
          <w:i/>
          <w:color w:val="000000"/>
          <w:sz w:val="22"/>
          <w:szCs w:val="22"/>
        </w:rPr>
        <w:t>” (Sic)</w:t>
      </w:r>
    </w:p>
    <w:p w:rsidR="00E94D86" w:rsidRPr="00252307" w:rsidRDefault="00E94D86" w:rsidP="00C82ED1">
      <w:pPr>
        <w:ind w:left="567" w:right="568"/>
        <w:jc w:val="both"/>
        <w:rPr>
          <w:rFonts w:ascii="Palatino Linotype" w:eastAsia="Palatino Linotype" w:hAnsi="Palatino Linotype" w:cs="Palatino Linotype"/>
          <w:sz w:val="22"/>
          <w:szCs w:val="22"/>
        </w:rPr>
      </w:pPr>
    </w:p>
    <w:p w:rsidR="00E94D86" w:rsidRPr="00252307" w:rsidRDefault="001E3125" w:rsidP="00C82ED1">
      <w:pPr>
        <w:ind w:left="567" w:right="568"/>
        <w:jc w:val="both"/>
        <w:rPr>
          <w:rFonts w:ascii="Palatino Linotype" w:eastAsia="Palatino Linotype" w:hAnsi="Palatino Linotype" w:cs="Palatino Linotype"/>
          <w:i/>
          <w:color w:val="000000"/>
          <w:sz w:val="22"/>
          <w:szCs w:val="22"/>
        </w:rPr>
      </w:pPr>
      <w:r w:rsidRPr="00252307">
        <w:rPr>
          <w:rFonts w:ascii="Palatino Linotype" w:eastAsia="Palatino Linotype" w:hAnsi="Palatino Linotype" w:cs="Palatino Linotype"/>
          <w:b/>
          <w:sz w:val="22"/>
          <w:szCs w:val="22"/>
        </w:rPr>
        <w:t xml:space="preserve">Razones o Motivos de inconformidad: </w:t>
      </w:r>
      <w:r w:rsidR="006E5F99" w:rsidRPr="00252307">
        <w:rPr>
          <w:rFonts w:ascii="Palatino Linotype" w:eastAsia="Palatino Linotype" w:hAnsi="Palatino Linotype" w:cs="Palatino Linotype"/>
          <w:i/>
          <w:color w:val="000000"/>
          <w:sz w:val="22"/>
          <w:szCs w:val="22"/>
        </w:rPr>
        <w:t>“</w:t>
      </w:r>
      <w:r w:rsidR="00D063C3" w:rsidRPr="00252307">
        <w:rPr>
          <w:rFonts w:ascii="Palatino Linotype" w:hAnsi="Palatino Linotype"/>
          <w:i/>
          <w:color w:val="000000"/>
          <w:sz w:val="22"/>
          <w:szCs w:val="22"/>
        </w:rPr>
        <w:t>n</w:t>
      </w:r>
      <w:r w:rsidR="004F5574" w:rsidRPr="00252307">
        <w:rPr>
          <w:rFonts w:ascii="Palatino Linotype" w:hAnsi="Palatino Linotype"/>
          <w:i/>
          <w:color w:val="000000"/>
          <w:sz w:val="22"/>
          <w:szCs w:val="22"/>
        </w:rPr>
        <w:t xml:space="preserve">o </w:t>
      </w:r>
      <w:r w:rsidR="00D063C3" w:rsidRPr="00252307">
        <w:rPr>
          <w:rFonts w:ascii="Palatino Linotype" w:hAnsi="Palatino Linotype"/>
          <w:i/>
          <w:color w:val="000000"/>
          <w:sz w:val="22"/>
          <w:szCs w:val="22"/>
        </w:rPr>
        <w:t xml:space="preserve">entrega ni atiende el </w:t>
      </w:r>
      <w:proofErr w:type="spellStart"/>
      <w:r w:rsidR="00D063C3" w:rsidRPr="00252307">
        <w:rPr>
          <w:rFonts w:ascii="Palatino Linotype" w:hAnsi="Palatino Linotype"/>
          <w:i/>
          <w:color w:val="000000"/>
          <w:sz w:val="22"/>
          <w:szCs w:val="22"/>
        </w:rPr>
        <w:t>saimex</w:t>
      </w:r>
      <w:proofErr w:type="spellEnd"/>
      <w:r w:rsidRPr="00252307">
        <w:rPr>
          <w:rFonts w:ascii="Palatino Linotype" w:eastAsia="Palatino Linotype" w:hAnsi="Palatino Linotype" w:cs="Palatino Linotype"/>
          <w:i/>
          <w:color w:val="000000"/>
          <w:sz w:val="22"/>
          <w:szCs w:val="22"/>
        </w:rPr>
        <w:t>” (Sic)</w:t>
      </w:r>
    </w:p>
    <w:p w:rsidR="00E94D86" w:rsidRPr="00252307" w:rsidRDefault="00E94D86" w:rsidP="00C82ED1">
      <w:pPr>
        <w:ind w:right="568"/>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252307">
        <w:rPr>
          <w:rFonts w:ascii="Palatino Linotype" w:eastAsia="Palatino Linotype" w:hAnsi="Palatino Linotype" w:cs="Palatino Linotype"/>
          <w:b/>
          <w:sz w:val="22"/>
          <w:szCs w:val="22"/>
        </w:rPr>
        <w:t xml:space="preserve">Ley de Transparencia y Acceso a la Información Pública del Estado de México y Municipios </w:t>
      </w:r>
      <w:r w:rsidRPr="00252307">
        <w:rPr>
          <w:rFonts w:ascii="Palatino Linotype" w:eastAsia="Palatino Linotype" w:hAnsi="Palatino Linotype" w:cs="Palatino Linotype"/>
          <w:sz w:val="22"/>
          <w:szCs w:val="22"/>
        </w:rPr>
        <w:t xml:space="preserve">se turna a la </w:t>
      </w:r>
      <w:r w:rsidRPr="00252307">
        <w:rPr>
          <w:rFonts w:ascii="Palatino Linotype" w:eastAsia="Palatino Linotype" w:hAnsi="Palatino Linotype" w:cs="Palatino Linotype"/>
          <w:b/>
          <w:sz w:val="22"/>
          <w:szCs w:val="22"/>
        </w:rPr>
        <w:t xml:space="preserve">Comisionada María del Rosario Mejía Ayala, </w:t>
      </w:r>
      <w:r w:rsidRPr="00252307">
        <w:rPr>
          <w:rFonts w:ascii="Palatino Linotype" w:eastAsia="Palatino Linotype" w:hAnsi="Palatino Linotype" w:cs="Palatino Linotype"/>
          <w:sz w:val="22"/>
          <w:szCs w:val="22"/>
        </w:rPr>
        <w:t xml:space="preserve">para su análisis. </w:t>
      </w:r>
    </w:p>
    <w:p w:rsidR="00E94D86" w:rsidRPr="00252307" w:rsidRDefault="00E94D86" w:rsidP="00C82ED1">
      <w:pPr>
        <w:ind w:right="-592"/>
        <w:jc w:val="both"/>
        <w:rPr>
          <w:rFonts w:ascii="Palatino Linotype" w:eastAsia="Palatino Linotype" w:hAnsi="Palatino Linotype" w:cs="Palatino Linotype"/>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252307">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D063C3" w:rsidRPr="00252307">
        <w:rPr>
          <w:rFonts w:ascii="Palatino Linotype" w:eastAsia="Palatino Linotype" w:hAnsi="Palatino Linotype" w:cs="Palatino Linotype"/>
          <w:sz w:val="22"/>
          <w:szCs w:val="22"/>
        </w:rPr>
        <w:t>veinticuatro de junio</w:t>
      </w:r>
      <w:r w:rsidR="004F5574" w:rsidRPr="00252307">
        <w:rPr>
          <w:rFonts w:ascii="Palatino Linotype" w:eastAsia="Palatino Linotype" w:hAnsi="Palatino Linotype" w:cs="Palatino Linotype"/>
          <w:sz w:val="22"/>
          <w:szCs w:val="22"/>
        </w:rPr>
        <w:t xml:space="preserve"> de</w:t>
      </w:r>
      <w:r w:rsidRPr="00252307">
        <w:rPr>
          <w:rFonts w:ascii="Palatino Linotype" w:eastAsia="Palatino Linotype" w:hAnsi="Palatino Linotype" w:cs="Palatino Linotype"/>
          <w:sz w:val="22"/>
          <w:szCs w:val="22"/>
        </w:rPr>
        <w:t xml:space="preserve"> dos mil veinticuatro, puso a disposición de las partes el expediente electrónico vía </w:t>
      </w:r>
      <w:r w:rsidRPr="00252307">
        <w:rPr>
          <w:rFonts w:ascii="Palatino Linotype" w:eastAsia="Palatino Linotype" w:hAnsi="Palatino Linotype" w:cs="Palatino Linotype"/>
          <w:b/>
          <w:sz w:val="22"/>
          <w:szCs w:val="22"/>
        </w:rPr>
        <w:t xml:space="preserve">SAIMEX </w:t>
      </w:r>
      <w:r w:rsidRPr="00252307">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presentará el informe justificado procedente. </w:t>
      </w:r>
    </w:p>
    <w:p w:rsidR="00E94D86" w:rsidRPr="00252307" w:rsidRDefault="00E94D86" w:rsidP="00C82ED1">
      <w:pPr>
        <w:ind w:right="-592"/>
        <w:rPr>
          <w:rFonts w:ascii="Palatino Linotype" w:eastAsia="Palatino Linotype" w:hAnsi="Palatino Linotype" w:cs="Palatino Linotype"/>
          <w:sz w:val="22"/>
          <w:szCs w:val="22"/>
        </w:rPr>
      </w:pPr>
    </w:p>
    <w:p w:rsidR="004F5574" w:rsidRPr="00252307" w:rsidRDefault="006E5F99"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E</w:t>
      </w:r>
      <w:r w:rsidR="001E3125" w:rsidRPr="00252307">
        <w:rPr>
          <w:rFonts w:ascii="Palatino Linotype" w:eastAsia="Palatino Linotype" w:hAnsi="Palatino Linotype" w:cs="Palatino Linotype"/>
          <w:sz w:val="22"/>
          <w:szCs w:val="22"/>
        </w:rPr>
        <w:t>l</w:t>
      </w:r>
      <w:r w:rsidR="004F5574" w:rsidRPr="00252307">
        <w:rPr>
          <w:rFonts w:ascii="Palatino Linotype" w:eastAsia="Palatino Linotype" w:hAnsi="Palatino Linotype" w:cs="Palatino Linotype"/>
          <w:sz w:val="22"/>
          <w:szCs w:val="22"/>
        </w:rPr>
        <w:t xml:space="preserve"> </w:t>
      </w:r>
      <w:r w:rsidR="00D063C3" w:rsidRPr="00252307">
        <w:rPr>
          <w:rFonts w:ascii="Palatino Linotype" w:eastAsia="Palatino Linotype" w:hAnsi="Palatino Linotype" w:cs="Palatino Linotype"/>
          <w:sz w:val="22"/>
          <w:szCs w:val="22"/>
        </w:rPr>
        <w:t>tres de julio</w:t>
      </w:r>
      <w:r w:rsidR="004F5574" w:rsidRPr="00252307">
        <w:rPr>
          <w:rFonts w:ascii="Palatino Linotype" w:eastAsia="Palatino Linotype" w:hAnsi="Palatino Linotype" w:cs="Palatino Linotype"/>
          <w:sz w:val="22"/>
          <w:szCs w:val="22"/>
        </w:rPr>
        <w:t xml:space="preserve"> de dos mil veinticuatro, el</w:t>
      </w:r>
      <w:r w:rsidR="001E3125" w:rsidRPr="00252307">
        <w:rPr>
          <w:rFonts w:ascii="Palatino Linotype" w:eastAsia="Palatino Linotype" w:hAnsi="Palatino Linotype" w:cs="Palatino Linotype"/>
          <w:sz w:val="22"/>
          <w:szCs w:val="22"/>
        </w:rPr>
        <w:t xml:space="preserve"> </w:t>
      </w:r>
      <w:r w:rsidR="001E3125" w:rsidRPr="00252307">
        <w:rPr>
          <w:rFonts w:ascii="Palatino Linotype" w:eastAsia="Palatino Linotype" w:hAnsi="Palatino Linotype" w:cs="Palatino Linotype"/>
          <w:b/>
          <w:sz w:val="22"/>
          <w:szCs w:val="22"/>
        </w:rPr>
        <w:t>SUJETO OBLIGADO</w:t>
      </w:r>
      <w:r w:rsidR="001E3125" w:rsidRPr="00252307">
        <w:rPr>
          <w:rFonts w:ascii="Palatino Linotype" w:eastAsia="Palatino Linotype" w:hAnsi="Palatino Linotype" w:cs="Palatino Linotype"/>
          <w:sz w:val="22"/>
          <w:szCs w:val="22"/>
        </w:rPr>
        <w:t xml:space="preserve"> </w:t>
      </w:r>
      <w:r w:rsidR="004F5574" w:rsidRPr="00252307">
        <w:rPr>
          <w:rFonts w:ascii="Palatino Linotype" w:eastAsia="Palatino Linotype" w:hAnsi="Palatino Linotype" w:cs="Palatino Linotype"/>
          <w:sz w:val="22"/>
          <w:szCs w:val="22"/>
        </w:rPr>
        <w:t>rindió</w:t>
      </w:r>
      <w:r w:rsidRPr="00252307">
        <w:rPr>
          <w:rFonts w:ascii="Palatino Linotype" w:eastAsia="Palatino Linotype" w:hAnsi="Palatino Linotype" w:cs="Palatino Linotype"/>
          <w:sz w:val="22"/>
          <w:szCs w:val="22"/>
        </w:rPr>
        <w:t xml:space="preserve"> </w:t>
      </w:r>
      <w:r w:rsidR="001E3125" w:rsidRPr="00252307">
        <w:rPr>
          <w:rFonts w:ascii="Palatino Linotype" w:eastAsia="Palatino Linotype" w:hAnsi="Palatino Linotype" w:cs="Palatino Linotype"/>
          <w:sz w:val="22"/>
          <w:szCs w:val="22"/>
        </w:rPr>
        <w:t>el informe justificado correspondiente</w:t>
      </w:r>
      <w:r w:rsidR="004F5574" w:rsidRPr="00252307">
        <w:rPr>
          <w:rFonts w:ascii="Palatino Linotype" w:eastAsia="Palatino Linotype" w:hAnsi="Palatino Linotype" w:cs="Palatino Linotype"/>
          <w:sz w:val="22"/>
          <w:szCs w:val="22"/>
        </w:rPr>
        <w:t xml:space="preserve">, </w:t>
      </w:r>
      <w:r w:rsidR="00AB686B" w:rsidRPr="00252307">
        <w:rPr>
          <w:rFonts w:ascii="Palatino Linotype" w:eastAsia="Palatino Linotype" w:hAnsi="Palatino Linotype" w:cs="Palatino Linotype"/>
          <w:sz w:val="22"/>
          <w:szCs w:val="22"/>
        </w:rPr>
        <w:t>a través</w:t>
      </w:r>
      <w:r w:rsidR="004F5574" w:rsidRPr="00252307">
        <w:rPr>
          <w:rFonts w:ascii="Palatino Linotype" w:eastAsia="Palatino Linotype" w:hAnsi="Palatino Linotype" w:cs="Palatino Linotype"/>
          <w:sz w:val="22"/>
          <w:szCs w:val="22"/>
        </w:rPr>
        <w:t xml:space="preserve"> de</w:t>
      </w:r>
      <w:r w:rsidR="00D063C3" w:rsidRPr="00252307">
        <w:rPr>
          <w:rFonts w:ascii="Palatino Linotype" w:eastAsia="Palatino Linotype" w:hAnsi="Palatino Linotype" w:cs="Palatino Linotype"/>
          <w:sz w:val="22"/>
          <w:szCs w:val="22"/>
        </w:rPr>
        <w:t xml:space="preserve"> </w:t>
      </w:r>
      <w:r w:rsidR="004F5574" w:rsidRPr="00252307">
        <w:rPr>
          <w:rFonts w:ascii="Palatino Linotype" w:eastAsia="Palatino Linotype" w:hAnsi="Palatino Linotype" w:cs="Palatino Linotype"/>
          <w:sz w:val="22"/>
          <w:szCs w:val="22"/>
        </w:rPr>
        <w:t>l</w:t>
      </w:r>
      <w:r w:rsidR="00D063C3" w:rsidRPr="00252307">
        <w:rPr>
          <w:rFonts w:ascii="Palatino Linotype" w:eastAsia="Palatino Linotype" w:hAnsi="Palatino Linotype" w:cs="Palatino Linotype"/>
          <w:sz w:val="22"/>
          <w:szCs w:val="22"/>
        </w:rPr>
        <w:t xml:space="preserve">os </w:t>
      </w:r>
      <w:r w:rsidR="004F5574" w:rsidRPr="00252307">
        <w:rPr>
          <w:rFonts w:ascii="Palatino Linotype" w:eastAsia="Palatino Linotype" w:hAnsi="Palatino Linotype" w:cs="Palatino Linotype"/>
          <w:sz w:val="22"/>
          <w:szCs w:val="22"/>
        </w:rPr>
        <w:t>archivo</w:t>
      </w:r>
      <w:r w:rsidR="00D063C3" w:rsidRPr="00252307">
        <w:rPr>
          <w:rFonts w:ascii="Palatino Linotype" w:eastAsia="Palatino Linotype" w:hAnsi="Palatino Linotype" w:cs="Palatino Linotype"/>
          <w:sz w:val="22"/>
          <w:szCs w:val="22"/>
        </w:rPr>
        <w:t>s</w:t>
      </w:r>
      <w:r w:rsidR="004F5574" w:rsidRPr="00252307">
        <w:rPr>
          <w:rFonts w:ascii="Palatino Linotype" w:eastAsia="Palatino Linotype" w:hAnsi="Palatino Linotype" w:cs="Palatino Linotype"/>
          <w:sz w:val="22"/>
          <w:szCs w:val="22"/>
        </w:rPr>
        <w:t xml:space="preserve"> electrónico</w:t>
      </w:r>
      <w:r w:rsidR="00D063C3" w:rsidRPr="00252307">
        <w:rPr>
          <w:rFonts w:ascii="Palatino Linotype" w:eastAsia="Palatino Linotype" w:hAnsi="Palatino Linotype" w:cs="Palatino Linotype"/>
          <w:sz w:val="22"/>
          <w:szCs w:val="22"/>
        </w:rPr>
        <w:t>s</w:t>
      </w:r>
      <w:r w:rsidR="004F5574" w:rsidRPr="00252307">
        <w:rPr>
          <w:rFonts w:ascii="Palatino Linotype" w:eastAsia="Palatino Linotype" w:hAnsi="Palatino Linotype" w:cs="Palatino Linotype"/>
          <w:sz w:val="22"/>
          <w:szCs w:val="22"/>
        </w:rPr>
        <w:t xml:space="preserve"> denominado</w:t>
      </w:r>
      <w:r w:rsidR="00D063C3" w:rsidRPr="00252307">
        <w:rPr>
          <w:rFonts w:ascii="Palatino Linotype" w:eastAsia="Palatino Linotype" w:hAnsi="Palatino Linotype" w:cs="Palatino Linotype"/>
          <w:sz w:val="22"/>
          <w:szCs w:val="22"/>
        </w:rPr>
        <w:t>s</w:t>
      </w:r>
      <w:r w:rsidR="004F5574" w:rsidRPr="00252307">
        <w:rPr>
          <w:rFonts w:ascii="Palatino Linotype" w:eastAsia="Palatino Linotype" w:hAnsi="Palatino Linotype" w:cs="Palatino Linotype"/>
          <w:sz w:val="22"/>
          <w:szCs w:val="22"/>
        </w:rPr>
        <w:t xml:space="preserve"> </w:t>
      </w:r>
      <w:r w:rsidR="00D063C3" w:rsidRPr="00252307">
        <w:rPr>
          <w:rFonts w:ascii="Palatino Linotype" w:eastAsia="Palatino Linotype" w:hAnsi="Palatino Linotype" w:cs="Palatino Linotype"/>
          <w:b/>
          <w:sz w:val="22"/>
          <w:szCs w:val="22"/>
        </w:rPr>
        <w:t xml:space="preserve">INFORME JUSTIFICADO 3723.pdf </w:t>
      </w:r>
      <w:r w:rsidR="00D063C3" w:rsidRPr="00252307">
        <w:rPr>
          <w:rFonts w:ascii="Palatino Linotype" w:eastAsia="Palatino Linotype" w:hAnsi="Palatino Linotype" w:cs="Palatino Linotype"/>
          <w:sz w:val="22"/>
          <w:szCs w:val="22"/>
        </w:rPr>
        <w:t>y</w:t>
      </w:r>
      <w:r w:rsidR="00D063C3" w:rsidRPr="00252307">
        <w:rPr>
          <w:rFonts w:ascii="Palatino Linotype" w:eastAsia="Palatino Linotype" w:hAnsi="Palatino Linotype" w:cs="Palatino Linotype"/>
          <w:b/>
          <w:sz w:val="22"/>
          <w:szCs w:val="22"/>
        </w:rPr>
        <w:t xml:space="preserve"> OFICIO CAD 252.pdf</w:t>
      </w:r>
      <w:r w:rsidR="004F5574" w:rsidRPr="00252307">
        <w:rPr>
          <w:rFonts w:ascii="Palatino Linotype" w:eastAsia="Palatino Linotype" w:hAnsi="Palatino Linotype" w:cs="Palatino Linotype"/>
          <w:b/>
          <w:sz w:val="22"/>
          <w:szCs w:val="22"/>
        </w:rPr>
        <w:t xml:space="preserve">, </w:t>
      </w:r>
      <w:r w:rsidR="00AB686B" w:rsidRPr="00252307">
        <w:rPr>
          <w:rFonts w:ascii="Palatino Linotype" w:eastAsia="Palatino Linotype" w:hAnsi="Palatino Linotype" w:cs="Palatino Linotype"/>
          <w:sz w:val="22"/>
          <w:szCs w:val="22"/>
        </w:rPr>
        <w:t xml:space="preserve">por medio de los cuales, el Titular de la </w:t>
      </w:r>
      <w:r w:rsidR="00AB686B" w:rsidRPr="00252307">
        <w:rPr>
          <w:rFonts w:ascii="Palatino Linotype" w:eastAsia="Palatino Linotype" w:hAnsi="Palatino Linotype" w:cs="Palatino Linotype"/>
          <w:sz w:val="22"/>
          <w:szCs w:val="22"/>
        </w:rPr>
        <w:lastRenderedPageBreak/>
        <w:t xml:space="preserve">Unidad de Transparencia y el Subdirector de Administración del Capital Humano respectivamente, </w:t>
      </w:r>
      <w:r w:rsidR="00AB686B" w:rsidRPr="00252307">
        <w:rPr>
          <w:rFonts w:ascii="Palatino Linotype" w:eastAsia="Palatino Linotype" w:hAnsi="Palatino Linotype" w:cs="Palatino Linotype"/>
          <w:b/>
          <w:sz w:val="22"/>
          <w:szCs w:val="22"/>
        </w:rPr>
        <w:t>ratificaron</w:t>
      </w:r>
      <w:r w:rsidR="00C82ED1" w:rsidRPr="00252307">
        <w:rPr>
          <w:rFonts w:ascii="Palatino Linotype" w:eastAsia="Palatino Linotype" w:hAnsi="Palatino Linotype" w:cs="Palatino Linotype"/>
          <w:b/>
          <w:sz w:val="22"/>
          <w:szCs w:val="22"/>
        </w:rPr>
        <w:t xml:space="preserve"> la respuesta.</w:t>
      </w:r>
    </w:p>
    <w:p w:rsidR="004F5574" w:rsidRPr="00252307" w:rsidRDefault="004F5574" w:rsidP="000C0976">
      <w:pPr>
        <w:rPr>
          <w:rFonts w:ascii="Palatino Linotype" w:eastAsia="Palatino Linotype" w:hAnsi="Palatino Linotype" w:cs="Palatino Linotype"/>
          <w:sz w:val="22"/>
          <w:szCs w:val="22"/>
        </w:rPr>
      </w:pPr>
    </w:p>
    <w:p w:rsidR="00AF2A58" w:rsidRPr="00252307" w:rsidRDefault="004F5574"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P</w:t>
      </w:r>
      <w:r w:rsidR="001E3125" w:rsidRPr="00252307">
        <w:rPr>
          <w:rFonts w:ascii="Palatino Linotype" w:eastAsia="Palatino Linotype" w:hAnsi="Palatino Linotype" w:cs="Palatino Linotype"/>
          <w:sz w:val="22"/>
          <w:szCs w:val="22"/>
        </w:rPr>
        <w:t xml:space="preserve">or su parte, el </w:t>
      </w:r>
      <w:r w:rsidR="001E3125" w:rsidRPr="00252307">
        <w:rPr>
          <w:rFonts w:ascii="Palatino Linotype" w:eastAsia="Palatino Linotype" w:hAnsi="Palatino Linotype" w:cs="Palatino Linotype"/>
          <w:b/>
          <w:sz w:val="22"/>
          <w:szCs w:val="22"/>
        </w:rPr>
        <w:t xml:space="preserve">RECURRENTE </w:t>
      </w:r>
      <w:r w:rsidR="001E3125" w:rsidRPr="00252307">
        <w:rPr>
          <w:rFonts w:ascii="Palatino Linotype" w:eastAsia="Palatino Linotype" w:hAnsi="Palatino Linotype" w:cs="Palatino Linotype"/>
          <w:sz w:val="22"/>
          <w:szCs w:val="22"/>
        </w:rPr>
        <w:t>no realizó manifestaciones, ni ofreció pruebas o alegatos que a su derecho conviniera.</w:t>
      </w:r>
    </w:p>
    <w:p w:rsidR="00AF2A58" w:rsidRPr="00252307" w:rsidRDefault="00AF2A58" w:rsidP="00C82ED1">
      <w:pPr>
        <w:rPr>
          <w:rFonts w:ascii="Palatino Linotype" w:hAnsi="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 xml:space="preserve">El </w:t>
      </w:r>
      <w:r w:rsidR="00302FE8" w:rsidRPr="00252307">
        <w:rPr>
          <w:rFonts w:ascii="Palatino Linotype" w:hAnsi="Palatino Linotype"/>
          <w:sz w:val="22"/>
          <w:szCs w:val="22"/>
        </w:rPr>
        <w:t xml:space="preserve">veinticinco de septiembre </w:t>
      </w:r>
      <w:r w:rsidRPr="00252307">
        <w:rPr>
          <w:rFonts w:ascii="Palatino Linotype" w:hAnsi="Palatino Linotype"/>
          <w:sz w:val="22"/>
          <w:szCs w:val="22"/>
        </w:rPr>
        <w:t xml:space="preserve">de dos mil veinticuatro, </w:t>
      </w:r>
      <w:r w:rsidRPr="00252307">
        <w:rPr>
          <w:rFonts w:ascii="Palatino Linotype" w:hAnsi="Palatino Linotype" w:cs="Tahoma"/>
          <w:sz w:val="22"/>
          <w:szCs w:val="22"/>
        </w:rPr>
        <w:t>se notificó el acuerdo mediante el cual se amplió el plazo para emitir resolución por un término de 15 días adicionales.</w:t>
      </w:r>
    </w:p>
    <w:p w:rsidR="00AF2A58" w:rsidRPr="00252307" w:rsidRDefault="00AF2A58" w:rsidP="00C82ED1">
      <w:pPr>
        <w:ind w:right="1"/>
        <w:jc w:val="both"/>
        <w:rPr>
          <w:rFonts w:ascii="Palatino Linotype" w:eastAsia="Palatino Linotype" w:hAnsi="Palatino Linotype" w:cs="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F2A58" w:rsidRPr="00252307" w:rsidRDefault="00AF2A58" w:rsidP="00C82ED1">
      <w:pPr>
        <w:rPr>
          <w:rFonts w:ascii="Palatino Linotype" w:hAnsi="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252307" w:rsidRDefault="00AF2A58" w:rsidP="00C82ED1">
      <w:pPr>
        <w:rPr>
          <w:rFonts w:ascii="Palatino Linotype" w:hAnsi="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2A58" w:rsidRPr="00252307" w:rsidRDefault="00AF2A58" w:rsidP="00C82ED1">
      <w:pPr>
        <w:rPr>
          <w:rFonts w:ascii="Palatino Linotype" w:hAnsi="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 xml:space="preserve">En ese sentido, el legislador fijó los términos procesales en las leyes, de manera general, sin que pudiera prever la variada gama de casos que son resueltos por los órganos </w:t>
      </w:r>
      <w:r w:rsidRPr="00252307">
        <w:rPr>
          <w:rFonts w:ascii="Palatino Linotype" w:hAnsi="Palatino Linotype"/>
          <w:sz w:val="22"/>
          <w:szCs w:val="22"/>
        </w:rPr>
        <w:lastRenderedPageBreak/>
        <w:t>jurisdiccionales o cuasi jurisdiccionales, tanto por la complejidad de los hechos, como por el número de casos que conocen.</w:t>
      </w:r>
    </w:p>
    <w:p w:rsidR="00AF2A58" w:rsidRPr="00252307" w:rsidRDefault="00AF2A58" w:rsidP="00AF2A58">
      <w:pPr>
        <w:rPr>
          <w:rFonts w:ascii="Palatino Linotype" w:hAnsi="Palatino Linotype"/>
          <w:sz w:val="22"/>
          <w:szCs w:val="22"/>
        </w:rPr>
      </w:pPr>
    </w:p>
    <w:p w:rsidR="00AF2A58" w:rsidRPr="00252307" w:rsidRDefault="00AF2A58"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AF2A58" w:rsidRPr="00252307" w:rsidRDefault="00AF2A58" w:rsidP="00AF2A58">
      <w:pPr>
        <w:pStyle w:val="Prrafodelista"/>
        <w:spacing w:before="240" w:after="240"/>
        <w:ind w:left="567" w:right="565"/>
        <w:jc w:val="both"/>
        <w:rPr>
          <w:rFonts w:ascii="Palatino Linotype" w:hAnsi="Palatino Linotype"/>
          <w:szCs w:val="22"/>
        </w:rPr>
      </w:pPr>
      <w:r w:rsidRPr="00252307">
        <w:rPr>
          <w:rFonts w:ascii="Palatino Linotype" w:hAnsi="Palatino Linotype"/>
          <w:szCs w:val="22"/>
        </w:rPr>
        <w:t>a) Complejidad del asunto: La complejidad de la prueba, la pluralidad de sujetos procesales, el tiempo transcurrido, las características y contexto del recurso.</w:t>
      </w:r>
    </w:p>
    <w:p w:rsidR="00AF2A58" w:rsidRPr="00252307" w:rsidRDefault="00AF2A58" w:rsidP="00AF2A58">
      <w:pPr>
        <w:pStyle w:val="Prrafodelista"/>
        <w:spacing w:before="240" w:after="240"/>
        <w:ind w:left="567" w:right="565"/>
        <w:jc w:val="both"/>
        <w:rPr>
          <w:rFonts w:ascii="Palatino Linotype" w:hAnsi="Palatino Linotype"/>
          <w:szCs w:val="22"/>
        </w:rPr>
      </w:pPr>
      <w:r w:rsidRPr="00252307">
        <w:rPr>
          <w:rFonts w:ascii="Palatino Linotype" w:hAnsi="Palatino Linotype"/>
          <w:szCs w:val="22"/>
        </w:rPr>
        <w:t>b) Actividad Procesal del interesado: Acciones u omisiones del interesado.</w:t>
      </w:r>
    </w:p>
    <w:p w:rsidR="00AF2A58" w:rsidRPr="00252307" w:rsidRDefault="00AF2A58" w:rsidP="00AF2A58">
      <w:pPr>
        <w:pStyle w:val="Prrafodelista"/>
        <w:spacing w:before="240" w:after="240"/>
        <w:ind w:left="567" w:right="565"/>
        <w:jc w:val="both"/>
        <w:rPr>
          <w:rFonts w:ascii="Palatino Linotype" w:hAnsi="Palatino Linotype"/>
          <w:szCs w:val="22"/>
        </w:rPr>
      </w:pPr>
      <w:r w:rsidRPr="00252307">
        <w:rPr>
          <w:rFonts w:ascii="Palatino Linotype" w:hAnsi="Palatino Linotype"/>
          <w:szCs w:val="22"/>
        </w:rPr>
        <w:t>c) Conducta de la Autoridad: Las Acciones u omisiones realizadas en el procedimiento. Así como si la autoridad actuó con la debida diligencia.</w:t>
      </w:r>
    </w:p>
    <w:p w:rsidR="00C82ED1" w:rsidRPr="00252307" w:rsidRDefault="00AF2A58" w:rsidP="00C82ED1">
      <w:pPr>
        <w:pStyle w:val="Prrafodelista"/>
        <w:spacing w:before="240" w:after="240"/>
        <w:ind w:left="567" w:right="565"/>
        <w:jc w:val="both"/>
        <w:rPr>
          <w:rFonts w:ascii="Palatino Linotype" w:hAnsi="Palatino Linotype"/>
          <w:szCs w:val="22"/>
        </w:rPr>
      </w:pPr>
      <w:r w:rsidRPr="00252307">
        <w:rPr>
          <w:rFonts w:ascii="Palatino Linotype" w:hAnsi="Palatino Linotype"/>
          <w:szCs w:val="22"/>
        </w:rPr>
        <w:t>d) La afectación generada en la situación jurídica de la persona involucrada en el proceso: Vi</w:t>
      </w:r>
      <w:r w:rsidR="00C82ED1" w:rsidRPr="00252307">
        <w:rPr>
          <w:rFonts w:ascii="Palatino Linotype" w:hAnsi="Palatino Linotype"/>
          <w:szCs w:val="22"/>
        </w:rPr>
        <w:t>olación a sus derechos humanos.</w:t>
      </w:r>
    </w:p>
    <w:p w:rsidR="00C82ED1" w:rsidRPr="00252307" w:rsidRDefault="00C82ED1" w:rsidP="000C0976">
      <w:pPr>
        <w:pStyle w:val="Prrafodelista"/>
        <w:spacing w:before="240" w:after="240"/>
        <w:ind w:left="567" w:right="565"/>
        <w:jc w:val="both"/>
        <w:rPr>
          <w:rFonts w:ascii="Palatino Linotype" w:hAnsi="Palatino Linotype"/>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2A58" w:rsidRPr="00252307" w:rsidRDefault="00AF2A58" w:rsidP="00C82ED1">
      <w:pPr>
        <w:ind w:right="1"/>
        <w:jc w:val="both"/>
        <w:rPr>
          <w:rFonts w:ascii="Palatino Linotype" w:eastAsia="Palatino Linotype" w:hAnsi="Palatino Linotype" w:cs="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Argumento que encuentra sustento en la jurisprudencia P</w:t>
      </w:r>
      <w:proofErr w:type="gramStart"/>
      <w:r w:rsidRPr="00252307">
        <w:rPr>
          <w:rFonts w:ascii="Palatino Linotype" w:hAnsi="Palatino Linotype"/>
          <w:sz w:val="22"/>
          <w:szCs w:val="22"/>
        </w:rPr>
        <w:t>./</w:t>
      </w:r>
      <w:proofErr w:type="gramEnd"/>
      <w:r w:rsidRPr="00252307">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AF2A58" w:rsidRPr="00252307" w:rsidRDefault="00AF2A58" w:rsidP="00C82ED1">
      <w:pPr>
        <w:ind w:right="1"/>
        <w:jc w:val="both"/>
        <w:rPr>
          <w:rFonts w:ascii="Palatino Linotype" w:eastAsia="Palatino Linotype" w:hAnsi="Palatino Linotype" w:cs="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 xml:space="preserve">Razones por las cuales cabe concluir que, la resolución al recurso de revisión se solventa hasta esta fecha, debido a que existe una excesiva carga de trabajo en desproporción a la </w:t>
      </w:r>
      <w:r w:rsidRPr="00252307">
        <w:rPr>
          <w:rFonts w:ascii="Palatino Linotype" w:hAnsi="Palatino Linotype"/>
          <w:sz w:val="22"/>
          <w:szCs w:val="22"/>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F2A58" w:rsidRPr="00252307" w:rsidRDefault="00AF2A58" w:rsidP="00C82ED1">
      <w:pPr>
        <w:ind w:right="1"/>
        <w:jc w:val="both"/>
        <w:rPr>
          <w:rFonts w:ascii="Palatino Linotype" w:eastAsia="Palatino Linotype" w:hAnsi="Palatino Linotype" w:cs="Palatino Linotype"/>
          <w:sz w:val="22"/>
          <w:szCs w:val="22"/>
        </w:rPr>
      </w:pPr>
    </w:p>
    <w:p w:rsidR="00AF2A58" w:rsidRPr="002523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AF2A58" w:rsidRPr="00252307" w:rsidRDefault="00AF2A58" w:rsidP="00AF2A58">
      <w:pPr>
        <w:tabs>
          <w:tab w:val="left" w:pos="8364"/>
        </w:tabs>
        <w:spacing w:before="240" w:after="240"/>
        <w:ind w:left="567" w:right="565"/>
        <w:jc w:val="both"/>
        <w:rPr>
          <w:rFonts w:ascii="Palatino Linotype" w:hAnsi="Palatino Linotype"/>
          <w:sz w:val="22"/>
          <w:szCs w:val="22"/>
        </w:rPr>
      </w:pPr>
      <w:r w:rsidRPr="00252307">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AF2A58" w:rsidRPr="00252307" w:rsidRDefault="00AF2A58" w:rsidP="00AF2A58">
      <w:pPr>
        <w:pStyle w:val="Prrafodelista"/>
        <w:tabs>
          <w:tab w:val="left" w:pos="8364"/>
        </w:tabs>
        <w:spacing w:before="240" w:after="240"/>
        <w:ind w:left="567" w:right="565"/>
        <w:jc w:val="both"/>
        <w:rPr>
          <w:rFonts w:ascii="Palatino Linotype" w:hAnsi="Palatino Linotype"/>
          <w:szCs w:val="22"/>
        </w:rPr>
      </w:pPr>
      <w:r w:rsidRPr="00252307">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AF2A58" w:rsidRPr="00252307" w:rsidRDefault="00AF2A58" w:rsidP="00AF2A58">
      <w:pPr>
        <w:pStyle w:val="Prrafodelista"/>
        <w:tabs>
          <w:tab w:val="left" w:pos="8364"/>
        </w:tabs>
        <w:ind w:left="567" w:right="565"/>
        <w:rPr>
          <w:rFonts w:ascii="Palatino Linotype" w:hAnsi="Palatino Linotype"/>
          <w:szCs w:val="22"/>
        </w:rPr>
      </w:pPr>
      <w:r w:rsidRPr="00252307">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AF2A58" w:rsidRPr="00252307" w:rsidRDefault="00AF2A58" w:rsidP="00C82ED1">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La Comisionada Ponente decretó el cierre de instrucción mediante el acuerdo del </w:t>
      </w:r>
      <w:r w:rsidR="00302FE8" w:rsidRPr="00252307">
        <w:rPr>
          <w:rFonts w:ascii="Palatino Linotype" w:eastAsia="Palatino Linotype" w:hAnsi="Palatino Linotype" w:cs="Palatino Linotype"/>
          <w:sz w:val="22"/>
          <w:szCs w:val="22"/>
        </w:rPr>
        <w:t>veintiséis</w:t>
      </w:r>
      <w:r w:rsidR="00AF2A58" w:rsidRPr="00252307">
        <w:rPr>
          <w:rFonts w:ascii="Palatino Linotype" w:eastAsia="Palatino Linotype" w:hAnsi="Palatino Linotype" w:cs="Palatino Linotype"/>
          <w:sz w:val="22"/>
          <w:szCs w:val="22"/>
        </w:rPr>
        <w:t xml:space="preserve"> de febrero de dos mil veinticinco</w:t>
      </w:r>
      <w:r w:rsidRPr="00252307">
        <w:rPr>
          <w:rFonts w:ascii="Palatino Linotype" w:eastAsia="Palatino Linotype" w:hAnsi="Palatino Linotype" w:cs="Palatino Linotype"/>
          <w:sz w:val="22"/>
          <w:szCs w:val="22"/>
        </w:rPr>
        <w:t>.-------------------------------------------------------------</w:t>
      </w:r>
      <w:r w:rsidR="00C82ED1" w:rsidRPr="00252307">
        <w:rPr>
          <w:rFonts w:ascii="Palatino Linotype" w:eastAsia="Palatino Linotype" w:hAnsi="Palatino Linotype" w:cs="Palatino Linotype"/>
          <w:sz w:val="22"/>
          <w:szCs w:val="22"/>
        </w:rPr>
        <w:t>-------</w:t>
      </w:r>
      <w:r w:rsidR="00302FE8" w:rsidRPr="00252307">
        <w:rPr>
          <w:rFonts w:ascii="Palatino Linotype" w:eastAsia="Palatino Linotype" w:hAnsi="Palatino Linotype" w:cs="Palatino Linotype"/>
          <w:sz w:val="22"/>
          <w:szCs w:val="22"/>
        </w:rPr>
        <w:t>--</w:t>
      </w:r>
    </w:p>
    <w:p w:rsidR="00E94D86" w:rsidRPr="00252307" w:rsidRDefault="00E94D86" w:rsidP="00C82ED1">
      <w:pPr>
        <w:rPr>
          <w:rFonts w:ascii="Palatino Linotype" w:eastAsia="Palatino Linotype" w:hAnsi="Palatino Linotype" w:cs="Palatino Linotype"/>
          <w:b/>
          <w:sz w:val="22"/>
          <w:szCs w:val="22"/>
        </w:rPr>
      </w:pPr>
    </w:p>
    <w:p w:rsidR="00E94D86" w:rsidRPr="00252307" w:rsidRDefault="001E3125">
      <w:pPr>
        <w:keepNext/>
        <w:keepLines/>
        <w:spacing w:line="360" w:lineRule="auto"/>
        <w:ind w:right="-592"/>
        <w:jc w:val="center"/>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 xml:space="preserve">C O N S I D E R A N D O </w:t>
      </w:r>
    </w:p>
    <w:p w:rsidR="00E94D86" w:rsidRPr="00252307" w:rsidRDefault="00E94D86" w:rsidP="00C82ED1">
      <w:pPr>
        <w:keepNext/>
        <w:keepLines/>
        <w:ind w:right="-592"/>
        <w:rPr>
          <w:rFonts w:ascii="Palatino Linotype" w:eastAsia="Palatino Linotype" w:hAnsi="Palatino Linotype" w:cs="Palatino Linotype"/>
          <w:sz w:val="22"/>
          <w:szCs w:val="22"/>
        </w:rPr>
      </w:pPr>
    </w:p>
    <w:p w:rsidR="00E94D86" w:rsidRPr="00252307" w:rsidRDefault="001E3125">
      <w:pPr>
        <w:keepNext/>
        <w:keepLines/>
        <w:spacing w:line="360" w:lineRule="auto"/>
        <w:ind w:right="-592"/>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PRIMERO. De la competencia.</w:t>
      </w:r>
    </w:p>
    <w:p w:rsidR="00E94D86" w:rsidRPr="00252307" w:rsidRDefault="00E94D86" w:rsidP="00C82ED1">
      <w:pPr>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0" w:name="_heading=h.3znysh7" w:colFirst="0" w:colLast="0"/>
      <w:bookmarkEnd w:id="0"/>
      <w:r w:rsidRPr="0025230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es competente para conocer y resolver del </w:t>
      </w:r>
      <w:r w:rsidRPr="00252307">
        <w:rPr>
          <w:rFonts w:ascii="Palatino Linotype" w:eastAsia="Palatino Linotype" w:hAnsi="Palatino Linotype" w:cs="Palatino Linotype"/>
          <w:sz w:val="22"/>
          <w:szCs w:val="22"/>
        </w:rPr>
        <w:lastRenderedPageBreak/>
        <w:t>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E94D86" w:rsidRPr="00252307" w:rsidRDefault="00E94D86" w:rsidP="00C82ED1">
      <w:pPr>
        <w:ind w:right="1"/>
        <w:jc w:val="both"/>
        <w:rPr>
          <w:rFonts w:ascii="Palatino Linotype" w:eastAsia="Palatino Linotype" w:hAnsi="Palatino Linotype" w:cs="Palatino Linotype"/>
          <w:sz w:val="22"/>
          <w:szCs w:val="22"/>
        </w:rPr>
      </w:pPr>
    </w:p>
    <w:p w:rsidR="00E94D86" w:rsidRPr="00252307" w:rsidRDefault="001E3125">
      <w:pPr>
        <w:keepNext/>
        <w:keepLines/>
        <w:spacing w:line="360" w:lineRule="auto"/>
        <w:ind w:right="1"/>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SEGUNDO. De la oportunidad y procedencia.</w:t>
      </w:r>
    </w:p>
    <w:p w:rsidR="00E94D86" w:rsidRPr="00252307" w:rsidRDefault="00E94D86" w:rsidP="00C82ED1">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dy6vkm" w:colFirst="0" w:colLast="0"/>
      <w:bookmarkEnd w:id="1"/>
      <w:r w:rsidRPr="00252307">
        <w:rPr>
          <w:rFonts w:ascii="Palatino Linotype" w:eastAsia="Palatino Linotype" w:hAnsi="Palatino Linotype" w:cs="Palatino Linotype"/>
          <w:sz w:val="22"/>
          <w:szCs w:val="22"/>
        </w:rPr>
        <w:t xml:space="preserve">El medio de impugnación fue presentado a través del </w:t>
      </w:r>
      <w:r w:rsidRPr="00252307">
        <w:rPr>
          <w:rFonts w:ascii="Palatino Linotype" w:eastAsia="Palatino Linotype" w:hAnsi="Palatino Linotype" w:cs="Palatino Linotype"/>
          <w:b/>
          <w:sz w:val="22"/>
          <w:szCs w:val="22"/>
        </w:rPr>
        <w:t>SAIMEX,</w:t>
      </w:r>
      <w:r w:rsidRPr="00252307">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entregó respuesta el </w:t>
      </w:r>
      <w:r w:rsidR="00302FE8" w:rsidRPr="00252307">
        <w:rPr>
          <w:rFonts w:ascii="Palatino Linotype" w:eastAsia="Palatino Linotype" w:hAnsi="Palatino Linotype" w:cs="Palatino Linotype"/>
          <w:sz w:val="22"/>
          <w:szCs w:val="22"/>
        </w:rPr>
        <w:t>diecisiete de junio</w:t>
      </w:r>
      <w:r w:rsidRPr="00252307">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302FE8" w:rsidRPr="00252307">
        <w:rPr>
          <w:rFonts w:ascii="Palatino Linotype" w:eastAsia="Palatino Linotype" w:hAnsi="Palatino Linotype" w:cs="Palatino Linotype"/>
          <w:sz w:val="22"/>
          <w:szCs w:val="22"/>
        </w:rPr>
        <w:t>dieciocho de junio</w:t>
      </w:r>
      <w:r w:rsidR="00AF2A58"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 xml:space="preserve">al </w:t>
      </w:r>
      <w:r w:rsidR="00302FE8" w:rsidRPr="00252307">
        <w:rPr>
          <w:rFonts w:ascii="Palatino Linotype" w:eastAsia="Palatino Linotype" w:hAnsi="Palatino Linotype" w:cs="Palatino Linotype"/>
          <w:sz w:val="22"/>
          <w:szCs w:val="22"/>
        </w:rPr>
        <w:t>ocho de julio</w:t>
      </w:r>
      <w:r w:rsidRPr="00252307">
        <w:rPr>
          <w:rFonts w:ascii="Palatino Linotype" w:eastAsia="Palatino Linotype" w:hAnsi="Palatino Linotype" w:cs="Palatino Linotype"/>
          <w:sz w:val="22"/>
          <w:szCs w:val="22"/>
        </w:rPr>
        <w:t xml:space="preserve"> de dos mil veinticuatro; en consecuencia, presentó su inconformidad el </w:t>
      </w:r>
      <w:r w:rsidR="00302FE8" w:rsidRPr="00252307">
        <w:rPr>
          <w:rFonts w:ascii="Palatino Linotype" w:eastAsia="Palatino Linotype" w:hAnsi="Palatino Linotype" w:cs="Palatino Linotype"/>
          <w:sz w:val="22"/>
          <w:szCs w:val="22"/>
        </w:rPr>
        <w:t>dieciocho de junio</w:t>
      </w:r>
      <w:r w:rsidRPr="00252307">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252307">
        <w:rPr>
          <w:rFonts w:ascii="Palatino Linotype" w:eastAsia="Palatino Linotype" w:hAnsi="Palatino Linotype" w:cs="Palatino Linotype"/>
          <w:b/>
          <w:sz w:val="22"/>
          <w:szCs w:val="22"/>
        </w:rPr>
        <w:t xml:space="preserve">Ley de Transparencia y Acceso a la Información Pública del Estado de México y Municipios </w:t>
      </w:r>
      <w:r w:rsidRPr="00252307">
        <w:rPr>
          <w:rFonts w:ascii="Palatino Linotype" w:eastAsia="Palatino Linotype" w:hAnsi="Palatino Linotype" w:cs="Palatino Linotype"/>
          <w:sz w:val="22"/>
          <w:szCs w:val="22"/>
        </w:rPr>
        <w:t>vigente.</w:t>
      </w:r>
    </w:p>
    <w:p w:rsidR="00AF2A58" w:rsidRPr="00252307" w:rsidRDefault="00AF2A58" w:rsidP="00C82ED1">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252307" w:rsidRDefault="00E94D86" w:rsidP="00C82ED1">
      <w:pPr>
        <w:ind w:right="-592"/>
        <w:jc w:val="both"/>
        <w:rPr>
          <w:rFonts w:ascii="Palatino Linotype" w:eastAsia="Palatino Linotype" w:hAnsi="Palatino Linotype" w:cs="Palatino Linotype"/>
          <w:b/>
          <w:sz w:val="22"/>
          <w:szCs w:val="22"/>
        </w:rPr>
      </w:pPr>
    </w:p>
    <w:p w:rsidR="00E94D86" w:rsidRPr="00252307" w:rsidRDefault="001E3125">
      <w:pPr>
        <w:spacing w:line="360" w:lineRule="auto"/>
        <w:ind w:right="-592"/>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TERCERO. Planteamiento de la Litis.</w:t>
      </w:r>
    </w:p>
    <w:p w:rsidR="00E94D86" w:rsidRPr="00252307" w:rsidRDefault="00E94D86" w:rsidP="00C82ED1">
      <w:pPr>
        <w:ind w:right="-592"/>
        <w:jc w:val="both"/>
        <w:rPr>
          <w:rFonts w:ascii="Palatino Linotype" w:eastAsia="Palatino Linotype" w:hAnsi="Palatino Linotype" w:cs="Palatino Linotype"/>
          <w:b/>
          <w:sz w:val="22"/>
          <w:szCs w:val="22"/>
        </w:rPr>
      </w:pPr>
    </w:p>
    <w:p w:rsidR="00AA0813" w:rsidRPr="00252307" w:rsidRDefault="001E3125" w:rsidP="00AA081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lastRenderedPageBreak/>
        <w:t xml:space="preserve">El </w:t>
      </w:r>
      <w:r w:rsidRPr="00252307">
        <w:rPr>
          <w:rFonts w:ascii="Palatino Linotype" w:eastAsia="Palatino Linotype" w:hAnsi="Palatino Linotype" w:cs="Palatino Linotype"/>
          <w:b/>
          <w:sz w:val="22"/>
          <w:szCs w:val="22"/>
        </w:rPr>
        <w:t>RECURRENTE</w:t>
      </w:r>
      <w:r w:rsidR="00A42556" w:rsidRPr="00252307">
        <w:rPr>
          <w:rFonts w:ascii="Palatino Linotype" w:eastAsia="Palatino Linotype" w:hAnsi="Palatino Linotype" w:cs="Palatino Linotype"/>
          <w:b/>
          <w:sz w:val="22"/>
          <w:szCs w:val="22"/>
        </w:rPr>
        <w:t xml:space="preserve"> </w:t>
      </w:r>
      <w:r w:rsidR="00A42556" w:rsidRPr="00252307">
        <w:rPr>
          <w:rFonts w:ascii="Palatino Linotype" w:eastAsia="Palatino Linotype" w:hAnsi="Palatino Linotype" w:cs="Palatino Linotype"/>
          <w:sz w:val="22"/>
          <w:szCs w:val="22"/>
        </w:rPr>
        <w:t xml:space="preserve">solicitó </w:t>
      </w:r>
      <w:r w:rsidR="00831332" w:rsidRPr="00252307">
        <w:rPr>
          <w:rFonts w:ascii="Palatino Linotype" w:hAnsi="Palatino Linotype"/>
          <w:color w:val="000000"/>
          <w:sz w:val="22"/>
          <w:szCs w:val="22"/>
        </w:rPr>
        <w:t xml:space="preserve">el </w:t>
      </w:r>
      <w:r w:rsidR="00302FE8" w:rsidRPr="00252307">
        <w:rPr>
          <w:rFonts w:ascii="Palatino Linotype" w:hAnsi="Palatino Linotype"/>
          <w:color w:val="000000"/>
          <w:sz w:val="22"/>
          <w:szCs w:val="22"/>
        </w:rPr>
        <w:t xml:space="preserve">currículo, comprobante de estudios, FUMP, fecha de alta y el sueldo del personal de la Coordinación de Estudios y Proyectos Especiales; asimismo, </w:t>
      </w:r>
      <w:r w:rsidR="003843C2" w:rsidRPr="00252307">
        <w:rPr>
          <w:rFonts w:ascii="Palatino Linotype" w:hAnsi="Palatino Linotype"/>
          <w:color w:val="000000"/>
          <w:sz w:val="22"/>
          <w:szCs w:val="22"/>
        </w:rPr>
        <w:t xml:space="preserve">requirió </w:t>
      </w:r>
      <w:r w:rsidR="00302FE8" w:rsidRPr="00252307">
        <w:rPr>
          <w:rFonts w:ascii="Palatino Linotype" w:hAnsi="Palatino Linotype"/>
          <w:color w:val="000000"/>
          <w:sz w:val="22"/>
          <w:szCs w:val="22"/>
        </w:rPr>
        <w:t xml:space="preserve">la autorización para que el personal </w:t>
      </w:r>
      <w:r w:rsidR="000C0976" w:rsidRPr="00252307">
        <w:rPr>
          <w:rFonts w:ascii="Palatino Linotype" w:hAnsi="Palatino Linotype"/>
          <w:color w:val="000000"/>
          <w:sz w:val="22"/>
          <w:szCs w:val="22"/>
        </w:rPr>
        <w:t>esté</w:t>
      </w:r>
      <w:r w:rsidR="003843C2" w:rsidRPr="00252307">
        <w:rPr>
          <w:rFonts w:ascii="Palatino Linotype" w:hAnsi="Palatino Linotype"/>
          <w:color w:val="000000"/>
          <w:sz w:val="22"/>
          <w:szCs w:val="22"/>
        </w:rPr>
        <w:t xml:space="preserve"> en campañas municipales y no en la oficina de trabajo.</w:t>
      </w:r>
    </w:p>
    <w:p w:rsidR="00E94D86" w:rsidRPr="00252307" w:rsidRDefault="00E94D86" w:rsidP="00073512">
      <w:pPr>
        <w:tabs>
          <w:tab w:val="left" w:pos="1740"/>
        </w:tabs>
        <w:spacing w:line="360" w:lineRule="auto"/>
        <w:ind w:right="1"/>
        <w:jc w:val="both"/>
        <w:rPr>
          <w:rFonts w:ascii="Palatino Linotype" w:eastAsia="Palatino Linotype" w:hAnsi="Palatino Linotype" w:cs="Palatino Linotype"/>
          <w:b/>
          <w:sz w:val="22"/>
          <w:szCs w:val="22"/>
        </w:rPr>
      </w:pPr>
    </w:p>
    <w:p w:rsidR="003843C2" w:rsidRPr="00252307" w:rsidRDefault="001E3125" w:rsidP="003843C2">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En respuesta,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w:t>
      </w:r>
      <w:r w:rsidR="003843C2" w:rsidRPr="00252307">
        <w:rPr>
          <w:rFonts w:ascii="Palatino Linotype" w:eastAsia="Palatino Linotype" w:hAnsi="Palatino Linotype" w:cs="Palatino Linotype"/>
          <w:sz w:val="22"/>
          <w:szCs w:val="22"/>
        </w:rPr>
        <w:t xml:space="preserve">por medio del </w:t>
      </w:r>
      <w:r w:rsidR="003843C2" w:rsidRPr="00252307">
        <w:rPr>
          <w:rFonts w:ascii="Palatino Linotype" w:hAnsi="Palatino Linotype"/>
          <w:sz w:val="22"/>
          <w:szCs w:val="22"/>
        </w:rPr>
        <w:t>Subdirector de Administración del Capital Humano</w:t>
      </w:r>
      <w:r w:rsidR="00663C8A" w:rsidRPr="00252307">
        <w:rPr>
          <w:rFonts w:ascii="Palatino Linotype" w:hAnsi="Palatino Linotype"/>
          <w:sz w:val="22"/>
          <w:szCs w:val="22"/>
        </w:rPr>
        <w:t xml:space="preserve">, refirió que no se encontró información concerniente al personal de la “Coordinación de Estudios y Proyectos Especiales” como se expresó tácitamente, en la base de datos, los </w:t>
      </w:r>
      <w:r w:rsidR="003843C2" w:rsidRPr="00252307">
        <w:rPr>
          <w:rFonts w:ascii="Palatino Linotype" w:hAnsi="Palatino Linotype"/>
          <w:sz w:val="22"/>
          <w:szCs w:val="22"/>
        </w:rPr>
        <w:t>expedientes o cualquier documentación física de la Unidad Administrativa a su cargo, por lo cual, no puede proporcionar la información solicitada. Asimismo, sugirió verificar lo manifestado en el organigrama de la Secretaría de Movilidad del Estado de M</w:t>
      </w:r>
      <w:r w:rsidR="00663C8A" w:rsidRPr="00252307">
        <w:rPr>
          <w:rFonts w:ascii="Palatino Linotype" w:hAnsi="Palatino Linotype"/>
          <w:sz w:val="22"/>
          <w:szCs w:val="22"/>
        </w:rPr>
        <w:t>éxico.</w:t>
      </w:r>
    </w:p>
    <w:p w:rsidR="00E94D86" w:rsidRPr="00252307" w:rsidRDefault="00E94D86" w:rsidP="00C82ED1">
      <w:pPr>
        <w:ind w:right="1"/>
        <w:rPr>
          <w:rFonts w:ascii="Palatino Linotype" w:eastAsia="Palatino Linotype" w:hAnsi="Palatino Linotype" w:cs="Palatino Linotype"/>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Posteriormente, el </w:t>
      </w:r>
      <w:r w:rsidRPr="00252307">
        <w:rPr>
          <w:rFonts w:ascii="Palatino Linotype" w:eastAsia="Palatino Linotype" w:hAnsi="Palatino Linotype" w:cs="Palatino Linotype"/>
          <w:b/>
          <w:sz w:val="22"/>
          <w:szCs w:val="22"/>
        </w:rPr>
        <w:t>RECURRENTE</w:t>
      </w:r>
      <w:r w:rsidRPr="00252307">
        <w:rPr>
          <w:rFonts w:ascii="Palatino Linotype" w:eastAsia="Palatino Linotype" w:hAnsi="Palatino Linotype" w:cs="Palatino Linotype"/>
          <w:sz w:val="22"/>
          <w:szCs w:val="22"/>
        </w:rPr>
        <w:t xml:space="preserve"> se inconformó por </w:t>
      </w:r>
      <w:r w:rsidRPr="00252307">
        <w:rPr>
          <w:rFonts w:ascii="Palatino Linotype" w:eastAsia="Palatino Linotype" w:hAnsi="Palatino Linotype" w:cs="Palatino Linotype"/>
          <w:b/>
          <w:sz w:val="22"/>
          <w:szCs w:val="22"/>
        </w:rPr>
        <w:t xml:space="preserve">la </w:t>
      </w:r>
      <w:r w:rsidR="00AA0813" w:rsidRPr="00252307">
        <w:rPr>
          <w:rFonts w:ascii="Palatino Linotype" w:eastAsia="Palatino Linotype" w:hAnsi="Palatino Linotype" w:cs="Palatino Linotype"/>
          <w:b/>
          <w:sz w:val="22"/>
          <w:szCs w:val="22"/>
        </w:rPr>
        <w:t>negativa de la información solicitada.</w:t>
      </w:r>
    </w:p>
    <w:p w:rsidR="00E94D86" w:rsidRPr="00252307" w:rsidRDefault="00E94D86" w:rsidP="00C82ED1">
      <w:pPr>
        <w:ind w:right="1"/>
        <w:rPr>
          <w:rFonts w:ascii="Palatino Linotype" w:eastAsia="Palatino Linotype" w:hAnsi="Palatino Linotype" w:cs="Palatino Linotype"/>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gjdgxs" w:colFirst="0" w:colLast="0"/>
      <w:bookmarkEnd w:id="2"/>
      <w:r w:rsidRPr="00252307">
        <w:rPr>
          <w:rFonts w:ascii="Palatino Linotype" w:eastAsia="Palatino Linotype" w:hAnsi="Palatino Linotype" w:cs="Palatino Linotype"/>
          <w:sz w:val="22"/>
          <w:szCs w:val="22"/>
        </w:rPr>
        <w:t xml:space="preserve">En dichas condiciones, la </w:t>
      </w:r>
      <w:r w:rsidRPr="00252307">
        <w:rPr>
          <w:rFonts w:ascii="Palatino Linotype" w:eastAsia="Palatino Linotype" w:hAnsi="Palatino Linotype" w:cs="Palatino Linotype"/>
          <w:i/>
          <w:sz w:val="22"/>
          <w:szCs w:val="22"/>
        </w:rPr>
        <w:t>Litis</w:t>
      </w:r>
      <w:r w:rsidRPr="00252307">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252307">
        <w:rPr>
          <w:rFonts w:ascii="Palatino Linotype" w:eastAsia="Palatino Linotype" w:hAnsi="Palatino Linotype" w:cs="Palatino Linotype"/>
          <w:b/>
          <w:sz w:val="22"/>
          <w:szCs w:val="22"/>
        </w:rPr>
        <w:t xml:space="preserve"> </w:t>
      </w:r>
      <w:r w:rsidR="00AA0813" w:rsidRPr="00252307">
        <w:rPr>
          <w:rFonts w:ascii="Palatino Linotype" w:eastAsia="Palatino Linotype" w:hAnsi="Palatino Linotype" w:cs="Palatino Linotype"/>
          <w:sz w:val="22"/>
          <w:szCs w:val="22"/>
        </w:rPr>
        <w:t>I</w:t>
      </w:r>
      <w:r w:rsidRPr="00252307">
        <w:rPr>
          <w:rFonts w:ascii="Palatino Linotype" w:eastAsia="Palatino Linotype" w:hAnsi="Palatino Linotype" w:cs="Palatino Linotype"/>
          <w:sz w:val="22"/>
          <w:szCs w:val="22"/>
        </w:rPr>
        <w:t xml:space="preserve"> de la </w:t>
      </w:r>
      <w:r w:rsidRPr="00252307">
        <w:rPr>
          <w:rFonts w:ascii="Palatino Linotype" w:eastAsia="Palatino Linotype" w:hAnsi="Palatino Linotype" w:cs="Palatino Linotype"/>
          <w:b/>
          <w:sz w:val="22"/>
          <w:szCs w:val="22"/>
        </w:rPr>
        <w:t>Ley de Transparencia y Acceso a la Información Pública del Estado de México y Municipios</w:t>
      </w:r>
      <w:r w:rsidRPr="00252307">
        <w:rPr>
          <w:rFonts w:ascii="Palatino Linotype" w:eastAsia="Palatino Linotype" w:hAnsi="Palatino Linotype" w:cs="Palatino Linotype"/>
          <w:sz w:val="22"/>
          <w:szCs w:val="22"/>
        </w:rPr>
        <w:t>.</w:t>
      </w:r>
    </w:p>
    <w:p w:rsidR="00E94D86" w:rsidRPr="00252307" w:rsidRDefault="00E94D86" w:rsidP="00C82ED1">
      <w:pPr>
        <w:ind w:right="1"/>
        <w:jc w:val="both"/>
        <w:rPr>
          <w:rFonts w:ascii="Palatino Linotype" w:eastAsia="Palatino Linotype" w:hAnsi="Palatino Linotype" w:cs="Palatino Linotype"/>
          <w:b/>
          <w:sz w:val="22"/>
          <w:szCs w:val="22"/>
        </w:rPr>
      </w:pPr>
    </w:p>
    <w:p w:rsidR="00E94D86" w:rsidRPr="00252307" w:rsidRDefault="001E3125">
      <w:pPr>
        <w:pStyle w:val="Ttulo2"/>
        <w:spacing w:before="0" w:line="360" w:lineRule="auto"/>
        <w:ind w:right="1"/>
        <w:rPr>
          <w:rFonts w:ascii="Palatino Linotype" w:eastAsia="Palatino Linotype" w:hAnsi="Palatino Linotype" w:cs="Palatino Linotype"/>
          <w:b/>
          <w:color w:val="000000"/>
          <w:sz w:val="22"/>
          <w:szCs w:val="22"/>
        </w:rPr>
      </w:pPr>
      <w:r w:rsidRPr="00252307">
        <w:rPr>
          <w:rFonts w:ascii="Palatino Linotype" w:eastAsia="Palatino Linotype" w:hAnsi="Palatino Linotype" w:cs="Palatino Linotype"/>
          <w:b/>
          <w:color w:val="000000"/>
          <w:sz w:val="22"/>
          <w:szCs w:val="22"/>
        </w:rPr>
        <w:t>CUARTA. Estudio y resolución del asunto.</w:t>
      </w:r>
    </w:p>
    <w:p w:rsidR="00E94D86" w:rsidRPr="00252307" w:rsidRDefault="00E94D86" w:rsidP="00831332">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 xml:space="preserve">El </w:t>
      </w:r>
      <w:r w:rsidRPr="00252307">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252307">
        <w:rPr>
          <w:rFonts w:ascii="Palatino Linotype" w:eastAsia="Palatino Linotype" w:hAnsi="Palatino Linotype" w:cs="Palatino Linotype"/>
          <w:sz w:val="22"/>
          <w:szCs w:val="22"/>
        </w:rPr>
        <w:t>Particular</w:t>
      </w:r>
      <w:r w:rsidRPr="00252307">
        <w:rPr>
          <w:rFonts w:ascii="Palatino Linotype" w:eastAsia="Palatino Linotype" w:hAnsi="Palatino Linotype" w:cs="Palatino Linotype"/>
          <w:color w:val="000000"/>
          <w:sz w:val="22"/>
          <w:szCs w:val="22"/>
        </w:rPr>
        <w:t xml:space="preserve"> del Estado de México.</w:t>
      </w:r>
    </w:p>
    <w:p w:rsidR="00E94D86" w:rsidRPr="00252307" w:rsidRDefault="00E94D86" w:rsidP="00831332">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lastRenderedPageBreak/>
        <w:t xml:space="preserve">Definiendo </w:t>
      </w:r>
      <w:r w:rsidRPr="00252307">
        <w:rPr>
          <w:rFonts w:ascii="Palatino Linotype" w:eastAsia="Palatino Linotype" w:hAnsi="Palatino Linotype" w:cs="Palatino Linotype"/>
          <w:sz w:val="22"/>
          <w:szCs w:val="22"/>
        </w:rPr>
        <w:t xml:space="preserve">el Derecho de Acceso a la Información Pública como: </w:t>
      </w:r>
      <w:r w:rsidRPr="00252307">
        <w:rPr>
          <w:rFonts w:ascii="Palatino Linotype" w:eastAsia="Palatino Linotype" w:hAnsi="Palatino Linotype" w:cs="Palatino Linotype"/>
          <w:i/>
          <w:color w:val="000000"/>
          <w:sz w:val="22"/>
          <w:szCs w:val="22"/>
        </w:rPr>
        <w:t xml:space="preserve">La igualdad de </w:t>
      </w:r>
      <w:r w:rsidRPr="00252307">
        <w:rPr>
          <w:rFonts w:ascii="Palatino Linotype" w:eastAsia="Palatino Linotype" w:hAnsi="Palatino Linotype" w:cs="Palatino Linotype"/>
          <w:sz w:val="22"/>
          <w:szCs w:val="22"/>
        </w:rPr>
        <w:t>oportunidades</w:t>
      </w:r>
      <w:r w:rsidRPr="00252307">
        <w:rPr>
          <w:rFonts w:ascii="Palatino Linotype" w:eastAsia="Palatino Linotype" w:hAnsi="Palatino Linotype" w:cs="Palatino Linotype"/>
          <w:i/>
          <w:color w:val="000000"/>
          <w:sz w:val="22"/>
          <w:szCs w:val="22"/>
        </w:rPr>
        <w:t xml:space="preserve"> para recibir, buscar e impartir información</w:t>
      </w:r>
      <w:r w:rsidRPr="00252307">
        <w:rPr>
          <w:rFonts w:ascii="Palatino Linotype" w:eastAsia="Palatino Linotype" w:hAnsi="Palatino Linotype" w:cs="Palatino Linotype"/>
          <w:i/>
          <w:color w:val="000000"/>
          <w:sz w:val="22"/>
          <w:szCs w:val="22"/>
          <w:vertAlign w:val="superscript"/>
        </w:rPr>
        <w:footnoteReference w:id="1"/>
      </w:r>
      <w:r w:rsidRPr="00252307">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52307">
        <w:rPr>
          <w:rFonts w:ascii="Palatino Linotype" w:eastAsia="Palatino Linotype" w:hAnsi="Palatino Linotype" w:cs="Palatino Linotype"/>
          <w:i/>
          <w:color w:val="000000"/>
          <w:sz w:val="22"/>
          <w:szCs w:val="22"/>
          <w:vertAlign w:val="superscript"/>
        </w:rPr>
        <w:footnoteReference w:id="2"/>
      </w:r>
      <w:r w:rsidRPr="00252307">
        <w:rPr>
          <w:rFonts w:ascii="Palatino Linotype" w:eastAsia="Palatino Linotype" w:hAnsi="Palatino Linotype" w:cs="Palatino Linotype"/>
          <w:color w:val="000000"/>
          <w:sz w:val="22"/>
          <w:szCs w:val="22"/>
        </w:rPr>
        <w:t>que se constituye como una herramienta fundamental para ejercer</w:t>
      </w:r>
      <w:r w:rsidRPr="00252307">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252307">
        <w:rPr>
          <w:rFonts w:ascii="Palatino Linotype" w:eastAsia="Palatino Linotype" w:hAnsi="Palatino Linotype" w:cs="Palatino Linotype"/>
          <w:i/>
          <w:color w:val="000000"/>
          <w:sz w:val="22"/>
          <w:szCs w:val="22"/>
          <w:vertAlign w:val="superscript"/>
        </w:rPr>
        <w:footnoteReference w:id="3"/>
      </w:r>
      <w:r w:rsidRPr="00252307">
        <w:rPr>
          <w:rFonts w:ascii="Palatino Linotype" w:eastAsia="Palatino Linotype" w:hAnsi="Palatino Linotype" w:cs="Palatino Linotype"/>
          <w:color w:val="000000"/>
          <w:sz w:val="22"/>
          <w:szCs w:val="22"/>
        </w:rPr>
        <w:t>fomentando</w:t>
      </w:r>
      <w:r w:rsidRPr="00252307">
        <w:rPr>
          <w:rFonts w:ascii="Palatino Linotype" w:eastAsia="Palatino Linotype" w:hAnsi="Palatino Linotype" w:cs="Palatino Linotype"/>
          <w:i/>
          <w:color w:val="000000"/>
          <w:sz w:val="22"/>
          <w:szCs w:val="22"/>
        </w:rPr>
        <w:t xml:space="preserve"> la transparencia de las actividades estatales y </w:t>
      </w:r>
      <w:r w:rsidRPr="00252307">
        <w:rPr>
          <w:rFonts w:ascii="Palatino Linotype" w:eastAsia="Palatino Linotype" w:hAnsi="Palatino Linotype" w:cs="Palatino Linotype"/>
          <w:color w:val="000000"/>
          <w:sz w:val="22"/>
          <w:szCs w:val="22"/>
        </w:rPr>
        <w:t>promoviendo</w:t>
      </w:r>
      <w:r w:rsidRPr="00252307">
        <w:rPr>
          <w:rFonts w:ascii="Palatino Linotype" w:eastAsia="Palatino Linotype" w:hAnsi="Palatino Linotype" w:cs="Palatino Linotype"/>
          <w:i/>
          <w:color w:val="000000"/>
          <w:sz w:val="22"/>
          <w:szCs w:val="22"/>
        </w:rPr>
        <w:t xml:space="preserve"> la responsabilidad de los funcionarios sobre su gestión pública,</w:t>
      </w:r>
      <w:r w:rsidRPr="00252307">
        <w:rPr>
          <w:rFonts w:ascii="Palatino Linotype" w:eastAsia="Palatino Linotype" w:hAnsi="Palatino Linotype" w:cs="Palatino Linotype"/>
          <w:i/>
          <w:color w:val="000000"/>
          <w:sz w:val="22"/>
          <w:szCs w:val="22"/>
          <w:vertAlign w:val="superscript"/>
        </w:rPr>
        <w:footnoteReference w:id="4"/>
      </w:r>
      <w:r w:rsidRPr="00252307">
        <w:rPr>
          <w:rFonts w:ascii="Palatino Linotype" w:eastAsia="Palatino Linotype" w:hAnsi="Palatino Linotype" w:cs="Palatino Linotype"/>
          <w:color w:val="000000"/>
          <w:sz w:val="22"/>
          <w:szCs w:val="22"/>
        </w:rPr>
        <w:t>que permite</w:t>
      </w:r>
      <w:r w:rsidRPr="00252307">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E94D86" w:rsidRPr="00252307" w:rsidRDefault="00E94D86" w:rsidP="00827BFE">
      <w:pPr>
        <w:ind w:right="1"/>
        <w:rPr>
          <w:rFonts w:ascii="Palatino Linotype" w:eastAsia="Palatino Linotype" w:hAnsi="Palatino Linotype" w:cs="Palatino Linotype"/>
          <w:color w:val="000000"/>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En </w:t>
      </w:r>
      <w:r w:rsidRPr="00252307">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E94D86" w:rsidRPr="00252307" w:rsidRDefault="00E94D86" w:rsidP="00831332">
      <w:pPr>
        <w:ind w:right="-592"/>
        <w:jc w:val="both"/>
        <w:rPr>
          <w:rFonts w:ascii="Palatino Linotype" w:eastAsia="Palatino Linotype" w:hAnsi="Palatino Linotype" w:cs="Palatino Linotype"/>
          <w:b/>
          <w:sz w:val="22"/>
          <w:szCs w:val="22"/>
        </w:rPr>
      </w:pP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r w:rsidRPr="00252307">
        <w:rPr>
          <w:rFonts w:ascii="Palatino Linotype" w:eastAsia="Palatino Linotype" w:hAnsi="Palatino Linotype" w:cs="Palatino Linotype"/>
          <w:b/>
          <w:i/>
          <w:sz w:val="22"/>
          <w:szCs w:val="22"/>
        </w:rPr>
        <w:t>Artículo 1.-</w:t>
      </w:r>
      <w:r w:rsidRPr="00252307">
        <w:rPr>
          <w:rFonts w:ascii="Palatino Linotype" w:eastAsia="Palatino Linotype" w:hAnsi="Palatino Linotype" w:cs="Palatino Linotype"/>
          <w:i/>
          <w:sz w:val="22"/>
          <w:szCs w:val="22"/>
        </w:rPr>
        <w:t xml:space="preserve"> </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Todas las</w:t>
      </w:r>
      <w:r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252307" w:rsidRDefault="001E3125">
      <w:pPr>
        <w:ind w:left="567" w:right="71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i/>
          <w:sz w:val="22"/>
          <w:szCs w:val="22"/>
        </w:rPr>
        <w:t>(…)</w:t>
      </w:r>
      <w:r w:rsidRPr="00252307">
        <w:rPr>
          <w:rFonts w:ascii="Palatino Linotype" w:eastAsia="Palatino Linotype" w:hAnsi="Palatino Linotype" w:cs="Palatino Linotype"/>
          <w:sz w:val="22"/>
          <w:szCs w:val="22"/>
        </w:rPr>
        <w:t>”</w:t>
      </w:r>
    </w:p>
    <w:p w:rsidR="00E94D86" w:rsidRPr="00252307" w:rsidRDefault="00E94D86" w:rsidP="00827BFE">
      <w:pPr>
        <w:ind w:right="-592"/>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lastRenderedPageBreak/>
        <w:t xml:space="preserve">Por </w:t>
      </w:r>
      <w:r w:rsidRPr="00252307">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252307" w:rsidRDefault="00E94D86" w:rsidP="00827BFE">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Así </w:t>
      </w:r>
      <w:r w:rsidRPr="00252307">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94D86" w:rsidRPr="00252307" w:rsidRDefault="00E94D86" w:rsidP="00827BFE">
      <w:pPr>
        <w:rPr>
          <w:rFonts w:ascii="Palatino Linotype" w:eastAsia="Palatino Linotype" w:hAnsi="Palatino Linotype" w:cs="Palatino Linotype"/>
          <w:b/>
          <w:sz w:val="22"/>
          <w:szCs w:val="22"/>
        </w:rPr>
      </w:pPr>
    </w:p>
    <w:p w:rsidR="00E94D86" w:rsidRPr="00252307" w:rsidRDefault="001E3125">
      <w:pPr>
        <w:ind w:left="567" w:right="71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b/>
          <w:i/>
          <w:sz w:val="22"/>
          <w:szCs w:val="22"/>
        </w:rPr>
        <w:t>Constitución Política de los Estados Unidos Mexicanos</w:t>
      </w:r>
    </w:p>
    <w:p w:rsidR="00E94D86" w:rsidRPr="00252307" w:rsidRDefault="00E94D86">
      <w:pPr>
        <w:ind w:left="567" w:right="710"/>
        <w:jc w:val="both"/>
        <w:rPr>
          <w:rFonts w:ascii="Palatino Linotype" w:eastAsia="Palatino Linotype" w:hAnsi="Palatino Linotype" w:cs="Palatino Linotype"/>
          <w:b/>
          <w:i/>
          <w:sz w:val="22"/>
          <w:szCs w:val="22"/>
        </w:rPr>
      </w:pPr>
    </w:p>
    <w:p w:rsidR="00E94D86" w:rsidRPr="00252307" w:rsidRDefault="001E3125">
      <w:pPr>
        <w:ind w:left="567" w:right="71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b/>
          <w:i/>
          <w:sz w:val="22"/>
          <w:szCs w:val="22"/>
        </w:rPr>
        <w:t>“Artículo 6.</w:t>
      </w:r>
      <w:r w:rsidRPr="00252307">
        <w:rPr>
          <w:rFonts w:ascii="Palatino Linotype" w:eastAsia="Palatino Linotype" w:hAnsi="Palatino Linotype" w:cs="Palatino Linotype"/>
          <w:i/>
          <w:sz w:val="22"/>
          <w:szCs w:val="22"/>
        </w:rPr>
        <w:t xml:space="preserve"> …</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Para efectos de lo dispuesto en el presente artículo se observará lo siguiente:</w:t>
      </w:r>
    </w:p>
    <w:p w:rsidR="00E94D86" w:rsidRPr="00252307" w:rsidRDefault="001E3125">
      <w:pPr>
        <w:ind w:left="567" w:right="71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b/>
          <w:i/>
          <w:sz w:val="22"/>
          <w:szCs w:val="22"/>
        </w:rPr>
        <w:t>A</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Para el ejercicio del derecho de acceso a la información</w:t>
      </w:r>
      <w:r w:rsidRPr="00252307">
        <w:rPr>
          <w:rFonts w:ascii="Palatino Linotype" w:eastAsia="Palatino Linotype" w:hAnsi="Palatino Linotype" w:cs="Palatino Linotype"/>
          <w:i/>
          <w:sz w:val="22"/>
          <w:szCs w:val="22"/>
        </w:rPr>
        <w:t xml:space="preserve">, la Federación y </w:t>
      </w:r>
      <w:r w:rsidRPr="0025230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I. </w:t>
      </w:r>
      <w:r w:rsidRPr="00252307">
        <w:rPr>
          <w:rFonts w:ascii="Palatino Linotype" w:eastAsia="Palatino Linotype" w:hAnsi="Palatino Linotype" w:cs="Palatino Linotype"/>
          <w:b/>
          <w:i/>
          <w:sz w:val="22"/>
          <w:szCs w:val="22"/>
        </w:rPr>
        <w:tab/>
        <w:t>Toda la información en posesión de cualquier</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autoridad</w:t>
      </w:r>
      <w:r w:rsidRPr="0025230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52307">
        <w:rPr>
          <w:rFonts w:ascii="Palatino Linotype" w:eastAsia="Palatino Linotype" w:hAnsi="Palatino Linotype" w:cs="Palatino Linotype"/>
          <w:b/>
          <w:i/>
          <w:sz w:val="22"/>
          <w:szCs w:val="22"/>
        </w:rPr>
        <w:t>municipal</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es pública</w:t>
      </w:r>
      <w:r w:rsidRPr="0025230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25230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25230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252307" w:rsidRDefault="00E94D86" w:rsidP="00831332">
      <w:pPr>
        <w:tabs>
          <w:tab w:val="left" w:pos="426"/>
          <w:tab w:val="left" w:pos="567"/>
        </w:tabs>
        <w:ind w:left="567" w:right="710"/>
        <w:jc w:val="both"/>
        <w:rPr>
          <w:rFonts w:ascii="Palatino Linotype" w:eastAsia="Palatino Linotype" w:hAnsi="Palatino Linotype" w:cs="Palatino Linotype"/>
          <w:color w:val="000000"/>
          <w:sz w:val="22"/>
          <w:szCs w:val="22"/>
        </w:rPr>
      </w:pPr>
    </w:p>
    <w:p w:rsidR="00E94D86" w:rsidRPr="00252307" w:rsidRDefault="001E3125">
      <w:pPr>
        <w:ind w:left="567" w:right="71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b/>
          <w:i/>
          <w:sz w:val="22"/>
          <w:szCs w:val="22"/>
        </w:rPr>
        <w:t>Constitución Política del Estado Libre y Soberano de México</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“Artículo 5</w:t>
      </w: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252307" w:rsidRDefault="00E94D86">
      <w:pPr>
        <w:ind w:left="567" w:right="710"/>
        <w:jc w:val="both"/>
        <w:rPr>
          <w:rFonts w:ascii="Palatino Linotype" w:eastAsia="Palatino Linotype" w:hAnsi="Palatino Linotype" w:cs="Palatino Linotype"/>
          <w:i/>
          <w:sz w:val="22"/>
          <w:szCs w:val="22"/>
        </w:rPr>
      </w:pPr>
    </w:p>
    <w:p w:rsidR="00E94D86" w:rsidRPr="00252307" w:rsidRDefault="001E3125">
      <w:pPr>
        <w:ind w:left="567" w:right="710"/>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Este derecho se regirá por los principios y bases siguientes</w:t>
      </w:r>
      <w:r w:rsidRPr="00252307">
        <w:rPr>
          <w:rFonts w:ascii="Palatino Linotype" w:eastAsia="Palatino Linotype" w:hAnsi="Palatino Linotype" w:cs="Palatino Linotype"/>
          <w:i/>
          <w:sz w:val="22"/>
          <w:szCs w:val="22"/>
        </w:rPr>
        <w:t>:</w:t>
      </w:r>
    </w:p>
    <w:p w:rsidR="00E94D86" w:rsidRPr="00252307" w:rsidRDefault="001E3125">
      <w:pPr>
        <w:ind w:left="567" w:right="71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i/>
          <w:sz w:val="22"/>
          <w:szCs w:val="22"/>
        </w:rPr>
        <w:t>Toda la información en posesión de cualquier autoridad, entidad, órgano y organismos de los</w:t>
      </w:r>
      <w:r w:rsidRPr="0025230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252307">
        <w:rPr>
          <w:rFonts w:ascii="Palatino Linotype" w:eastAsia="Palatino Linotype" w:hAnsi="Palatino Linotype" w:cs="Palatino Linotype"/>
          <w:b/>
          <w:i/>
          <w:sz w:val="22"/>
          <w:szCs w:val="22"/>
        </w:rPr>
        <w:t>municipales</w:t>
      </w:r>
      <w:r w:rsidRPr="0025230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2307">
        <w:rPr>
          <w:rFonts w:ascii="Palatino Linotype" w:eastAsia="Palatino Linotype" w:hAnsi="Palatino Linotype" w:cs="Palatino Linotype"/>
          <w:b/>
          <w:i/>
          <w:sz w:val="22"/>
          <w:szCs w:val="22"/>
        </w:rPr>
        <w:t>es pública</w:t>
      </w:r>
      <w:r w:rsidRPr="0025230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252307">
        <w:rPr>
          <w:rFonts w:ascii="Palatino Linotype" w:eastAsia="Palatino Linotype" w:hAnsi="Palatino Linotype" w:cs="Palatino Linotype"/>
          <w:b/>
          <w:i/>
          <w:sz w:val="22"/>
          <w:szCs w:val="22"/>
        </w:rPr>
        <w:t>En la interpretación de este derecho deberá prevalecer el principio de máxima publicidad</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25230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252307" w:rsidRDefault="00E94D86" w:rsidP="00827BFE">
      <w:pPr>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Según </w:t>
      </w:r>
      <w:r w:rsidRPr="00252307">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252307">
        <w:rPr>
          <w:rFonts w:ascii="Palatino Linotype" w:eastAsia="Palatino Linotype" w:hAnsi="Palatino Linotype" w:cs="Palatino Linotype"/>
          <w:i/>
          <w:sz w:val="22"/>
          <w:szCs w:val="22"/>
        </w:rPr>
        <w:t>por los principios de simplicidad, rapidez gratuidad del procedimiento, auxilio y orientación a los particulares</w:t>
      </w:r>
      <w:r w:rsidRPr="00252307">
        <w:rPr>
          <w:rFonts w:ascii="Palatino Linotype" w:eastAsia="Palatino Linotype" w:hAnsi="Palatino Linotype" w:cs="Palatino Linotype"/>
          <w:sz w:val="22"/>
          <w:szCs w:val="22"/>
        </w:rPr>
        <w:t>, contemplando el derecho de las personas con discapacidad y hablantes de lengua indígena.</w:t>
      </w:r>
    </w:p>
    <w:p w:rsidR="00E94D86" w:rsidRPr="00252307" w:rsidRDefault="00E94D86" w:rsidP="00827BFE">
      <w:pPr>
        <w:ind w:right="-592"/>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El </w:t>
      </w:r>
      <w:r w:rsidRPr="00252307">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252307">
        <w:rPr>
          <w:rFonts w:ascii="Palatino Linotype" w:eastAsia="Palatino Linotype" w:hAnsi="Palatino Linotype" w:cs="Palatino Linotype"/>
          <w:i/>
          <w:sz w:val="22"/>
          <w:szCs w:val="22"/>
        </w:rPr>
        <w:t>solicitudes de acceso a la información</w:t>
      </w:r>
      <w:r w:rsidRPr="00252307">
        <w:rPr>
          <w:rFonts w:ascii="Palatino Linotype" w:eastAsia="Palatino Linotype" w:hAnsi="Palatino Linotype" w:cs="Palatino Linotype"/>
          <w:sz w:val="22"/>
          <w:szCs w:val="22"/>
        </w:rPr>
        <w:t>.</w:t>
      </w:r>
    </w:p>
    <w:p w:rsidR="0033488B" w:rsidRPr="00252307" w:rsidRDefault="0033488B" w:rsidP="00827BFE">
      <w:pPr>
        <w:ind w:right="1"/>
        <w:jc w:val="both"/>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Así </w:t>
      </w:r>
      <w:r w:rsidRPr="00252307">
        <w:rPr>
          <w:rFonts w:ascii="Palatino Linotype" w:eastAsia="Palatino Linotype" w:hAnsi="Palatino Linotype" w:cs="Palatino Linotype"/>
          <w:sz w:val="22"/>
          <w:szCs w:val="22"/>
        </w:rPr>
        <w:t xml:space="preserve">entonces, se procede analizar, en primer lugar, si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w:t>
      </w:r>
      <w:r w:rsidRPr="00252307">
        <w:rPr>
          <w:rFonts w:ascii="Palatino Linotype" w:eastAsia="Palatino Linotype" w:hAnsi="Palatino Linotype" w:cs="Palatino Linotype"/>
          <w:sz w:val="22"/>
          <w:szCs w:val="22"/>
        </w:rPr>
        <w:lastRenderedPageBreak/>
        <w:t>Estado de México y Municipios y en segundo término si cumplió con su deber de respetar y garantizar el derecho, entregando la información solicitada.</w:t>
      </w:r>
    </w:p>
    <w:p w:rsidR="00E94D86" w:rsidRPr="00252307" w:rsidRDefault="00E94D86" w:rsidP="00831332">
      <w:pPr>
        <w:rPr>
          <w:rFonts w:ascii="Palatino Linotype" w:eastAsia="Palatino Linotype" w:hAnsi="Palatino Linotype" w:cs="Palatino Linotype"/>
          <w:b/>
          <w:sz w:val="22"/>
          <w:szCs w:val="22"/>
        </w:rPr>
      </w:pPr>
    </w:p>
    <w:p w:rsidR="00E94D86" w:rsidRPr="00252307" w:rsidRDefault="001E3125">
      <w:pPr>
        <w:keepNext/>
        <w:keepLines/>
        <w:numPr>
          <w:ilvl w:val="1"/>
          <w:numId w:val="2"/>
        </w:numPr>
        <w:spacing w:line="360" w:lineRule="auto"/>
        <w:ind w:left="567" w:right="-592"/>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De la información solicitada y la respuesta del SUJETO OBLIGADO.</w:t>
      </w:r>
    </w:p>
    <w:p w:rsidR="00E94D86" w:rsidRPr="00252307" w:rsidRDefault="00E94D86" w:rsidP="00305C25">
      <w:pPr>
        <w:rPr>
          <w:rFonts w:ascii="Palatino Linotype" w:eastAsia="Palatino Linotype" w:hAnsi="Palatino Linotype" w:cs="Palatino Linotype"/>
          <w:b/>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3" w:name="_heading=h.30j0zll" w:colFirst="0" w:colLast="0"/>
      <w:bookmarkEnd w:id="3"/>
      <w:r w:rsidRPr="00252307">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252307" w:rsidRDefault="00E94D86" w:rsidP="00305C25">
      <w:pPr>
        <w:ind w:right="1"/>
        <w:jc w:val="both"/>
        <w:rPr>
          <w:rFonts w:ascii="Palatino Linotype" w:eastAsia="Palatino Linotype" w:hAnsi="Palatino Linotype" w:cs="Palatino Linotype"/>
          <w:b/>
          <w:sz w:val="22"/>
          <w:szCs w:val="22"/>
        </w:rPr>
      </w:pPr>
    </w:p>
    <w:p w:rsidR="00073512" w:rsidRPr="00252307" w:rsidRDefault="001E3125"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Así, debemos recapitular que, el </w:t>
      </w:r>
      <w:r w:rsidRPr="00252307">
        <w:rPr>
          <w:rFonts w:ascii="Palatino Linotype" w:eastAsia="Palatino Linotype" w:hAnsi="Palatino Linotype" w:cs="Palatino Linotype"/>
          <w:b/>
          <w:sz w:val="22"/>
          <w:szCs w:val="22"/>
        </w:rPr>
        <w:t>RECURRENTE</w:t>
      </w:r>
      <w:r w:rsidR="00042FAE" w:rsidRPr="00252307">
        <w:rPr>
          <w:rFonts w:ascii="Palatino Linotype" w:eastAsia="Palatino Linotype" w:hAnsi="Palatino Linotype" w:cs="Palatino Linotype"/>
          <w:sz w:val="22"/>
          <w:szCs w:val="22"/>
        </w:rPr>
        <w:t xml:space="preserve"> </w:t>
      </w:r>
      <w:r w:rsidR="00663C8A" w:rsidRPr="00252307">
        <w:rPr>
          <w:rFonts w:ascii="Palatino Linotype" w:eastAsia="Palatino Linotype" w:hAnsi="Palatino Linotype" w:cs="Palatino Linotype"/>
          <w:sz w:val="22"/>
          <w:szCs w:val="22"/>
        </w:rPr>
        <w:t xml:space="preserve">solicitó </w:t>
      </w:r>
      <w:r w:rsidR="00663C8A" w:rsidRPr="00252307">
        <w:rPr>
          <w:rFonts w:ascii="Palatino Linotype" w:hAnsi="Palatino Linotype"/>
          <w:color w:val="000000"/>
          <w:sz w:val="22"/>
          <w:szCs w:val="22"/>
        </w:rPr>
        <w:t>el currículo, comprobante de estudios, FUMP, fecha de alta y el sueldo del personal de la Coordinación de Estudios y Proyectos Especiales; asimismo, requirió la autori</w:t>
      </w:r>
      <w:r w:rsidR="000C0976" w:rsidRPr="00252307">
        <w:rPr>
          <w:rFonts w:ascii="Palatino Linotype" w:hAnsi="Palatino Linotype"/>
          <w:color w:val="000000"/>
          <w:sz w:val="22"/>
          <w:szCs w:val="22"/>
        </w:rPr>
        <w:t>zación para que el personal esté</w:t>
      </w:r>
      <w:r w:rsidR="00663C8A" w:rsidRPr="00252307">
        <w:rPr>
          <w:rFonts w:ascii="Palatino Linotype" w:hAnsi="Palatino Linotype"/>
          <w:color w:val="000000"/>
          <w:sz w:val="22"/>
          <w:szCs w:val="22"/>
        </w:rPr>
        <w:t xml:space="preserve"> en campañas municipales y no en la oficina de trabajo.</w:t>
      </w:r>
    </w:p>
    <w:p w:rsidR="00E94D86" w:rsidRPr="00252307" w:rsidRDefault="00E94D86" w:rsidP="00305C25">
      <w:pPr>
        <w:ind w:right="1"/>
        <w:jc w:val="both"/>
        <w:rPr>
          <w:rFonts w:ascii="Palatino Linotype" w:eastAsia="Palatino Linotype" w:hAnsi="Palatino Linotype" w:cs="Palatino Linotype"/>
          <w:b/>
          <w:sz w:val="22"/>
          <w:szCs w:val="22"/>
        </w:rPr>
      </w:pPr>
    </w:p>
    <w:p w:rsidR="00073512" w:rsidRPr="00252307" w:rsidRDefault="001E3125" w:rsidP="00073512">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En respuesta, 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w:t>
      </w:r>
      <w:r w:rsidR="00663C8A" w:rsidRPr="00252307">
        <w:rPr>
          <w:rFonts w:ascii="Palatino Linotype" w:eastAsia="Palatino Linotype" w:hAnsi="Palatino Linotype" w:cs="Palatino Linotype"/>
          <w:sz w:val="22"/>
          <w:szCs w:val="22"/>
        </w:rPr>
        <w:t xml:space="preserve">por medio del </w:t>
      </w:r>
      <w:r w:rsidR="00663C8A" w:rsidRPr="00252307">
        <w:rPr>
          <w:rFonts w:ascii="Palatino Linotype" w:hAnsi="Palatino Linotype"/>
          <w:sz w:val="22"/>
          <w:szCs w:val="22"/>
        </w:rPr>
        <w:t xml:space="preserve">Subdirector de Administración del Capital Humano, </w:t>
      </w:r>
      <w:r w:rsidR="00663C8A" w:rsidRPr="00252307">
        <w:rPr>
          <w:rFonts w:ascii="Palatino Linotype" w:hAnsi="Palatino Linotype"/>
          <w:b/>
          <w:sz w:val="22"/>
          <w:szCs w:val="22"/>
        </w:rPr>
        <w:t xml:space="preserve">refirió que no se encontró información concerniente al personal de la “Coordinación de Estudios y Proyectos Especiales” como se expresó tácitamente, </w:t>
      </w:r>
      <w:r w:rsidR="00663C8A" w:rsidRPr="00252307">
        <w:rPr>
          <w:rFonts w:ascii="Palatino Linotype" w:hAnsi="Palatino Linotype"/>
          <w:sz w:val="22"/>
          <w:szCs w:val="22"/>
        </w:rPr>
        <w:t>en la base de datos, los expedientes o cualquier documentación física de la Unidad Administrativa a su cargo, por lo cual, no puede proporcionar la información solicitada. Asimismo, sugirió verificar lo manifestado en el organigrama de la Secretaría de Movilidad del Estado de México.</w:t>
      </w:r>
    </w:p>
    <w:p w:rsidR="00073512" w:rsidRPr="00252307" w:rsidRDefault="00073512" w:rsidP="00305C25">
      <w:pPr>
        <w:ind w:right="1"/>
        <w:jc w:val="both"/>
        <w:rPr>
          <w:rFonts w:ascii="Palatino Linotype" w:eastAsia="Palatino Linotype" w:hAnsi="Palatino Linotype" w:cs="Palatino Linotype"/>
          <w:sz w:val="22"/>
          <w:szCs w:val="22"/>
        </w:rPr>
      </w:pPr>
    </w:p>
    <w:p w:rsidR="00600A77" w:rsidRPr="00252307" w:rsidRDefault="001E3125"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Posteriormente, el </w:t>
      </w:r>
      <w:r w:rsidRPr="00252307">
        <w:rPr>
          <w:rFonts w:ascii="Palatino Linotype" w:eastAsia="Palatino Linotype" w:hAnsi="Palatino Linotype" w:cs="Palatino Linotype"/>
          <w:b/>
          <w:sz w:val="22"/>
          <w:szCs w:val="22"/>
        </w:rPr>
        <w:t>RECURRENTE</w:t>
      </w:r>
      <w:r w:rsidRPr="00252307">
        <w:rPr>
          <w:rFonts w:ascii="Palatino Linotype" w:eastAsia="Palatino Linotype" w:hAnsi="Palatino Linotype" w:cs="Palatino Linotype"/>
          <w:sz w:val="22"/>
          <w:szCs w:val="22"/>
        </w:rPr>
        <w:t xml:space="preserve"> se inconformó por </w:t>
      </w:r>
      <w:r w:rsidR="00042FAE" w:rsidRPr="00252307">
        <w:rPr>
          <w:rFonts w:ascii="Palatino Linotype" w:eastAsia="Palatino Linotype" w:hAnsi="Palatino Linotype" w:cs="Palatino Linotype"/>
          <w:b/>
          <w:sz w:val="22"/>
          <w:szCs w:val="22"/>
        </w:rPr>
        <w:t>la negativa de la información solicitada.</w:t>
      </w:r>
    </w:p>
    <w:p w:rsidR="00073512" w:rsidRPr="00252307" w:rsidRDefault="00073512" w:rsidP="00042FAE">
      <w:pPr>
        <w:spacing w:line="360" w:lineRule="auto"/>
        <w:ind w:right="1"/>
        <w:jc w:val="both"/>
        <w:rPr>
          <w:rFonts w:ascii="Palatino Linotype" w:eastAsia="Palatino Linotype" w:hAnsi="Palatino Linotype" w:cs="Palatino Linotype"/>
          <w:b/>
          <w:sz w:val="22"/>
          <w:szCs w:val="22"/>
        </w:rPr>
      </w:pPr>
    </w:p>
    <w:p w:rsidR="00042FAE" w:rsidRPr="00252307" w:rsidRDefault="00042FAE"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lastRenderedPageBreak/>
        <w:t xml:space="preserve">En razón de lo anterior, el estudio del presente asunto versará en analizar las constancias que obran en el expediente digital formado en el </w:t>
      </w:r>
      <w:r w:rsidRPr="00252307">
        <w:rPr>
          <w:rFonts w:ascii="Palatino Linotype" w:eastAsia="Palatino Linotype" w:hAnsi="Palatino Linotype" w:cs="Palatino Linotype"/>
          <w:b/>
          <w:sz w:val="22"/>
          <w:szCs w:val="22"/>
        </w:rPr>
        <w:t>SAIMEX</w:t>
      </w:r>
      <w:r w:rsidRPr="00252307">
        <w:rPr>
          <w:rFonts w:ascii="Palatino Linotype" w:eastAsia="Palatino Linotype" w:hAnsi="Palatino Linotype" w:cs="Palatino Linotype"/>
          <w:sz w:val="22"/>
          <w:szCs w:val="22"/>
        </w:rPr>
        <w:t xml:space="preserve">, así como los agravios expuestos por el </w:t>
      </w:r>
      <w:r w:rsidRPr="00252307">
        <w:rPr>
          <w:rFonts w:ascii="Palatino Linotype" w:eastAsia="Palatino Linotype" w:hAnsi="Palatino Linotype" w:cs="Palatino Linotype"/>
          <w:b/>
          <w:sz w:val="22"/>
          <w:szCs w:val="22"/>
        </w:rPr>
        <w:t xml:space="preserve">RECURRENTE </w:t>
      </w:r>
      <w:r w:rsidRPr="00252307">
        <w:rPr>
          <w:rFonts w:ascii="Palatino Linotype" w:eastAsia="Palatino Linotype" w:hAnsi="Palatino Linotype" w:cs="Palatino Linotype"/>
          <w:sz w:val="22"/>
          <w:szCs w:val="22"/>
        </w:rPr>
        <w:t xml:space="preserve">a través del recurso de revisión </w:t>
      </w:r>
      <w:r w:rsidRPr="00252307">
        <w:rPr>
          <w:rFonts w:ascii="Palatino Linotype" w:eastAsia="Palatino Linotype" w:hAnsi="Palatino Linotype" w:cs="Palatino Linotype"/>
          <w:b/>
          <w:sz w:val="22"/>
          <w:szCs w:val="22"/>
        </w:rPr>
        <w:t>0</w:t>
      </w:r>
      <w:r w:rsidR="00663C8A" w:rsidRPr="00252307">
        <w:rPr>
          <w:rFonts w:ascii="Palatino Linotype" w:eastAsia="Palatino Linotype" w:hAnsi="Palatino Linotype" w:cs="Palatino Linotype"/>
          <w:b/>
          <w:sz w:val="22"/>
          <w:szCs w:val="22"/>
        </w:rPr>
        <w:t>3723</w:t>
      </w:r>
      <w:r w:rsidRPr="00252307">
        <w:rPr>
          <w:rFonts w:ascii="Palatino Linotype" w:eastAsia="Palatino Linotype" w:hAnsi="Palatino Linotype" w:cs="Palatino Linotype"/>
          <w:b/>
          <w:sz w:val="22"/>
          <w:szCs w:val="22"/>
        </w:rPr>
        <w:t>/INFOEM/IP/RR/2024,</w:t>
      </w:r>
      <w:r w:rsidRPr="00252307">
        <w:rPr>
          <w:rFonts w:ascii="Palatino Linotype" w:eastAsia="Palatino Linotype" w:hAnsi="Palatino Linotype" w:cs="Palatino Linotype"/>
          <w:sz w:val="22"/>
          <w:szCs w:val="22"/>
        </w:rPr>
        <w:t xml:space="preserve"> con el objeto de determinar si, con su respuesta, el</w:t>
      </w:r>
      <w:r w:rsidRPr="00252307">
        <w:rPr>
          <w:rFonts w:ascii="Palatino Linotype" w:eastAsia="Palatino Linotype" w:hAnsi="Palatino Linotype" w:cs="Palatino Linotype"/>
          <w:b/>
          <w:sz w:val="22"/>
          <w:szCs w:val="22"/>
        </w:rPr>
        <w:t xml:space="preserve"> SUJETO OBLIGADO </w:t>
      </w:r>
      <w:r w:rsidRPr="00252307">
        <w:rPr>
          <w:rFonts w:ascii="Palatino Linotype" w:eastAsia="Palatino Linotype" w:hAnsi="Palatino Linotype" w:cs="Palatino Linotype"/>
          <w:sz w:val="22"/>
          <w:szCs w:val="22"/>
        </w:rPr>
        <w:t>colmó el derecho de acceso a la información o, si por el contrario, procede la entrega de información.</w:t>
      </w:r>
    </w:p>
    <w:p w:rsidR="00AF2038" w:rsidRPr="00252307" w:rsidRDefault="00AF2038" w:rsidP="00613DF7">
      <w:pPr>
        <w:rPr>
          <w:rFonts w:ascii="Palatino Linotype" w:eastAsia="Palatino Linotype" w:hAnsi="Palatino Linotype" w:cs="Palatino Linotype"/>
          <w:b/>
          <w:sz w:val="22"/>
          <w:szCs w:val="22"/>
        </w:rPr>
      </w:pPr>
    </w:p>
    <w:p w:rsidR="00613DF7" w:rsidRPr="00252307" w:rsidRDefault="00647AFA" w:rsidP="00613DF7">
      <w:pPr>
        <w:numPr>
          <w:ilvl w:val="0"/>
          <w:numId w:val="1"/>
        </w:numPr>
        <w:spacing w:line="360" w:lineRule="auto"/>
        <w:ind w:left="0" w:right="1" w:firstLine="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sz w:val="22"/>
          <w:szCs w:val="22"/>
        </w:rPr>
        <w:t>Ahora bien</w:t>
      </w:r>
      <w:r w:rsidR="00AF2038" w:rsidRPr="00252307">
        <w:rPr>
          <w:rFonts w:ascii="Palatino Linotype" w:eastAsia="Palatino Linotype" w:hAnsi="Palatino Linotype" w:cs="Palatino Linotype"/>
          <w:sz w:val="22"/>
          <w:szCs w:val="22"/>
        </w:rPr>
        <w:t>, resulta necesario precisar que, si bien es cierto el</w:t>
      </w:r>
      <w:r w:rsidR="00AF2038" w:rsidRPr="00252307">
        <w:rPr>
          <w:rFonts w:ascii="Palatino Linotype" w:eastAsia="Palatino Linotype" w:hAnsi="Palatino Linotype" w:cs="Palatino Linotype"/>
          <w:b/>
          <w:sz w:val="22"/>
          <w:szCs w:val="22"/>
        </w:rPr>
        <w:t xml:space="preserve"> RECURRENTE</w:t>
      </w:r>
      <w:r w:rsidR="00AF2038" w:rsidRPr="00252307">
        <w:rPr>
          <w:rFonts w:ascii="Palatino Linotype" w:eastAsia="Palatino Linotype" w:hAnsi="Palatino Linotype" w:cs="Palatino Linotype"/>
          <w:sz w:val="22"/>
          <w:szCs w:val="22"/>
        </w:rPr>
        <w:t xml:space="preserve"> mediante su solicitud de información realizó requerimientos relativos a la </w:t>
      </w:r>
      <w:r w:rsidR="00AF2038" w:rsidRPr="00252307">
        <w:rPr>
          <w:rFonts w:ascii="Palatino Linotype" w:eastAsia="Palatino Linotype" w:hAnsi="Palatino Linotype" w:cs="Palatino Linotype"/>
          <w:b/>
          <w:sz w:val="22"/>
          <w:szCs w:val="22"/>
        </w:rPr>
        <w:t xml:space="preserve">Coordinación de </w:t>
      </w:r>
      <w:r w:rsidR="00AF2038" w:rsidRPr="00252307">
        <w:rPr>
          <w:rFonts w:ascii="Palatino Linotype" w:hAnsi="Palatino Linotype"/>
          <w:b/>
          <w:sz w:val="22"/>
          <w:szCs w:val="22"/>
        </w:rPr>
        <w:t>Estudios y Proyectos Especiales</w:t>
      </w:r>
      <w:r w:rsidR="00AF2038" w:rsidRPr="00252307">
        <w:rPr>
          <w:rFonts w:ascii="Palatino Linotype" w:eastAsia="Palatino Linotype" w:hAnsi="Palatino Linotype" w:cs="Palatino Linotype"/>
          <w:i/>
          <w:sz w:val="22"/>
          <w:szCs w:val="22"/>
        </w:rPr>
        <w:t xml:space="preserve"> </w:t>
      </w:r>
      <w:r w:rsidR="00AF2038" w:rsidRPr="00252307">
        <w:rPr>
          <w:rFonts w:ascii="Palatino Linotype" w:eastAsia="Palatino Linotype" w:hAnsi="Palatino Linotype" w:cs="Palatino Linotype"/>
          <w:sz w:val="22"/>
          <w:szCs w:val="22"/>
        </w:rPr>
        <w:t xml:space="preserve">y el </w:t>
      </w:r>
      <w:r w:rsidR="00AF2038" w:rsidRPr="00252307">
        <w:rPr>
          <w:rFonts w:ascii="Palatino Linotype" w:eastAsia="Palatino Linotype" w:hAnsi="Palatino Linotype" w:cs="Palatino Linotype"/>
          <w:b/>
          <w:sz w:val="22"/>
          <w:szCs w:val="22"/>
        </w:rPr>
        <w:t>SUJETO OBLIGADO</w:t>
      </w:r>
      <w:r w:rsidR="00AF2038" w:rsidRPr="00252307">
        <w:rPr>
          <w:rFonts w:ascii="Palatino Linotype" w:eastAsia="Palatino Linotype" w:hAnsi="Palatino Linotype" w:cs="Palatino Linotype"/>
          <w:sz w:val="22"/>
          <w:szCs w:val="22"/>
        </w:rPr>
        <w:t xml:space="preserve"> refirió no contar con dicha Unidad Administrativa en su Estructura Orgánica</w:t>
      </w:r>
      <w:r w:rsidR="00613DF7" w:rsidRPr="00252307">
        <w:rPr>
          <w:rFonts w:ascii="Palatino Linotype" w:eastAsia="Palatino Linotype" w:hAnsi="Palatino Linotype" w:cs="Palatino Linotype"/>
          <w:sz w:val="22"/>
          <w:szCs w:val="22"/>
        </w:rPr>
        <w:t xml:space="preserve">; </w:t>
      </w:r>
      <w:r w:rsidR="00AF2038" w:rsidRPr="00252307">
        <w:rPr>
          <w:rFonts w:ascii="Palatino Linotype" w:eastAsia="Palatino Linotype" w:hAnsi="Palatino Linotype" w:cs="Palatino Linotype"/>
          <w:sz w:val="22"/>
          <w:szCs w:val="22"/>
        </w:rPr>
        <w:t>también los es que,</w:t>
      </w:r>
      <w:r w:rsidR="00AF2038" w:rsidRPr="00252307">
        <w:rPr>
          <w:rFonts w:ascii="Palatino Linotype" w:eastAsia="Palatino Linotype" w:hAnsi="Palatino Linotype" w:cs="Palatino Linotype"/>
          <w:i/>
          <w:sz w:val="22"/>
          <w:szCs w:val="22"/>
        </w:rPr>
        <w:t xml:space="preserve"> </w:t>
      </w:r>
      <w:r w:rsidR="00AF2038" w:rsidRPr="00252307">
        <w:rPr>
          <w:rFonts w:ascii="Palatino Linotype" w:eastAsia="Palatino Linotype" w:hAnsi="Palatino Linotype" w:cs="Palatino Linotype"/>
          <w:sz w:val="22"/>
          <w:szCs w:val="22"/>
        </w:rPr>
        <w:t xml:space="preserve">el </w:t>
      </w:r>
      <w:r w:rsidR="00613DF7" w:rsidRPr="00252307">
        <w:rPr>
          <w:rFonts w:ascii="Palatino Linotype" w:eastAsia="Palatino Linotype" w:hAnsi="Palatino Linotype" w:cs="Palatino Linotype"/>
          <w:sz w:val="22"/>
          <w:szCs w:val="22"/>
        </w:rPr>
        <w:t>Manual</w:t>
      </w:r>
      <w:r w:rsidR="00AF2038" w:rsidRPr="00252307">
        <w:rPr>
          <w:rFonts w:ascii="Palatino Linotype" w:eastAsia="Palatino Linotype" w:hAnsi="Palatino Linotype" w:cs="Palatino Linotype"/>
          <w:sz w:val="22"/>
          <w:szCs w:val="22"/>
        </w:rPr>
        <w:t xml:space="preserve"> de Organización de la Secretaría de Movilidad, </w:t>
      </w:r>
      <w:r w:rsidR="00613DF7" w:rsidRPr="00252307">
        <w:rPr>
          <w:rFonts w:ascii="Palatino Linotype" w:eastAsia="Palatino Linotype" w:hAnsi="Palatino Linotype" w:cs="Palatino Linotype"/>
          <w:sz w:val="22"/>
          <w:szCs w:val="22"/>
        </w:rPr>
        <w:t xml:space="preserve">contempla a la </w:t>
      </w:r>
      <w:r w:rsidR="00613DF7" w:rsidRPr="00252307">
        <w:rPr>
          <w:rFonts w:ascii="Palatino Linotype" w:eastAsia="Palatino Linotype" w:hAnsi="Palatino Linotype" w:cs="Palatino Linotype"/>
          <w:b/>
          <w:sz w:val="22"/>
          <w:szCs w:val="22"/>
        </w:rPr>
        <w:t>Coordinación de Estudios y Proyectos Estratégicos</w:t>
      </w:r>
      <w:r w:rsidR="00613DF7" w:rsidRPr="00252307">
        <w:rPr>
          <w:rFonts w:ascii="Palatino Linotype" w:eastAsia="Palatino Linotype" w:hAnsi="Palatino Linotype" w:cs="Palatino Linotype"/>
          <w:sz w:val="22"/>
          <w:szCs w:val="22"/>
        </w:rPr>
        <w:t xml:space="preserve">, en este sentido, se estima que el </w:t>
      </w:r>
      <w:r w:rsidR="00613DF7" w:rsidRPr="00252307">
        <w:rPr>
          <w:rFonts w:ascii="Palatino Linotype" w:eastAsia="Palatino Linotype" w:hAnsi="Palatino Linotype" w:cs="Palatino Linotype"/>
          <w:b/>
          <w:sz w:val="22"/>
          <w:szCs w:val="22"/>
        </w:rPr>
        <w:t>RECURRENTE</w:t>
      </w:r>
      <w:r w:rsidR="00613DF7" w:rsidRPr="00252307">
        <w:rPr>
          <w:rFonts w:ascii="Palatino Linotype" w:eastAsia="Palatino Linotype" w:hAnsi="Palatino Linotype" w:cs="Palatino Linotype"/>
          <w:sz w:val="22"/>
          <w:szCs w:val="22"/>
        </w:rPr>
        <w:t xml:space="preserve"> cometió un error al referir el nombre preciso de la Unidad Administrativa de la cual solicitó la información.</w:t>
      </w:r>
    </w:p>
    <w:p w:rsidR="00663C8A" w:rsidRPr="00252307" w:rsidRDefault="00663C8A" w:rsidP="00827BFE">
      <w:pPr>
        <w:rPr>
          <w:rFonts w:ascii="Palatino Linotype" w:eastAsia="Palatino Linotype" w:hAnsi="Palatino Linotype" w:cs="Palatino Linotype"/>
          <w:sz w:val="22"/>
          <w:szCs w:val="22"/>
        </w:rPr>
      </w:pPr>
    </w:p>
    <w:p w:rsidR="00613DF7" w:rsidRPr="00252307" w:rsidRDefault="00613DF7"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Así,</w:t>
      </w:r>
      <w:r w:rsidRPr="00252307">
        <w:rPr>
          <w:rFonts w:ascii="Palatino Linotype" w:hAnsi="Palatino Linotype" w:cs="Arial"/>
          <w:sz w:val="22"/>
          <w:szCs w:val="22"/>
        </w:rPr>
        <w:t xml:space="preserve"> debemos recordar </w:t>
      </w:r>
      <w:r w:rsidR="000C0976" w:rsidRPr="00252307">
        <w:rPr>
          <w:rFonts w:ascii="Palatino Linotype" w:hAnsi="Palatino Linotype" w:cs="Arial"/>
          <w:sz w:val="22"/>
          <w:szCs w:val="22"/>
        </w:rPr>
        <w:t xml:space="preserve">que </w:t>
      </w:r>
      <w:r w:rsidRPr="00252307">
        <w:rPr>
          <w:rFonts w:ascii="Palatino Linotype" w:hAnsi="Palatino Linotype" w:cs="Arial"/>
          <w:sz w:val="22"/>
          <w:szCs w:val="22"/>
        </w:rPr>
        <w:t>los particulares no pudieran ser expertos en la m</w:t>
      </w:r>
      <w:r w:rsidR="000C0976" w:rsidRPr="00252307">
        <w:rPr>
          <w:rFonts w:ascii="Palatino Linotype" w:hAnsi="Palatino Linotype" w:cs="Arial"/>
          <w:sz w:val="22"/>
          <w:szCs w:val="22"/>
        </w:rPr>
        <w:t>ateria, pero los Entes Públicos</w:t>
      </w:r>
      <w:r w:rsidRPr="00252307">
        <w:rPr>
          <w:rFonts w:ascii="Palatino Linotype" w:hAnsi="Palatino Linotype" w:cs="Arial"/>
          <w:sz w:val="22"/>
          <w:szCs w:val="22"/>
        </w:rPr>
        <w:t xml:space="preserve"> si lo son al tener facultades y/o atribuciones que los constriña</w:t>
      </w:r>
      <w:r w:rsidR="000C0976" w:rsidRPr="00252307">
        <w:rPr>
          <w:rFonts w:ascii="Palatino Linotype" w:hAnsi="Palatino Linotype" w:cs="Arial"/>
          <w:sz w:val="22"/>
          <w:szCs w:val="22"/>
        </w:rPr>
        <w:t>,</w:t>
      </w:r>
      <w:r w:rsidRPr="00252307">
        <w:rPr>
          <w:rFonts w:ascii="Palatino Linotype" w:hAnsi="Palatino Linotype" w:cs="Arial"/>
          <w:sz w:val="22"/>
          <w:szCs w:val="22"/>
        </w:rPr>
        <w:t xml:space="preserve"> en su caso</w:t>
      </w:r>
      <w:r w:rsidR="000C0976" w:rsidRPr="00252307">
        <w:rPr>
          <w:rFonts w:ascii="Palatino Linotype" w:hAnsi="Palatino Linotype" w:cs="Arial"/>
          <w:sz w:val="22"/>
          <w:szCs w:val="22"/>
        </w:rPr>
        <w:t>,</w:t>
      </w:r>
      <w:r w:rsidRPr="00252307">
        <w:rPr>
          <w:rFonts w:ascii="Palatino Linotype" w:hAnsi="Palatino Linotype" w:cs="Arial"/>
          <w:sz w:val="22"/>
          <w:szCs w:val="22"/>
        </w:rPr>
        <w:t xml:space="preserve"> a generar la información.</w:t>
      </w:r>
    </w:p>
    <w:p w:rsidR="00613DF7" w:rsidRPr="00252307" w:rsidRDefault="00613DF7" w:rsidP="00827BFE">
      <w:pPr>
        <w:rPr>
          <w:rFonts w:ascii="Palatino Linotype" w:eastAsia="Palatino Linotype" w:hAnsi="Palatino Linotype" w:cs="Palatino Linotype"/>
          <w:b/>
          <w:sz w:val="22"/>
          <w:szCs w:val="22"/>
        </w:rPr>
      </w:pPr>
    </w:p>
    <w:p w:rsidR="00647AFA" w:rsidRPr="00252307" w:rsidRDefault="00613DF7" w:rsidP="00647AFA">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Por lo anterior, resulta procedente suplir la deficiencia en términos de la Ley de Transparencia y Acceso a la Información Pública del Estado de México y Municipios, concretamente en sus artículos 13 y 181, tercer párrafo, donde se señala el deber de este Instituto de suplir cualquier deficiencia para garantizar el derecho de acceso a la información a favor de los recurrentes sin cambiar los hechos expuestos; tal y como se lee a continuación:</w:t>
      </w:r>
    </w:p>
    <w:p w:rsidR="00647AFA" w:rsidRPr="00252307" w:rsidRDefault="00647AFA" w:rsidP="00827BFE">
      <w:pPr>
        <w:ind w:right="1"/>
        <w:jc w:val="both"/>
        <w:rPr>
          <w:rFonts w:ascii="Palatino Linotype" w:eastAsia="Palatino Linotype" w:hAnsi="Palatino Linotype" w:cs="Palatino Linotype"/>
          <w:sz w:val="22"/>
          <w:szCs w:val="22"/>
        </w:rPr>
      </w:pPr>
    </w:p>
    <w:p w:rsidR="00647AFA" w:rsidRPr="00252307" w:rsidRDefault="00647AFA" w:rsidP="00647AFA">
      <w:pPr>
        <w:shd w:val="clear" w:color="auto" w:fill="FFFFFF"/>
        <w:spacing w:before="240" w:after="240"/>
        <w:ind w:left="567" w:right="567"/>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i/>
          <w:sz w:val="22"/>
          <w:szCs w:val="22"/>
        </w:rPr>
        <w:t>Artículo 13</w:t>
      </w:r>
      <w:r w:rsidRPr="00252307">
        <w:rPr>
          <w:rFonts w:ascii="Palatino Linotype" w:eastAsia="Palatino Linotype" w:hAnsi="Palatino Linotype" w:cs="Palatino Linotype"/>
          <w:i/>
          <w:sz w:val="22"/>
          <w:szCs w:val="22"/>
        </w:rPr>
        <w:t>. El Instituto, en el ámbito de sus atribuciones, deberá suplir cualquier deficiencia para garantizar el ejercicio del derecho de acceso a la información.</w:t>
      </w:r>
    </w:p>
    <w:p w:rsidR="00647AFA" w:rsidRPr="00252307" w:rsidRDefault="00647AFA" w:rsidP="00647AFA">
      <w:pPr>
        <w:shd w:val="clear" w:color="auto" w:fill="FFFFFF"/>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Artículo 181.</w:t>
      </w:r>
      <w:r w:rsidRPr="00252307">
        <w:rPr>
          <w:rFonts w:ascii="Palatino Linotype" w:eastAsia="Palatino Linotype" w:hAnsi="Palatino Linotype" w:cs="Palatino Linotype"/>
          <w:i/>
          <w:sz w:val="22"/>
          <w:szCs w:val="22"/>
        </w:rPr>
        <w:t> </w:t>
      </w:r>
    </w:p>
    <w:p w:rsidR="00647AFA" w:rsidRPr="00252307" w:rsidRDefault="00647AFA" w:rsidP="00647AFA">
      <w:pPr>
        <w:shd w:val="clear" w:color="auto" w:fill="FFFFFF"/>
        <w:ind w:left="567" w:right="567"/>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i/>
          <w:sz w:val="22"/>
          <w:szCs w:val="22"/>
        </w:rPr>
        <w:lastRenderedPageBreak/>
        <w:t>(…)</w:t>
      </w:r>
    </w:p>
    <w:p w:rsidR="00647AFA" w:rsidRPr="00252307" w:rsidRDefault="00647AFA" w:rsidP="00647AFA">
      <w:pPr>
        <w:shd w:val="clear" w:color="auto" w:fill="FFFFFF"/>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Durante el procedimiento deberá aplicarse la suplencia de la queja a favor del recurrente, sin cambiar los hechos expuestos, asegurándose de que las partes puedan presentar, de manera oral o escrita, los argumentos que funden y motiven sus pretensiones.</w:t>
      </w:r>
    </w:p>
    <w:p w:rsidR="00647AFA" w:rsidRPr="00252307" w:rsidRDefault="00647AFA" w:rsidP="00827BFE">
      <w:pPr>
        <w:ind w:right="1"/>
        <w:jc w:val="both"/>
        <w:rPr>
          <w:rFonts w:ascii="Palatino Linotype" w:eastAsia="Palatino Linotype" w:hAnsi="Palatino Linotype" w:cs="Palatino Linotype"/>
          <w:b/>
          <w:sz w:val="22"/>
          <w:szCs w:val="22"/>
        </w:rPr>
      </w:pPr>
    </w:p>
    <w:p w:rsidR="00613DF7" w:rsidRPr="00252307" w:rsidRDefault="00613DF7" w:rsidP="00647AFA">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Así también en armonía con lo señalado en la jurisprudencia y en la tesis aislada, emitida por la Suprema Corte de Justicia de la Nación, que llevan por rubro respectivamente; “</w:t>
      </w:r>
      <w:r w:rsidRPr="00252307">
        <w:rPr>
          <w:rFonts w:ascii="Palatino Linotype" w:eastAsia="Palatino Linotype" w:hAnsi="Palatino Linotype" w:cs="Palatino Linotype"/>
          <w:i/>
          <w:sz w:val="22"/>
          <w:szCs w:val="22"/>
        </w:rPr>
        <w:t>SUPLENCIA DE LA QUEJA DEFICIENTE SU PROCEDENCIA EN OTRAS MATERIAS, AUN A FALTA DE CONCEPTO DE VIOLACIÓN O AGRAVIO, CUANDO SE ADVIERTA VIOLACIÓN GRAVE Y MANIFIESTA DE LA LEY”</w:t>
      </w:r>
      <w:r w:rsidRPr="00252307">
        <w:rPr>
          <w:rFonts w:ascii="Palatino Linotype" w:eastAsia="Palatino Linotype" w:hAnsi="Palatino Linotype"/>
          <w:i/>
          <w:sz w:val="22"/>
          <w:szCs w:val="22"/>
          <w:vertAlign w:val="superscript"/>
        </w:rPr>
        <w:footnoteReference w:id="5"/>
      </w:r>
      <w:r w:rsidRPr="00252307">
        <w:rPr>
          <w:rFonts w:ascii="Palatino Linotype" w:eastAsia="Palatino Linotype" w:hAnsi="Palatino Linotype" w:cs="Palatino Linotype"/>
          <w:sz w:val="22"/>
          <w:szCs w:val="22"/>
        </w:rPr>
        <w:t xml:space="preserve"> y </w:t>
      </w:r>
      <w:r w:rsidRPr="00252307">
        <w:rPr>
          <w:rFonts w:ascii="Palatino Linotype" w:eastAsia="Palatino Linotype" w:hAnsi="Palatino Linotype" w:cs="Palatino Linotype"/>
          <w:i/>
          <w:sz w:val="22"/>
          <w:szCs w:val="22"/>
        </w:rPr>
        <w:t>“SUPLENCIA DE LA QUEJA DEFICIENTE EN MATERIAS CIVIL Y ADMINISTRATIVA (INTERPRETACIÓN DEL ARTÍCULO 79, FRACCIÓN VI, DE LA LEY DE AMPARO).”</w:t>
      </w:r>
      <w:r w:rsidRPr="00252307">
        <w:rPr>
          <w:rFonts w:ascii="Palatino Linotype" w:eastAsia="Palatino Linotype" w:hAnsi="Palatino Linotype"/>
          <w:i/>
          <w:sz w:val="22"/>
          <w:szCs w:val="22"/>
          <w:vertAlign w:val="superscript"/>
        </w:rPr>
        <w:footnoteReference w:id="6"/>
      </w:r>
      <w:r w:rsidRPr="00252307">
        <w:rPr>
          <w:rFonts w:ascii="Palatino Linotype" w:eastAsia="Palatino Linotype" w:hAnsi="Palatino Linotype" w:cs="Palatino Linotype"/>
          <w:sz w:val="22"/>
          <w:szCs w:val="22"/>
        </w:rPr>
        <w:t xml:space="preserve">, que indican esencialmente que es obligación del juzgador suplir </w:t>
      </w:r>
      <w:r w:rsidRPr="00252307">
        <w:rPr>
          <w:rFonts w:ascii="Palatino Linotype" w:eastAsia="Palatino Linotype" w:hAnsi="Palatino Linotype" w:cs="Palatino Linotype"/>
          <w:sz w:val="22"/>
          <w:szCs w:val="22"/>
        </w:rPr>
        <w:lastRenderedPageBreak/>
        <w:t>la queja deficiente ante una violación evidente de la ley que haya dejado sin defensa al particular, aún ante la ausencia de concepto de violación con el fin de evitar el beneficio de una de las partes a costa de la indefensión de la otra.</w:t>
      </w:r>
    </w:p>
    <w:p w:rsidR="00647AFA" w:rsidRPr="00252307" w:rsidRDefault="00647AFA" w:rsidP="00827BFE">
      <w:pPr>
        <w:ind w:right="1"/>
        <w:jc w:val="both"/>
        <w:rPr>
          <w:rFonts w:ascii="Palatino Linotype" w:eastAsia="Palatino Linotype" w:hAnsi="Palatino Linotype" w:cs="Palatino Linotype"/>
          <w:b/>
          <w:sz w:val="22"/>
          <w:szCs w:val="22"/>
        </w:rPr>
      </w:pPr>
    </w:p>
    <w:p w:rsidR="00647AFA" w:rsidRPr="00252307" w:rsidRDefault="00647AFA"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Precisado lo anterior</w:t>
      </w:r>
      <w:r w:rsidR="00613DF7" w:rsidRPr="00252307">
        <w:rPr>
          <w:rFonts w:ascii="Palatino Linotype" w:eastAsia="Calibri" w:hAnsi="Palatino Linotype" w:cs="Arial"/>
          <w:color w:val="000000" w:themeColor="text1"/>
          <w:sz w:val="22"/>
          <w:szCs w:val="22"/>
          <w:lang w:val="es-ES"/>
        </w:rPr>
        <w:t>,</w:t>
      </w:r>
      <w:r w:rsidRPr="00252307">
        <w:rPr>
          <w:rFonts w:ascii="Palatino Linotype" w:eastAsia="Calibri" w:hAnsi="Palatino Linotype" w:cs="Arial"/>
          <w:color w:val="000000" w:themeColor="text1"/>
          <w:sz w:val="22"/>
          <w:szCs w:val="22"/>
          <w:lang w:val="es-ES"/>
        </w:rPr>
        <w:t xml:space="preserve"> resulta conveniente reiterar que el Manual de Organización de la Secretaría de Movilidad, contempla en su estructura Orgánica a la Coordinación de Estudios y Proyectos Estratégicos; como se observa a continuación:</w:t>
      </w:r>
    </w:p>
    <w:p w:rsidR="00647AFA" w:rsidRPr="00252307" w:rsidRDefault="00647AFA" w:rsidP="00827BFE">
      <w:pPr>
        <w:ind w:right="1"/>
        <w:jc w:val="both"/>
        <w:rPr>
          <w:rFonts w:ascii="Palatino Linotype" w:eastAsia="Calibri" w:hAnsi="Palatino Linotype" w:cs="Arial"/>
          <w:color w:val="000000" w:themeColor="text1"/>
          <w:sz w:val="22"/>
          <w:szCs w:val="22"/>
          <w:lang w:val="es-ES"/>
        </w:rPr>
      </w:pPr>
    </w:p>
    <w:p w:rsidR="00647AFA" w:rsidRPr="00252307" w:rsidRDefault="00647AFA" w:rsidP="00647AFA">
      <w:pPr>
        <w:spacing w:line="360" w:lineRule="auto"/>
        <w:ind w:right="1"/>
        <w:jc w:val="both"/>
        <w:rPr>
          <w:rFonts w:ascii="Palatino Linotype" w:eastAsia="Calibri" w:hAnsi="Palatino Linotype" w:cs="Arial"/>
          <w:color w:val="000000" w:themeColor="text1"/>
          <w:sz w:val="22"/>
          <w:szCs w:val="22"/>
          <w:lang w:val="es-ES"/>
        </w:rPr>
      </w:pPr>
      <w:r w:rsidRPr="00252307">
        <w:rPr>
          <w:rFonts w:ascii="Palatino Linotype" w:eastAsia="Calibri" w:hAnsi="Palatino Linotype" w:cs="Arial"/>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3082290</wp:posOffset>
                </wp:positionV>
                <wp:extent cx="3676650" cy="17145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3676650" cy="17145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1F751" id="Rectángulo 2" o:spid="_x0000_s1026" style="position:absolute;margin-left:18.85pt;margin-top:242.7pt;width:28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" filled="f" strokecolor="#c00000" strokeweight="3pt"/>
            </w:pict>
          </mc:Fallback>
        </mc:AlternateContent>
      </w:r>
      <w:r w:rsidRPr="00252307">
        <w:rPr>
          <w:rFonts w:ascii="Palatino Linotype" w:eastAsia="Calibri" w:hAnsi="Palatino Linotype" w:cs="Arial"/>
          <w:noProof/>
          <w:color w:val="000000" w:themeColor="text1"/>
          <w:sz w:val="22"/>
          <w:szCs w:val="22"/>
        </w:rPr>
        <w:drawing>
          <wp:inline distT="0" distB="0" distL="0" distR="0" wp14:anchorId="5B714B93" wp14:editId="37504B3A">
            <wp:extent cx="5941060" cy="364680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1060" cy="3646805"/>
                    </a:xfrm>
                    <a:prstGeom prst="rect">
                      <a:avLst/>
                    </a:prstGeom>
                  </pic:spPr>
                </pic:pic>
              </a:graphicData>
            </a:graphic>
          </wp:inline>
        </w:drawing>
      </w:r>
    </w:p>
    <w:p w:rsidR="00647AFA" w:rsidRPr="00252307" w:rsidRDefault="00647AFA" w:rsidP="00827BFE">
      <w:pPr>
        <w:ind w:right="1"/>
        <w:jc w:val="both"/>
        <w:rPr>
          <w:rFonts w:ascii="Palatino Linotype" w:eastAsia="Palatino Linotype" w:hAnsi="Palatino Linotype" w:cs="Palatino Linotype"/>
          <w:b/>
          <w:sz w:val="22"/>
          <w:szCs w:val="22"/>
        </w:rPr>
      </w:pPr>
    </w:p>
    <w:p w:rsidR="00647AFA" w:rsidRPr="00252307" w:rsidRDefault="00647AFA" w:rsidP="00647AFA">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Unidad Administrativa, que de conformidad con lo establecido en el ordenamiento legal previamente citado, cuenta con el objetivo de apoyar</w:t>
      </w:r>
      <w:r w:rsidRPr="00252307">
        <w:rPr>
          <w:rFonts w:ascii="Palatino Linotype" w:hAnsi="Palatino Linotype"/>
          <w:sz w:val="22"/>
          <w:szCs w:val="22"/>
        </w:rPr>
        <w:t xml:space="preserve"> y coordinar los asuntos, programas y proyectos que la o el titular de la Secretaría requiera para el desarrollo de sus funciones, a través </w:t>
      </w:r>
      <w:r w:rsidRPr="00252307">
        <w:rPr>
          <w:rFonts w:ascii="Palatino Linotype" w:hAnsi="Palatino Linotype"/>
          <w:sz w:val="22"/>
          <w:szCs w:val="22"/>
        </w:rPr>
        <w:lastRenderedPageBreak/>
        <w:t>del análisis, valoración, evaluación, planeación y respuesta; así como apoyar a las unidades administrativas, desconcentrados y organismos descentralizados de la Secretaría en asuntos, programas y acciones de carácter estratégico. Y, quien a su vez, cuenta con la Dirección de Reciclaje de Vehículos. Como se observa:</w:t>
      </w:r>
    </w:p>
    <w:p w:rsidR="00647AFA" w:rsidRPr="00252307" w:rsidRDefault="00647AFA" w:rsidP="00827BFE">
      <w:pPr>
        <w:ind w:right="1"/>
        <w:jc w:val="both"/>
        <w:rPr>
          <w:rFonts w:ascii="Palatino Linotype" w:eastAsia="Palatino Linotype" w:hAnsi="Palatino Linotype" w:cs="Palatino Linotype"/>
          <w:sz w:val="22"/>
          <w:szCs w:val="22"/>
        </w:rPr>
      </w:pPr>
    </w:p>
    <w:p w:rsidR="00647AFA" w:rsidRPr="00252307" w:rsidRDefault="00647AFA" w:rsidP="00647AFA">
      <w:pPr>
        <w:spacing w:line="360" w:lineRule="auto"/>
        <w:ind w:right="1"/>
        <w:jc w:val="center"/>
        <w:rPr>
          <w:rFonts w:ascii="Palatino Linotype" w:eastAsia="Palatino Linotype" w:hAnsi="Palatino Linotype" w:cs="Palatino Linotype"/>
          <w:sz w:val="22"/>
          <w:szCs w:val="22"/>
        </w:rPr>
      </w:pPr>
      <w:r w:rsidRPr="00252307">
        <w:rPr>
          <w:rFonts w:ascii="Palatino Linotype" w:eastAsia="Palatino Linotype" w:hAnsi="Palatino Linotype" w:cs="Palatino Linotype"/>
          <w:noProof/>
          <w:sz w:val="22"/>
          <w:szCs w:val="22"/>
        </w:rPr>
        <w:drawing>
          <wp:inline distT="0" distB="0" distL="0" distR="0" wp14:anchorId="09BCF354" wp14:editId="1DFB647B">
            <wp:extent cx="3648584" cy="183858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8584" cy="1838582"/>
                    </a:xfrm>
                    <a:prstGeom prst="rect">
                      <a:avLst/>
                    </a:prstGeom>
                  </pic:spPr>
                </pic:pic>
              </a:graphicData>
            </a:graphic>
          </wp:inline>
        </w:drawing>
      </w:r>
    </w:p>
    <w:p w:rsidR="00647AFA" w:rsidRPr="00252307" w:rsidRDefault="00647AFA" w:rsidP="00305C25">
      <w:pPr>
        <w:ind w:right="1"/>
        <w:jc w:val="both"/>
        <w:rPr>
          <w:rFonts w:ascii="Palatino Linotype" w:eastAsia="Palatino Linotype" w:hAnsi="Palatino Linotype" w:cs="Palatino Linotype"/>
          <w:sz w:val="22"/>
          <w:szCs w:val="22"/>
        </w:rPr>
      </w:pPr>
    </w:p>
    <w:p w:rsidR="00647AFA" w:rsidRPr="00252307" w:rsidRDefault="00647AFA" w:rsidP="00647AFA">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Precisado lo anterior, </w:t>
      </w:r>
      <w:r w:rsidRPr="00252307">
        <w:rPr>
          <w:rFonts w:ascii="Palatino Linotype" w:eastAsia="Calibri" w:hAnsi="Palatino Linotype" w:cs="Arial"/>
          <w:color w:val="000000" w:themeColor="text1"/>
          <w:sz w:val="22"/>
          <w:szCs w:val="22"/>
          <w:lang w:val="es-ES"/>
        </w:rPr>
        <w:t xml:space="preserve">cabe </w:t>
      </w:r>
      <w:r w:rsidRPr="00252307">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647AFA" w:rsidRPr="00252307" w:rsidRDefault="00647AFA" w:rsidP="00647AFA">
      <w:pPr>
        <w:spacing w:line="360" w:lineRule="auto"/>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En </w:t>
      </w:r>
      <w:r w:rsidRPr="00252307">
        <w:rPr>
          <w:rFonts w:ascii="Palatino Linotype" w:hAnsi="Palatino Linotype"/>
          <w:color w:val="000000" w:themeColor="text1"/>
          <w:sz w:val="22"/>
          <w:szCs w:val="22"/>
        </w:rPr>
        <w:t xml:space="preserve">este sentido, para </w:t>
      </w:r>
      <w:r w:rsidRPr="00252307">
        <w:rPr>
          <w:rFonts w:ascii="Palatino Linotype" w:hAnsi="Palatino Linotype" w:cs="Arial"/>
          <w:sz w:val="22"/>
          <w:szCs w:val="22"/>
        </w:rPr>
        <w:t>atender las solicitudes de información, los Sujetos Obligados contarán con un área denominada Unidad de Transparencia</w:t>
      </w:r>
      <w:r w:rsidRPr="00252307">
        <w:rPr>
          <w:rFonts w:ascii="Palatino Linotype" w:hAnsi="Palatino Linotype"/>
          <w:sz w:val="22"/>
          <w:szCs w:val="22"/>
          <w:vertAlign w:val="superscript"/>
        </w:rPr>
        <w:footnoteReference w:id="7"/>
      </w:r>
      <w:r w:rsidRPr="00252307">
        <w:rPr>
          <w:rFonts w:ascii="Palatino Linotype" w:hAnsi="Palatino Linotype" w:cs="Arial"/>
          <w:sz w:val="22"/>
          <w:szCs w:val="22"/>
        </w:rPr>
        <w:t xml:space="preserve">,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w:t>
      </w:r>
      <w:r w:rsidRPr="00252307">
        <w:rPr>
          <w:rFonts w:ascii="Palatino Linotype" w:hAnsi="Palatino Linotype" w:cs="Arial"/>
          <w:sz w:val="22"/>
          <w:szCs w:val="22"/>
        </w:rPr>
        <w:lastRenderedPageBreak/>
        <w:t>internas necesarias para gestionar la atención a las solicitudes de información</w:t>
      </w:r>
      <w:r w:rsidRPr="00252307">
        <w:rPr>
          <w:rFonts w:ascii="Palatino Linotype" w:hAnsi="Palatino Linotype" w:cs="Arial"/>
          <w:b/>
          <w:bCs/>
          <w:sz w:val="22"/>
          <w:szCs w:val="22"/>
        </w:rPr>
        <w:t xml:space="preserve"> </w:t>
      </w:r>
      <w:r w:rsidRPr="00252307">
        <w:rPr>
          <w:rFonts w:ascii="Palatino Linotype" w:hAnsi="Palatino Linotype" w:cs="Arial"/>
          <w:sz w:val="22"/>
          <w:szCs w:val="22"/>
        </w:rPr>
        <w:t>en los términos de la Ley General y la Ley de Transparencia y Acceso a la Información Pública del Estado de México y Municipios</w:t>
      </w:r>
      <w:r w:rsidRPr="00252307">
        <w:rPr>
          <w:rFonts w:ascii="Palatino Linotype" w:hAnsi="Palatino Linotype"/>
          <w:sz w:val="22"/>
          <w:szCs w:val="22"/>
          <w:vertAlign w:val="superscript"/>
        </w:rPr>
        <w:footnoteReference w:id="8"/>
      </w:r>
      <w:r w:rsidRPr="00252307">
        <w:rPr>
          <w:rFonts w:ascii="Palatino Linotype" w:hAnsi="Palatino Linotype" w:cs="Arial"/>
          <w:sz w:val="22"/>
          <w:szCs w:val="22"/>
        </w:rPr>
        <w:t>.</w:t>
      </w:r>
    </w:p>
    <w:p w:rsidR="0066562E" w:rsidRPr="00252307" w:rsidRDefault="0066562E" w:rsidP="00305C25">
      <w:pPr>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De </w:t>
      </w:r>
      <w:r w:rsidRPr="00252307">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66562E" w:rsidRPr="00252307" w:rsidRDefault="0066562E" w:rsidP="00305C25">
      <w:pPr>
        <w:ind w:right="1"/>
        <w:jc w:val="both"/>
        <w:rPr>
          <w:rFonts w:ascii="Palatino Linotype" w:eastAsia="Palatino Linotype" w:hAnsi="Palatino Linotype" w:cs="Palatino Linotype"/>
          <w:b/>
          <w:sz w:val="22"/>
          <w:szCs w:val="22"/>
        </w:rPr>
      </w:pPr>
    </w:p>
    <w:p w:rsidR="0066562E" w:rsidRPr="00252307" w:rsidRDefault="0066562E" w:rsidP="00827BF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252307">
        <w:rPr>
          <w:rFonts w:ascii="Palatino Linotype" w:hAnsi="Palatino Linotype" w:cs="Arial"/>
          <w:color w:val="000000" w:themeColor="text1"/>
          <w:szCs w:val="22"/>
        </w:rPr>
        <w:t>Recibir, tramitar y dar respuesta a las solicitudes de acceso a la información;</w:t>
      </w:r>
    </w:p>
    <w:p w:rsidR="0066562E" w:rsidRPr="00252307" w:rsidRDefault="0066562E" w:rsidP="0066562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252307">
        <w:rPr>
          <w:rFonts w:ascii="Palatino Linotype" w:hAnsi="Palatino Linotype" w:cs="Arial"/>
          <w:color w:val="000000" w:themeColor="text1"/>
          <w:szCs w:val="22"/>
        </w:rPr>
        <w:t xml:space="preserve">Realizar, con efectividad, los trámites internos necesarios para la atención de las solicitudes de acceso a la información; </w:t>
      </w:r>
    </w:p>
    <w:p w:rsidR="0066562E" w:rsidRPr="00252307" w:rsidRDefault="0066562E" w:rsidP="0066562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252307">
        <w:rPr>
          <w:rFonts w:ascii="Palatino Linotype" w:hAnsi="Palatino Linotype" w:cs="Arial"/>
          <w:color w:val="000000" w:themeColor="text1"/>
          <w:szCs w:val="22"/>
        </w:rPr>
        <w:t xml:space="preserve">Entregar, en su caso, a los particulares la información solicitada; y </w:t>
      </w:r>
    </w:p>
    <w:p w:rsidR="0066562E" w:rsidRPr="00252307" w:rsidRDefault="0066562E" w:rsidP="0066562E">
      <w:pPr>
        <w:pStyle w:val="Prrafodelista"/>
        <w:numPr>
          <w:ilvl w:val="1"/>
          <w:numId w:val="16"/>
        </w:numPr>
        <w:spacing w:before="240" w:after="240"/>
        <w:ind w:left="709" w:right="616" w:hanging="142"/>
        <w:jc w:val="both"/>
        <w:rPr>
          <w:rFonts w:ascii="Palatino Linotype" w:hAnsi="Palatino Linotype"/>
          <w:color w:val="000000" w:themeColor="text1"/>
          <w:szCs w:val="22"/>
        </w:rPr>
      </w:pPr>
      <w:r w:rsidRPr="00252307">
        <w:rPr>
          <w:rFonts w:ascii="Palatino Linotype" w:hAnsi="Palatino Linotype" w:cs="Arial"/>
          <w:color w:val="000000" w:themeColor="text1"/>
          <w:szCs w:val="22"/>
        </w:rPr>
        <w:t>Efectuar las notificaciones a los solicitantes.</w:t>
      </w:r>
    </w:p>
    <w:p w:rsidR="0066562E" w:rsidRPr="00252307" w:rsidRDefault="0066562E" w:rsidP="00305C25">
      <w:pPr>
        <w:spacing w:before="240" w:after="240"/>
        <w:ind w:right="616"/>
        <w:jc w:val="both"/>
        <w:rPr>
          <w:rFonts w:ascii="Palatino Linotype" w:hAnsi="Palatino Linotype"/>
          <w:color w:val="000000" w:themeColor="text1"/>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Otros </w:t>
      </w:r>
      <w:r w:rsidRPr="00252307">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252307">
        <w:rPr>
          <w:rFonts w:ascii="Palatino Linotype" w:hAnsi="Palatino Linotype" w:cs="Arial"/>
          <w:b/>
          <w:color w:val="000000" w:themeColor="text1"/>
          <w:sz w:val="22"/>
          <w:szCs w:val="22"/>
        </w:rPr>
        <w:t xml:space="preserve">SUJETO OBLIGADO </w:t>
      </w:r>
      <w:r w:rsidRPr="00252307">
        <w:rPr>
          <w:rFonts w:ascii="Palatino Linotype" w:hAnsi="Palatino Linotype" w:cs="Arial"/>
          <w:color w:val="000000" w:themeColor="text1"/>
          <w:sz w:val="22"/>
          <w:szCs w:val="22"/>
        </w:rPr>
        <w:t>a propuesta del responsable de la Unidad de Transparencia</w:t>
      </w:r>
      <w:r w:rsidRPr="00252307">
        <w:rPr>
          <w:rStyle w:val="Refdenotaalpie"/>
          <w:rFonts w:ascii="Palatino Linotype" w:hAnsi="Palatino Linotype" w:cs="Arial"/>
          <w:color w:val="000000" w:themeColor="text1"/>
          <w:sz w:val="22"/>
          <w:szCs w:val="22"/>
        </w:rPr>
        <w:footnoteReference w:id="9"/>
      </w:r>
      <w:r w:rsidRPr="00252307">
        <w:rPr>
          <w:rFonts w:ascii="Palatino Linotype" w:hAnsi="Palatino Linotype" w:cs="Arial"/>
          <w:color w:val="000000" w:themeColor="text1"/>
          <w:sz w:val="22"/>
          <w:szCs w:val="22"/>
        </w:rPr>
        <w:t xml:space="preserve"> y tendrán, entre sus atribuciones, las siguientes</w:t>
      </w:r>
      <w:r w:rsidRPr="00252307">
        <w:rPr>
          <w:rStyle w:val="Refdenotaalpie"/>
          <w:rFonts w:ascii="Palatino Linotype" w:hAnsi="Palatino Linotype" w:cs="Arial"/>
          <w:color w:val="000000" w:themeColor="text1"/>
          <w:sz w:val="22"/>
          <w:szCs w:val="22"/>
        </w:rPr>
        <w:footnoteReference w:id="10"/>
      </w:r>
      <w:r w:rsidRPr="00252307">
        <w:rPr>
          <w:rFonts w:ascii="Palatino Linotype" w:hAnsi="Palatino Linotype" w:cs="Arial"/>
          <w:color w:val="000000" w:themeColor="text1"/>
          <w:sz w:val="22"/>
          <w:szCs w:val="22"/>
        </w:rPr>
        <w:t>:</w:t>
      </w:r>
    </w:p>
    <w:p w:rsidR="0066562E" w:rsidRPr="00252307" w:rsidRDefault="0066562E" w:rsidP="00305C25">
      <w:pPr>
        <w:ind w:right="1"/>
        <w:jc w:val="both"/>
        <w:rPr>
          <w:rFonts w:ascii="Palatino Linotype" w:eastAsia="Calibri" w:hAnsi="Palatino Linotype" w:cs="Arial"/>
          <w:color w:val="000000" w:themeColor="text1"/>
          <w:sz w:val="22"/>
          <w:szCs w:val="22"/>
          <w:lang w:val="es-ES"/>
        </w:rPr>
      </w:pPr>
    </w:p>
    <w:p w:rsidR="0066562E" w:rsidRPr="00252307" w:rsidRDefault="0066562E" w:rsidP="0066562E">
      <w:pPr>
        <w:pStyle w:val="Prrafodelista"/>
        <w:numPr>
          <w:ilvl w:val="1"/>
          <w:numId w:val="17"/>
        </w:numPr>
        <w:spacing w:before="240" w:after="240"/>
        <w:ind w:left="709" w:right="565" w:hanging="142"/>
        <w:jc w:val="both"/>
        <w:rPr>
          <w:rFonts w:ascii="Palatino Linotype" w:hAnsi="Palatino Linotype" w:cs="Arial"/>
          <w:color w:val="000000" w:themeColor="text1"/>
          <w:szCs w:val="22"/>
        </w:rPr>
      </w:pPr>
      <w:r w:rsidRPr="00252307">
        <w:rPr>
          <w:rFonts w:ascii="Palatino Linotype" w:hAnsi="Palatino Linotype" w:cs="Arial"/>
          <w:color w:val="000000" w:themeColor="text1"/>
          <w:szCs w:val="22"/>
        </w:rPr>
        <w:t>Localizar la información que le solicite la Unidad de Transparencia; y</w:t>
      </w:r>
    </w:p>
    <w:p w:rsidR="0066562E" w:rsidRPr="00252307" w:rsidRDefault="0066562E" w:rsidP="0066562E">
      <w:pPr>
        <w:pStyle w:val="Prrafodelista"/>
        <w:numPr>
          <w:ilvl w:val="1"/>
          <w:numId w:val="17"/>
        </w:numPr>
        <w:spacing w:before="240" w:after="240"/>
        <w:ind w:left="709" w:right="565" w:hanging="142"/>
        <w:jc w:val="both"/>
        <w:rPr>
          <w:rFonts w:ascii="Palatino Linotype" w:hAnsi="Palatino Linotype"/>
          <w:color w:val="000000" w:themeColor="text1"/>
          <w:szCs w:val="22"/>
        </w:rPr>
      </w:pPr>
      <w:r w:rsidRPr="00252307">
        <w:rPr>
          <w:rFonts w:ascii="Palatino Linotype" w:hAnsi="Palatino Linotype" w:cs="Arial"/>
          <w:color w:val="000000" w:themeColor="text1"/>
          <w:szCs w:val="22"/>
        </w:rPr>
        <w:t>Proporcionar la información que obre en los archivos y que le sea solicitada por la Unidad de Transparencia.</w:t>
      </w:r>
    </w:p>
    <w:p w:rsidR="0066562E" w:rsidRPr="00252307" w:rsidRDefault="0066562E" w:rsidP="00305C25">
      <w:pPr>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hAnsi="Palatino Linotype"/>
          <w:color w:val="000000" w:themeColor="text1"/>
          <w:sz w:val="22"/>
          <w:szCs w:val="22"/>
        </w:rPr>
        <w:t xml:space="preserve">De </w:t>
      </w:r>
      <w:r w:rsidRPr="00252307">
        <w:rPr>
          <w:rFonts w:ascii="Palatino Linotype" w:hAnsi="Palatino Linotype" w:cs="Arial"/>
          <w:color w:val="000000" w:themeColor="text1"/>
          <w:sz w:val="22"/>
          <w:szCs w:val="22"/>
        </w:rPr>
        <w:t xml:space="preserve">tal manera que cada una de las áreas administrativas del </w:t>
      </w:r>
      <w:r w:rsidRPr="00252307">
        <w:rPr>
          <w:rFonts w:ascii="Palatino Linotype" w:hAnsi="Palatino Linotype" w:cs="Arial"/>
          <w:b/>
          <w:bCs/>
          <w:color w:val="000000" w:themeColor="text1"/>
          <w:sz w:val="22"/>
          <w:szCs w:val="22"/>
        </w:rPr>
        <w:t>SUJETO OBLIGADO</w:t>
      </w:r>
      <w:r w:rsidRPr="00252307">
        <w:rPr>
          <w:rFonts w:ascii="Palatino Linotype" w:hAnsi="Palatino Linotype" w:cs="Arial"/>
          <w:color w:val="000000" w:themeColor="text1"/>
          <w:sz w:val="22"/>
          <w:szCs w:val="22"/>
        </w:rPr>
        <w:t xml:space="preserve"> deberá contar con un servidor público habilitado, quien será, a su vez, el enlace entre la Unidad de </w:t>
      </w:r>
      <w:r w:rsidRPr="00252307">
        <w:rPr>
          <w:rFonts w:ascii="Palatino Linotype" w:hAnsi="Palatino Linotype" w:cs="Arial"/>
          <w:color w:val="000000" w:themeColor="text1"/>
          <w:sz w:val="22"/>
          <w:szCs w:val="22"/>
        </w:rPr>
        <w:lastRenderedPageBreak/>
        <w:t>Transparencia y el área administrativa, y se encargará de buscar, localizar y proporcionar la información que se requiera a través de las solicitudes de acceso a la información.</w:t>
      </w:r>
    </w:p>
    <w:p w:rsidR="0066562E" w:rsidRPr="00252307" w:rsidRDefault="0066562E" w:rsidP="00305C25">
      <w:pPr>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Aunado a lo anterior, </w:t>
      </w:r>
      <w:r w:rsidRPr="00252307">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66562E" w:rsidRPr="00252307" w:rsidRDefault="0066562E" w:rsidP="00305C25">
      <w:pPr>
        <w:ind w:right="1"/>
        <w:jc w:val="both"/>
        <w:rPr>
          <w:rFonts w:ascii="Palatino Linotype" w:eastAsia="Calibri" w:hAnsi="Palatino Linotype" w:cs="Arial"/>
          <w:color w:val="000000" w:themeColor="text1"/>
          <w:sz w:val="22"/>
          <w:szCs w:val="22"/>
          <w:lang w:val="es-ES"/>
        </w:rPr>
      </w:pP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b/>
          <w:bCs/>
          <w:i/>
          <w:iCs/>
          <w:szCs w:val="22"/>
        </w:rPr>
        <w:t>“Artículo 53</w:t>
      </w:r>
      <w:r w:rsidRPr="00252307">
        <w:rPr>
          <w:rFonts w:ascii="Palatino Linotype" w:hAnsi="Palatino Linotype"/>
          <w:i/>
          <w:iCs/>
          <w:szCs w:val="22"/>
        </w:rPr>
        <w:t xml:space="preserve">. Las Unidades de Transparencia tendrán las siguientes funciones: </w:t>
      </w:r>
    </w:p>
    <w:p w:rsidR="0066562E" w:rsidRPr="00252307" w:rsidRDefault="0066562E" w:rsidP="0066562E">
      <w:pPr>
        <w:pStyle w:val="Prrafodelista"/>
        <w:spacing w:before="240" w:after="240"/>
        <w:ind w:left="567" w:right="616"/>
        <w:jc w:val="both"/>
        <w:rPr>
          <w:rFonts w:ascii="Palatino Linotype" w:hAnsi="Palatino Linotype"/>
          <w:i/>
          <w:iCs/>
          <w:szCs w:val="22"/>
        </w:rPr>
      </w:pP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66562E" w:rsidRPr="00252307" w:rsidRDefault="0066562E" w:rsidP="0066562E">
      <w:pPr>
        <w:pStyle w:val="Prrafodelista"/>
        <w:spacing w:before="240" w:after="240"/>
        <w:ind w:left="567" w:right="616"/>
        <w:jc w:val="both"/>
        <w:rPr>
          <w:rFonts w:ascii="Palatino Linotype" w:hAnsi="Palatino Linotype"/>
          <w:b/>
          <w:bCs/>
          <w:i/>
          <w:iCs/>
          <w:szCs w:val="22"/>
        </w:rPr>
      </w:pPr>
      <w:r w:rsidRPr="00252307">
        <w:rPr>
          <w:rFonts w:ascii="Palatino Linotype" w:hAnsi="Palatino Linotype"/>
          <w:b/>
          <w:bCs/>
          <w:i/>
          <w:iCs/>
          <w:szCs w:val="22"/>
        </w:rPr>
        <w:t xml:space="preserve">II. Recibir, tramitar y dar respuesta a las solicitudes de acceso a la información;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III. Auxiliar a los particulares en la elaboración de solicitudes de acceso a la información y, en su caso, orientarlos sobre los sujetos obligados competentes conforme a la normatividad aplicable; </w:t>
      </w:r>
    </w:p>
    <w:p w:rsidR="0066562E" w:rsidRPr="00252307" w:rsidRDefault="0066562E" w:rsidP="0066562E">
      <w:pPr>
        <w:pStyle w:val="Prrafodelista"/>
        <w:spacing w:before="240" w:after="240"/>
        <w:ind w:left="567" w:right="616"/>
        <w:jc w:val="both"/>
        <w:rPr>
          <w:rFonts w:ascii="Palatino Linotype" w:hAnsi="Palatino Linotype"/>
          <w:b/>
          <w:bCs/>
          <w:i/>
          <w:iCs/>
          <w:szCs w:val="22"/>
        </w:rPr>
      </w:pPr>
      <w:r w:rsidRPr="00252307">
        <w:rPr>
          <w:rFonts w:ascii="Palatino Linotype" w:hAnsi="Palatino Linotype"/>
          <w:b/>
          <w:bCs/>
          <w:i/>
          <w:iCs/>
          <w:szCs w:val="22"/>
        </w:rPr>
        <w:t xml:space="preserve">IV. Realizar, con efectividad, los trámites internos necesarios para la atención de las solicitudes de acceso a la información;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V. Entregar, en su caso, a los particulares la información solicitada;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VI. Efectuar las notificaciones a los solicitantes;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VII. Proponer al Comité de Transparencia, los procedimientos internos que aseguren la mayor eficiencia en la gestión de las solicitudes de acceso a la información, conforme a la normatividad aplicable;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VIII. Proponer a quien preside el Comité de Transparencia, personal habilitado que sea necesario para recibir y dar trámite a las solicitudes de acceso a la información; </w:t>
      </w:r>
    </w:p>
    <w:p w:rsidR="0066562E" w:rsidRPr="00252307" w:rsidRDefault="0066562E" w:rsidP="0066562E">
      <w:pPr>
        <w:pStyle w:val="Prrafodelista"/>
        <w:spacing w:before="240" w:after="240"/>
        <w:ind w:left="567" w:right="616"/>
        <w:jc w:val="both"/>
        <w:rPr>
          <w:rFonts w:ascii="Palatino Linotype" w:hAnsi="Palatino Linotype"/>
          <w:b/>
          <w:bCs/>
          <w:i/>
          <w:iCs/>
          <w:szCs w:val="22"/>
        </w:rPr>
      </w:pPr>
      <w:r w:rsidRPr="00252307">
        <w:rPr>
          <w:rFonts w:ascii="Palatino Linotype" w:hAnsi="Palatino Linotype"/>
          <w:b/>
          <w:bCs/>
          <w:i/>
          <w:iCs/>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X. Presentar ante el Comité, el proyecto de clasificación de información;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XI. Promover e implementar políticas de transparencia proactiva procurando su accesibilidad;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 xml:space="preserve">XII. Fomentar la transparencia y accesibilidad al interior del sujeto obligado; </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XIII. Hacer del conocimiento de la instancia competente la probable responsabilidad por el incumplimiento de las obligaciones previstas en la presente Ley; y</w:t>
      </w:r>
    </w:p>
    <w:p w:rsidR="0066562E" w:rsidRPr="00252307" w:rsidRDefault="0066562E" w:rsidP="0066562E">
      <w:pPr>
        <w:pStyle w:val="Prrafodelista"/>
        <w:spacing w:before="240" w:after="240"/>
        <w:ind w:left="567" w:right="616"/>
        <w:jc w:val="both"/>
        <w:rPr>
          <w:rFonts w:ascii="Palatino Linotype" w:hAnsi="Palatino Linotype"/>
          <w:i/>
          <w:iCs/>
          <w:szCs w:val="22"/>
        </w:rPr>
      </w:pPr>
      <w:r w:rsidRPr="00252307">
        <w:rPr>
          <w:rFonts w:ascii="Palatino Linotype" w:hAnsi="Palatino Linotype"/>
          <w:i/>
          <w:iCs/>
          <w:szCs w:val="22"/>
        </w:rPr>
        <w:t>XIV. Las demás que resulten necesarias para facilitar el acceso a la información y aquellas que se desprenden de la presente Ley y demás disposiciones jurídicas aplicables. (…)</w:t>
      </w:r>
    </w:p>
    <w:p w:rsidR="0066562E" w:rsidRPr="00252307" w:rsidRDefault="0066562E" w:rsidP="0066562E">
      <w:pPr>
        <w:ind w:left="567" w:right="616"/>
        <w:jc w:val="both"/>
        <w:rPr>
          <w:rFonts w:ascii="Palatino Linotype" w:eastAsia="Calibri" w:hAnsi="Palatino Linotype" w:cs="Arial"/>
          <w:color w:val="000000" w:themeColor="text1"/>
          <w:sz w:val="22"/>
          <w:szCs w:val="22"/>
          <w:lang w:val="es-ES"/>
        </w:rPr>
      </w:pPr>
      <w:r w:rsidRPr="00252307">
        <w:rPr>
          <w:rFonts w:ascii="Palatino Linotype" w:hAnsi="Palatino Linotype"/>
          <w:i/>
          <w:iCs/>
          <w:sz w:val="22"/>
          <w:szCs w:val="22"/>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66562E" w:rsidRPr="00252307" w:rsidRDefault="0066562E" w:rsidP="0066562E">
      <w:pPr>
        <w:spacing w:line="360" w:lineRule="auto"/>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De </w:t>
      </w:r>
      <w:r w:rsidRPr="00252307">
        <w:rPr>
          <w:rFonts w:ascii="Palatino Linotype" w:hAnsi="Palatino Linotype"/>
          <w:color w:val="000000" w:themeColor="text1"/>
          <w:sz w:val="22"/>
          <w:szCs w:val="22"/>
        </w:rPr>
        <w:t xml:space="preserve">lo expuesto, se tiene que, la Unidad de Transparencia es la encargada de </w:t>
      </w:r>
      <w:r w:rsidRPr="00252307">
        <w:rPr>
          <w:rFonts w:ascii="Palatino Linotype" w:hAnsi="Palatino Linotype"/>
          <w:sz w:val="22"/>
          <w:szCs w:val="22"/>
        </w:rPr>
        <w:t>recibir, tramitar y dar respuesta a las solicitudes de acceso a la información.</w:t>
      </w:r>
    </w:p>
    <w:p w:rsidR="0066562E" w:rsidRPr="00252307" w:rsidRDefault="0066562E" w:rsidP="00305C25">
      <w:pPr>
        <w:ind w:right="1"/>
        <w:jc w:val="both"/>
        <w:rPr>
          <w:rFonts w:ascii="Palatino Linotype" w:eastAsia="Palatino Linotype" w:hAnsi="Palatino Linotype" w:cs="Palatino Linotype"/>
          <w:b/>
          <w:sz w:val="22"/>
          <w:szCs w:val="22"/>
        </w:rPr>
      </w:pPr>
    </w:p>
    <w:p w:rsidR="0066562E" w:rsidRPr="00252307"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En este sentido, se advierte que, </w:t>
      </w:r>
      <w:r w:rsidRPr="00252307">
        <w:rPr>
          <w:rFonts w:ascii="Palatino Linotype" w:eastAsia="MS Mincho" w:hAnsi="Palatino Linotype"/>
          <w:sz w:val="22"/>
          <w:szCs w:val="22"/>
        </w:rPr>
        <w:t xml:space="preserve">el </w:t>
      </w:r>
      <w:r w:rsidRPr="00252307">
        <w:rPr>
          <w:rFonts w:ascii="Palatino Linotype" w:eastAsia="MS Mincho" w:hAnsi="Palatino Linotype"/>
          <w:b/>
          <w:sz w:val="22"/>
          <w:szCs w:val="22"/>
        </w:rPr>
        <w:t>SUJETO OBLIGADO</w:t>
      </w:r>
      <w:r w:rsidR="00647AFA" w:rsidRPr="00252307">
        <w:rPr>
          <w:rFonts w:ascii="Palatino Linotype" w:eastAsia="MS Mincho" w:hAnsi="Palatino Linotype"/>
          <w:sz w:val="22"/>
          <w:szCs w:val="22"/>
        </w:rPr>
        <w:t xml:space="preserve"> debe cumplir</w:t>
      </w:r>
      <w:r w:rsidRPr="00252307">
        <w:rPr>
          <w:rFonts w:ascii="Palatino Linotype" w:eastAsia="MS Mincho" w:hAnsi="Palatino Linotype"/>
          <w:sz w:val="22"/>
          <w:szCs w:val="22"/>
        </w:rPr>
        <w:t xml:space="preserve"> con el procedimiento de búsqueda exhaustiva y razonable, </w:t>
      </w:r>
      <w:r w:rsidR="00647AFA" w:rsidRPr="00252307">
        <w:rPr>
          <w:rFonts w:ascii="Palatino Linotype" w:eastAsia="MS Mincho" w:hAnsi="Palatino Linotype"/>
          <w:sz w:val="22"/>
          <w:szCs w:val="22"/>
        </w:rPr>
        <w:t>y gestionar</w:t>
      </w:r>
      <w:r w:rsidRPr="00252307">
        <w:rPr>
          <w:rFonts w:ascii="Palatino Linotype" w:eastAsia="MS Mincho" w:hAnsi="Palatino Linotype"/>
          <w:sz w:val="22"/>
          <w:szCs w:val="22"/>
        </w:rPr>
        <w:t xml:space="preserve"> la solicitud de información en las unidades en donde </w:t>
      </w:r>
      <w:r w:rsidRPr="00252307">
        <w:rPr>
          <w:rFonts w:ascii="Palatino Linotype" w:eastAsia="MS Mincho" w:hAnsi="Palatino Linotype"/>
          <w:sz w:val="22"/>
          <w:szCs w:val="22"/>
          <w:u w:val="single"/>
        </w:rPr>
        <w:t>pudiera</w:t>
      </w:r>
      <w:r w:rsidRPr="00252307">
        <w:rPr>
          <w:rFonts w:ascii="Palatino Linotype" w:eastAsia="MS Mincho" w:hAnsi="Palatino Linotype"/>
          <w:sz w:val="22"/>
          <w:szCs w:val="22"/>
        </w:rPr>
        <w:t xml:space="preserve"> o</w:t>
      </w:r>
      <w:r w:rsidR="00647AFA" w:rsidRPr="00252307">
        <w:rPr>
          <w:rFonts w:ascii="Palatino Linotype" w:eastAsia="MS Mincho" w:hAnsi="Palatino Linotype"/>
          <w:sz w:val="22"/>
          <w:szCs w:val="22"/>
        </w:rPr>
        <w:t>brar la información solicitada.</w:t>
      </w:r>
    </w:p>
    <w:p w:rsidR="0066562E" w:rsidRPr="00252307" w:rsidRDefault="0066562E" w:rsidP="00305C25">
      <w:pPr>
        <w:rPr>
          <w:rFonts w:ascii="Palatino Linotype" w:eastAsia="Palatino Linotype" w:hAnsi="Palatino Linotype" w:cs="Palatino Linotype"/>
          <w:sz w:val="22"/>
          <w:szCs w:val="22"/>
        </w:rPr>
      </w:pPr>
    </w:p>
    <w:p w:rsidR="00647AFA" w:rsidRPr="00252307" w:rsidRDefault="0066562E"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Así, </w:t>
      </w:r>
      <w:r w:rsidR="00647AFA" w:rsidRPr="00252307">
        <w:rPr>
          <w:rFonts w:ascii="Palatino Linotype" w:eastAsia="Palatino Linotype" w:hAnsi="Palatino Linotype" w:cs="Palatino Linotype"/>
          <w:sz w:val="22"/>
          <w:szCs w:val="22"/>
        </w:rPr>
        <w:t xml:space="preserve">debemos recapitular que el </w:t>
      </w:r>
      <w:r w:rsidR="00647AFA" w:rsidRPr="00252307">
        <w:rPr>
          <w:rFonts w:ascii="Palatino Linotype" w:eastAsia="Palatino Linotype" w:hAnsi="Palatino Linotype" w:cs="Palatino Linotype"/>
          <w:b/>
          <w:sz w:val="22"/>
          <w:szCs w:val="22"/>
        </w:rPr>
        <w:t>RECURRENTE</w:t>
      </w:r>
      <w:r w:rsidR="00647AFA" w:rsidRPr="00252307">
        <w:rPr>
          <w:rFonts w:ascii="Palatino Linotype" w:eastAsia="Palatino Linotype" w:hAnsi="Palatino Linotype" w:cs="Palatino Linotype"/>
          <w:sz w:val="22"/>
          <w:szCs w:val="22"/>
        </w:rPr>
        <w:t xml:space="preserve"> desea acceder a la información curricular, comprobantes de estudios, fecha de alta y sueldos del personal adscrito a la Coordinación de Estudios y Proyectos Estratégicos.</w:t>
      </w:r>
    </w:p>
    <w:p w:rsidR="00647AFA" w:rsidRPr="00252307" w:rsidRDefault="00647AFA" w:rsidP="00305C25">
      <w:pPr>
        <w:rPr>
          <w:rFonts w:ascii="Palatino Linotype" w:eastAsia="Palatino Linotype" w:hAnsi="Palatino Linotype" w:cs="Palatino Linotype"/>
          <w:sz w:val="22"/>
          <w:szCs w:val="22"/>
        </w:rPr>
      </w:pPr>
    </w:p>
    <w:p w:rsidR="0066562E" w:rsidRPr="00252307" w:rsidRDefault="00647AFA"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Al respecto, </w:t>
      </w:r>
      <w:r w:rsidR="0066562E" w:rsidRPr="00252307">
        <w:rPr>
          <w:rFonts w:ascii="Palatino Linotype" w:eastAsia="Palatino Linotype" w:hAnsi="Palatino Linotype" w:cs="Palatino Linotype"/>
          <w:sz w:val="22"/>
          <w:szCs w:val="22"/>
        </w:rPr>
        <w:t xml:space="preserve">resulta conveniente </w:t>
      </w:r>
      <w:r w:rsidR="004E7B76" w:rsidRPr="00252307">
        <w:rPr>
          <w:rFonts w:ascii="Palatino Linotype" w:eastAsia="Palatino Linotype" w:hAnsi="Palatino Linotype" w:cs="Palatino Linotype"/>
          <w:sz w:val="22"/>
          <w:szCs w:val="22"/>
        </w:rPr>
        <w:t xml:space="preserve">referir que el </w:t>
      </w:r>
      <w:r w:rsidRPr="00252307">
        <w:rPr>
          <w:rFonts w:ascii="Palatino Linotype" w:eastAsia="Palatino Linotype" w:hAnsi="Palatino Linotype" w:cs="Palatino Linotype"/>
          <w:sz w:val="22"/>
          <w:szCs w:val="22"/>
        </w:rPr>
        <w:t xml:space="preserve">Manual de Organización de la Secretaría de Movilidad, contempla dentro de su Estructura Orgánica a la </w:t>
      </w:r>
      <w:r w:rsidRPr="00252307">
        <w:rPr>
          <w:rFonts w:ascii="Palatino Linotype" w:eastAsia="Palatino Linotype" w:hAnsi="Palatino Linotype" w:cs="Palatino Linotype"/>
          <w:b/>
          <w:sz w:val="22"/>
          <w:szCs w:val="22"/>
        </w:rPr>
        <w:t>Coordinación Administrativa</w:t>
      </w:r>
      <w:r w:rsidRPr="00252307">
        <w:rPr>
          <w:rFonts w:ascii="Palatino Linotype" w:eastAsia="Palatino Linotype" w:hAnsi="Palatino Linotype" w:cs="Palatino Linotype"/>
          <w:sz w:val="22"/>
          <w:szCs w:val="22"/>
        </w:rPr>
        <w:t>, quien tiene por objet</w:t>
      </w:r>
      <w:r w:rsidR="00143950" w:rsidRPr="00252307">
        <w:rPr>
          <w:rFonts w:ascii="Palatino Linotype" w:eastAsia="Palatino Linotype" w:hAnsi="Palatino Linotype" w:cs="Palatino Linotype"/>
          <w:sz w:val="22"/>
          <w:szCs w:val="22"/>
        </w:rPr>
        <w:t>iv</w:t>
      </w:r>
      <w:r w:rsidRPr="00252307">
        <w:rPr>
          <w:rFonts w:ascii="Palatino Linotype" w:eastAsia="Palatino Linotype" w:hAnsi="Palatino Linotype" w:cs="Palatino Linotype"/>
          <w:sz w:val="22"/>
          <w:szCs w:val="22"/>
        </w:rPr>
        <w:t>o,</w:t>
      </w:r>
      <w:r w:rsidRPr="00252307">
        <w:rPr>
          <w:rFonts w:ascii="Palatino Linotype" w:eastAsia="Palatino Linotype" w:hAnsi="Palatino Linotype" w:cs="Palatino Linotype"/>
          <w:b/>
          <w:sz w:val="22"/>
          <w:szCs w:val="22"/>
        </w:rPr>
        <w:t xml:space="preserve"> planear </w:t>
      </w:r>
      <w:r w:rsidR="00143950" w:rsidRPr="00252307">
        <w:rPr>
          <w:rFonts w:ascii="Palatino Linotype" w:hAnsi="Palatino Linotype"/>
          <w:b/>
          <w:sz w:val="22"/>
          <w:szCs w:val="22"/>
        </w:rPr>
        <w:t>coordinar</w:t>
      </w:r>
      <w:r w:rsidRPr="00252307">
        <w:rPr>
          <w:rFonts w:ascii="Palatino Linotype" w:hAnsi="Palatino Linotype"/>
          <w:b/>
          <w:sz w:val="22"/>
          <w:szCs w:val="22"/>
        </w:rPr>
        <w:t xml:space="preserve"> y supervisar las actividades relacionadas con el manejo y aprovechamiento de los recursos humanos</w:t>
      </w:r>
      <w:r w:rsidRPr="00252307">
        <w:rPr>
          <w:rFonts w:ascii="Palatino Linotype" w:hAnsi="Palatino Linotype"/>
          <w:sz w:val="22"/>
          <w:szCs w:val="22"/>
        </w:rPr>
        <w:t>, materiales y financieros, así como con la prestación de los servicios generales requeridos por las unidades administrativas de la Secretaría de Movilidad para el desarrollo de sus funciones, conforme a las normas y disposiciones legales vigentes en la materia.</w:t>
      </w:r>
      <w:r w:rsidR="00143950" w:rsidRPr="00252307">
        <w:rPr>
          <w:rFonts w:ascii="Palatino Linotype" w:hAnsi="Palatino Linotype"/>
          <w:sz w:val="22"/>
          <w:szCs w:val="22"/>
        </w:rPr>
        <w:t xml:space="preserve"> Y, quien su vez, cuenta con la Subdirección de Administración del Capital Humano.</w:t>
      </w:r>
    </w:p>
    <w:p w:rsidR="004E7B76" w:rsidRPr="00252307" w:rsidRDefault="004E7B76" w:rsidP="0051644E">
      <w:pPr>
        <w:rPr>
          <w:rFonts w:ascii="Palatino Linotype" w:eastAsia="Palatino Linotype" w:hAnsi="Palatino Linotype" w:cs="Palatino Linotype"/>
          <w:sz w:val="22"/>
          <w:szCs w:val="22"/>
        </w:rPr>
      </w:pPr>
    </w:p>
    <w:p w:rsidR="00143950" w:rsidRPr="00252307" w:rsidRDefault="00143950" w:rsidP="004E7B76">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lastRenderedPageBreak/>
        <w:t xml:space="preserve">Correlativo a lo anterior, el mismo ordenamiento legal, establece que la Subdirección de Administración del Capital Humano, quien tiene por objetivo, tramitar, </w:t>
      </w:r>
      <w:r w:rsidRPr="00252307">
        <w:rPr>
          <w:rFonts w:ascii="Palatino Linotype" w:hAnsi="Palatino Linotype"/>
          <w:sz w:val="22"/>
          <w:szCs w:val="22"/>
        </w:rPr>
        <w:t xml:space="preserve">coordinar y supervisar las gestiones y </w:t>
      </w:r>
      <w:r w:rsidRPr="00252307">
        <w:rPr>
          <w:rFonts w:ascii="Palatino Linotype" w:hAnsi="Palatino Linotype"/>
          <w:b/>
          <w:sz w:val="22"/>
          <w:szCs w:val="22"/>
        </w:rPr>
        <w:t>acciones para que la administración de los recursos humanos</w:t>
      </w:r>
      <w:r w:rsidRPr="00252307">
        <w:rPr>
          <w:rFonts w:ascii="Palatino Linotype" w:hAnsi="Palatino Linotype"/>
          <w:sz w:val="22"/>
          <w:szCs w:val="22"/>
        </w:rPr>
        <w:t xml:space="preserve"> se lleve en observancia a la normativa aplicable, para el adecuado funcionamiento de la Secretaría. Y cuenta con las siguientes funciones:</w:t>
      </w:r>
    </w:p>
    <w:p w:rsidR="00143950" w:rsidRPr="00252307" w:rsidRDefault="00143950" w:rsidP="00143950">
      <w:pPr>
        <w:pStyle w:val="Prrafodelista"/>
        <w:ind w:left="567" w:right="567"/>
        <w:rPr>
          <w:rFonts w:ascii="Palatino Linotype" w:eastAsia="Palatino Linotype" w:hAnsi="Palatino Linotype" w:cs="Palatino Linotype"/>
          <w:b/>
          <w:i/>
          <w:szCs w:val="22"/>
        </w:rPr>
      </w:pP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“-Planear, organizar y controlar el aprovisionamiento de los recursos humanos.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-Integrar y gestionar ante la Secretaría de Finanzas los nombramientos, cambios de adscripción, compactaciones y/o conversiones de puestos, cambio de datos, licencias, vacaciones, pago de prestaciones, entre otros, a que tienen derecho las personas servidoras públicas.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-Supervisar el cumplimiento de la normatividad vigente en materia de Recursos Humanos.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-Supervisar y participar en la integración del proyecto anual de presupuesto de egresos, correspondiente al Capítulo 1000 Servicios Personales, así como su programación y seguimiento en su aplicación.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-Supervisar y coordinar los sistemas, procedimientos y controles en materia de recursos humanos.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-Cumplir y hacer cumplir la normatividad y los procedimientos establecidos por la Secretaría de Finanzas en materia de contratación y administración de recursos humanos.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-Validar y supervisar la plantilla de personal de las unidades administrativas de la Secretaría.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-Supervisar el cumplimiento de la normatividad vigente en materia de sanciones al recurso humano.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-Supervisar y controlar los registros de puntualidad y asistencia del personal de la Secretaría.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-Supervisar la gestión de los recursos y la autorización correspondiente, para la celebración de contratos individuales de trabajo por tiempo determinado, así como de la tramitación del pago, la afiliación y, en su momento, baja ante el Instituto de Seguridad Social del Estado de México y Municipios.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-Supervisar la debida aplicación de los catálogos de puestos y tabuladores de sueldos conforme a las plazas vacantes, en el momento de la incorporación del personal, en cualquiera de sus modalidades.</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lastRenderedPageBreak/>
        <w:t xml:space="preserve">-Coordinar con la Dirección General de Personal y el Instituto de Profesionalización de los Servidores Públicos del Poder Ejecutivo del Gobierno del Estado de México, en materia de selección, contratación, administración y capacitación de las personas servidoras públicas adscritas a la dependencia.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-Comunicar y gestionar las peticiones para las evaluaciones de prospectos de candidatas y candidatos a ocupar plazas vacantes, así como los ascensos </w:t>
      </w:r>
      <w:proofErr w:type="spellStart"/>
      <w:r w:rsidRPr="00252307">
        <w:rPr>
          <w:rFonts w:ascii="Palatino Linotype" w:hAnsi="Palatino Linotype"/>
          <w:b/>
          <w:i/>
          <w:sz w:val="22"/>
          <w:szCs w:val="22"/>
        </w:rPr>
        <w:t>escalafonarios</w:t>
      </w:r>
      <w:proofErr w:type="spellEnd"/>
      <w:r w:rsidRPr="00252307">
        <w:rPr>
          <w:rFonts w:ascii="Palatino Linotype" w:hAnsi="Palatino Linotype"/>
          <w:b/>
          <w:i/>
          <w:sz w:val="22"/>
          <w:szCs w:val="22"/>
        </w:rPr>
        <w:t xml:space="preserve">, a través de la aplicación del Sistema de Escalafón en la Secretaría de Movilidad.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-Promover las acciones que permitan la creación y operación de las brigadas internas de protección civil, promoviendo su capacitación y desarrollo, así como supervisar las medidas de seguridad e higiene al interior de las unidades administrativas de la Secretaría.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-Supervisar la adecuada integración de los expedientes del personal de la Secretaría.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 xml:space="preserve">-Ordenar y validar la realización de los trámites de altas, nombramientos, protestas de cargo, incidencias, ascensos, cambios de adscripción, licencias, vacaciones, bajas, recibos de sueldo, aguinaldos y demás movimientos de las personas servidoras públicas adscritas a la dependencia, ante la Dirección General de Personal.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-Coordinar las acciones necesarias para atender los actos de entrega recepción de las unidades administrativas.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-Coordinar y supervisar a las y los prestadores de prácticas profesionales y servicio social, adscritos a las unidades administrativas de la Secretaría. Supervisar el estado que guardan las obligaciones de transparencia de su competencia.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-Coordinar y conducir la operación de la Comisión Mixta de Seguridad e Higiene de la Secretaría; así como promover las acciones que permitan su operación.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w:t>
      </w:r>
      <w:r w:rsidRPr="00252307">
        <w:rPr>
          <w:rFonts w:ascii="Palatino Linotype" w:hAnsi="Palatino Linotype"/>
          <w:b/>
          <w:i/>
          <w:sz w:val="22"/>
          <w:szCs w:val="22"/>
        </w:rPr>
        <w:t>Supervisar y aprobar la debida dispersión y aplicación de las nóminas de la Secretaría.</w:t>
      </w:r>
      <w:r w:rsidRPr="00252307">
        <w:rPr>
          <w:rFonts w:ascii="Palatino Linotype" w:hAnsi="Palatino Linotype"/>
          <w:i/>
          <w:sz w:val="22"/>
          <w:szCs w:val="22"/>
        </w:rPr>
        <w:t xml:space="preserve">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-Instruir al Departamento de Registro de Incidencias el realizar supervisiones al sistema de registro y control de personal, así como a la permanencia y asistencia de las personas servidoras públicas en sus lugares de adscripción y/o centros de trabajo. </w:t>
      </w:r>
    </w:p>
    <w:p w:rsidR="00143950" w:rsidRPr="00252307" w:rsidRDefault="00143950" w:rsidP="00143950">
      <w:pPr>
        <w:ind w:left="567" w:right="567"/>
        <w:jc w:val="both"/>
        <w:rPr>
          <w:rFonts w:ascii="Palatino Linotype" w:hAnsi="Palatino Linotype"/>
          <w:b/>
          <w:i/>
          <w:sz w:val="22"/>
          <w:szCs w:val="22"/>
        </w:rPr>
      </w:pPr>
      <w:r w:rsidRPr="00252307">
        <w:rPr>
          <w:rFonts w:ascii="Palatino Linotype" w:hAnsi="Palatino Linotype"/>
          <w:b/>
          <w:i/>
          <w:sz w:val="22"/>
          <w:szCs w:val="22"/>
        </w:rPr>
        <w:t>-Supervisar y aprobar el cálculo de estímulos, descuentos, prestaciones de seguridad social, finiquitos y demás prestaciones de las personas servidoras públicas, previa comprobación.</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t xml:space="preserve">-Supervisar la aplicación del Programa de Estímulos y Recompensas, así como los programas sociales, culturales y recreativos que promueve la Secretaría. </w:t>
      </w:r>
    </w:p>
    <w:p w:rsidR="00143950" w:rsidRPr="00252307" w:rsidRDefault="00143950" w:rsidP="00143950">
      <w:pPr>
        <w:ind w:left="567" w:right="567"/>
        <w:jc w:val="both"/>
        <w:rPr>
          <w:rFonts w:ascii="Palatino Linotype" w:hAnsi="Palatino Linotype"/>
          <w:i/>
          <w:sz w:val="22"/>
          <w:szCs w:val="22"/>
        </w:rPr>
      </w:pPr>
      <w:r w:rsidRPr="00252307">
        <w:rPr>
          <w:rFonts w:ascii="Palatino Linotype" w:hAnsi="Palatino Linotype"/>
          <w:i/>
          <w:sz w:val="22"/>
          <w:szCs w:val="22"/>
        </w:rPr>
        <w:lastRenderedPageBreak/>
        <w:t xml:space="preserve">-Desarrollar las demás funciones inherentes al puesto, de conformidad con las disposiciones jurídicas aplicables y realizar aquellas que le encomienden sus superiores jerárquicos. </w:t>
      </w:r>
    </w:p>
    <w:p w:rsidR="00143950" w:rsidRPr="00252307" w:rsidRDefault="00143950" w:rsidP="00143950">
      <w:pPr>
        <w:ind w:left="567" w:right="567"/>
        <w:jc w:val="both"/>
        <w:rPr>
          <w:rFonts w:ascii="Palatino Linotype" w:eastAsia="Palatino Linotype" w:hAnsi="Palatino Linotype" w:cs="Palatino Linotype"/>
          <w:i/>
          <w:sz w:val="22"/>
          <w:szCs w:val="22"/>
        </w:rPr>
      </w:pPr>
      <w:r w:rsidRPr="00252307">
        <w:rPr>
          <w:rFonts w:ascii="Palatino Linotype" w:hAnsi="Palatino Linotype"/>
          <w:i/>
          <w:sz w:val="22"/>
          <w:szCs w:val="22"/>
        </w:rPr>
        <w:t>-Desarrollar las demás funciones inherentes al área de su competencia.”</w:t>
      </w:r>
    </w:p>
    <w:p w:rsidR="00143950" w:rsidRPr="00252307" w:rsidRDefault="00143950" w:rsidP="00305C25">
      <w:pPr>
        <w:rPr>
          <w:rFonts w:ascii="Palatino Linotype" w:eastAsia="Palatino Linotype" w:hAnsi="Palatino Linotype" w:cs="Palatino Linotype"/>
          <w:sz w:val="22"/>
          <w:szCs w:val="22"/>
        </w:rPr>
      </w:pPr>
    </w:p>
    <w:p w:rsidR="00143950" w:rsidRPr="00252307" w:rsidRDefault="003D39FD" w:rsidP="004E7B76">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Así, se tiene que</w:t>
      </w:r>
      <w:r w:rsidR="00143950"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 xml:space="preserve">la </w:t>
      </w:r>
      <w:r w:rsidRPr="00252307">
        <w:rPr>
          <w:rFonts w:ascii="Palatino Linotype" w:eastAsia="Palatino Linotype" w:hAnsi="Palatino Linotype" w:cs="Palatino Linotype"/>
          <w:b/>
          <w:sz w:val="22"/>
          <w:szCs w:val="22"/>
        </w:rPr>
        <w:t>Subdirección de Administración del Capital Humano</w:t>
      </w:r>
      <w:r w:rsidRPr="00252307">
        <w:rPr>
          <w:rFonts w:ascii="Palatino Linotype" w:eastAsia="Palatino Linotype" w:hAnsi="Palatino Linotype" w:cs="Palatino Linotype"/>
          <w:sz w:val="22"/>
          <w:szCs w:val="22"/>
        </w:rPr>
        <w:t xml:space="preserve">, es la Unidad Administrativa competente para atender el requerimiento del Particular, toda vez que cuenta con la función </w:t>
      </w:r>
      <w:r w:rsidRPr="00252307">
        <w:rPr>
          <w:rFonts w:ascii="Palatino Linotype" w:hAnsi="Palatino Linotype"/>
          <w:sz w:val="22"/>
          <w:szCs w:val="22"/>
        </w:rPr>
        <w:t>supervisar la adecuada integración de los expedientes del personal de la Secretaría de Movilidad, así como, supervisar y aprobar la debida dispersión y aplicación de las nóminas de la Secretaría.</w:t>
      </w:r>
    </w:p>
    <w:p w:rsidR="003D39FD" w:rsidRPr="00252307" w:rsidRDefault="003D39FD" w:rsidP="00305C25">
      <w:pPr>
        <w:ind w:right="1"/>
        <w:jc w:val="both"/>
        <w:rPr>
          <w:rFonts w:ascii="Palatino Linotype" w:eastAsia="Palatino Linotype" w:hAnsi="Palatino Linotype" w:cs="Palatino Linotype"/>
          <w:sz w:val="22"/>
          <w:szCs w:val="22"/>
        </w:rPr>
      </w:pPr>
    </w:p>
    <w:p w:rsidR="002B0131" w:rsidRPr="00252307" w:rsidRDefault="002B0131" w:rsidP="002B0131">
      <w:pPr>
        <w:pStyle w:val="Prrafodelista"/>
        <w:numPr>
          <w:ilvl w:val="0"/>
          <w:numId w:val="20"/>
        </w:numPr>
        <w:spacing w:line="360" w:lineRule="auto"/>
        <w:ind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Del currículo </w:t>
      </w:r>
      <w:r w:rsidR="001E3608" w:rsidRPr="00252307">
        <w:rPr>
          <w:rFonts w:ascii="Palatino Linotype" w:eastAsia="Palatino Linotype" w:hAnsi="Palatino Linotype" w:cs="Palatino Linotype"/>
          <w:b/>
          <w:szCs w:val="22"/>
        </w:rPr>
        <w:t xml:space="preserve">vitae </w:t>
      </w:r>
      <w:r w:rsidRPr="00252307">
        <w:rPr>
          <w:rFonts w:ascii="Palatino Linotype" w:eastAsia="Palatino Linotype" w:hAnsi="Palatino Linotype" w:cs="Palatino Linotype"/>
          <w:b/>
          <w:szCs w:val="22"/>
        </w:rPr>
        <w:t>o ficha curricular;</w:t>
      </w:r>
    </w:p>
    <w:p w:rsidR="002B0131" w:rsidRPr="00252307" w:rsidRDefault="002B0131" w:rsidP="0051644E">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Precisado lo anterior, y en atención a los requerimientos planteados por el Particular, por lo que corresponde al “</w:t>
      </w:r>
      <w:r w:rsidRPr="00252307">
        <w:rPr>
          <w:rFonts w:ascii="Palatino Linotype" w:eastAsia="Palatino Linotype" w:hAnsi="Palatino Linotype" w:cs="Palatino Linotype"/>
          <w:i/>
          <w:sz w:val="22"/>
          <w:szCs w:val="22"/>
        </w:rPr>
        <w:t>Currículo Vitae o ficha curricular”,</w:t>
      </w:r>
      <w:r w:rsidRPr="00252307">
        <w:rPr>
          <w:rFonts w:ascii="Palatino Linotype" w:eastAsia="Palatino Linotype" w:hAnsi="Palatino Linotype" w:cs="Palatino Linotype"/>
          <w:sz w:val="22"/>
          <w:szCs w:val="22"/>
        </w:rPr>
        <w:t xml:space="preserve"> resulta </w:t>
      </w:r>
      <w:r w:rsidRPr="00252307">
        <w:rPr>
          <w:rFonts w:ascii="Palatino Linotype" w:eastAsia="Calibri" w:hAnsi="Palatino Linotype" w:cs="Arial"/>
          <w:color w:val="000000" w:themeColor="text1"/>
          <w:sz w:val="22"/>
          <w:szCs w:val="22"/>
          <w:lang w:val="es-ES"/>
        </w:rPr>
        <w:t xml:space="preserve">conveniente </w:t>
      </w:r>
      <w:r w:rsidRPr="00252307">
        <w:rPr>
          <w:rFonts w:ascii="Palatino Linotype" w:hAnsi="Palatino Linotype" w:cs="Arial"/>
          <w:color w:val="000000" w:themeColor="text1"/>
          <w:sz w:val="22"/>
          <w:szCs w:val="22"/>
        </w:rPr>
        <w:t xml:space="preserve">señalar </w:t>
      </w:r>
      <w:r w:rsidRPr="00252307">
        <w:rPr>
          <w:rFonts w:ascii="Palatino Linotype" w:eastAsia="MS Gothic" w:hAnsi="Palatino Linotype"/>
          <w:sz w:val="22"/>
          <w:szCs w:val="22"/>
        </w:rPr>
        <w:t xml:space="preserve">que corresponde a una </w:t>
      </w:r>
      <w:r w:rsidRPr="00252307">
        <w:rPr>
          <w:rFonts w:ascii="Palatino Linotype" w:hAnsi="Palatino Linotype" w:cs="Arial"/>
          <w:sz w:val="22"/>
          <w:szCs w:val="22"/>
        </w:rPr>
        <w:t>locución latina que literalmente significa “carrera de la vida”, y que la Real Academia Española de la Lengua</w:t>
      </w:r>
      <w:r w:rsidRPr="00252307">
        <w:rPr>
          <w:rFonts w:ascii="Palatino Linotype" w:hAnsi="Palatino Linotype" w:cs="Arial"/>
          <w:sz w:val="22"/>
          <w:szCs w:val="22"/>
          <w:vertAlign w:val="superscript"/>
        </w:rPr>
        <w:footnoteReference w:id="11"/>
      </w:r>
      <w:r w:rsidRPr="00252307">
        <w:rPr>
          <w:rFonts w:ascii="Palatino Linotype" w:hAnsi="Palatino Linotype" w:cs="Arial"/>
          <w:sz w:val="22"/>
          <w:szCs w:val="22"/>
        </w:rPr>
        <w:t xml:space="preserve"> ha definido como “la relación de los títulos, honores, cargos, trabajos realizados y datos biográficos que califican a una persona”; así, en dicho documento, además de señalar datos personales de los particulares, se citan los estudios realizados o nivel académico, así como su experiencia laboral que incluye los cargos ocupados, períodos y sus funciones.</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En </w:t>
      </w:r>
      <w:r w:rsidRPr="00252307">
        <w:rPr>
          <w:rFonts w:ascii="Palatino Linotype" w:hAnsi="Palatino Linotype" w:cs="Arial"/>
          <w:color w:val="000000"/>
          <w:sz w:val="22"/>
          <w:szCs w:val="22"/>
        </w:rPr>
        <w:t xml:space="preserve">este orden de ideas, </w:t>
      </w:r>
      <w:r w:rsidRPr="00252307">
        <w:rPr>
          <w:rFonts w:ascii="Palatino Linotype" w:hAnsi="Palatino Linotype"/>
          <w:sz w:val="22"/>
          <w:szCs w:val="22"/>
        </w:rPr>
        <w:t xml:space="preserve">los artículos 47, fracción I, de la Ley del Trabajo de los Servidores Públicos del Estado y Municipios, y 92, fracción XXI de la </w:t>
      </w:r>
      <w:r w:rsidRPr="00252307">
        <w:rPr>
          <w:rFonts w:ascii="Palatino Linotype" w:hAnsi="Palatino Linotype"/>
          <w:sz w:val="22"/>
          <w:szCs w:val="22"/>
          <w:lang w:eastAsia="es-ES_tradnl"/>
        </w:rPr>
        <w:t xml:space="preserve">Ley de </w:t>
      </w:r>
      <w:r w:rsidRPr="00252307">
        <w:rPr>
          <w:rFonts w:ascii="Palatino Linotype" w:hAnsi="Palatino Linotype" w:cs="Arial"/>
          <w:sz w:val="22"/>
          <w:szCs w:val="22"/>
        </w:rPr>
        <w:t>Transparencia</w:t>
      </w:r>
      <w:r w:rsidRPr="00252307">
        <w:rPr>
          <w:rFonts w:ascii="Palatino Linotype" w:hAnsi="Palatino Linotype"/>
          <w:sz w:val="22"/>
          <w:szCs w:val="22"/>
          <w:lang w:eastAsia="es-ES_tradnl"/>
        </w:rPr>
        <w:t xml:space="preserve"> y </w:t>
      </w:r>
      <w:r w:rsidRPr="00252307">
        <w:rPr>
          <w:rFonts w:ascii="Palatino Linotype" w:hAnsi="Palatino Linotype" w:cs="Arial"/>
          <w:sz w:val="22"/>
          <w:szCs w:val="22"/>
        </w:rPr>
        <w:t>Acceso</w:t>
      </w:r>
      <w:r w:rsidRPr="00252307">
        <w:rPr>
          <w:rFonts w:ascii="Palatino Linotype" w:hAnsi="Palatino Linotype"/>
          <w:sz w:val="22"/>
          <w:szCs w:val="22"/>
          <w:lang w:eastAsia="es-ES_tradnl"/>
        </w:rPr>
        <w:t xml:space="preserve"> a la Información Pública del Estado de México y Municipios señalan lo siguiente:</w:t>
      </w:r>
    </w:p>
    <w:p w:rsidR="001E3608" w:rsidRPr="00252307" w:rsidRDefault="001E3608" w:rsidP="00305C25">
      <w:pPr>
        <w:ind w:right="1"/>
        <w:jc w:val="both"/>
        <w:rPr>
          <w:rFonts w:ascii="Palatino Linotype" w:eastAsia="Calibri" w:hAnsi="Palatino Linotype" w:cs="Arial"/>
          <w:color w:val="000000" w:themeColor="text1"/>
          <w:sz w:val="22"/>
          <w:szCs w:val="22"/>
          <w:lang w:val="es-ES"/>
        </w:rPr>
      </w:pPr>
    </w:p>
    <w:p w:rsidR="001E3608" w:rsidRPr="00252307" w:rsidRDefault="001E3608" w:rsidP="001E3608">
      <w:pPr>
        <w:ind w:left="567" w:right="567"/>
        <w:jc w:val="center"/>
        <w:rPr>
          <w:rFonts w:ascii="Palatino Linotype" w:hAnsi="Palatino Linotype" w:cs="Arial"/>
          <w:b/>
          <w:i/>
          <w:sz w:val="22"/>
          <w:szCs w:val="22"/>
          <w:lang w:val="es-ES"/>
        </w:rPr>
      </w:pPr>
      <w:r w:rsidRPr="00252307">
        <w:rPr>
          <w:rFonts w:ascii="Palatino Linotype" w:hAnsi="Palatino Linotype" w:cs="Arial"/>
          <w:b/>
          <w:i/>
          <w:sz w:val="22"/>
          <w:szCs w:val="22"/>
          <w:lang w:val="es-ES"/>
        </w:rPr>
        <w:t>Ley del Trabajo de los Servidores Públicos del Estado y Municipios</w:t>
      </w:r>
    </w:p>
    <w:p w:rsidR="001E3608" w:rsidRPr="00252307" w:rsidRDefault="001E3608" w:rsidP="001E3608">
      <w:pPr>
        <w:ind w:left="567" w:right="567"/>
        <w:jc w:val="center"/>
        <w:rPr>
          <w:rFonts w:ascii="Palatino Linotype" w:hAnsi="Palatino Linotype" w:cs="Arial"/>
          <w:b/>
          <w:i/>
          <w:sz w:val="22"/>
          <w:szCs w:val="22"/>
          <w:lang w:val="es-ES"/>
        </w:rPr>
      </w:pP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i/>
          <w:sz w:val="22"/>
          <w:szCs w:val="22"/>
          <w:lang w:val="es-ES"/>
        </w:rPr>
        <w:t>“</w:t>
      </w:r>
      <w:r w:rsidRPr="00252307">
        <w:rPr>
          <w:rFonts w:ascii="Palatino Linotype" w:hAnsi="Palatino Linotype" w:cs="Arial"/>
          <w:b/>
          <w:i/>
          <w:sz w:val="22"/>
          <w:szCs w:val="22"/>
          <w:lang w:val="es-ES"/>
        </w:rPr>
        <w:t>ARTÍCULO 47</w:t>
      </w:r>
      <w:r w:rsidRPr="00252307">
        <w:rPr>
          <w:rFonts w:ascii="Palatino Linotype" w:hAnsi="Palatino Linotype" w:cs="Arial"/>
          <w:i/>
          <w:sz w:val="22"/>
          <w:szCs w:val="22"/>
          <w:lang w:val="es-ES"/>
        </w:rPr>
        <w:t xml:space="preserve">. </w:t>
      </w:r>
      <w:r w:rsidRPr="00252307">
        <w:rPr>
          <w:rFonts w:ascii="Palatino Linotype" w:hAnsi="Palatino Linotype" w:cs="Arial"/>
          <w:b/>
          <w:i/>
          <w:sz w:val="22"/>
          <w:szCs w:val="22"/>
          <w:lang w:val="es-ES"/>
        </w:rPr>
        <w:t>Para ingresar al servicio público se requiere</w:t>
      </w:r>
      <w:r w:rsidRPr="00252307">
        <w:rPr>
          <w:rFonts w:ascii="Palatino Linotype" w:hAnsi="Palatino Linotype" w:cs="Arial"/>
          <w:i/>
          <w:sz w:val="22"/>
          <w:szCs w:val="22"/>
          <w:lang w:val="es-ES"/>
        </w:rPr>
        <w:t>:</w:t>
      </w:r>
    </w:p>
    <w:p w:rsidR="001E3608" w:rsidRPr="00252307" w:rsidRDefault="001E3608" w:rsidP="001E3608">
      <w:pPr>
        <w:ind w:left="567" w:right="567"/>
        <w:jc w:val="both"/>
        <w:rPr>
          <w:rFonts w:ascii="Palatino Linotype" w:hAnsi="Palatino Linotype" w:cs="Arial"/>
          <w:i/>
          <w:sz w:val="22"/>
          <w:szCs w:val="22"/>
          <w:lang w:val="es-ES"/>
        </w:rPr>
      </w:pP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b/>
          <w:i/>
          <w:sz w:val="22"/>
          <w:szCs w:val="22"/>
          <w:lang w:val="es-ES"/>
        </w:rPr>
        <w:lastRenderedPageBreak/>
        <w:t>I. Presentar una solicitud utilizando la forma oficial que se autorice</w:t>
      </w:r>
      <w:r w:rsidRPr="00252307">
        <w:rPr>
          <w:rFonts w:ascii="Palatino Linotype" w:hAnsi="Palatino Linotype" w:cs="Arial"/>
          <w:i/>
          <w:sz w:val="22"/>
          <w:szCs w:val="22"/>
          <w:lang w:val="es-ES"/>
        </w:rPr>
        <w:t xml:space="preserve"> por la institución pública o dependencia correspondiente; </w:t>
      </w: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i/>
          <w:sz w:val="22"/>
          <w:szCs w:val="22"/>
          <w:lang w:val="es-ES"/>
        </w:rPr>
        <w:t>(…)</w:t>
      </w:r>
    </w:p>
    <w:p w:rsidR="001E3608" w:rsidRPr="00252307" w:rsidRDefault="001E3608" w:rsidP="001E3608">
      <w:pPr>
        <w:ind w:left="567" w:right="567"/>
        <w:jc w:val="both"/>
        <w:rPr>
          <w:rFonts w:ascii="Palatino Linotype" w:hAnsi="Palatino Linotype" w:cs="Arial"/>
          <w:i/>
          <w:sz w:val="22"/>
          <w:szCs w:val="22"/>
          <w:lang w:val="es-ES"/>
        </w:rPr>
      </w:pPr>
    </w:p>
    <w:p w:rsidR="001E3608" w:rsidRPr="00252307" w:rsidRDefault="001E3608" w:rsidP="001E3608">
      <w:pPr>
        <w:ind w:left="567" w:right="567"/>
        <w:jc w:val="center"/>
        <w:rPr>
          <w:rFonts w:ascii="Palatino Linotype" w:hAnsi="Palatino Linotype" w:cs="Arial"/>
          <w:b/>
          <w:i/>
          <w:sz w:val="22"/>
          <w:szCs w:val="22"/>
          <w:lang w:val="es-ES"/>
        </w:rPr>
      </w:pPr>
      <w:r w:rsidRPr="00252307">
        <w:rPr>
          <w:rFonts w:ascii="Palatino Linotype" w:hAnsi="Palatino Linotype" w:cs="Arial"/>
          <w:b/>
          <w:i/>
          <w:sz w:val="22"/>
          <w:szCs w:val="22"/>
          <w:lang w:val="es-ES"/>
        </w:rPr>
        <w:t>Ley de Transparencia y Acceso a la Información Pública del Estado de México y Municipios</w:t>
      </w:r>
    </w:p>
    <w:p w:rsidR="001E3608" w:rsidRPr="00252307" w:rsidRDefault="001E3608" w:rsidP="001E3608">
      <w:pPr>
        <w:ind w:left="567" w:right="567"/>
        <w:jc w:val="center"/>
        <w:rPr>
          <w:rFonts w:ascii="Palatino Linotype" w:hAnsi="Palatino Linotype" w:cs="Arial"/>
          <w:b/>
          <w:i/>
          <w:sz w:val="22"/>
          <w:szCs w:val="22"/>
          <w:lang w:val="es-ES"/>
        </w:rPr>
      </w:pP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i/>
          <w:sz w:val="22"/>
          <w:szCs w:val="22"/>
          <w:lang w:val="es-ES"/>
        </w:rPr>
        <w:t>“</w:t>
      </w:r>
      <w:r w:rsidRPr="00252307">
        <w:rPr>
          <w:rFonts w:ascii="Palatino Linotype" w:hAnsi="Palatino Linotype" w:cs="Arial"/>
          <w:b/>
          <w:i/>
          <w:sz w:val="22"/>
          <w:szCs w:val="22"/>
          <w:lang w:val="es-ES"/>
        </w:rPr>
        <w:t>Artículo 92</w:t>
      </w:r>
      <w:r w:rsidRPr="00252307">
        <w:rPr>
          <w:rFonts w:ascii="Palatino Linotype" w:hAnsi="Palatino Linotype" w:cs="Arial"/>
          <w:i/>
          <w:sz w:val="22"/>
          <w:szCs w:val="22"/>
          <w:lang w:val="es-ES"/>
        </w:rPr>
        <w:t xml:space="preserve">. </w:t>
      </w:r>
      <w:r w:rsidRPr="00252307">
        <w:rPr>
          <w:rFonts w:ascii="Palatino Linotype" w:hAnsi="Palatino Linotype" w:cs="Arial"/>
          <w:b/>
          <w:i/>
          <w:sz w:val="22"/>
          <w:szCs w:val="22"/>
          <w:lang w:val="es-ES"/>
        </w:rPr>
        <w:t>Los sujetos obligados deberán poner a disposición del público de manera permanente y actualizada de forma sencilla</w:t>
      </w:r>
      <w:r w:rsidRPr="00252307">
        <w:rPr>
          <w:rFonts w:ascii="Palatino Linotype" w:hAnsi="Palatino Linotype" w:cs="Arial"/>
          <w:i/>
          <w:sz w:val="22"/>
          <w:szCs w:val="22"/>
          <w:lang w:val="es-ES"/>
        </w:rPr>
        <w:t xml:space="preserve">, precisa y entendible, en los respectivos medios electrónicos, de acuerdo con sus facultades, atribuciones, funciones u objeto social, según corresponda, </w:t>
      </w:r>
      <w:r w:rsidRPr="00252307">
        <w:rPr>
          <w:rFonts w:ascii="Palatino Linotype" w:hAnsi="Palatino Linotype" w:cs="Arial"/>
          <w:b/>
          <w:i/>
          <w:sz w:val="22"/>
          <w:szCs w:val="22"/>
          <w:lang w:val="es-ES"/>
        </w:rPr>
        <w:t>la información, por lo menos</w:t>
      </w:r>
      <w:r w:rsidRPr="00252307">
        <w:rPr>
          <w:rFonts w:ascii="Palatino Linotype" w:hAnsi="Palatino Linotype" w:cs="Arial"/>
          <w:i/>
          <w:sz w:val="22"/>
          <w:szCs w:val="22"/>
          <w:lang w:val="es-ES"/>
        </w:rPr>
        <w:t xml:space="preserve">, de los temas, documentos y políticas </w:t>
      </w:r>
      <w:r w:rsidRPr="00252307">
        <w:rPr>
          <w:rFonts w:ascii="Palatino Linotype" w:hAnsi="Palatino Linotype" w:cs="Arial"/>
          <w:b/>
          <w:i/>
          <w:sz w:val="22"/>
          <w:szCs w:val="22"/>
          <w:lang w:val="es-ES"/>
        </w:rPr>
        <w:t>que a continuación se señalan</w:t>
      </w:r>
      <w:r w:rsidRPr="00252307">
        <w:rPr>
          <w:rFonts w:ascii="Palatino Linotype" w:hAnsi="Palatino Linotype" w:cs="Arial"/>
          <w:i/>
          <w:sz w:val="22"/>
          <w:szCs w:val="22"/>
          <w:lang w:val="es-ES"/>
        </w:rPr>
        <w:t xml:space="preserve">: </w:t>
      </w: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i/>
          <w:sz w:val="22"/>
          <w:szCs w:val="22"/>
          <w:lang w:val="es-ES"/>
        </w:rPr>
        <w:t>[…]</w:t>
      </w: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b/>
          <w:i/>
          <w:sz w:val="22"/>
          <w:szCs w:val="22"/>
          <w:lang w:val="es-ES"/>
        </w:rPr>
        <w:t>XXI.</w:t>
      </w:r>
      <w:r w:rsidRPr="00252307">
        <w:rPr>
          <w:rFonts w:ascii="Palatino Linotype" w:hAnsi="Palatino Linotype" w:cs="Arial"/>
          <w:i/>
          <w:sz w:val="22"/>
          <w:szCs w:val="22"/>
          <w:lang w:val="es-ES"/>
        </w:rPr>
        <w:t xml:space="preserve"> </w:t>
      </w:r>
      <w:r w:rsidRPr="00252307">
        <w:rPr>
          <w:rFonts w:ascii="Palatino Linotype" w:hAnsi="Palatino Linotype" w:cs="Arial"/>
          <w:b/>
          <w:i/>
          <w:sz w:val="22"/>
          <w:szCs w:val="22"/>
          <w:lang w:val="es-ES"/>
        </w:rPr>
        <w:t>La información curricular</w:t>
      </w:r>
      <w:r w:rsidRPr="00252307">
        <w:rPr>
          <w:rFonts w:ascii="Palatino Linotype" w:hAnsi="Palatino Linotype" w:cs="Arial"/>
          <w:i/>
          <w:sz w:val="22"/>
          <w:szCs w:val="22"/>
          <w:lang w:val="es-ES"/>
        </w:rPr>
        <w:t>, desde el nivel de jefe de departamento o equivalente, hasta el titular del sujeto obligado, así como, en su caso, las sanciones administrativas de que haya sido objeto;</w:t>
      </w:r>
    </w:p>
    <w:p w:rsidR="001E3608" w:rsidRPr="00252307" w:rsidRDefault="001E3608" w:rsidP="001E3608">
      <w:pPr>
        <w:ind w:left="567" w:right="567"/>
        <w:jc w:val="both"/>
        <w:rPr>
          <w:rFonts w:ascii="Palatino Linotype" w:hAnsi="Palatino Linotype" w:cs="Arial"/>
          <w:i/>
          <w:sz w:val="22"/>
          <w:szCs w:val="22"/>
          <w:lang w:val="es-ES"/>
        </w:rPr>
      </w:pPr>
      <w:r w:rsidRPr="00252307">
        <w:rPr>
          <w:rFonts w:ascii="Palatino Linotype" w:hAnsi="Palatino Linotype" w:cs="Arial"/>
          <w:b/>
          <w:i/>
          <w:sz w:val="22"/>
          <w:szCs w:val="22"/>
          <w:lang w:val="es-ES"/>
        </w:rPr>
        <w:t>(…)</w:t>
      </w:r>
      <w:r w:rsidRPr="00252307">
        <w:rPr>
          <w:rFonts w:ascii="Palatino Linotype" w:hAnsi="Palatino Linotype" w:cs="Arial"/>
          <w:i/>
          <w:sz w:val="22"/>
          <w:szCs w:val="22"/>
          <w:lang w:val="es-ES"/>
        </w:rPr>
        <w:t>”</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De </w:t>
      </w:r>
      <w:r w:rsidRPr="00252307">
        <w:rPr>
          <w:rFonts w:ascii="Palatino Linotype" w:hAnsi="Palatino Linotype"/>
          <w:sz w:val="22"/>
          <w:szCs w:val="22"/>
          <w:lang w:val="es-ES"/>
        </w:rPr>
        <w:t xml:space="preserve">los preceptos en cita, se advierte que para acreditar los requerimientos de </w:t>
      </w:r>
      <w:r w:rsidRPr="00252307">
        <w:rPr>
          <w:rFonts w:ascii="Palatino Linotype" w:hAnsi="Palatino Linotype"/>
          <w:b/>
          <w:sz w:val="22"/>
          <w:szCs w:val="22"/>
          <w:lang w:val="es-ES"/>
        </w:rPr>
        <w:t>ingreso al servicio público</w:t>
      </w:r>
      <w:r w:rsidRPr="00252307">
        <w:rPr>
          <w:rFonts w:ascii="Palatino Linotype" w:hAnsi="Palatino Linotype"/>
          <w:sz w:val="22"/>
          <w:szCs w:val="22"/>
          <w:lang w:val="es-ES"/>
        </w:rPr>
        <w:t xml:space="preserve"> y las obligaciones de transparencia común, </w:t>
      </w:r>
      <w:r w:rsidRPr="00252307">
        <w:rPr>
          <w:rFonts w:ascii="Palatino Linotype" w:hAnsi="Palatino Linotype"/>
          <w:b/>
          <w:sz w:val="22"/>
          <w:szCs w:val="22"/>
          <w:lang w:val="es-ES"/>
        </w:rPr>
        <w:t>EL SUJETO OBLIGADO</w:t>
      </w:r>
      <w:r w:rsidRPr="00252307">
        <w:rPr>
          <w:rFonts w:ascii="Palatino Linotype" w:hAnsi="Palatino Linotype"/>
          <w:sz w:val="22"/>
          <w:szCs w:val="22"/>
          <w:lang w:val="es-ES"/>
        </w:rPr>
        <w:t xml:space="preserve">, debe contar en sus archivos con una serie de documentos, tales como la </w:t>
      </w:r>
      <w:r w:rsidRPr="00252307">
        <w:rPr>
          <w:rFonts w:ascii="Palatino Linotype" w:hAnsi="Palatino Linotype"/>
          <w:b/>
          <w:sz w:val="22"/>
          <w:szCs w:val="22"/>
          <w:lang w:val="es-ES"/>
        </w:rPr>
        <w:t>ficha curricular</w:t>
      </w:r>
      <w:r w:rsidRPr="00252307">
        <w:rPr>
          <w:rFonts w:ascii="Palatino Linotype" w:hAnsi="Palatino Linotype"/>
          <w:sz w:val="22"/>
          <w:szCs w:val="22"/>
          <w:lang w:val="es-ES"/>
        </w:rPr>
        <w:t xml:space="preserve">, el </w:t>
      </w:r>
      <w:r w:rsidRPr="00252307">
        <w:rPr>
          <w:rFonts w:ascii="Palatino Linotype" w:hAnsi="Palatino Linotype"/>
          <w:b/>
          <w:i/>
          <w:sz w:val="22"/>
          <w:szCs w:val="22"/>
          <w:lang w:val="es-ES"/>
        </w:rPr>
        <w:t>currículum vitae</w:t>
      </w:r>
      <w:r w:rsidRPr="00252307">
        <w:rPr>
          <w:rFonts w:ascii="Palatino Linotype" w:hAnsi="Palatino Linotype"/>
          <w:sz w:val="22"/>
          <w:szCs w:val="22"/>
          <w:lang w:val="es-ES"/>
        </w:rPr>
        <w:t xml:space="preserve">, y la </w:t>
      </w:r>
      <w:r w:rsidRPr="00252307">
        <w:rPr>
          <w:rFonts w:ascii="Palatino Linotype" w:hAnsi="Palatino Linotype"/>
          <w:b/>
          <w:sz w:val="22"/>
          <w:szCs w:val="22"/>
          <w:lang w:val="es-ES"/>
        </w:rPr>
        <w:t>solicitud de empleo.</w:t>
      </w:r>
    </w:p>
    <w:p w:rsidR="000C0976" w:rsidRPr="00252307" w:rsidRDefault="000C0976"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Correlativo </w:t>
      </w:r>
      <w:r w:rsidRPr="00252307">
        <w:rPr>
          <w:rFonts w:ascii="Palatino Linotype" w:hAnsi="Palatino Linotype"/>
          <w:sz w:val="22"/>
          <w:szCs w:val="22"/>
        </w:rPr>
        <w:t xml:space="preserve">a lo anterior, </w:t>
      </w:r>
      <w:r w:rsidRPr="00252307">
        <w:rPr>
          <w:rFonts w:ascii="Palatino Linotype" w:hAnsi="Palatino Linotype" w:cs="Arial"/>
          <w:sz w:val="22"/>
          <w:szCs w:val="22"/>
        </w:rPr>
        <w:t>los “</w:t>
      </w:r>
      <w:r w:rsidRPr="00252307">
        <w:rPr>
          <w:rFonts w:ascii="Palatino Linotype" w:hAnsi="Palatino Linotype" w:cs="Arial"/>
          <w:i/>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252307">
        <w:rPr>
          <w:rFonts w:ascii="Palatino Linotype" w:hAnsi="Palatino Linotype" w:cs="Arial"/>
          <w:b/>
          <w:i/>
          <w:sz w:val="22"/>
          <w:szCs w:val="22"/>
        </w:rPr>
        <w:t>,</w:t>
      </w:r>
      <w:r w:rsidRPr="00252307">
        <w:rPr>
          <w:rFonts w:ascii="Palatino Linotype" w:hAnsi="Palatino Linotype" w:cs="Arial"/>
          <w:sz w:val="22"/>
          <w:szCs w:val="22"/>
        </w:rPr>
        <w:t xml:space="preserve"> en su Anexo I referente a las Obligaciones</w:t>
      </w:r>
      <w:r w:rsidRPr="00252307">
        <w:rPr>
          <w:rFonts w:ascii="Palatino Linotype" w:hAnsi="Palatino Linotype"/>
          <w:sz w:val="22"/>
          <w:szCs w:val="22"/>
        </w:rPr>
        <w:t xml:space="preserve"> </w:t>
      </w:r>
      <w:r w:rsidRPr="00252307">
        <w:rPr>
          <w:rFonts w:ascii="Palatino Linotype" w:hAnsi="Palatino Linotype" w:cs="Arial"/>
          <w:sz w:val="22"/>
          <w:szCs w:val="22"/>
        </w:rPr>
        <w:t>de</w:t>
      </w:r>
      <w:r w:rsidRPr="00252307">
        <w:rPr>
          <w:rFonts w:ascii="Palatino Linotype" w:hAnsi="Palatino Linotype"/>
          <w:sz w:val="22"/>
          <w:szCs w:val="22"/>
        </w:rPr>
        <w:t xml:space="preserve"> </w:t>
      </w:r>
      <w:r w:rsidRPr="00252307">
        <w:rPr>
          <w:rFonts w:ascii="Palatino Linotype" w:hAnsi="Palatino Linotype" w:cs="Arial"/>
          <w:sz w:val="22"/>
          <w:szCs w:val="22"/>
        </w:rPr>
        <w:t>Transparencia</w:t>
      </w:r>
      <w:r w:rsidRPr="00252307">
        <w:rPr>
          <w:rFonts w:ascii="Palatino Linotype" w:hAnsi="Palatino Linotype"/>
          <w:sz w:val="22"/>
          <w:szCs w:val="22"/>
        </w:rPr>
        <w:t xml:space="preserve"> </w:t>
      </w:r>
      <w:r w:rsidRPr="00252307">
        <w:rPr>
          <w:rFonts w:ascii="Palatino Linotype" w:hAnsi="Palatino Linotype" w:cs="Arial"/>
          <w:sz w:val="22"/>
          <w:szCs w:val="22"/>
        </w:rPr>
        <w:t>Comunes de los</w:t>
      </w:r>
      <w:r w:rsidRPr="00252307">
        <w:rPr>
          <w:rFonts w:ascii="Palatino Linotype" w:hAnsi="Palatino Linotype"/>
          <w:sz w:val="22"/>
          <w:szCs w:val="22"/>
        </w:rPr>
        <w:t xml:space="preserve"> </w:t>
      </w:r>
      <w:r w:rsidRPr="00252307">
        <w:rPr>
          <w:rFonts w:ascii="Palatino Linotype" w:hAnsi="Palatino Linotype" w:cs="Arial"/>
          <w:sz w:val="22"/>
          <w:szCs w:val="22"/>
        </w:rPr>
        <w:t>Sujetos</w:t>
      </w:r>
      <w:r w:rsidRPr="00252307">
        <w:rPr>
          <w:rFonts w:ascii="Palatino Linotype" w:hAnsi="Palatino Linotype"/>
          <w:sz w:val="22"/>
          <w:szCs w:val="22"/>
        </w:rPr>
        <w:t xml:space="preserve"> </w:t>
      </w:r>
      <w:r w:rsidRPr="00252307">
        <w:rPr>
          <w:rFonts w:ascii="Palatino Linotype" w:hAnsi="Palatino Linotype" w:cs="Arial"/>
          <w:sz w:val="22"/>
          <w:szCs w:val="22"/>
        </w:rPr>
        <w:t>Obligados contempladas en el artículo 70, fracción XVII, de la Ley General de Transparencia y Acceso a la Información Pública, precisan en los Criterios Sustantivos de Contenido con relación a la información curricular, lo siguiente:</w:t>
      </w:r>
    </w:p>
    <w:p w:rsidR="001E3608" w:rsidRPr="00252307" w:rsidRDefault="001E3608" w:rsidP="001E3608">
      <w:pPr>
        <w:spacing w:line="360" w:lineRule="auto"/>
        <w:ind w:right="1"/>
        <w:jc w:val="both"/>
        <w:rPr>
          <w:rFonts w:ascii="Palatino Linotype" w:eastAsia="Calibri" w:hAnsi="Palatino Linotype" w:cs="Arial"/>
          <w:color w:val="000000" w:themeColor="text1"/>
          <w:sz w:val="22"/>
          <w:szCs w:val="22"/>
          <w:lang w:val="es-ES"/>
        </w:rPr>
      </w:pPr>
    </w:p>
    <w:p w:rsidR="001E3608" w:rsidRPr="00252307" w:rsidRDefault="001E3608" w:rsidP="001E3608">
      <w:pPr>
        <w:ind w:left="567" w:right="565"/>
        <w:jc w:val="center"/>
        <w:rPr>
          <w:rFonts w:ascii="Palatino Linotype" w:hAnsi="Palatino Linotype" w:cs="Arial"/>
          <w:b/>
          <w:i/>
          <w:sz w:val="22"/>
          <w:szCs w:val="22"/>
        </w:rPr>
      </w:pPr>
      <w:r w:rsidRPr="00252307">
        <w:rPr>
          <w:rFonts w:ascii="Palatino Linotype" w:hAnsi="Palatino Linotype" w:cs="Arial"/>
          <w:b/>
          <w:i/>
          <w:sz w:val="22"/>
          <w:szCs w:val="22"/>
        </w:rPr>
        <w:lastRenderedPageBreak/>
        <w:t>Anexo I</w:t>
      </w:r>
    </w:p>
    <w:p w:rsidR="001E3608" w:rsidRPr="00252307" w:rsidRDefault="001E3608" w:rsidP="001E3608">
      <w:pPr>
        <w:ind w:left="567" w:right="565"/>
        <w:jc w:val="center"/>
        <w:rPr>
          <w:rFonts w:ascii="Palatino Linotype" w:hAnsi="Palatino Linotype" w:cs="Arial"/>
          <w:b/>
          <w:i/>
          <w:sz w:val="22"/>
          <w:szCs w:val="22"/>
        </w:rPr>
      </w:pPr>
      <w:r w:rsidRPr="00252307">
        <w:rPr>
          <w:rFonts w:ascii="Palatino Linotype" w:hAnsi="Palatino Linotype" w:cs="Arial"/>
          <w:b/>
          <w:i/>
          <w:sz w:val="22"/>
          <w:szCs w:val="22"/>
        </w:rPr>
        <w:t>Obligaciones de transparencia comunes todos los sujetos obligados</w:t>
      </w:r>
    </w:p>
    <w:p w:rsidR="001E3608" w:rsidRPr="00252307" w:rsidRDefault="001E3608" w:rsidP="001E3608">
      <w:pPr>
        <w:ind w:left="567" w:right="565"/>
        <w:jc w:val="both"/>
        <w:rPr>
          <w:rFonts w:ascii="Palatino Linotype" w:hAnsi="Palatino Linotype" w:cs="Arial"/>
          <w:b/>
          <w:i/>
          <w:sz w:val="22"/>
          <w:szCs w:val="22"/>
        </w:rPr>
      </w:pPr>
      <w:r w:rsidRPr="00252307">
        <w:rPr>
          <w:rFonts w:ascii="Palatino Linotype" w:hAnsi="Palatino Linotype" w:cs="Arial"/>
          <w:b/>
          <w:i/>
          <w:sz w:val="22"/>
          <w:szCs w:val="22"/>
        </w:rPr>
        <w:t>Criterios para las obligaciones de transparencia comunes</w:t>
      </w:r>
    </w:p>
    <w:p w:rsidR="001E3608" w:rsidRPr="00252307" w:rsidRDefault="001E3608" w:rsidP="001E3608">
      <w:pPr>
        <w:ind w:left="567" w:right="565"/>
        <w:jc w:val="both"/>
        <w:rPr>
          <w:rFonts w:ascii="Palatino Linotype" w:hAnsi="Palatino Linotype" w:cs="Arial"/>
          <w:b/>
          <w:i/>
          <w:sz w:val="22"/>
          <w:szCs w:val="22"/>
        </w:rPr>
      </w:pP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u w:val="single"/>
        </w:rPr>
        <w:t>El</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catálogo</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de</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la</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información</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que</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todos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los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sujetos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obligados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deben</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poner</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a</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disposición</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de</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las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personas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en</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sus</w:t>
      </w:r>
      <w:r w:rsidRPr="00252307">
        <w:rPr>
          <w:rFonts w:ascii="Palatino Linotype" w:hAnsi="Palatino Linotype"/>
          <w:bCs/>
          <w:i/>
          <w:sz w:val="22"/>
          <w:szCs w:val="22"/>
          <w:u w:val="single"/>
        </w:rPr>
        <w:t xml:space="preserve"> </w:t>
      </w:r>
      <w:r w:rsidRPr="00252307">
        <w:rPr>
          <w:rFonts w:ascii="Palatino Linotype" w:hAnsi="Palatino Linotype" w:cs="Arial"/>
          <w:bCs/>
          <w:i/>
          <w:sz w:val="22"/>
          <w:szCs w:val="22"/>
          <w:u w:val="single"/>
        </w:rPr>
        <w:t>portales de Internet y en la Plataforma Nacional está detallado en el Título Quinto, Capítulo II de la Ley General, en el artículo 70, fracciones I a la XLVIII</w:t>
      </w:r>
      <w:r w:rsidRPr="00252307">
        <w:rPr>
          <w:rFonts w:ascii="Palatino Linotype" w:hAnsi="Palatino Linotype" w:cs="Arial"/>
          <w:bCs/>
          <w:i/>
          <w:sz w:val="22"/>
          <w:szCs w:val="22"/>
        </w:rPr>
        <w:t>.</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rsidR="001E3608" w:rsidRPr="00252307" w:rsidRDefault="001E3608" w:rsidP="001E3608">
      <w:pPr>
        <w:ind w:left="567" w:right="565"/>
        <w:jc w:val="both"/>
        <w:rPr>
          <w:rFonts w:ascii="Palatino Linotype" w:hAnsi="Palatino Linotype" w:cs="Arial"/>
          <w:i/>
          <w:sz w:val="22"/>
          <w:szCs w:val="22"/>
        </w:rPr>
      </w:pPr>
    </w:p>
    <w:p w:rsidR="001E3608" w:rsidRPr="00252307" w:rsidRDefault="001E3608" w:rsidP="001E3608">
      <w:pPr>
        <w:ind w:left="567" w:right="565"/>
        <w:jc w:val="center"/>
        <w:rPr>
          <w:rFonts w:ascii="Palatino Linotype" w:hAnsi="Palatino Linotype" w:cs="Arial"/>
          <w:b/>
          <w:i/>
          <w:sz w:val="22"/>
          <w:szCs w:val="22"/>
        </w:rPr>
      </w:pPr>
      <w:r w:rsidRPr="00252307">
        <w:rPr>
          <w:rFonts w:ascii="Palatino Linotype" w:hAnsi="Palatino Linotype" w:cs="Arial"/>
          <w:b/>
          <w:i/>
          <w:sz w:val="22"/>
          <w:szCs w:val="22"/>
        </w:rPr>
        <w:t>Ley General de Transparencia y Acceso a la Información Pública</w:t>
      </w:r>
    </w:p>
    <w:p w:rsidR="001E3608" w:rsidRPr="00252307" w:rsidRDefault="001E3608" w:rsidP="001E3608">
      <w:pPr>
        <w:ind w:left="567" w:right="565"/>
        <w:jc w:val="both"/>
        <w:rPr>
          <w:rFonts w:ascii="Palatino Linotype" w:hAnsi="Palatino Linotype" w:cs="Arial"/>
          <w:i/>
          <w:sz w:val="22"/>
          <w:szCs w:val="22"/>
        </w:rPr>
      </w:pP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
          <w:i/>
          <w:sz w:val="22"/>
          <w:szCs w:val="22"/>
        </w:rPr>
        <w:t>“Artículo 70.</w:t>
      </w:r>
      <w:r w:rsidRPr="00252307">
        <w:rPr>
          <w:rFonts w:ascii="Palatino Linotype" w:hAnsi="Palatino Linotype" w:cs="Arial"/>
          <w:bCs/>
          <w:i/>
          <w:sz w:val="22"/>
          <w:szCs w:val="22"/>
        </w:rPr>
        <w:t xml:space="preserve"> </w:t>
      </w:r>
      <w:r w:rsidRPr="00252307">
        <w:rPr>
          <w:rFonts w:ascii="Palatino Linotype" w:hAnsi="Palatino Linotype" w:cs="Arial"/>
          <w:bCs/>
          <w:i/>
          <w:sz w:val="22"/>
          <w:szCs w:val="22"/>
          <w:u w:val="single"/>
        </w:rPr>
        <w:t>En la Ley</w:t>
      </w:r>
      <w:r w:rsidRPr="00252307">
        <w:rPr>
          <w:rFonts w:ascii="Palatino Linotype" w:hAnsi="Palatino Linotype" w:cs="Arial"/>
          <w:bCs/>
          <w:i/>
          <w:sz w:val="22"/>
          <w:szCs w:val="22"/>
        </w:rPr>
        <w:t xml:space="preserve"> Federal y </w:t>
      </w:r>
      <w:r w:rsidRPr="00252307">
        <w:rPr>
          <w:rFonts w:ascii="Palatino Linotype" w:hAnsi="Palatino Linotype" w:cs="Arial"/>
          <w:bCs/>
          <w:i/>
          <w:sz w:val="22"/>
          <w:szCs w:val="22"/>
          <w:u w:val="single"/>
        </w:rPr>
        <w:t>de las Entidades Federativas se contemplará que los sujetos obligados pongan a disposición del público</w:t>
      </w:r>
      <w:r w:rsidRPr="00252307">
        <w:rPr>
          <w:rFonts w:ascii="Palatino Linotype" w:hAnsi="Palatino Linotype" w:cs="Arial"/>
          <w:bCs/>
          <w:i/>
          <w:sz w:val="22"/>
          <w:szCs w:val="22"/>
        </w:rPr>
        <w:t xml:space="preserve"> y mantengan actualizada, en los respectivos medios electrónicos, de acuerdo con sus facultades, atribuciones, funciones u objeto social, según corresponda, </w:t>
      </w:r>
      <w:r w:rsidRPr="00252307">
        <w:rPr>
          <w:rFonts w:ascii="Palatino Linotype" w:hAnsi="Palatino Linotype" w:cs="Arial"/>
          <w:bCs/>
          <w:i/>
          <w:sz w:val="22"/>
          <w:szCs w:val="22"/>
          <w:u w:val="single"/>
        </w:rPr>
        <w:t>la información, por lo menos, de los temas, documentos y políticas que a continuación se señalan</w:t>
      </w:r>
      <w:r w:rsidRPr="00252307">
        <w:rPr>
          <w:rFonts w:ascii="Palatino Linotype" w:hAnsi="Palatino Linotype" w:cs="Arial"/>
          <w:bCs/>
          <w:i/>
          <w:sz w:val="22"/>
          <w:szCs w:val="22"/>
        </w:rPr>
        <w:t>:</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u w:val="single"/>
        </w:rPr>
        <w:t>En las siguientes páginas se hace mención de cada una de las fracciones con sus respectivos criterios</w:t>
      </w:r>
      <w:r w:rsidRPr="00252307">
        <w:rPr>
          <w:rFonts w:ascii="Palatino Linotype" w:hAnsi="Palatino Linotype" w:cs="Arial"/>
          <w:bCs/>
          <w:i/>
          <w:sz w:val="22"/>
          <w:szCs w:val="22"/>
        </w:rPr>
        <w:t>.</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rPr>
        <w:t>(…)</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
          <w:i/>
          <w:sz w:val="22"/>
          <w:szCs w:val="22"/>
        </w:rPr>
        <w:t>XVII.</w:t>
      </w:r>
      <w:r w:rsidRPr="00252307">
        <w:rPr>
          <w:rFonts w:ascii="Palatino Linotype" w:hAnsi="Palatino Linotype" w:cs="Arial"/>
          <w:bCs/>
          <w:i/>
          <w:sz w:val="22"/>
          <w:szCs w:val="22"/>
        </w:rPr>
        <w:tab/>
      </w:r>
      <w:r w:rsidRPr="00252307">
        <w:rPr>
          <w:rFonts w:ascii="Palatino Linotype" w:hAnsi="Palatino Linotype" w:cs="Arial"/>
          <w:bCs/>
          <w:i/>
          <w:sz w:val="22"/>
          <w:szCs w:val="22"/>
          <w:u w:val="single"/>
        </w:rPr>
        <w:t>La información curricular</w:t>
      </w:r>
      <w:r w:rsidRPr="00252307">
        <w:rPr>
          <w:rFonts w:ascii="Palatino Linotype" w:hAnsi="Palatino Linotype" w:cs="Arial"/>
          <w:bCs/>
          <w:i/>
          <w:sz w:val="22"/>
          <w:szCs w:val="22"/>
        </w:rPr>
        <w:t xml:space="preserve"> desde el nivel de jefe de departamento o equivalente hasta el titular del sujeto obligado, así como, en su caso, las sanciones administrativas de que haya sido objeto; </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u w:val="single"/>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252307">
        <w:rPr>
          <w:rFonts w:ascii="Palatino Linotype" w:hAnsi="Palatino Linotype" w:cs="Arial"/>
          <w:bCs/>
          <w:i/>
          <w:sz w:val="22"/>
          <w:szCs w:val="22"/>
        </w:rPr>
        <w:t>, es decir, los datos que permitan identificarlos y conocer su trayectoria en el ámbito laboral y escolar.</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rPr>
        <w:t xml:space="preserve">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w:t>
      </w:r>
      <w:r w:rsidRPr="00252307">
        <w:rPr>
          <w:rFonts w:ascii="Palatino Linotype" w:hAnsi="Palatino Linotype" w:cs="Arial"/>
          <w:bCs/>
          <w:i/>
          <w:sz w:val="22"/>
          <w:szCs w:val="22"/>
        </w:rPr>
        <w:lastRenderedPageBreak/>
        <w:t>hipervínculo al Sistema del Registro de Servidores Públicos Sancionados de la Secretaría de la Función Pública en el cual las personas podrán realizar consultas públicas.</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rsidR="001E3608" w:rsidRPr="00252307" w:rsidRDefault="001E3608" w:rsidP="001E3608">
      <w:pPr>
        <w:ind w:left="567" w:right="565"/>
        <w:jc w:val="both"/>
        <w:rPr>
          <w:rFonts w:ascii="Palatino Linotype" w:hAnsi="Palatino Linotype" w:cs="Arial"/>
          <w:bCs/>
          <w:i/>
          <w:sz w:val="22"/>
          <w:szCs w:val="22"/>
        </w:rPr>
      </w:pPr>
      <w:r w:rsidRPr="00252307">
        <w:rPr>
          <w:rFonts w:ascii="Palatino Linotype" w:hAnsi="Palatino Linotype" w:cs="Arial"/>
          <w:bCs/>
          <w:i/>
          <w:sz w:val="22"/>
          <w:szCs w:val="22"/>
        </w:rPr>
        <w:t>(…)</w:t>
      </w:r>
    </w:p>
    <w:p w:rsidR="001E3608" w:rsidRPr="00252307" w:rsidRDefault="001E3608" w:rsidP="001E3608">
      <w:pPr>
        <w:ind w:left="567" w:right="565"/>
        <w:jc w:val="both"/>
        <w:rPr>
          <w:rFonts w:ascii="Palatino Linotype" w:hAnsi="Palatino Linotype" w:cs="Arial"/>
          <w:i/>
          <w:sz w:val="22"/>
          <w:szCs w:val="22"/>
        </w:rPr>
      </w:pPr>
    </w:p>
    <w:p w:rsidR="001E3608" w:rsidRPr="00252307" w:rsidRDefault="001E3608" w:rsidP="001E3608">
      <w:pPr>
        <w:pStyle w:val="Prrafodelista"/>
        <w:ind w:left="567" w:right="565"/>
        <w:jc w:val="center"/>
        <w:rPr>
          <w:rFonts w:ascii="Palatino Linotype" w:hAnsi="Palatino Linotype"/>
          <w:b/>
          <w:i/>
          <w:szCs w:val="22"/>
        </w:rPr>
      </w:pPr>
      <w:r w:rsidRPr="00252307">
        <w:rPr>
          <w:rFonts w:ascii="Palatino Linotype" w:hAnsi="Palatino Linotype" w:cs="Arial"/>
          <w:b/>
          <w:bCs/>
          <w:i/>
          <w:szCs w:val="22"/>
        </w:rPr>
        <w:t xml:space="preserve">Criterios sustantivos </w:t>
      </w:r>
      <w:r w:rsidRPr="00252307">
        <w:rPr>
          <w:rFonts w:ascii="Palatino Linotype" w:hAnsi="Palatino Linotype"/>
          <w:b/>
          <w:i/>
          <w:szCs w:val="22"/>
        </w:rPr>
        <w:t>de contenido</w:t>
      </w:r>
    </w:p>
    <w:p w:rsidR="001E3608" w:rsidRPr="00252307" w:rsidRDefault="001E3608" w:rsidP="001E3608">
      <w:pPr>
        <w:autoSpaceDE w:val="0"/>
        <w:autoSpaceDN w:val="0"/>
        <w:adjustRightInd w:val="0"/>
        <w:ind w:left="567" w:right="565"/>
        <w:jc w:val="both"/>
        <w:rPr>
          <w:rFonts w:ascii="Palatino Linotype" w:hAnsi="Palatino Linotype" w:cs="Arial"/>
          <w:bCs/>
          <w:i/>
          <w:sz w:val="22"/>
          <w:szCs w:val="22"/>
        </w:rPr>
      </w:pPr>
      <w:r w:rsidRPr="00252307">
        <w:rPr>
          <w:rFonts w:ascii="Palatino Linotype" w:hAnsi="Palatino Linotype" w:cs="Arial"/>
          <w:bCs/>
          <w:i/>
          <w:sz w:val="22"/>
          <w:szCs w:val="22"/>
        </w:rPr>
        <w:t>(…)</w:t>
      </w:r>
    </w:p>
    <w:p w:rsidR="001E3608" w:rsidRPr="00252307" w:rsidRDefault="001E3608" w:rsidP="001E3608">
      <w:pPr>
        <w:autoSpaceDE w:val="0"/>
        <w:autoSpaceDN w:val="0"/>
        <w:adjustRightInd w:val="0"/>
        <w:ind w:left="567" w:right="565"/>
        <w:jc w:val="both"/>
        <w:rPr>
          <w:rFonts w:ascii="Palatino Linotype" w:hAnsi="Palatino Linotype" w:cs="Arial"/>
          <w:bCs/>
          <w:i/>
          <w:sz w:val="22"/>
          <w:szCs w:val="22"/>
        </w:rPr>
      </w:pPr>
      <w:r w:rsidRPr="00252307">
        <w:rPr>
          <w:rFonts w:ascii="Palatino Linotype" w:hAnsi="Palatino Linotype" w:cs="Arial"/>
          <w:b/>
          <w:i/>
          <w:sz w:val="22"/>
          <w:szCs w:val="22"/>
        </w:rPr>
        <w:t>Criterio 2</w:t>
      </w:r>
      <w:r w:rsidRPr="00252307">
        <w:rPr>
          <w:rFonts w:ascii="Palatino Linotype" w:hAnsi="Palatino Linotype" w:cs="Arial"/>
          <w:bCs/>
          <w:i/>
          <w:sz w:val="22"/>
          <w:szCs w:val="22"/>
        </w:rPr>
        <w:tab/>
        <w:t>Denominación del cargo, empleo, comisión o nombramiento otorgado</w:t>
      </w:r>
    </w:p>
    <w:p w:rsidR="001E3608" w:rsidRPr="00252307" w:rsidRDefault="001E3608" w:rsidP="001E3608">
      <w:pPr>
        <w:autoSpaceDE w:val="0"/>
        <w:autoSpaceDN w:val="0"/>
        <w:adjustRightInd w:val="0"/>
        <w:ind w:left="567" w:right="565"/>
        <w:jc w:val="both"/>
        <w:rPr>
          <w:rFonts w:ascii="Palatino Linotype" w:hAnsi="Palatino Linotype" w:cs="Arial"/>
          <w:bCs/>
          <w:i/>
          <w:sz w:val="22"/>
          <w:szCs w:val="22"/>
        </w:rPr>
      </w:pPr>
      <w:r w:rsidRPr="00252307">
        <w:rPr>
          <w:rFonts w:ascii="Palatino Linotype" w:hAnsi="Palatino Linotype" w:cs="Arial"/>
          <w:b/>
          <w:i/>
          <w:sz w:val="22"/>
          <w:szCs w:val="22"/>
        </w:rPr>
        <w:t>Criterio 3</w:t>
      </w:r>
      <w:r w:rsidRPr="00252307">
        <w:rPr>
          <w:rFonts w:ascii="Palatino Linotype" w:hAnsi="Palatino Linotype" w:cs="Arial"/>
          <w:bCs/>
          <w:i/>
          <w:sz w:val="22"/>
          <w:szCs w:val="22"/>
        </w:rPr>
        <w:t xml:space="preserve"> </w:t>
      </w:r>
      <w:r w:rsidRPr="00252307">
        <w:rPr>
          <w:rFonts w:ascii="Palatino Linotype" w:hAnsi="Palatino Linotype" w:cs="Arial"/>
          <w:bCs/>
          <w:i/>
          <w:sz w:val="22"/>
          <w:szCs w:val="22"/>
        </w:rPr>
        <w:tab/>
        <w:t xml:space="preserve">Nombre(s), primer apellido y segundo apellido del (la) persona y/o servidor(a) público(a) </w:t>
      </w:r>
    </w:p>
    <w:p w:rsidR="001E3608" w:rsidRPr="00252307" w:rsidRDefault="001E3608" w:rsidP="001E3608">
      <w:pPr>
        <w:autoSpaceDE w:val="0"/>
        <w:autoSpaceDN w:val="0"/>
        <w:adjustRightInd w:val="0"/>
        <w:ind w:left="567" w:right="565"/>
        <w:jc w:val="both"/>
        <w:rPr>
          <w:rFonts w:ascii="Palatino Linotype" w:hAnsi="Palatino Linotype" w:cs="Arial"/>
          <w:bCs/>
          <w:i/>
          <w:sz w:val="22"/>
          <w:szCs w:val="22"/>
        </w:rPr>
      </w:pPr>
      <w:r w:rsidRPr="00252307">
        <w:rPr>
          <w:rFonts w:ascii="Palatino Linotype" w:hAnsi="Palatino Linotype" w:cs="Arial"/>
          <w:bCs/>
          <w:i/>
          <w:sz w:val="22"/>
          <w:szCs w:val="22"/>
        </w:rPr>
        <w:t>(…)</w:t>
      </w:r>
    </w:p>
    <w:p w:rsidR="001E3608" w:rsidRPr="00252307" w:rsidRDefault="001E3608" w:rsidP="001E3608">
      <w:pPr>
        <w:autoSpaceDE w:val="0"/>
        <w:autoSpaceDN w:val="0"/>
        <w:adjustRightInd w:val="0"/>
        <w:ind w:left="567" w:right="565"/>
        <w:jc w:val="both"/>
        <w:rPr>
          <w:rFonts w:ascii="Palatino Linotype" w:hAnsi="Palatino Linotype" w:cs="Arial"/>
          <w:bCs/>
          <w:i/>
          <w:sz w:val="22"/>
          <w:szCs w:val="22"/>
        </w:rPr>
      </w:pPr>
      <w:r w:rsidRPr="00252307">
        <w:rPr>
          <w:rFonts w:ascii="Palatino Linotype" w:hAnsi="Palatino Linotype" w:cs="Arial"/>
          <w:bCs/>
          <w:i/>
          <w:sz w:val="22"/>
          <w:szCs w:val="22"/>
        </w:rPr>
        <w:t>Información curricular del (la) servidor(a) público(a)) y/o persona que desempeñe un empleo, cargo o comisión en el sujeto obligado el cual deberá especificar lo siguiente:</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5</w:t>
      </w:r>
      <w:r w:rsidRPr="00252307">
        <w:rPr>
          <w:rFonts w:ascii="Palatino Linotype" w:hAnsi="Palatino Linotype" w:cs="Arial"/>
          <w:i/>
          <w:sz w:val="22"/>
          <w:szCs w:val="22"/>
        </w:rPr>
        <w:tab/>
        <w:t>Escolaridad: Nivel máximo de estudios (ninguno, primaria, secundaria, bachillerato, técnica, licenciatura, maestría, doctorado, posdoctorado)</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6</w:t>
      </w:r>
      <w:r w:rsidRPr="00252307">
        <w:rPr>
          <w:rFonts w:ascii="Palatino Linotype" w:hAnsi="Palatino Linotype" w:cs="Arial"/>
          <w:i/>
          <w:sz w:val="22"/>
          <w:szCs w:val="22"/>
        </w:rPr>
        <w:tab/>
        <w:t xml:space="preserve">Área de estudio, en su caso </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7</w:t>
      </w:r>
      <w:r w:rsidRPr="00252307">
        <w:rPr>
          <w:rFonts w:ascii="Palatino Linotype" w:hAnsi="Palatino Linotype" w:cs="Arial"/>
          <w:i/>
          <w:sz w:val="22"/>
          <w:szCs w:val="22"/>
        </w:rPr>
        <w:tab/>
        <w:t>Carrera genérica, en su caso</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8</w:t>
      </w:r>
      <w:r w:rsidRPr="00252307">
        <w:rPr>
          <w:rFonts w:ascii="Palatino Linotype" w:hAnsi="Palatino Linotype" w:cs="Arial"/>
          <w:i/>
          <w:sz w:val="22"/>
          <w:szCs w:val="22"/>
        </w:rPr>
        <w:tab/>
        <w:t>Experiencia laboral, especificar por lo menos los tres últimos empleos en donde se indique:</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9</w:t>
      </w:r>
      <w:r w:rsidRPr="00252307">
        <w:rPr>
          <w:rFonts w:ascii="Palatino Linotype" w:hAnsi="Palatino Linotype" w:cs="Arial"/>
          <w:i/>
          <w:sz w:val="22"/>
          <w:szCs w:val="22"/>
        </w:rPr>
        <w:tab/>
        <w:t xml:space="preserve">Periodo (día/mes/año inicio, día/mes/año conclusión) </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10</w:t>
      </w:r>
      <w:r w:rsidRPr="00252307">
        <w:rPr>
          <w:rFonts w:ascii="Palatino Linotype" w:hAnsi="Palatino Linotype" w:cs="Arial"/>
          <w:i/>
          <w:sz w:val="22"/>
          <w:szCs w:val="22"/>
        </w:rPr>
        <w:tab/>
        <w:t>Denominación de la Institución / empresa</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11</w:t>
      </w:r>
      <w:r w:rsidRPr="00252307">
        <w:rPr>
          <w:rFonts w:ascii="Palatino Linotype" w:hAnsi="Palatino Linotype" w:cs="Arial"/>
          <w:i/>
          <w:sz w:val="22"/>
          <w:szCs w:val="22"/>
        </w:rPr>
        <w:tab/>
        <w:t>Cargo o puesto desempeñado</w:t>
      </w:r>
    </w:p>
    <w:p w:rsidR="001E3608" w:rsidRPr="00252307" w:rsidRDefault="001E3608" w:rsidP="001E3608">
      <w:pPr>
        <w:autoSpaceDE w:val="0"/>
        <w:autoSpaceDN w:val="0"/>
        <w:adjustRightInd w:val="0"/>
        <w:ind w:left="567" w:right="565"/>
        <w:jc w:val="both"/>
        <w:rPr>
          <w:rFonts w:ascii="Palatino Linotype" w:hAnsi="Palatino Linotype" w:cs="Arial"/>
          <w:i/>
          <w:sz w:val="22"/>
          <w:szCs w:val="22"/>
        </w:rPr>
      </w:pPr>
      <w:r w:rsidRPr="00252307">
        <w:rPr>
          <w:rFonts w:ascii="Palatino Linotype" w:hAnsi="Palatino Linotype" w:cs="Arial"/>
          <w:b/>
          <w:bCs/>
          <w:i/>
          <w:sz w:val="22"/>
          <w:szCs w:val="22"/>
        </w:rPr>
        <w:t>Criterio 12</w:t>
      </w:r>
      <w:r w:rsidRPr="00252307">
        <w:rPr>
          <w:rFonts w:ascii="Palatino Linotype" w:hAnsi="Palatino Linotype" w:cs="Arial"/>
          <w:i/>
          <w:sz w:val="22"/>
          <w:szCs w:val="22"/>
        </w:rPr>
        <w:tab/>
        <w:t>Campo de experiencia</w:t>
      </w:r>
    </w:p>
    <w:p w:rsidR="001E3608" w:rsidRPr="00252307" w:rsidRDefault="001E3608" w:rsidP="001E3608">
      <w:pPr>
        <w:tabs>
          <w:tab w:val="left" w:pos="2093"/>
        </w:tabs>
        <w:ind w:left="567" w:right="565"/>
        <w:rPr>
          <w:rFonts w:ascii="Palatino Linotype" w:hAnsi="Palatino Linotype" w:cs="Arial"/>
          <w:i/>
          <w:sz w:val="22"/>
          <w:szCs w:val="22"/>
        </w:rPr>
      </w:pPr>
      <w:r w:rsidRPr="00252307">
        <w:rPr>
          <w:rFonts w:ascii="Palatino Linotype" w:hAnsi="Palatino Linotype" w:cs="Arial"/>
          <w:i/>
          <w:sz w:val="22"/>
          <w:szCs w:val="22"/>
        </w:rPr>
        <w:t xml:space="preserve"> (…)</w:t>
      </w:r>
    </w:p>
    <w:p w:rsidR="001E3608" w:rsidRPr="00252307" w:rsidRDefault="001E3608" w:rsidP="001E3608">
      <w:pPr>
        <w:tabs>
          <w:tab w:val="left" w:pos="2093"/>
        </w:tabs>
        <w:ind w:left="567" w:right="565"/>
        <w:rPr>
          <w:rFonts w:ascii="Palatino Linotype" w:hAnsi="Palatino Linotype" w:cs="Arial"/>
          <w:i/>
          <w:sz w:val="22"/>
          <w:szCs w:val="22"/>
        </w:rPr>
      </w:pPr>
    </w:p>
    <w:p w:rsidR="001E3608" w:rsidRPr="00252307" w:rsidRDefault="001E3608" w:rsidP="001E3608">
      <w:pPr>
        <w:pStyle w:val="Prrafodelista"/>
        <w:ind w:left="567" w:right="565"/>
        <w:jc w:val="center"/>
        <w:rPr>
          <w:rFonts w:ascii="Palatino Linotype" w:hAnsi="Palatino Linotype"/>
          <w:b/>
          <w:i/>
          <w:szCs w:val="22"/>
        </w:rPr>
      </w:pPr>
      <w:r w:rsidRPr="00252307">
        <w:rPr>
          <w:rFonts w:ascii="Palatino Linotype" w:hAnsi="Palatino Linotype"/>
          <w:b/>
          <w:i/>
          <w:szCs w:val="22"/>
        </w:rPr>
        <w:t>Formato 17 LGT_Art_70_Fr_XVII</w:t>
      </w:r>
    </w:p>
    <w:p w:rsidR="001E3608" w:rsidRPr="00252307" w:rsidRDefault="001E3608" w:rsidP="001E3608">
      <w:pPr>
        <w:pStyle w:val="Prrafodelista"/>
        <w:ind w:left="567" w:right="565"/>
        <w:jc w:val="center"/>
        <w:rPr>
          <w:rFonts w:ascii="Palatino Linotype" w:hAnsi="Palatino Linotype"/>
          <w:b/>
          <w:bCs/>
          <w:i/>
          <w:szCs w:val="22"/>
        </w:rPr>
      </w:pPr>
      <w:r w:rsidRPr="00252307">
        <w:rPr>
          <w:rFonts w:ascii="Palatino Linotype" w:hAnsi="Palatino Linotype"/>
          <w:b/>
          <w:bCs/>
          <w:i/>
          <w:szCs w:val="22"/>
        </w:rPr>
        <w:t>Información curricular de los(as) servidores(as) públicas(os) y/o personas que desempeñen un empleo, cargo o comisión en &lt;&lt;sujeto obligado&gt;&gt;</w:t>
      </w:r>
    </w:p>
    <w:p w:rsidR="001E3608" w:rsidRPr="00252307" w:rsidRDefault="001E3608" w:rsidP="001E3608">
      <w:pPr>
        <w:rPr>
          <w:rFonts w:ascii="Palatino Linotype" w:eastAsia="Calibri" w:hAnsi="Palatino Linotype" w:cs="Arial"/>
          <w:color w:val="000000" w:themeColor="text1"/>
          <w:sz w:val="22"/>
          <w:szCs w:val="22"/>
          <w:lang w:val="es-ES_tradnl"/>
        </w:rPr>
      </w:pPr>
    </w:p>
    <w:tbl>
      <w:tblPr>
        <w:tblW w:w="8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94"/>
        <w:gridCol w:w="1366"/>
        <w:gridCol w:w="1062"/>
        <w:gridCol w:w="1366"/>
        <w:gridCol w:w="1584"/>
        <w:gridCol w:w="2076"/>
      </w:tblGrid>
      <w:tr w:rsidR="001E3608" w:rsidRPr="00252307" w:rsidTr="001E3608">
        <w:trPr>
          <w:trHeight w:val="717"/>
          <w:jc w:val="center"/>
        </w:trPr>
        <w:tc>
          <w:tcPr>
            <w:tcW w:w="1194" w:type="dxa"/>
            <w:vMerge w:val="restart"/>
            <w:shd w:val="clear" w:color="auto" w:fill="auto"/>
            <w:vAlign w:val="center"/>
          </w:tcPr>
          <w:p w:rsidR="001E3608" w:rsidRPr="00252307" w:rsidRDefault="001E3608" w:rsidP="001E3608">
            <w:pPr>
              <w:ind w:left="-145"/>
              <w:jc w:val="center"/>
              <w:rPr>
                <w:rFonts w:ascii="Palatino Linotype" w:hAnsi="Palatino Linotype" w:cs="Calibri"/>
                <w:i/>
                <w:sz w:val="22"/>
                <w:szCs w:val="22"/>
              </w:rPr>
            </w:pPr>
            <w:bookmarkStart w:id="4" w:name="OLE_LINK1"/>
            <w:r w:rsidRPr="00252307">
              <w:rPr>
                <w:rFonts w:ascii="Palatino Linotype" w:hAnsi="Palatino Linotype" w:cs="Calibri"/>
                <w:i/>
                <w:sz w:val="22"/>
                <w:szCs w:val="22"/>
              </w:rPr>
              <w:t>Clave o nivel del puesto</w:t>
            </w:r>
          </w:p>
        </w:tc>
        <w:tc>
          <w:tcPr>
            <w:tcW w:w="1366" w:type="dxa"/>
            <w:vMerge w:val="restart"/>
            <w:shd w:val="clear" w:color="auto" w:fill="auto"/>
            <w:vAlign w:val="center"/>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 xml:space="preserve">Denominación del cargo o nombramiento otorgado </w:t>
            </w:r>
          </w:p>
        </w:tc>
        <w:tc>
          <w:tcPr>
            <w:tcW w:w="4012" w:type="dxa"/>
            <w:gridSpan w:val="3"/>
            <w:vMerge w:val="restart"/>
            <w:shd w:val="clear" w:color="auto" w:fill="auto"/>
            <w:vAlign w:val="center"/>
          </w:tcPr>
          <w:p w:rsidR="001E3608" w:rsidRPr="00252307" w:rsidRDefault="001E3608" w:rsidP="001E3608">
            <w:pPr>
              <w:jc w:val="center"/>
              <w:rPr>
                <w:rFonts w:ascii="Palatino Linotype" w:hAnsi="Palatino Linotype" w:cs="Calibri"/>
                <w:i/>
                <w:sz w:val="22"/>
                <w:szCs w:val="22"/>
                <w:u w:val="single"/>
              </w:rPr>
            </w:pPr>
            <w:r w:rsidRPr="00252307">
              <w:rPr>
                <w:rFonts w:ascii="Palatino Linotype" w:hAnsi="Palatino Linotype" w:cs="Calibri"/>
                <w:i/>
                <w:sz w:val="22"/>
                <w:szCs w:val="22"/>
                <w:u w:val="single"/>
              </w:rPr>
              <w:t>Nombre del(la) servidor(a) público(a)</w:t>
            </w:r>
          </w:p>
        </w:tc>
        <w:tc>
          <w:tcPr>
            <w:tcW w:w="2076" w:type="dxa"/>
            <w:vMerge w:val="restart"/>
            <w:shd w:val="clear" w:color="auto" w:fill="auto"/>
            <w:vAlign w:val="center"/>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Unidad administrativa de adscripción (Área) del servidor público (catálogo, en su caso)</w:t>
            </w:r>
          </w:p>
        </w:tc>
      </w:tr>
      <w:tr w:rsidR="001E3608" w:rsidRPr="00252307" w:rsidTr="001E3608">
        <w:trPr>
          <w:trHeight w:val="717"/>
          <w:jc w:val="center"/>
        </w:trPr>
        <w:tc>
          <w:tcPr>
            <w:tcW w:w="1194"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c>
          <w:tcPr>
            <w:tcW w:w="1366"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c>
          <w:tcPr>
            <w:tcW w:w="4012" w:type="dxa"/>
            <w:gridSpan w:val="3"/>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c>
          <w:tcPr>
            <w:tcW w:w="2076"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r>
      <w:tr w:rsidR="001E3608" w:rsidRPr="00252307" w:rsidTr="001E3608">
        <w:trPr>
          <w:trHeight w:val="57"/>
          <w:jc w:val="center"/>
        </w:trPr>
        <w:tc>
          <w:tcPr>
            <w:tcW w:w="1194"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c>
          <w:tcPr>
            <w:tcW w:w="1366"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c>
          <w:tcPr>
            <w:tcW w:w="1062" w:type="dxa"/>
            <w:shd w:val="clear" w:color="auto" w:fill="auto"/>
            <w:vAlign w:val="center"/>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Nombre(s)</w:t>
            </w:r>
          </w:p>
        </w:tc>
        <w:tc>
          <w:tcPr>
            <w:tcW w:w="1366" w:type="dxa"/>
            <w:shd w:val="clear" w:color="auto" w:fill="auto"/>
            <w:vAlign w:val="center"/>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Primer Apellido</w:t>
            </w:r>
          </w:p>
        </w:tc>
        <w:tc>
          <w:tcPr>
            <w:tcW w:w="1584" w:type="dxa"/>
            <w:shd w:val="clear" w:color="auto" w:fill="auto"/>
            <w:vAlign w:val="center"/>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 xml:space="preserve">Segundo Apellido </w:t>
            </w:r>
          </w:p>
        </w:tc>
        <w:tc>
          <w:tcPr>
            <w:tcW w:w="2076" w:type="dxa"/>
            <w:vMerge/>
            <w:shd w:val="clear" w:color="auto" w:fill="auto"/>
            <w:vAlign w:val="center"/>
          </w:tcPr>
          <w:p w:rsidR="001E3608" w:rsidRPr="00252307" w:rsidRDefault="001E3608" w:rsidP="001E3608">
            <w:pPr>
              <w:jc w:val="center"/>
              <w:rPr>
                <w:rFonts w:ascii="Palatino Linotype" w:hAnsi="Palatino Linotype" w:cs="Calibri"/>
                <w:i/>
                <w:sz w:val="22"/>
                <w:szCs w:val="22"/>
              </w:rPr>
            </w:pPr>
          </w:p>
        </w:tc>
      </w:tr>
      <w:tr w:rsidR="001E3608" w:rsidRPr="00252307" w:rsidTr="001E3608">
        <w:trPr>
          <w:trHeight w:val="57"/>
          <w:jc w:val="center"/>
        </w:trPr>
        <w:tc>
          <w:tcPr>
            <w:tcW w:w="1194"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062"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584" w:type="dxa"/>
            <w:shd w:val="clear" w:color="auto" w:fill="auto"/>
          </w:tcPr>
          <w:p w:rsidR="001E3608" w:rsidRPr="00252307" w:rsidRDefault="001E3608" w:rsidP="001E3608">
            <w:pPr>
              <w:jc w:val="both"/>
              <w:rPr>
                <w:rFonts w:ascii="Palatino Linotype" w:hAnsi="Palatino Linotype" w:cs="Calibri"/>
                <w:i/>
                <w:sz w:val="22"/>
                <w:szCs w:val="22"/>
              </w:rPr>
            </w:pPr>
          </w:p>
        </w:tc>
        <w:tc>
          <w:tcPr>
            <w:tcW w:w="2076" w:type="dxa"/>
            <w:shd w:val="clear" w:color="auto" w:fill="auto"/>
          </w:tcPr>
          <w:p w:rsidR="001E3608" w:rsidRPr="00252307" w:rsidRDefault="001E3608" w:rsidP="001E3608">
            <w:pPr>
              <w:jc w:val="both"/>
              <w:rPr>
                <w:rFonts w:ascii="Palatino Linotype" w:hAnsi="Palatino Linotype" w:cs="Calibri"/>
                <w:i/>
                <w:sz w:val="22"/>
                <w:szCs w:val="22"/>
              </w:rPr>
            </w:pPr>
          </w:p>
        </w:tc>
      </w:tr>
      <w:tr w:rsidR="001E3608" w:rsidRPr="00252307" w:rsidTr="001E3608">
        <w:trPr>
          <w:trHeight w:val="57"/>
          <w:jc w:val="center"/>
        </w:trPr>
        <w:tc>
          <w:tcPr>
            <w:tcW w:w="1194"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062"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584" w:type="dxa"/>
            <w:shd w:val="clear" w:color="auto" w:fill="auto"/>
          </w:tcPr>
          <w:p w:rsidR="001E3608" w:rsidRPr="00252307" w:rsidRDefault="001E3608" w:rsidP="001E3608">
            <w:pPr>
              <w:jc w:val="both"/>
              <w:rPr>
                <w:rFonts w:ascii="Palatino Linotype" w:hAnsi="Palatino Linotype" w:cs="Calibri"/>
                <w:i/>
                <w:sz w:val="22"/>
                <w:szCs w:val="22"/>
              </w:rPr>
            </w:pPr>
          </w:p>
        </w:tc>
        <w:tc>
          <w:tcPr>
            <w:tcW w:w="2076" w:type="dxa"/>
            <w:shd w:val="clear" w:color="auto" w:fill="auto"/>
          </w:tcPr>
          <w:p w:rsidR="001E3608" w:rsidRPr="00252307" w:rsidRDefault="001E3608" w:rsidP="001E3608">
            <w:pPr>
              <w:jc w:val="both"/>
              <w:rPr>
                <w:rFonts w:ascii="Palatino Linotype" w:hAnsi="Palatino Linotype" w:cs="Calibri"/>
                <w:i/>
                <w:sz w:val="22"/>
                <w:szCs w:val="22"/>
              </w:rPr>
            </w:pPr>
          </w:p>
        </w:tc>
      </w:tr>
      <w:tr w:rsidR="001E3608" w:rsidRPr="00252307" w:rsidTr="001E3608">
        <w:trPr>
          <w:trHeight w:val="57"/>
          <w:jc w:val="center"/>
        </w:trPr>
        <w:tc>
          <w:tcPr>
            <w:tcW w:w="1194"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062" w:type="dxa"/>
            <w:shd w:val="clear" w:color="auto" w:fill="auto"/>
          </w:tcPr>
          <w:p w:rsidR="001E3608" w:rsidRPr="00252307" w:rsidRDefault="001E3608" w:rsidP="001E3608">
            <w:pPr>
              <w:jc w:val="both"/>
              <w:rPr>
                <w:rFonts w:ascii="Palatino Linotype" w:hAnsi="Palatino Linotype" w:cs="Calibri"/>
                <w:i/>
                <w:sz w:val="22"/>
                <w:szCs w:val="22"/>
              </w:rPr>
            </w:pPr>
          </w:p>
        </w:tc>
        <w:tc>
          <w:tcPr>
            <w:tcW w:w="1366" w:type="dxa"/>
            <w:shd w:val="clear" w:color="auto" w:fill="auto"/>
          </w:tcPr>
          <w:p w:rsidR="001E3608" w:rsidRPr="00252307" w:rsidRDefault="001E3608" w:rsidP="001E3608">
            <w:pPr>
              <w:jc w:val="both"/>
              <w:rPr>
                <w:rFonts w:ascii="Palatino Linotype" w:hAnsi="Palatino Linotype" w:cs="Calibri"/>
                <w:i/>
                <w:sz w:val="22"/>
                <w:szCs w:val="22"/>
              </w:rPr>
            </w:pPr>
          </w:p>
        </w:tc>
        <w:tc>
          <w:tcPr>
            <w:tcW w:w="1584" w:type="dxa"/>
            <w:shd w:val="clear" w:color="auto" w:fill="auto"/>
          </w:tcPr>
          <w:p w:rsidR="001E3608" w:rsidRPr="00252307" w:rsidRDefault="001E3608" w:rsidP="001E3608">
            <w:pPr>
              <w:jc w:val="both"/>
              <w:rPr>
                <w:rFonts w:ascii="Palatino Linotype" w:hAnsi="Palatino Linotype" w:cs="Calibri"/>
                <w:i/>
                <w:sz w:val="22"/>
                <w:szCs w:val="22"/>
              </w:rPr>
            </w:pPr>
          </w:p>
        </w:tc>
        <w:tc>
          <w:tcPr>
            <w:tcW w:w="2076" w:type="dxa"/>
            <w:shd w:val="clear" w:color="auto" w:fill="auto"/>
          </w:tcPr>
          <w:p w:rsidR="001E3608" w:rsidRPr="00252307" w:rsidRDefault="001E3608" w:rsidP="001E3608">
            <w:pPr>
              <w:jc w:val="both"/>
              <w:rPr>
                <w:rFonts w:ascii="Palatino Linotype" w:hAnsi="Palatino Linotype" w:cs="Calibri"/>
                <w:i/>
                <w:sz w:val="22"/>
                <w:szCs w:val="22"/>
              </w:rPr>
            </w:pPr>
          </w:p>
        </w:tc>
      </w:tr>
      <w:bookmarkEnd w:id="4"/>
    </w:tbl>
    <w:p w:rsidR="001E3608" w:rsidRPr="00252307" w:rsidRDefault="001E3608" w:rsidP="001E3608">
      <w:pPr>
        <w:rPr>
          <w:rFonts w:ascii="Palatino Linotype" w:eastAsia="Calibri" w:hAnsi="Palatino Linotype" w:cs="Arial"/>
          <w:color w:val="000000" w:themeColor="text1"/>
          <w:sz w:val="22"/>
          <w:szCs w:val="22"/>
          <w:lang w:val="es-ES"/>
        </w:rPr>
      </w:pPr>
    </w:p>
    <w:tbl>
      <w:tblPr>
        <w:tblW w:w="0" w:type="auto"/>
        <w:jc w:val="center"/>
        <w:tblCellMar>
          <w:left w:w="70" w:type="dxa"/>
          <w:right w:w="70" w:type="dxa"/>
        </w:tblCellMar>
        <w:tblLook w:val="04A0" w:firstRow="1" w:lastRow="0" w:firstColumn="1" w:lastColumn="0" w:noHBand="0" w:noVBand="1"/>
      </w:tblPr>
      <w:tblGrid>
        <w:gridCol w:w="1184"/>
        <w:gridCol w:w="681"/>
        <w:gridCol w:w="768"/>
        <w:gridCol w:w="1104"/>
        <w:gridCol w:w="1104"/>
        <w:gridCol w:w="1246"/>
        <w:gridCol w:w="1129"/>
        <w:gridCol w:w="987"/>
        <w:gridCol w:w="1143"/>
      </w:tblGrid>
      <w:tr w:rsidR="001E3608" w:rsidRPr="00252307" w:rsidTr="001E3608">
        <w:trPr>
          <w:trHeight w:val="45"/>
          <w:jc w:val="center"/>
        </w:trPr>
        <w:tc>
          <w:tcPr>
            <w:tcW w:w="8828" w:type="dxa"/>
            <w:gridSpan w:val="9"/>
            <w:tcBorders>
              <w:top w:val="dotted" w:sz="4" w:space="0" w:color="auto"/>
              <w:left w:val="dotted" w:sz="4" w:space="0" w:color="auto"/>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Información curricular</w:t>
            </w:r>
          </w:p>
        </w:tc>
      </w:tr>
      <w:tr w:rsidR="001E3608" w:rsidRPr="00252307" w:rsidTr="001E3608">
        <w:trPr>
          <w:trHeight w:val="45"/>
          <w:jc w:val="center"/>
        </w:trPr>
        <w:tc>
          <w:tcPr>
            <w:tcW w:w="2968" w:type="dxa"/>
            <w:gridSpan w:val="3"/>
            <w:tcBorders>
              <w:top w:val="dotted" w:sz="4" w:space="0" w:color="auto"/>
              <w:left w:val="dotted" w:sz="4" w:space="0" w:color="auto"/>
              <w:bottom w:val="dotted" w:sz="4" w:space="0" w:color="auto"/>
              <w:right w:val="dotted" w:sz="4" w:space="0" w:color="000000"/>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Escolaridad</w:t>
            </w:r>
          </w:p>
        </w:tc>
        <w:tc>
          <w:tcPr>
            <w:tcW w:w="5860" w:type="dxa"/>
            <w:gridSpan w:val="6"/>
            <w:tcBorders>
              <w:top w:val="dotted" w:sz="4" w:space="0" w:color="auto"/>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Experiencia laboral (tres últimos empleos)</w:t>
            </w:r>
          </w:p>
        </w:tc>
      </w:tr>
      <w:tr w:rsidR="001E3608" w:rsidRPr="00252307" w:rsidTr="001E3608">
        <w:trPr>
          <w:trHeight w:val="45"/>
          <w:jc w:val="center"/>
        </w:trPr>
        <w:tc>
          <w:tcPr>
            <w:tcW w:w="1662" w:type="dxa"/>
            <w:tcBorders>
              <w:top w:val="nil"/>
              <w:left w:val="dotted" w:sz="4" w:space="0" w:color="auto"/>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u w:val="single"/>
              </w:rPr>
              <w:t>Nivel máximo de estudios</w:t>
            </w:r>
            <w:r w:rsidRPr="00252307">
              <w:rPr>
                <w:rFonts w:ascii="Palatino Linotype" w:hAnsi="Palatino Linotype" w:cs="Calibri"/>
                <w:i/>
                <w:sz w:val="22"/>
                <w:szCs w:val="22"/>
              </w:rPr>
              <w:t xml:space="preserve"> (ninguno, primaria, secundaria, bachillerato, técnica, licenciatura, maestría, doctorado, posdoctorado)</w:t>
            </w:r>
          </w:p>
        </w:tc>
        <w:tc>
          <w:tcPr>
            <w:tcW w:w="616" w:type="dxa"/>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i/>
                <w:sz w:val="22"/>
                <w:szCs w:val="22"/>
              </w:rPr>
              <w:t>Área de estudio</w:t>
            </w:r>
          </w:p>
        </w:tc>
        <w:tc>
          <w:tcPr>
            <w:tcW w:w="690" w:type="dxa"/>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i/>
                <w:sz w:val="22"/>
                <w:szCs w:val="22"/>
              </w:rPr>
              <w:t>Carrera genérica</w:t>
            </w:r>
          </w:p>
        </w:tc>
        <w:tc>
          <w:tcPr>
            <w:tcW w:w="0" w:type="auto"/>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cs="Calibri"/>
                <w:i/>
                <w:sz w:val="22"/>
                <w:szCs w:val="22"/>
              </w:rPr>
            </w:pPr>
            <w:r w:rsidRPr="00252307">
              <w:rPr>
                <w:rFonts w:ascii="Palatino Linotype" w:hAnsi="Palatino Linotype" w:cs="Calibri"/>
                <w:i/>
                <w:sz w:val="22"/>
                <w:szCs w:val="22"/>
              </w:rPr>
              <w:t xml:space="preserve">inicio </w:t>
            </w:r>
          </w:p>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 xml:space="preserve">(Periodo día/mes/año) </w:t>
            </w:r>
          </w:p>
        </w:tc>
        <w:tc>
          <w:tcPr>
            <w:tcW w:w="0" w:type="auto"/>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 xml:space="preserve">conclusión (Periodo día/mes/año) </w:t>
            </w:r>
          </w:p>
        </w:tc>
        <w:tc>
          <w:tcPr>
            <w:tcW w:w="1086" w:type="dxa"/>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Denominación de la Institución / empresa</w:t>
            </w:r>
          </w:p>
        </w:tc>
        <w:tc>
          <w:tcPr>
            <w:tcW w:w="985" w:type="dxa"/>
            <w:tcBorders>
              <w:top w:val="nil"/>
              <w:left w:val="nil"/>
              <w:bottom w:val="dotted" w:sz="4" w:space="0" w:color="auto"/>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cs="Calibri"/>
                <w:i/>
                <w:sz w:val="22"/>
                <w:szCs w:val="22"/>
              </w:rPr>
              <w:t>Cargo o puesto desempeñado</w:t>
            </w:r>
          </w:p>
        </w:tc>
        <w:tc>
          <w:tcPr>
            <w:tcW w:w="864" w:type="dxa"/>
            <w:tcBorders>
              <w:top w:val="nil"/>
              <w:left w:val="nil"/>
              <w:bottom w:val="nil"/>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i/>
                <w:sz w:val="22"/>
                <w:szCs w:val="22"/>
              </w:rPr>
              <w:t>Campo de experiencia</w:t>
            </w:r>
          </w:p>
        </w:tc>
        <w:tc>
          <w:tcPr>
            <w:tcW w:w="997" w:type="dxa"/>
            <w:tcBorders>
              <w:top w:val="nil"/>
              <w:left w:val="nil"/>
              <w:bottom w:val="nil"/>
              <w:right w:val="dotted" w:sz="4" w:space="0" w:color="auto"/>
            </w:tcBorders>
            <w:shd w:val="clear" w:color="auto" w:fill="auto"/>
            <w:vAlign w:val="center"/>
            <w:hideMark/>
          </w:tcPr>
          <w:p w:rsidR="001E3608" w:rsidRPr="00252307" w:rsidRDefault="001E3608" w:rsidP="001E3608">
            <w:pPr>
              <w:jc w:val="center"/>
              <w:rPr>
                <w:rFonts w:ascii="Palatino Linotype" w:hAnsi="Palatino Linotype"/>
                <w:i/>
                <w:sz w:val="22"/>
                <w:szCs w:val="22"/>
              </w:rPr>
            </w:pPr>
            <w:r w:rsidRPr="00252307">
              <w:rPr>
                <w:rFonts w:ascii="Palatino Linotype" w:hAnsi="Palatino Linotype"/>
                <w:i/>
                <w:sz w:val="22"/>
                <w:szCs w:val="22"/>
              </w:rPr>
              <w:t>Hipervínculo a la versión pública del currículum</w:t>
            </w:r>
          </w:p>
        </w:tc>
      </w:tr>
    </w:tbl>
    <w:p w:rsidR="001E3608" w:rsidRPr="00252307" w:rsidRDefault="001E3608" w:rsidP="001E3608">
      <w:pPr>
        <w:spacing w:line="360" w:lineRule="auto"/>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Así, </w:t>
      </w:r>
      <w:r w:rsidRPr="00252307">
        <w:rPr>
          <w:rFonts w:ascii="Palatino Linotype" w:hAnsi="Palatino Linotype"/>
          <w:sz w:val="22"/>
          <w:szCs w:val="22"/>
          <w:lang w:val="es-ES"/>
        </w:rPr>
        <w:t xml:space="preserve">el </w:t>
      </w:r>
      <w:r w:rsidRPr="00252307">
        <w:rPr>
          <w:rFonts w:ascii="Palatino Linotype" w:hAnsi="Palatino Linotype" w:cs="Arial"/>
          <w:b/>
          <w:i/>
          <w:sz w:val="22"/>
          <w:szCs w:val="22"/>
        </w:rPr>
        <w:t>Currículum Vitae</w:t>
      </w:r>
      <w:r w:rsidRPr="00252307">
        <w:rPr>
          <w:rFonts w:ascii="Palatino Linotype" w:hAnsi="Palatino Linotype" w:cs="Arial"/>
          <w:i/>
          <w:sz w:val="22"/>
          <w:szCs w:val="22"/>
        </w:rPr>
        <w:t xml:space="preserve"> </w:t>
      </w:r>
      <w:r w:rsidRPr="00252307">
        <w:rPr>
          <w:rFonts w:ascii="Palatino Linotype" w:hAnsi="Palatino Linotype"/>
          <w:b/>
          <w:i/>
          <w:sz w:val="22"/>
          <w:szCs w:val="22"/>
        </w:rPr>
        <w:t>(</w:t>
      </w:r>
      <w:r w:rsidRPr="00252307">
        <w:rPr>
          <w:rFonts w:ascii="Palatino Linotype" w:hAnsi="Palatino Linotype"/>
          <w:b/>
          <w:sz w:val="22"/>
          <w:szCs w:val="22"/>
        </w:rPr>
        <w:t>con o sin fotografía)</w:t>
      </w:r>
      <w:r w:rsidRPr="00252307">
        <w:rPr>
          <w:rFonts w:ascii="Palatino Linotype" w:hAnsi="Palatino Linotype" w:cs="Arial"/>
          <w:i/>
          <w:sz w:val="22"/>
          <w:szCs w:val="22"/>
        </w:rPr>
        <w:t xml:space="preserve"> </w:t>
      </w:r>
      <w:r w:rsidRPr="00252307">
        <w:rPr>
          <w:rFonts w:ascii="Palatino Linotype" w:hAnsi="Palatino Linotype" w:cs="Arial"/>
          <w:sz w:val="22"/>
          <w:szCs w:val="22"/>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rsidR="00305C25" w:rsidRPr="00252307" w:rsidRDefault="00305C25"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Ahora bien, </w:t>
      </w:r>
      <w:r w:rsidRPr="00252307">
        <w:rPr>
          <w:rFonts w:ascii="Palatino Linotype" w:hAnsi="Palatino Linotype" w:cs="Arial"/>
          <w:sz w:val="22"/>
          <w:szCs w:val="22"/>
        </w:rPr>
        <w:t xml:space="preserve">existen expresiones documentales, que acorde a las funciones, facultades, atribuciones y competencias de los Sujetos Obligados, pudieran reflejar la información que generalmente se contiene en el </w:t>
      </w:r>
      <w:r w:rsidRPr="00252307">
        <w:rPr>
          <w:rFonts w:ascii="Palatino Linotype" w:hAnsi="Palatino Linotype" w:cs="Arial"/>
          <w:i/>
          <w:sz w:val="22"/>
          <w:szCs w:val="22"/>
        </w:rPr>
        <w:t>Currículum Vitae</w:t>
      </w:r>
      <w:r w:rsidRPr="00252307">
        <w:rPr>
          <w:rFonts w:ascii="Palatino Linotype" w:hAnsi="Palatino Linotype" w:cs="Arial"/>
          <w:sz w:val="22"/>
          <w:szCs w:val="22"/>
        </w:rPr>
        <w:t xml:space="preserve">, tales como, la </w:t>
      </w:r>
      <w:r w:rsidRPr="00252307">
        <w:rPr>
          <w:rFonts w:ascii="Palatino Linotype" w:hAnsi="Palatino Linotype"/>
          <w:bCs/>
          <w:i/>
          <w:iCs/>
          <w:sz w:val="22"/>
          <w:szCs w:val="22"/>
          <w:lang w:val="es-ES"/>
        </w:rPr>
        <w:t>solicitud de empleo</w:t>
      </w:r>
      <w:r w:rsidRPr="00252307">
        <w:rPr>
          <w:rFonts w:ascii="Palatino Linotype" w:hAnsi="Palatino Linotype" w:cs="Arial"/>
          <w:bCs/>
          <w:sz w:val="22"/>
          <w:szCs w:val="22"/>
        </w:rPr>
        <w:t>, a que</w:t>
      </w:r>
      <w:r w:rsidRPr="00252307">
        <w:rPr>
          <w:rFonts w:ascii="Palatino Linotype" w:hAnsi="Palatino Linotype" w:cs="Arial"/>
          <w:sz w:val="22"/>
          <w:szCs w:val="22"/>
        </w:rPr>
        <w:t xml:space="preserve"> hace referencia el </w:t>
      </w:r>
      <w:r w:rsidRPr="00252307">
        <w:rPr>
          <w:rFonts w:ascii="Palatino Linotype" w:hAnsi="Palatino Linotype"/>
          <w:sz w:val="22"/>
          <w:szCs w:val="22"/>
        </w:rPr>
        <w:t xml:space="preserve">artículo 47, fracción I, de la Ley del Trabajo de los Servidores Públicos del Estado y Municipios, así como, las </w:t>
      </w:r>
      <w:r w:rsidRPr="00252307">
        <w:rPr>
          <w:rFonts w:ascii="Palatino Linotype" w:hAnsi="Palatino Linotype"/>
          <w:i/>
          <w:iCs/>
          <w:sz w:val="22"/>
          <w:szCs w:val="22"/>
        </w:rPr>
        <w:t>fichas curriculares</w:t>
      </w:r>
      <w:r w:rsidRPr="00252307">
        <w:rPr>
          <w:rFonts w:ascii="Palatino Linotype" w:hAnsi="Palatino Linotype"/>
          <w:sz w:val="22"/>
          <w:szCs w:val="22"/>
        </w:rPr>
        <w:t xml:space="preserve"> en cumplimiento al artículo 92, fracción XXI de la </w:t>
      </w:r>
      <w:r w:rsidRPr="00252307">
        <w:rPr>
          <w:rFonts w:ascii="Palatino Linotype" w:hAnsi="Palatino Linotype"/>
          <w:sz w:val="22"/>
          <w:szCs w:val="22"/>
          <w:lang w:eastAsia="es-ES_tradnl"/>
        </w:rPr>
        <w:t xml:space="preserve">Ley de </w:t>
      </w:r>
      <w:r w:rsidRPr="00252307">
        <w:rPr>
          <w:rFonts w:ascii="Palatino Linotype" w:hAnsi="Palatino Linotype" w:cs="Arial"/>
          <w:sz w:val="22"/>
          <w:szCs w:val="22"/>
        </w:rPr>
        <w:t>Transparencia</w:t>
      </w:r>
      <w:r w:rsidRPr="00252307">
        <w:rPr>
          <w:rFonts w:ascii="Palatino Linotype" w:hAnsi="Palatino Linotype"/>
          <w:sz w:val="22"/>
          <w:szCs w:val="22"/>
          <w:lang w:eastAsia="es-ES_tradnl"/>
        </w:rPr>
        <w:t xml:space="preserve"> y </w:t>
      </w:r>
      <w:r w:rsidRPr="00252307">
        <w:rPr>
          <w:rFonts w:ascii="Palatino Linotype" w:hAnsi="Palatino Linotype" w:cs="Arial"/>
          <w:sz w:val="22"/>
          <w:szCs w:val="22"/>
        </w:rPr>
        <w:t>Acceso</w:t>
      </w:r>
      <w:r w:rsidRPr="00252307">
        <w:rPr>
          <w:rFonts w:ascii="Palatino Linotype" w:hAnsi="Palatino Linotype"/>
          <w:sz w:val="22"/>
          <w:szCs w:val="22"/>
          <w:lang w:eastAsia="es-ES_tradnl"/>
        </w:rPr>
        <w:t xml:space="preserve"> a la Información Pública del Estado de México y Municipios y de los Lineamientos Técnicos Generales.</w:t>
      </w:r>
    </w:p>
    <w:p w:rsidR="001E3608" w:rsidRPr="00252307" w:rsidRDefault="001E3608" w:rsidP="001E3608">
      <w:pPr>
        <w:spacing w:line="360" w:lineRule="auto"/>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lang w:eastAsia="es-ES_tradnl"/>
        </w:rPr>
        <w:lastRenderedPageBreak/>
        <w:t>En consecuencia, se entiende que</w:t>
      </w:r>
      <w:r w:rsidRPr="00252307">
        <w:rPr>
          <w:rFonts w:ascii="Palatino Linotype" w:hAnsi="Palatino Linotype"/>
          <w:bCs/>
          <w:sz w:val="22"/>
          <w:szCs w:val="22"/>
        </w:rPr>
        <w:t xml:space="preserve"> el</w:t>
      </w:r>
      <w:r w:rsidRPr="00252307">
        <w:rPr>
          <w:rFonts w:ascii="Palatino Linotype" w:hAnsi="Palatino Linotype"/>
          <w:b/>
          <w:sz w:val="22"/>
          <w:szCs w:val="22"/>
        </w:rPr>
        <w:t xml:space="preserve"> SUJETO OBLIGADO</w:t>
      </w:r>
      <w:r w:rsidRPr="00252307">
        <w:rPr>
          <w:rFonts w:ascii="Palatino Linotype" w:hAnsi="Palatino Linotype"/>
          <w:sz w:val="22"/>
          <w:szCs w:val="22"/>
        </w:rPr>
        <w:t xml:space="preserve"> genera (en cuanto a la ficha curricular), posee o administración dicha información (en cuanto al currículum vitae y solicitud de empleo); </w:t>
      </w:r>
      <w:r w:rsidRPr="00252307">
        <w:rPr>
          <w:rFonts w:ascii="Palatino Linotype" w:hAnsi="Palatino Linotype"/>
          <w:bCs/>
          <w:sz w:val="22"/>
          <w:szCs w:val="22"/>
        </w:rPr>
        <w:t>por lo que, deberá hacer entrega</w:t>
      </w:r>
      <w:r w:rsidRPr="00252307">
        <w:rPr>
          <w:rFonts w:ascii="Palatino Linotype" w:hAnsi="Palatino Linotype"/>
          <w:b/>
          <w:bCs/>
          <w:sz w:val="22"/>
          <w:szCs w:val="22"/>
        </w:rPr>
        <w:t xml:space="preserve">, de ser procedente en versión pública, de la ficha curricular o documento análogo del </w:t>
      </w:r>
      <w:r w:rsidRPr="00252307">
        <w:rPr>
          <w:rFonts w:ascii="Palatino Linotype" w:hAnsi="Palatino Linotype"/>
          <w:b/>
          <w:color w:val="000000"/>
          <w:sz w:val="22"/>
          <w:szCs w:val="22"/>
        </w:rPr>
        <w:t>personal adscrito a la Coordinación de la Coordinación de Estudios y Proyectos Estratégicos, al 27 de mayo de 2024:</w:t>
      </w:r>
    </w:p>
    <w:p w:rsidR="003D39FD" w:rsidRPr="00252307" w:rsidRDefault="003D39FD" w:rsidP="0051644E">
      <w:pPr>
        <w:ind w:right="1"/>
        <w:jc w:val="both"/>
        <w:rPr>
          <w:rFonts w:ascii="Palatino Linotype" w:eastAsia="Palatino Linotype" w:hAnsi="Palatino Linotype" w:cs="Palatino Linotype"/>
          <w:sz w:val="22"/>
          <w:szCs w:val="22"/>
        </w:rPr>
      </w:pPr>
    </w:p>
    <w:p w:rsidR="002B0131" w:rsidRPr="00252307" w:rsidRDefault="002B0131" w:rsidP="002B0131">
      <w:pPr>
        <w:pStyle w:val="Prrafodelista"/>
        <w:numPr>
          <w:ilvl w:val="0"/>
          <w:numId w:val="20"/>
        </w:numPr>
        <w:spacing w:line="360" w:lineRule="auto"/>
        <w:ind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De los comprobantes de estudios;</w:t>
      </w:r>
    </w:p>
    <w:p w:rsidR="002B0131" w:rsidRPr="00252307" w:rsidRDefault="002B0131"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Ahora bien, relativo a los comprobantes de estudios solicitados, resulta </w:t>
      </w:r>
      <w:r w:rsidRPr="00252307">
        <w:rPr>
          <w:rFonts w:ascii="Palatino Linotype" w:hAnsi="Palatino Linotype" w:cs="Arial"/>
          <w:color w:val="000000" w:themeColor="text1"/>
          <w:sz w:val="22"/>
          <w:szCs w:val="22"/>
        </w:rPr>
        <w:t xml:space="preserve">necesario señalar que tanto el </w:t>
      </w:r>
      <w:r w:rsidRPr="00252307">
        <w:rPr>
          <w:rFonts w:ascii="Palatino Linotype" w:hAnsi="Palatino Linotype" w:cs="Arial"/>
          <w:b/>
          <w:bCs/>
          <w:i/>
          <w:iCs/>
          <w:color w:val="000000" w:themeColor="text1"/>
          <w:sz w:val="22"/>
          <w:szCs w:val="22"/>
        </w:rPr>
        <w:t xml:space="preserve">Título </w:t>
      </w:r>
      <w:r w:rsidRPr="00252307">
        <w:rPr>
          <w:rFonts w:ascii="Palatino Linotype" w:hAnsi="Palatino Linotype" w:cs="Arial"/>
          <w:b/>
          <w:bCs/>
          <w:color w:val="000000" w:themeColor="text1"/>
          <w:sz w:val="22"/>
          <w:szCs w:val="22"/>
        </w:rPr>
        <w:t xml:space="preserve">como </w:t>
      </w:r>
      <w:r w:rsidRPr="00252307">
        <w:rPr>
          <w:rFonts w:ascii="Palatino Linotype" w:hAnsi="Palatino Linotype"/>
          <w:b/>
          <w:bCs/>
          <w:sz w:val="22"/>
          <w:szCs w:val="22"/>
        </w:rPr>
        <w:t xml:space="preserve">la </w:t>
      </w:r>
      <w:r w:rsidRPr="00252307">
        <w:rPr>
          <w:rFonts w:ascii="Palatino Linotype" w:hAnsi="Palatino Linotype"/>
          <w:b/>
          <w:bCs/>
          <w:i/>
          <w:iCs/>
          <w:sz w:val="22"/>
          <w:szCs w:val="22"/>
        </w:rPr>
        <w:t>Cédula Profesional</w:t>
      </w:r>
      <w:r w:rsidRPr="00252307">
        <w:rPr>
          <w:rFonts w:ascii="Palatino Linotype" w:hAnsi="Palatino Linotype"/>
          <w:b/>
          <w:bCs/>
          <w:sz w:val="22"/>
          <w:szCs w:val="22"/>
        </w:rPr>
        <w:t>,</w:t>
      </w:r>
      <w:r w:rsidRPr="00252307">
        <w:rPr>
          <w:rFonts w:ascii="Palatino Linotype" w:hAnsi="Palatino Linotype"/>
          <w:sz w:val="22"/>
          <w:szCs w:val="22"/>
        </w:rPr>
        <w:t xml:space="preserve"> </w:t>
      </w:r>
      <w:r w:rsidRPr="00252307">
        <w:rPr>
          <w:rFonts w:ascii="Palatino Linotype" w:hAnsi="Palatino Linotype"/>
          <w:b/>
          <w:bCs/>
          <w:sz w:val="22"/>
          <w:szCs w:val="22"/>
        </w:rPr>
        <w:t>son expresiones documentales homólogas con validez legal</w:t>
      </w:r>
      <w:r w:rsidRPr="00252307">
        <w:rPr>
          <w:rFonts w:ascii="Palatino Linotype" w:hAnsi="Palatino Linotype"/>
          <w:sz w:val="22"/>
          <w:szCs w:val="22"/>
        </w:rPr>
        <w:t xml:space="preserve">, para certificar o demostrar que efectivamente una persona está calificado para ejercer la profesión para la cual se ha preparado; y, en lo particular </w:t>
      </w:r>
      <w:r w:rsidRPr="00252307">
        <w:rPr>
          <w:rFonts w:ascii="Palatino Linotype" w:hAnsi="Palatino Linotype"/>
          <w:b/>
          <w:bCs/>
          <w:sz w:val="22"/>
          <w:szCs w:val="22"/>
        </w:rPr>
        <w:t>la cédula acredita que se ha recibido un título profesional,</w:t>
      </w:r>
      <w:r w:rsidRPr="00252307">
        <w:rPr>
          <w:rFonts w:ascii="Palatino Linotype" w:hAnsi="Palatino Linotype"/>
          <w:sz w:val="22"/>
          <w:szCs w:val="22"/>
        </w:rPr>
        <w:t xml:space="preserve"> conforme a lo referido en la página oficial de la Secretaría de Educación Pública (consultada en la liga </w:t>
      </w:r>
      <w:hyperlink r:id="rId11" w:history="1">
        <w:r w:rsidRPr="00252307">
          <w:rPr>
            <w:rStyle w:val="Hipervnculo"/>
            <w:rFonts w:ascii="Palatino Linotype" w:hAnsi="Palatino Linotype"/>
            <w:sz w:val="22"/>
            <w:szCs w:val="22"/>
          </w:rPr>
          <w:t>http://consultatucedula.mx/</w:t>
        </w:r>
      </w:hyperlink>
      <w:r w:rsidRPr="00252307">
        <w:rPr>
          <w:rFonts w:ascii="Palatino Linotype" w:hAnsi="Palatino Linotype"/>
          <w:sz w:val="22"/>
          <w:szCs w:val="22"/>
        </w:rPr>
        <w:t>).</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cs="Arial"/>
          <w:color w:val="000000" w:themeColor="text1"/>
          <w:sz w:val="22"/>
          <w:szCs w:val="22"/>
        </w:rPr>
        <w:t xml:space="preserve">En </w:t>
      </w:r>
      <w:r w:rsidRPr="00252307">
        <w:rPr>
          <w:rFonts w:ascii="Palatino Linotype" w:hAnsi="Palatino Linotype"/>
          <w:sz w:val="22"/>
          <w:szCs w:val="22"/>
        </w:rPr>
        <w:t xml:space="preserve">ese orden de ideas, debe tenerse presente que la naturaleza del </w:t>
      </w:r>
      <w:r w:rsidRPr="00252307">
        <w:rPr>
          <w:rFonts w:ascii="Palatino Linotype" w:hAnsi="Palatino Linotype"/>
          <w:b/>
          <w:bCs/>
          <w:i/>
          <w:iCs/>
          <w:sz w:val="22"/>
          <w:szCs w:val="22"/>
        </w:rPr>
        <w:t>título y/o</w:t>
      </w:r>
      <w:r w:rsidRPr="00252307">
        <w:rPr>
          <w:rFonts w:ascii="Palatino Linotype" w:hAnsi="Palatino Linotype"/>
          <w:b/>
          <w:bCs/>
          <w:sz w:val="22"/>
          <w:szCs w:val="22"/>
        </w:rPr>
        <w:t xml:space="preserve"> </w:t>
      </w:r>
      <w:r w:rsidRPr="00252307">
        <w:rPr>
          <w:rFonts w:ascii="Palatino Linotype" w:hAnsi="Palatino Linotype"/>
          <w:b/>
          <w:bCs/>
          <w:i/>
          <w:iCs/>
          <w:sz w:val="22"/>
          <w:szCs w:val="22"/>
        </w:rPr>
        <w:t>cédula profesional</w:t>
      </w:r>
      <w:r w:rsidRPr="00252307">
        <w:rPr>
          <w:rFonts w:ascii="Palatino Linotype" w:hAnsi="Palatino Linotype"/>
          <w:b/>
          <w:bCs/>
          <w:sz w:val="22"/>
          <w:szCs w:val="22"/>
        </w:rPr>
        <w:t xml:space="preserve">, </w:t>
      </w:r>
      <w:r w:rsidRPr="00252307">
        <w:rPr>
          <w:rFonts w:ascii="Palatino Linotype" w:hAnsi="Palatino Linotype"/>
          <w:sz w:val="22"/>
          <w:szCs w:val="22"/>
        </w:rPr>
        <w:t>consiste en la de ser documentos de identificación para que a sus titulares, los acrediten como profesionales o expertos en algún área de estudio o conocimiento frente a terceros;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51644E">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Con relación a</w:t>
      </w:r>
      <w:r w:rsidRPr="00252307">
        <w:rPr>
          <w:rFonts w:ascii="Palatino Linotype" w:hAnsi="Palatino Linotype" w:cs="Tahoma"/>
          <w:sz w:val="22"/>
          <w:szCs w:val="22"/>
        </w:rPr>
        <w:t xml:space="preserve"> la </w:t>
      </w:r>
      <w:r w:rsidRPr="00252307">
        <w:rPr>
          <w:rFonts w:ascii="Palatino Linotype" w:hAnsi="Palatino Linotype" w:cs="Tahoma"/>
          <w:b/>
          <w:i/>
          <w:iCs/>
          <w:sz w:val="22"/>
          <w:szCs w:val="22"/>
        </w:rPr>
        <w:t>cédula profesional</w:t>
      </w:r>
      <w:r w:rsidRPr="00252307">
        <w:rPr>
          <w:rFonts w:ascii="Palatino Linotype" w:hAnsi="Palatino Linotype" w:cs="Tahoma"/>
          <w:b/>
          <w:sz w:val="22"/>
          <w:szCs w:val="22"/>
        </w:rPr>
        <w:t>,</w:t>
      </w:r>
      <w:r w:rsidRPr="00252307">
        <w:rPr>
          <w:rFonts w:ascii="Palatino Linotype" w:hAnsi="Palatino Linotype" w:cs="Tahoma"/>
          <w:sz w:val="22"/>
          <w:szCs w:val="22"/>
        </w:rPr>
        <w:t xml:space="preserve"> resulta conveniente reiterar lo establecido por el artículo 47 de la Ley del Trabajo de los Servidores Públicos del Estado y Municipios, que refiere que para ingresar al servicio público se requiere, entre otras cosas, cumplir con los requisitos que se establezcan para los diferentes puestos, como es el nivel académico.</w:t>
      </w: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lastRenderedPageBreak/>
        <w:t xml:space="preserve">En este sentido, es de señalar que </w:t>
      </w:r>
      <w:r w:rsidRPr="00252307">
        <w:rPr>
          <w:rFonts w:ascii="Palatino Linotype" w:hAnsi="Palatino Linotype"/>
          <w:sz w:val="22"/>
          <w:szCs w:val="22"/>
        </w:rPr>
        <w:t xml:space="preserve">la </w:t>
      </w:r>
      <w:r w:rsidRPr="00252307">
        <w:rPr>
          <w:rFonts w:ascii="Palatino Linotype" w:hAnsi="Palatino Linotype"/>
          <w:b/>
          <w:i/>
          <w:iCs/>
          <w:sz w:val="22"/>
          <w:szCs w:val="22"/>
        </w:rPr>
        <w:t>cédula profesional</w:t>
      </w:r>
      <w:r w:rsidRPr="00252307">
        <w:rPr>
          <w:rFonts w:ascii="Palatino Linotype" w:hAnsi="Palatino Linotype"/>
          <w:b/>
          <w:sz w:val="22"/>
          <w:szCs w:val="22"/>
        </w:rPr>
        <w:t>,</w:t>
      </w:r>
      <w:r w:rsidRPr="00252307">
        <w:rPr>
          <w:rFonts w:ascii="Palatino Linotype" w:hAnsi="Palatino Linotype"/>
          <w:sz w:val="22"/>
          <w:szCs w:val="22"/>
        </w:rPr>
        <w:t xml:space="preserve">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hyperlink r:id="rId12" w:history="1">
        <w:r w:rsidRPr="00252307">
          <w:rPr>
            <w:rStyle w:val="Hipervnculo"/>
            <w:rFonts w:ascii="Palatino Linotype" w:hAnsi="Palatino Linotype"/>
            <w:sz w:val="22"/>
            <w:szCs w:val="22"/>
          </w:rPr>
          <w:t>http://consultatucedula.mx/</w:t>
        </w:r>
      </w:hyperlink>
      <w:r w:rsidRPr="00252307">
        <w:rPr>
          <w:rFonts w:ascii="Palatino Linotype" w:hAnsi="Palatino Linotype"/>
          <w:sz w:val="22"/>
          <w:szCs w:val="22"/>
        </w:rPr>
        <w:t>).</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Por lo que </w:t>
      </w:r>
      <w:r w:rsidRPr="00252307">
        <w:rPr>
          <w:rFonts w:ascii="Palatino Linotype" w:eastAsia="Calibri" w:hAnsi="Palatino Linotype" w:cs="Arial"/>
          <w:b/>
          <w:bCs/>
          <w:color w:val="000000" w:themeColor="text1"/>
          <w:sz w:val="22"/>
          <w:szCs w:val="22"/>
          <w:lang w:val="es-ES"/>
        </w:rPr>
        <w:t xml:space="preserve">dicho documento, </w:t>
      </w:r>
      <w:r w:rsidRPr="00252307">
        <w:rPr>
          <w:rFonts w:ascii="Palatino Linotype" w:hAnsi="Palatino Linotype"/>
          <w:b/>
          <w:bCs/>
          <w:sz w:val="22"/>
          <w:szCs w:val="22"/>
        </w:rPr>
        <w:t xml:space="preserve">es aquel que adquiere toda persona a quien legalmente se le haya expedido </w:t>
      </w:r>
      <w:r w:rsidRPr="00252307">
        <w:rPr>
          <w:rFonts w:ascii="Palatino Linotype" w:hAnsi="Palatino Linotype"/>
          <w:b/>
          <w:bCs/>
          <w:i/>
          <w:iCs/>
          <w:sz w:val="22"/>
          <w:szCs w:val="22"/>
        </w:rPr>
        <w:t>título profesional o grado académico equivalente</w:t>
      </w:r>
      <w:r w:rsidRPr="00252307">
        <w:rPr>
          <w:rFonts w:ascii="Palatino Linotype" w:hAnsi="Palatino Linotype"/>
          <w:sz w:val="22"/>
          <w:szCs w:val="22"/>
        </w:rPr>
        <w:t xml:space="preserve">, con efectos de patente, previo registro de dicho título o grado la cual es otorgada por la </w:t>
      </w:r>
      <w:r w:rsidRPr="00252307">
        <w:rPr>
          <w:rFonts w:ascii="Palatino Linotype" w:hAnsi="Palatino Linotype"/>
          <w:b/>
          <w:sz w:val="22"/>
          <w:szCs w:val="22"/>
        </w:rPr>
        <w:t>Dirección General de Profesiones de la Secretaría de Educación Pública</w:t>
      </w:r>
      <w:r w:rsidRPr="00252307">
        <w:rPr>
          <w:rFonts w:ascii="Palatino Linotype" w:hAnsi="Palatino Linotype"/>
          <w:sz w:val="22"/>
          <w:szCs w:val="22"/>
        </w:rPr>
        <w:t xml:space="preserve">, ya que </w:t>
      </w:r>
      <w:r w:rsidRPr="00252307">
        <w:rPr>
          <w:rFonts w:ascii="Palatino Linotype" w:hAnsi="Palatino Linotype"/>
          <w:b/>
          <w:sz w:val="22"/>
          <w:szCs w:val="22"/>
        </w:rPr>
        <w:t>dicha autoridad tiene atribuciones para expedir la cédula correspondiente para el ejercicio profesional y para su identidad en todas sus actividades profesionales,</w:t>
      </w:r>
      <w:r w:rsidRPr="00252307">
        <w:rPr>
          <w:rFonts w:ascii="Palatino Linotype" w:hAnsi="Palatino Linotype"/>
          <w:sz w:val="22"/>
          <w:szCs w:val="22"/>
        </w:rPr>
        <w:t xml:space="preserve"> lo anterior toma sustento en los artículos 3° y 23, fracción IV, de la Ley Reglamentaria del Artículo 5° Constitucional, Relativo al Ejercicio de las Profesiones en la Ciudad de México.</w:t>
      </w:r>
    </w:p>
    <w:p w:rsidR="001E3608" w:rsidRPr="00252307" w:rsidRDefault="001E3608" w:rsidP="00305C25">
      <w:pPr>
        <w:ind w:right="1"/>
        <w:jc w:val="both"/>
        <w:rPr>
          <w:rFonts w:ascii="Palatino Linotype" w:eastAsia="Palatino Linotype" w:hAnsi="Palatino Linotype" w:cs="Palatino Linotype"/>
          <w:sz w:val="22"/>
          <w:szCs w:val="22"/>
        </w:rPr>
      </w:pPr>
    </w:p>
    <w:p w:rsidR="001E3608" w:rsidRPr="00252307" w:rsidRDefault="001E3608" w:rsidP="001E360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Así, </w:t>
      </w:r>
      <w:r w:rsidRPr="00252307">
        <w:rPr>
          <w:rFonts w:ascii="Palatino Linotype" w:hAnsi="Palatino Linotype"/>
          <w:sz w:val="22"/>
          <w:szCs w:val="22"/>
        </w:rPr>
        <w:t xml:space="preserve">los documentos que dan cuenta de la preparación académica sirven como medios de identificación, para que a su titular lo relacionen con el nivel de estudios con que cuenta, tales como el </w:t>
      </w:r>
      <w:r w:rsidRPr="00252307">
        <w:rPr>
          <w:rFonts w:ascii="Palatino Linotype" w:hAnsi="Palatino Linotype"/>
          <w:b/>
          <w:i/>
          <w:iCs/>
          <w:sz w:val="22"/>
          <w:szCs w:val="22"/>
        </w:rPr>
        <w:t>título y/o cédula profesional</w:t>
      </w:r>
      <w:r w:rsidRPr="00252307">
        <w:rPr>
          <w:rFonts w:ascii="Palatino Linotype" w:hAnsi="Palatino Linotype"/>
          <w:sz w:val="22"/>
          <w:szCs w:val="22"/>
        </w:rPr>
        <w:t>, independientemente de que estos sean o no medios de identificación oficiales.</w:t>
      </w:r>
    </w:p>
    <w:p w:rsidR="001E3608" w:rsidRPr="00252307" w:rsidRDefault="001E3608" w:rsidP="001E3608">
      <w:pPr>
        <w:spacing w:line="360" w:lineRule="auto"/>
        <w:ind w:right="1"/>
        <w:jc w:val="both"/>
        <w:rPr>
          <w:rFonts w:ascii="Palatino Linotype" w:eastAsia="Palatino Linotype" w:hAnsi="Palatino Linotype" w:cs="Palatino Linotype"/>
          <w:sz w:val="22"/>
          <w:szCs w:val="22"/>
        </w:rPr>
      </w:pPr>
    </w:p>
    <w:p w:rsidR="002C3B1F" w:rsidRPr="00252307" w:rsidRDefault="001E3608" w:rsidP="002C3B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Arial"/>
          <w:color w:val="000000" w:themeColor="text1"/>
          <w:sz w:val="22"/>
          <w:szCs w:val="22"/>
          <w:lang w:val="es-ES"/>
        </w:rPr>
        <w:t xml:space="preserve">Expuesto lo anterior, </w:t>
      </w:r>
      <w:r w:rsidRPr="00252307">
        <w:rPr>
          <w:rFonts w:ascii="Palatino Linotype" w:eastAsia="Calibri" w:hAnsi="Palatino Linotype" w:cs="Tahoma"/>
          <w:bCs/>
          <w:sz w:val="22"/>
          <w:szCs w:val="22"/>
        </w:rPr>
        <w:t xml:space="preserve">se concluye que el </w:t>
      </w:r>
      <w:r w:rsidRPr="00252307">
        <w:rPr>
          <w:rFonts w:ascii="Palatino Linotype" w:eastAsia="Calibri" w:hAnsi="Palatino Linotype" w:cs="Tahoma"/>
          <w:b/>
          <w:sz w:val="22"/>
          <w:szCs w:val="22"/>
        </w:rPr>
        <w:t>SUJETO OBLIGADO</w:t>
      </w:r>
      <w:r w:rsidR="00060AE6" w:rsidRPr="00252307">
        <w:rPr>
          <w:rFonts w:ascii="Palatino Linotype" w:eastAsia="Calibri" w:hAnsi="Palatino Linotype" w:cs="Tahoma"/>
          <w:b/>
          <w:sz w:val="22"/>
          <w:szCs w:val="22"/>
        </w:rPr>
        <w:t xml:space="preserve"> </w:t>
      </w:r>
      <w:r w:rsidR="00060AE6" w:rsidRPr="00252307">
        <w:rPr>
          <w:rFonts w:ascii="Palatino Linotype" w:eastAsia="Calibri" w:hAnsi="Palatino Linotype" w:cs="Tahoma"/>
          <w:sz w:val="22"/>
          <w:szCs w:val="22"/>
        </w:rPr>
        <w:t xml:space="preserve">deberá hacer entrega de </w:t>
      </w:r>
      <w:r w:rsidR="00060AE6" w:rsidRPr="00252307">
        <w:rPr>
          <w:rFonts w:ascii="Palatino Linotype" w:eastAsia="Calibri" w:hAnsi="Palatino Linotype" w:cs="Tahoma"/>
          <w:b/>
          <w:sz w:val="22"/>
          <w:szCs w:val="22"/>
        </w:rPr>
        <w:t>los comprobantes de estudios</w:t>
      </w:r>
      <w:r w:rsidR="00060AE6" w:rsidRPr="00252307">
        <w:rPr>
          <w:rFonts w:ascii="Palatino Linotype" w:eastAsia="Calibri" w:hAnsi="Palatino Linotype" w:cs="Tahoma"/>
          <w:sz w:val="22"/>
          <w:szCs w:val="22"/>
        </w:rPr>
        <w:t xml:space="preserve">, en versión pública, </w:t>
      </w:r>
      <w:r w:rsidR="00060AE6" w:rsidRPr="00252307">
        <w:rPr>
          <w:rFonts w:ascii="Palatino Linotype" w:eastAsia="Palatino Linotype" w:hAnsi="Palatino Linotype" w:cs="Palatino Linotype"/>
          <w:sz w:val="22"/>
          <w:szCs w:val="22"/>
        </w:rPr>
        <w:t>d</w:t>
      </w:r>
      <w:r w:rsidR="00060AE6" w:rsidRPr="00252307">
        <w:rPr>
          <w:rFonts w:ascii="Palatino Linotype" w:hAnsi="Palatino Linotype"/>
          <w:b/>
          <w:color w:val="000000"/>
          <w:sz w:val="22"/>
          <w:szCs w:val="22"/>
        </w:rPr>
        <w:t>el personal adscrito a la Coordinación de la Coordinación de Estudios y Proyectos Estratégicos, al 27 de mayo de 2024.</w:t>
      </w:r>
    </w:p>
    <w:p w:rsidR="002C3B1F" w:rsidRPr="00252307" w:rsidRDefault="002C3B1F" w:rsidP="002C3B1F">
      <w:pPr>
        <w:rPr>
          <w:rFonts w:ascii="Palatino Linotype" w:hAnsi="Palatino Linotype"/>
          <w:color w:val="222222"/>
          <w:sz w:val="22"/>
          <w:szCs w:val="22"/>
          <w:shd w:val="clear" w:color="auto" w:fill="00FFFF"/>
        </w:rPr>
      </w:pPr>
    </w:p>
    <w:p w:rsidR="002C3B1F" w:rsidRPr="00252307" w:rsidRDefault="002C3B1F" w:rsidP="002C3B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color w:val="222222"/>
          <w:sz w:val="22"/>
          <w:szCs w:val="22"/>
          <w:shd w:val="clear" w:color="auto" w:fill="00FFFF"/>
        </w:rPr>
        <w:t>Para el caso de que la información que se ordena, no obre en los archivos del</w:t>
      </w:r>
      <w:r w:rsidRPr="00252307">
        <w:rPr>
          <w:rFonts w:ascii="Palatino Linotype" w:hAnsi="Palatino Linotype"/>
          <w:b/>
          <w:bCs/>
          <w:color w:val="222222"/>
          <w:sz w:val="22"/>
          <w:szCs w:val="22"/>
        </w:rPr>
        <w:t xml:space="preserve"> SUJETO OBLIGADO, </w:t>
      </w:r>
      <w:r w:rsidRPr="00252307">
        <w:rPr>
          <w:rFonts w:ascii="Palatino Linotype" w:hAnsi="Palatino Linotype"/>
          <w:color w:val="222222"/>
          <w:sz w:val="22"/>
          <w:szCs w:val="22"/>
          <w:shd w:val="clear" w:color="auto" w:fill="00FFFF"/>
        </w:rPr>
        <w:t xml:space="preserve">bastará con que así lo haga del conocimiento del Particular en términos del artículo </w:t>
      </w:r>
      <w:r w:rsidRPr="00252307">
        <w:rPr>
          <w:rFonts w:ascii="Palatino Linotype" w:hAnsi="Palatino Linotype"/>
          <w:color w:val="222222"/>
          <w:sz w:val="22"/>
          <w:szCs w:val="22"/>
          <w:shd w:val="clear" w:color="auto" w:fill="00FFFF"/>
        </w:rPr>
        <w:lastRenderedPageBreak/>
        <w:t>19, párrafo segundo, de la Ley de Transparencia y Acceso a la Información Pública del Estado de México y Municipios.</w:t>
      </w:r>
    </w:p>
    <w:p w:rsidR="003D39FD" w:rsidRPr="00252307" w:rsidRDefault="003D39FD" w:rsidP="0051644E">
      <w:pPr>
        <w:ind w:right="1"/>
        <w:jc w:val="both"/>
        <w:rPr>
          <w:rFonts w:ascii="Palatino Linotype" w:eastAsia="Palatino Linotype" w:hAnsi="Palatino Linotype" w:cs="Palatino Linotype"/>
          <w:sz w:val="22"/>
          <w:szCs w:val="22"/>
        </w:rPr>
      </w:pPr>
    </w:p>
    <w:p w:rsidR="002B0131" w:rsidRPr="00252307" w:rsidRDefault="002B0131" w:rsidP="002B0131">
      <w:pPr>
        <w:pStyle w:val="Prrafodelista"/>
        <w:numPr>
          <w:ilvl w:val="0"/>
          <w:numId w:val="20"/>
        </w:numPr>
        <w:spacing w:line="360" w:lineRule="auto"/>
        <w:ind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Del Formato Único de Movimiento de Personal y fecha de alta</w:t>
      </w:r>
    </w:p>
    <w:p w:rsidR="002B0131" w:rsidRPr="00252307" w:rsidRDefault="002B0131" w:rsidP="00827BFE">
      <w:pPr>
        <w:ind w:right="1"/>
        <w:jc w:val="both"/>
        <w:rPr>
          <w:rFonts w:ascii="Palatino Linotype" w:eastAsia="Palatino Linotype" w:hAnsi="Palatino Linotype" w:cs="Palatino Linotype"/>
          <w:sz w:val="22"/>
          <w:szCs w:val="22"/>
        </w:rPr>
      </w:pPr>
    </w:p>
    <w:p w:rsidR="002C3B1F" w:rsidRPr="00252307" w:rsidRDefault="009669CB" w:rsidP="002C3B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Ahora bien, relativo al </w:t>
      </w:r>
      <w:r w:rsidRPr="00252307">
        <w:rPr>
          <w:rFonts w:ascii="Palatino Linotype" w:eastAsia="Palatino Linotype" w:hAnsi="Palatino Linotype" w:cs="Palatino Linotype"/>
          <w:b/>
          <w:sz w:val="22"/>
          <w:szCs w:val="22"/>
        </w:rPr>
        <w:t xml:space="preserve">Formato Único de Movimiento de Personal (FUMP) y la fecha de alta, </w:t>
      </w:r>
      <w:r w:rsidRPr="00252307">
        <w:rPr>
          <w:rFonts w:ascii="Palatino Linotype" w:eastAsia="Palatino Linotype" w:hAnsi="Palatino Linotype" w:cs="Palatino Linotype"/>
          <w:sz w:val="22"/>
          <w:szCs w:val="22"/>
        </w:rPr>
        <w:t xml:space="preserve">resulta conveniente </w:t>
      </w:r>
      <w:r w:rsidRPr="00252307">
        <w:rPr>
          <w:rFonts w:ascii="Palatino Linotype" w:eastAsia="MS Mincho" w:hAnsi="Palatino Linotype" w:cs="Arial"/>
          <w:bCs/>
          <w:sz w:val="22"/>
          <w:szCs w:val="22"/>
        </w:rPr>
        <w:t>traer en contexto lo establecido en los artículos 5, 6, 7, 8 11, 12, 13  y 14 de la Ley del Trabajo de los Servidores Públicos del Estado y Municipios, los cuales se transcriben a continuación:</w:t>
      </w:r>
    </w:p>
    <w:p w:rsidR="002C3B1F" w:rsidRPr="00252307" w:rsidRDefault="002C3B1F" w:rsidP="002C3B1F">
      <w:pPr>
        <w:ind w:right="1"/>
        <w:jc w:val="both"/>
        <w:rPr>
          <w:rFonts w:ascii="Palatino Linotype" w:eastAsia="Palatino Linotype" w:hAnsi="Palatino Linotype" w:cs="Palatino Linotype"/>
          <w:sz w:val="22"/>
          <w:szCs w:val="22"/>
        </w:rPr>
      </w:pPr>
    </w:p>
    <w:p w:rsidR="009669CB" w:rsidRPr="00252307" w:rsidRDefault="009669CB" w:rsidP="002C3B1F">
      <w:pPr>
        <w:ind w:left="567" w:right="567"/>
        <w:jc w:val="both"/>
        <w:rPr>
          <w:rFonts w:ascii="Palatino Linotype" w:eastAsia="Palatino Linotype" w:hAnsi="Palatino Linotype" w:cs="Palatino Linotype"/>
          <w:sz w:val="22"/>
          <w:szCs w:val="22"/>
        </w:rPr>
      </w:pPr>
      <w:r w:rsidRPr="00252307">
        <w:rPr>
          <w:rFonts w:ascii="Palatino Linotype" w:hAnsi="Palatino Linotype"/>
          <w:i/>
          <w:szCs w:val="22"/>
        </w:rPr>
        <w:t>“</w:t>
      </w:r>
      <w:r w:rsidRPr="00252307">
        <w:rPr>
          <w:rFonts w:ascii="Palatino Linotype" w:hAnsi="Palatino Linotype"/>
          <w:b/>
          <w:i/>
          <w:szCs w:val="22"/>
        </w:rPr>
        <w:t>ARTÍCULO 5.-</w:t>
      </w:r>
      <w:r w:rsidRPr="00252307">
        <w:rPr>
          <w:rFonts w:ascii="Palatino Linotype" w:hAnsi="Palatino Linotype"/>
          <w:i/>
          <w:szCs w:val="22"/>
        </w:rPr>
        <w:t xml:space="preserve"> La </w:t>
      </w:r>
      <w:r w:rsidRPr="00252307">
        <w:rPr>
          <w:rFonts w:ascii="Palatino Linotype" w:hAnsi="Palatino Linotype"/>
          <w:i/>
          <w:sz w:val="22"/>
          <w:szCs w:val="22"/>
        </w:rPr>
        <w:t xml:space="preserve">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rsidR="002C3B1F" w:rsidRPr="00252307" w:rsidRDefault="002C3B1F" w:rsidP="002C3B1F">
      <w:pPr>
        <w:ind w:left="567" w:right="567"/>
        <w:jc w:val="both"/>
        <w:rPr>
          <w:rFonts w:ascii="Palatino Linotype" w:eastAsia="Palatino Linotype" w:hAnsi="Palatino Linotype" w:cs="Palatino Linotype"/>
          <w:sz w:val="22"/>
          <w:szCs w:val="22"/>
        </w:rPr>
      </w:pPr>
    </w:p>
    <w:p w:rsidR="009669CB" w:rsidRPr="00252307" w:rsidRDefault="009669CB" w:rsidP="002C3B1F">
      <w:pPr>
        <w:pStyle w:val="Prrafodelista"/>
        <w:spacing w:before="240" w:after="240"/>
        <w:ind w:left="567" w:right="567"/>
        <w:jc w:val="both"/>
        <w:rPr>
          <w:rFonts w:ascii="Palatino Linotype" w:hAnsi="Palatino Linotype"/>
          <w:i/>
          <w:szCs w:val="22"/>
        </w:rPr>
      </w:pPr>
      <w:r w:rsidRPr="00252307">
        <w:rPr>
          <w:rFonts w:ascii="Palatino Linotype" w:hAnsi="Palatino Linotype"/>
          <w:b/>
          <w:i/>
          <w:szCs w:val="22"/>
        </w:rPr>
        <w:t>ARTÍCULO 6.</w:t>
      </w:r>
      <w:r w:rsidRPr="00252307">
        <w:rPr>
          <w:rFonts w:ascii="Palatino Linotype" w:hAnsi="Palatino Linotype"/>
          <w:i/>
          <w:szCs w:val="22"/>
        </w:rPr>
        <w:t xml:space="preserve"> Los servidores públicos se clasifican en generales y de confianza, los cuales, de acuerdo con la duración de sus relaciones de trabajo pueden ser: por tiempo u obra determinados o por tiempo indeterminado. </w:t>
      </w:r>
    </w:p>
    <w:p w:rsidR="009669CB" w:rsidRPr="00252307" w:rsidRDefault="009669CB" w:rsidP="002C3B1F">
      <w:pPr>
        <w:pStyle w:val="Prrafodelista"/>
        <w:spacing w:before="240" w:after="240"/>
        <w:ind w:left="567" w:right="567"/>
        <w:jc w:val="both"/>
        <w:rPr>
          <w:rFonts w:ascii="Palatino Linotype" w:hAnsi="Palatino Linotype"/>
          <w:i/>
          <w:szCs w:val="22"/>
        </w:rPr>
      </w:pPr>
    </w:p>
    <w:p w:rsidR="009669CB" w:rsidRPr="00252307" w:rsidRDefault="009669CB" w:rsidP="002C3B1F">
      <w:pPr>
        <w:pStyle w:val="Prrafodelista"/>
        <w:spacing w:before="240" w:after="240"/>
        <w:ind w:left="567" w:right="567"/>
        <w:jc w:val="both"/>
        <w:rPr>
          <w:rFonts w:ascii="Palatino Linotype" w:hAnsi="Palatino Linotype"/>
          <w:i/>
          <w:szCs w:val="22"/>
        </w:rPr>
      </w:pPr>
      <w:r w:rsidRPr="00252307">
        <w:rPr>
          <w:rFonts w:ascii="Palatino Linotype" w:hAnsi="Palatino Linotype"/>
          <w:b/>
          <w:i/>
          <w:szCs w:val="22"/>
        </w:rPr>
        <w:t>ARTÍCULO 7.</w:t>
      </w:r>
      <w:r w:rsidRPr="00252307">
        <w:rPr>
          <w:rFonts w:ascii="Palatino Linotype" w:hAnsi="Palatino Linotype"/>
          <w:i/>
          <w:szCs w:val="22"/>
        </w:rPr>
        <w:t xml:space="preserve">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b/>
          <w:i/>
          <w:szCs w:val="22"/>
        </w:rPr>
      </w:pPr>
      <w:r w:rsidRPr="00252307">
        <w:rPr>
          <w:rFonts w:ascii="Palatino Linotype" w:hAnsi="Palatino Linotype"/>
          <w:b/>
          <w:i/>
          <w:szCs w:val="22"/>
        </w:rPr>
        <w:t xml:space="preserve">ARTÍCULO 8. Se entiende por servidores públicos de confianza: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II. Aquéllos que tengan esa calidad en razón de la naturaleza de las funciones que desempeñen y no de la designación que se dé al puesto.</w:t>
      </w:r>
    </w:p>
    <w:p w:rsidR="009669CB" w:rsidRPr="00252307" w:rsidRDefault="009669CB" w:rsidP="009669CB">
      <w:pPr>
        <w:pStyle w:val="Prrafodelista"/>
        <w:spacing w:before="240" w:after="240"/>
        <w:ind w:left="567" w:right="539"/>
        <w:jc w:val="both"/>
        <w:rPr>
          <w:rFonts w:ascii="Palatino Linotype" w:eastAsia="MS Mincho" w:hAnsi="Palatino Linotype" w:cs="Arial"/>
          <w:bCs/>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lastRenderedPageBreak/>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Sin que lo anterior implique o signifique transgredir derechos laborales, sociales o colectivos adquiridos por los trabajadores. No se consideran funciones de confianza las de dirección, supervisión e inspección que realizan los integrantes del Sistema Educativo Estatal en los planteles educativos del propio sistema.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b/>
          <w:i/>
          <w:szCs w:val="22"/>
        </w:rPr>
        <w:t>ARTÍCULO 11.</w:t>
      </w:r>
      <w:r w:rsidRPr="00252307">
        <w:rPr>
          <w:rFonts w:ascii="Palatino Linotype" w:hAnsi="Palatino Linotype"/>
          <w:i/>
          <w:szCs w:val="22"/>
        </w:rPr>
        <w:t xml:space="preserve"> Los servidores públicos generales podrán ocupar puestos de confianza. Para este efecto, en caso de ser sindicalizados </w:t>
      </w:r>
      <w:proofErr w:type="gramStart"/>
      <w:r w:rsidRPr="00252307">
        <w:rPr>
          <w:rFonts w:ascii="Palatino Linotype" w:hAnsi="Palatino Linotype"/>
          <w:i/>
          <w:szCs w:val="22"/>
        </w:rPr>
        <w:t>podrán</w:t>
      </w:r>
      <w:proofErr w:type="gramEnd"/>
      <w:r w:rsidRPr="00252307">
        <w:rPr>
          <w:rFonts w:ascii="Palatino Linotype" w:hAnsi="Palatino Linotype"/>
          <w:i/>
          <w:szCs w:val="22"/>
        </w:rPr>
        <w:t xml:space="preserve"> renunciar a esa condición, o bien obtener licencia del sindicato correspondiente antes de ocupar dicho puesto.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Para este efecto, en caso de ser sindicalizados </w:t>
      </w:r>
      <w:proofErr w:type="gramStart"/>
      <w:r w:rsidRPr="00252307">
        <w:rPr>
          <w:rFonts w:ascii="Palatino Linotype" w:hAnsi="Palatino Linotype"/>
          <w:i/>
          <w:szCs w:val="22"/>
        </w:rPr>
        <w:t>deberán</w:t>
      </w:r>
      <w:proofErr w:type="gramEnd"/>
      <w:r w:rsidRPr="00252307">
        <w:rPr>
          <w:rFonts w:ascii="Palatino Linotype" w:hAnsi="Palatino Linotype"/>
          <w:i/>
          <w:szCs w:val="22"/>
        </w:rPr>
        <w:t xml:space="preserve"> renunciar a esa condición, o bien obtener licencia del sindicato correspondiente con antelación para ocupar dicho puesto</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b/>
          <w:i/>
          <w:szCs w:val="22"/>
        </w:rPr>
        <w:t xml:space="preserve">ARTÍCULO 12. Son servidores públicos por tiempo indeterminado quienes sean nombrados </w:t>
      </w:r>
      <w:r w:rsidRPr="00252307">
        <w:rPr>
          <w:rFonts w:ascii="Palatino Linotype" w:hAnsi="Palatino Linotype"/>
          <w:i/>
          <w:szCs w:val="22"/>
        </w:rPr>
        <w:t xml:space="preserve">con tal carácter en plazas presupuestales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b/>
          <w:i/>
          <w:szCs w:val="22"/>
        </w:rPr>
        <w:t>ARTÍCULO 13.</w:t>
      </w:r>
      <w:r w:rsidRPr="00252307">
        <w:rPr>
          <w:rFonts w:ascii="Palatino Linotype" w:hAnsi="Palatino Linotype"/>
          <w:i/>
          <w:szCs w:val="22"/>
        </w:rPr>
        <w:t xml:space="preserve"> Son servidores públicos sujetos a una relación laboral por tiempo u obra determinados, aquéllos que presten sus servicios bajo esas condiciones, en razón de que la naturaleza del servicio así lo exija.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b/>
          <w:i/>
          <w:szCs w:val="22"/>
        </w:rPr>
        <w:t>ARTÍCULO 14.</w:t>
      </w:r>
      <w:r w:rsidRPr="00252307">
        <w:rPr>
          <w:rFonts w:ascii="Palatino Linotype" w:hAnsi="Palatino Linotype"/>
          <w:i/>
          <w:szCs w:val="22"/>
        </w:rPr>
        <w:t xml:space="preserve"> Sólo se podrá contratar la prestación de servicios por tiempo determinado en los siguientes casos: </w:t>
      </w:r>
    </w:p>
    <w:p w:rsidR="009669CB" w:rsidRPr="00252307" w:rsidRDefault="009669CB" w:rsidP="009669CB">
      <w:pPr>
        <w:pStyle w:val="Prrafodelista"/>
        <w:spacing w:before="240" w:after="240"/>
        <w:ind w:left="567" w:right="539"/>
        <w:jc w:val="both"/>
        <w:rPr>
          <w:rFonts w:ascii="Palatino Linotype" w:hAnsi="Palatino Linotype"/>
          <w:i/>
          <w:szCs w:val="22"/>
        </w:rPr>
      </w:pP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I. Cuando tenga por objeto sustituir interinamente a un servidor público; </w:t>
      </w: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II. Cuando sea necesario realizar labores que se presentan en forma esporádica; </w:t>
      </w:r>
    </w:p>
    <w:p w:rsidR="009669CB" w:rsidRPr="00252307" w:rsidRDefault="009669CB" w:rsidP="009669CB">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III. Cuando aumenten las cargas de trabajo o haya rezago y se establezca un programa especial para desahogarlo, o para apoyar programas de inversión. </w:t>
      </w:r>
    </w:p>
    <w:p w:rsidR="009669CB" w:rsidRPr="00252307" w:rsidRDefault="009669CB" w:rsidP="009669CB">
      <w:pPr>
        <w:pStyle w:val="Prrafodelista"/>
        <w:tabs>
          <w:tab w:val="left" w:pos="426"/>
          <w:tab w:val="left" w:pos="567"/>
        </w:tabs>
        <w:ind w:left="567" w:right="539"/>
        <w:jc w:val="both"/>
        <w:rPr>
          <w:rFonts w:ascii="Palatino Linotype" w:eastAsia="MS Mincho" w:hAnsi="Palatino Linotype" w:cs="Arial"/>
          <w:bCs/>
          <w:szCs w:val="22"/>
        </w:rPr>
      </w:pPr>
      <w:r w:rsidRPr="00252307">
        <w:rPr>
          <w:rFonts w:ascii="Palatino Linotype" w:hAnsi="Palatino Linotype"/>
          <w:i/>
          <w:szCs w:val="22"/>
        </w:rPr>
        <w:t xml:space="preserve">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w:t>
      </w:r>
      <w:r w:rsidRPr="00252307">
        <w:rPr>
          <w:rFonts w:ascii="Palatino Linotype" w:hAnsi="Palatino Linotype"/>
          <w:i/>
          <w:szCs w:val="22"/>
        </w:rPr>
        <w:lastRenderedPageBreak/>
        <w:t>terminación o conclusión de la administración en la que fue contratado el servidor público a que se refiere el artículo 8 de esta ley.”</w:t>
      </w:r>
    </w:p>
    <w:p w:rsidR="009669CB" w:rsidRPr="00252307" w:rsidRDefault="009669CB" w:rsidP="00305C25">
      <w:pPr>
        <w:ind w:right="1"/>
        <w:jc w:val="both"/>
        <w:rPr>
          <w:rFonts w:ascii="Palatino Linotype" w:eastAsia="Palatino Linotype" w:hAnsi="Palatino Linotype" w:cs="Palatino Linotype"/>
          <w:sz w:val="22"/>
          <w:szCs w:val="22"/>
        </w:rPr>
      </w:pPr>
    </w:p>
    <w:p w:rsidR="009669CB" w:rsidRPr="00252307" w:rsidRDefault="009669CB" w:rsidP="009669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MS Mincho" w:hAnsi="Palatino Linotype" w:cs="Arial"/>
          <w:bCs/>
          <w:sz w:val="22"/>
          <w:szCs w:val="22"/>
        </w:rPr>
        <w:t xml:space="preserve">De lo anterior, </w:t>
      </w:r>
      <w:r w:rsidRPr="00252307">
        <w:rPr>
          <w:rFonts w:ascii="Palatino Linotype" w:hAnsi="Palatino Linotype"/>
          <w:sz w:val="22"/>
          <w:szCs w:val="22"/>
        </w:rPr>
        <w:t>se tiene la clasificación de los servidores públicos del Estado de México, los cuales son generales o de confianza, contratados por tiempo indeterminado o por tiempo determinado, según corresponda a las necesidades de la plaza a ocupar, en todo caso, están sujetos a lo dispuesto en el artículo 5 de la citada Ley, el cual dispone que deberán contar con un contrato, nombramiento o formato único de movimiento de personal, de conformidad con el artículo 48, 49 y 50, los cuales disponen lo siguiente:</w:t>
      </w:r>
    </w:p>
    <w:p w:rsidR="009669CB" w:rsidRPr="00252307" w:rsidRDefault="009669CB" w:rsidP="00305C25">
      <w:pPr>
        <w:ind w:right="1"/>
        <w:jc w:val="both"/>
        <w:rPr>
          <w:rFonts w:ascii="Palatino Linotype" w:eastAsia="Palatino Linotype" w:hAnsi="Palatino Linotype" w:cs="Palatino Linotype"/>
          <w:sz w:val="22"/>
          <w:szCs w:val="22"/>
        </w:rPr>
      </w:pPr>
    </w:p>
    <w:p w:rsidR="009669CB" w:rsidRPr="00252307" w:rsidRDefault="009669CB" w:rsidP="000C0976">
      <w:pPr>
        <w:spacing w:before="240" w:after="240"/>
        <w:ind w:left="567" w:right="539"/>
        <w:jc w:val="both"/>
        <w:rPr>
          <w:rFonts w:ascii="Palatino Linotype" w:hAnsi="Palatino Linotype"/>
          <w:i/>
          <w:sz w:val="22"/>
          <w:szCs w:val="22"/>
        </w:rPr>
      </w:pPr>
      <w:r w:rsidRPr="00252307">
        <w:rPr>
          <w:rFonts w:ascii="Palatino Linotype" w:hAnsi="Palatino Linotype"/>
          <w:b/>
          <w:i/>
          <w:sz w:val="22"/>
          <w:szCs w:val="22"/>
        </w:rPr>
        <w:t>“ARTÍCULO 48.</w:t>
      </w:r>
      <w:r w:rsidRPr="00252307">
        <w:rPr>
          <w:rFonts w:ascii="Palatino Linotype" w:hAnsi="Palatino Linotype"/>
          <w:i/>
          <w:sz w:val="22"/>
          <w:szCs w:val="22"/>
        </w:rPr>
        <w:t xml:space="preserve"> Para iniciar la prestación de los servicios se requiere: </w:t>
      </w:r>
    </w:p>
    <w:p w:rsidR="009669CB" w:rsidRPr="00252307" w:rsidRDefault="009669CB" w:rsidP="000C0976">
      <w:pPr>
        <w:spacing w:before="240" w:after="240"/>
        <w:ind w:left="567" w:right="539"/>
        <w:jc w:val="both"/>
        <w:rPr>
          <w:rFonts w:ascii="Palatino Linotype" w:hAnsi="Palatino Linotype"/>
          <w:b/>
          <w:i/>
          <w:sz w:val="22"/>
          <w:szCs w:val="22"/>
        </w:rPr>
      </w:pPr>
      <w:r w:rsidRPr="00252307">
        <w:rPr>
          <w:rFonts w:ascii="Palatino Linotype" w:hAnsi="Palatino Linotype"/>
          <w:i/>
          <w:sz w:val="22"/>
          <w:szCs w:val="22"/>
        </w:rPr>
        <w:t xml:space="preserve">I. Tener conferido el nombramiento, </w:t>
      </w:r>
      <w:r w:rsidRPr="00252307">
        <w:rPr>
          <w:rFonts w:ascii="Palatino Linotype" w:hAnsi="Palatino Linotype"/>
          <w:b/>
          <w:i/>
          <w:sz w:val="22"/>
          <w:szCs w:val="22"/>
        </w:rPr>
        <w:t xml:space="preserve">contrato respectivo o formato único de Movimientos de Personal; </w:t>
      </w:r>
    </w:p>
    <w:p w:rsidR="009669CB" w:rsidRPr="00252307" w:rsidRDefault="009669CB" w:rsidP="000C0976">
      <w:pPr>
        <w:spacing w:before="240" w:after="240"/>
        <w:ind w:left="567" w:right="539"/>
        <w:jc w:val="both"/>
        <w:rPr>
          <w:rFonts w:ascii="Palatino Linotype" w:hAnsi="Palatino Linotype"/>
          <w:i/>
          <w:sz w:val="22"/>
          <w:szCs w:val="22"/>
        </w:rPr>
      </w:pPr>
      <w:r w:rsidRPr="00252307">
        <w:rPr>
          <w:rFonts w:ascii="Palatino Linotype" w:hAnsi="Palatino Linotype"/>
          <w:i/>
          <w:sz w:val="22"/>
          <w:szCs w:val="22"/>
        </w:rPr>
        <w:t xml:space="preserve">II. Rendir la protesta de ley en caso de nombramiento; y </w:t>
      </w:r>
    </w:p>
    <w:p w:rsidR="009669CB" w:rsidRPr="00252307" w:rsidRDefault="009669CB" w:rsidP="000C0976">
      <w:pPr>
        <w:spacing w:before="240" w:after="240"/>
        <w:ind w:left="567" w:right="539"/>
        <w:jc w:val="both"/>
        <w:rPr>
          <w:rFonts w:ascii="Palatino Linotype" w:hAnsi="Palatino Linotype"/>
          <w:i/>
          <w:sz w:val="22"/>
          <w:szCs w:val="22"/>
        </w:rPr>
      </w:pPr>
      <w:r w:rsidRPr="00252307">
        <w:rPr>
          <w:rFonts w:ascii="Palatino Linotype" w:hAnsi="Palatino Linotype"/>
          <w:i/>
          <w:sz w:val="22"/>
          <w:szCs w:val="22"/>
        </w:rPr>
        <w:t xml:space="preserve">III. Tomar posesión del cargo. </w:t>
      </w:r>
    </w:p>
    <w:p w:rsidR="009669CB" w:rsidRPr="00252307" w:rsidRDefault="009669CB" w:rsidP="000C0976">
      <w:pPr>
        <w:spacing w:before="240" w:after="240"/>
        <w:ind w:left="567" w:right="539"/>
        <w:jc w:val="both"/>
        <w:rPr>
          <w:rFonts w:ascii="Palatino Linotype" w:hAnsi="Palatino Linotype"/>
          <w:b/>
          <w:i/>
          <w:sz w:val="22"/>
          <w:szCs w:val="22"/>
        </w:rPr>
      </w:pPr>
      <w:r w:rsidRPr="00252307">
        <w:rPr>
          <w:rFonts w:ascii="Palatino Linotype" w:hAnsi="Palatino Linotype"/>
          <w:b/>
          <w:i/>
          <w:sz w:val="22"/>
          <w:szCs w:val="22"/>
        </w:rPr>
        <w:t>ARTÍCULO 49.-</w:t>
      </w:r>
      <w:r w:rsidRPr="00252307">
        <w:rPr>
          <w:rFonts w:ascii="Palatino Linotype" w:hAnsi="Palatino Linotype"/>
          <w:i/>
          <w:sz w:val="22"/>
          <w:szCs w:val="22"/>
        </w:rPr>
        <w:t xml:space="preserve"> Los nombramientos, </w:t>
      </w:r>
      <w:r w:rsidRPr="00252307">
        <w:rPr>
          <w:rFonts w:ascii="Palatino Linotype" w:hAnsi="Palatino Linotype"/>
          <w:b/>
          <w:i/>
          <w:sz w:val="22"/>
          <w:szCs w:val="22"/>
        </w:rPr>
        <w:t>contratos o formato único de Movimientos de Personal de los servidores públicos deberán contener:</w:t>
      </w:r>
    </w:p>
    <w:p w:rsidR="009669CB" w:rsidRPr="00252307" w:rsidRDefault="009669CB" w:rsidP="000C0976">
      <w:pPr>
        <w:spacing w:before="240" w:after="240"/>
        <w:ind w:left="567" w:right="539"/>
        <w:jc w:val="both"/>
        <w:rPr>
          <w:rFonts w:ascii="Palatino Linotype" w:hAnsi="Palatino Linotype"/>
          <w:i/>
          <w:sz w:val="22"/>
          <w:szCs w:val="22"/>
        </w:rPr>
      </w:pPr>
      <w:r w:rsidRPr="00252307">
        <w:rPr>
          <w:rFonts w:ascii="Palatino Linotype" w:hAnsi="Palatino Linotype"/>
          <w:i/>
          <w:sz w:val="22"/>
          <w:szCs w:val="22"/>
        </w:rPr>
        <w:t xml:space="preserve"> I. Nombre completo del servidor público; </w:t>
      </w:r>
    </w:p>
    <w:p w:rsidR="009669CB" w:rsidRPr="00252307" w:rsidRDefault="009669CB" w:rsidP="000C0976">
      <w:pPr>
        <w:spacing w:before="240" w:after="240"/>
        <w:ind w:left="567" w:right="539"/>
        <w:jc w:val="both"/>
        <w:rPr>
          <w:rFonts w:ascii="Palatino Linotype" w:hAnsi="Palatino Linotype"/>
          <w:i/>
          <w:sz w:val="22"/>
          <w:szCs w:val="22"/>
        </w:rPr>
      </w:pPr>
      <w:r w:rsidRPr="00252307">
        <w:rPr>
          <w:rFonts w:ascii="Palatino Linotype" w:hAnsi="Palatino Linotype"/>
          <w:i/>
          <w:sz w:val="22"/>
          <w:szCs w:val="22"/>
        </w:rPr>
        <w:t xml:space="preserve">II. Cargo para el que es designado, fecha de inicio de sus servicios y lugar de adscripción; </w:t>
      </w:r>
    </w:p>
    <w:p w:rsidR="009669CB" w:rsidRPr="00252307" w:rsidRDefault="009669CB" w:rsidP="000C0976">
      <w:pPr>
        <w:spacing w:before="240" w:after="240"/>
        <w:ind w:left="567" w:right="539"/>
        <w:jc w:val="both"/>
        <w:rPr>
          <w:rFonts w:ascii="Palatino Linotype" w:eastAsia="MS Mincho" w:hAnsi="Palatino Linotype" w:cs="Arial"/>
          <w:b/>
          <w:bCs/>
          <w:i/>
          <w:sz w:val="22"/>
          <w:szCs w:val="22"/>
          <w:lang w:val="es-ES_tradnl" w:eastAsia="es-ES"/>
        </w:rPr>
      </w:pPr>
      <w:r w:rsidRPr="00252307">
        <w:rPr>
          <w:rFonts w:ascii="Palatino Linotype" w:hAnsi="Palatino Linotype"/>
          <w:i/>
          <w:sz w:val="22"/>
          <w:szCs w:val="22"/>
        </w:rPr>
        <w:t>III. Carácter del nombramiento, ya sea de servidores públicos generales o de confianza, así como la temporalidad del mismo;</w:t>
      </w:r>
    </w:p>
    <w:p w:rsidR="009669CB" w:rsidRPr="00252307" w:rsidRDefault="009669CB" w:rsidP="000C0976">
      <w:pPr>
        <w:spacing w:before="240" w:after="240"/>
        <w:ind w:left="567" w:right="539"/>
        <w:jc w:val="both"/>
        <w:rPr>
          <w:rFonts w:ascii="Palatino Linotype" w:eastAsia="MS Mincho" w:hAnsi="Palatino Linotype" w:cs="Arial"/>
          <w:b/>
          <w:bCs/>
          <w:i/>
          <w:sz w:val="22"/>
          <w:szCs w:val="22"/>
          <w:lang w:val="es-ES_tradnl" w:eastAsia="es-ES"/>
        </w:rPr>
      </w:pPr>
      <w:r w:rsidRPr="00252307">
        <w:rPr>
          <w:rFonts w:ascii="Palatino Linotype" w:hAnsi="Palatino Linotype"/>
          <w:i/>
          <w:sz w:val="22"/>
          <w:szCs w:val="22"/>
        </w:rPr>
        <w:t xml:space="preserve">IV. Remuneración correspondiente al puesto; </w:t>
      </w:r>
    </w:p>
    <w:p w:rsidR="009669CB" w:rsidRPr="00252307" w:rsidRDefault="009669CB" w:rsidP="000C0976">
      <w:pPr>
        <w:spacing w:before="240" w:after="240"/>
        <w:ind w:left="567" w:right="539"/>
        <w:jc w:val="both"/>
        <w:rPr>
          <w:rFonts w:ascii="Palatino Linotype" w:eastAsia="MS Mincho" w:hAnsi="Palatino Linotype" w:cs="Arial"/>
          <w:b/>
          <w:bCs/>
          <w:i/>
          <w:sz w:val="22"/>
          <w:szCs w:val="22"/>
          <w:lang w:val="es-ES_tradnl" w:eastAsia="es-ES"/>
        </w:rPr>
      </w:pPr>
      <w:r w:rsidRPr="00252307">
        <w:rPr>
          <w:rFonts w:ascii="Palatino Linotype" w:hAnsi="Palatino Linotype"/>
          <w:i/>
          <w:sz w:val="22"/>
          <w:szCs w:val="22"/>
        </w:rPr>
        <w:t xml:space="preserve">V. Jornada de trabajo; </w:t>
      </w:r>
    </w:p>
    <w:p w:rsidR="009669CB" w:rsidRPr="00252307" w:rsidRDefault="009669CB" w:rsidP="000C0976">
      <w:pPr>
        <w:spacing w:before="240" w:after="240"/>
        <w:ind w:left="567" w:right="539"/>
        <w:jc w:val="both"/>
        <w:rPr>
          <w:rFonts w:ascii="Palatino Linotype" w:eastAsia="MS Mincho" w:hAnsi="Palatino Linotype" w:cs="Arial"/>
          <w:b/>
          <w:bCs/>
          <w:i/>
          <w:sz w:val="22"/>
          <w:szCs w:val="22"/>
          <w:lang w:val="es-ES_tradnl" w:eastAsia="es-ES"/>
        </w:rPr>
      </w:pPr>
      <w:r w:rsidRPr="00252307">
        <w:rPr>
          <w:rFonts w:ascii="Palatino Linotype" w:hAnsi="Palatino Linotype"/>
          <w:i/>
          <w:sz w:val="22"/>
          <w:szCs w:val="22"/>
        </w:rPr>
        <w:t xml:space="preserve">VI. Derogada; </w:t>
      </w:r>
    </w:p>
    <w:p w:rsidR="009669CB" w:rsidRPr="00252307" w:rsidRDefault="009669CB" w:rsidP="000C0976">
      <w:pPr>
        <w:pStyle w:val="Prrafodelista"/>
        <w:spacing w:before="240" w:after="240"/>
        <w:ind w:left="567" w:right="539"/>
        <w:jc w:val="both"/>
        <w:rPr>
          <w:rFonts w:ascii="Palatino Linotype" w:hAnsi="Palatino Linotype"/>
          <w:i/>
          <w:szCs w:val="22"/>
        </w:rPr>
      </w:pPr>
      <w:r w:rsidRPr="00252307">
        <w:rPr>
          <w:rFonts w:ascii="Palatino Linotype" w:hAnsi="Palatino Linotype"/>
          <w:i/>
          <w:szCs w:val="22"/>
        </w:rPr>
        <w:t xml:space="preserve">VII. Firma del servidor público autorizado para emitir el nombramiento, contrato o formato único de Movimientos de Personal, así como el fundamento legal de esa atribución. </w:t>
      </w:r>
    </w:p>
    <w:p w:rsidR="009669CB" w:rsidRPr="00252307" w:rsidRDefault="009669CB" w:rsidP="000C0976">
      <w:pPr>
        <w:pStyle w:val="Prrafodelista"/>
        <w:spacing w:before="240" w:after="240"/>
        <w:ind w:left="567" w:right="539"/>
        <w:jc w:val="both"/>
        <w:rPr>
          <w:rFonts w:ascii="Palatino Linotype" w:hAnsi="Palatino Linotype"/>
          <w:i/>
          <w:szCs w:val="22"/>
        </w:rPr>
      </w:pPr>
    </w:p>
    <w:p w:rsidR="009669CB" w:rsidRPr="00252307" w:rsidRDefault="009669CB" w:rsidP="000C0976">
      <w:pPr>
        <w:pStyle w:val="Prrafodelista"/>
        <w:tabs>
          <w:tab w:val="left" w:pos="426"/>
          <w:tab w:val="left" w:pos="567"/>
        </w:tabs>
        <w:ind w:left="567" w:right="539"/>
        <w:jc w:val="both"/>
        <w:rPr>
          <w:rFonts w:ascii="Palatino Linotype" w:eastAsia="Calibri" w:hAnsi="Palatino Linotype" w:cs="Arial"/>
          <w:color w:val="000000" w:themeColor="text1"/>
          <w:szCs w:val="22"/>
          <w:lang w:val="es-ES"/>
        </w:rPr>
      </w:pPr>
      <w:r w:rsidRPr="00252307">
        <w:rPr>
          <w:rFonts w:ascii="Palatino Linotype" w:hAnsi="Palatino Linotype"/>
          <w:b/>
          <w:i/>
          <w:szCs w:val="22"/>
        </w:rPr>
        <w:t>ARTÍCULO 50.-</w:t>
      </w:r>
      <w:r w:rsidRPr="00252307">
        <w:rPr>
          <w:rFonts w:ascii="Palatino Linotype" w:hAnsi="Palatino Linotype"/>
          <w:i/>
          <w:szCs w:val="22"/>
        </w:rPr>
        <w:t xml:space="preserve"> </w:t>
      </w:r>
      <w:r w:rsidRPr="00252307">
        <w:rPr>
          <w:rFonts w:ascii="Palatino Linotype" w:hAnsi="Palatino Linotype"/>
          <w:b/>
          <w:i/>
          <w:szCs w:val="22"/>
        </w:rPr>
        <w:t>El nombramiento, contrato o formato único de Movimientos de Personal</w:t>
      </w:r>
      <w:r w:rsidRPr="00252307">
        <w:rPr>
          <w:rFonts w:ascii="Palatino Linotype" w:hAnsi="Palatino Linotype"/>
          <w:i/>
          <w:szCs w:val="22"/>
        </w:rPr>
        <w:t xml:space="preserve"> aceptado obliga al servidor público a cumplir con los deberes inherentes al puesto especificado en el mismo y a las consecuencias que sean conforme a la ley, al uso y a la buena fe.”</w:t>
      </w:r>
    </w:p>
    <w:p w:rsidR="009669CB" w:rsidRPr="00252307" w:rsidRDefault="009669CB" w:rsidP="000C0976">
      <w:pPr>
        <w:ind w:right="1"/>
        <w:jc w:val="both"/>
        <w:rPr>
          <w:rFonts w:ascii="Palatino Linotype" w:eastAsia="Palatino Linotype" w:hAnsi="Palatino Linotype" w:cs="Palatino Linotype"/>
          <w:sz w:val="22"/>
          <w:szCs w:val="22"/>
        </w:rPr>
      </w:pPr>
    </w:p>
    <w:p w:rsidR="009669CB" w:rsidRPr="00252307" w:rsidRDefault="009669CB" w:rsidP="009669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MS Mincho" w:hAnsi="Palatino Linotype" w:cs="Arial"/>
          <w:bCs/>
          <w:sz w:val="22"/>
          <w:szCs w:val="22"/>
        </w:rPr>
        <w:t xml:space="preserve">En este sentido, se advierte que </w:t>
      </w:r>
      <w:r w:rsidRPr="00252307">
        <w:rPr>
          <w:rFonts w:ascii="Palatino Linotype" w:hAnsi="Palatino Linotype"/>
          <w:b/>
          <w:sz w:val="22"/>
          <w:szCs w:val="22"/>
        </w:rPr>
        <w:t xml:space="preserve">el nombramiento, contrato o formato único de movimiento de personal son los documentos que tienen como finalidad establecer la relación laboral entre el servidor público y la institución pública y, en donde de manera enunciativa más no limitativa, debe obrar la </w:t>
      </w:r>
      <w:r w:rsidRPr="00252307">
        <w:rPr>
          <w:rFonts w:ascii="Palatino Linotype" w:hAnsi="Palatino Linotype"/>
          <w:b/>
          <w:sz w:val="22"/>
          <w:szCs w:val="22"/>
          <w:u w:val="single"/>
        </w:rPr>
        <w:t>fecha de alta</w:t>
      </w:r>
      <w:r w:rsidRPr="00252307">
        <w:rPr>
          <w:rFonts w:ascii="Palatino Linotype" w:hAnsi="Palatino Linotype"/>
          <w:b/>
          <w:sz w:val="22"/>
          <w:szCs w:val="22"/>
        </w:rPr>
        <w:t xml:space="preserve"> de los servidores públicos</w:t>
      </w:r>
      <w:r w:rsidRPr="00252307">
        <w:rPr>
          <w:rFonts w:ascii="Palatino Linotype" w:hAnsi="Palatino Linotype"/>
          <w:sz w:val="22"/>
          <w:szCs w:val="22"/>
        </w:rPr>
        <w:t>.</w:t>
      </w:r>
    </w:p>
    <w:p w:rsidR="009669CB" w:rsidRPr="00252307" w:rsidRDefault="009669CB" w:rsidP="000C0976">
      <w:pPr>
        <w:ind w:right="1"/>
        <w:jc w:val="both"/>
        <w:rPr>
          <w:rFonts w:ascii="Palatino Linotype" w:eastAsia="Palatino Linotype" w:hAnsi="Palatino Linotype" w:cs="Palatino Linotype"/>
          <w:sz w:val="22"/>
          <w:szCs w:val="22"/>
        </w:rPr>
      </w:pPr>
    </w:p>
    <w:p w:rsidR="009669CB" w:rsidRPr="00252307" w:rsidRDefault="009669CB" w:rsidP="009669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MS Mincho" w:hAnsi="Palatino Linotype" w:cs="Arial"/>
          <w:bCs/>
          <w:sz w:val="22"/>
          <w:szCs w:val="22"/>
        </w:rPr>
        <w:t xml:space="preserve">Así, de acuerdo </w:t>
      </w:r>
      <w:r w:rsidRPr="00252307">
        <w:rPr>
          <w:rFonts w:ascii="Palatino Linotype" w:hAnsi="Palatino Linotype"/>
          <w:sz w:val="22"/>
          <w:szCs w:val="22"/>
        </w:rPr>
        <w:t>a la Ley del Trabajo de los Servidores Públicos, para laborar en una institución pública, es necesario contar ya sea</w:t>
      </w:r>
      <w:r w:rsidRPr="00252307">
        <w:rPr>
          <w:rFonts w:ascii="Palatino Linotype" w:hAnsi="Palatino Linotype"/>
          <w:b/>
          <w:sz w:val="22"/>
          <w:szCs w:val="22"/>
        </w:rPr>
        <w:t xml:space="preserve"> con contrato, formato único movimientos de personal o nombramiento</w:t>
      </w:r>
      <w:r w:rsidRPr="00252307">
        <w:rPr>
          <w:rFonts w:ascii="Palatino Linotype" w:hAnsi="Palatino Linotype"/>
          <w:sz w:val="22"/>
          <w:szCs w:val="22"/>
        </w:rPr>
        <w:t>.</w:t>
      </w:r>
    </w:p>
    <w:p w:rsidR="009669CB" w:rsidRPr="00252307" w:rsidRDefault="009669CB" w:rsidP="00305C25">
      <w:pPr>
        <w:rPr>
          <w:rFonts w:ascii="Palatino Linotype" w:hAnsi="Palatino Linotype"/>
          <w:sz w:val="22"/>
          <w:szCs w:val="22"/>
        </w:rPr>
      </w:pPr>
    </w:p>
    <w:p w:rsidR="003D39FD" w:rsidRPr="00252307" w:rsidRDefault="009669CB" w:rsidP="002B0131">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sz w:val="22"/>
          <w:szCs w:val="22"/>
        </w:rPr>
        <w:t xml:space="preserve">En este sentido, el </w:t>
      </w:r>
      <w:r w:rsidRPr="00252307">
        <w:rPr>
          <w:rFonts w:ascii="Palatino Linotype" w:hAnsi="Palatino Linotype"/>
          <w:b/>
          <w:sz w:val="22"/>
          <w:szCs w:val="22"/>
        </w:rPr>
        <w:t xml:space="preserve">SUJETO OBLIGADO </w:t>
      </w:r>
      <w:r w:rsidRPr="00252307">
        <w:rPr>
          <w:rFonts w:ascii="Palatino Linotype" w:hAnsi="Palatino Linotype"/>
          <w:sz w:val="22"/>
          <w:szCs w:val="22"/>
        </w:rPr>
        <w:t xml:space="preserve">deberá hacer entrega, de ser procedente en versión pública, del </w:t>
      </w:r>
      <w:r w:rsidRPr="00252307">
        <w:rPr>
          <w:rFonts w:ascii="Palatino Linotype" w:hAnsi="Palatino Linotype"/>
          <w:b/>
          <w:sz w:val="22"/>
          <w:szCs w:val="22"/>
        </w:rPr>
        <w:t>formato único movimientos de personal, contrato o nombramiento</w:t>
      </w:r>
      <w:r w:rsidRPr="00252307">
        <w:rPr>
          <w:rFonts w:ascii="Palatino Linotype" w:hAnsi="Palatino Linotype"/>
          <w:sz w:val="22"/>
          <w:szCs w:val="22"/>
        </w:rPr>
        <w:t xml:space="preserve"> </w:t>
      </w:r>
      <w:r w:rsidRPr="00252307">
        <w:rPr>
          <w:rFonts w:ascii="Palatino Linotype" w:hAnsi="Palatino Linotype"/>
          <w:b/>
          <w:sz w:val="22"/>
          <w:szCs w:val="22"/>
        </w:rPr>
        <w:t>y la fecha de alta del</w:t>
      </w:r>
      <w:r w:rsidRPr="00252307">
        <w:rPr>
          <w:rFonts w:ascii="Palatino Linotype" w:eastAsia="Palatino Linotype" w:hAnsi="Palatino Linotype" w:cs="Palatino Linotype"/>
          <w:b/>
          <w:sz w:val="22"/>
          <w:szCs w:val="22"/>
        </w:rPr>
        <w:t xml:space="preserve"> </w:t>
      </w:r>
      <w:r w:rsidRPr="00252307">
        <w:rPr>
          <w:rFonts w:ascii="Palatino Linotype" w:hAnsi="Palatino Linotype"/>
          <w:b/>
          <w:color w:val="000000"/>
          <w:sz w:val="22"/>
          <w:szCs w:val="22"/>
        </w:rPr>
        <w:t>personal adscrito a la Coordinación de la Coordinación de Estudios y Proyectos Estratégicos, al 27 de mayo de 2024.</w:t>
      </w:r>
    </w:p>
    <w:p w:rsidR="000C0976" w:rsidRPr="00252307" w:rsidRDefault="000C0976" w:rsidP="000C0976">
      <w:pPr>
        <w:ind w:right="1"/>
        <w:jc w:val="both"/>
        <w:rPr>
          <w:rFonts w:ascii="Palatino Linotype" w:eastAsia="Palatino Linotype" w:hAnsi="Palatino Linotype" w:cs="Palatino Linotype"/>
          <w:sz w:val="22"/>
          <w:szCs w:val="22"/>
        </w:rPr>
      </w:pPr>
    </w:p>
    <w:p w:rsidR="002B0131" w:rsidRPr="00252307" w:rsidRDefault="002B0131" w:rsidP="002B0131">
      <w:pPr>
        <w:pStyle w:val="Prrafodelista"/>
        <w:numPr>
          <w:ilvl w:val="0"/>
          <w:numId w:val="20"/>
        </w:numPr>
        <w:spacing w:line="360" w:lineRule="auto"/>
        <w:ind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Del sueldo de los Servidores Públicos</w:t>
      </w:r>
    </w:p>
    <w:p w:rsidR="002B0131" w:rsidRPr="00252307" w:rsidRDefault="002B0131" w:rsidP="000C0976">
      <w:pPr>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Ahora bien, relativo al sueldo de los Servidores Públicos, resulta conveniente referir que el </w:t>
      </w:r>
      <w:r w:rsidRPr="00252307">
        <w:rPr>
          <w:rFonts w:ascii="Palatino Linotype" w:eastAsia="Palatino Linotype" w:hAnsi="Palatino Linotype" w:cs="Palatino Linotype"/>
          <w:color w:val="000000"/>
          <w:sz w:val="22"/>
          <w:szCs w:val="22"/>
        </w:rPr>
        <w:t>artículo 147 de la Constitución Política del Estado Libre y Soberano de México, refiere que los trabajadores al servicio del Estado, como los miembros de los Ayuntamientos, recibirán una remuneración adecuada e irrenunciable por el desempeño de su empleo, cargo o comisión, que será determinada en el presupuesto de egresos que corresponda.</w:t>
      </w:r>
    </w:p>
    <w:p w:rsidR="00327CB5" w:rsidRPr="00252307" w:rsidRDefault="00327CB5" w:rsidP="00327CB5">
      <w:pPr>
        <w:spacing w:line="360" w:lineRule="auto"/>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lastRenderedPageBreak/>
        <w:t xml:space="preserve">En este </w:t>
      </w:r>
      <w:r w:rsidRPr="00252307">
        <w:rPr>
          <w:rFonts w:ascii="Palatino Linotype" w:eastAsia="Palatino Linotype" w:hAnsi="Palatino Linotype" w:cs="Palatino Linotype"/>
          <w:color w:val="000000"/>
          <w:sz w:val="22"/>
          <w:szCs w:val="22"/>
        </w:rPr>
        <w:t>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327CB5" w:rsidRPr="00252307" w:rsidRDefault="00327CB5" w:rsidP="00327CB5">
      <w:pPr>
        <w:spacing w:line="360" w:lineRule="auto"/>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De </w:t>
      </w:r>
      <w:r w:rsidRPr="00252307">
        <w:rPr>
          <w:rFonts w:ascii="Palatino Linotype" w:eastAsia="Palatino Linotype" w:hAnsi="Palatino Linotype" w:cs="Palatino Linotype"/>
          <w:color w:val="000000"/>
          <w:sz w:val="22"/>
          <w:szCs w:val="22"/>
        </w:rPr>
        <w:t>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327CB5" w:rsidRPr="00252307" w:rsidRDefault="00327CB5" w:rsidP="00827BFE">
      <w:pPr>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En </w:t>
      </w:r>
      <w:r w:rsidRPr="00252307">
        <w:rPr>
          <w:rFonts w:ascii="Palatino Linotype" w:eastAsia="Palatino Linotype" w:hAnsi="Palatino Linotype" w:cs="Palatino Linotype"/>
          <w:color w:val="000000"/>
          <w:sz w:val="22"/>
          <w:szCs w:val="22"/>
        </w:rPr>
        <w:t>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327CB5" w:rsidRPr="00252307" w:rsidRDefault="00327CB5" w:rsidP="00681958">
      <w:pPr>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Además </w:t>
      </w:r>
      <w:r w:rsidRPr="00252307">
        <w:rPr>
          <w:rFonts w:ascii="Palatino Linotype" w:eastAsia="Palatino Linotype" w:hAnsi="Palatino Linotype" w:cs="Palatino Linotype"/>
          <w:color w:val="000000"/>
          <w:sz w:val="22"/>
          <w:szCs w:val="22"/>
        </w:rPr>
        <w:t>el Anexo IV.2 Clasificación por objeto del gasto, del Manual para la Planeación, Programación y Presupuesto de Egresos Municipal, 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 obligaciones laborales, gratificaciones, entre otras.</w:t>
      </w:r>
    </w:p>
    <w:p w:rsidR="00327CB5" w:rsidRPr="00252307" w:rsidRDefault="00327CB5" w:rsidP="00327CB5">
      <w:pPr>
        <w:rPr>
          <w:rFonts w:ascii="Palatino Linotype" w:eastAsia="Palatino Linotype" w:hAnsi="Palatino Linotype" w:cs="Palatino Linotype"/>
          <w:color w:val="000000"/>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color w:val="000000"/>
          <w:sz w:val="22"/>
          <w:szCs w:val="22"/>
        </w:rPr>
        <w:t xml:space="preserve">Ahora bien, </w:t>
      </w:r>
      <w:r w:rsidRPr="00252307">
        <w:rPr>
          <w:rFonts w:ascii="Palatino Linotype" w:eastAsia="Calibri" w:hAnsi="Palatino Linotype" w:cs="Tahoma"/>
          <w:bCs/>
          <w:sz w:val="22"/>
          <w:szCs w:val="22"/>
          <w:lang w:eastAsia="en-US"/>
        </w:rPr>
        <w:t xml:space="preserve">sobre la nómina, </w:t>
      </w:r>
      <w:r w:rsidRPr="00252307">
        <w:rPr>
          <w:rFonts w:ascii="Palatino Linotype" w:hAnsi="Palatino Linotype"/>
          <w:sz w:val="22"/>
          <w:szCs w:val="22"/>
        </w:rPr>
        <w:t xml:space="preserve">nos lleva a precisar que </w:t>
      </w:r>
      <w:r w:rsidRPr="00252307">
        <w:rPr>
          <w:rFonts w:ascii="Palatino Linotype" w:hAnsi="Palatino Linotype" w:cs="Arial"/>
          <w:sz w:val="22"/>
          <w:szCs w:val="22"/>
        </w:rPr>
        <w:t xml:space="preserve">en nuestra legislación del Estado de México no existe como tal una definición de “nómina”; sin embargo, el “Glosario de Términos </w:t>
      </w:r>
      <w:r w:rsidRPr="00252307">
        <w:rPr>
          <w:rFonts w:ascii="Palatino Linotype" w:hAnsi="Palatino Linotype" w:cs="Arial"/>
          <w:sz w:val="22"/>
          <w:szCs w:val="22"/>
        </w:rPr>
        <w:lastRenderedPageBreak/>
        <w:t xml:space="preserve">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252307">
        <w:rPr>
          <w:rFonts w:ascii="Palatino Linotype" w:hAnsi="Palatino Linotype" w:cs="Arial"/>
          <w:sz w:val="22"/>
          <w:szCs w:val="22"/>
        </w:rPr>
        <w:t>Presupuestación</w:t>
      </w:r>
      <w:proofErr w:type="spellEnd"/>
      <w:r w:rsidRPr="00252307">
        <w:rPr>
          <w:rFonts w:ascii="Palatino Linotype" w:hAnsi="Palatino Linotype" w:cs="Arial"/>
          <w:sz w:val="22"/>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327CB5" w:rsidRPr="00252307" w:rsidRDefault="00327CB5" w:rsidP="00681958">
      <w:pPr>
        <w:ind w:right="1"/>
        <w:jc w:val="both"/>
        <w:rPr>
          <w:rFonts w:ascii="Palatino Linotype" w:hAnsi="Palatino Linotype" w:cs="Arial"/>
          <w:sz w:val="22"/>
          <w:szCs w:val="22"/>
        </w:rPr>
      </w:pPr>
    </w:p>
    <w:p w:rsidR="00327CB5" w:rsidRPr="00252307" w:rsidRDefault="00327CB5" w:rsidP="00327CB5">
      <w:pPr>
        <w:spacing w:before="240" w:after="240" w:line="276" w:lineRule="auto"/>
        <w:ind w:left="567" w:right="565"/>
        <w:contextualSpacing/>
        <w:jc w:val="both"/>
        <w:rPr>
          <w:rFonts w:ascii="Palatino Linotype" w:hAnsi="Palatino Linotype" w:cs="Arial"/>
          <w:i/>
          <w:sz w:val="22"/>
          <w:szCs w:val="22"/>
        </w:rPr>
      </w:pPr>
      <w:r w:rsidRPr="00252307">
        <w:rPr>
          <w:rFonts w:ascii="Palatino Linotype" w:hAnsi="Palatino Linotype" w:cs="Arial"/>
          <w:b/>
          <w:bCs/>
          <w:i/>
          <w:sz w:val="22"/>
          <w:szCs w:val="22"/>
        </w:rPr>
        <w:t xml:space="preserve">“NÓMINA </w:t>
      </w:r>
      <w:r w:rsidRPr="00252307">
        <w:rPr>
          <w:rFonts w:ascii="Palatino Linotype" w:hAnsi="Palatino Linotype" w:cs="Arial"/>
          <w:i/>
          <w:sz w:val="22"/>
          <w:szCs w:val="22"/>
        </w:rPr>
        <w:t>Listado general de los trabajadores de una institución, en</w:t>
      </w:r>
      <w:r w:rsidRPr="00252307">
        <w:rPr>
          <w:rFonts w:ascii="Palatino Linotype" w:hAnsi="Palatino Linotype" w:cs="Arial"/>
          <w:b/>
          <w:bCs/>
          <w:i/>
          <w:sz w:val="22"/>
          <w:szCs w:val="22"/>
        </w:rPr>
        <w:t xml:space="preserve"> </w:t>
      </w:r>
      <w:r w:rsidRPr="00252307">
        <w:rPr>
          <w:rFonts w:ascii="Palatino Linotype" w:hAnsi="Palatino Linotype" w:cs="Arial"/>
          <w:i/>
          <w:sz w:val="22"/>
          <w:szCs w:val="22"/>
        </w:rPr>
        <w:t>el cual se asientan las percepciones brutas, deducciones y</w:t>
      </w:r>
      <w:r w:rsidRPr="00252307">
        <w:rPr>
          <w:rFonts w:ascii="Palatino Linotype" w:hAnsi="Palatino Linotype" w:cs="Arial"/>
          <w:b/>
          <w:bCs/>
          <w:i/>
          <w:sz w:val="22"/>
          <w:szCs w:val="22"/>
        </w:rPr>
        <w:t xml:space="preserve"> </w:t>
      </w:r>
      <w:r w:rsidRPr="00252307">
        <w:rPr>
          <w:rFonts w:ascii="Palatino Linotype" w:hAnsi="Palatino Linotype" w:cs="Arial"/>
          <w:i/>
          <w:sz w:val="22"/>
          <w:szCs w:val="22"/>
        </w:rPr>
        <w:t>alcance neto de las mismas; la nómina es utilizada para</w:t>
      </w:r>
      <w:r w:rsidRPr="00252307">
        <w:rPr>
          <w:rFonts w:ascii="Palatino Linotype" w:hAnsi="Palatino Linotype" w:cs="Arial"/>
          <w:b/>
          <w:bCs/>
          <w:i/>
          <w:sz w:val="22"/>
          <w:szCs w:val="22"/>
        </w:rPr>
        <w:t xml:space="preserve"> </w:t>
      </w:r>
      <w:r w:rsidRPr="00252307">
        <w:rPr>
          <w:rFonts w:ascii="Palatino Linotype" w:hAnsi="Palatino Linotype" w:cs="Arial"/>
          <w:i/>
          <w:sz w:val="22"/>
          <w:szCs w:val="22"/>
        </w:rPr>
        <w:t>efectuar los pagos periódicos (semanales, quincenales o</w:t>
      </w:r>
      <w:r w:rsidRPr="00252307">
        <w:rPr>
          <w:rFonts w:ascii="Palatino Linotype" w:hAnsi="Palatino Linotype" w:cs="Arial"/>
          <w:b/>
          <w:bCs/>
          <w:i/>
          <w:sz w:val="22"/>
          <w:szCs w:val="22"/>
        </w:rPr>
        <w:t xml:space="preserve"> </w:t>
      </w:r>
      <w:r w:rsidRPr="00252307">
        <w:rPr>
          <w:rFonts w:ascii="Palatino Linotype" w:hAnsi="Palatino Linotype" w:cs="Arial"/>
          <w:i/>
          <w:sz w:val="22"/>
          <w:szCs w:val="22"/>
        </w:rPr>
        <w:t>mensuales) a los trabajadores por concepto de sueldos y</w:t>
      </w:r>
      <w:r w:rsidRPr="00252307">
        <w:rPr>
          <w:rFonts w:ascii="Palatino Linotype" w:hAnsi="Palatino Linotype" w:cs="Arial"/>
          <w:b/>
          <w:bCs/>
          <w:i/>
          <w:sz w:val="22"/>
          <w:szCs w:val="22"/>
        </w:rPr>
        <w:t xml:space="preserve"> </w:t>
      </w:r>
      <w:r w:rsidRPr="00252307">
        <w:rPr>
          <w:rFonts w:ascii="Palatino Linotype" w:hAnsi="Palatino Linotype" w:cs="Arial"/>
          <w:i/>
          <w:sz w:val="22"/>
          <w:szCs w:val="22"/>
        </w:rPr>
        <w:t>salarios.”</w:t>
      </w:r>
    </w:p>
    <w:p w:rsidR="00327CB5" w:rsidRPr="00252307" w:rsidRDefault="00327CB5" w:rsidP="00681958">
      <w:pPr>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hAnsi="Palatino Linotype" w:cs="Arial"/>
          <w:sz w:val="22"/>
          <w:szCs w:val="22"/>
        </w:rPr>
        <w:t xml:space="preserve">Con base a lo anterior, conviene a traer lo establecido por el artículo 804, fracción II, de la Ley Federal de Trabajo, el cual a la letra establece: </w:t>
      </w:r>
    </w:p>
    <w:p w:rsidR="00327CB5" w:rsidRPr="00252307" w:rsidRDefault="00327CB5" w:rsidP="00681958">
      <w:pPr>
        <w:ind w:right="1"/>
        <w:jc w:val="both"/>
        <w:rPr>
          <w:rFonts w:ascii="Palatino Linotype" w:eastAsia="Palatino Linotype" w:hAnsi="Palatino Linotype" w:cs="Palatino Linotype"/>
          <w:sz w:val="22"/>
          <w:szCs w:val="22"/>
        </w:rPr>
      </w:pPr>
    </w:p>
    <w:p w:rsidR="00327CB5" w:rsidRPr="00252307" w:rsidRDefault="00327CB5" w:rsidP="00327CB5">
      <w:pPr>
        <w:spacing w:line="276" w:lineRule="auto"/>
        <w:ind w:left="567" w:right="565"/>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r w:rsidRPr="00252307">
        <w:rPr>
          <w:rFonts w:ascii="Palatino Linotype" w:eastAsia="Palatino Linotype" w:hAnsi="Palatino Linotype" w:cs="Palatino Linotype"/>
          <w:b/>
          <w:i/>
          <w:sz w:val="22"/>
          <w:szCs w:val="22"/>
        </w:rPr>
        <w:t>Artículo 804.-</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El patrón tiene obligación de conservar y exhibir en juicio los documentos que a continuación se precisan</w:t>
      </w:r>
      <w:r w:rsidRPr="00252307">
        <w:rPr>
          <w:rFonts w:ascii="Palatino Linotype" w:eastAsia="Palatino Linotype" w:hAnsi="Palatino Linotype" w:cs="Palatino Linotype"/>
          <w:i/>
          <w:sz w:val="22"/>
          <w:szCs w:val="22"/>
        </w:rPr>
        <w:t>:</w:t>
      </w:r>
    </w:p>
    <w:p w:rsidR="00327CB5" w:rsidRPr="00252307" w:rsidRDefault="00327CB5" w:rsidP="00327CB5">
      <w:pPr>
        <w:spacing w:line="276" w:lineRule="auto"/>
        <w:ind w:left="567" w:right="565"/>
        <w:jc w:val="both"/>
        <w:rPr>
          <w:rFonts w:ascii="Palatino Linotype" w:eastAsia="Palatino Linotype" w:hAnsi="Palatino Linotype" w:cs="Palatino Linotype"/>
          <w:i/>
          <w:sz w:val="22"/>
          <w:szCs w:val="22"/>
        </w:rPr>
      </w:pPr>
    </w:p>
    <w:p w:rsidR="00327CB5" w:rsidRPr="00252307" w:rsidRDefault="00327CB5" w:rsidP="00327CB5">
      <w:pPr>
        <w:spacing w:line="276" w:lineRule="auto"/>
        <w:ind w:left="567" w:right="565"/>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II.</w:t>
      </w:r>
      <w:r w:rsidRPr="00252307">
        <w:rPr>
          <w:rFonts w:ascii="Palatino Linotype" w:eastAsia="Palatino Linotype" w:hAnsi="Palatino Linotype" w:cs="Palatino Linotype"/>
          <w:i/>
          <w:sz w:val="22"/>
          <w:szCs w:val="22"/>
        </w:rPr>
        <w:t xml:space="preserve"> </w:t>
      </w:r>
      <w:r w:rsidRPr="00252307">
        <w:rPr>
          <w:rFonts w:ascii="Palatino Linotype" w:eastAsia="Palatino Linotype" w:hAnsi="Palatino Linotype" w:cs="Palatino Linotype"/>
          <w:b/>
          <w:i/>
          <w:sz w:val="22"/>
          <w:szCs w:val="22"/>
        </w:rPr>
        <w:t>Listas de raya o nómina de personal</w:t>
      </w:r>
      <w:r w:rsidRPr="00252307">
        <w:rPr>
          <w:rFonts w:ascii="Palatino Linotype" w:eastAsia="Palatino Linotype" w:hAnsi="Palatino Linotype" w:cs="Palatino Linotype"/>
          <w:i/>
          <w:sz w:val="22"/>
          <w:szCs w:val="22"/>
        </w:rPr>
        <w:t xml:space="preserve">, cuando se lleven en el centro de trabajo; o recibos de pagos de salarios; </w:t>
      </w:r>
    </w:p>
    <w:p w:rsidR="00327CB5" w:rsidRPr="00252307" w:rsidRDefault="00327CB5" w:rsidP="00327CB5">
      <w:pPr>
        <w:spacing w:line="276" w:lineRule="auto"/>
        <w:ind w:left="567" w:right="565"/>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w:t>
      </w:r>
    </w:p>
    <w:p w:rsidR="00327CB5" w:rsidRPr="00252307" w:rsidRDefault="00327CB5" w:rsidP="00327CB5">
      <w:pPr>
        <w:spacing w:line="276" w:lineRule="auto"/>
        <w:ind w:left="567" w:right="565"/>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252307">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252307">
        <w:rPr>
          <w:rFonts w:ascii="Palatino Linotype" w:eastAsia="Palatino Linotype" w:hAnsi="Palatino Linotype" w:cs="Palatino Linotype"/>
          <w:i/>
          <w:sz w:val="22"/>
          <w:szCs w:val="22"/>
        </w:rPr>
        <w:t xml:space="preserve">; y los mencionados en la fracción V, conforme lo señalen las Leyes que los rijan.” </w:t>
      </w:r>
    </w:p>
    <w:p w:rsidR="00327CB5" w:rsidRPr="00252307" w:rsidRDefault="00327CB5" w:rsidP="00681958">
      <w:pPr>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De lo precedente, se concluye que la nómina, es el registro utilizado para efectuar los pagos a los trabajadores por concepto de sueldos y salarios, el cual se compone por el conjunto </w:t>
      </w:r>
      <w:r w:rsidRPr="00252307">
        <w:rPr>
          <w:rFonts w:ascii="Palatino Linotype" w:eastAsia="Palatino Linotype" w:hAnsi="Palatino Linotype" w:cs="Palatino Linotype"/>
          <w:sz w:val="22"/>
          <w:szCs w:val="22"/>
        </w:rPr>
        <w:lastRenderedPageBreak/>
        <w:t>de trabajadores en el que se asientan las percepciones brutas, deducciones y la cantidad neta a pagar.</w:t>
      </w:r>
    </w:p>
    <w:p w:rsidR="00327CB5" w:rsidRPr="00252307" w:rsidRDefault="00327CB5" w:rsidP="00681958">
      <w:pPr>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327CB5" w:rsidRPr="00252307" w:rsidRDefault="00327CB5" w:rsidP="00681958">
      <w:pPr>
        <w:ind w:right="1"/>
        <w:jc w:val="both"/>
        <w:rPr>
          <w:rFonts w:ascii="Palatino Linotype" w:eastAsia="Palatino Linotype" w:hAnsi="Palatino Linotype" w:cs="Palatino Linotype"/>
          <w:sz w:val="22"/>
          <w:szCs w:val="22"/>
        </w:rPr>
      </w:pPr>
    </w:p>
    <w:p w:rsidR="00327CB5" w:rsidRPr="00252307" w:rsidRDefault="00327CB5" w:rsidP="00327C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En consecuencia</w:t>
      </w:r>
      <w:r w:rsidRPr="00252307">
        <w:rPr>
          <w:rFonts w:ascii="Palatino Linotype" w:hAnsi="Palatino Linotype"/>
          <w:sz w:val="22"/>
          <w:szCs w:val="22"/>
        </w:rPr>
        <w:t xml:space="preserve">, el </w:t>
      </w:r>
      <w:r w:rsidRPr="00252307">
        <w:rPr>
          <w:rFonts w:ascii="Palatino Linotype" w:hAnsi="Palatino Linotype"/>
          <w:b/>
          <w:sz w:val="22"/>
          <w:szCs w:val="22"/>
        </w:rPr>
        <w:t xml:space="preserve">SUJETO OBLIGADO </w:t>
      </w:r>
      <w:r w:rsidRPr="00252307">
        <w:rPr>
          <w:rFonts w:ascii="Palatino Linotype" w:hAnsi="Palatino Linotype"/>
          <w:sz w:val="22"/>
          <w:szCs w:val="22"/>
        </w:rPr>
        <w:t xml:space="preserve">deberá hacer entrega, de ser procedente en versión pública, el o los documentos donde conste </w:t>
      </w:r>
      <w:r w:rsidRPr="00252307">
        <w:rPr>
          <w:rFonts w:ascii="Palatino Linotype" w:hAnsi="Palatino Linotype"/>
          <w:b/>
          <w:sz w:val="22"/>
          <w:szCs w:val="22"/>
        </w:rPr>
        <w:t xml:space="preserve">el </w:t>
      </w:r>
      <w:r w:rsidR="007B4642" w:rsidRPr="00252307">
        <w:rPr>
          <w:rFonts w:ascii="Palatino Linotype" w:hAnsi="Palatino Linotype"/>
          <w:b/>
          <w:sz w:val="22"/>
          <w:szCs w:val="22"/>
        </w:rPr>
        <w:t xml:space="preserve">sueldo bruto y neto </w:t>
      </w:r>
      <w:r w:rsidRPr="00252307">
        <w:rPr>
          <w:rFonts w:ascii="Palatino Linotype" w:hAnsi="Palatino Linotype"/>
          <w:b/>
          <w:sz w:val="22"/>
          <w:szCs w:val="22"/>
        </w:rPr>
        <w:t>del</w:t>
      </w:r>
      <w:r w:rsidRPr="00252307">
        <w:rPr>
          <w:rFonts w:ascii="Palatino Linotype" w:eastAsia="Palatino Linotype" w:hAnsi="Palatino Linotype" w:cs="Palatino Linotype"/>
          <w:b/>
          <w:sz w:val="22"/>
          <w:szCs w:val="22"/>
        </w:rPr>
        <w:t xml:space="preserve"> </w:t>
      </w:r>
      <w:r w:rsidRPr="00252307">
        <w:rPr>
          <w:rFonts w:ascii="Palatino Linotype" w:hAnsi="Palatino Linotype"/>
          <w:b/>
          <w:color w:val="000000"/>
          <w:sz w:val="22"/>
          <w:szCs w:val="22"/>
        </w:rPr>
        <w:t>personal adscrito a la Coordinación de la Coordinación de Estudios y Proyectos Estratégicos, al 27 de mayo de 2024 o bien a la primera quincena de mayo de 2024.</w:t>
      </w:r>
    </w:p>
    <w:p w:rsidR="00042FAE" w:rsidRPr="00252307" w:rsidRDefault="00042FAE" w:rsidP="00681958">
      <w:pPr>
        <w:ind w:right="1"/>
        <w:jc w:val="both"/>
        <w:rPr>
          <w:rFonts w:ascii="Palatino Linotype" w:eastAsia="Palatino Linotype" w:hAnsi="Palatino Linotype" w:cs="Palatino Linotype"/>
          <w:b/>
          <w:sz w:val="22"/>
          <w:szCs w:val="22"/>
        </w:rPr>
      </w:pPr>
    </w:p>
    <w:p w:rsidR="00042FAE" w:rsidRPr="00252307" w:rsidRDefault="00042FAE" w:rsidP="0051644E">
      <w:pPr>
        <w:spacing w:line="360" w:lineRule="auto"/>
        <w:ind w:right="1"/>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sz w:val="22"/>
          <w:szCs w:val="22"/>
        </w:rPr>
        <w:t xml:space="preserve">54. </w:t>
      </w:r>
      <w:r w:rsidR="002B0131" w:rsidRPr="00252307">
        <w:rPr>
          <w:rFonts w:ascii="Palatino Linotype" w:eastAsia="Palatino Linotype" w:hAnsi="Palatino Linotype" w:cs="Palatino Linotype"/>
          <w:sz w:val="22"/>
          <w:szCs w:val="22"/>
        </w:rPr>
        <w:t>E</w:t>
      </w:r>
      <w:r w:rsidR="003D39FD" w:rsidRPr="00252307">
        <w:rPr>
          <w:rFonts w:ascii="Palatino Linotype" w:eastAsia="Palatino Linotype" w:hAnsi="Palatino Linotype" w:cs="Palatino Linotype"/>
          <w:sz w:val="22"/>
          <w:szCs w:val="22"/>
        </w:rPr>
        <w:t xml:space="preserve">xpuesto todo </w:t>
      </w:r>
      <w:r w:rsidRPr="00252307">
        <w:rPr>
          <w:rFonts w:ascii="Palatino Linotype" w:eastAsia="Palatino Linotype" w:hAnsi="Palatino Linotype" w:cs="Palatino Linotype"/>
          <w:sz w:val="22"/>
          <w:szCs w:val="22"/>
        </w:rPr>
        <w:t>lo anterior, es necesario precisar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por lo que la documental que pudiera atender el requerimiento realizado es la propia renuncia</w:t>
      </w:r>
      <w:r w:rsidR="00F5723F" w:rsidRPr="00252307">
        <w:rPr>
          <w:rFonts w:ascii="Palatino Linotype" w:eastAsia="Palatino Linotype" w:hAnsi="Palatino Linotype" w:cs="Palatino Linotype"/>
          <w:sz w:val="22"/>
          <w:szCs w:val="22"/>
        </w:rPr>
        <w:t xml:space="preserve"> o despido del servidor público</w:t>
      </w:r>
      <w:r w:rsidRPr="00252307">
        <w:rPr>
          <w:rFonts w:ascii="Palatino Linotype" w:eastAsia="Palatino Linotype" w:hAnsi="Palatino Linotype" w:cs="Palatino Linotype"/>
          <w:sz w:val="22"/>
          <w:szCs w:val="22"/>
        </w:rPr>
        <w:t>,</w:t>
      </w:r>
      <w:r w:rsidR="00F5723F"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como a continuación se observa:</w:t>
      </w:r>
    </w:p>
    <w:p w:rsidR="00681958" w:rsidRPr="00252307" w:rsidRDefault="00681958" w:rsidP="00681958">
      <w:pPr>
        <w:ind w:right="1"/>
        <w:jc w:val="both"/>
        <w:rPr>
          <w:rFonts w:ascii="Palatino Linotype" w:eastAsia="Palatino Linotype" w:hAnsi="Palatino Linotype" w:cs="Palatino Linotype"/>
          <w:b/>
          <w:sz w:val="22"/>
          <w:szCs w:val="22"/>
        </w:rPr>
      </w:pPr>
    </w:p>
    <w:p w:rsidR="00042FAE" w:rsidRPr="00252307" w:rsidRDefault="00042FAE" w:rsidP="0066562E">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“Artículo 3. </w:t>
      </w:r>
      <w:r w:rsidRPr="00252307">
        <w:rPr>
          <w:rFonts w:ascii="Palatino Linotype" w:eastAsia="Palatino Linotype" w:hAnsi="Palatino Linotype" w:cs="Palatino Linotype"/>
          <w:i/>
          <w:sz w:val="22"/>
          <w:szCs w:val="22"/>
        </w:rPr>
        <w:t>Para los efectos de la presente Ley se entenderá por:</w:t>
      </w:r>
    </w:p>
    <w:p w:rsidR="00042FAE" w:rsidRPr="00252307" w:rsidRDefault="00042FAE" w:rsidP="0066562E">
      <w:pPr>
        <w:ind w:left="567" w:right="567"/>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i/>
          <w:sz w:val="22"/>
          <w:szCs w:val="22"/>
        </w:rPr>
        <w:t xml:space="preserve">XI. Documento: Los expedientes, reportes, estudios, actas, resoluciones, oficios, correspondencia, acuerdos, directivas, directrices, circulares, contratos, convenios, </w:t>
      </w:r>
      <w:r w:rsidRPr="00252307">
        <w:rPr>
          <w:rFonts w:ascii="Palatino Linotype" w:eastAsia="Palatino Linotype" w:hAnsi="Palatino Linotype" w:cs="Palatino Linotype"/>
          <w:i/>
          <w:sz w:val="22"/>
          <w:szCs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042FAE" w:rsidRPr="00252307" w:rsidRDefault="00042FAE" w:rsidP="00681958">
      <w:pPr>
        <w:ind w:right="1"/>
        <w:jc w:val="both"/>
        <w:rPr>
          <w:rFonts w:ascii="Palatino Linotype" w:eastAsia="Palatino Linotype" w:hAnsi="Palatino Linotype" w:cs="Palatino Linotype"/>
          <w:b/>
          <w:sz w:val="22"/>
          <w:szCs w:val="22"/>
        </w:rPr>
      </w:pPr>
    </w:p>
    <w:p w:rsidR="00042FAE" w:rsidRPr="00252307" w:rsidRDefault="0066562E" w:rsidP="00B81ACA">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Atendiendo a ello, sistemáticamente se ha señalado y así lo establecen diversos Órganos Garantes Nacionales, como Órganos Internacionales Especializados, que el derecho de acceso a la información pública consiste en el acceso a documentos generados, poseídos o administrados por la autoridad con antelación a que fuera presentada la solicitud de acceso a la información pública.</w:t>
      </w:r>
    </w:p>
    <w:p w:rsidR="00E94D86" w:rsidRPr="00252307" w:rsidRDefault="00E94D86" w:rsidP="00681958">
      <w:pPr>
        <w:rPr>
          <w:rFonts w:ascii="Palatino Linotype" w:eastAsia="Palatino Linotype" w:hAnsi="Palatino Linotype" w:cs="Palatino Linotype"/>
          <w:color w:val="000000"/>
          <w:sz w:val="22"/>
          <w:szCs w:val="22"/>
        </w:rPr>
      </w:pPr>
    </w:p>
    <w:p w:rsidR="00681958" w:rsidRPr="00252307" w:rsidRDefault="00111C7B"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 xml:space="preserve">En </w:t>
      </w:r>
      <w:r w:rsidR="00681958" w:rsidRPr="00252307">
        <w:rPr>
          <w:rFonts w:ascii="Palatino Linotype" w:eastAsia="Palatino Linotype" w:hAnsi="Palatino Linotype" w:cs="Palatino Linotype"/>
          <w:color w:val="000000"/>
          <w:sz w:val="22"/>
          <w:szCs w:val="22"/>
        </w:rPr>
        <w:t xml:space="preserve">consecuencia, analizadas las constancias que forman el expediente electrónico, </w:t>
      </w:r>
      <w:r w:rsidR="00681958" w:rsidRPr="00252307">
        <w:rPr>
          <w:rFonts w:ascii="Palatino Linotype" w:eastAsia="Palatino Linotype" w:hAnsi="Palatino Linotype" w:cs="Palatino Linotype"/>
          <w:sz w:val="22"/>
          <w:szCs w:val="22"/>
        </w:rPr>
        <w:t xml:space="preserve">resultan fundadas las razones o motivos de inconformidad hechos valer por el </w:t>
      </w:r>
      <w:r w:rsidR="00681958" w:rsidRPr="00252307">
        <w:rPr>
          <w:rFonts w:ascii="Palatino Linotype" w:eastAsia="Palatino Linotype" w:hAnsi="Palatino Linotype" w:cs="Palatino Linotype"/>
          <w:b/>
          <w:sz w:val="22"/>
          <w:szCs w:val="22"/>
        </w:rPr>
        <w:t>RECURRENTE</w:t>
      </w:r>
      <w:r w:rsidR="00681958" w:rsidRPr="00252307">
        <w:rPr>
          <w:rFonts w:ascii="Palatino Linotype" w:eastAsia="Palatino Linotype" w:hAnsi="Palatino Linotype" w:cs="Palatino Linotype"/>
          <w:sz w:val="22"/>
          <w:szCs w:val="22"/>
        </w:rPr>
        <w:t xml:space="preserve"> dentro del recurso de revisión </w:t>
      </w:r>
      <w:r w:rsidR="00681958" w:rsidRPr="00252307">
        <w:rPr>
          <w:rFonts w:ascii="Palatino Linotype" w:eastAsia="Palatino Linotype" w:hAnsi="Palatino Linotype" w:cs="Palatino Linotype"/>
          <w:b/>
          <w:sz w:val="22"/>
          <w:szCs w:val="22"/>
        </w:rPr>
        <w:t>03723/INFOEM/IP/RR/2024,</w:t>
      </w:r>
      <w:r w:rsidR="00681958" w:rsidRPr="00252307">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00681958" w:rsidRPr="00252307">
        <w:rPr>
          <w:rFonts w:ascii="Palatino Linotype" w:eastAsia="Palatino Linotype" w:hAnsi="Palatino Linotype" w:cs="Palatino Linotype"/>
          <w:b/>
          <w:sz w:val="22"/>
          <w:szCs w:val="22"/>
        </w:rPr>
        <w:t>REVOCA</w:t>
      </w:r>
      <w:r w:rsidR="00681958" w:rsidRPr="00252307">
        <w:rPr>
          <w:rFonts w:ascii="Palatino Linotype" w:eastAsia="Palatino Linotype" w:hAnsi="Palatino Linotype" w:cs="Palatino Linotype"/>
          <w:sz w:val="22"/>
          <w:szCs w:val="22"/>
        </w:rPr>
        <w:t xml:space="preserve"> la respuesta del </w:t>
      </w:r>
      <w:r w:rsidR="00681958" w:rsidRPr="00252307">
        <w:rPr>
          <w:rFonts w:ascii="Palatino Linotype" w:eastAsia="Palatino Linotype" w:hAnsi="Palatino Linotype" w:cs="Palatino Linotype"/>
          <w:b/>
          <w:sz w:val="22"/>
          <w:szCs w:val="22"/>
        </w:rPr>
        <w:t>SUJETO OBLIGADO</w:t>
      </w:r>
      <w:r w:rsidR="00681958" w:rsidRPr="00252307">
        <w:rPr>
          <w:rFonts w:ascii="Palatino Linotype" w:eastAsia="Palatino Linotype" w:hAnsi="Palatino Linotype" w:cs="Palatino Linotype"/>
          <w:sz w:val="22"/>
          <w:szCs w:val="22"/>
        </w:rPr>
        <w:t xml:space="preserve"> y se ordena entregar, previa búsqueda exhaustiva y razonable, de ser procedente en versión pública</w:t>
      </w:r>
      <w:r w:rsidR="00681958" w:rsidRPr="00252307">
        <w:rPr>
          <w:rFonts w:ascii="Palatino Linotype" w:eastAsia="Palatino Linotype" w:hAnsi="Palatino Linotype" w:cs="Palatino Linotype"/>
          <w:b/>
          <w:sz w:val="22"/>
          <w:szCs w:val="22"/>
        </w:rPr>
        <w:t xml:space="preserve">, </w:t>
      </w:r>
      <w:r w:rsidR="00681958" w:rsidRPr="00252307">
        <w:rPr>
          <w:rFonts w:ascii="Palatino Linotype" w:hAnsi="Palatino Linotype"/>
          <w:b/>
          <w:color w:val="000000"/>
          <w:sz w:val="22"/>
          <w:szCs w:val="22"/>
        </w:rPr>
        <w:t xml:space="preserve">del personal adscrito a la Coordinación de la Coordinación de Estudios y Proyectos Estratégicos, al 27 de mayo de 2024; </w:t>
      </w:r>
      <w:r w:rsidR="00681958" w:rsidRPr="00252307">
        <w:rPr>
          <w:rFonts w:ascii="Palatino Linotype" w:hAnsi="Palatino Linotype"/>
          <w:color w:val="000000"/>
          <w:sz w:val="22"/>
          <w:szCs w:val="22"/>
        </w:rPr>
        <w:t>el o los documentos donde conste lo siguiente:</w:t>
      </w:r>
    </w:p>
    <w:p w:rsidR="00681958" w:rsidRPr="00252307" w:rsidRDefault="00681958" w:rsidP="00681958">
      <w:pPr>
        <w:ind w:right="1"/>
        <w:jc w:val="both"/>
        <w:rPr>
          <w:rFonts w:ascii="Palatino Linotype" w:eastAsia="Palatino Linotype" w:hAnsi="Palatino Linotype" w:cs="Palatino Linotype"/>
          <w:b/>
          <w:sz w:val="22"/>
          <w:szCs w:val="22"/>
        </w:rPr>
      </w:pPr>
    </w:p>
    <w:p w:rsidR="00681958" w:rsidRPr="00252307" w:rsidRDefault="00681958" w:rsidP="00681958">
      <w:pPr>
        <w:pStyle w:val="Prrafodelista"/>
        <w:numPr>
          <w:ilvl w:val="0"/>
          <w:numId w:val="19"/>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Currículo, ficha curricular o documento análogo;</w:t>
      </w:r>
    </w:p>
    <w:p w:rsidR="00681958" w:rsidRPr="00252307" w:rsidRDefault="00681958" w:rsidP="00681958">
      <w:pPr>
        <w:pStyle w:val="Prrafodelista"/>
        <w:numPr>
          <w:ilvl w:val="0"/>
          <w:numId w:val="19"/>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Comprobantes de estudios;</w:t>
      </w:r>
    </w:p>
    <w:p w:rsidR="00681958" w:rsidRPr="00252307" w:rsidRDefault="00681958" w:rsidP="00681958">
      <w:pPr>
        <w:pStyle w:val="Prrafodelista"/>
        <w:numPr>
          <w:ilvl w:val="0"/>
          <w:numId w:val="19"/>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Formato Único de Movimiento de Personal, </w:t>
      </w:r>
      <w:r w:rsidRPr="00252307">
        <w:rPr>
          <w:rFonts w:ascii="Palatino Linotype" w:hAnsi="Palatino Linotype"/>
          <w:b/>
          <w:szCs w:val="22"/>
        </w:rPr>
        <w:t>contrato o nombramiento</w:t>
      </w:r>
      <w:r w:rsidRPr="00252307">
        <w:rPr>
          <w:rFonts w:ascii="Palatino Linotype" w:hAnsi="Palatino Linotype"/>
          <w:szCs w:val="22"/>
        </w:rPr>
        <w:t>.</w:t>
      </w:r>
      <w:r w:rsidRPr="00252307">
        <w:rPr>
          <w:rFonts w:ascii="Palatino Linotype" w:eastAsia="Palatino Linotype" w:hAnsi="Palatino Linotype" w:cs="Palatino Linotype"/>
          <w:b/>
          <w:szCs w:val="22"/>
        </w:rPr>
        <w:t xml:space="preserve">; </w:t>
      </w:r>
    </w:p>
    <w:p w:rsidR="00681958" w:rsidRPr="00252307" w:rsidRDefault="00681958" w:rsidP="00681958">
      <w:pPr>
        <w:pStyle w:val="Prrafodelista"/>
        <w:numPr>
          <w:ilvl w:val="0"/>
          <w:numId w:val="19"/>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Fecha de alta y</w:t>
      </w:r>
    </w:p>
    <w:p w:rsidR="00681958" w:rsidRPr="00252307" w:rsidRDefault="00681958" w:rsidP="00681958">
      <w:pPr>
        <w:pStyle w:val="Prrafodelista"/>
        <w:numPr>
          <w:ilvl w:val="0"/>
          <w:numId w:val="19"/>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Sueldo bruto</w:t>
      </w:r>
      <w:r w:rsidR="007B4642" w:rsidRPr="00252307">
        <w:rPr>
          <w:rFonts w:ascii="Palatino Linotype" w:eastAsia="Palatino Linotype" w:hAnsi="Palatino Linotype" w:cs="Palatino Linotype"/>
          <w:b/>
          <w:szCs w:val="22"/>
        </w:rPr>
        <w:t xml:space="preserve"> y neto</w:t>
      </w:r>
      <w:r w:rsidRPr="00252307">
        <w:rPr>
          <w:rFonts w:ascii="Palatino Linotype" w:eastAsia="Palatino Linotype" w:hAnsi="Palatino Linotype" w:cs="Palatino Linotype"/>
          <w:b/>
          <w:szCs w:val="22"/>
        </w:rPr>
        <w:t>.</w:t>
      </w:r>
    </w:p>
    <w:p w:rsidR="00681958" w:rsidRPr="00252307" w:rsidRDefault="00681958" w:rsidP="00475288">
      <w:pPr>
        <w:rPr>
          <w:rFonts w:ascii="Palatino Linotype" w:eastAsia="Palatino Linotype" w:hAnsi="Palatino Linotype" w:cs="Palatino Linotype"/>
          <w:b/>
          <w:sz w:val="22"/>
          <w:szCs w:val="22"/>
        </w:rPr>
      </w:pPr>
    </w:p>
    <w:p w:rsidR="00305C25" w:rsidRPr="00252307" w:rsidRDefault="00305C25" w:rsidP="00475288">
      <w:pPr>
        <w:rPr>
          <w:rFonts w:ascii="Palatino Linotype" w:eastAsia="Palatino Linotype" w:hAnsi="Palatino Linotype" w:cs="Palatino Linotype"/>
          <w:b/>
          <w:sz w:val="22"/>
          <w:szCs w:val="22"/>
        </w:rPr>
      </w:pPr>
    </w:p>
    <w:p w:rsidR="00305C25" w:rsidRPr="00252307" w:rsidRDefault="00305C25" w:rsidP="00475288">
      <w:pPr>
        <w:rPr>
          <w:rFonts w:ascii="Palatino Linotype" w:eastAsia="Palatino Linotype" w:hAnsi="Palatino Linotype" w:cs="Palatino Linotype"/>
          <w:b/>
          <w:sz w:val="22"/>
          <w:szCs w:val="22"/>
        </w:rPr>
      </w:pPr>
    </w:p>
    <w:p w:rsidR="00305C25" w:rsidRPr="00252307" w:rsidRDefault="00305C25" w:rsidP="00475288">
      <w:pPr>
        <w:rPr>
          <w:rFonts w:ascii="Palatino Linotype" w:eastAsia="Palatino Linotype" w:hAnsi="Palatino Linotype" w:cs="Palatino Linotype"/>
          <w:b/>
          <w:sz w:val="22"/>
          <w:szCs w:val="22"/>
        </w:rPr>
      </w:pPr>
    </w:p>
    <w:p w:rsidR="00475288" w:rsidRPr="00252307" w:rsidRDefault="00475288" w:rsidP="00475288">
      <w:pPr>
        <w:pStyle w:val="Prrafodelista"/>
        <w:numPr>
          <w:ilvl w:val="0"/>
          <w:numId w:val="24"/>
        </w:numPr>
        <w:spacing w:line="360" w:lineRule="auto"/>
        <w:ind w:right="49"/>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lastRenderedPageBreak/>
        <w:t>De las manifestaciones subjetivas</w:t>
      </w:r>
    </w:p>
    <w:p w:rsidR="00475288" w:rsidRPr="00252307" w:rsidRDefault="00475288" w:rsidP="00475288">
      <w:pPr>
        <w:rPr>
          <w:rFonts w:ascii="Palatino Linotype" w:eastAsia="Palatino Linotype" w:hAnsi="Palatino Linotype" w:cs="Palatino Linotype"/>
          <w:b/>
          <w:sz w:val="22"/>
          <w:szCs w:val="22"/>
        </w:rPr>
      </w:pP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b/>
          <w:i/>
          <w:sz w:val="22"/>
          <w:szCs w:val="22"/>
        </w:rPr>
      </w:pPr>
      <w:r w:rsidRPr="00252307">
        <w:rPr>
          <w:rFonts w:ascii="Palatino Linotype" w:eastAsia="Palatino Linotype" w:hAnsi="Palatino Linotype" w:cs="Palatino Linotype"/>
          <w:sz w:val="22"/>
          <w:szCs w:val="22"/>
        </w:rPr>
        <w:t xml:space="preserve">Ahora bien, se ha señalado, el </w:t>
      </w:r>
      <w:r w:rsidRPr="00252307">
        <w:rPr>
          <w:rFonts w:ascii="Palatino Linotype" w:hAnsi="Palatino Linotype"/>
          <w:b/>
          <w:bCs/>
          <w:color w:val="000000" w:themeColor="text1"/>
          <w:sz w:val="22"/>
          <w:szCs w:val="22"/>
        </w:rPr>
        <w:t xml:space="preserve">RECURRENTE </w:t>
      </w:r>
      <w:r w:rsidRPr="00252307">
        <w:rPr>
          <w:rFonts w:ascii="Palatino Linotype" w:hAnsi="Palatino Linotype"/>
          <w:color w:val="000000" w:themeColor="text1"/>
          <w:sz w:val="22"/>
          <w:szCs w:val="22"/>
        </w:rPr>
        <w:t>requirió también, lo siguiente:</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b/>
          <w:i/>
          <w:sz w:val="22"/>
          <w:szCs w:val="22"/>
        </w:rPr>
        <w:t xml:space="preserve">“… </w:t>
      </w:r>
      <w:r w:rsidRPr="00252307">
        <w:rPr>
          <w:rFonts w:ascii="Palatino Linotype" w:hAnsi="Palatino Linotype"/>
          <w:b/>
          <w:i/>
          <w:sz w:val="22"/>
          <w:szCs w:val="22"/>
        </w:rPr>
        <w:t>la autorización para que el personal este en campañas municipales y no en la oficina de trabajo.</w:t>
      </w:r>
      <w:r w:rsidRPr="00252307">
        <w:rPr>
          <w:rFonts w:ascii="Palatino Linotype" w:eastAsia="Palatino Linotype" w:hAnsi="Palatino Linotype" w:cs="Palatino Linotype"/>
          <w:b/>
          <w:i/>
          <w:color w:val="000000"/>
          <w:sz w:val="22"/>
          <w:szCs w:val="22"/>
        </w:rPr>
        <w:t xml:space="preserve">” (Sic) </w:t>
      </w:r>
    </w:p>
    <w:p w:rsidR="00475288" w:rsidRPr="00252307" w:rsidRDefault="00475288" w:rsidP="00475288">
      <w:pPr>
        <w:ind w:right="1"/>
        <w:jc w:val="both"/>
        <w:rPr>
          <w:rFonts w:ascii="Palatino Linotype" w:eastAsia="Palatino Linotype" w:hAnsi="Palatino Linotype" w:cs="Palatino Linotype"/>
          <w:b/>
          <w:i/>
          <w:sz w:val="22"/>
          <w:szCs w:val="22"/>
        </w:rPr>
      </w:pPr>
    </w:p>
    <w:p w:rsidR="00475288" w:rsidRPr="00252307" w:rsidRDefault="00475288"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En</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 xml:space="preserve">este sentido, </w:t>
      </w:r>
      <w:r w:rsidRPr="00252307">
        <w:rPr>
          <w:rFonts w:ascii="Palatino Linotype" w:eastAsiaTheme="minorEastAsia" w:hAnsi="Palatino Linotype" w:cs="Arial"/>
          <w:sz w:val="22"/>
          <w:szCs w:val="22"/>
          <w:lang w:val="es-ES_tradnl" w:eastAsia="es-ES"/>
        </w:rPr>
        <w:t xml:space="preserve">se aprecia a simple vista que, el requerimiento no constituye un derecho de acceso a la información pública, por lo tanto, no es atendible mediante una solicitud de Acceso a la Información, porque se trata de manifestaciones subjetivas vertidas por el </w:t>
      </w:r>
      <w:r w:rsidRPr="00252307">
        <w:rPr>
          <w:rFonts w:ascii="Palatino Linotype" w:eastAsiaTheme="minorEastAsia" w:hAnsi="Palatino Linotype" w:cs="Arial"/>
          <w:b/>
          <w:bCs/>
          <w:sz w:val="22"/>
          <w:szCs w:val="22"/>
          <w:lang w:val="es-ES_tradnl" w:eastAsia="es-ES"/>
        </w:rPr>
        <w:t>RECURRENTE</w:t>
      </w:r>
      <w:r w:rsidRPr="00252307">
        <w:rPr>
          <w:rFonts w:ascii="Palatino Linotype" w:eastAsiaTheme="minorEastAsia" w:hAnsi="Palatino Linotype" w:cs="Arial"/>
          <w:sz w:val="22"/>
          <w:szCs w:val="22"/>
          <w:lang w:val="es-ES_tradnl" w:eastAsia="es-ES"/>
        </w:rPr>
        <w:t xml:space="preserve">, interrogantes y declaraciones que, en efecto, no se colman con la entrega de documentos, situación que conlleva a afirmar que se está en presencia del ejercicio del derecho de petición, como lo refirió en respuesta el </w:t>
      </w:r>
      <w:r w:rsidRPr="00252307">
        <w:rPr>
          <w:rFonts w:ascii="Palatino Linotype" w:eastAsiaTheme="minorEastAsia" w:hAnsi="Palatino Linotype" w:cs="Arial"/>
          <w:b/>
          <w:sz w:val="22"/>
          <w:szCs w:val="22"/>
          <w:lang w:val="es-ES_tradnl" w:eastAsia="es-ES"/>
        </w:rPr>
        <w:t>SUJETO OBLIGADO.</w:t>
      </w:r>
    </w:p>
    <w:p w:rsidR="00475288" w:rsidRPr="00252307" w:rsidRDefault="00475288" w:rsidP="00475288">
      <w:pPr>
        <w:rPr>
          <w:rFonts w:ascii="Palatino Linotype" w:eastAsia="Palatino Linotype" w:hAnsi="Palatino Linotype" w:cs="Palatino Linotype"/>
          <w:b/>
          <w:sz w:val="22"/>
          <w:szCs w:val="22"/>
        </w:rPr>
      </w:pPr>
    </w:p>
    <w:p w:rsidR="00475288" w:rsidRPr="00252307" w:rsidRDefault="00475288"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Por </w:t>
      </w:r>
      <w:r w:rsidRPr="00252307">
        <w:rPr>
          <w:rFonts w:ascii="Palatino Linotype" w:eastAsia="Calibri" w:hAnsi="Palatino Linotype" w:cs="Tahoma"/>
          <w:color w:val="000000"/>
          <w:sz w:val="22"/>
          <w:szCs w:val="22"/>
          <w:lang w:val="es-ES"/>
        </w:rPr>
        <w:t xml:space="preserve">lo que, </w:t>
      </w:r>
      <w:r w:rsidRPr="00252307">
        <w:rPr>
          <w:rFonts w:ascii="Palatino Linotype" w:eastAsia="MS Mincho" w:hAnsi="Palatino Linotype" w:cstheme="majorBidi"/>
          <w:sz w:val="22"/>
          <w:szCs w:val="22"/>
          <w:lang w:val="es-ES_tradnl" w:eastAsia="es-ES"/>
        </w:rPr>
        <w:t xml:space="preserve">la entrega de una razón o un razonamiento por parte del </w:t>
      </w:r>
      <w:r w:rsidRPr="00252307">
        <w:rPr>
          <w:rFonts w:ascii="Palatino Linotype" w:eastAsia="MS Mincho" w:hAnsi="Palatino Linotype" w:cstheme="majorBidi"/>
          <w:b/>
          <w:bCs/>
          <w:sz w:val="22"/>
          <w:szCs w:val="22"/>
          <w:lang w:val="es-ES_tradnl" w:eastAsia="es-ES"/>
        </w:rPr>
        <w:t>SUJETO OBLIGADO</w:t>
      </w:r>
      <w:r w:rsidRPr="00252307">
        <w:rPr>
          <w:rFonts w:ascii="Palatino Linotype" w:eastAsia="MS Mincho" w:hAnsi="Palatino Linotype" w:cstheme="majorBidi"/>
          <w:sz w:val="22"/>
          <w:szCs w:val="22"/>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475288" w:rsidRPr="00252307" w:rsidRDefault="00475288" w:rsidP="00475288">
      <w:pPr>
        <w:rPr>
          <w:rFonts w:ascii="Palatino Linotype" w:eastAsia="Palatino Linotype" w:hAnsi="Palatino Linotype" w:cs="Palatino Linotype"/>
          <w:b/>
          <w:sz w:val="22"/>
          <w:szCs w:val="22"/>
        </w:rPr>
      </w:pPr>
    </w:p>
    <w:p w:rsidR="00475288" w:rsidRPr="00252307" w:rsidRDefault="00475288"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En </w:t>
      </w:r>
      <w:r w:rsidRPr="00252307">
        <w:rPr>
          <w:rFonts w:ascii="Palatino Linotype" w:eastAsia="Calibri" w:hAnsi="Palatino Linotype" w:cs="Tahoma"/>
          <w:color w:val="000000"/>
          <w:sz w:val="22"/>
          <w:szCs w:val="22"/>
          <w:lang w:val="es-ES"/>
        </w:rPr>
        <w:t xml:space="preserve">este sentido, </w:t>
      </w:r>
      <w:r w:rsidRPr="00252307">
        <w:rPr>
          <w:rFonts w:ascii="Palatino Linotype" w:eastAsia="MS Mincho" w:hAnsi="Palatino Linotype" w:cstheme="majorBidi"/>
          <w:sz w:val="22"/>
          <w:szCs w:val="22"/>
          <w:lang w:val="es-ES_tradnl" w:eastAsia="es-ES"/>
        </w:rPr>
        <w:t>es importante dejar en claro lo que debe entenderse por derecho de petición y por derecho de acceso a la información pública.</w:t>
      </w:r>
    </w:p>
    <w:p w:rsidR="00475288" w:rsidRPr="00252307" w:rsidRDefault="00475288" w:rsidP="00475288">
      <w:pPr>
        <w:rPr>
          <w:rFonts w:ascii="Palatino Linotype" w:eastAsia="Palatino Linotype" w:hAnsi="Palatino Linotype" w:cs="Palatino Linotype"/>
          <w:b/>
          <w:sz w:val="22"/>
          <w:szCs w:val="22"/>
        </w:rPr>
      </w:pPr>
    </w:p>
    <w:p w:rsidR="00475288" w:rsidRPr="00252307" w:rsidRDefault="00475288" w:rsidP="00475288">
      <w:pPr>
        <w:pStyle w:val="Prrafodelista"/>
        <w:numPr>
          <w:ilvl w:val="0"/>
          <w:numId w:val="25"/>
        </w:numPr>
        <w:spacing w:line="360" w:lineRule="auto"/>
        <w:ind w:right="49"/>
        <w:jc w:val="both"/>
        <w:rPr>
          <w:rFonts w:ascii="Palatino Linotype" w:eastAsia="Calibri" w:hAnsi="Palatino Linotype" w:cs="Tahoma"/>
          <w:b/>
          <w:bCs/>
          <w:iCs/>
          <w:color w:val="000000"/>
          <w:szCs w:val="22"/>
          <w:lang w:val="es-ES"/>
        </w:rPr>
      </w:pPr>
      <w:r w:rsidRPr="00252307">
        <w:rPr>
          <w:rFonts w:ascii="Palatino Linotype" w:eastAsia="Calibri" w:hAnsi="Palatino Linotype" w:cs="Tahoma"/>
          <w:b/>
          <w:bCs/>
          <w:iCs/>
          <w:color w:val="000000"/>
          <w:szCs w:val="22"/>
          <w:lang w:val="es-ES"/>
        </w:rPr>
        <w:t>El derecho de petición y acceso a la información pública.</w:t>
      </w: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 xml:space="preserve">Por </w:t>
      </w:r>
      <w:r w:rsidRPr="00252307">
        <w:rPr>
          <w:rFonts w:ascii="Palatino Linotype" w:eastAsia="MS Mincho" w:hAnsi="Palatino Linotype" w:cstheme="majorBidi"/>
          <w:sz w:val="22"/>
          <w:szCs w:val="22"/>
          <w:lang w:val="es-ES_tradnl" w:eastAsia="es-ES"/>
        </w:rPr>
        <w:t>lo que respecta a la definición de derecho de petición, el Maestro Ignacio Burgoa Orihuela refiere: “…</w:t>
      </w:r>
      <w:r w:rsidRPr="00252307">
        <w:rPr>
          <w:rFonts w:ascii="Palatino Linotype" w:eastAsia="MS Mincho" w:hAnsi="Palatino Linotype" w:cstheme="majorBidi"/>
          <w:i/>
          <w:sz w:val="22"/>
          <w:szCs w:val="22"/>
          <w:lang w:val="es-ES_tradnl" w:eastAsia="es-ES"/>
        </w:rPr>
        <w:t xml:space="preserve">es un Derecho Público subjetivo individual de la Garantía Respectiva Consagrada en el Artículo 8 de la Ley Fundamental. En tal virtud, la persona tiene la facultad de acudir a cualquier </w:t>
      </w:r>
      <w:r w:rsidRPr="00252307">
        <w:rPr>
          <w:rFonts w:ascii="Palatino Linotype" w:eastAsia="MS Mincho" w:hAnsi="Palatino Linotype" w:cstheme="majorBidi"/>
          <w:i/>
          <w:sz w:val="22"/>
          <w:szCs w:val="22"/>
          <w:lang w:val="es-ES_tradnl" w:eastAsia="es-ES"/>
        </w:rPr>
        <w:lastRenderedPageBreak/>
        <w:t>autoridad, formulando una solicitud o instancia escrito de cualquier índole, la cual adopta, específicamente, el carácter de simple petición administrativa, acción o recurso, etc.</w:t>
      </w:r>
      <w:r w:rsidRPr="00252307">
        <w:rPr>
          <w:rStyle w:val="Refdenotaalpie"/>
          <w:rFonts w:ascii="Palatino Linotype" w:eastAsia="MS Mincho" w:hAnsi="Palatino Linotype" w:cstheme="majorBidi"/>
          <w:i/>
          <w:sz w:val="22"/>
          <w:szCs w:val="22"/>
          <w:lang w:val="es-ES_tradnl" w:eastAsia="es-ES"/>
        </w:rPr>
        <w:footnoteReference w:id="12"/>
      </w:r>
      <w:r w:rsidRPr="00252307">
        <w:rPr>
          <w:rFonts w:ascii="Palatino Linotype" w:eastAsia="MS Mincho" w:hAnsi="Palatino Linotype" w:cstheme="majorBidi"/>
          <w:i/>
          <w:sz w:val="22"/>
          <w:szCs w:val="22"/>
          <w:lang w:val="es-ES_tradnl" w:eastAsia="es-ES"/>
        </w:rPr>
        <w:t xml:space="preserve">  “</w:t>
      </w:r>
      <w:r w:rsidRPr="00252307">
        <w:rPr>
          <w:rFonts w:ascii="Palatino Linotype" w:eastAsia="Palatino Linotype" w:hAnsi="Palatino Linotype" w:cs="Palatino Linotype"/>
          <w:sz w:val="22"/>
          <w:szCs w:val="22"/>
        </w:rPr>
        <w:t>.</w:t>
      </w:r>
    </w:p>
    <w:p w:rsidR="00475288" w:rsidRPr="00252307" w:rsidRDefault="00475288" w:rsidP="00475288">
      <w:pPr>
        <w:ind w:right="1"/>
        <w:jc w:val="both"/>
        <w:rPr>
          <w:rFonts w:ascii="Palatino Linotype" w:eastAsia="Palatino Linotype" w:hAnsi="Palatino Linotype" w:cs="Palatino Linotype"/>
          <w:sz w:val="22"/>
          <w:szCs w:val="22"/>
        </w:rPr>
      </w:pP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Tahoma"/>
          <w:color w:val="000000"/>
          <w:sz w:val="22"/>
          <w:szCs w:val="22"/>
          <w:lang w:val="es-ES"/>
        </w:rPr>
        <w:t xml:space="preserve">Por su parte, </w:t>
      </w:r>
      <w:r w:rsidRPr="00252307">
        <w:rPr>
          <w:rFonts w:ascii="Palatino Linotype" w:eastAsia="MS Mincho" w:hAnsi="Palatino Linotype" w:cstheme="majorBidi"/>
          <w:sz w:val="22"/>
          <w:szCs w:val="22"/>
          <w:lang w:val="es-ES_tradnl" w:eastAsia="es-ES"/>
        </w:rPr>
        <w:t xml:space="preserve">David Cienfuegos Salgado, concibe al derecho de petición como </w:t>
      </w:r>
      <w:r w:rsidRPr="00252307">
        <w:rPr>
          <w:rFonts w:ascii="Palatino Linotype" w:eastAsia="MS Mincho" w:hAnsi="Palatino Linotype" w:cstheme="majorBidi"/>
          <w:i/>
          <w:sz w:val="22"/>
          <w:szCs w:val="22"/>
          <w:lang w:val="es-ES_tradnl" w:eastAsia="es-ES"/>
        </w:rPr>
        <w:t>“el derecho de toda persona a ser escuchado por quienes ejercen el poder público</w:t>
      </w:r>
      <w:proofErr w:type="gramStart"/>
      <w:r w:rsidRPr="00252307">
        <w:rPr>
          <w:rFonts w:ascii="Palatino Linotype" w:eastAsia="MS Mincho" w:hAnsi="Palatino Linotype" w:cstheme="majorBidi"/>
          <w:i/>
          <w:sz w:val="22"/>
          <w:szCs w:val="22"/>
          <w:lang w:val="es-ES_tradnl" w:eastAsia="es-ES"/>
        </w:rPr>
        <w:t xml:space="preserve">. </w:t>
      </w:r>
      <w:proofErr w:type="gramEnd"/>
      <w:r w:rsidRPr="00252307">
        <w:rPr>
          <w:rStyle w:val="Refdenotaalpie"/>
          <w:rFonts w:ascii="Palatino Linotype" w:eastAsia="MS Mincho" w:hAnsi="Palatino Linotype" w:cstheme="majorBidi"/>
          <w:i/>
          <w:sz w:val="22"/>
          <w:szCs w:val="22"/>
          <w:lang w:val="es-ES_tradnl" w:eastAsia="es-ES"/>
        </w:rPr>
        <w:footnoteReference w:id="13"/>
      </w:r>
      <w:r w:rsidRPr="00252307">
        <w:rPr>
          <w:rFonts w:ascii="Palatino Linotype" w:eastAsia="MS Mincho" w:hAnsi="Palatino Linotype" w:cstheme="majorBidi"/>
          <w:i/>
          <w:sz w:val="22"/>
          <w:szCs w:val="22"/>
          <w:lang w:val="es-ES_tradnl" w:eastAsia="es-ES"/>
        </w:rPr>
        <w:t>” (Sic)</w:t>
      </w:r>
    </w:p>
    <w:p w:rsidR="00475288" w:rsidRPr="00252307" w:rsidRDefault="00475288" w:rsidP="00475288">
      <w:pPr>
        <w:ind w:right="1"/>
        <w:jc w:val="both"/>
        <w:rPr>
          <w:rFonts w:ascii="Palatino Linotype" w:eastAsia="Palatino Linotype" w:hAnsi="Palatino Linotype" w:cs="Palatino Linotype"/>
          <w:sz w:val="22"/>
          <w:szCs w:val="22"/>
        </w:rPr>
      </w:pP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Tahoma"/>
          <w:color w:val="000000"/>
          <w:sz w:val="22"/>
          <w:szCs w:val="22"/>
          <w:lang w:val="es-ES"/>
        </w:rPr>
        <w:t xml:space="preserve">Lego entonces, </w:t>
      </w:r>
      <w:r w:rsidRPr="00252307">
        <w:rPr>
          <w:rFonts w:ascii="Palatino Linotype" w:eastAsia="MS Mincho" w:hAnsi="Palatino Linotype" w:cstheme="majorBidi"/>
          <w:sz w:val="22"/>
          <w:szCs w:val="22"/>
          <w:lang w:val="es-ES_tradnl" w:eastAsia="es-ES"/>
        </w:rPr>
        <w:t xml:space="preserve">para diferenciar el derecho de petición al derecho de acceso a la información, resulta conducente señalar que José Guadalupe Robles, conceptualiza el derecho a la información como </w:t>
      </w:r>
      <w:r w:rsidRPr="00252307">
        <w:rPr>
          <w:rFonts w:ascii="Palatino Linotype" w:eastAsia="MS Mincho" w:hAnsi="Palatino Linotype" w:cstheme="majorBidi"/>
          <w:i/>
          <w:sz w:val="22"/>
          <w:szCs w:val="22"/>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252307">
        <w:rPr>
          <w:rStyle w:val="Refdenotaalpie"/>
          <w:rFonts w:ascii="Palatino Linotype" w:eastAsia="MS Mincho" w:hAnsi="Palatino Linotype" w:cstheme="majorBidi"/>
          <w:i/>
          <w:sz w:val="22"/>
          <w:szCs w:val="22"/>
          <w:lang w:val="es-ES_tradnl" w:eastAsia="es-ES"/>
        </w:rPr>
        <w:footnoteReference w:id="14"/>
      </w:r>
      <w:r w:rsidRPr="00252307">
        <w:rPr>
          <w:rFonts w:ascii="Palatino Linotype" w:eastAsia="MS Mincho" w:hAnsi="Palatino Linotype" w:cstheme="majorBidi"/>
          <w:i/>
          <w:sz w:val="22"/>
          <w:szCs w:val="22"/>
          <w:lang w:val="es-ES_tradnl" w:eastAsia="es-ES"/>
        </w:rPr>
        <w:t>“(Sic)</w:t>
      </w:r>
    </w:p>
    <w:p w:rsidR="00475288" w:rsidRPr="00252307" w:rsidRDefault="00475288" w:rsidP="00475288">
      <w:pPr>
        <w:ind w:right="1"/>
        <w:jc w:val="both"/>
        <w:rPr>
          <w:rFonts w:ascii="Palatino Linotype" w:eastAsia="Palatino Linotype" w:hAnsi="Palatino Linotype" w:cs="Palatino Linotype"/>
          <w:sz w:val="22"/>
          <w:szCs w:val="22"/>
        </w:rPr>
      </w:pP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Tahoma"/>
          <w:color w:val="000000"/>
          <w:sz w:val="22"/>
          <w:szCs w:val="22"/>
          <w:lang w:val="es-ES"/>
        </w:rPr>
        <w:t xml:space="preserve">Además, </w:t>
      </w:r>
      <w:r w:rsidRPr="00252307">
        <w:rPr>
          <w:rFonts w:ascii="Palatino Linotype" w:eastAsia="MS Mincho" w:hAnsi="Palatino Linotype" w:cstheme="majorBidi"/>
          <w:sz w:val="22"/>
          <w:szCs w:val="22"/>
          <w:lang w:val="es-ES_tradnl" w:eastAsia="es-ES"/>
        </w:rPr>
        <w:t xml:space="preserve">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252307">
        <w:rPr>
          <w:rFonts w:ascii="Palatino Linotype" w:eastAsia="MS Mincho" w:hAnsi="Palatino Linotype" w:cstheme="majorBidi"/>
          <w:sz w:val="22"/>
          <w:szCs w:val="22"/>
          <w:lang w:val="es-ES_tradnl" w:eastAsia="es-ES"/>
        </w:rPr>
        <w:t>Villanueva</w:t>
      </w:r>
      <w:proofErr w:type="spellEnd"/>
      <w:r w:rsidRPr="00252307">
        <w:rPr>
          <w:rFonts w:ascii="Palatino Linotype" w:eastAsia="MS Mincho" w:hAnsi="Palatino Linotype" w:cstheme="majorBidi"/>
          <w:sz w:val="22"/>
          <w:szCs w:val="22"/>
          <w:lang w:val="es-ES_tradnl" w:eastAsia="es-ES"/>
        </w:rPr>
        <w:t xml:space="preserve"> que dice:</w:t>
      </w:r>
      <w:r w:rsidRPr="00252307">
        <w:rPr>
          <w:rFonts w:ascii="Palatino Linotype" w:eastAsia="MS Mincho" w:hAnsi="Palatino Linotype" w:cstheme="majorBidi"/>
          <w:i/>
          <w:sz w:val="22"/>
          <w:szCs w:val="22"/>
          <w:lang w:val="es-ES_tradnl" w:eastAsia="es-ES"/>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252307">
        <w:rPr>
          <w:rStyle w:val="Refdenotaalpie"/>
          <w:rFonts w:ascii="Palatino Linotype" w:eastAsia="MS Mincho" w:hAnsi="Palatino Linotype" w:cstheme="majorBidi"/>
          <w:i/>
          <w:sz w:val="22"/>
          <w:szCs w:val="22"/>
          <w:lang w:val="es-ES_tradnl" w:eastAsia="es-ES"/>
        </w:rPr>
        <w:footnoteReference w:id="15"/>
      </w:r>
      <w:r w:rsidRPr="00252307">
        <w:rPr>
          <w:rFonts w:ascii="Palatino Linotype" w:eastAsia="MS Mincho" w:hAnsi="Palatino Linotype" w:cstheme="majorBidi"/>
          <w:i/>
          <w:sz w:val="22"/>
          <w:szCs w:val="22"/>
          <w:lang w:val="es-ES_tradnl" w:eastAsia="es-ES"/>
        </w:rPr>
        <w:t xml:space="preserve">” (Sic) </w:t>
      </w:r>
    </w:p>
    <w:p w:rsidR="00475288" w:rsidRPr="00252307" w:rsidRDefault="00475288" w:rsidP="00475288">
      <w:pPr>
        <w:pStyle w:val="Prrafodelista"/>
        <w:rPr>
          <w:rFonts w:ascii="Palatino Linotype" w:eastAsia="Calibri" w:hAnsi="Palatino Linotype" w:cs="Tahoma"/>
          <w:color w:val="000000"/>
          <w:szCs w:val="22"/>
          <w:lang w:val="es-ES"/>
        </w:rPr>
      </w:pPr>
    </w:p>
    <w:p w:rsidR="00475288" w:rsidRPr="00252307" w:rsidRDefault="00475288" w:rsidP="00475288">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Tahoma"/>
          <w:color w:val="000000"/>
          <w:sz w:val="22"/>
          <w:szCs w:val="22"/>
          <w:lang w:val="es-ES"/>
        </w:rPr>
        <w:lastRenderedPageBreak/>
        <w:t xml:space="preserve">Ahora bien, </w:t>
      </w:r>
      <w:r w:rsidRPr="00252307">
        <w:rPr>
          <w:rFonts w:ascii="Palatino Linotype" w:eastAsia="MS Mincho" w:hAnsi="Palatino Linotype" w:cstheme="majorBidi"/>
          <w:sz w:val="22"/>
          <w:szCs w:val="22"/>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475288" w:rsidRPr="00252307" w:rsidRDefault="00475288" w:rsidP="002C3B1F">
      <w:pPr>
        <w:ind w:right="1"/>
        <w:jc w:val="both"/>
        <w:rPr>
          <w:rFonts w:ascii="Palatino Linotype" w:eastAsia="Calibri" w:hAnsi="Palatino Linotype" w:cs="Tahoma"/>
          <w:color w:val="000000"/>
          <w:sz w:val="22"/>
          <w:szCs w:val="22"/>
          <w:lang w:val="es-ES"/>
        </w:rPr>
      </w:pPr>
    </w:p>
    <w:p w:rsidR="00475288" w:rsidRPr="00252307" w:rsidRDefault="00475288" w:rsidP="00475288">
      <w:pPr>
        <w:tabs>
          <w:tab w:val="left" w:pos="8222"/>
        </w:tabs>
        <w:ind w:left="567" w:right="567"/>
        <w:contextualSpacing/>
        <w:jc w:val="center"/>
        <w:rPr>
          <w:rFonts w:ascii="Palatino Linotype" w:eastAsia="MS Mincho" w:hAnsi="Palatino Linotype" w:cstheme="majorBidi"/>
          <w:b/>
          <w:i/>
          <w:sz w:val="22"/>
          <w:szCs w:val="22"/>
          <w:lang w:val="es-ES_tradnl" w:eastAsia="es-ES"/>
        </w:rPr>
      </w:pPr>
      <w:r w:rsidRPr="00252307">
        <w:rPr>
          <w:rFonts w:ascii="Palatino Linotype" w:eastAsia="MS Mincho" w:hAnsi="Palatino Linotype" w:cstheme="majorBidi"/>
          <w:b/>
          <w:i/>
          <w:sz w:val="22"/>
          <w:szCs w:val="22"/>
          <w:lang w:val="es-ES_tradnl" w:eastAsia="es-ES"/>
        </w:rPr>
        <w:t>“CRITERIO 0002-11</w:t>
      </w:r>
    </w:p>
    <w:p w:rsidR="00475288" w:rsidRPr="00252307" w:rsidRDefault="00475288" w:rsidP="00475288">
      <w:pPr>
        <w:tabs>
          <w:tab w:val="left" w:pos="8222"/>
        </w:tabs>
        <w:ind w:left="567" w:right="567"/>
        <w:contextualSpacing/>
        <w:jc w:val="both"/>
        <w:rPr>
          <w:rFonts w:ascii="Palatino Linotype" w:eastAsia="MS Mincho" w:hAnsi="Palatino Linotype" w:cstheme="majorBidi"/>
          <w:i/>
          <w:sz w:val="22"/>
          <w:szCs w:val="22"/>
          <w:lang w:val="es-ES_tradnl" w:eastAsia="es-ES"/>
        </w:rPr>
      </w:pPr>
      <w:r w:rsidRPr="00252307">
        <w:rPr>
          <w:rFonts w:ascii="Palatino Linotype" w:eastAsia="MS Mincho" w:hAnsi="Palatino Linotype" w:cstheme="majorBidi"/>
          <w:b/>
          <w:i/>
          <w:sz w:val="22"/>
          <w:szCs w:val="22"/>
          <w:lang w:val="es-ES_tradnl" w:eastAsia="es-ES"/>
        </w:rPr>
        <w:t>INFORMACIÓN PÚBLICA, CONCEPTO DE, EN MATERIA DE TRANSPARENCIA. INTERPRETACIÓN TEMÁTICA DE LOS ARTÍCULOS 2, FRACCIÓN V, XV, Y XVI, 3, 4, 11 Y 41.</w:t>
      </w:r>
      <w:r w:rsidRPr="00252307">
        <w:rPr>
          <w:rFonts w:ascii="Palatino Linotype" w:eastAsia="MS Mincho" w:hAnsi="Palatino Linotype" w:cstheme="majorBidi"/>
          <w:i/>
          <w:sz w:val="22"/>
          <w:szCs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252307">
        <w:rPr>
          <w:rFonts w:ascii="Palatino Linotype" w:eastAsia="MS Mincho" w:hAnsi="Palatino Linotype" w:cstheme="majorBidi"/>
          <w:i/>
          <w:sz w:val="22"/>
          <w:szCs w:val="22"/>
          <w:lang w:val="es-ES_tradnl" w:eastAsia="es-ES"/>
        </w:rPr>
        <w:t>En consecuencia el acceso a la información se refiere a que se cumplan cualquiera de los siguientes tres supuestos:</w:t>
      </w: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252307">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generada por los Sujetos Obligados;</w:t>
      </w: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252307">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administrada por los Sujetos Obligados, y</w:t>
      </w:r>
    </w:p>
    <w:p w:rsidR="00475288" w:rsidRPr="00252307" w:rsidRDefault="00475288" w:rsidP="00475288">
      <w:pPr>
        <w:tabs>
          <w:tab w:val="left" w:pos="8222"/>
        </w:tabs>
        <w:ind w:left="567" w:right="539"/>
        <w:contextualSpacing/>
        <w:jc w:val="both"/>
        <w:rPr>
          <w:rFonts w:ascii="Palatino Linotype" w:eastAsia="MS Mincho" w:hAnsi="Palatino Linotype" w:cstheme="majorBidi"/>
          <w:i/>
          <w:sz w:val="22"/>
          <w:szCs w:val="22"/>
          <w:lang w:val="es-ES_tradnl" w:eastAsia="es-ES"/>
        </w:rPr>
      </w:pPr>
    </w:p>
    <w:p w:rsidR="00475288" w:rsidRPr="00252307" w:rsidRDefault="00475288" w:rsidP="00475288">
      <w:pPr>
        <w:ind w:left="567" w:right="539"/>
        <w:contextualSpacing/>
        <w:jc w:val="both"/>
        <w:rPr>
          <w:rFonts w:ascii="Palatino Linotype" w:eastAsia="Calibri" w:hAnsi="Palatino Linotype" w:cs="Tahoma"/>
          <w:color w:val="000000"/>
          <w:sz w:val="22"/>
          <w:szCs w:val="22"/>
          <w:lang w:val="es-ES"/>
        </w:rPr>
      </w:pPr>
      <w:r w:rsidRPr="00252307">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 encuentre en posesión de los Sujetos Obligados</w:t>
      </w:r>
      <w:r w:rsidRPr="00252307">
        <w:rPr>
          <w:rFonts w:ascii="Palatino Linotype" w:eastAsia="MS Mincho" w:hAnsi="Palatino Linotype" w:cstheme="majorBidi"/>
          <w:sz w:val="22"/>
          <w:szCs w:val="22"/>
          <w:lang w:val="es-ES_tradnl" w:eastAsia="es-ES"/>
        </w:rPr>
        <w:t>.”</w:t>
      </w:r>
    </w:p>
    <w:p w:rsidR="00475288" w:rsidRPr="00252307" w:rsidRDefault="00475288" w:rsidP="00475288">
      <w:pPr>
        <w:ind w:right="1"/>
        <w:jc w:val="both"/>
        <w:rPr>
          <w:rFonts w:ascii="Palatino Linotype" w:eastAsia="Palatino Linotype" w:hAnsi="Palatino Linotype" w:cs="Palatino Linotype"/>
          <w:sz w:val="22"/>
          <w:szCs w:val="22"/>
        </w:rPr>
      </w:pPr>
    </w:p>
    <w:p w:rsidR="00827BFE" w:rsidRPr="00252307" w:rsidRDefault="00475288" w:rsidP="00827BFE">
      <w:pPr>
        <w:numPr>
          <w:ilvl w:val="0"/>
          <w:numId w:val="1"/>
        </w:numPr>
        <w:spacing w:line="360" w:lineRule="auto"/>
        <w:ind w:left="0" w:right="1" w:firstLine="0"/>
        <w:jc w:val="both"/>
        <w:rPr>
          <w:rFonts w:ascii="Palatino Linotype" w:eastAsia="Palatino Linotype" w:hAnsi="Palatino Linotype" w:cs="Palatino Linotype"/>
          <w:sz w:val="22"/>
          <w:szCs w:val="22"/>
        </w:rPr>
      </w:pPr>
      <w:r w:rsidRPr="00252307">
        <w:rPr>
          <w:rFonts w:ascii="Palatino Linotype" w:eastAsia="Calibri" w:hAnsi="Palatino Linotype" w:cs="Tahoma"/>
          <w:color w:val="000000"/>
          <w:sz w:val="22"/>
          <w:szCs w:val="22"/>
          <w:lang w:val="es-ES"/>
        </w:rPr>
        <w:t xml:space="preserve">De </w:t>
      </w:r>
      <w:r w:rsidRPr="00252307">
        <w:rPr>
          <w:rFonts w:ascii="Palatino Linotype" w:eastAsia="MS Mincho" w:hAnsi="Palatino Linotype" w:cstheme="majorBidi"/>
          <w:sz w:val="22"/>
          <w:szCs w:val="22"/>
          <w:lang w:val="es-ES_tradnl" w:eastAsia="es-ES"/>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rsidR="00F5723F" w:rsidRPr="00252307" w:rsidRDefault="001E3125" w:rsidP="00681958">
      <w:pPr>
        <w:spacing w:line="360" w:lineRule="auto"/>
        <w:ind w:right="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lastRenderedPageBreak/>
        <w:t>QUINTO. VERSIÓN PÚBLICA.</w:t>
      </w:r>
    </w:p>
    <w:p w:rsidR="00E94D86" w:rsidRPr="00252307" w:rsidRDefault="001E3125">
      <w:pPr>
        <w:keepNext/>
        <w:keepLines/>
        <w:numPr>
          <w:ilvl w:val="0"/>
          <w:numId w:val="3"/>
        </w:numPr>
        <w:spacing w:line="360" w:lineRule="auto"/>
        <w:ind w:left="284" w:firstLine="0"/>
        <w:rPr>
          <w:rFonts w:ascii="Palatino Linotype" w:eastAsia="Palatino Linotype" w:hAnsi="Palatino Linotype" w:cs="Palatino Linotype"/>
          <w:b/>
          <w:color w:val="000000"/>
          <w:sz w:val="22"/>
          <w:szCs w:val="22"/>
        </w:rPr>
      </w:pPr>
      <w:bookmarkStart w:id="5" w:name="_heading=h.1t3h5sf" w:colFirst="0" w:colLast="0"/>
      <w:bookmarkEnd w:id="5"/>
      <w:r w:rsidRPr="00252307">
        <w:rPr>
          <w:rFonts w:ascii="Palatino Linotype" w:eastAsia="Palatino Linotype" w:hAnsi="Palatino Linotype" w:cs="Palatino Linotype"/>
          <w:b/>
          <w:color w:val="000000"/>
          <w:sz w:val="22"/>
          <w:szCs w:val="22"/>
        </w:rPr>
        <w:t xml:space="preserve">Nociones generales. </w:t>
      </w:r>
    </w:p>
    <w:p w:rsidR="00E94D86" w:rsidRPr="00252307" w:rsidRDefault="00E94D86" w:rsidP="002C3B1F">
      <w:pPr>
        <w:ind w:right="1"/>
        <w:rPr>
          <w:rFonts w:ascii="Palatino Linotype" w:eastAsia="Palatino Linotype" w:hAnsi="Palatino Linotype" w:cs="Palatino Linotype"/>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Debe </w:t>
      </w:r>
      <w:r w:rsidRPr="00252307">
        <w:rPr>
          <w:rFonts w:ascii="Palatino Linotype" w:eastAsia="Palatino Linotype" w:hAnsi="Palatino Linotype" w:cs="Palatino Linotype"/>
          <w:color w:val="000000"/>
          <w:sz w:val="22"/>
          <w:szCs w:val="22"/>
        </w:rPr>
        <w:t>destacarse que, debido a la naturaleza de la información solicitada</w:t>
      </w:r>
      <w:r w:rsidRPr="00252307">
        <w:rPr>
          <w:rFonts w:ascii="Palatino Linotype" w:eastAsia="Palatino Linotype" w:hAnsi="Palatino Linotype" w:cs="Palatino Linotype"/>
          <w:b/>
          <w:color w:val="000000"/>
          <w:sz w:val="22"/>
          <w:szCs w:val="22"/>
        </w:rPr>
        <w:t xml:space="preserve">, </w:t>
      </w:r>
      <w:r w:rsidRPr="00252307">
        <w:rPr>
          <w:rFonts w:ascii="Palatino Linotype" w:eastAsia="Palatino Linotype" w:hAnsi="Palatino Linotype" w:cs="Palatino Linotype"/>
          <w:color w:val="000000"/>
          <w:sz w:val="22"/>
          <w:szCs w:val="22"/>
        </w:rPr>
        <w:t xml:space="preserve">eventualmente pudiera obrar datos personales susceptibles de protegerse, el </w:t>
      </w:r>
      <w:r w:rsidRPr="00252307">
        <w:rPr>
          <w:rFonts w:ascii="Palatino Linotype" w:eastAsia="Palatino Linotype" w:hAnsi="Palatino Linotype" w:cs="Palatino Linotype"/>
          <w:b/>
          <w:color w:val="000000"/>
          <w:sz w:val="22"/>
          <w:szCs w:val="22"/>
        </w:rPr>
        <w:t xml:space="preserve">Sujeto Obligado </w:t>
      </w:r>
      <w:r w:rsidRPr="00252307">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E94D86" w:rsidRPr="00252307" w:rsidRDefault="00E94D86" w:rsidP="00681958">
      <w:pPr>
        <w:ind w:right="1"/>
        <w:rPr>
          <w:rFonts w:ascii="Palatino Linotype" w:eastAsia="Palatino Linotype" w:hAnsi="Palatino Linotype" w:cs="Palatino Linotype"/>
          <w:color w:val="000000"/>
          <w:sz w:val="22"/>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No pasa desapercibido para este Órgano Garante que los Sujetos Obligados</w:t>
      </w:r>
      <w:r w:rsidRPr="00252307">
        <w:rPr>
          <w:rFonts w:ascii="Palatino Linotype" w:eastAsia="Palatino Linotype" w:hAnsi="Palatino Linotype" w:cs="Palatino Linotype"/>
          <w:b/>
          <w:color w:val="000000"/>
          <w:sz w:val="22"/>
          <w:szCs w:val="22"/>
        </w:rPr>
        <w:t xml:space="preserve"> </w:t>
      </w:r>
      <w:r w:rsidRPr="00252307">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94D86" w:rsidRPr="00252307" w:rsidRDefault="00E94D86" w:rsidP="00681958">
      <w:pPr>
        <w:ind w:right="49"/>
        <w:jc w:val="both"/>
        <w:rPr>
          <w:rFonts w:ascii="Palatino Linotype" w:eastAsia="Palatino Linotype" w:hAnsi="Palatino Linotype" w:cs="Palatino Linotype"/>
          <w:color w:val="000000"/>
          <w:sz w:val="22"/>
          <w:szCs w:val="22"/>
        </w:rPr>
      </w:pPr>
    </w:p>
    <w:tbl>
      <w:tblPr>
        <w:tblStyle w:val="a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94D86" w:rsidRPr="00252307" w:rsidTr="00E94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252307" w:rsidRDefault="001E3125">
            <w:pPr>
              <w:rPr>
                <w:rFonts w:ascii="Palatino Linotype" w:eastAsia="Palatino Linotype" w:hAnsi="Palatino Linotype" w:cs="Palatino Linotype"/>
              </w:rPr>
            </w:pPr>
            <w:r w:rsidRPr="00252307">
              <w:rPr>
                <w:rFonts w:ascii="Palatino Linotype" w:eastAsia="Palatino Linotype" w:hAnsi="Palatino Linotype" w:cs="Palatino Linotype"/>
              </w:rPr>
              <w:t>a) Requisitos previos.</w:t>
            </w:r>
          </w:p>
        </w:tc>
        <w:tc>
          <w:tcPr>
            <w:tcW w:w="6990" w:type="dxa"/>
          </w:tcPr>
          <w:p w:rsidR="00E94D86" w:rsidRPr="00252307"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94D86" w:rsidRPr="00252307"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E94D86" w:rsidRPr="00252307"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rsidR="00E94D86" w:rsidRPr="00252307" w:rsidRDefault="001E312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52307">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252307">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252307">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E94D86" w:rsidRPr="00252307"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252307" w:rsidRDefault="001E3125">
            <w:pPr>
              <w:rPr>
                <w:rFonts w:ascii="Palatino Linotype" w:eastAsia="Palatino Linotype" w:hAnsi="Palatino Linotype" w:cs="Palatino Linotype"/>
              </w:rPr>
            </w:pPr>
            <w:r w:rsidRPr="00252307">
              <w:rPr>
                <w:rFonts w:ascii="Palatino Linotype" w:eastAsia="Palatino Linotype" w:hAnsi="Palatino Linotype" w:cs="Palatino Linotype"/>
              </w:rPr>
              <w:t>b) Supuestos de clasificación.</w:t>
            </w:r>
          </w:p>
        </w:tc>
        <w:tc>
          <w:tcPr>
            <w:tcW w:w="6990" w:type="dxa"/>
          </w:tcPr>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94D86" w:rsidRPr="00252307" w:rsidRDefault="001E312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52307">
              <w:rPr>
                <w:rFonts w:ascii="Palatino Linotype" w:eastAsia="Palatino Linotype" w:hAnsi="Palatino Linotype" w:cs="Palatino Linotype"/>
                <w:color w:val="000000"/>
              </w:rPr>
              <w:t xml:space="preserve">El </w:t>
            </w:r>
            <w:r w:rsidRPr="00252307">
              <w:rPr>
                <w:rFonts w:ascii="Palatino Linotype" w:eastAsia="Palatino Linotype" w:hAnsi="Palatino Linotype" w:cs="Palatino Linotype"/>
                <w:b/>
                <w:color w:val="000000"/>
              </w:rPr>
              <w:t>Sujeto Obligado</w:t>
            </w:r>
            <w:r w:rsidRPr="0025230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4D86" w:rsidRPr="00252307"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252307" w:rsidRDefault="001E3125">
            <w:pPr>
              <w:rPr>
                <w:rFonts w:ascii="Palatino Linotype" w:eastAsia="Palatino Linotype" w:hAnsi="Palatino Linotype" w:cs="Palatino Linotype"/>
              </w:rPr>
            </w:pPr>
            <w:r w:rsidRPr="00252307">
              <w:rPr>
                <w:rFonts w:ascii="Palatino Linotype" w:eastAsia="Palatino Linotype" w:hAnsi="Palatino Linotype" w:cs="Palatino Linotype"/>
              </w:rPr>
              <w:lastRenderedPageBreak/>
              <w:t>c) Formalidades para emitir el acuerdo de clasificación.</w:t>
            </w:r>
          </w:p>
        </w:tc>
        <w:tc>
          <w:tcPr>
            <w:tcW w:w="6990" w:type="dxa"/>
          </w:tcPr>
          <w:p w:rsidR="00E94D86" w:rsidRPr="00252307"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E94D86" w:rsidRPr="00252307"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Es necesario que </w:t>
            </w:r>
            <w:r w:rsidRPr="00252307">
              <w:rPr>
                <w:rFonts w:ascii="Palatino Linotype" w:eastAsia="Palatino Linotype" w:hAnsi="Palatino Linotype" w:cs="Palatino Linotype"/>
                <w:b/>
                <w:color w:val="000000"/>
                <w:u w:val="single"/>
              </w:rPr>
              <w:t>el acto reúna con los requisitos elementales</w:t>
            </w:r>
            <w:r w:rsidRPr="00252307">
              <w:rPr>
                <w:rFonts w:ascii="Palatino Linotype" w:eastAsia="Palatino Linotype" w:hAnsi="Palatino Linotype" w:cs="Palatino Linotype"/>
                <w:color w:val="000000"/>
              </w:rPr>
              <w:t>, entre ellos, que la autoridad que va a emitir el acto de autoridad sea la legalmente facultada para ello.</w:t>
            </w:r>
          </w:p>
          <w:p w:rsidR="00E94D86" w:rsidRPr="00252307" w:rsidRDefault="001E312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52307">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4D86" w:rsidRPr="00252307"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252307" w:rsidRDefault="00E94D86">
            <w:pPr>
              <w:rPr>
                <w:rFonts w:ascii="Palatino Linotype" w:eastAsia="Palatino Linotype" w:hAnsi="Palatino Linotype" w:cs="Palatino Linotype"/>
              </w:rPr>
            </w:pPr>
          </w:p>
          <w:p w:rsidR="00E94D86" w:rsidRPr="00252307" w:rsidRDefault="001E3125">
            <w:pPr>
              <w:jc w:val="both"/>
              <w:rPr>
                <w:rFonts w:ascii="Palatino Linotype" w:eastAsia="Palatino Linotype" w:hAnsi="Palatino Linotype" w:cs="Palatino Linotype"/>
              </w:rPr>
            </w:pPr>
            <w:r w:rsidRPr="00252307">
              <w:rPr>
                <w:rFonts w:ascii="Palatino Linotype" w:eastAsia="Palatino Linotype" w:hAnsi="Palatino Linotype" w:cs="Palatino Linotype"/>
                <w:color w:val="000000"/>
              </w:rPr>
              <w:t xml:space="preserve">d) Requisitos de fondo del acuerdo de clasificación. </w:t>
            </w:r>
          </w:p>
        </w:tc>
        <w:tc>
          <w:tcPr>
            <w:tcW w:w="6990" w:type="dxa"/>
          </w:tcPr>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52307">
              <w:rPr>
                <w:rFonts w:ascii="Palatino Linotype" w:eastAsia="Palatino Linotype" w:hAnsi="Palatino Linotype" w:cs="Palatino Linotype"/>
                <w:b/>
                <w:color w:val="000000"/>
              </w:rPr>
              <w:t>Sujetos Obligados</w:t>
            </w:r>
            <w:r w:rsidRPr="00252307">
              <w:rPr>
                <w:rFonts w:ascii="Palatino Linotype" w:eastAsia="Palatino Linotype" w:hAnsi="Palatino Linotype" w:cs="Palatino Linotype"/>
                <w:color w:val="000000"/>
              </w:rPr>
              <w:t xml:space="preserve">, por lo que deberán fundar y motivar debidamente la clasificación. </w:t>
            </w:r>
          </w:p>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De lo anterior, se desprende que para una correcta </w:t>
            </w:r>
            <w:r w:rsidRPr="00252307">
              <w:rPr>
                <w:rFonts w:ascii="Palatino Linotype" w:eastAsia="Palatino Linotype" w:hAnsi="Palatino Linotype" w:cs="Palatino Linotype"/>
                <w:b/>
                <w:color w:val="000000"/>
              </w:rPr>
              <w:t>clasificación total o parcial</w:t>
            </w:r>
            <w:r w:rsidRPr="00252307">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252307">
              <w:rPr>
                <w:rFonts w:ascii="Palatino Linotype" w:eastAsia="Palatino Linotype" w:hAnsi="Palatino Linotype" w:cs="Palatino Linotype"/>
                <w:color w:val="000000"/>
              </w:rPr>
              <w:lastRenderedPageBreak/>
              <w:t>fundamentos legales que le dieron origen y las razones por las que se deben aplicar al caso concreto.</w:t>
            </w:r>
          </w:p>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E94D86" w:rsidRPr="00252307"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Ahora bien, </w:t>
            </w:r>
            <w:r w:rsidRPr="00252307">
              <w:rPr>
                <w:rFonts w:ascii="Palatino Linotype" w:eastAsia="Palatino Linotype" w:hAnsi="Palatino Linotype" w:cs="Palatino Linotype"/>
                <w:b/>
                <w:color w:val="000000"/>
                <w:u w:val="single"/>
              </w:rPr>
              <w:t>para cada caso además de fundar y motivar</w:t>
            </w:r>
            <w:r w:rsidRPr="00252307">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4D86" w:rsidRPr="00252307"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252307" w:rsidRDefault="001E3125">
            <w:pPr>
              <w:ind w:right="49"/>
              <w:jc w:val="both"/>
              <w:rPr>
                <w:rFonts w:ascii="Palatino Linotype" w:eastAsia="Palatino Linotype" w:hAnsi="Palatino Linotype" w:cs="Palatino Linotype"/>
              </w:rPr>
            </w:pPr>
            <w:r w:rsidRPr="00252307">
              <w:rPr>
                <w:rFonts w:ascii="Palatino Linotype" w:eastAsia="Palatino Linotype" w:hAnsi="Palatino Linotype" w:cs="Palatino Linotype"/>
                <w:b w:val="0"/>
              </w:rPr>
              <w:lastRenderedPageBreak/>
              <w:t>e</w:t>
            </w:r>
            <w:r w:rsidRPr="00252307">
              <w:rPr>
                <w:rFonts w:ascii="Palatino Linotype" w:eastAsia="Palatino Linotype" w:hAnsi="Palatino Linotype" w:cs="Palatino Linotype"/>
              </w:rPr>
              <w:t xml:space="preserve">) Condiciones especiales de la clasificación de la información como confidencial. </w:t>
            </w:r>
          </w:p>
        </w:tc>
        <w:tc>
          <w:tcPr>
            <w:tcW w:w="6990" w:type="dxa"/>
          </w:tcPr>
          <w:p w:rsidR="00E94D86" w:rsidRPr="00252307"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E94D86" w:rsidRPr="00252307"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25230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94D86" w:rsidRPr="00252307" w:rsidRDefault="001E312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5230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27CB5" w:rsidRPr="00252307" w:rsidRDefault="00327CB5" w:rsidP="00681958">
      <w:pPr>
        <w:ind w:right="1"/>
        <w:jc w:val="both"/>
        <w:rPr>
          <w:rFonts w:ascii="Palatino Linotype" w:eastAsia="Palatino Linotype" w:hAnsi="Palatino Linotype" w:cs="Palatino Linotype"/>
          <w:b/>
          <w:sz w:val="22"/>
          <w:szCs w:val="22"/>
        </w:rPr>
      </w:pPr>
    </w:p>
    <w:p w:rsidR="002B0131" w:rsidRPr="00252307" w:rsidRDefault="00327CB5" w:rsidP="00327CB5">
      <w:pPr>
        <w:pStyle w:val="Prrafodelista"/>
        <w:numPr>
          <w:ilvl w:val="0"/>
          <w:numId w:val="7"/>
        </w:numPr>
        <w:tabs>
          <w:tab w:val="left" w:pos="426"/>
        </w:tabs>
        <w:spacing w:line="360" w:lineRule="auto"/>
        <w:ind w:right="5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Del análisis de los datos susceptibles de ser protegidos en la nómina.</w:t>
      </w:r>
    </w:p>
    <w:p w:rsidR="00327CB5" w:rsidRPr="00252307" w:rsidRDefault="00327CB5" w:rsidP="00681958">
      <w:pPr>
        <w:tabs>
          <w:tab w:val="left" w:pos="426"/>
        </w:tabs>
        <w:ind w:right="5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color w:val="000000" w:themeColor="text1"/>
          <w:sz w:val="22"/>
          <w:szCs w:val="22"/>
          <w:lang w:val="es-ES"/>
        </w:rPr>
        <w:t xml:space="preserve">Bajo </w:t>
      </w:r>
      <w:r w:rsidRPr="00252307">
        <w:rPr>
          <w:rFonts w:ascii="Palatino Linotype" w:eastAsia="Palatino Linotype" w:hAnsi="Palatino Linotype" w:cs="Palatino Linotype"/>
          <w:sz w:val="22"/>
          <w:szCs w:val="22"/>
        </w:rPr>
        <w:t xml:space="preserve">lo anterior, es importante analizar los datos personales susceptibles de ser protegidos, que pudieran estar contenidos en los documentos donde obra lo requerido, tales </w:t>
      </w:r>
      <w:r w:rsidRPr="00252307">
        <w:rPr>
          <w:rFonts w:ascii="Palatino Linotype" w:eastAsia="Palatino Linotype" w:hAnsi="Palatino Linotype" w:cs="Palatino Linotype"/>
          <w:sz w:val="22"/>
          <w:szCs w:val="22"/>
        </w:rPr>
        <w:lastRenderedPageBreak/>
        <w:t xml:space="preserve">como </w:t>
      </w:r>
      <w:r w:rsidRPr="00252307">
        <w:rPr>
          <w:rFonts w:ascii="Palatino Linotype" w:eastAsia="Palatino Linotype" w:hAnsi="Palatino Linotype" w:cs="Palatino Linotype"/>
          <w:b/>
          <w:sz w:val="22"/>
          <w:szCs w:val="22"/>
        </w:rPr>
        <w:t xml:space="preserve">Registro Federal de Contribuyentes (RFC), </w:t>
      </w:r>
      <w:r w:rsidRPr="00252307">
        <w:rPr>
          <w:rFonts w:ascii="Palatino Linotype" w:eastAsia="Palatino Linotype" w:hAnsi="Palatino Linotype" w:cs="Palatino Linotype"/>
          <w:sz w:val="22"/>
          <w:szCs w:val="22"/>
        </w:rPr>
        <w:t xml:space="preserve">la </w:t>
      </w:r>
      <w:r w:rsidRPr="00252307">
        <w:rPr>
          <w:rFonts w:ascii="Palatino Linotype" w:eastAsia="Palatino Linotype" w:hAnsi="Palatino Linotype" w:cs="Palatino Linotype"/>
          <w:b/>
          <w:sz w:val="22"/>
          <w:szCs w:val="22"/>
        </w:rPr>
        <w:t>Clave Única de Registro de Población (CURP)</w:t>
      </w:r>
      <w:r w:rsidRPr="00252307">
        <w:rPr>
          <w:rFonts w:ascii="Palatino Linotype" w:eastAsia="Palatino Linotype" w:hAnsi="Palatino Linotype" w:cs="Palatino Linotype"/>
          <w:sz w:val="22"/>
          <w:szCs w:val="22"/>
        </w:rPr>
        <w:t xml:space="preserve">, la </w:t>
      </w:r>
      <w:r w:rsidRPr="00252307">
        <w:rPr>
          <w:rFonts w:ascii="Palatino Linotype" w:eastAsia="Palatino Linotype" w:hAnsi="Palatino Linotype" w:cs="Palatino Linotype"/>
          <w:b/>
          <w:sz w:val="22"/>
          <w:szCs w:val="22"/>
        </w:rPr>
        <w:t xml:space="preserve">Clave de </w:t>
      </w:r>
      <w:proofErr w:type="spellStart"/>
      <w:r w:rsidRPr="00252307">
        <w:rPr>
          <w:rFonts w:ascii="Palatino Linotype" w:eastAsia="Palatino Linotype" w:hAnsi="Palatino Linotype" w:cs="Palatino Linotype"/>
          <w:b/>
          <w:sz w:val="22"/>
          <w:szCs w:val="22"/>
        </w:rPr>
        <w:t>ISSEMyM</w:t>
      </w:r>
      <w:proofErr w:type="spellEnd"/>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 xml:space="preserve">u análogos, </w:t>
      </w:r>
      <w:r w:rsidRPr="00252307">
        <w:rPr>
          <w:rFonts w:ascii="Palatino Linotype" w:eastAsia="Palatino Linotype" w:hAnsi="Palatino Linotype" w:cs="Palatino Linotype"/>
          <w:b/>
          <w:sz w:val="22"/>
          <w:szCs w:val="22"/>
        </w:rPr>
        <w:t xml:space="preserve">préstamos o descuentos </w:t>
      </w:r>
      <w:r w:rsidRPr="00252307">
        <w:rPr>
          <w:rFonts w:ascii="Palatino Linotype" w:eastAsia="Palatino Linotype" w:hAnsi="Palatino Linotype" w:cs="Palatino Linotype"/>
          <w:sz w:val="22"/>
          <w:szCs w:val="22"/>
        </w:rPr>
        <w:t xml:space="preserve">realizados al servidor público y la </w:t>
      </w:r>
      <w:r w:rsidRPr="00252307">
        <w:rPr>
          <w:rFonts w:ascii="Palatino Linotype" w:eastAsia="Palatino Linotype" w:hAnsi="Palatino Linotype" w:cs="Palatino Linotype"/>
          <w:b/>
          <w:sz w:val="22"/>
          <w:szCs w:val="22"/>
        </w:rPr>
        <w:t>clave interbancaria de depósito.</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51644E" w:rsidP="0051644E">
      <w:pPr>
        <w:tabs>
          <w:tab w:val="left" w:pos="426"/>
        </w:tabs>
        <w:spacing w:line="360" w:lineRule="auto"/>
        <w:ind w:left="426" w:right="5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a) Del Registro Federal de Contribuyentes.</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252307">
        <w:rPr>
          <w:rFonts w:ascii="Palatino Linotype" w:eastAsia="Palatino Linotype" w:hAnsi="Palatino Linotype" w:cs="Palatino Linotype"/>
          <w:sz w:val="22"/>
          <w:szCs w:val="22"/>
        </w:rPr>
        <w:t>homoclave</w:t>
      </w:r>
      <w:proofErr w:type="spellEnd"/>
      <w:r w:rsidRPr="00252307">
        <w:rPr>
          <w:rFonts w:ascii="Palatino Linotype" w:eastAsia="Palatino Linotype" w:hAnsi="Palatino Linotype" w:cs="Palatino Linotype"/>
          <w:sz w:val="22"/>
          <w:szCs w:val="22"/>
        </w:rPr>
        <w:t xml:space="preserve"> que es asignada por el Servicio de Administración Tributaria (SAT).</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rsidR="0051644E" w:rsidRPr="00252307" w:rsidRDefault="0051644E" w:rsidP="00681958">
      <w:pPr>
        <w:rPr>
          <w:rFonts w:ascii="Palatino Linotype" w:eastAsia="Palatino Linotype" w:hAnsi="Palatino Linotype" w:cs="Palatino Linotype"/>
          <w:sz w:val="22"/>
          <w:szCs w:val="22"/>
        </w:rPr>
      </w:pPr>
    </w:p>
    <w:p w:rsidR="0051644E" w:rsidRPr="00252307" w:rsidRDefault="00327CB5"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51644E" w:rsidRPr="00252307" w:rsidRDefault="0051644E" w:rsidP="0051644E">
      <w:pPr>
        <w:rPr>
          <w:rFonts w:ascii="Palatino Linotype" w:eastAsia="Palatino Linotype" w:hAnsi="Palatino Linotype" w:cs="Palatino Linotype"/>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lastRenderedPageBreak/>
        <w:t>En el mismo sentido, resulta aplicable el Criterio 19/17 emitido por el Instituto Nacional de Transparencia, Acceso a la Información, y Protección de Datos Personales, en el cual se señala lo siguiente:</w:t>
      </w:r>
    </w:p>
    <w:p w:rsidR="0051644E" w:rsidRPr="00252307" w:rsidRDefault="0051644E" w:rsidP="00681958">
      <w:pPr>
        <w:ind w:right="1"/>
        <w:jc w:val="both"/>
        <w:rPr>
          <w:rFonts w:ascii="Palatino Linotype" w:eastAsia="Palatino Linotype" w:hAnsi="Palatino Linotype" w:cs="Palatino Linotype"/>
          <w:sz w:val="22"/>
          <w:szCs w:val="22"/>
        </w:rPr>
      </w:pPr>
    </w:p>
    <w:p w:rsidR="0051644E" w:rsidRPr="00252307" w:rsidRDefault="0051644E" w:rsidP="0051644E">
      <w:pPr>
        <w:shd w:val="clear" w:color="auto" w:fill="FFFFFF"/>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REGISTRO FEDERAL DE CONTRIBUYENTES (RFC) DE PERSONAS FÍSICAS.</w:t>
      </w:r>
      <w:r w:rsidRPr="00252307">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rsidR="0051644E" w:rsidRPr="00252307" w:rsidRDefault="0051644E" w:rsidP="00681958">
      <w:pPr>
        <w:tabs>
          <w:tab w:val="left" w:pos="426"/>
        </w:tabs>
        <w:ind w:right="51"/>
        <w:jc w:val="both"/>
        <w:rPr>
          <w:rFonts w:ascii="Palatino Linotype" w:eastAsia="Palatino Linotype" w:hAnsi="Palatino Linotype" w:cs="Palatino Linotype"/>
          <w:sz w:val="22"/>
          <w:szCs w:val="22"/>
        </w:rPr>
      </w:pPr>
    </w:p>
    <w:p w:rsidR="0051644E" w:rsidRPr="00252307" w:rsidRDefault="0051644E" w:rsidP="0051644E">
      <w:pPr>
        <w:tabs>
          <w:tab w:val="left" w:pos="426"/>
        </w:tabs>
        <w:spacing w:line="360" w:lineRule="auto"/>
        <w:ind w:right="5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b) De la Clave Única de Registro de Población.</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51644E" w:rsidP="00827BFE">
      <w:pPr>
        <w:spacing w:line="360" w:lineRule="auto"/>
        <w:ind w:right="1"/>
        <w:jc w:val="center"/>
        <w:rPr>
          <w:rFonts w:ascii="Palatino Linotype" w:eastAsia="Palatino Linotype" w:hAnsi="Palatino Linotype" w:cs="Palatino Linotype"/>
          <w:b/>
          <w:sz w:val="22"/>
          <w:szCs w:val="22"/>
        </w:rPr>
      </w:pPr>
      <w:r w:rsidRPr="00252307">
        <w:rPr>
          <w:rFonts w:ascii="Palatino Linotype" w:hAnsi="Palatino Linotype"/>
          <w:noProof/>
          <w:sz w:val="22"/>
          <w:szCs w:val="22"/>
        </w:rPr>
        <w:drawing>
          <wp:inline distT="0" distB="0" distL="0" distR="0" wp14:anchorId="085A1AFD" wp14:editId="03CA1A1B">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3"/>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305C25" w:rsidRPr="00252307" w:rsidRDefault="00305C25" w:rsidP="00305C25">
      <w:pPr>
        <w:ind w:right="1"/>
        <w:jc w:val="both"/>
        <w:rPr>
          <w:rFonts w:ascii="Palatino Linotype" w:eastAsia="Palatino Linotype" w:hAnsi="Palatino Linotype" w:cs="Palatino Linotype"/>
          <w:b/>
          <w:sz w:val="22"/>
          <w:szCs w:val="22"/>
        </w:rPr>
      </w:pPr>
    </w:p>
    <w:p w:rsidR="00827BFE" w:rsidRPr="00252307" w:rsidRDefault="00327CB5" w:rsidP="00827BF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lastRenderedPageBreak/>
        <w:t>Entre las características de la CURP, se encuentra:</w:t>
      </w:r>
    </w:p>
    <w:p w:rsidR="0051644E" w:rsidRPr="00252307" w:rsidRDefault="0051644E" w:rsidP="00681958">
      <w:pPr>
        <w:ind w:right="1"/>
        <w:jc w:val="both"/>
        <w:rPr>
          <w:rFonts w:ascii="Palatino Linotype" w:eastAsia="Palatino Linotype" w:hAnsi="Palatino Linotype" w:cs="Palatino Linotype"/>
          <w:sz w:val="22"/>
          <w:szCs w:val="22"/>
        </w:rPr>
      </w:pPr>
    </w:p>
    <w:p w:rsidR="0051644E" w:rsidRPr="00252307"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Composición. </w:t>
      </w:r>
      <w:r w:rsidRPr="00252307">
        <w:rPr>
          <w:rFonts w:ascii="Palatino Linotype" w:eastAsia="Palatino Linotype" w:hAnsi="Palatino Linotype" w:cs="Palatino Linotype"/>
          <w:i/>
          <w:sz w:val="22"/>
          <w:szCs w:val="22"/>
        </w:rPr>
        <w:t>Alfanumérica.</w:t>
      </w:r>
    </w:p>
    <w:p w:rsidR="0051644E" w:rsidRPr="00252307"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Longitud. </w:t>
      </w:r>
      <w:r w:rsidRPr="00252307">
        <w:rPr>
          <w:rFonts w:ascii="Palatino Linotype" w:eastAsia="Palatino Linotype" w:hAnsi="Palatino Linotype" w:cs="Palatino Linotype"/>
          <w:i/>
          <w:sz w:val="22"/>
          <w:szCs w:val="22"/>
        </w:rPr>
        <w:t xml:space="preserve"> 18 caracteres.</w:t>
      </w:r>
    </w:p>
    <w:p w:rsidR="0051644E" w:rsidRPr="00252307"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Naturaleza. </w:t>
      </w:r>
      <w:r w:rsidRPr="00252307">
        <w:rPr>
          <w:rFonts w:ascii="Palatino Linotype" w:eastAsia="Palatino Linotype" w:hAnsi="Palatino Linotype" w:cs="Palatino Linotype"/>
          <w:i/>
          <w:sz w:val="22"/>
          <w:szCs w:val="22"/>
        </w:rPr>
        <w:t>Biunívoca.</w:t>
      </w:r>
    </w:p>
    <w:p w:rsidR="0051644E" w:rsidRPr="00252307"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 xml:space="preserve">Universalidad. </w:t>
      </w:r>
      <w:r w:rsidRPr="00252307">
        <w:rPr>
          <w:rFonts w:ascii="Palatino Linotype" w:eastAsia="Palatino Linotype" w:hAnsi="Palatino Linotype" w:cs="Palatino Linotype"/>
          <w:i/>
          <w:sz w:val="22"/>
          <w:szCs w:val="22"/>
        </w:rPr>
        <w:t>Se asigna a todas las personas que conforman la población.</w:t>
      </w:r>
    </w:p>
    <w:p w:rsidR="0051644E" w:rsidRPr="00252307" w:rsidRDefault="0051644E" w:rsidP="0051644E">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51644E" w:rsidRPr="00252307" w:rsidRDefault="0051644E" w:rsidP="0051644E">
      <w:pPr>
        <w:spacing w:line="360" w:lineRule="auto"/>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rsidR="0051644E" w:rsidRPr="00252307" w:rsidRDefault="0051644E" w:rsidP="00681958">
      <w:pPr>
        <w:ind w:right="1"/>
        <w:jc w:val="both"/>
        <w:rPr>
          <w:rFonts w:ascii="Palatino Linotype" w:eastAsia="Palatino Linotype" w:hAnsi="Palatino Linotype" w:cs="Palatino Linotype"/>
          <w:sz w:val="22"/>
          <w:szCs w:val="22"/>
        </w:rPr>
      </w:pPr>
    </w:p>
    <w:p w:rsidR="0051644E" w:rsidRPr="00252307" w:rsidRDefault="0051644E" w:rsidP="0051644E">
      <w:pPr>
        <w:shd w:val="clear" w:color="auto" w:fill="FFFFFF"/>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CLAVE ÚNICA DE REGISTRO DE POBLACIÓN (CURP). “</w:t>
      </w:r>
      <w:r w:rsidRPr="00252307">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w:t>
      </w:r>
      <w:r w:rsidRPr="00252307">
        <w:rPr>
          <w:rFonts w:ascii="Palatino Linotype" w:eastAsia="Palatino Linotype" w:hAnsi="Palatino Linotype" w:cs="Palatino Linotype"/>
          <w:i/>
          <w:sz w:val="22"/>
          <w:szCs w:val="22"/>
        </w:rPr>
        <w:lastRenderedPageBreak/>
        <w:t>de los habitantes del país, por lo que la CURP está considerada como información confidencial.”</w:t>
      </w:r>
    </w:p>
    <w:p w:rsidR="0051644E" w:rsidRPr="00252307" w:rsidRDefault="0051644E" w:rsidP="00681958">
      <w:pPr>
        <w:tabs>
          <w:tab w:val="left" w:pos="426"/>
        </w:tabs>
        <w:ind w:right="51"/>
        <w:jc w:val="both"/>
        <w:rPr>
          <w:rFonts w:ascii="Palatino Linotype" w:eastAsia="Palatino Linotype" w:hAnsi="Palatino Linotype" w:cs="Palatino Linotype"/>
          <w:sz w:val="22"/>
          <w:szCs w:val="22"/>
        </w:rPr>
      </w:pPr>
    </w:p>
    <w:p w:rsidR="0051644E" w:rsidRPr="00252307" w:rsidRDefault="0051644E" w:rsidP="0051644E">
      <w:pPr>
        <w:tabs>
          <w:tab w:val="left" w:pos="426"/>
        </w:tabs>
        <w:spacing w:line="360" w:lineRule="auto"/>
        <w:ind w:right="5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c) De la clave de identificación del Instituto de Seguridad Social del Estado de México y Municipios.</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51644E" w:rsidRPr="00252307" w:rsidRDefault="0051644E" w:rsidP="0051644E">
      <w:pPr>
        <w:spacing w:line="360" w:lineRule="auto"/>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Entre los elementos que integra la credencial expedida se encuentra la Clave </w:t>
      </w:r>
      <w:proofErr w:type="spellStart"/>
      <w:r w:rsidRPr="00252307">
        <w:rPr>
          <w:rFonts w:ascii="Palatino Linotype" w:eastAsia="Palatino Linotype" w:hAnsi="Palatino Linotype" w:cs="Palatino Linotype"/>
          <w:sz w:val="22"/>
          <w:szCs w:val="22"/>
        </w:rPr>
        <w:t>ISSEMyM</w:t>
      </w:r>
      <w:proofErr w:type="spellEnd"/>
      <w:r w:rsidRPr="00252307">
        <w:rPr>
          <w:rFonts w:ascii="Palatino Linotype" w:eastAsia="Palatino Linotype" w:hAnsi="Palatino Linotype" w:cs="Palatino Linotype"/>
          <w:sz w:val="22"/>
          <w:szCs w:val="22"/>
        </w:rPr>
        <w:t>, la cual permite identificar al servidor público que actualmente labora o laboró en alguna institución pública y que tenga vigente su derecho a recibir las prestaciones.</w:t>
      </w:r>
    </w:p>
    <w:p w:rsidR="0051644E" w:rsidRPr="00252307" w:rsidRDefault="0051644E" w:rsidP="00681958">
      <w:pPr>
        <w:ind w:right="1"/>
        <w:jc w:val="both"/>
        <w:rPr>
          <w:rFonts w:ascii="Palatino Linotype" w:eastAsia="Palatino Linotype" w:hAnsi="Palatino Linotype" w:cs="Palatino Linotype"/>
          <w:b/>
          <w:sz w:val="22"/>
          <w:szCs w:val="22"/>
        </w:rPr>
      </w:pPr>
    </w:p>
    <w:p w:rsidR="0051644E"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w:t>
      </w:r>
      <w:r w:rsidRPr="00252307">
        <w:rPr>
          <w:rFonts w:ascii="Palatino Linotype" w:eastAsia="Palatino Linotype" w:hAnsi="Palatino Linotype" w:cs="Palatino Linotype"/>
          <w:sz w:val="22"/>
          <w:szCs w:val="22"/>
        </w:rPr>
        <w:lastRenderedPageBreak/>
        <w:t>cuentas o el correcto ejercicio de las funciones desempeñadas por los servidores públicos, por el contrario su exhibición si provoca una transgresión a la vida pública e intimidad de la persona.</w:t>
      </w:r>
    </w:p>
    <w:p w:rsidR="0051644E" w:rsidRPr="00252307" w:rsidRDefault="0051644E" w:rsidP="00681958">
      <w:pPr>
        <w:ind w:right="1"/>
        <w:jc w:val="both"/>
        <w:rPr>
          <w:rFonts w:ascii="Palatino Linotype" w:eastAsia="Palatino Linotype" w:hAnsi="Palatino Linotype" w:cs="Palatino Linotype"/>
          <w:sz w:val="22"/>
          <w:szCs w:val="22"/>
        </w:rPr>
      </w:pPr>
    </w:p>
    <w:p w:rsidR="0051644E" w:rsidRPr="00252307" w:rsidRDefault="0051644E" w:rsidP="0051644E">
      <w:pPr>
        <w:tabs>
          <w:tab w:val="left" w:pos="426"/>
        </w:tabs>
        <w:spacing w:line="360" w:lineRule="auto"/>
        <w:ind w:right="5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d) Préstamos o descuentos de carácter personal.</w:t>
      </w:r>
    </w:p>
    <w:p w:rsidR="0051644E" w:rsidRPr="00252307" w:rsidRDefault="0051644E" w:rsidP="0051644E">
      <w:pPr>
        <w:ind w:right="1"/>
        <w:jc w:val="both"/>
        <w:rPr>
          <w:rFonts w:ascii="Palatino Linotype" w:eastAsia="Palatino Linotype" w:hAnsi="Palatino Linotype" w:cs="Palatino Linotype"/>
          <w:b/>
          <w:sz w:val="22"/>
          <w:szCs w:val="22"/>
        </w:rPr>
      </w:pPr>
    </w:p>
    <w:p w:rsidR="00327CB5" w:rsidRPr="00252307"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rsidR="00327CB5" w:rsidRPr="00252307" w:rsidRDefault="00327CB5" w:rsidP="00327CB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327CB5" w:rsidRPr="00252307" w:rsidRDefault="00327CB5" w:rsidP="00327CB5">
      <w:pPr>
        <w:tabs>
          <w:tab w:val="left" w:pos="426"/>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“ARTÍCULO 84.</w:t>
      </w:r>
      <w:r w:rsidRPr="00252307">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rsidR="00327CB5" w:rsidRPr="00252307" w:rsidRDefault="00327CB5" w:rsidP="00327CB5">
      <w:pPr>
        <w:tabs>
          <w:tab w:val="left" w:pos="426"/>
        </w:tabs>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w:t>
      </w:r>
      <w:r w:rsidRPr="00252307">
        <w:rPr>
          <w:rFonts w:ascii="Palatino Linotype" w:eastAsia="Palatino Linotype" w:hAnsi="Palatino Linotype" w:cs="Palatino Linotype"/>
          <w:i/>
          <w:sz w:val="22"/>
          <w:szCs w:val="22"/>
        </w:rPr>
        <w:t xml:space="preserve"> Gravámenes fiscales relacionados con el sueldo;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II.</w:t>
      </w:r>
      <w:r w:rsidRPr="00252307">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III.</w:t>
      </w:r>
      <w:r w:rsidRPr="00252307">
        <w:rPr>
          <w:rFonts w:ascii="Palatino Linotype" w:eastAsia="Palatino Linotype" w:hAnsi="Palatino Linotype" w:cs="Palatino Linotype"/>
          <w:i/>
          <w:sz w:val="22"/>
          <w:szCs w:val="22"/>
        </w:rPr>
        <w:t xml:space="preserve"> Cuotas sindicales;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IV.</w:t>
      </w:r>
      <w:r w:rsidRPr="00252307">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V.</w:t>
      </w:r>
      <w:r w:rsidRPr="00252307">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VI.</w:t>
      </w:r>
      <w:r w:rsidRPr="00252307">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VII.</w:t>
      </w:r>
      <w:r w:rsidRPr="00252307">
        <w:rPr>
          <w:rFonts w:ascii="Palatino Linotype" w:eastAsia="Palatino Linotype" w:hAnsi="Palatino Linotype" w:cs="Palatino Linotype"/>
          <w:i/>
          <w:sz w:val="22"/>
          <w:szCs w:val="22"/>
        </w:rPr>
        <w:t xml:space="preserve"> Faltas de puntualidad o de asistencia injustificadas;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VIII.</w:t>
      </w:r>
      <w:r w:rsidRPr="00252307">
        <w:rPr>
          <w:rFonts w:ascii="Palatino Linotype" w:eastAsia="Palatino Linotype" w:hAnsi="Palatino Linotype" w:cs="Palatino Linotype"/>
          <w:i/>
          <w:sz w:val="22"/>
          <w:szCs w:val="22"/>
        </w:rPr>
        <w:t xml:space="preserve"> Pensiones alimenticias ordenadas por la autoridad judicial; o </w:t>
      </w: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b/>
          <w:i/>
          <w:sz w:val="22"/>
          <w:szCs w:val="22"/>
        </w:rPr>
        <w:t>IX.</w:t>
      </w:r>
      <w:r w:rsidRPr="00252307">
        <w:rPr>
          <w:rFonts w:ascii="Palatino Linotype" w:eastAsia="Palatino Linotype" w:hAnsi="Palatino Linotype" w:cs="Palatino Linotype"/>
          <w:i/>
          <w:sz w:val="22"/>
          <w:szCs w:val="22"/>
        </w:rPr>
        <w:t xml:space="preserve"> Cualquier otro convenido con instituciones de servicios y aceptado por el servidor público. </w:t>
      </w:r>
    </w:p>
    <w:p w:rsidR="00327CB5" w:rsidRPr="00252307" w:rsidRDefault="00327CB5" w:rsidP="00327CB5">
      <w:pPr>
        <w:ind w:left="567" w:right="567"/>
        <w:jc w:val="both"/>
        <w:rPr>
          <w:rFonts w:ascii="Palatino Linotype" w:eastAsia="Palatino Linotype" w:hAnsi="Palatino Linotype" w:cs="Palatino Linotype"/>
          <w:sz w:val="22"/>
          <w:szCs w:val="22"/>
        </w:rPr>
      </w:pPr>
    </w:p>
    <w:p w:rsidR="00327CB5" w:rsidRPr="00252307" w:rsidRDefault="00327CB5" w:rsidP="00327CB5">
      <w:pPr>
        <w:ind w:left="567" w:right="567"/>
        <w:jc w:val="both"/>
        <w:rPr>
          <w:rFonts w:ascii="Palatino Linotype" w:eastAsia="Palatino Linotype" w:hAnsi="Palatino Linotype" w:cs="Palatino Linotype"/>
          <w:i/>
          <w:sz w:val="22"/>
          <w:szCs w:val="22"/>
        </w:rPr>
      </w:pPr>
      <w:r w:rsidRPr="00252307">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327CB5" w:rsidRPr="00252307" w:rsidRDefault="00327CB5" w:rsidP="00681958">
      <w:pPr>
        <w:ind w:right="1"/>
        <w:jc w:val="both"/>
        <w:rPr>
          <w:rFonts w:ascii="Palatino Linotype" w:eastAsia="Palatino Linotype" w:hAnsi="Palatino Linotype" w:cs="Palatino Linotype"/>
          <w:b/>
          <w:sz w:val="22"/>
          <w:szCs w:val="22"/>
        </w:rPr>
      </w:pPr>
    </w:p>
    <w:p w:rsidR="0051644E" w:rsidRPr="00252307" w:rsidRDefault="0051644E"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sz w:val="22"/>
          <w:szCs w:val="22"/>
        </w:rPr>
        <w:lastRenderedPageBreak/>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pStyle w:val="Prrafodelista"/>
        <w:numPr>
          <w:ilvl w:val="0"/>
          <w:numId w:val="20"/>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De la fotografía y firma de Servidores Públicos en comprobantes de estudios.</w:t>
      </w:r>
    </w:p>
    <w:p w:rsidR="00060AE6" w:rsidRPr="00252307" w:rsidRDefault="00060AE6" w:rsidP="00827BFE">
      <w:pPr>
        <w:ind w:right="1"/>
        <w:jc w:val="both"/>
        <w:rPr>
          <w:rFonts w:ascii="Palatino Linotype" w:eastAsia="Palatino Linotype" w:hAnsi="Palatino Linotype" w:cs="Palatino Linotype"/>
          <w:b/>
          <w:sz w:val="22"/>
          <w:szCs w:val="22"/>
        </w:rPr>
      </w:pPr>
    </w:p>
    <w:p w:rsidR="00060AE6" w:rsidRPr="00252307" w:rsidRDefault="00060AE6" w:rsidP="00060AE6">
      <w:pPr>
        <w:pStyle w:val="Prrafodelista"/>
        <w:numPr>
          <w:ilvl w:val="1"/>
          <w:numId w:val="20"/>
        </w:numPr>
        <w:spacing w:line="360" w:lineRule="auto"/>
        <w:ind w:right="1"/>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Fotografía </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sz w:val="22"/>
          <w:szCs w:val="22"/>
        </w:rPr>
        <w:t xml:space="preserve">Se precisa que, los </w:t>
      </w:r>
      <w:r w:rsidRPr="00252307">
        <w:rPr>
          <w:rFonts w:ascii="Palatino Linotype" w:eastAsia="Calibri" w:hAnsi="Palatino Linotype" w:cs="Arial"/>
          <w:b/>
          <w:sz w:val="22"/>
          <w:szCs w:val="22"/>
        </w:rPr>
        <w:t>comprobantes de estudios</w:t>
      </w:r>
      <w:r w:rsidRPr="00252307">
        <w:rPr>
          <w:rFonts w:ascii="Palatino Linotype" w:eastAsia="Calibri" w:hAnsi="Palatino Linotype" w:cs="Arial"/>
          <w:sz w:val="22"/>
          <w:szCs w:val="22"/>
        </w:rPr>
        <w:t xml:space="preserve"> podrían contener </w:t>
      </w:r>
      <w:r w:rsidRPr="00252307">
        <w:rPr>
          <w:rFonts w:ascii="Palatino Linotype" w:eastAsia="Calibri" w:hAnsi="Palatino Linotype" w:cs="Arial"/>
          <w:b/>
          <w:sz w:val="22"/>
          <w:szCs w:val="22"/>
        </w:rPr>
        <w:t>fotografías de Servidores Públicos</w:t>
      </w:r>
      <w:r w:rsidRPr="00252307">
        <w:rPr>
          <w:rFonts w:ascii="Palatino Linotype" w:eastAsia="Calibri" w:hAnsi="Palatino Linotype" w:cs="Arial"/>
          <w:sz w:val="22"/>
          <w:szCs w:val="22"/>
        </w:rPr>
        <w:t xml:space="preserve"> que ostentan cargos de mandos medios y superiores.</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Arial"/>
          <w:sz w:val="22"/>
          <w:szCs w:val="22"/>
        </w:rPr>
        <w:t xml:space="preserve">Al respecto, </w:t>
      </w:r>
      <w:r w:rsidRPr="00252307">
        <w:rPr>
          <w:rFonts w:ascii="Palatino Linotype" w:hAnsi="Palatino Linotype"/>
          <w:sz w:val="22"/>
          <w:szCs w:val="22"/>
        </w:rPr>
        <w:t>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51644E" w:rsidRPr="00252307" w:rsidRDefault="0051644E" w:rsidP="00681958">
      <w:pPr>
        <w:ind w:right="1"/>
        <w:jc w:val="both"/>
        <w:rPr>
          <w:rFonts w:ascii="Palatino Linotype" w:eastAsia="Palatino Linotype" w:hAnsi="Palatino Linotype" w:cs="Palatino Linotype"/>
          <w:b/>
          <w:sz w:val="22"/>
          <w:szCs w:val="22"/>
        </w:rPr>
      </w:pPr>
    </w:p>
    <w:p w:rsidR="00060AE6" w:rsidRPr="00252307" w:rsidRDefault="00060AE6"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hAnsi="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MS Mincho" w:hAnsi="Palatino Linotype" w:cs="Arial"/>
          <w:bCs/>
          <w:sz w:val="22"/>
          <w:szCs w:val="22"/>
        </w:rPr>
        <w:t xml:space="preserve">Por </w:t>
      </w:r>
      <w:r w:rsidRPr="00252307">
        <w:rPr>
          <w:rFonts w:ascii="Palatino Linotype" w:hAnsi="Palatino Linotype"/>
          <w:sz w:val="22"/>
          <w:szCs w:val="22"/>
        </w:rPr>
        <w:t xml:space="preserve">lo anterior, cuando las fotografías de los servidores públicos obran en documentos que dan cuenta del cumplimiento de funciones, requisitos legales o los acredita como servidores </w:t>
      </w:r>
      <w:r w:rsidRPr="00252307">
        <w:rPr>
          <w:rFonts w:ascii="Palatino Linotype" w:hAnsi="Palatino Linotype"/>
          <w:sz w:val="22"/>
          <w:szCs w:val="22"/>
        </w:rPr>
        <w:lastRenderedPageBreak/>
        <w:t>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MS Mincho" w:hAnsi="Palatino Linotype" w:cs="Arial"/>
          <w:bCs/>
          <w:sz w:val="22"/>
          <w:szCs w:val="22"/>
        </w:rPr>
        <w:t xml:space="preserve">En este sentido, </w:t>
      </w:r>
      <w:r w:rsidRPr="00252307">
        <w:rPr>
          <w:rFonts w:ascii="Palatino Linotype" w:hAnsi="Palatino Linotype"/>
          <w:sz w:val="22"/>
          <w:szCs w:val="22"/>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060AE6" w:rsidRPr="00252307" w:rsidRDefault="00060AE6" w:rsidP="00681958">
      <w:pPr>
        <w:rPr>
          <w:rFonts w:ascii="Palatino Linotype" w:hAnsi="Palatino Linotype"/>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hAnsi="Palatino Linotype"/>
          <w:sz w:val="22"/>
          <w:szCs w:val="22"/>
        </w:rPr>
        <w:t xml:space="preserve">En consecuencia, </w:t>
      </w:r>
      <w:r w:rsidRPr="00252307">
        <w:rPr>
          <w:rFonts w:ascii="Palatino Linotype" w:hAnsi="Palatino Linotype"/>
          <w:b/>
          <w:sz w:val="22"/>
          <w:szCs w:val="22"/>
        </w:rPr>
        <w:t>la fotografía de los servidores públicos, es de acceso público y no procede su clasificación como información confidencial</w:t>
      </w:r>
      <w:r w:rsidRPr="00252307">
        <w:rPr>
          <w:rFonts w:ascii="Palatino Linotype" w:hAnsi="Palatino Linotype"/>
          <w:sz w:val="22"/>
          <w:szCs w:val="22"/>
        </w:rPr>
        <w:t>, aún y cuando corresponde a un dato personal.</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pStyle w:val="Prrafodelista"/>
        <w:numPr>
          <w:ilvl w:val="1"/>
          <w:numId w:val="20"/>
        </w:numPr>
        <w:rPr>
          <w:rFonts w:ascii="Palatino Linotype" w:eastAsia="Calibri" w:hAnsi="Palatino Linotype" w:cs="Tahoma"/>
          <w:b/>
          <w:bCs/>
          <w:szCs w:val="22"/>
        </w:rPr>
      </w:pPr>
      <w:r w:rsidRPr="00252307">
        <w:rPr>
          <w:rFonts w:ascii="Palatino Linotype" w:eastAsia="Calibri" w:hAnsi="Palatino Linotype" w:cs="Tahoma"/>
          <w:b/>
          <w:bCs/>
          <w:szCs w:val="22"/>
        </w:rPr>
        <w:t>Firma.</w:t>
      </w:r>
    </w:p>
    <w:p w:rsidR="00060AE6" w:rsidRPr="00252307" w:rsidRDefault="00060AE6" w:rsidP="00681958">
      <w:pPr>
        <w:rPr>
          <w:rFonts w:ascii="Palatino Linotype" w:eastAsia="Calibri" w:hAnsi="Palatino Linotype" w:cs="Tahoma"/>
          <w:b/>
          <w:bCs/>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Tahoma"/>
          <w:bCs/>
          <w:sz w:val="22"/>
          <w:szCs w:val="22"/>
        </w:rPr>
        <w:t>Ahora bien</w:t>
      </w:r>
      <w:r w:rsidRPr="00252307">
        <w:rPr>
          <w:rFonts w:ascii="Palatino Linotype" w:eastAsia="Calibri" w:hAnsi="Palatino Linotype" w:cs="Tahoma"/>
          <w:bCs/>
          <w:sz w:val="22"/>
          <w:szCs w:val="22"/>
          <w:lang w:val="es-ES"/>
        </w:rPr>
        <w:t xml:space="preserve">, cabe precisar que, en el presente caso, se trata de los servidores públicos en su calidad de particular, por lo que, es de señalar que la </w:t>
      </w:r>
      <w:r w:rsidRPr="00252307">
        <w:rPr>
          <w:rFonts w:ascii="Palatino Linotype" w:eastAsia="Calibri" w:hAnsi="Palatino Linotype" w:cs="Tahoma"/>
          <w:b/>
          <w:bCs/>
          <w:sz w:val="22"/>
          <w:szCs w:val="22"/>
          <w:lang w:val="es-ES"/>
        </w:rPr>
        <w:t xml:space="preserve">firma </w:t>
      </w:r>
      <w:r w:rsidRPr="00252307">
        <w:rPr>
          <w:rFonts w:ascii="Palatino Linotype" w:eastAsia="Calibri" w:hAnsi="Palatino Linotype" w:cs="Tahoma"/>
          <w:bCs/>
          <w:sz w:val="22"/>
          <w:szCs w:val="22"/>
          <w:lang w:val="es-ES"/>
        </w:rPr>
        <w:t>es un dato personal confidencial y únicamente será público dicho dato cuando sirva para la emisión de un acto de autoridad, en ejercicio de sus funciones.</w:t>
      </w:r>
    </w:p>
    <w:p w:rsidR="00060AE6" w:rsidRPr="00252307" w:rsidRDefault="00060AE6" w:rsidP="00681958">
      <w:pPr>
        <w:rPr>
          <w:rFonts w:ascii="Palatino Linotype" w:eastAsia="Calibri" w:hAnsi="Palatino Linotype" w:cs="Tahoma"/>
          <w:bCs/>
          <w:sz w:val="22"/>
          <w:szCs w:val="22"/>
          <w:lang w:val="es-ES"/>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Tahoma"/>
          <w:bCs/>
          <w:sz w:val="22"/>
          <w:szCs w:val="22"/>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hAnsi="Palatino Linotype"/>
          <w:sz w:val="22"/>
          <w:szCs w:val="22"/>
          <w:bdr w:val="none" w:sz="0" w:space="0" w:color="auto" w:frame="1"/>
        </w:rPr>
        <w:lastRenderedPageBreak/>
        <w:t>La publicidad de dichos datos, se robustece, con el </w:t>
      </w:r>
      <w:r w:rsidRPr="00252307">
        <w:rPr>
          <w:rFonts w:ascii="Palatino Linotype" w:hAnsi="Palatino Linotype"/>
          <w:color w:val="000000"/>
          <w:sz w:val="22"/>
          <w:szCs w:val="22"/>
          <w:bdr w:val="none" w:sz="0" w:space="0" w:color="auto" w:frame="1"/>
          <w:lang w:val="es-ES"/>
        </w:rPr>
        <w:t>Criterio de Interpretación, de la Segunda Época, con clave de control </w:t>
      </w:r>
      <w:r w:rsidRPr="00252307">
        <w:rPr>
          <w:rFonts w:ascii="Palatino Linotype" w:hAnsi="Palatino Linotype"/>
          <w:color w:val="000000"/>
          <w:sz w:val="22"/>
          <w:szCs w:val="22"/>
        </w:rPr>
        <w:t>SO/002/2019</w:t>
      </w:r>
      <w:r w:rsidRPr="00252307">
        <w:rPr>
          <w:rFonts w:ascii="Palatino Linotype" w:hAnsi="Palatino Linotype"/>
          <w:sz w:val="22"/>
          <w:szCs w:val="22"/>
          <w:bdr w:val="none" w:sz="0" w:space="0" w:color="auto" w:frame="1"/>
        </w:rPr>
        <w:t>, emitido por el Instituto Nacional de Transparencia, Acceso a la Información y Protección de Datos Personales, que establece lo siguiente:</w:t>
      </w:r>
    </w:p>
    <w:p w:rsidR="00060AE6" w:rsidRPr="00252307" w:rsidRDefault="00060AE6" w:rsidP="00681958">
      <w:pPr>
        <w:ind w:right="1"/>
        <w:jc w:val="both"/>
        <w:rPr>
          <w:rFonts w:ascii="Palatino Linotype" w:eastAsia="Calibri" w:hAnsi="Palatino Linotype" w:cs="Tahoma"/>
          <w:bCs/>
          <w:sz w:val="22"/>
          <w:szCs w:val="22"/>
          <w:lang w:val="es-ES"/>
        </w:rPr>
      </w:pPr>
    </w:p>
    <w:p w:rsidR="00060AE6" w:rsidRPr="00252307" w:rsidRDefault="00060AE6" w:rsidP="00060AE6">
      <w:pPr>
        <w:ind w:left="567" w:right="539"/>
        <w:jc w:val="both"/>
        <w:rPr>
          <w:rFonts w:ascii="Palatino Linotype" w:hAnsi="Palatino Linotype"/>
          <w:color w:val="000000"/>
          <w:sz w:val="22"/>
          <w:szCs w:val="22"/>
        </w:rPr>
      </w:pPr>
      <w:r w:rsidRPr="00252307">
        <w:rPr>
          <w:rFonts w:ascii="Palatino Linotype" w:hAnsi="Palatino Linotype"/>
          <w:b/>
          <w:bCs/>
          <w:i/>
          <w:iCs/>
          <w:sz w:val="22"/>
          <w:szCs w:val="22"/>
          <w:bdr w:val="none" w:sz="0" w:space="0" w:color="auto" w:frame="1"/>
        </w:rPr>
        <w:t>“Firma y rúbrica de servidores públicos.</w:t>
      </w:r>
      <w:r w:rsidRPr="00252307">
        <w:rPr>
          <w:rFonts w:ascii="Palatino Linotype" w:hAnsi="Palatino Linotype"/>
          <w:i/>
          <w:iCs/>
          <w:sz w:val="22"/>
          <w:szCs w:val="22"/>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rsidR="00060AE6" w:rsidRPr="00252307" w:rsidRDefault="00060AE6" w:rsidP="00681958">
      <w:pPr>
        <w:ind w:right="1"/>
        <w:jc w:val="both"/>
        <w:rPr>
          <w:rFonts w:ascii="Palatino Linotype" w:eastAsia="Palatino Linotype" w:hAnsi="Palatino Linotype" w:cs="Palatino Linotype"/>
          <w:b/>
          <w:sz w:val="2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Calibri" w:hAnsi="Palatino Linotype" w:cs="Tahoma"/>
          <w:bCs/>
          <w:sz w:val="22"/>
          <w:szCs w:val="22"/>
          <w:lang w:val="es-ES"/>
        </w:rPr>
        <w:t>Conforme a lo expuesto, en el presente caso, procede la clasificación, en términos del artículo 143, fracción I de la Ley de Transparencia y Acceso a la Información Pública del Estado de México y Municipios. </w:t>
      </w:r>
    </w:p>
    <w:p w:rsidR="00827BFE" w:rsidRPr="00252307" w:rsidRDefault="00827BFE" w:rsidP="00827BFE">
      <w:pPr>
        <w:ind w:right="1"/>
        <w:jc w:val="both"/>
        <w:rPr>
          <w:rFonts w:ascii="Palatino Linotype" w:eastAsia="Palatino Linotype" w:hAnsi="Palatino Linotype" w:cs="Palatino Linotype"/>
          <w:b/>
          <w:sz w:val="12"/>
          <w:szCs w:val="22"/>
        </w:rPr>
      </w:pPr>
    </w:p>
    <w:p w:rsidR="00060AE6" w:rsidRPr="00252307"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060AE6" w:rsidRPr="00252307" w:rsidRDefault="00060AE6" w:rsidP="00681958">
      <w:pPr>
        <w:ind w:right="1"/>
        <w:jc w:val="both"/>
        <w:rPr>
          <w:rFonts w:ascii="Palatino Linotype" w:eastAsia="Palatino Linotype" w:hAnsi="Palatino Linotype" w:cs="Palatino Linotype"/>
          <w:b/>
          <w:sz w:val="16"/>
          <w:szCs w:val="22"/>
        </w:rPr>
      </w:pPr>
    </w:p>
    <w:p w:rsidR="00E94D86" w:rsidRPr="002523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color w:val="222222"/>
          <w:sz w:val="22"/>
          <w:szCs w:val="22"/>
        </w:rPr>
        <w:t xml:space="preserve">Por lo anteriormente expuesto y fundado, este </w:t>
      </w:r>
      <w:r w:rsidRPr="00252307">
        <w:rPr>
          <w:rFonts w:ascii="Palatino Linotype" w:eastAsia="Palatino Linotype" w:hAnsi="Palatino Linotype" w:cs="Palatino Linotype"/>
          <w:b/>
          <w:color w:val="222222"/>
          <w:sz w:val="22"/>
          <w:szCs w:val="22"/>
        </w:rPr>
        <w:t>ÓRGANO GARANTE</w:t>
      </w:r>
      <w:r w:rsidRPr="00252307">
        <w:rPr>
          <w:rFonts w:ascii="Palatino Linotype" w:eastAsia="Palatino Linotype" w:hAnsi="Palatino Linotype" w:cs="Palatino Linotype"/>
          <w:color w:val="222222"/>
          <w:sz w:val="22"/>
          <w:szCs w:val="22"/>
        </w:rPr>
        <w:t xml:space="preserve"> emite los siguientes:</w:t>
      </w:r>
    </w:p>
    <w:p w:rsidR="00E94D86" w:rsidRPr="00252307" w:rsidRDefault="00E94D86" w:rsidP="00681958">
      <w:pPr>
        <w:ind w:right="-592"/>
        <w:jc w:val="both"/>
        <w:rPr>
          <w:rFonts w:ascii="Palatino Linotype" w:eastAsia="Palatino Linotype" w:hAnsi="Palatino Linotype" w:cs="Palatino Linotype"/>
          <w:b/>
          <w:sz w:val="18"/>
          <w:szCs w:val="22"/>
        </w:rPr>
      </w:pPr>
    </w:p>
    <w:p w:rsidR="00E94D86" w:rsidRPr="00252307"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252307">
        <w:rPr>
          <w:rFonts w:ascii="Palatino Linotype" w:eastAsia="Palatino Linotype" w:hAnsi="Palatino Linotype" w:cs="Palatino Linotype"/>
          <w:b/>
          <w:color w:val="000000"/>
          <w:sz w:val="22"/>
          <w:szCs w:val="22"/>
        </w:rPr>
        <w:t>R E S O L U T I V O S</w:t>
      </w:r>
    </w:p>
    <w:p w:rsidR="00E94D86" w:rsidRPr="00252307" w:rsidRDefault="001E3125">
      <w:pPr>
        <w:spacing w:before="240" w:after="240" w:line="360" w:lineRule="auto"/>
        <w:ind w:right="1"/>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sz w:val="22"/>
          <w:szCs w:val="22"/>
        </w:rPr>
        <w:t>PRIMERO</w:t>
      </w:r>
      <w:r w:rsidRPr="00252307">
        <w:rPr>
          <w:rFonts w:ascii="Palatino Linotype" w:eastAsia="Palatino Linotype" w:hAnsi="Palatino Linotype" w:cs="Palatino Linotype"/>
          <w:sz w:val="22"/>
          <w:szCs w:val="22"/>
        </w:rPr>
        <w:t xml:space="preserve">. Resultan fundadas las razones o motivos de inconformidad hechos valer en el Recurso de Revisión </w:t>
      </w:r>
      <w:r w:rsidR="002B0131" w:rsidRPr="00252307">
        <w:rPr>
          <w:rFonts w:ascii="Palatino Linotype" w:eastAsia="Palatino Linotype" w:hAnsi="Palatino Linotype" w:cs="Palatino Linotype"/>
          <w:b/>
          <w:sz w:val="22"/>
          <w:szCs w:val="22"/>
        </w:rPr>
        <w:t>03723</w:t>
      </w:r>
      <w:r w:rsidRPr="00252307">
        <w:rPr>
          <w:rFonts w:ascii="Palatino Linotype" w:eastAsia="Palatino Linotype" w:hAnsi="Palatino Linotype" w:cs="Palatino Linotype"/>
          <w:b/>
          <w:sz w:val="22"/>
          <w:szCs w:val="22"/>
        </w:rPr>
        <w:t>/INFOEM/IP/RR/2024</w:t>
      </w:r>
      <w:r w:rsidRPr="00252307">
        <w:rPr>
          <w:rFonts w:ascii="Palatino Linotype" w:eastAsia="Palatino Linotype" w:hAnsi="Palatino Linotype" w:cs="Palatino Linotype"/>
          <w:sz w:val="22"/>
          <w:szCs w:val="22"/>
        </w:rPr>
        <w:t>,</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en términos del Considerando y Quinto</w:t>
      </w:r>
      <w:r w:rsidRPr="00252307">
        <w:rPr>
          <w:rFonts w:ascii="Palatino Linotype" w:eastAsia="Palatino Linotype" w:hAnsi="Palatino Linotype" w:cs="Palatino Linotype"/>
          <w:b/>
          <w:sz w:val="22"/>
          <w:szCs w:val="22"/>
        </w:rPr>
        <w:t xml:space="preserve"> </w:t>
      </w:r>
      <w:r w:rsidRPr="00252307">
        <w:rPr>
          <w:rFonts w:ascii="Palatino Linotype" w:eastAsia="Palatino Linotype" w:hAnsi="Palatino Linotype" w:cs="Palatino Linotype"/>
          <w:sz w:val="22"/>
          <w:szCs w:val="22"/>
        </w:rPr>
        <w:t>de la presente Resolución.</w:t>
      </w:r>
    </w:p>
    <w:p w:rsidR="00B81ACA" w:rsidRPr="00252307" w:rsidRDefault="001E3125" w:rsidP="00B81ACA">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6" w:name="_heading=h.1fob9te" w:colFirst="0" w:colLast="0"/>
      <w:bookmarkEnd w:id="6"/>
      <w:r w:rsidRPr="00252307">
        <w:rPr>
          <w:rFonts w:ascii="Palatino Linotype" w:eastAsia="Palatino Linotype" w:hAnsi="Palatino Linotype" w:cs="Palatino Linotype"/>
          <w:b/>
          <w:sz w:val="22"/>
          <w:szCs w:val="22"/>
        </w:rPr>
        <w:t>SEGUNDO.</w:t>
      </w:r>
      <w:r w:rsidRPr="00252307">
        <w:rPr>
          <w:rFonts w:ascii="Palatino Linotype" w:eastAsia="Palatino Linotype" w:hAnsi="Palatino Linotype" w:cs="Palatino Linotype"/>
          <w:b/>
          <w:color w:val="000000"/>
          <w:sz w:val="22"/>
          <w:szCs w:val="22"/>
        </w:rPr>
        <w:t xml:space="preserve"> </w:t>
      </w:r>
      <w:r w:rsidRPr="00252307">
        <w:rPr>
          <w:rFonts w:ascii="Palatino Linotype" w:eastAsia="Palatino Linotype" w:hAnsi="Palatino Linotype" w:cs="Palatino Linotype"/>
          <w:color w:val="000000"/>
          <w:sz w:val="22"/>
          <w:szCs w:val="22"/>
        </w:rPr>
        <w:t xml:space="preserve">Se </w:t>
      </w:r>
      <w:r w:rsidR="00B81ACA" w:rsidRPr="00252307">
        <w:rPr>
          <w:rFonts w:ascii="Palatino Linotype" w:eastAsia="Palatino Linotype" w:hAnsi="Palatino Linotype" w:cs="Palatino Linotype"/>
          <w:b/>
          <w:color w:val="000000"/>
          <w:sz w:val="22"/>
          <w:szCs w:val="22"/>
        </w:rPr>
        <w:t>REVOCA</w:t>
      </w:r>
      <w:r w:rsidRPr="00252307">
        <w:rPr>
          <w:rFonts w:ascii="Palatino Linotype" w:eastAsia="Palatino Linotype" w:hAnsi="Palatino Linotype" w:cs="Palatino Linotype"/>
          <w:b/>
          <w:color w:val="000000"/>
          <w:sz w:val="22"/>
          <w:szCs w:val="22"/>
        </w:rPr>
        <w:t xml:space="preserve"> </w:t>
      </w:r>
      <w:r w:rsidRPr="00252307">
        <w:rPr>
          <w:rFonts w:ascii="Palatino Linotype" w:eastAsia="Palatino Linotype" w:hAnsi="Palatino Linotype" w:cs="Palatino Linotype"/>
          <w:color w:val="000000"/>
          <w:sz w:val="22"/>
          <w:szCs w:val="22"/>
        </w:rPr>
        <w:t xml:space="preserve">la respuesta emitida por </w:t>
      </w:r>
      <w:r w:rsidR="002B0131" w:rsidRPr="00252307">
        <w:rPr>
          <w:rFonts w:ascii="Palatino Linotype" w:eastAsia="Palatino Linotype" w:hAnsi="Palatino Linotype" w:cs="Palatino Linotype"/>
          <w:color w:val="000000"/>
          <w:sz w:val="22"/>
          <w:szCs w:val="22"/>
        </w:rPr>
        <w:t xml:space="preserve">la </w:t>
      </w:r>
      <w:r w:rsidR="002B0131" w:rsidRPr="00252307">
        <w:rPr>
          <w:rFonts w:ascii="Palatino Linotype" w:eastAsia="Palatino Linotype" w:hAnsi="Palatino Linotype" w:cs="Palatino Linotype"/>
          <w:b/>
          <w:color w:val="000000"/>
          <w:sz w:val="22"/>
          <w:szCs w:val="22"/>
        </w:rPr>
        <w:t>Secretaría de Movilidad</w:t>
      </w:r>
      <w:r w:rsidR="00651426" w:rsidRPr="00252307">
        <w:rPr>
          <w:rFonts w:ascii="Palatino Linotype" w:eastAsia="Palatino Linotype" w:hAnsi="Palatino Linotype" w:cs="Palatino Linotype"/>
          <w:color w:val="000000"/>
          <w:sz w:val="22"/>
          <w:szCs w:val="22"/>
        </w:rPr>
        <w:t xml:space="preserve"> </w:t>
      </w:r>
      <w:r w:rsidRPr="00252307">
        <w:rPr>
          <w:rFonts w:ascii="Palatino Linotype" w:eastAsia="Palatino Linotype" w:hAnsi="Palatino Linotype" w:cs="Palatino Linotype"/>
          <w:color w:val="000000"/>
          <w:sz w:val="22"/>
          <w:szCs w:val="22"/>
        </w:rPr>
        <w:t xml:space="preserve">y se </w:t>
      </w:r>
      <w:r w:rsidRPr="00252307">
        <w:rPr>
          <w:rFonts w:ascii="Palatino Linotype" w:eastAsia="Palatino Linotype" w:hAnsi="Palatino Linotype" w:cs="Palatino Linotype"/>
          <w:b/>
          <w:color w:val="000000"/>
          <w:sz w:val="22"/>
          <w:szCs w:val="22"/>
        </w:rPr>
        <w:t>ORDENA</w:t>
      </w:r>
      <w:r w:rsidRPr="00252307">
        <w:rPr>
          <w:rFonts w:ascii="Palatino Linotype" w:eastAsia="Palatino Linotype" w:hAnsi="Palatino Linotype" w:cs="Palatino Linotype"/>
          <w:color w:val="000000"/>
          <w:sz w:val="22"/>
          <w:szCs w:val="22"/>
        </w:rPr>
        <w:t xml:space="preserve"> </w:t>
      </w:r>
      <w:r w:rsidRPr="00252307">
        <w:rPr>
          <w:rFonts w:ascii="Palatino Linotype" w:eastAsia="Palatino Linotype" w:hAnsi="Palatino Linotype" w:cs="Palatino Linotype"/>
          <w:sz w:val="22"/>
          <w:szCs w:val="22"/>
        </w:rPr>
        <w:t xml:space="preserve">entregar vía Sistema de Accesos a la Información Mexiquense </w:t>
      </w:r>
      <w:r w:rsidRPr="00252307">
        <w:rPr>
          <w:rFonts w:ascii="Palatino Linotype" w:eastAsia="Palatino Linotype" w:hAnsi="Palatino Linotype" w:cs="Palatino Linotype"/>
          <w:b/>
          <w:sz w:val="22"/>
          <w:szCs w:val="22"/>
        </w:rPr>
        <w:t>(SAIMEX)</w:t>
      </w:r>
      <w:r w:rsidR="00651426" w:rsidRPr="00252307">
        <w:rPr>
          <w:rFonts w:ascii="Palatino Linotype" w:eastAsia="Palatino Linotype" w:hAnsi="Palatino Linotype" w:cs="Palatino Linotype"/>
          <w:sz w:val="22"/>
          <w:szCs w:val="22"/>
        </w:rPr>
        <w:t xml:space="preserve">, </w:t>
      </w:r>
      <w:r w:rsidR="00B06C82" w:rsidRPr="00252307">
        <w:rPr>
          <w:rFonts w:ascii="Palatino Linotype" w:eastAsia="Palatino Linotype" w:hAnsi="Palatino Linotype" w:cs="Palatino Linotype"/>
          <w:sz w:val="22"/>
          <w:szCs w:val="22"/>
        </w:rPr>
        <w:t xml:space="preserve">previa búsqueda exhaustiva y razonable, </w:t>
      </w:r>
      <w:r w:rsidR="00651426" w:rsidRPr="00252307">
        <w:rPr>
          <w:rFonts w:ascii="Palatino Linotype" w:eastAsia="Palatino Linotype" w:hAnsi="Palatino Linotype" w:cs="Palatino Linotype"/>
          <w:sz w:val="22"/>
          <w:szCs w:val="22"/>
        </w:rPr>
        <w:t xml:space="preserve">de ser procedente en </w:t>
      </w:r>
      <w:r w:rsidRPr="00252307">
        <w:rPr>
          <w:rFonts w:ascii="Palatino Linotype" w:eastAsia="Palatino Linotype" w:hAnsi="Palatino Linotype" w:cs="Palatino Linotype"/>
          <w:sz w:val="22"/>
          <w:szCs w:val="22"/>
        </w:rPr>
        <w:t>versión pública,</w:t>
      </w:r>
      <w:r w:rsidR="002B0131" w:rsidRPr="00252307">
        <w:rPr>
          <w:rFonts w:ascii="Palatino Linotype" w:eastAsia="Palatino Linotype" w:hAnsi="Palatino Linotype" w:cs="Palatino Linotype"/>
          <w:sz w:val="22"/>
          <w:szCs w:val="22"/>
        </w:rPr>
        <w:t xml:space="preserve"> el o los documentos donde conste</w:t>
      </w:r>
      <w:r w:rsidR="00600A77" w:rsidRPr="00252307">
        <w:rPr>
          <w:rFonts w:ascii="Palatino Linotype" w:eastAsia="Palatino Linotype" w:hAnsi="Palatino Linotype" w:cs="Palatino Linotype"/>
          <w:sz w:val="22"/>
          <w:szCs w:val="22"/>
        </w:rPr>
        <w:t xml:space="preserve"> </w:t>
      </w:r>
      <w:r w:rsidRPr="00252307">
        <w:rPr>
          <w:rFonts w:ascii="Palatino Linotype" w:eastAsia="Palatino Linotype" w:hAnsi="Palatino Linotype" w:cs="Palatino Linotype"/>
          <w:sz w:val="22"/>
          <w:szCs w:val="22"/>
        </w:rPr>
        <w:t>lo siguiente:</w:t>
      </w:r>
    </w:p>
    <w:p w:rsidR="002B0131" w:rsidRPr="00252307" w:rsidRDefault="002B0131" w:rsidP="002B0131">
      <w:pPr>
        <w:spacing w:line="360" w:lineRule="auto"/>
        <w:ind w:left="567" w:right="567"/>
        <w:jc w:val="both"/>
        <w:rPr>
          <w:rFonts w:ascii="Palatino Linotype" w:hAnsi="Palatino Linotype"/>
          <w:b/>
          <w:color w:val="000000"/>
          <w:sz w:val="22"/>
          <w:szCs w:val="22"/>
        </w:rPr>
      </w:pPr>
      <w:r w:rsidRPr="00252307">
        <w:rPr>
          <w:rFonts w:ascii="Palatino Linotype" w:hAnsi="Palatino Linotype"/>
          <w:b/>
          <w:color w:val="000000"/>
          <w:sz w:val="22"/>
          <w:szCs w:val="22"/>
        </w:rPr>
        <w:lastRenderedPageBreak/>
        <w:t>Del personal adscrito a la Coordinación de Estudios y Proyectos Estratégicos, al 27 de mayo de 2024:</w:t>
      </w:r>
    </w:p>
    <w:p w:rsidR="002B0131" w:rsidRPr="00252307" w:rsidRDefault="002B0131" w:rsidP="00A64061">
      <w:pPr>
        <w:ind w:left="567" w:right="567"/>
        <w:jc w:val="both"/>
        <w:rPr>
          <w:rFonts w:ascii="Palatino Linotype" w:hAnsi="Palatino Linotype"/>
          <w:b/>
          <w:color w:val="000000"/>
          <w:sz w:val="22"/>
          <w:szCs w:val="22"/>
        </w:rPr>
      </w:pPr>
    </w:p>
    <w:p w:rsidR="002B0131" w:rsidRPr="00252307" w:rsidRDefault="002C3B1F" w:rsidP="002C3B1F">
      <w:pPr>
        <w:pStyle w:val="Prrafodelista"/>
        <w:spacing w:line="360" w:lineRule="auto"/>
        <w:ind w:left="993"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a) </w:t>
      </w:r>
      <w:r w:rsidR="002B0131" w:rsidRPr="00252307">
        <w:rPr>
          <w:rFonts w:ascii="Palatino Linotype" w:eastAsia="Palatino Linotype" w:hAnsi="Palatino Linotype" w:cs="Palatino Linotype"/>
          <w:b/>
          <w:szCs w:val="22"/>
        </w:rPr>
        <w:t>Currículo o ficha curricular</w:t>
      </w:r>
      <w:r w:rsidR="001E3608" w:rsidRPr="00252307">
        <w:rPr>
          <w:rFonts w:ascii="Palatino Linotype" w:eastAsia="Palatino Linotype" w:hAnsi="Palatino Linotype" w:cs="Palatino Linotype"/>
          <w:b/>
          <w:szCs w:val="22"/>
        </w:rPr>
        <w:t xml:space="preserve"> o documento análogo</w:t>
      </w:r>
      <w:r w:rsidR="002B0131" w:rsidRPr="00252307">
        <w:rPr>
          <w:rFonts w:ascii="Palatino Linotype" w:eastAsia="Palatino Linotype" w:hAnsi="Palatino Linotype" w:cs="Palatino Linotype"/>
          <w:b/>
          <w:szCs w:val="22"/>
        </w:rPr>
        <w:t>;</w:t>
      </w:r>
    </w:p>
    <w:p w:rsidR="002C3B1F" w:rsidRPr="00252307" w:rsidRDefault="002C3B1F" w:rsidP="002C3B1F">
      <w:pPr>
        <w:pStyle w:val="Prrafodelista"/>
        <w:spacing w:line="360" w:lineRule="auto"/>
        <w:ind w:left="993"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b) </w:t>
      </w:r>
      <w:r w:rsidR="002B0131" w:rsidRPr="00252307">
        <w:rPr>
          <w:rFonts w:ascii="Palatino Linotype" w:eastAsia="Palatino Linotype" w:hAnsi="Palatino Linotype" w:cs="Palatino Linotype"/>
          <w:b/>
          <w:szCs w:val="22"/>
        </w:rPr>
        <w:t>Comprobante de estudios;</w:t>
      </w:r>
    </w:p>
    <w:p w:rsidR="002C3B1F" w:rsidRPr="00252307" w:rsidRDefault="002C3B1F" w:rsidP="002C3B1F">
      <w:pPr>
        <w:pStyle w:val="Prrafodelista"/>
        <w:spacing w:line="360" w:lineRule="auto"/>
        <w:ind w:left="993"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c) </w:t>
      </w:r>
      <w:r w:rsidR="002B0131" w:rsidRPr="00252307">
        <w:rPr>
          <w:rFonts w:ascii="Palatino Linotype" w:eastAsia="Palatino Linotype" w:hAnsi="Palatino Linotype" w:cs="Palatino Linotype"/>
          <w:b/>
          <w:szCs w:val="22"/>
        </w:rPr>
        <w:t>Formato Único de Movimiento de Personal</w:t>
      </w:r>
      <w:r w:rsidR="009669CB" w:rsidRPr="00252307">
        <w:rPr>
          <w:rFonts w:ascii="Palatino Linotype" w:eastAsia="Palatino Linotype" w:hAnsi="Palatino Linotype" w:cs="Palatino Linotype"/>
          <w:b/>
          <w:szCs w:val="22"/>
        </w:rPr>
        <w:t xml:space="preserve">, </w:t>
      </w:r>
      <w:r w:rsidR="009669CB" w:rsidRPr="00252307">
        <w:rPr>
          <w:rFonts w:ascii="Palatino Linotype" w:hAnsi="Palatino Linotype"/>
          <w:b/>
          <w:szCs w:val="22"/>
        </w:rPr>
        <w:t>contrato o nombramiento</w:t>
      </w:r>
      <w:r w:rsidR="009669CB" w:rsidRPr="00252307">
        <w:rPr>
          <w:rFonts w:ascii="Palatino Linotype" w:hAnsi="Palatino Linotype"/>
          <w:szCs w:val="22"/>
        </w:rPr>
        <w:t>.</w:t>
      </w:r>
      <w:r w:rsidR="002B0131" w:rsidRPr="00252307">
        <w:rPr>
          <w:rFonts w:ascii="Palatino Linotype" w:eastAsia="Palatino Linotype" w:hAnsi="Palatino Linotype" w:cs="Palatino Linotype"/>
          <w:b/>
          <w:szCs w:val="22"/>
        </w:rPr>
        <w:t>;</w:t>
      </w:r>
    </w:p>
    <w:p w:rsidR="002B0131" w:rsidRPr="00252307" w:rsidRDefault="002C3B1F" w:rsidP="002C3B1F">
      <w:pPr>
        <w:pStyle w:val="Prrafodelista"/>
        <w:spacing w:line="360" w:lineRule="auto"/>
        <w:ind w:left="993"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d) </w:t>
      </w:r>
      <w:r w:rsidR="009669CB" w:rsidRPr="00252307">
        <w:rPr>
          <w:rFonts w:ascii="Palatino Linotype" w:eastAsia="Palatino Linotype" w:hAnsi="Palatino Linotype" w:cs="Palatino Linotype"/>
          <w:b/>
          <w:szCs w:val="22"/>
        </w:rPr>
        <w:t>Fecha de alta;</w:t>
      </w:r>
      <w:r w:rsidR="002B0131" w:rsidRPr="00252307">
        <w:rPr>
          <w:rFonts w:ascii="Palatino Linotype" w:eastAsia="Palatino Linotype" w:hAnsi="Palatino Linotype" w:cs="Palatino Linotype"/>
          <w:b/>
          <w:szCs w:val="22"/>
        </w:rPr>
        <w:t xml:space="preserve"> y</w:t>
      </w:r>
    </w:p>
    <w:p w:rsidR="002B0131" w:rsidRPr="00252307" w:rsidRDefault="002C3B1F" w:rsidP="002C3B1F">
      <w:pPr>
        <w:pStyle w:val="Prrafodelista"/>
        <w:spacing w:line="360" w:lineRule="auto"/>
        <w:ind w:left="993" w:right="567"/>
        <w:jc w:val="both"/>
        <w:rPr>
          <w:rFonts w:ascii="Palatino Linotype" w:eastAsia="Palatino Linotype" w:hAnsi="Palatino Linotype" w:cs="Palatino Linotype"/>
          <w:b/>
          <w:szCs w:val="22"/>
        </w:rPr>
      </w:pPr>
      <w:r w:rsidRPr="00252307">
        <w:rPr>
          <w:rFonts w:ascii="Palatino Linotype" w:eastAsia="Palatino Linotype" w:hAnsi="Palatino Linotype" w:cs="Palatino Linotype"/>
          <w:b/>
          <w:szCs w:val="22"/>
        </w:rPr>
        <w:t xml:space="preserve">e) </w:t>
      </w:r>
      <w:r w:rsidR="002B0131" w:rsidRPr="00252307">
        <w:rPr>
          <w:rFonts w:ascii="Palatino Linotype" w:eastAsia="Palatino Linotype" w:hAnsi="Palatino Linotype" w:cs="Palatino Linotype"/>
          <w:b/>
          <w:szCs w:val="22"/>
        </w:rPr>
        <w:t>Sueldo</w:t>
      </w:r>
      <w:r w:rsidR="00681958" w:rsidRPr="00252307">
        <w:rPr>
          <w:rFonts w:ascii="Palatino Linotype" w:eastAsia="Palatino Linotype" w:hAnsi="Palatino Linotype" w:cs="Palatino Linotype"/>
          <w:b/>
          <w:szCs w:val="22"/>
        </w:rPr>
        <w:t xml:space="preserve"> bruto y neto.</w:t>
      </w:r>
    </w:p>
    <w:p w:rsidR="00E94D86" w:rsidRPr="00252307" w:rsidRDefault="001E3125">
      <w:pPr>
        <w:spacing w:before="240" w:after="360" w:line="360" w:lineRule="auto"/>
        <w:ind w:right="-2"/>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252307">
        <w:rPr>
          <w:rFonts w:ascii="Palatino Linotype" w:eastAsia="Palatino Linotype" w:hAnsi="Palatino Linotype" w:cs="Palatino Linotype"/>
          <w:b/>
          <w:sz w:val="22"/>
          <w:szCs w:val="22"/>
        </w:rPr>
        <w:t xml:space="preserve"> RECURRENTE</w:t>
      </w:r>
      <w:r w:rsidRPr="00252307">
        <w:rPr>
          <w:rFonts w:ascii="Palatino Linotype" w:eastAsia="Palatino Linotype" w:hAnsi="Palatino Linotype" w:cs="Palatino Linotype"/>
          <w:sz w:val="22"/>
          <w:szCs w:val="22"/>
        </w:rPr>
        <w:t>.</w:t>
      </w:r>
    </w:p>
    <w:p w:rsidR="002C3B1F" w:rsidRPr="00252307" w:rsidRDefault="002C3B1F">
      <w:pPr>
        <w:spacing w:before="240" w:after="360" w:line="360" w:lineRule="auto"/>
        <w:ind w:right="-2"/>
        <w:jc w:val="both"/>
        <w:rPr>
          <w:rFonts w:ascii="Palatino Linotype" w:eastAsia="Palatino Linotype" w:hAnsi="Palatino Linotype" w:cs="Palatino Linotype"/>
          <w:sz w:val="22"/>
          <w:szCs w:val="22"/>
        </w:rPr>
      </w:pPr>
      <w:r w:rsidRPr="00252307">
        <w:rPr>
          <w:rFonts w:ascii="Palatino Linotype" w:hAnsi="Palatino Linotype"/>
          <w:color w:val="222222"/>
          <w:sz w:val="22"/>
          <w:szCs w:val="22"/>
        </w:rPr>
        <w:t xml:space="preserve">Para el caso de que la información que se ordena en el inciso </w:t>
      </w:r>
      <w:r w:rsidRPr="00252307">
        <w:rPr>
          <w:rFonts w:ascii="Palatino Linotype" w:hAnsi="Palatino Linotype"/>
          <w:b/>
          <w:bCs/>
          <w:color w:val="222222"/>
          <w:sz w:val="22"/>
          <w:szCs w:val="22"/>
        </w:rPr>
        <w:t>“b</w:t>
      </w:r>
      <w:r w:rsidR="00827BFE" w:rsidRPr="00252307">
        <w:rPr>
          <w:rFonts w:ascii="Palatino Linotype" w:hAnsi="Palatino Linotype"/>
          <w:b/>
          <w:bCs/>
          <w:color w:val="222222"/>
          <w:sz w:val="22"/>
          <w:szCs w:val="22"/>
        </w:rPr>
        <w:t>)</w:t>
      </w:r>
      <w:r w:rsidRPr="00252307">
        <w:rPr>
          <w:rFonts w:ascii="Palatino Linotype" w:hAnsi="Palatino Linotype"/>
          <w:b/>
          <w:bCs/>
          <w:color w:val="222222"/>
          <w:sz w:val="22"/>
          <w:szCs w:val="22"/>
        </w:rPr>
        <w:t xml:space="preserve">”, </w:t>
      </w:r>
      <w:r w:rsidRPr="00252307">
        <w:rPr>
          <w:rFonts w:ascii="Palatino Linotype" w:hAnsi="Palatino Linotype"/>
          <w:color w:val="222222"/>
          <w:sz w:val="22"/>
          <w:szCs w:val="22"/>
        </w:rPr>
        <w:t>no obre en los archivos del</w:t>
      </w:r>
      <w:r w:rsidRPr="00252307">
        <w:rPr>
          <w:rFonts w:ascii="Palatino Linotype" w:hAnsi="Palatino Linotype"/>
          <w:b/>
          <w:bCs/>
          <w:color w:val="222222"/>
          <w:sz w:val="22"/>
          <w:szCs w:val="22"/>
        </w:rPr>
        <w:t xml:space="preserve"> SUJETO OBLIGADO, </w:t>
      </w:r>
      <w:r w:rsidRPr="00252307">
        <w:rPr>
          <w:rFonts w:ascii="Palatino Linotype" w:hAnsi="Palatino Linotype"/>
          <w:color w:val="222222"/>
          <w:sz w:val="22"/>
          <w:szCs w:val="22"/>
        </w:rPr>
        <w:t>bastará con que así lo haga del conocimiento del Particular en términos</w:t>
      </w:r>
      <w:r w:rsidRPr="00252307">
        <w:rPr>
          <w:rFonts w:ascii="Palatino Linotype" w:hAnsi="Palatino Linotype"/>
          <w:color w:val="222222"/>
          <w:sz w:val="22"/>
          <w:szCs w:val="22"/>
          <w:shd w:val="clear" w:color="auto" w:fill="00FFFF"/>
        </w:rPr>
        <w:t xml:space="preserve"> </w:t>
      </w:r>
      <w:r w:rsidRPr="00252307">
        <w:rPr>
          <w:rFonts w:ascii="Palatino Linotype" w:hAnsi="Palatino Linotype"/>
          <w:color w:val="222222"/>
          <w:sz w:val="22"/>
          <w:szCs w:val="22"/>
        </w:rPr>
        <w:t>del artículo 19, párrafo segundo, de la Ley de Transparencia y Acceso a la Información Pública del Estado de México y Municipios.</w:t>
      </w:r>
      <w:bookmarkStart w:id="7" w:name="_GoBack"/>
      <w:bookmarkEnd w:id="7"/>
    </w:p>
    <w:p w:rsidR="00E94D86" w:rsidRPr="00252307" w:rsidRDefault="001E3125">
      <w:pPr>
        <w:spacing w:line="360" w:lineRule="auto"/>
        <w:ind w:right="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 xml:space="preserve">TERCERO. </w:t>
      </w:r>
      <w:r w:rsidRPr="00252307">
        <w:rPr>
          <w:rFonts w:ascii="Palatino Linotype" w:eastAsia="Palatino Linotype" w:hAnsi="Palatino Linotype" w:cs="Palatino Linotype"/>
          <w:b/>
          <w:color w:val="000000"/>
          <w:sz w:val="22"/>
          <w:szCs w:val="22"/>
        </w:rPr>
        <w:t>Notifíquese vía SAIMEX l</w:t>
      </w:r>
      <w:r w:rsidRPr="00252307">
        <w:rPr>
          <w:rFonts w:ascii="Palatino Linotype" w:eastAsia="Palatino Linotype" w:hAnsi="Palatino Linotype" w:cs="Palatino Linotype"/>
          <w:sz w:val="22"/>
          <w:szCs w:val="22"/>
        </w:rPr>
        <w:t xml:space="preserve">a presente resolución al Titular de la Unidad de Transparencia del </w:t>
      </w:r>
      <w:r w:rsidRPr="00252307">
        <w:rPr>
          <w:rFonts w:ascii="Palatino Linotype" w:eastAsia="Palatino Linotype" w:hAnsi="Palatino Linotype" w:cs="Palatino Linotype"/>
          <w:b/>
          <w:sz w:val="22"/>
          <w:szCs w:val="22"/>
        </w:rPr>
        <w:t>SUJETO OBLIGADO</w:t>
      </w:r>
      <w:r w:rsidRPr="00252307">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252307">
        <w:rPr>
          <w:rFonts w:ascii="Palatino Linotype" w:eastAsia="Palatino Linotype" w:hAnsi="Palatino Linotype" w:cs="Palatino Linotype"/>
          <w:b/>
          <w:sz w:val="22"/>
          <w:szCs w:val="22"/>
        </w:rPr>
        <w:t>dé cumplimiento a lo ordenado dentro del plazo de diez días hábiles</w:t>
      </w:r>
      <w:r w:rsidRPr="00252307">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252307">
        <w:rPr>
          <w:rFonts w:ascii="Palatino Linotype" w:eastAsia="Palatino Linotype" w:hAnsi="Palatino Linotype" w:cs="Palatino Linotype"/>
          <w:sz w:val="22"/>
          <w:szCs w:val="22"/>
        </w:rPr>
        <w:lastRenderedPageBreak/>
        <w:t>artículos 198, 200, fracción III; 214, 215 y 216 de la Ley de Transparencia y Acceso a la Información Pública del Estado de México y Municipios.</w:t>
      </w:r>
    </w:p>
    <w:p w:rsidR="00E94D86" w:rsidRPr="00252307" w:rsidRDefault="00E94D86" w:rsidP="00F5723F">
      <w:pPr>
        <w:tabs>
          <w:tab w:val="left" w:pos="8080"/>
        </w:tabs>
        <w:ind w:right="1"/>
        <w:jc w:val="both"/>
        <w:rPr>
          <w:rFonts w:ascii="Palatino Linotype" w:eastAsia="Palatino Linotype" w:hAnsi="Palatino Linotype" w:cs="Palatino Linotype"/>
          <w:color w:val="222222"/>
          <w:sz w:val="22"/>
          <w:szCs w:val="22"/>
        </w:rPr>
      </w:pPr>
    </w:p>
    <w:p w:rsidR="00E94D86" w:rsidRPr="00252307" w:rsidRDefault="001E3125">
      <w:pPr>
        <w:shd w:val="clear" w:color="auto" w:fill="FFFFFF"/>
        <w:spacing w:after="240" w:line="360" w:lineRule="auto"/>
        <w:ind w:right="1"/>
        <w:jc w:val="both"/>
        <w:rPr>
          <w:rFonts w:ascii="Palatino Linotype" w:eastAsia="Palatino Linotype" w:hAnsi="Palatino Linotype" w:cs="Palatino Linotype"/>
          <w:b/>
          <w:sz w:val="22"/>
          <w:szCs w:val="22"/>
        </w:rPr>
      </w:pPr>
      <w:r w:rsidRPr="00252307">
        <w:rPr>
          <w:rFonts w:ascii="Palatino Linotype" w:eastAsia="Palatino Linotype" w:hAnsi="Palatino Linotype" w:cs="Palatino Linotype"/>
          <w:b/>
          <w:sz w:val="22"/>
          <w:szCs w:val="22"/>
        </w:rPr>
        <w:t>CUARTO. Notifíquese a la RECURRENTE</w:t>
      </w:r>
      <w:r w:rsidRPr="00252307">
        <w:rPr>
          <w:rFonts w:ascii="Palatino Linotype" w:eastAsia="Palatino Linotype" w:hAnsi="Palatino Linotype" w:cs="Palatino Linotype"/>
          <w:sz w:val="22"/>
          <w:szCs w:val="22"/>
        </w:rPr>
        <w:t xml:space="preserve"> la presente resolución vía </w:t>
      </w:r>
      <w:r w:rsidRPr="00252307">
        <w:rPr>
          <w:rFonts w:ascii="Palatino Linotype" w:eastAsia="Palatino Linotype" w:hAnsi="Palatino Linotype" w:cs="Palatino Linotype"/>
          <w:b/>
          <w:sz w:val="22"/>
          <w:szCs w:val="22"/>
        </w:rPr>
        <w:t>SAIMEX.</w:t>
      </w:r>
    </w:p>
    <w:p w:rsidR="00E94D86" w:rsidRPr="00252307" w:rsidRDefault="001E3125">
      <w:pPr>
        <w:spacing w:before="240" w:after="240" w:line="360" w:lineRule="auto"/>
        <w:ind w:right="1"/>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sz w:val="22"/>
          <w:szCs w:val="22"/>
        </w:rPr>
        <w:t>QUINTO.</w:t>
      </w:r>
      <w:r w:rsidRPr="00252307">
        <w:rPr>
          <w:rFonts w:ascii="Palatino Linotype" w:eastAsia="Palatino Linotype" w:hAnsi="Palatino Linotype" w:cs="Palatino Linotype"/>
          <w:sz w:val="22"/>
          <w:szCs w:val="22"/>
        </w:rPr>
        <w:t xml:space="preserve"> Se hace del conocimiento de la </w:t>
      </w:r>
      <w:r w:rsidRPr="00252307">
        <w:rPr>
          <w:rFonts w:ascii="Palatino Linotype" w:eastAsia="Palatino Linotype" w:hAnsi="Palatino Linotype" w:cs="Palatino Linotype"/>
          <w:b/>
          <w:sz w:val="22"/>
          <w:szCs w:val="22"/>
        </w:rPr>
        <w:t>RECURRENTE</w:t>
      </w:r>
      <w:r w:rsidRPr="00252307">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54CEC" w:rsidRPr="00252307" w:rsidRDefault="001E3125">
      <w:pPr>
        <w:spacing w:before="240" w:after="240" w:line="360" w:lineRule="auto"/>
        <w:ind w:right="1"/>
        <w:jc w:val="both"/>
        <w:rPr>
          <w:rFonts w:ascii="Palatino Linotype" w:eastAsia="Palatino Linotype" w:hAnsi="Palatino Linotype" w:cs="Palatino Linotype"/>
          <w:sz w:val="22"/>
          <w:szCs w:val="22"/>
        </w:rPr>
      </w:pPr>
      <w:r w:rsidRPr="00252307">
        <w:rPr>
          <w:rFonts w:ascii="Palatino Linotype" w:eastAsia="Palatino Linotype" w:hAnsi="Palatino Linotype" w:cs="Palatino Linotype"/>
          <w:b/>
          <w:color w:val="000000"/>
          <w:sz w:val="22"/>
          <w:szCs w:val="22"/>
        </w:rPr>
        <w:t xml:space="preserve">SEXTO. </w:t>
      </w:r>
      <w:r w:rsidRPr="00252307">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254CEC" w:rsidRPr="003C7186" w:rsidRDefault="002A320B" w:rsidP="00254CEC">
      <w:pPr>
        <w:spacing w:line="360" w:lineRule="auto"/>
        <w:ind w:hanging="141"/>
        <w:jc w:val="both"/>
        <w:rPr>
          <w:rFonts w:ascii="Palatino Linotype" w:hAnsi="Palatino Linotype"/>
        </w:rPr>
      </w:pPr>
      <w:r w:rsidRPr="00252307">
        <w:rPr>
          <w:rFonts w:ascii="Palatino Linotype" w:hAnsi="Palatino Linotype"/>
        </w:rPr>
        <w:t>ASÍ LO RESUELVE, POR MAYORÍA</w:t>
      </w:r>
      <w:r w:rsidR="00254CEC" w:rsidRPr="00252307">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w:t>
      </w:r>
      <w:r w:rsidR="00025EBE" w:rsidRPr="00252307">
        <w:rPr>
          <w:rFonts w:ascii="Palatino Linotype" w:hAnsi="Palatino Linotype"/>
        </w:rPr>
        <w:t xml:space="preserve"> </w:t>
      </w:r>
      <w:r w:rsidR="00025EBE" w:rsidRPr="00252307">
        <w:rPr>
          <w:rFonts w:ascii="Palatino Linotype" w:hAnsi="Palatino Linotype" w:cs="Calibri"/>
        </w:rPr>
        <w:t>EMITIENDO VOTO PARTICULAR</w:t>
      </w:r>
      <w:r w:rsidR="00254CEC" w:rsidRPr="00252307">
        <w:rPr>
          <w:rFonts w:ascii="Palatino Linotype" w:hAnsi="Palatino Linotype"/>
        </w:rPr>
        <w:t>; MARÍA DEL ROSARIO MEJÍA AYALA</w:t>
      </w:r>
      <w:r w:rsidR="00025EBE" w:rsidRPr="00252307">
        <w:rPr>
          <w:rFonts w:ascii="Palatino Linotype" w:hAnsi="Palatino Linotype"/>
        </w:rPr>
        <w:t xml:space="preserve"> </w:t>
      </w:r>
      <w:r w:rsidR="00025EBE" w:rsidRPr="00252307">
        <w:rPr>
          <w:rFonts w:ascii="Palatino Linotype" w:hAnsi="Palatino Linotype" w:cs="Calibri"/>
        </w:rPr>
        <w:t>EMITIENDO VOTO PARTICULAR</w:t>
      </w:r>
      <w:r w:rsidR="00254CEC" w:rsidRPr="00252307">
        <w:rPr>
          <w:rFonts w:ascii="Palatino Linotype" w:hAnsi="Palatino Linotype"/>
        </w:rPr>
        <w:t>; SHARON CRISTINA MORALES MARTÍNEZ</w:t>
      </w:r>
      <w:r w:rsidR="00025EBE" w:rsidRPr="00252307">
        <w:rPr>
          <w:rFonts w:ascii="Palatino Linotype" w:hAnsi="Palatino Linotype"/>
        </w:rPr>
        <w:t xml:space="preserve"> </w:t>
      </w:r>
      <w:r w:rsidR="00025EBE" w:rsidRPr="00252307">
        <w:rPr>
          <w:rFonts w:ascii="Palatino Linotype" w:hAnsi="Palatino Linotype" w:cs="Calibri"/>
        </w:rPr>
        <w:t>EMITIENDO VOTO PARTICULAR</w:t>
      </w:r>
      <w:r w:rsidR="00254CEC" w:rsidRPr="00252307">
        <w:rPr>
          <w:rFonts w:ascii="Palatino Linotype" w:hAnsi="Palatino Linotype"/>
        </w:rPr>
        <w:t xml:space="preserve">; LUIS GUSTAVO PARRA NORIEGA </w:t>
      </w:r>
      <w:r w:rsidR="00025EBE" w:rsidRPr="00252307">
        <w:rPr>
          <w:rFonts w:ascii="Palatino Linotype" w:hAnsi="Palatino Linotype" w:cs="Calibri"/>
        </w:rPr>
        <w:t xml:space="preserve">EMITIENDO VOTO PARTICULAR </w:t>
      </w:r>
      <w:r w:rsidR="00254CEC" w:rsidRPr="00252307">
        <w:rPr>
          <w:rFonts w:ascii="Palatino Linotype" w:hAnsi="Palatino Linotype"/>
        </w:rPr>
        <w:t>Y GUADALUPE RAMÍREZ PEÑA</w:t>
      </w:r>
      <w:r w:rsidR="00025EBE" w:rsidRPr="00252307">
        <w:rPr>
          <w:rFonts w:ascii="Palatino Linotype" w:hAnsi="Palatino Linotype"/>
        </w:rPr>
        <w:t xml:space="preserve"> </w:t>
      </w:r>
      <w:r w:rsidR="00025EBE" w:rsidRPr="00252307">
        <w:rPr>
          <w:rFonts w:ascii="Palatino Linotype" w:hAnsi="Palatino Linotype" w:cs="Calibri"/>
        </w:rPr>
        <w:t>EMITIENDO VOTO DISIDENTE</w:t>
      </w:r>
      <w:r w:rsidR="00254CEC" w:rsidRPr="00252307">
        <w:rPr>
          <w:rFonts w:ascii="Palatino Linotype" w:hAnsi="Palatino Linotype"/>
        </w:rPr>
        <w:t>; EN LA OCTAVA SESIÓN ORDINARIA CELEBRADA EL SEIS (06) DE MARZO DE DOS MIL VEINTICINCO, ANTE EL SECRETARIO TÉCNICO DEL PLENO ALEXIS TAPIA RAMÍREZ.</w:t>
      </w:r>
      <w:r w:rsidR="00254CEC" w:rsidRPr="003C7186">
        <w:rPr>
          <w:rFonts w:ascii="Palatino Linotype" w:hAnsi="Palatino Linotype"/>
        </w:rPr>
        <w:t xml:space="preserve"> </w:t>
      </w:r>
    </w:p>
    <w:p w:rsidR="00E94D86" w:rsidRPr="002C3B1F" w:rsidRDefault="00E94D86">
      <w:pPr>
        <w:spacing w:before="240" w:after="240"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jc w:val="both"/>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spacing w:line="360" w:lineRule="auto"/>
        <w:ind w:right="-592"/>
        <w:rPr>
          <w:rFonts w:ascii="Palatino Linotype" w:eastAsia="Palatino Linotype" w:hAnsi="Palatino Linotype" w:cs="Palatino Linotype"/>
          <w:sz w:val="22"/>
          <w:szCs w:val="22"/>
        </w:rPr>
      </w:pPr>
    </w:p>
    <w:p w:rsidR="00E94D86" w:rsidRPr="002C3B1F" w:rsidRDefault="00E94D86">
      <w:pPr>
        <w:ind w:right="-592"/>
        <w:rPr>
          <w:rFonts w:ascii="Palatino Linotype" w:eastAsia="Palatino Linotype" w:hAnsi="Palatino Linotype" w:cs="Palatino Linotype"/>
          <w:sz w:val="22"/>
          <w:szCs w:val="22"/>
        </w:rPr>
      </w:pPr>
    </w:p>
    <w:p w:rsidR="00647AFA" w:rsidRPr="002C3B1F" w:rsidRDefault="00647AFA">
      <w:pPr>
        <w:ind w:right="-592"/>
        <w:rPr>
          <w:rFonts w:ascii="Palatino Linotype" w:eastAsia="Palatino Linotype" w:hAnsi="Palatino Linotype" w:cs="Palatino Linotype"/>
          <w:sz w:val="22"/>
          <w:szCs w:val="22"/>
        </w:rPr>
      </w:pPr>
    </w:p>
    <w:p w:rsidR="001E3608" w:rsidRPr="002C3B1F" w:rsidRDefault="001E3608">
      <w:pPr>
        <w:ind w:right="-592"/>
        <w:rPr>
          <w:rFonts w:ascii="Palatino Linotype" w:eastAsia="Palatino Linotype" w:hAnsi="Palatino Linotype" w:cs="Palatino Linotype"/>
          <w:sz w:val="22"/>
          <w:szCs w:val="22"/>
        </w:rPr>
      </w:pPr>
    </w:p>
    <w:sectPr w:rsidR="001E3608" w:rsidRPr="002C3B1F">
      <w:headerReference w:type="even" r:id="rId14"/>
      <w:headerReference w:type="default" r:id="rId15"/>
      <w:footerReference w:type="default" r:id="rId16"/>
      <w:headerReference w:type="first" r:id="rId17"/>
      <w:footerReference w:type="first" r:id="rId18"/>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A6" w:rsidRDefault="007224A6">
      <w:r>
        <w:separator/>
      </w:r>
    </w:p>
  </w:endnote>
  <w:endnote w:type="continuationSeparator" w:id="0">
    <w:p w:rsidR="007224A6" w:rsidRDefault="007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76" w:rsidRDefault="000C09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52307">
      <w:rPr>
        <w:b/>
        <w:noProof/>
        <w:color w:val="000000"/>
      </w:rPr>
      <w:t>51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52307">
      <w:rPr>
        <w:b/>
        <w:noProof/>
        <w:color w:val="000000"/>
      </w:rPr>
      <w:t>52</w:t>
    </w:r>
    <w:r>
      <w:rPr>
        <w:b/>
        <w:color w:val="000000"/>
      </w:rPr>
      <w:fldChar w:fldCharType="end"/>
    </w:r>
  </w:p>
  <w:p w:rsidR="000C0976" w:rsidRDefault="000C097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76" w:rsidRDefault="000C09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5230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52307">
      <w:rPr>
        <w:b/>
        <w:noProof/>
        <w:color w:val="000000"/>
      </w:rPr>
      <w:t>52</w:t>
    </w:r>
    <w:r>
      <w:rPr>
        <w:b/>
        <w:color w:val="000000"/>
      </w:rPr>
      <w:fldChar w:fldCharType="end"/>
    </w:r>
  </w:p>
  <w:p w:rsidR="000C0976" w:rsidRDefault="000C097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A6" w:rsidRDefault="007224A6">
      <w:r>
        <w:separator/>
      </w:r>
    </w:p>
  </w:footnote>
  <w:footnote w:type="continuationSeparator" w:id="0">
    <w:p w:rsidR="007224A6" w:rsidRDefault="007224A6">
      <w:r>
        <w:continuationSeparator/>
      </w:r>
    </w:p>
  </w:footnote>
  <w:footnote w:id="1">
    <w:p w:rsidR="000C0976" w:rsidRDefault="000C097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0C0976" w:rsidRDefault="000C097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0C0976" w:rsidRDefault="000C097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0C0976" w:rsidRDefault="000C097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5">
    <w:p w:rsidR="000C0976" w:rsidRDefault="000C0976" w:rsidP="00613DF7">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Jurisprudencia publicada en el Semanario Judicial de la Federación número 2a./J.120/2015, de la Décima Época, Tomo I, Libro 22, Septiembre 2015, cuyo texto es el siguiente: “La regulación establecida en el artículo </w:t>
      </w:r>
      <w:r>
        <w:rPr>
          <w:rFonts w:ascii="Cambria" w:eastAsia="Cambria" w:hAnsi="Cambria" w:cs="Cambria"/>
          <w:color w:val="000000"/>
          <w:sz w:val="20"/>
          <w:szCs w:val="20"/>
        </w:rPr>
        <w:t>79, fracción VI, de la Ley de Amparo</w:t>
      </w:r>
      <w:r>
        <w:rPr>
          <w:rFonts w:ascii="Cambria" w:eastAsia="Cambria" w:hAnsi="Cambria" w:cs="Cambria"/>
          <w:color w:val="000000"/>
          <w:sz w:val="20"/>
          <w:szCs w:val="20"/>
          <w:highlight w:val="white"/>
        </w:rPr>
        <w:t> faculta al juzgador de amparo para suplir la deficiencia de la queja en materias diversas a las que el propio numeral prevé, ante una irregularidad procesal grave y manifiesta en la controversia del amparo, no resuelta en el procedimiento de origen, que afecte al quejoso o recurrente, aun ante la ausencia de concepto de violación o agravio al respecto, ya que revela la intención del legislador de no permitir que una de las partes se beneficie a costa de la indefensión de su contraria, como consecuencia de una actuación ilegal de la autoridad, permitiendo al Juez ejercer un discernimiento en cada caso concreto, en atención a la materia y sujeto de que se trate, lo cual es congruente con el artículo </w:t>
      </w:r>
      <w:r>
        <w:rPr>
          <w:rFonts w:ascii="Cambria" w:eastAsia="Cambria" w:hAnsi="Cambria" w:cs="Cambria"/>
          <w:color w:val="000000"/>
          <w:sz w:val="20"/>
          <w:szCs w:val="20"/>
        </w:rPr>
        <w:t>107, fracción II, antepenúltimo párrafo, de la Constitución Política de los Estados Unidos Mexicanos</w:t>
      </w:r>
      <w:r>
        <w:rPr>
          <w:rFonts w:ascii="Cambria" w:eastAsia="Cambria" w:hAnsi="Cambria" w:cs="Cambria"/>
          <w:color w:val="000000"/>
          <w:sz w:val="20"/>
          <w:szCs w:val="20"/>
          <w:highlight w:val="white"/>
        </w:rPr>
        <w:t>.”</w:t>
      </w:r>
    </w:p>
  </w:footnote>
  <w:footnote w:id="6">
    <w:p w:rsidR="000C0976" w:rsidRDefault="000C0976" w:rsidP="00613DF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Tesis aislada publicada en el Semanario Judicial de la Federación número 1a. LXXIII/2015, de la Décima Época, Tomo II, Libro 15, Febrero 2015, cuyo texto es el siguiente: “Del precepto citado deriva que la suplencia de la queja deficiente operará en las materias civil y administrativa cuando el tribunal de amparo advierta que ha habido contra el quejoso o recurrente una violación evidente de la ley que lo haya dejado sin defensa, por afectar sus derechos humanos reconocidos en la Constitución Política de los Estados Unidos Mexicanos y en los tratados internacionales de que el Estado Mexicano sea parte. Ahora bien, el Pleno de la Suprema Corte de Justicia de la Nación, al pronunciarse sobre el artículo 76 Bis de la Ley de Amparo abrogada, de redacción similar al 79 de la vigente, estimó que la frase "lo haya dejado sin defensa" no debe interpretarse literalmente,</w:t>
      </w:r>
      <w:r>
        <w:rPr>
          <w:rFonts w:ascii="Palatino Linotype" w:eastAsia="Palatino Linotype" w:hAnsi="Palatino Linotype" w:cs="Palatino Linotype"/>
          <w:color w:val="000000"/>
          <w:sz w:val="16"/>
          <w:szCs w:val="16"/>
          <w:highlight w:val="white"/>
        </w:rPr>
        <w:t xml:space="preserve"> </w:t>
      </w:r>
      <w:r>
        <w:rPr>
          <w:rFonts w:ascii="Cambria" w:eastAsia="Cambria" w:hAnsi="Cambria" w:cs="Cambria"/>
          <w:color w:val="000000"/>
          <w:sz w:val="20"/>
          <w:szCs w:val="20"/>
          <w:highlight w:val="white"/>
        </w:rPr>
        <w:t>sino que debe entenderse en el sentido de que la autoridad responsable infringió determinadas normas, de forma que afectó sustancialmente al quejoso en su defensa. Asimismo, sostuvo que una "violación manifiesta de la ley" es la que se advierte obvia, que es innegable e indiscutible, y cuya existencia no puede derivarse de una serie de razonamientos y planteamientos cuestionables. Por otra parte, esta Primera Sala sostuvo que por "violación manifiesta de la ley que deje sin defensa", se entiende aquella actuación que haga notoria e indiscutible la vulneración a los derechos del quejoso, ya sea en forma directa, o bien, indirecta, mediante la transgresión a las normas procedimentales y sustantivas, y que rigen el acto reclamado; de ahí que dicha interpretación es aplicable al artículo 79 de la Ley de Amparo, ya que no se le opone, sino que es concordante. Conforme a lo anterior, los tribunales de amparo sólo están obligados a suplir la queja deficiente en las materias civil y administrativa cuando adviertan una violación evidente, esto es, clara, innegable, que afecte sustancialmente al quejoso en su defensa.”</w:t>
      </w:r>
    </w:p>
  </w:footnote>
  <w:footnote w:id="7">
    <w:p w:rsidR="000C0976" w:rsidRDefault="000C0976" w:rsidP="0066562E">
      <w:pPr>
        <w:pStyle w:val="Textonotapie"/>
      </w:pPr>
      <w:r>
        <w:rPr>
          <w:rStyle w:val="Refdenotaalpie"/>
        </w:rPr>
        <w:footnoteRef/>
      </w:r>
      <w:r>
        <w:t xml:space="preserve"> Artículo 50, Ley de Transparencia y Acceso a la Información Pública del Estado de México y Municipios.</w:t>
      </w:r>
    </w:p>
  </w:footnote>
  <w:footnote w:id="8">
    <w:p w:rsidR="000C0976" w:rsidRDefault="000C0976" w:rsidP="0066562E">
      <w:pPr>
        <w:pStyle w:val="Textonotapie"/>
      </w:pPr>
      <w:r>
        <w:rPr>
          <w:rStyle w:val="Refdenotaalpie"/>
        </w:rPr>
        <w:footnoteRef/>
      </w:r>
      <w:r>
        <w:t xml:space="preserve"> Artículo 51, Ídem.</w:t>
      </w:r>
    </w:p>
  </w:footnote>
  <w:footnote w:id="9">
    <w:p w:rsidR="000C0976" w:rsidRDefault="000C0976" w:rsidP="0066562E">
      <w:pPr>
        <w:pStyle w:val="Textonotapie"/>
      </w:pPr>
      <w:r>
        <w:rPr>
          <w:rStyle w:val="Refdenotaalpie"/>
        </w:rPr>
        <w:footnoteRef/>
      </w:r>
      <w:r>
        <w:t xml:space="preserve"> Artículo 58, Ley de Transparencia y Acceso a la Información Pública del Estado de México y Municipios.</w:t>
      </w:r>
    </w:p>
  </w:footnote>
  <w:footnote w:id="10">
    <w:p w:rsidR="000C0976" w:rsidRDefault="000C0976" w:rsidP="0066562E">
      <w:pPr>
        <w:pStyle w:val="Textonotapie"/>
      </w:pPr>
      <w:r>
        <w:rPr>
          <w:rStyle w:val="Refdenotaalpie"/>
        </w:rPr>
        <w:footnoteRef/>
      </w:r>
      <w:r>
        <w:t xml:space="preserve"> Artículo 59, Ídem.</w:t>
      </w:r>
    </w:p>
  </w:footnote>
  <w:footnote w:id="11">
    <w:p w:rsidR="000C0976" w:rsidRDefault="000C0976" w:rsidP="001E3608">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 w:id="12">
    <w:p w:rsidR="00475288" w:rsidRDefault="00475288" w:rsidP="00475288">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13">
    <w:p w:rsidR="00475288" w:rsidRDefault="00475288" w:rsidP="00475288">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14">
    <w:p w:rsidR="00475288" w:rsidRDefault="00475288" w:rsidP="00475288">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15">
    <w:p w:rsidR="00475288" w:rsidRDefault="00475288" w:rsidP="00475288">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w:t>
      </w:r>
      <w:proofErr w:type="spellStart"/>
      <w:r w:rsidRPr="006848B2">
        <w:rPr>
          <w:rFonts w:ascii="Palatino Linotype" w:eastAsia="MS Mincho" w:hAnsi="Palatino Linotype" w:cs="Arial"/>
          <w:sz w:val="16"/>
          <w:szCs w:val="16"/>
        </w:rPr>
        <w:t>VILLANUEVA</w:t>
      </w:r>
      <w:proofErr w:type="spellEnd"/>
      <w:r w:rsidRPr="006848B2">
        <w:rPr>
          <w:rFonts w:ascii="Palatino Linotype" w:eastAsia="MS Mincho" w:hAnsi="Palatino Linotype" w:cs="Arial"/>
          <w:sz w:val="16"/>
          <w:szCs w:val="16"/>
        </w:rPr>
        <w:t xml:space="preserve">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76" w:rsidRDefault="007224A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76" w:rsidRDefault="000C0976">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0C0976" w:rsidRPr="004401C8">
      <w:trPr>
        <w:trHeight w:val="1435"/>
      </w:trPr>
      <w:tc>
        <w:tcPr>
          <w:tcW w:w="2268" w:type="dxa"/>
          <w:shd w:val="clear" w:color="auto" w:fill="auto"/>
        </w:tcPr>
        <w:p w:rsidR="000C0976" w:rsidRDefault="000C0976">
          <w:pPr>
            <w:tabs>
              <w:tab w:val="right" w:pos="4273"/>
            </w:tabs>
            <w:rPr>
              <w:rFonts w:ascii="Garamond" w:eastAsia="Garamond" w:hAnsi="Garamond" w:cs="Garamond"/>
              <w:sz w:val="16"/>
              <w:szCs w:val="16"/>
            </w:rPr>
          </w:pPr>
        </w:p>
      </w:tc>
      <w:tc>
        <w:tcPr>
          <w:tcW w:w="6946" w:type="dxa"/>
          <w:shd w:val="clear" w:color="auto" w:fill="auto"/>
        </w:tcPr>
        <w:p w:rsidR="000C0976" w:rsidRPr="004401C8" w:rsidRDefault="000C0976"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0C0976" w:rsidRPr="004401C8">
            <w:trPr>
              <w:trHeight w:val="150"/>
            </w:trPr>
            <w:tc>
              <w:tcPr>
                <w:tcW w:w="3377" w:type="dxa"/>
                <w:shd w:val="clear" w:color="auto" w:fill="auto"/>
              </w:tcPr>
              <w:p w:rsidR="000C0976" w:rsidRPr="004401C8" w:rsidRDefault="000C0976"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3283" w:type="dxa"/>
                <w:shd w:val="clear" w:color="auto" w:fill="auto"/>
              </w:tcPr>
              <w:p w:rsidR="000C0976" w:rsidRPr="004401C8" w:rsidRDefault="000C0976" w:rsidP="004401C8">
                <w:pPr>
                  <w:tabs>
                    <w:tab w:val="right" w:pos="8838"/>
                  </w:tabs>
                  <w:ind w:right="-781"/>
                  <w:jc w:val="both"/>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03723</w:t>
                </w:r>
                <w:r w:rsidRPr="004401C8">
                  <w:rPr>
                    <w:rFonts w:ascii="Palatino Linotype" w:eastAsia="Palatino Linotype" w:hAnsi="Palatino Linotype" w:cs="Palatino Linotype"/>
                    <w:sz w:val="18"/>
                    <w:szCs w:val="22"/>
                  </w:rPr>
                  <w:t>/INFOEM/IP/RR/2024</w:t>
                </w:r>
              </w:p>
            </w:tc>
          </w:tr>
          <w:tr w:rsidR="000C0976" w:rsidRPr="004401C8">
            <w:trPr>
              <w:trHeight w:val="295"/>
            </w:trPr>
            <w:tc>
              <w:tcPr>
                <w:tcW w:w="3377" w:type="dxa"/>
                <w:shd w:val="clear" w:color="auto" w:fill="auto"/>
              </w:tcPr>
              <w:p w:rsidR="000C0976" w:rsidRPr="004401C8" w:rsidRDefault="000C0976"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3283" w:type="dxa"/>
                <w:shd w:val="clear" w:color="auto" w:fill="auto"/>
              </w:tcPr>
              <w:p w:rsidR="000C0976" w:rsidRPr="004401C8" w:rsidRDefault="000C0976" w:rsidP="004401C8">
                <w:pPr>
                  <w:tabs>
                    <w:tab w:val="left" w:pos="2834"/>
                    <w:tab w:val="right" w:pos="8838"/>
                  </w:tabs>
                  <w:ind w:right="-1552"/>
                  <w:jc w:val="both"/>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Secretaría de Movilidad</w:t>
                </w:r>
              </w:p>
            </w:tc>
          </w:tr>
          <w:tr w:rsidR="000C0976" w:rsidRPr="004401C8">
            <w:trPr>
              <w:trHeight w:val="295"/>
            </w:trPr>
            <w:tc>
              <w:tcPr>
                <w:tcW w:w="3377" w:type="dxa"/>
                <w:shd w:val="clear" w:color="auto" w:fill="auto"/>
              </w:tcPr>
              <w:p w:rsidR="000C0976" w:rsidRPr="004401C8" w:rsidRDefault="000C0976"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3283" w:type="dxa"/>
                <w:shd w:val="clear" w:color="auto" w:fill="auto"/>
              </w:tcPr>
              <w:p w:rsidR="000C0976" w:rsidRPr="004401C8" w:rsidRDefault="000C0976" w:rsidP="004401C8">
                <w:pPr>
                  <w:tabs>
                    <w:tab w:val="right" w:pos="8838"/>
                  </w:tabs>
                  <w:ind w:right="-781"/>
                  <w:jc w:val="both"/>
                  <w:rPr>
                    <w:rFonts w:ascii="Palatino Linotype" w:eastAsia="Palatino Linotype" w:hAnsi="Palatino Linotype" w:cs="Palatino Linotype"/>
                    <w:sz w:val="18"/>
                    <w:szCs w:val="22"/>
                  </w:rPr>
                </w:pPr>
                <w:r w:rsidRPr="004401C8">
                  <w:rPr>
                    <w:rFonts w:ascii="Palatino Linotype" w:eastAsia="Palatino Linotype" w:hAnsi="Palatino Linotype" w:cs="Palatino Linotype"/>
                    <w:sz w:val="18"/>
                    <w:szCs w:val="22"/>
                  </w:rPr>
                  <w:t>María del Rosario Mejía Ayala</w:t>
                </w:r>
              </w:p>
              <w:p w:rsidR="000C0976" w:rsidRPr="004401C8" w:rsidRDefault="000C0976" w:rsidP="004401C8">
                <w:pPr>
                  <w:tabs>
                    <w:tab w:val="right" w:pos="8838"/>
                  </w:tabs>
                  <w:ind w:left="141" w:right="-781"/>
                  <w:jc w:val="both"/>
                  <w:rPr>
                    <w:rFonts w:ascii="Palatino Linotype" w:eastAsia="Palatino Linotype" w:hAnsi="Palatino Linotype" w:cs="Palatino Linotype"/>
                    <w:sz w:val="18"/>
                    <w:szCs w:val="22"/>
                  </w:rPr>
                </w:pPr>
              </w:p>
            </w:tc>
          </w:tr>
        </w:tbl>
        <w:p w:rsidR="000C0976" w:rsidRPr="004401C8" w:rsidRDefault="000C0976" w:rsidP="004401C8">
          <w:pPr>
            <w:tabs>
              <w:tab w:val="right" w:pos="8838"/>
            </w:tabs>
            <w:ind w:left="-28"/>
            <w:jc w:val="both"/>
            <w:rPr>
              <w:rFonts w:ascii="Arial" w:eastAsia="Arial" w:hAnsi="Arial" w:cs="Arial"/>
              <w:b/>
              <w:sz w:val="18"/>
              <w:szCs w:val="22"/>
            </w:rPr>
          </w:pPr>
        </w:p>
      </w:tc>
    </w:tr>
  </w:tbl>
  <w:p w:rsidR="000C0976" w:rsidRDefault="007224A6">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76" w:rsidRDefault="000C0976">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0C0976">
      <w:trPr>
        <w:trHeight w:val="1435"/>
      </w:trPr>
      <w:tc>
        <w:tcPr>
          <w:tcW w:w="2265" w:type="dxa"/>
          <w:shd w:val="clear" w:color="auto" w:fill="auto"/>
        </w:tcPr>
        <w:p w:rsidR="000C0976" w:rsidRDefault="000C0976">
          <w:pPr>
            <w:tabs>
              <w:tab w:val="right" w:pos="4273"/>
            </w:tabs>
            <w:rPr>
              <w:rFonts w:ascii="Garamond" w:eastAsia="Garamond" w:hAnsi="Garamond" w:cs="Garamond"/>
              <w:sz w:val="22"/>
              <w:szCs w:val="22"/>
            </w:rPr>
          </w:pPr>
        </w:p>
      </w:tc>
      <w:tc>
        <w:tcPr>
          <w:tcW w:w="7800" w:type="dxa"/>
          <w:shd w:val="clear" w:color="auto" w:fill="auto"/>
        </w:tcPr>
        <w:p w:rsidR="000C0976" w:rsidRDefault="000C097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0C0976">
            <w:trPr>
              <w:trHeight w:val="144"/>
            </w:trPr>
            <w:tc>
              <w:tcPr>
                <w:tcW w:w="2490" w:type="dxa"/>
                <w:shd w:val="clear" w:color="auto" w:fill="auto"/>
              </w:tcPr>
              <w:p w:rsidR="000C0976" w:rsidRPr="004401C8" w:rsidRDefault="000C0976" w:rsidP="004401C8">
                <w:pPr>
                  <w:tabs>
                    <w:tab w:val="right" w:pos="8838"/>
                  </w:tabs>
                  <w:ind w:left="-264" w:right="-105" w:firstLine="19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4920" w:type="dxa"/>
                <w:shd w:val="clear" w:color="auto" w:fill="auto"/>
              </w:tcPr>
              <w:p w:rsidR="000C0976" w:rsidRPr="004401C8" w:rsidRDefault="000C0976" w:rsidP="003A1F84">
                <w:pPr>
                  <w:tabs>
                    <w:tab w:val="right" w:pos="8838"/>
                  </w:tabs>
                  <w:ind w:right="-1552"/>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03723</w:t>
                </w:r>
                <w:r w:rsidRPr="004401C8">
                  <w:rPr>
                    <w:rFonts w:ascii="Palatino Linotype" w:eastAsia="Palatino Linotype" w:hAnsi="Palatino Linotype" w:cs="Palatino Linotype"/>
                    <w:sz w:val="18"/>
                    <w:szCs w:val="22"/>
                  </w:rPr>
                  <w:t>/INFOEM/IP/RR/2024</w:t>
                </w:r>
              </w:p>
            </w:tc>
          </w:tr>
          <w:tr w:rsidR="000C0976">
            <w:trPr>
              <w:trHeight w:val="144"/>
            </w:trPr>
            <w:tc>
              <w:tcPr>
                <w:tcW w:w="2490" w:type="dxa"/>
                <w:shd w:val="clear" w:color="auto" w:fill="auto"/>
              </w:tcPr>
              <w:p w:rsidR="000C0976" w:rsidRPr="004401C8" w:rsidRDefault="000C0976"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Recurrente:</w:t>
                </w:r>
              </w:p>
            </w:tc>
            <w:tc>
              <w:tcPr>
                <w:tcW w:w="4920" w:type="dxa"/>
                <w:shd w:val="clear" w:color="auto" w:fill="auto"/>
              </w:tcPr>
              <w:p w:rsidR="000C0976" w:rsidRPr="004401C8" w:rsidRDefault="000C0976" w:rsidP="004401C8">
                <w:pPr>
                  <w:tabs>
                    <w:tab w:val="left" w:pos="3122"/>
                    <w:tab w:val="right" w:pos="8838"/>
                  </w:tabs>
                  <w:ind w:right="-1552"/>
                  <w:rPr>
                    <w:rFonts w:ascii="Palatino Linotype" w:eastAsia="Palatino Linotype" w:hAnsi="Palatino Linotype" w:cs="Palatino Linotype"/>
                    <w:sz w:val="18"/>
                    <w:szCs w:val="22"/>
                  </w:rPr>
                </w:pPr>
              </w:p>
            </w:tc>
          </w:tr>
          <w:tr w:rsidR="000C0976" w:rsidTr="004401C8">
            <w:trPr>
              <w:trHeight w:val="80"/>
            </w:trPr>
            <w:tc>
              <w:tcPr>
                <w:tcW w:w="2490" w:type="dxa"/>
                <w:shd w:val="clear" w:color="auto" w:fill="auto"/>
              </w:tcPr>
              <w:p w:rsidR="000C0976" w:rsidRPr="004401C8" w:rsidRDefault="000C0976"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4920" w:type="dxa"/>
                <w:shd w:val="clear" w:color="auto" w:fill="auto"/>
              </w:tcPr>
              <w:p w:rsidR="000C0976" w:rsidRPr="004401C8" w:rsidRDefault="000C0976" w:rsidP="004401C8">
                <w:pPr>
                  <w:tabs>
                    <w:tab w:val="left" w:pos="2834"/>
                    <w:tab w:val="right" w:pos="8838"/>
                  </w:tabs>
                  <w:ind w:right="-1552"/>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Secretaría de Movilidad</w:t>
                </w:r>
              </w:p>
            </w:tc>
          </w:tr>
          <w:tr w:rsidR="000C0976">
            <w:trPr>
              <w:trHeight w:val="283"/>
            </w:trPr>
            <w:tc>
              <w:tcPr>
                <w:tcW w:w="2490" w:type="dxa"/>
                <w:shd w:val="clear" w:color="auto" w:fill="auto"/>
              </w:tcPr>
              <w:p w:rsidR="000C0976" w:rsidRPr="004401C8" w:rsidRDefault="000C0976" w:rsidP="004401C8">
                <w:pPr>
                  <w:tabs>
                    <w:tab w:val="right" w:pos="8838"/>
                  </w:tabs>
                  <w:ind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4920" w:type="dxa"/>
                <w:shd w:val="clear" w:color="auto" w:fill="auto"/>
              </w:tcPr>
              <w:p w:rsidR="000C0976" w:rsidRPr="004401C8" w:rsidRDefault="000C0976" w:rsidP="004401C8">
                <w:pPr>
                  <w:tabs>
                    <w:tab w:val="right" w:pos="8838"/>
                  </w:tabs>
                  <w:ind w:right="-1552"/>
                  <w:rPr>
                    <w:rFonts w:ascii="Palatino Linotype" w:eastAsia="Palatino Linotype" w:hAnsi="Palatino Linotype" w:cs="Palatino Linotype"/>
                    <w:sz w:val="18"/>
                    <w:szCs w:val="22"/>
                  </w:rPr>
                </w:pPr>
                <w:r w:rsidRPr="004401C8">
                  <w:rPr>
                    <w:rFonts w:ascii="Palatino Linotype" w:eastAsia="Palatino Linotype" w:hAnsi="Palatino Linotype" w:cs="Palatino Linotype"/>
                    <w:sz w:val="18"/>
                    <w:szCs w:val="22"/>
                  </w:rPr>
                  <w:t>María del Rosario Mejía Ayala</w:t>
                </w:r>
              </w:p>
              <w:p w:rsidR="000C0976" w:rsidRPr="004401C8" w:rsidRDefault="000C0976" w:rsidP="004401C8">
                <w:pPr>
                  <w:tabs>
                    <w:tab w:val="right" w:pos="8838"/>
                  </w:tabs>
                  <w:ind w:right="-1552"/>
                  <w:rPr>
                    <w:rFonts w:ascii="Palatino Linotype" w:eastAsia="Palatino Linotype" w:hAnsi="Palatino Linotype" w:cs="Palatino Linotype"/>
                    <w:sz w:val="18"/>
                    <w:szCs w:val="22"/>
                  </w:rPr>
                </w:pPr>
              </w:p>
            </w:tc>
          </w:tr>
        </w:tbl>
        <w:p w:rsidR="000C0976" w:rsidRDefault="000C0976">
          <w:pPr>
            <w:tabs>
              <w:tab w:val="right" w:pos="8838"/>
            </w:tabs>
            <w:ind w:left="-28"/>
            <w:jc w:val="both"/>
            <w:rPr>
              <w:rFonts w:ascii="Arial" w:eastAsia="Arial" w:hAnsi="Arial" w:cs="Arial"/>
              <w:b/>
              <w:sz w:val="22"/>
              <w:szCs w:val="22"/>
            </w:rPr>
          </w:pPr>
        </w:p>
      </w:tc>
    </w:tr>
  </w:tbl>
  <w:p w:rsidR="000C0976" w:rsidRDefault="007224A6">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5"/>
  </w:num>
  <w:num w:numId="3">
    <w:abstractNumId w:val="7"/>
  </w:num>
  <w:num w:numId="4">
    <w:abstractNumId w:val="13"/>
  </w:num>
  <w:num w:numId="5">
    <w:abstractNumId w:val="4"/>
  </w:num>
  <w:num w:numId="6">
    <w:abstractNumId w:val="24"/>
  </w:num>
  <w:num w:numId="7">
    <w:abstractNumId w:val="18"/>
  </w:num>
  <w:num w:numId="8">
    <w:abstractNumId w:val="15"/>
  </w:num>
  <w:num w:numId="9">
    <w:abstractNumId w:val="14"/>
  </w:num>
  <w:num w:numId="10">
    <w:abstractNumId w:val="6"/>
  </w:num>
  <w:num w:numId="11">
    <w:abstractNumId w:val="0"/>
  </w:num>
  <w:num w:numId="12">
    <w:abstractNumId w:val="20"/>
  </w:num>
  <w:num w:numId="13">
    <w:abstractNumId w:val="5"/>
  </w:num>
  <w:num w:numId="14">
    <w:abstractNumId w:val="2"/>
  </w:num>
  <w:num w:numId="15">
    <w:abstractNumId w:val="10"/>
  </w:num>
  <w:num w:numId="16">
    <w:abstractNumId w:val="16"/>
  </w:num>
  <w:num w:numId="17">
    <w:abstractNumId w:val="17"/>
  </w:num>
  <w:num w:numId="18">
    <w:abstractNumId w:val="9"/>
  </w:num>
  <w:num w:numId="19">
    <w:abstractNumId w:val="8"/>
  </w:num>
  <w:num w:numId="20">
    <w:abstractNumId w:val="11"/>
  </w:num>
  <w:num w:numId="21">
    <w:abstractNumId w:val="21"/>
  </w:num>
  <w:num w:numId="22">
    <w:abstractNumId w:val="12"/>
  </w:num>
  <w:num w:numId="23">
    <w:abstractNumId w:val="22"/>
  </w:num>
  <w:num w:numId="24">
    <w:abstractNumId w:val="19"/>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25EBE"/>
    <w:rsid w:val="00042FAE"/>
    <w:rsid w:val="00055A1A"/>
    <w:rsid w:val="00060AE6"/>
    <w:rsid w:val="00071244"/>
    <w:rsid w:val="00073512"/>
    <w:rsid w:val="000C0976"/>
    <w:rsid w:val="00105645"/>
    <w:rsid w:val="00111C7B"/>
    <w:rsid w:val="00143950"/>
    <w:rsid w:val="00145D84"/>
    <w:rsid w:val="00154636"/>
    <w:rsid w:val="001E3125"/>
    <w:rsid w:val="001E3608"/>
    <w:rsid w:val="00244DA9"/>
    <w:rsid w:val="00251F21"/>
    <w:rsid w:val="00252307"/>
    <w:rsid w:val="00254CEC"/>
    <w:rsid w:val="002748F7"/>
    <w:rsid w:val="002A320B"/>
    <w:rsid w:val="002B0131"/>
    <w:rsid w:val="002C3B1F"/>
    <w:rsid w:val="002C7271"/>
    <w:rsid w:val="00302FE8"/>
    <w:rsid w:val="00305C25"/>
    <w:rsid w:val="00327CB5"/>
    <w:rsid w:val="00327D76"/>
    <w:rsid w:val="0033488B"/>
    <w:rsid w:val="00350878"/>
    <w:rsid w:val="003843C2"/>
    <w:rsid w:val="003A1F84"/>
    <w:rsid w:val="003D39FD"/>
    <w:rsid w:val="00415A07"/>
    <w:rsid w:val="00417C5F"/>
    <w:rsid w:val="004401C8"/>
    <w:rsid w:val="004512E5"/>
    <w:rsid w:val="00475288"/>
    <w:rsid w:val="004D4CAA"/>
    <w:rsid w:val="004E66BD"/>
    <w:rsid w:val="004E7B76"/>
    <w:rsid w:val="004F5574"/>
    <w:rsid w:val="00503E63"/>
    <w:rsid w:val="0051644E"/>
    <w:rsid w:val="005626F4"/>
    <w:rsid w:val="00571F2A"/>
    <w:rsid w:val="00600A77"/>
    <w:rsid w:val="00613DF7"/>
    <w:rsid w:val="00647AFA"/>
    <w:rsid w:val="00651426"/>
    <w:rsid w:val="00663C8A"/>
    <w:rsid w:val="0066562E"/>
    <w:rsid w:val="006769AF"/>
    <w:rsid w:val="00681958"/>
    <w:rsid w:val="006B7FF0"/>
    <w:rsid w:val="006E5F99"/>
    <w:rsid w:val="007224A6"/>
    <w:rsid w:val="007322F6"/>
    <w:rsid w:val="00735470"/>
    <w:rsid w:val="007B4642"/>
    <w:rsid w:val="00827BFE"/>
    <w:rsid w:val="00831332"/>
    <w:rsid w:val="00850EB3"/>
    <w:rsid w:val="008A7695"/>
    <w:rsid w:val="008B2665"/>
    <w:rsid w:val="008D5425"/>
    <w:rsid w:val="008D6B9E"/>
    <w:rsid w:val="009060A0"/>
    <w:rsid w:val="009144F5"/>
    <w:rsid w:val="00956C4F"/>
    <w:rsid w:val="009669CB"/>
    <w:rsid w:val="009C5E65"/>
    <w:rsid w:val="009F6C40"/>
    <w:rsid w:val="00A42556"/>
    <w:rsid w:val="00A54ACB"/>
    <w:rsid w:val="00A64061"/>
    <w:rsid w:val="00A83CED"/>
    <w:rsid w:val="00AA0813"/>
    <w:rsid w:val="00AB686B"/>
    <w:rsid w:val="00AE262A"/>
    <w:rsid w:val="00AF2038"/>
    <w:rsid w:val="00AF2A58"/>
    <w:rsid w:val="00B06C82"/>
    <w:rsid w:val="00B81ACA"/>
    <w:rsid w:val="00BD000C"/>
    <w:rsid w:val="00C07A2E"/>
    <w:rsid w:val="00C2729D"/>
    <w:rsid w:val="00C806D4"/>
    <w:rsid w:val="00C82ED1"/>
    <w:rsid w:val="00D063C3"/>
    <w:rsid w:val="00D77678"/>
    <w:rsid w:val="00D84840"/>
    <w:rsid w:val="00D857BB"/>
    <w:rsid w:val="00E17201"/>
    <w:rsid w:val="00E94D86"/>
    <w:rsid w:val="00E94DFC"/>
    <w:rsid w:val="00F5723F"/>
    <w:rsid w:val="00F703A3"/>
    <w:rsid w:val="00FA59C9"/>
    <w:rsid w:val="00FC50EC"/>
    <w:rsid w:val="00FC7F8F"/>
    <w:rsid w:val="00FD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8846.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tucedula.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tucedula.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14482</Words>
  <Characters>79654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15</cp:revision>
  <cp:lastPrinted>2025-03-07T18:50:00Z</cp:lastPrinted>
  <dcterms:created xsi:type="dcterms:W3CDTF">2025-03-04T21:01:00Z</dcterms:created>
  <dcterms:modified xsi:type="dcterms:W3CDTF">2025-03-07T18:50:00Z</dcterms:modified>
</cp:coreProperties>
</file>