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lang w:val="es-ES"/>
        </w:rPr>
        <w:id w:val="-775791163"/>
        <w:docPartObj>
          <w:docPartGallery w:val="Table of Contents"/>
          <w:docPartUnique/>
        </w:docPartObj>
      </w:sdtPr>
      <w:sdtEndPr>
        <w:rPr>
          <w:b/>
          <w:bCs/>
        </w:rPr>
      </w:sdtEndPr>
      <w:sdtContent>
        <w:p w14:paraId="084F4675" w14:textId="464BE6C9" w:rsidR="001C4E77" w:rsidRDefault="001C4E77">
          <w:pPr>
            <w:pStyle w:val="TtuloTDC"/>
          </w:pPr>
          <w:r>
            <w:rPr>
              <w:lang w:val="es-ES"/>
            </w:rPr>
            <w:t>Tabla de contenido</w:t>
          </w:r>
        </w:p>
        <w:p w14:paraId="1971BE99" w14:textId="77777777" w:rsidR="001C4E77" w:rsidRDefault="001C4E77">
          <w:pPr>
            <w:pStyle w:val="TDC1"/>
            <w:tabs>
              <w:tab w:val="right" w:leader="dot" w:pos="9204"/>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09707936" w:history="1">
            <w:r w:rsidRPr="00501C73">
              <w:rPr>
                <w:rStyle w:val="Hipervnculo"/>
                <w:noProof/>
              </w:rPr>
              <w:t>A N T E C E D E N T E S</w:t>
            </w:r>
            <w:r>
              <w:rPr>
                <w:noProof/>
                <w:webHidden/>
              </w:rPr>
              <w:tab/>
            </w:r>
            <w:r>
              <w:rPr>
                <w:noProof/>
                <w:webHidden/>
              </w:rPr>
              <w:fldChar w:fldCharType="begin"/>
            </w:r>
            <w:r>
              <w:rPr>
                <w:noProof/>
                <w:webHidden/>
              </w:rPr>
              <w:instrText xml:space="preserve"> PAGEREF _Toc209707936 \h </w:instrText>
            </w:r>
            <w:r>
              <w:rPr>
                <w:noProof/>
                <w:webHidden/>
              </w:rPr>
            </w:r>
            <w:r>
              <w:rPr>
                <w:noProof/>
                <w:webHidden/>
              </w:rPr>
              <w:fldChar w:fldCharType="separate"/>
            </w:r>
            <w:r w:rsidR="000264DF">
              <w:rPr>
                <w:noProof/>
                <w:webHidden/>
              </w:rPr>
              <w:t>2</w:t>
            </w:r>
            <w:r>
              <w:rPr>
                <w:noProof/>
                <w:webHidden/>
              </w:rPr>
              <w:fldChar w:fldCharType="end"/>
            </w:r>
          </w:hyperlink>
        </w:p>
        <w:p w14:paraId="3BA9BC6A" w14:textId="77777777" w:rsidR="001C4E77" w:rsidRDefault="001C4E77">
          <w:pPr>
            <w:pStyle w:val="TDC2"/>
            <w:tabs>
              <w:tab w:val="right" w:leader="dot" w:pos="9204"/>
            </w:tabs>
            <w:rPr>
              <w:rFonts w:asciiTheme="minorHAnsi" w:eastAsiaTheme="minorEastAsia" w:hAnsiTheme="minorHAnsi" w:cstheme="minorBidi"/>
              <w:noProof/>
            </w:rPr>
          </w:pPr>
          <w:hyperlink w:anchor="_Toc209707937" w:history="1">
            <w:r w:rsidRPr="00501C73">
              <w:rPr>
                <w:rStyle w:val="Hipervnculo"/>
                <w:noProof/>
              </w:rPr>
              <w:t>I. Presentación de la solicitud de información</w:t>
            </w:r>
            <w:r>
              <w:rPr>
                <w:noProof/>
                <w:webHidden/>
              </w:rPr>
              <w:tab/>
            </w:r>
            <w:r>
              <w:rPr>
                <w:noProof/>
                <w:webHidden/>
              </w:rPr>
              <w:fldChar w:fldCharType="begin"/>
            </w:r>
            <w:r>
              <w:rPr>
                <w:noProof/>
                <w:webHidden/>
              </w:rPr>
              <w:instrText xml:space="preserve"> PAGEREF _Toc209707937 \h </w:instrText>
            </w:r>
            <w:r>
              <w:rPr>
                <w:noProof/>
                <w:webHidden/>
              </w:rPr>
            </w:r>
            <w:r>
              <w:rPr>
                <w:noProof/>
                <w:webHidden/>
              </w:rPr>
              <w:fldChar w:fldCharType="separate"/>
            </w:r>
            <w:r w:rsidR="000264DF">
              <w:rPr>
                <w:noProof/>
                <w:webHidden/>
              </w:rPr>
              <w:t>2</w:t>
            </w:r>
            <w:r>
              <w:rPr>
                <w:noProof/>
                <w:webHidden/>
              </w:rPr>
              <w:fldChar w:fldCharType="end"/>
            </w:r>
          </w:hyperlink>
        </w:p>
        <w:p w14:paraId="79ADF743" w14:textId="77777777" w:rsidR="001C4E77" w:rsidRDefault="001C4E77">
          <w:pPr>
            <w:pStyle w:val="TDC2"/>
            <w:tabs>
              <w:tab w:val="right" w:leader="dot" w:pos="9204"/>
            </w:tabs>
            <w:rPr>
              <w:rFonts w:asciiTheme="minorHAnsi" w:eastAsiaTheme="minorEastAsia" w:hAnsiTheme="minorHAnsi" w:cstheme="minorBidi"/>
              <w:noProof/>
            </w:rPr>
          </w:pPr>
          <w:hyperlink w:anchor="_Toc209707938" w:history="1">
            <w:r w:rsidRPr="00501C73">
              <w:rPr>
                <w:rStyle w:val="Hipervnculo"/>
                <w:noProof/>
              </w:rPr>
              <w:t>II. Respuesta del Sujeto Obligado</w:t>
            </w:r>
            <w:r>
              <w:rPr>
                <w:noProof/>
                <w:webHidden/>
              </w:rPr>
              <w:tab/>
            </w:r>
            <w:r>
              <w:rPr>
                <w:noProof/>
                <w:webHidden/>
              </w:rPr>
              <w:fldChar w:fldCharType="begin"/>
            </w:r>
            <w:r>
              <w:rPr>
                <w:noProof/>
                <w:webHidden/>
              </w:rPr>
              <w:instrText xml:space="preserve"> PAGEREF _Toc209707938 \h </w:instrText>
            </w:r>
            <w:r>
              <w:rPr>
                <w:noProof/>
                <w:webHidden/>
              </w:rPr>
            </w:r>
            <w:r>
              <w:rPr>
                <w:noProof/>
                <w:webHidden/>
              </w:rPr>
              <w:fldChar w:fldCharType="separate"/>
            </w:r>
            <w:r w:rsidR="000264DF">
              <w:rPr>
                <w:noProof/>
                <w:webHidden/>
              </w:rPr>
              <w:t>3</w:t>
            </w:r>
            <w:r>
              <w:rPr>
                <w:noProof/>
                <w:webHidden/>
              </w:rPr>
              <w:fldChar w:fldCharType="end"/>
            </w:r>
          </w:hyperlink>
        </w:p>
        <w:p w14:paraId="21F3AD7E" w14:textId="77777777" w:rsidR="001C4E77" w:rsidRDefault="001C4E77">
          <w:pPr>
            <w:pStyle w:val="TDC2"/>
            <w:tabs>
              <w:tab w:val="right" w:leader="dot" w:pos="9204"/>
            </w:tabs>
            <w:rPr>
              <w:rFonts w:asciiTheme="minorHAnsi" w:eastAsiaTheme="minorEastAsia" w:hAnsiTheme="minorHAnsi" w:cstheme="minorBidi"/>
              <w:noProof/>
            </w:rPr>
          </w:pPr>
          <w:hyperlink w:anchor="_Toc209707939" w:history="1">
            <w:r w:rsidRPr="00501C73">
              <w:rPr>
                <w:rStyle w:val="Hipervnculo"/>
                <w:noProof/>
              </w:rPr>
              <w:t>III. Interposición del Recurso de Revisión</w:t>
            </w:r>
            <w:r>
              <w:rPr>
                <w:noProof/>
                <w:webHidden/>
              </w:rPr>
              <w:tab/>
            </w:r>
            <w:r>
              <w:rPr>
                <w:noProof/>
                <w:webHidden/>
              </w:rPr>
              <w:fldChar w:fldCharType="begin"/>
            </w:r>
            <w:r>
              <w:rPr>
                <w:noProof/>
                <w:webHidden/>
              </w:rPr>
              <w:instrText xml:space="preserve"> PAGEREF _Toc209707939 \h </w:instrText>
            </w:r>
            <w:r>
              <w:rPr>
                <w:noProof/>
                <w:webHidden/>
              </w:rPr>
            </w:r>
            <w:r>
              <w:rPr>
                <w:noProof/>
                <w:webHidden/>
              </w:rPr>
              <w:fldChar w:fldCharType="separate"/>
            </w:r>
            <w:r w:rsidR="000264DF">
              <w:rPr>
                <w:noProof/>
                <w:webHidden/>
              </w:rPr>
              <w:t>3</w:t>
            </w:r>
            <w:r>
              <w:rPr>
                <w:noProof/>
                <w:webHidden/>
              </w:rPr>
              <w:fldChar w:fldCharType="end"/>
            </w:r>
          </w:hyperlink>
        </w:p>
        <w:p w14:paraId="1C5380D5" w14:textId="77777777" w:rsidR="001C4E77" w:rsidRDefault="001C4E77">
          <w:pPr>
            <w:pStyle w:val="TDC2"/>
            <w:tabs>
              <w:tab w:val="right" w:leader="dot" w:pos="9204"/>
            </w:tabs>
            <w:rPr>
              <w:rFonts w:asciiTheme="minorHAnsi" w:eastAsiaTheme="minorEastAsia" w:hAnsiTheme="minorHAnsi" w:cstheme="minorBidi"/>
              <w:noProof/>
            </w:rPr>
          </w:pPr>
          <w:hyperlink w:anchor="_Toc209707940" w:history="1">
            <w:r w:rsidRPr="00501C73">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_Toc209707940 \h </w:instrText>
            </w:r>
            <w:r>
              <w:rPr>
                <w:noProof/>
                <w:webHidden/>
              </w:rPr>
            </w:r>
            <w:r>
              <w:rPr>
                <w:noProof/>
                <w:webHidden/>
              </w:rPr>
              <w:fldChar w:fldCharType="separate"/>
            </w:r>
            <w:r w:rsidR="000264DF">
              <w:rPr>
                <w:noProof/>
                <w:webHidden/>
              </w:rPr>
              <w:t>4</w:t>
            </w:r>
            <w:r>
              <w:rPr>
                <w:noProof/>
                <w:webHidden/>
              </w:rPr>
              <w:fldChar w:fldCharType="end"/>
            </w:r>
          </w:hyperlink>
        </w:p>
        <w:p w14:paraId="4A823ED9" w14:textId="77777777" w:rsidR="001C4E77" w:rsidRDefault="001C4E77">
          <w:pPr>
            <w:pStyle w:val="TDC1"/>
            <w:tabs>
              <w:tab w:val="right" w:leader="dot" w:pos="9204"/>
            </w:tabs>
            <w:rPr>
              <w:rFonts w:asciiTheme="minorHAnsi" w:eastAsiaTheme="minorEastAsia" w:hAnsiTheme="minorHAnsi" w:cstheme="minorBidi"/>
              <w:noProof/>
            </w:rPr>
          </w:pPr>
          <w:hyperlink w:anchor="_Toc209707941" w:history="1">
            <w:r w:rsidRPr="00501C73">
              <w:rPr>
                <w:rStyle w:val="Hipervnculo"/>
                <w:noProof/>
              </w:rPr>
              <w:t>C O N S I D E R A N D O S</w:t>
            </w:r>
            <w:r>
              <w:rPr>
                <w:noProof/>
                <w:webHidden/>
              </w:rPr>
              <w:tab/>
            </w:r>
            <w:r>
              <w:rPr>
                <w:noProof/>
                <w:webHidden/>
              </w:rPr>
              <w:fldChar w:fldCharType="begin"/>
            </w:r>
            <w:r>
              <w:rPr>
                <w:noProof/>
                <w:webHidden/>
              </w:rPr>
              <w:instrText xml:space="preserve"> PAGEREF _Toc209707941 \h </w:instrText>
            </w:r>
            <w:r>
              <w:rPr>
                <w:noProof/>
                <w:webHidden/>
              </w:rPr>
            </w:r>
            <w:r>
              <w:rPr>
                <w:noProof/>
                <w:webHidden/>
              </w:rPr>
              <w:fldChar w:fldCharType="separate"/>
            </w:r>
            <w:r w:rsidR="000264DF">
              <w:rPr>
                <w:noProof/>
                <w:webHidden/>
              </w:rPr>
              <w:t>7</w:t>
            </w:r>
            <w:r>
              <w:rPr>
                <w:noProof/>
                <w:webHidden/>
              </w:rPr>
              <w:fldChar w:fldCharType="end"/>
            </w:r>
          </w:hyperlink>
        </w:p>
        <w:p w14:paraId="01B1F203" w14:textId="77777777" w:rsidR="001C4E77" w:rsidRDefault="001C4E77">
          <w:pPr>
            <w:pStyle w:val="TDC2"/>
            <w:tabs>
              <w:tab w:val="right" w:leader="dot" w:pos="9204"/>
            </w:tabs>
            <w:rPr>
              <w:rFonts w:asciiTheme="minorHAnsi" w:eastAsiaTheme="minorEastAsia" w:hAnsiTheme="minorHAnsi" w:cstheme="minorBidi"/>
              <w:noProof/>
            </w:rPr>
          </w:pPr>
          <w:hyperlink w:anchor="_Toc209707942" w:history="1">
            <w:r w:rsidRPr="00501C73">
              <w:rPr>
                <w:rStyle w:val="Hipervnculo"/>
                <w:noProof/>
              </w:rPr>
              <w:t>PRIMERO. Competencia</w:t>
            </w:r>
            <w:r>
              <w:rPr>
                <w:noProof/>
                <w:webHidden/>
              </w:rPr>
              <w:tab/>
            </w:r>
            <w:r>
              <w:rPr>
                <w:noProof/>
                <w:webHidden/>
              </w:rPr>
              <w:fldChar w:fldCharType="begin"/>
            </w:r>
            <w:r>
              <w:rPr>
                <w:noProof/>
                <w:webHidden/>
              </w:rPr>
              <w:instrText xml:space="preserve"> PAGEREF _Toc209707942 \h </w:instrText>
            </w:r>
            <w:r>
              <w:rPr>
                <w:noProof/>
                <w:webHidden/>
              </w:rPr>
            </w:r>
            <w:r>
              <w:rPr>
                <w:noProof/>
                <w:webHidden/>
              </w:rPr>
              <w:fldChar w:fldCharType="separate"/>
            </w:r>
            <w:r w:rsidR="000264DF">
              <w:rPr>
                <w:noProof/>
                <w:webHidden/>
              </w:rPr>
              <w:t>7</w:t>
            </w:r>
            <w:r>
              <w:rPr>
                <w:noProof/>
                <w:webHidden/>
              </w:rPr>
              <w:fldChar w:fldCharType="end"/>
            </w:r>
          </w:hyperlink>
        </w:p>
        <w:p w14:paraId="229E1523" w14:textId="77777777" w:rsidR="001C4E77" w:rsidRDefault="001C4E77">
          <w:pPr>
            <w:pStyle w:val="TDC2"/>
            <w:tabs>
              <w:tab w:val="right" w:leader="dot" w:pos="9204"/>
            </w:tabs>
            <w:rPr>
              <w:rFonts w:asciiTheme="minorHAnsi" w:eastAsiaTheme="minorEastAsia" w:hAnsiTheme="minorHAnsi" w:cstheme="minorBidi"/>
              <w:noProof/>
            </w:rPr>
          </w:pPr>
          <w:hyperlink w:anchor="_Toc209707943" w:history="1">
            <w:r w:rsidRPr="00501C73">
              <w:rPr>
                <w:rStyle w:val="Hipervnculo"/>
                <w:noProof/>
              </w:rPr>
              <w:t>SEGUNDO. Causales de improcedencia</w:t>
            </w:r>
            <w:r>
              <w:rPr>
                <w:noProof/>
                <w:webHidden/>
              </w:rPr>
              <w:tab/>
            </w:r>
            <w:r>
              <w:rPr>
                <w:noProof/>
                <w:webHidden/>
              </w:rPr>
              <w:fldChar w:fldCharType="begin"/>
            </w:r>
            <w:r>
              <w:rPr>
                <w:noProof/>
                <w:webHidden/>
              </w:rPr>
              <w:instrText xml:space="preserve"> PAGEREF _Toc209707943 \h </w:instrText>
            </w:r>
            <w:r>
              <w:rPr>
                <w:noProof/>
                <w:webHidden/>
              </w:rPr>
            </w:r>
            <w:r>
              <w:rPr>
                <w:noProof/>
                <w:webHidden/>
              </w:rPr>
              <w:fldChar w:fldCharType="separate"/>
            </w:r>
            <w:r w:rsidR="000264DF">
              <w:rPr>
                <w:noProof/>
                <w:webHidden/>
              </w:rPr>
              <w:t>8</w:t>
            </w:r>
            <w:r>
              <w:rPr>
                <w:noProof/>
                <w:webHidden/>
              </w:rPr>
              <w:fldChar w:fldCharType="end"/>
            </w:r>
          </w:hyperlink>
        </w:p>
        <w:p w14:paraId="259DB477" w14:textId="77777777" w:rsidR="001C4E77" w:rsidRDefault="001C4E77">
          <w:pPr>
            <w:pStyle w:val="TDC2"/>
            <w:tabs>
              <w:tab w:val="right" w:leader="dot" w:pos="9204"/>
            </w:tabs>
            <w:rPr>
              <w:rFonts w:asciiTheme="minorHAnsi" w:eastAsiaTheme="minorEastAsia" w:hAnsiTheme="minorHAnsi" w:cstheme="minorBidi"/>
              <w:noProof/>
            </w:rPr>
          </w:pPr>
          <w:hyperlink w:anchor="_Toc209707944" w:history="1">
            <w:r w:rsidRPr="00501C73">
              <w:rPr>
                <w:rStyle w:val="Hipervnculo"/>
                <w:noProof/>
              </w:rPr>
              <w:t>TERCERO. Causales de sobreseimiento</w:t>
            </w:r>
            <w:r>
              <w:rPr>
                <w:noProof/>
                <w:webHidden/>
              </w:rPr>
              <w:tab/>
            </w:r>
            <w:r>
              <w:rPr>
                <w:noProof/>
                <w:webHidden/>
              </w:rPr>
              <w:fldChar w:fldCharType="begin"/>
            </w:r>
            <w:r>
              <w:rPr>
                <w:noProof/>
                <w:webHidden/>
              </w:rPr>
              <w:instrText xml:space="preserve"> PAGEREF _Toc209707944 \h </w:instrText>
            </w:r>
            <w:r>
              <w:rPr>
                <w:noProof/>
                <w:webHidden/>
              </w:rPr>
            </w:r>
            <w:r>
              <w:rPr>
                <w:noProof/>
                <w:webHidden/>
              </w:rPr>
              <w:fldChar w:fldCharType="separate"/>
            </w:r>
            <w:r w:rsidR="000264DF">
              <w:rPr>
                <w:noProof/>
                <w:webHidden/>
              </w:rPr>
              <w:t>9</w:t>
            </w:r>
            <w:r>
              <w:rPr>
                <w:noProof/>
                <w:webHidden/>
              </w:rPr>
              <w:fldChar w:fldCharType="end"/>
            </w:r>
          </w:hyperlink>
        </w:p>
        <w:p w14:paraId="2E20EE0E" w14:textId="77777777" w:rsidR="001C4E77" w:rsidRDefault="001C4E77">
          <w:pPr>
            <w:pStyle w:val="TDC2"/>
            <w:tabs>
              <w:tab w:val="right" w:leader="dot" w:pos="9204"/>
            </w:tabs>
            <w:rPr>
              <w:rFonts w:asciiTheme="minorHAnsi" w:eastAsiaTheme="minorEastAsia" w:hAnsiTheme="minorHAnsi" w:cstheme="minorBidi"/>
              <w:noProof/>
            </w:rPr>
          </w:pPr>
          <w:hyperlink w:anchor="_Toc209707945" w:history="1">
            <w:r w:rsidRPr="00501C73">
              <w:rPr>
                <w:rStyle w:val="Hipervnculo"/>
                <w:noProof/>
              </w:rPr>
              <w:t>CUARTO. Decisión</w:t>
            </w:r>
            <w:r>
              <w:rPr>
                <w:noProof/>
                <w:webHidden/>
              </w:rPr>
              <w:tab/>
            </w:r>
            <w:r>
              <w:rPr>
                <w:noProof/>
                <w:webHidden/>
              </w:rPr>
              <w:fldChar w:fldCharType="begin"/>
            </w:r>
            <w:r>
              <w:rPr>
                <w:noProof/>
                <w:webHidden/>
              </w:rPr>
              <w:instrText xml:space="preserve"> PAGEREF _Toc209707945 \h </w:instrText>
            </w:r>
            <w:r>
              <w:rPr>
                <w:noProof/>
                <w:webHidden/>
              </w:rPr>
            </w:r>
            <w:r>
              <w:rPr>
                <w:noProof/>
                <w:webHidden/>
              </w:rPr>
              <w:fldChar w:fldCharType="separate"/>
            </w:r>
            <w:r w:rsidR="000264DF">
              <w:rPr>
                <w:noProof/>
                <w:webHidden/>
              </w:rPr>
              <w:t>15</w:t>
            </w:r>
            <w:r>
              <w:rPr>
                <w:noProof/>
                <w:webHidden/>
              </w:rPr>
              <w:fldChar w:fldCharType="end"/>
            </w:r>
          </w:hyperlink>
        </w:p>
        <w:p w14:paraId="40596B19" w14:textId="77777777" w:rsidR="001C4E77" w:rsidRDefault="001C4E77">
          <w:pPr>
            <w:pStyle w:val="TDC1"/>
            <w:tabs>
              <w:tab w:val="right" w:leader="dot" w:pos="9204"/>
            </w:tabs>
            <w:rPr>
              <w:rFonts w:asciiTheme="minorHAnsi" w:eastAsiaTheme="minorEastAsia" w:hAnsiTheme="minorHAnsi" w:cstheme="minorBidi"/>
              <w:noProof/>
            </w:rPr>
          </w:pPr>
          <w:hyperlink w:anchor="_Toc209707946" w:history="1">
            <w:r w:rsidRPr="00501C73">
              <w:rPr>
                <w:rStyle w:val="Hipervnculo"/>
                <w:noProof/>
              </w:rPr>
              <w:t>R E S U E L V E</w:t>
            </w:r>
            <w:r>
              <w:rPr>
                <w:noProof/>
                <w:webHidden/>
              </w:rPr>
              <w:tab/>
            </w:r>
            <w:r>
              <w:rPr>
                <w:noProof/>
                <w:webHidden/>
              </w:rPr>
              <w:fldChar w:fldCharType="begin"/>
            </w:r>
            <w:r>
              <w:rPr>
                <w:noProof/>
                <w:webHidden/>
              </w:rPr>
              <w:instrText xml:space="preserve"> PAGEREF _Toc209707946 \h </w:instrText>
            </w:r>
            <w:r>
              <w:rPr>
                <w:noProof/>
                <w:webHidden/>
              </w:rPr>
            </w:r>
            <w:r>
              <w:rPr>
                <w:noProof/>
                <w:webHidden/>
              </w:rPr>
              <w:fldChar w:fldCharType="separate"/>
            </w:r>
            <w:r w:rsidR="000264DF">
              <w:rPr>
                <w:noProof/>
                <w:webHidden/>
              </w:rPr>
              <w:t>16</w:t>
            </w:r>
            <w:r>
              <w:rPr>
                <w:noProof/>
                <w:webHidden/>
              </w:rPr>
              <w:fldChar w:fldCharType="end"/>
            </w:r>
          </w:hyperlink>
        </w:p>
        <w:p w14:paraId="644E991E" w14:textId="416E7A05" w:rsidR="001C4E77" w:rsidRDefault="001C4E77">
          <w:r>
            <w:rPr>
              <w:b/>
              <w:bCs/>
              <w:lang w:val="es-ES"/>
            </w:rPr>
            <w:fldChar w:fldCharType="end"/>
          </w:r>
        </w:p>
      </w:sdtContent>
    </w:sdt>
    <w:p w14:paraId="332A16F9" w14:textId="77777777" w:rsidR="00EC3673" w:rsidRPr="001C4E77" w:rsidRDefault="00E84870">
      <w:pPr>
        <w:pStyle w:val="Ttulo2"/>
        <w:spacing w:before="0" w:after="0"/>
      </w:pPr>
      <w:r w:rsidRPr="001C4E77">
        <w:br w:type="page"/>
      </w:r>
    </w:p>
    <w:p w14:paraId="70C02AFE" w14:textId="77777777" w:rsidR="00EC3673" w:rsidRPr="001C4E77" w:rsidRDefault="00E84870">
      <w:pPr>
        <w:spacing w:after="0" w:line="360" w:lineRule="auto"/>
      </w:pPr>
      <w:r w:rsidRPr="001C4E77">
        <w:lastRenderedPageBreak/>
        <w:t>Resolución del Pleno del Instituto de Transparencia, Acceso a la Información Pública y Protección de Datos Personales del Estado de México y Municipios, con domicilio en Metepec, Estado de México, de fecha veinticuatro de septiembre de dos mil veinticinco.</w:t>
      </w:r>
    </w:p>
    <w:p w14:paraId="173E38A1" w14:textId="77777777" w:rsidR="00EC3673" w:rsidRPr="001C4E77" w:rsidRDefault="00EC3673">
      <w:pPr>
        <w:spacing w:after="0" w:line="360" w:lineRule="auto"/>
        <w:rPr>
          <w:b/>
        </w:rPr>
      </w:pPr>
    </w:p>
    <w:p w14:paraId="490F309C" w14:textId="16153738" w:rsidR="00EC3673" w:rsidRPr="001C4E77" w:rsidRDefault="00E84870">
      <w:pPr>
        <w:spacing w:after="0" w:line="360" w:lineRule="auto"/>
      </w:pPr>
      <w:r w:rsidRPr="001C4E77">
        <w:rPr>
          <w:b/>
        </w:rPr>
        <w:t>VISTO</w:t>
      </w:r>
      <w:r w:rsidRPr="001C4E77">
        <w:t xml:space="preserve"> el expediente conformado con motivo del Recurso de Revisión </w:t>
      </w:r>
      <w:r w:rsidRPr="00F50F3F">
        <w:rPr>
          <w:b/>
        </w:rPr>
        <w:t>09016/INFOEM/IP/RR/2025</w:t>
      </w:r>
      <w:r w:rsidRPr="001C4E77">
        <w:t xml:space="preserve">, interpuesto por </w:t>
      </w:r>
      <w:r w:rsidR="00B866D8" w:rsidRPr="00B866D8">
        <w:rPr>
          <w:b/>
          <w:bCs/>
          <w:highlight w:val="black"/>
        </w:rPr>
        <w:t>XXXXXXXXXXXXXXXXXXX</w:t>
      </w:r>
      <w:r w:rsidRPr="001C4E77">
        <w:rPr>
          <w:bCs/>
        </w:rPr>
        <w:t>,</w:t>
      </w:r>
      <w:r w:rsidRPr="001C4E77">
        <w:t xml:space="preserve"> en lo sucesivo, la persona Recurrente o Particular, en contra de la respuesta del Sujeto Obligado, </w:t>
      </w:r>
      <w:r w:rsidRPr="00F50F3F">
        <w:rPr>
          <w:b/>
        </w:rPr>
        <w:t xml:space="preserve">Ayuntamiento de Ecatepec de Morelos, </w:t>
      </w:r>
      <w:r w:rsidRPr="001C4E77">
        <w:t>se emite la presente Resolución, con base en los antecedentes y considerandos que se exponen a continuación:</w:t>
      </w:r>
    </w:p>
    <w:p w14:paraId="66C8AC62" w14:textId="77777777" w:rsidR="00EC3673" w:rsidRPr="001C4E77" w:rsidRDefault="00EC3673">
      <w:pPr>
        <w:spacing w:after="0" w:line="360" w:lineRule="auto"/>
      </w:pPr>
    </w:p>
    <w:p w14:paraId="3B8A1207" w14:textId="77777777" w:rsidR="00EC3673" w:rsidRPr="001C4E77" w:rsidRDefault="00E84870">
      <w:pPr>
        <w:pStyle w:val="Ttulo1"/>
        <w:spacing w:before="0" w:after="0"/>
        <w:rPr>
          <w:sz w:val="22"/>
          <w:szCs w:val="22"/>
        </w:rPr>
      </w:pPr>
      <w:bookmarkStart w:id="0" w:name="_Toc209707936"/>
      <w:r w:rsidRPr="001C4E77">
        <w:rPr>
          <w:sz w:val="22"/>
          <w:szCs w:val="22"/>
        </w:rPr>
        <w:t>A N T E C E D E N T E S</w:t>
      </w:r>
      <w:bookmarkEnd w:id="0"/>
    </w:p>
    <w:p w14:paraId="3AE27BFF" w14:textId="77777777" w:rsidR="00EC3673" w:rsidRPr="001C4E77" w:rsidRDefault="00EC3673">
      <w:pPr>
        <w:spacing w:after="0" w:line="360" w:lineRule="auto"/>
      </w:pPr>
      <w:bookmarkStart w:id="1" w:name="_heading=h.gjdgxs" w:colFirst="0" w:colLast="0"/>
      <w:bookmarkEnd w:id="1"/>
    </w:p>
    <w:p w14:paraId="1DBBBD3B" w14:textId="77777777" w:rsidR="00EC3673" w:rsidRPr="001C4E77" w:rsidRDefault="00E84870">
      <w:pPr>
        <w:pStyle w:val="Ttulo2"/>
        <w:spacing w:before="0" w:after="0"/>
      </w:pPr>
      <w:bookmarkStart w:id="2" w:name="_Toc209707937"/>
      <w:r w:rsidRPr="001C4E77">
        <w:t>I. Presentación de la solicitud de información</w:t>
      </w:r>
      <w:bookmarkEnd w:id="2"/>
    </w:p>
    <w:p w14:paraId="465740DF" w14:textId="77777777" w:rsidR="00EC3673" w:rsidRPr="001C4E77" w:rsidRDefault="00EC3673">
      <w:pPr>
        <w:tabs>
          <w:tab w:val="left" w:pos="567"/>
        </w:tabs>
        <w:spacing w:after="0" w:line="360" w:lineRule="auto"/>
      </w:pPr>
    </w:p>
    <w:p w14:paraId="1C608CF2" w14:textId="77777777" w:rsidR="00EC3673" w:rsidRPr="001C4E77" w:rsidRDefault="00E84870">
      <w:pPr>
        <w:spacing w:after="0" w:line="360" w:lineRule="auto"/>
      </w:pPr>
      <w:bookmarkStart w:id="3" w:name="_heading=h.su0jssiigkpq" w:colFirst="0" w:colLast="0"/>
      <w:bookmarkEnd w:id="3"/>
      <w:r w:rsidRPr="001C4E77">
        <w:t>Con fecha dos de julio de dos mil veinticinco, la parte Solicitante presentó una solicitud de acceso a la información pública, a través del Sistema de Acceso a la Información Mexiquense, en lo sucesivo el SAIMEX, ante el Ayuntamiento de Ecatepec de Morelos, en la que requirió lo siguiente:</w:t>
      </w:r>
    </w:p>
    <w:p w14:paraId="3F0BE2E6" w14:textId="77777777" w:rsidR="00EC3673" w:rsidRPr="001C4E77" w:rsidRDefault="00EC3673">
      <w:pPr>
        <w:spacing w:after="0" w:line="360" w:lineRule="auto"/>
      </w:pPr>
    </w:p>
    <w:p w14:paraId="460C7A3B" w14:textId="77777777" w:rsidR="00EC3673" w:rsidRPr="001C4E77" w:rsidRDefault="00E84870">
      <w:pPr>
        <w:tabs>
          <w:tab w:val="left" w:pos="567"/>
        </w:tabs>
        <w:spacing w:after="0" w:line="360" w:lineRule="auto"/>
        <w:ind w:left="567" w:right="709"/>
        <w:rPr>
          <w:b/>
          <w:sz w:val="20"/>
          <w:szCs w:val="20"/>
        </w:rPr>
      </w:pPr>
      <w:r w:rsidRPr="001C4E77">
        <w:rPr>
          <w:b/>
          <w:sz w:val="20"/>
          <w:szCs w:val="20"/>
        </w:rPr>
        <w:t>Folio de la solicitud: 00548/ECATEPEC/IP/2025</w:t>
      </w:r>
    </w:p>
    <w:p w14:paraId="67B9F9C1" w14:textId="77777777" w:rsidR="00EC3673" w:rsidRPr="001C4E77" w:rsidRDefault="00E84870">
      <w:pPr>
        <w:tabs>
          <w:tab w:val="left" w:pos="567"/>
        </w:tabs>
        <w:spacing w:after="0" w:line="360" w:lineRule="auto"/>
        <w:ind w:left="567" w:right="709"/>
        <w:rPr>
          <w:b/>
          <w:sz w:val="20"/>
          <w:szCs w:val="20"/>
        </w:rPr>
      </w:pPr>
      <w:r w:rsidRPr="001C4E77">
        <w:rPr>
          <w:b/>
          <w:sz w:val="20"/>
          <w:szCs w:val="20"/>
        </w:rPr>
        <w:t>DESCRIPCIÓN CLARA Y PRECISA DE LA INFORMACIÓN SOLICITADA</w:t>
      </w:r>
    </w:p>
    <w:p w14:paraId="64AF5686" w14:textId="77777777" w:rsidR="00EC3673" w:rsidRPr="001C4E77" w:rsidRDefault="00E84870">
      <w:pPr>
        <w:tabs>
          <w:tab w:val="left" w:pos="4667"/>
        </w:tabs>
        <w:spacing w:after="0" w:line="360" w:lineRule="auto"/>
        <w:ind w:left="567" w:right="709"/>
        <w:rPr>
          <w:i/>
          <w:sz w:val="20"/>
          <w:szCs w:val="20"/>
        </w:rPr>
      </w:pPr>
      <w:r w:rsidRPr="001C4E77">
        <w:rPr>
          <w:i/>
          <w:sz w:val="20"/>
          <w:szCs w:val="20"/>
        </w:rPr>
        <w:t>“Con fundamento en el artículos 8 de la Constitución Política de los Estados Unidos Mexicanos, 1 2,4,5,8 y 23, fracción IV de la Ley de Transparencia y Acceso a la información Pública del Estado de México y Municipios, solicito la siguiente información: 1. Dela presente administración 2025-2027 de la 2da. Delegación y el H. COPACI del Pueblo de Santa Clara Coatitla solicito el nombre completo de todos y cada uno de sus integrantes, cargo que ostentan y sus nombramientos.” (Sic.)</w:t>
      </w:r>
    </w:p>
    <w:p w14:paraId="359744B9" w14:textId="77777777" w:rsidR="00EC3673" w:rsidRPr="001C4E77" w:rsidRDefault="00EC3673">
      <w:pPr>
        <w:tabs>
          <w:tab w:val="left" w:pos="4667"/>
        </w:tabs>
        <w:spacing w:after="0" w:line="360" w:lineRule="auto"/>
        <w:ind w:left="567" w:right="709"/>
        <w:rPr>
          <w:i/>
          <w:sz w:val="20"/>
          <w:szCs w:val="20"/>
        </w:rPr>
      </w:pPr>
    </w:p>
    <w:p w14:paraId="07343238" w14:textId="77777777" w:rsidR="00EC3673" w:rsidRPr="001C4E77" w:rsidRDefault="00E84870">
      <w:pPr>
        <w:tabs>
          <w:tab w:val="left" w:pos="4667"/>
        </w:tabs>
        <w:spacing w:after="0" w:line="360" w:lineRule="auto"/>
        <w:ind w:left="567" w:right="709"/>
        <w:rPr>
          <w:b/>
          <w:sz w:val="20"/>
          <w:szCs w:val="20"/>
        </w:rPr>
      </w:pPr>
      <w:r w:rsidRPr="001C4E77">
        <w:rPr>
          <w:b/>
          <w:sz w:val="20"/>
          <w:szCs w:val="20"/>
        </w:rPr>
        <w:lastRenderedPageBreak/>
        <w:t xml:space="preserve">MODALIDAD DE ENTREGA </w:t>
      </w:r>
      <w:r w:rsidRPr="001C4E77">
        <w:rPr>
          <w:i/>
          <w:sz w:val="20"/>
          <w:szCs w:val="20"/>
        </w:rPr>
        <w:t>“A través del SAIMEX.”</w:t>
      </w:r>
    </w:p>
    <w:p w14:paraId="78774CFB" w14:textId="77777777" w:rsidR="00EC3673" w:rsidRPr="001C4E77" w:rsidRDefault="00EC3673">
      <w:pPr>
        <w:tabs>
          <w:tab w:val="left" w:pos="4667"/>
        </w:tabs>
        <w:spacing w:after="0" w:line="360" w:lineRule="auto"/>
        <w:ind w:right="709"/>
      </w:pPr>
    </w:p>
    <w:p w14:paraId="13D133B2" w14:textId="77777777" w:rsidR="00EC3673" w:rsidRPr="001C4E77" w:rsidRDefault="00E84870">
      <w:pPr>
        <w:pStyle w:val="Ttulo2"/>
        <w:spacing w:before="0" w:after="0"/>
      </w:pPr>
      <w:bookmarkStart w:id="4" w:name="_Toc209707938"/>
      <w:r w:rsidRPr="001C4E77">
        <w:t>II. Respuesta del Sujeto Obligado</w:t>
      </w:r>
      <w:bookmarkEnd w:id="4"/>
    </w:p>
    <w:p w14:paraId="5BB8E68A" w14:textId="77777777" w:rsidR="00EC3673" w:rsidRPr="001C4E77" w:rsidRDefault="00EC3673">
      <w:pPr>
        <w:spacing w:after="0" w:line="360" w:lineRule="auto"/>
      </w:pPr>
    </w:p>
    <w:p w14:paraId="5F7122C8" w14:textId="77777777" w:rsidR="00EC3673" w:rsidRPr="001C4E77" w:rsidRDefault="00E84870">
      <w:pPr>
        <w:spacing w:after="0" w:line="360" w:lineRule="auto"/>
      </w:pPr>
      <w:r w:rsidRPr="001C4E77">
        <w:t>El veintidós de julio de dos mil veinticinco, el Sujeto Obligado a través de SAIMEX, dio respuesta, mediante dos archivos de los que se desprende el mismo oficio suscrito por la Directora de Gobierno, en el que informó:</w:t>
      </w:r>
    </w:p>
    <w:p w14:paraId="18956C91" w14:textId="77777777" w:rsidR="00A16335" w:rsidRPr="001C4E77" w:rsidRDefault="00A16335">
      <w:pPr>
        <w:spacing w:after="0" w:line="360" w:lineRule="auto"/>
      </w:pPr>
    </w:p>
    <w:p w14:paraId="12504D04" w14:textId="77777777" w:rsidR="00EC3673" w:rsidRPr="001C4E77" w:rsidRDefault="00E84870">
      <w:pPr>
        <w:spacing w:after="0" w:line="360" w:lineRule="auto"/>
        <w:jc w:val="center"/>
        <w:rPr>
          <w:b/>
          <w:i/>
        </w:rPr>
      </w:pPr>
      <w:r w:rsidRPr="001C4E77">
        <w:rPr>
          <w:noProof/>
        </w:rPr>
        <w:drawing>
          <wp:inline distT="0" distB="0" distL="0" distR="0" wp14:anchorId="4F3ACDF6" wp14:editId="0131F43F">
            <wp:extent cx="5421630" cy="3359888"/>
            <wp:effectExtent l="0" t="0" r="1270" b="5715"/>
            <wp:docPr id="19431214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9"/>
                    <a:srcRect b="25862"/>
                    <a:stretch/>
                  </pic:blipFill>
                  <pic:spPr bwMode="auto">
                    <a:xfrm>
                      <a:off x="0" y="0"/>
                      <a:ext cx="5421855" cy="3360027"/>
                    </a:xfrm>
                    <a:prstGeom prst="rect">
                      <a:avLst/>
                    </a:prstGeom>
                    <a:ln>
                      <a:noFill/>
                    </a:ln>
                    <a:extLst>
                      <a:ext uri="{53640926-AAD7-44D8-BBD7-CCE9431645EC}">
                        <a14:shadowObscured xmlns:a14="http://schemas.microsoft.com/office/drawing/2010/main"/>
                      </a:ext>
                    </a:extLst>
                  </pic:spPr>
                </pic:pic>
              </a:graphicData>
            </a:graphic>
          </wp:inline>
        </w:drawing>
      </w:r>
    </w:p>
    <w:p w14:paraId="2DA75DAF" w14:textId="77777777" w:rsidR="00EC3673" w:rsidRPr="001C4E77" w:rsidRDefault="00EC3673">
      <w:pPr>
        <w:pStyle w:val="Ttulo2"/>
        <w:spacing w:before="0" w:after="0"/>
      </w:pPr>
    </w:p>
    <w:p w14:paraId="08C1C424" w14:textId="77777777" w:rsidR="00EC3673" w:rsidRPr="001C4E77" w:rsidRDefault="00E84870">
      <w:pPr>
        <w:pStyle w:val="Ttulo2"/>
        <w:spacing w:before="0" w:after="0"/>
      </w:pPr>
      <w:bookmarkStart w:id="5" w:name="_Toc209707939"/>
      <w:r w:rsidRPr="001C4E77">
        <w:t>III. Interposición del Recurso de Revisión</w:t>
      </w:r>
      <w:bookmarkEnd w:id="5"/>
    </w:p>
    <w:p w14:paraId="0C8E4A16" w14:textId="77777777" w:rsidR="00EC3673" w:rsidRPr="001C4E77" w:rsidRDefault="00EC3673">
      <w:pPr>
        <w:spacing w:after="0" w:line="360" w:lineRule="auto"/>
        <w:rPr>
          <w:b/>
        </w:rPr>
      </w:pPr>
    </w:p>
    <w:p w14:paraId="49BCD986" w14:textId="77777777" w:rsidR="00EC3673" w:rsidRPr="001C4E77" w:rsidRDefault="00E84870">
      <w:pPr>
        <w:spacing w:after="0" w:line="360" w:lineRule="auto"/>
      </w:pPr>
      <w:bookmarkStart w:id="6" w:name="_heading=h.2et92p0" w:colFirst="0" w:colLast="0"/>
      <w:bookmarkEnd w:id="6"/>
      <w:r w:rsidRPr="001C4E77">
        <w:t xml:space="preserve">Con fecha veintidós de julio de dos mil veinticinco, se recibió a través del SAIMEX, el Recurso de Revisión interpuesto por la persona Recurrente; el cual se radicó el cuatro de agosto del </w:t>
      </w:r>
      <w:r w:rsidRPr="001C4E77">
        <w:lastRenderedPageBreak/>
        <w:t>mismo año, al tratarse del día siguiente hábil de conformidad con el calendario aprobado por el Pleno de este Instituto; en los siguientes términos:</w:t>
      </w:r>
    </w:p>
    <w:p w14:paraId="6CF1D7F9" w14:textId="77777777" w:rsidR="00EC3673" w:rsidRPr="001C4E77" w:rsidRDefault="00EC3673">
      <w:pPr>
        <w:spacing w:after="0" w:line="360" w:lineRule="auto"/>
      </w:pPr>
    </w:p>
    <w:p w14:paraId="14F753AF" w14:textId="77777777" w:rsidR="00EC3673" w:rsidRPr="001C4E77" w:rsidRDefault="00E84870">
      <w:pPr>
        <w:spacing w:after="0" w:line="360" w:lineRule="auto"/>
        <w:ind w:left="567" w:right="709"/>
        <w:rPr>
          <w:b/>
          <w:sz w:val="20"/>
          <w:szCs w:val="20"/>
        </w:rPr>
      </w:pPr>
      <w:r w:rsidRPr="001C4E77">
        <w:rPr>
          <w:b/>
          <w:sz w:val="20"/>
          <w:szCs w:val="20"/>
        </w:rPr>
        <w:t>ACTO IMPUGNADO</w:t>
      </w:r>
      <w:r w:rsidRPr="001C4E77">
        <w:rPr>
          <w:b/>
          <w:sz w:val="20"/>
          <w:szCs w:val="20"/>
        </w:rPr>
        <w:tab/>
      </w:r>
    </w:p>
    <w:p w14:paraId="6F522D86" w14:textId="77777777" w:rsidR="00EC3673" w:rsidRPr="001C4E77" w:rsidRDefault="00E84870">
      <w:pPr>
        <w:spacing w:after="0" w:line="360" w:lineRule="auto"/>
        <w:ind w:left="567" w:right="709"/>
        <w:rPr>
          <w:b/>
          <w:sz w:val="20"/>
          <w:szCs w:val="20"/>
        </w:rPr>
      </w:pPr>
      <w:r w:rsidRPr="001C4E77">
        <w:rPr>
          <w:i/>
          <w:sz w:val="20"/>
          <w:szCs w:val="20"/>
        </w:rPr>
        <w:t xml:space="preserve">“La falta de información por el Sujeto Obligado” </w:t>
      </w:r>
    </w:p>
    <w:p w14:paraId="3EA95C6D" w14:textId="77777777" w:rsidR="00EC3673" w:rsidRPr="001C4E77" w:rsidRDefault="00EC3673">
      <w:pPr>
        <w:spacing w:after="0" w:line="360" w:lineRule="auto"/>
        <w:ind w:left="567" w:right="709"/>
        <w:rPr>
          <w:sz w:val="20"/>
          <w:szCs w:val="20"/>
        </w:rPr>
      </w:pPr>
    </w:p>
    <w:p w14:paraId="024B86E9" w14:textId="77777777" w:rsidR="00EC3673" w:rsidRPr="001C4E77" w:rsidRDefault="00E84870">
      <w:pPr>
        <w:spacing w:after="0" w:line="360" w:lineRule="auto"/>
        <w:ind w:left="567" w:right="709"/>
        <w:rPr>
          <w:b/>
          <w:sz w:val="20"/>
          <w:szCs w:val="20"/>
        </w:rPr>
      </w:pPr>
      <w:r w:rsidRPr="001C4E77">
        <w:rPr>
          <w:b/>
          <w:sz w:val="20"/>
          <w:szCs w:val="20"/>
        </w:rPr>
        <w:t>RAZONES O MOTIVOS DE LA INCONFORMIDAD</w:t>
      </w:r>
      <w:r w:rsidRPr="001C4E77">
        <w:rPr>
          <w:b/>
          <w:sz w:val="20"/>
          <w:szCs w:val="20"/>
        </w:rPr>
        <w:tab/>
      </w:r>
    </w:p>
    <w:p w14:paraId="26834CCC" w14:textId="77777777" w:rsidR="00EC3673" w:rsidRPr="001C4E77" w:rsidRDefault="00E84870">
      <w:pPr>
        <w:tabs>
          <w:tab w:val="left" w:pos="4667"/>
        </w:tabs>
        <w:spacing w:after="0" w:line="360" w:lineRule="auto"/>
        <w:ind w:left="567" w:right="709"/>
        <w:rPr>
          <w:i/>
          <w:sz w:val="20"/>
          <w:szCs w:val="20"/>
        </w:rPr>
      </w:pPr>
      <w:r w:rsidRPr="001C4E77">
        <w:rPr>
          <w:i/>
          <w:sz w:val="20"/>
          <w:szCs w:val="20"/>
        </w:rPr>
        <w:t xml:space="preserve">“Se me está negando el acceso a los nombramientos solicitados, mencionar que los nombramientos de los delegados e integrantes del Copaci del Pueblo de Santa Clara Coatitla fueron entregados a cada uno de los integrantes para los cargos que fueron electos no es una respuesta valida, la autoridad municipal es la responsable de emitir dichos nombramientos por lo tanto la información debe de obrar dentro de sus archivos, los sujetos obligados deben de documentar todo acto que derive del ejercicio de sus facultades, competencias o funciones.” </w:t>
      </w:r>
    </w:p>
    <w:p w14:paraId="1625F1C6" w14:textId="77777777" w:rsidR="00EC3673" w:rsidRPr="001C4E77" w:rsidRDefault="00EC3673">
      <w:pPr>
        <w:tabs>
          <w:tab w:val="left" w:pos="4667"/>
        </w:tabs>
        <w:spacing w:after="0" w:line="360" w:lineRule="auto"/>
      </w:pPr>
    </w:p>
    <w:p w14:paraId="48B9043B" w14:textId="77777777" w:rsidR="00EC3673" w:rsidRPr="001C4E77" w:rsidRDefault="00E84870">
      <w:pPr>
        <w:pStyle w:val="Ttulo2"/>
        <w:spacing w:before="0" w:after="0"/>
      </w:pPr>
      <w:bookmarkStart w:id="7" w:name="_Toc209707940"/>
      <w:r w:rsidRPr="001C4E77">
        <w:t>IV. Trámite del Recurso de Revisión ante este Instituto</w:t>
      </w:r>
      <w:bookmarkEnd w:id="7"/>
    </w:p>
    <w:p w14:paraId="7CE43A53" w14:textId="77777777" w:rsidR="00EC3673" w:rsidRPr="001C4E77" w:rsidRDefault="00EC3673">
      <w:pPr>
        <w:spacing w:after="0" w:line="360" w:lineRule="auto"/>
        <w:rPr>
          <w:b/>
        </w:rPr>
      </w:pPr>
    </w:p>
    <w:p w14:paraId="5A9E7BC2" w14:textId="77777777" w:rsidR="00EC3673" w:rsidRPr="001C4E77" w:rsidRDefault="00E84870">
      <w:pPr>
        <w:spacing w:after="0" w:line="360" w:lineRule="auto"/>
      </w:pPr>
      <w:r w:rsidRPr="001C4E77">
        <w:rPr>
          <w:b/>
        </w:rPr>
        <w:t>a) Turno del Medio de Impugnación.</w:t>
      </w:r>
      <w:r w:rsidRPr="001C4E77">
        <w:t xml:space="preserve"> El veintidós de julio de dos mil veinticinco, el SAIMEX, asignó el número de expediente</w:t>
      </w:r>
      <w:r w:rsidRPr="001C4E77">
        <w:rPr>
          <w:b/>
        </w:rPr>
        <w:t xml:space="preserve"> 09016/INFOEM/IP/RR/2025, </w:t>
      </w:r>
      <w:r w:rsidRPr="001C4E77">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0CFEBA31" w14:textId="77777777" w:rsidR="00EC3673" w:rsidRPr="001C4E77" w:rsidRDefault="00EC3673">
      <w:pPr>
        <w:spacing w:after="0" w:line="360" w:lineRule="auto"/>
      </w:pPr>
    </w:p>
    <w:p w14:paraId="23398ED1" w14:textId="77777777" w:rsidR="00EC3673" w:rsidRPr="001C4E77" w:rsidRDefault="00E84870">
      <w:pPr>
        <w:spacing w:after="0" w:line="360" w:lineRule="auto"/>
      </w:pPr>
      <w:r w:rsidRPr="001C4E77">
        <w:rPr>
          <w:b/>
        </w:rPr>
        <w:t>b) Admisión del Recurso de Revisión.</w:t>
      </w:r>
      <w:r w:rsidRPr="001C4E77">
        <w:t xml:space="preserve"> El siete de agosto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la cual fue notificada a las partes en </w:t>
      </w:r>
      <w:r w:rsidRPr="001C4E77">
        <w:lastRenderedPageBreak/>
        <w:t>la misma fecha través del SAIMEX, en el que se les otorgó un plazo de siete días hábiles posteriores a la misma, para que manifestara lo que a su derecho conviniera y formularán alegatos.</w:t>
      </w:r>
    </w:p>
    <w:p w14:paraId="7228B76C" w14:textId="77777777" w:rsidR="00EC3673" w:rsidRPr="001C4E77" w:rsidRDefault="00EC3673">
      <w:pPr>
        <w:spacing w:after="0" w:line="360" w:lineRule="auto"/>
      </w:pPr>
    </w:p>
    <w:p w14:paraId="1F119FB9" w14:textId="77777777" w:rsidR="00EC3673" w:rsidRPr="001C4E77" w:rsidRDefault="00E84870">
      <w:pPr>
        <w:spacing w:after="0" w:line="360" w:lineRule="auto"/>
        <w:rPr>
          <w:color w:val="000000"/>
        </w:rPr>
      </w:pPr>
      <w:bookmarkStart w:id="8" w:name="_heading=h.blfsoiy1ze0b" w:colFirst="0" w:colLast="0"/>
      <w:bookmarkEnd w:id="8"/>
      <w:r w:rsidRPr="001C4E77">
        <w:rPr>
          <w:b/>
        </w:rPr>
        <w:t xml:space="preserve">c) </w:t>
      </w:r>
      <w:r w:rsidRPr="001C4E77">
        <w:rPr>
          <w:b/>
          <w:color w:val="000000"/>
        </w:rPr>
        <w:t xml:space="preserve">Informe Justificado. </w:t>
      </w:r>
      <w:r w:rsidRPr="001C4E77">
        <w:rPr>
          <w:color w:val="000000"/>
        </w:rPr>
        <w:t>En fecha diecinueve de agosto de dos mil veinticinco, se recibió en este Instituto, a través del Sistema de Acceso a la Información Mexiquense (SAIMEX), el Informe Justificado, por parte del Sujeto Obligado, en los siguientes términos:</w:t>
      </w:r>
    </w:p>
    <w:p w14:paraId="02294EDB" w14:textId="77777777" w:rsidR="00EC3673" w:rsidRPr="001C4E77" w:rsidRDefault="00EC3673">
      <w:pPr>
        <w:spacing w:after="0" w:line="360" w:lineRule="auto"/>
        <w:rPr>
          <w:color w:val="000000"/>
        </w:rPr>
      </w:pPr>
    </w:p>
    <w:p w14:paraId="05C2E873" w14:textId="39D05979" w:rsidR="00EC3673" w:rsidRPr="001C4E77" w:rsidRDefault="00E84870">
      <w:pPr>
        <w:numPr>
          <w:ilvl w:val="0"/>
          <w:numId w:val="1"/>
        </w:numPr>
        <w:pBdr>
          <w:top w:val="nil"/>
          <w:left w:val="nil"/>
          <w:bottom w:val="nil"/>
          <w:right w:val="nil"/>
          <w:between w:val="nil"/>
        </w:pBdr>
        <w:spacing w:after="0" w:line="360" w:lineRule="auto"/>
        <w:rPr>
          <w:bCs/>
          <w:i/>
          <w:color w:val="000000"/>
        </w:rPr>
      </w:pPr>
      <w:r w:rsidRPr="001C4E77">
        <w:rPr>
          <w:bCs/>
          <w:i/>
          <w:color w:val="000000"/>
        </w:rPr>
        <w:t>RR. 09016 de sol. 00548-1.pdf</w:t>
      </w:r>
      <w:r w:rsidR="00A16335" w:rsidRPr="001C4E77">
        <w:rPr>
          <w:bCs/>
          <w:i/>
          <w:color w:val="000000"/>
        </w:rPr>
        <w:t xml:space="preserve">: </w:t>
      </w:r>
      <w:r w:rsidRPr="001C4E77">
        <w:rPr>
          <w:bCs/>
          <w:color w:val="000000"/>
        </w:rPr>
        <w:t>del que se advierte un oficio suscrito por la Directora de Gobierno, en el que proporciona el nombre de los integrantes del Consejo de Participación Ciudadana y Delegación del pueblo de Santa Clara Coatitla en el municipio de Ecateрес de Morelos y dijo:</w:t>
      </w:r>
    </w:p>
    <w:p w14:paraId="215C42CC" w14:textId="77777777" w:rsidR="00EC3673" w:rsidRPr="001C4E77" w:rsidRDefault="00EC3673">
      <w:pPr>
        <w:pBdr>
          <w:top w:val="nil"/>
          <w:left w:val="nil"/>
          <w:bottom w:val="nil"/>
          <w:right w:val="nil"/>
          <w:between w:val="nil"/>
        </w:pBdr>
        <w:spacing w:after="0" w:line="360" w:lineRule="auto"/>
        <w:ind w:left="720"/>
        <w:rPr>
          <w:b/>
          <w:i/>
          <w:color w:val="000000"/>
        </w:rPr>
      </w:pPr>
    </w:p>
    <w:p w14:paraId="6B7B4D5D" w14:textId="77777777" w:rsidR="00EC3673" w:rsidRPr="001C4E77" w:rsidRDefault="00E84870">
      <w:pPr>
        <w:pBdr>
          <w:top w:val="nil"/>
          <w:left w:val="nil"/>
          <w:bottom w:val="nil"/>
          <w:right w:val="nil"/>
          <w:between w:val="nil"/>
        </w:pBdr>
        <w:spacing w:after="0" w:line="360" w:lineRule="auto"/>
        <w:ind w:left="720"/>
        <w:rPr>
          <w:i/>
          <w:color w:val="000000"/>
          <w:sz w:val="20"/>
          <w:szCs w:val="20"/>
        </w:rPr>
      </w:pPr>
      <w:r w:rsidRPr="001C4E77">
        <w:rPr>
          <w:i/>
          <w:color w:val="000000"/>
          <w:sz w:val="20"/>
          <w:szCs w:val="20"/>
        </w:rPr>
        <w:t>“Así mismo se le hace del conocimiento que los nombramientos de Autoridades Auxiliares y Consejos de Participación Ciudadana que participaron y resultaron electos fueron entregados el día 6 de abril del presente año, los cuales fueron expedidos por el H. Ayuntamiento de Ecatepec de Morelos de acuerdo a lo establecido en el artículo 19 del Reglamento de Participación Ciudadana de Ecatepec de Morelos</w:t>
      </w:r>
      <w:r w:rsidRPr="001C4E77">
        <w:rPr>
          <w:color w:val="000000"/>
          <w:sz w:val="20"/>
          <w:szCs w:val="20"/>
        </w:rPr>
        <w:t xml:space="preserve"> </w:t>
      </w:r>
      <w:r w:rsidRPr="001C4E77">
        <w:rPr>
          <w:i/>
          <w:color w:val="000000"/>
          <w:sz w:val="20"/>
          <w:szCs w:val="20"/>
        </w:rPr>
        <w:t xml:space="preserve">que a la letra dice: </w:t>
      </w:r>
    </w:p>
    <w:p w14:paraId="7453E95C" w14:textId="77777777" w:rsidR="00EC3673" w:rsidRPr="001C4E77" w:rsidRDefault="00E84870">
      <w:pPr>
        <w:pBdr>
          <w:top w:val="nil"/>
          <w:left w:val="nil"/>
          <w:bottom w:val="nil"/>
          <w:right w:val="nil"/>
          <w:between w:val="nil"/>
        </w:pBdr>
        <w:spacing w:after="0" w:line="360" w:lineRule="auto"/>
        <w:ind w:left="720"/>
        <w:rPr>
          <w:i/>
          <w:color w:val="000000"/>
          <w:sz w:val="20"/>
          <w:szCs w:val="20"/>
        </w:rPr>
      </w:pPr>
      <w:r w:rsidRPr="001C4E77">
        <w:rPr>
          <w:i/>
          <w:color w:val="000000"/>
          <w:sz w:val="20"/>
          <w:szCs w:val="20"/>
        </w:rPr>
        <w:t>"Articulo 19. El H. Ayuntamiento expedirá los nombramientos respectivos firmados por la Presidenta Municipal y el Secretario del Ayuntamiento..."</w:t>
      </w:r>
    </w:p>
    <w:p w14:paraId="522C62EF" w14:textId="77777777" w:rsidR="00EC3673" w:rsidRPr="001C4E77" w:rsidRDefault="00E84870">
      <w:pPr>
        <w:pBdr>
          <w:top w:val="nil"/>
          <w:left w:val="nil"/>
          <w:bottom w:val="nil"/>
          <w:right w:val="nil"/>
          <w:between w:val="nil"/>
        </w:pBdr>
        <w:spacing w:after="0" w:line="360" w:lineRule="auto"/>
        <w:ind w:left="720"/>
        <w:rPr>
          <w:i/>
          <w:color w:val="000000"/>
          <w:sz w:val="20"/>
          <w:szCs w:val="20"/>
        </w:rPr>
      </w:pPr>
      <w:r w:rsidRPr="001C4E77">
        <w:rPr>
          <w:i/>
          <w:color w:val="000000"/>
          <w:sz w:val="20"/>
          <w:szCs w:val="20"/>
        </w:rPr>
        <w:t>Es por todo lo anterior que se anexa el soporte documental correspondiente, lo anterior para los efectos que haya lugar.”</w:t>
      </w:r>
    </w:p>
    <w:p w14:paraId="0BDC560D" w14:textId="77777777" w:rsidR="00EC3673" w:rsidRPr="001C4E77" w:rsidRDefault="00EC3673">
      <w:pPr>
        <w:pBdr>
          <w:top w:val="nil"/>
          <w:left w:val="nil"/>
          <w:bottom w:val="nil"/>
          <w:right w:val="nil"/>
          <w:between w:val="nil"/>
        </w:pBdr>
        <w:spacing w:after="0" w:line="360" w:lineRule="auto"/>
        <w:ind w:left="720"/>
        <w:rPr>
          <w:i/>
          <w:color w:val="000000"/>
        </w:rPr>
      </w:pPr>
    </w:p>
    <w:p w14:paraId="1EDDE16E" w14:textId="77777777" w:rsidR="00EC3673" w:rsidRPr="001C4E77" w:rsidRDefault="00E84870" w:rsidP="00A16335">
      <w:pPr>
        <w:numPr>
          <w:ilvl w:val="0"/>
          <w:numId w:val="1"/>
        </w:numPr>
        <w:pBdr>
          <w:top w:val="nil"/>
          <w:left w:val="nil"/>
          <w:bottom w:val="nil"/>
          <w:right w:val="nil"/>
          <w:between w:val="nil"/>
        </w:pBdr>
        <w:spacing w:after="0" w:line="360" w:lineRule="auto"/>
        <w:rPr>
          <w:i/>
          <w:color w:val="000000"/>
        </w:rPr>
      </w:pPr>
      <w:r w:rsidRPr="001C4E77">
        <w:rPr>
          <w:color w:val="000000"/>
        </w:rPr>
        <w:t>16 nombramientos de diversos integrantes del Consejo de Participación Ciudadana del Pueblo de Santa Clara Coatitla</w:t>
      </w:r>
    </w:p>
    <w:p w14:paraId="411DEEFC" w14:textId="77777777" w:rsidR="00EC3673" w:rsidRPr="001C4E77" w:rsidRDefault="00EC3673">
      <w:pPr>
        <w:pBdr>
          <w:top w:val="nil"/>
          <w:left w:val="nil"/>
          <w:bottom w:val="nil"/>
          <w:right w:val="nil"/>
          <w:between w:val="nil"/>
        </w:pBdr>
        <w:spacing w:after="0" w:line="360" w:lineRule="auto"/>
        <w:ind w:left="720"/>
        <w:rPr>
          <w:b/>
          <w:i/>
          <w:color w:val="000000"/>
        </w:rPr>
      </w:pPr>
    </w:p>
    <w:p w14:paraId="346611F7" w14:textId="77777777" w:rsidR="00EC3673" w:rsidRPr="001C4E77" w:rsidRDefault="00E84870">
      <w:pPr>
        <w:numPr>
          <w:ilvl w:val="0"/>
          <w:numId w:val="1"/>
        </w:numPr>
        <w:pBdr>
          <w:top w:val="nil"/>
          <w:left w:val="nil"/>
          <w:bottom w:val="nil"/>
          <w:right w:val="nil"/>
          <w:between w:val="nil"/>
        </w:pBdr>
        <w:spacing w:after="0" w:line="360" w:lineRule="auto"/>
        <w:rPr>
          <w:b/>
          <w:i/>
          <w:color w:val="000000"/>
        </w:rPr>
      </w:pPr>
      <w:r w:rsidRPr="001C4E77">
        <w:rPr>
          <w:b/>
          <w:i/>
          <w:color w:val="000000"/>
        </w:rPr>
        <w:lastRenderedPageBreak/>
        <w:t xml:space="preserve">RR. 09016 sol.00548.pdf; </w:t>
      </w:r>
      <w:r w:rsidRPr="001C4E77">
        <w:rPr>
          <w:color w:val="000000"/>
        </w:rPr>
        <w:t>del que se desprende un oficio suscrito por el Titular de la Unidad de Transparencia, en el que medularmente informó lo siguiente:</w:t>
      </w:r>
    </w:p>
    <w:p w14:paraId="4ACBF118" w14:textId="77777777" w:rsidR="00EC3673" w:rsidRPr="001C4E77" w:rsidRDefault="00EC3673">
      <w:pPr>
        <w:pBdr>
          <w:top w:val="nil"/>
          <w:left w:val="nil"/>
          <w:bottom w:val="nil"/>
          <w:right w:val="nil"/>
          <w:between w:val="nil"/>
        </w:pBdr>
        <w:spacing w:after="0" w:line="360" w:lineRule="auto"/>
        <w:ind w:left="720"/>
        <w:rPr>
          <w:b/>
          <w:i/>
          <w:color w:val="000000"/>
        </w:rPr>
      </w:pPr>
    </w:p>
    <w:p w14:paraId="0CED00AF" w14:textId="77777777" w:rsidR="00EC3673" w:rsidRPr="001C4E77" w:rsidRDefault="00E84870">
      <w:pPr>
        <w:pBdr>
          <w:top w:val="nil"/>
          <w:left w:val="nil"/>
          <w:bottom w:val="nil"/>
          <w:right w:val="nil"/>
          <w:between w:val="nil"/>
        </w:pBdr>
        <w:spacing w:after="0" w:line="360" w:lineRule="auto"/>
        <w:ind w:left="567" w:right="709"/>
        <w:rPr>
          <w:i/>
          <w:color w:val="000000"/>
          <w:sz w:val="20"/>
          <w:szCs w:val="20"/>
        </w:rPr>
      </w:pPr>
      <w:r w:rsidRPr="001C4E77">
        <w:rPr>
          <w:i/>
          <w:color w:val="000000"/>
          <w:sz w:val="20"/>
          <w:szCs w:val="20"/>
        </w:rPr>
        <w:t>“Ahora bien, con fecha 22 de julio del presente fue remitido a la Dirección de Gobierno como área competente dar atención a la solicitud y respuesta mediante oficio CT/UT/ECA/922/2025 donde se le señala la inconformidad del recurrente y se le hace de su conocimiento. La respuesta de la unidad competente dice: Los nombramientos de las Autoridades Auxiliares y Consejos de participación Ciudadana que participaron y resultaron electos fueron entregados el día 6 de abril del presente año, los cuales fueron expedidos por el H. Ayuntamiento de Ecatepec de Morelos de acuerdo a lo establecido en el artículo 19 del Reglamento de Participación Ciudadana que a la letra dice: "</w:t>
      </w:r>
      <w:r w:rsidRPr="001C4E77">
        <w:rPr>
          <w:i/>
          <w:sz w:val="20"/>
          <w:szCs w:val="20"/>
        </w:rPr>
        <w:t>Artículo</w:t>
      </w:r>
      <w:r w:rsidRPr="001C4E77">
        <w:rPr>
          <w:i/>
          <w:color w:val="000000"/>
          <w:sz w:val="20"/>
          <w:szCs w:val="20"/>
        </w:rPr>
        <w:t xml:space="preserve"> 19, el H. Ayuntamiento expedirá los nombramientos respectivos firmados por la Presidenta Municipal y el Secretario del Ayuntamiento. Es por todo lo anterior mediante que se anexa el soporte documental correspondiente, lo anterior </w:t>
      </w:r>
      <w:r w:rsidRPr="001C4E77">
        <w:rPr>
          <w:i/>
          <w:sz w:val="20"/>
          <w:szCs w:val="20"/>
        </w:rPr>
        <w:t>para</w:t>
      </w:r>
      <w:r w:rsidRPr="001C4E77">
        <w:rPr>
          <w:i/>
          <w:color w:val="000000"/>
          <w:sz w:val="20"/>
          <w:szCs w:val="20"/>
        </w:rPr>
        <w:t xml:space="preserve"> los efectos que allá lugar. la cual contestaron la respuesta otorgada mediante oficio.</w:t>
      </w:r>
    </w:p>
    <w:p w14:paraId="7B4000AE" w14:textId="77777777" w:rsidR="00EC3673" w:rsidRPr="001C4E77" w:rsidRDefault="00E84870">
      <w:pPr>
        <w:pBdr>
          <w:top w:val="nil"/>
          <w:left w:val="nil"/>
          <w:bottom w:val="nil"/>
          <w:right w:val="nil"/>
          <w:between w:val="nil"/>
        </w:pBdr>
        <w:spacing w:after="0" w:line="360" w:lineRule="auto"/>
        <w:ind w:left="567" w:right="709"/>
        <w:rPr>
          <w:i/>
          <w:color w:val="000000"/>
          <w:sz w:val="20"/>
          <w:szCs w:val="20"/>
        </w:rPr>
      </w:pPr>
      <w:r w:rsidRPr="001C4E77">
        <w:rPr>
          <w:i/>
          <w:color w:val="000000"/>
          <w:sz w:val="20"/>
          <w:szCs w:val="20"/>
        </w:rPr>
        <w:t>En virtud de la anterior nos permitimos hacer de su conocimiento que con fundamento en el artículo 53, Fracciones: II, V y VI de la Ley de Transparencia y Acceso a la Información Pública del Estado de México y Municipios, y con el propósito de dar una respuesta fundada, motivada y congruente, El Sujeto Obligado bajo una búsqueda rindió su informe justificado en los siguientes términos para el recurso 09016/INFOEM/IP/RR/2025, anexando la respuesta otorgada por la Dirección de Gobierno, así como los documentos de los "NOMBRAMIENTOS" para dar cumplimiento con los solicitado.”</w:t>
      </w:r>
    </w:p>
    <w:p w14:paraId="6166FB82" w14:textId="77777777" w:rsidR="00EC3673" w:rsidRPr="001C4E77" w:rsidRDefault="00EC3673">
      <w:pPr>
        <w:pBdr>
          <w:top w:val="nil"/>
          <w:left w:val="nil"/>
          <w:bottom w:val="nil"/>
          <w:right w:val="nil"/>
          <w:between w:val="nil"/>
        </w:pBdr>
        <w:spacing w:after="0" w:line="360" w:lineRule="auto"/>
        <w:ind w:left="567" w:right="709"/>
        <w:rPr>
          <w:i/>
          <w:color w:val="000000"/>
        </w:rPr>
      </w:pPr>
    </w:p>
    <w:p w14:paraId="46CBA46F" w14:textId="77777777" w:rsidR="00EC3673" w:rsidRPr="001C4E77" w:rsidRDefault="00E84870">
      <w:pPr>
        <w:spacing w:after="0" w:line="360" w:lineRule="auto"/>
        <w:rPr>
          <w:color w:val="000000"/>
        </w:rPr>
      </w:pPr>
      <w:r w:rsidRPr="001C4E77">
        <w:rPr>
          <w:b/>
          <w:color w:val="000000"/>
        </w:rPr>
        <w:t xml:space="preserve">d) Vista de Informe Justificado. </w:t>
      </w:r>
      <w:r w:rsidRPr="001C4E77">
        <w:rPr>
          <w:color w:val="000000"/>
        </w:rPr>
        <w:t>El diecisiete de septiembre de dos mil veinticinco,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0D7019FB" w14:textId="77777777" w:rsidR="00EC3673" w:rsidRPr="001C4E77" w:rsidRDefault="00EC3673">
      <w:pPr>
        <w:widowControl w:val="0"/>
        <w:spacing w:after="0" w:line="360" w:lineRule="auto"/>
        <w:rPr>
          <w:b/>
        </w:rPr>
      </w:pPr>
    </w:p>
    <w:p w14:paraId="20A17BFD" w14:textId="77777777" w:rsidR="00EC3673" w:rsidRPr="001C4E77" w:rsidRDefault="00E84870">
      <w:pPr>
        <w:spacing w:after="0" w:line="360" w:lineRule="auto"/>
      </w:pPr>
      <w:r w:rsidRPr="001C4E77">
        <w:rPr>
          <w:b/>
        </w:rPr>
        <w:lastRenderedPageBreak/>
        <w:t xml:space="preserve">e) Manifestaciones de la parte Recurrente. </w:t>
      </w:r>
      <w:r w:rsidRPr="001C4E77">
        <w:t>De las constancias que integran el expediente se advierte que la parte Recurrente no añadió manifestaciones.</w:t>
      </w:r>
    </w:p>
    <w:p w14:paraId="6E1E6F86" w14:textId="77777777" w:rsidR="00EC3673" w:rsidRPr="001C4E77" w:rsidRDefault="00E84870">
      <w:pPr>
        <w:spacing w:after="0" w:line="360" w:lineRule="auto"/>
      </w:pPr>
      <w:r w:rsidRPr="001C4E77">
        <w:t xml:space="preserve"> </w:t>
      </w:r>
    </w:p>
    <w:p w14:paraId="20A966FC" w14:textId="77777777" w:rsidR="00EC3673" w:rsidRPr="001C4E77" w:rsidRDefault="00E84870">
      <w:pPr>
        <w:spacing w:after="0" w:line="360" w:lineRule="auto"/>
        <w:rPr>
          <w:b/>
          <w:color w:val="000000"/>
        </w:rPr>
      </w:pPr>
      <w:r w:rsidRPr="001C4E77">
        <w:rPr>
          <w:b/>
          <w:color w:val="000000"/>
        </w:rPr>
        <w:t>f)</w:t>
      </w:r>
      <w:r w:rsidRPr="001C4E77">
        <w:rPr>
          <w:color w:val="000000"/>
        </w:rPr>
        <w:t xml:space="preserve"> </w:t>
      </w:r>
      <w:r w:rsidRPr="001C4E77">
        <w:rPr>
          <w:b/>
          <w:color w:val="000000"/>
        </w:rPr>
        <w:t>Ampliación de plazo para resolver</w:t>
      </w:r>
      <w:r w:rsidRPr="001C4E77">
        <w:rPr>
          <w:color w:val="000000"/>
        </w:rPr>
        <w:t>. El diecisiete de septiembre de dos mil veinticinco, el Comisionado Ponente, con fundamento en lo dispuesto por el artículo 181, párrafo tercero, de la Ley de Transparencia y Acceso a la Información Pública del Estado de México y Municipios, acordó ampliar por quince días hábiles, el plazo para resolver el Recurso de Revisión que nos ocupa; acto que fue notificado a las partes en la misma fecha, mediante el SAIMEX.</w:t>
      </w:r>
    </w:p>
    <w:p w14:paraId="1DE09C67" w14:textId="77777777" w:rsidR="00EC3673" w:rsidRPr="001C4E77" w:rsidRDefault="00EC3673">
      <w:pPr>
        <w:spacing w:after="0" w:line="360" w:lineRule="auto"/>
      </w:pPr>
    </w:p>
    <w:p w14:paraId="4CDCE080" w14:textId="77777777" w:rsidR="00EC3673" w:rsidRPr="001C4E77" w:rsidRDefault="00E84870">
      <w:pPr>
        <w:spacing w:after="0" w:line="360" w:lineRule="auto"/>
      </w:pPr>
      <w:r w:rsidRPr="001C4E77">
        <w:rPr>
          <w:b/>
        </w:rPr>
        <w:t>g) Cierre de instrucción.</w:t>
      </w:r>
      <w:r w:rsidRPr="001C4E77">
        <w:t xml:space="preserve"> El </w:t>
      </w:r>
      <w:r w:rsidRPr="001C4E77">
        <w:rPr>
          <w:color w:val="000000"/>
        </w:rPr>
        <w:t xml:space="preserve">veintitrés de septiembre </w:t>
      </w:r>
      <w:r w:rsidRPr="001C4E77">
        <w:t>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509D7A79" w14:textId="77777777" w:rsidR="00EC3673" w:rsidRPr="001C4E77" w:rsidRDefault="00EC3673">
      <w:pPr>
        <w:spacing w:after="0" w:line="360" w:lineRule="auto"/>
      </w:pPr>
    </w:p>
    <w:p w14:paraId="447043FB" w14:textId="77777777" w:rsidR="00EC3673" w:rsidRPr="001C4E77" w:rsidRDefault="00E84870">
      <w:pPr>
        <w:spacing w:after="0" w:line="360" w:lineRule="auto"/>
      </w:pPr>
      <w:r w:rsidRPr="001C4E77">
        <w:t xml:space="preserve">En razón de que fue debidamente sustanciado e integrado el expediente electrónico y no existir diligencia pendiente de desahogo, se emite la resolución que conforme a Derecho proceda, de acuerdo a los siguientes: </w:t>
      </w:r>
    </w:p>
    <w:p w14:paraId="21ECCDBA" w14:textId="77777777" w:rsidR="00EC3673" w:rsidRPr="001C4E77" w:rsidRDefault="00EC3673">
      <w:pPr>
        <w:spacing w:after="0" w:line="360" w:lineRule="auto"/>
        <w:rPr>
          <w:b/>
        </w:rPr>
      </w:pPr>
    </w:p>
    <w:p w14:paraId="149D0E5F" w14:textId="77777777" w:rsidR="00EC3673" w:rsidRPr="001C4E77" w:rsidRDefault="00E84870">
      <w:pPr>
        <w:pStyle w:val="Ttulo1"/>
        <w:spacing w:before="0" w:after="0"/>
        <w:rPr>
          <w:sz w:val="22"/>
          <w:szCs w:val="22"/>
        </w:rPr>
      </w:pPr>
      <w:bookmarkStart w:id="9" w:name="_Toc209707941"/>
      <w:r w:rsidRPr="001C4E77">
        <w:rPr>
          <w:sz w:val="22"/>
          <w:szCs w:val="22"/>
        </w:rPr>
        <w:t>C O N S I D E R A N D O S</w:t>
      </w:r>
      <w:bookmarkEnd w:id="9"/>
    </w:p>
    <w:p w14:paraId="683D1605" w14:textId="77777777" w:rsidR="00EC3673" w:rsidRPr="001C4E77" w:rsidRDefault="00EC3673">
      <w:pPr>
        <w:spacing w:after="0" w:line="360" w:lineRule="auto"/>
        <w:rPr>
          <w:b/>
        </w:rPr>
      </w:pPr>
    </w:p>
    <w:p w14:paraId="0A82B0E9" w14:textId="77777777" w:rsidR="00EC3673" w:rsidRPr="001C4E77" w:rsidRDefault="00E84870">
      <w:pPr>
        <w:pStyle w:val="Ttulo2"/>
        <w:spacing w:before="0" w:after="0"/>
      </w:pPr>
      <w:bookmarkStart w:id="10" w:name="_Toc209707942"/>
      <w:r w:rsidRPr="001C4E77">
        <w:t>PRIMERO. Competencia</w:t>
      </w:r>
      <w:bookmarkEnd w:id="10"/>
    </w:p>
    <w:p w14:paraId="52C98E1F" w14:textId="77777777" w:rsidR="00EC3673" w:rsidRPr="001C4E77" w:rsidRDefault="00EC3673">
      <w:pPr>
        <w:spacing w:after="0" w:line="360" w:lineRule="auto"/>
      </w:pPr>
    </w:p>
    <w:p w14:paraId="195E0CF0" w14:textId="77777777" w:rsidR="00EC3673" w:rsidRPr="001C4E77" w:rsidRDefault="00E84870">
      <w:pPr>
        <w:spacing w:after="0" w:line="360" w:lineRule="auto"/>
      </w:pPr>
      <w:r w:rsidRPr="001C4E77">
        <w:t xml:space="preserve">El Instituto de Transparencia, Acceso a la Información Pública y Protección de Datos Personales del Estado de México y Municipios, es competente para conocer y resolver el presente recurso </w:t>
      </w:r>
      <w:r w:rsidRPr="001C4E77">
        <w:lastRenderedPageBreak/>
        <w:t>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8230637" w14:textId="77777777" w:rsidR="00EC3673" w:rsidRPr="001C4E77" w:rsidRDefault="00EC3673">
      <w:pPr>
        <w:spacing w:after="0" w:line="360" w:lineRule="auto"/>
      </w:pPr>
    </w:p>
    <w:p w14:paraId="02B23A36" w14:textId="77777777" w:rsidR="00EC3673" w:rsidRPr="001C4E77" w:rsidRDefault="00E84870">
      <w:pPr>
        <w:pStyle w:val="Ttulo2"/>
        <w:spacing w:before="0" w:after="0"/>
      </w:pPr>
      <w:bookmarkStart w:id="11" w:name="_Toc209707943"/>
      <w:r w:rsidRPr="001C4E77">
        <w:t>SEGUNDO. Causales de improcedencia</w:t>
      </w:r>
      <w:bookmarkEnd w:id="11"/>
      <w:r w:rsidRPr="001C4E77">
        <w:t xml:space="preserve"> </w:t>
      </w:r>
    </w:p>
    <w:p w14:paraId="0A6FCF03" w14:textId="77777777" w:rsidR="00EC3673" w:rsidRPr="001C4E77" w:rsidRDefault="00EC3673">
      <w:pPr>
        <w:spacing w:after="0" w:line="360" w:lineRule="auto"/>
        <w:rPr>
          <w:color w:val="000000"/>
        </w:rPr>
      </w:pPr>
    </w:p>
    <w:p w14:paraId="5B405E53" w14:textId="77777777" w:rsidR="00EC3673" w:rsidRPr="001C4E77" w:rsidRDefault="00E84870">
      <w:pPr>
        <w:spacing w:after="0" w:line="360" w:lineRule="auto"/>
        <w:rPr>
          <w:color w:val="000000"/>
        </w:rPr>
      </w:pPr>
      <w:r w:rsidRPr="001C4E77">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F6F8FD6" w14:textId="77777777" w:rsidR="00EC3673" w:rsidRPr="001C4E77" w:rsidRDefault="00EC3673">
      <w:pPr>
        <w:spacing w:after="0" w:line="360" w:lineRule="auto"/>
        <w:rPr>
          <w:color w:val="000000"/>
        </w:rPr>
      </w:pPr>
    </w:p>
    <w:p w14:paraId="05EDDDFC" w14:textId="77777777" w:rsidR="00EC3673" w:rsidRPr="001C4E77" w:rsidRDefault="00E84870">
      <w:pPr>
        <w:spacing w:after="0" w:line="360" w:lineRule="auto"/>
        <w:rPr>
          <w:color w:val="000000"/>
        </w:rPr>
      </w:pPr>
      <w:r w:rsidRPr="001C4E77">
        <w:rPr>
          <w:color w:val="000000"/>
        </w:rPr>
        <w:t>En el presente caso, </w:t>
      </w:r>
      <w:r w:rsidRPr="001C4E77">
        <w:rPr>
          <w:b/>
          <w:color w:val="000000"/>
        </w:rPr>
        <w:t>no se actualiza ninguna de las causales de improcedencia</w:t>
      </w:r>
      <w:r w:rsidRPr="001C4E77">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1169CCD7" w14:textId="77777777" w:rsidR="00EC3673" w:rsidRPr="001C4E77" w:rsidRDefault="00EC3673">
      <w:pPr>
        <w:spacing w:after="0" w:line="360" w:lineRule="auto"/>
        <w:rPr>
          <w:color w:val="000000"/>
        </w:rPr>
      </w:pPr>
    </w:p>
    <w:p w14:paraId="22E401BD" w14:textId="77777777" w:rsidR="00EC3673" w:rsidRPr="001C4E77" w:rsidRDefault="00E84870">
      <w:pPr>
        <w:spacing w:after="0" w:line="360" w:lineRule="auto"/>
      </w:pPr>
      <w:r w:rsidRPr="001C4E77">
        <w:lastRenderedPageBreak/>
        <w:t>Por lo cual, se actualiza la causal de procedencia del Recurso de Revisión señalada en el artículo 179, fracción V, de la Ley en cita, pues la persona Recurrente se inconformó de la entrega de información incompleta.</w:t>
      </w:r>
    </w:p>
    <w:p w14:paraId="20237AE4" w14:textId="77777777" w:rsidR="00EC3673" w:rsidRPr="001C4E77" w:rsidRDefault="00E84870">
      <w:pPr>
        <w:pStyle w:val="Ttulo2"/>
        <w:rPr>
          <w:color w:val="0D0D0D"/>
        </w:rPr>
      </w:pPr>
      <w:bookmarkStart w:id="12" w:name="_Toc209707944"/>
      <w:r w:rsidRPr="001C4E77">
        <w:rPr>
          <w:color w:val="0D0D0D"/>
        </w:rPr>
        <w:t>TERCERO. Causales de sobreseimiento</w:t>
      </w:r>
      <w:bookmarkEnd w:id="12"/>
    </w:p>
    <w:p w14:paraId="0C2E3E65" w14:textId="77777777" w:rsidR="00EC3673" w:rsidRPr="001C4E77" w:rsidRDefault="00EC3673">
      <w:pPr>
        <w:spacing w:after="0" w:line="360" w:lineRule="auto"/>
        <w:rPr>
          <w:color w:val="0D0D0D"/>
        </w:rPr>
      </w:pPr>
    </w:p>
    <w:p w14:paraId="651C59B1" w14:textId="77777777" w:rsidR="00EC3673" w:rsidRPr="001C4E77" w:rsidRDefault="00E84870">
      <w:pPr>
        <w:spacing w:after="0" w:line="360" w:lineRule="auto"/>
      </w:pPr>
      <w:r w:rsidRPr="001C4E77">
        <w:t>Por ser de previo y especial pronunciamiento, este Instituto analiza si se actualiza alguna causal de sobreseimiento.</w:t>
      </w:r>
    </w:p>
    <w:p w14:paraId="0BA9D390" w14:textId="77777777" w:rsidR="00EC3673" w:rsidRPr="001C4E77" w:rsidRDefault="00EC3673">
      <w:pPr>
        <w:spacing w:after="0" w:line="360" w:lineRule="auto"/>
      </w:pPr>
    </w:p>
    <w:p w14:paraId="0D26033F" w14:textId="77777777" w:rsidR="00EC3673" w:rsidRPr="001C4E77" w:rsidRDefault="00E84870">
      <w:pPr>
        <w:spacing w:after="0" w:line="360" w:lineRule="auto"/>
      </w:pPr>
      <w:r w:rsidRPr="001C4E77">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sidRPr="001C4E77">
        <w:rPr>
          <w:b/>
        </w:rPr>
        <w:t>que no se actualizan los supuestos de sobreseimiento previstos en las fracciones I, II, IV y V</w:t>
      </w:r>
      <w:r w:rsidRPr="001C4E77">
        <w:t xml:space="preserve">, del artículo en comento, lo anterior, en virtud de que no hay constancias en el expediente en que se actúa, de que la persona Recurrente se haya desistido del recurso, haya fallecido, o bien, se haya actualizado alguna causal de improcedencia. </w:t>
      </w:r>
    </w:p>
    <w:p w14:paraId="065749C1" w14:textId="77777777" w:rsidR="00EC3673" w:rsidRPr="001C4E77" w:rsidRDefault="00EC3673">
      <w:pPr>
        <w:spacing w:after="0" w:line="360" w:lineRule="auto"/>
      </w:pPr>
    </w:p>
    <w:p w14:paraId="5DB517A0" w14:textId="77777777" w:rsidR="00EC3673" w:rsidRPr="001C4E77" w:rsidRDefault="00E84870">
      <w:pPr>
        <w:spacing w:after="0" w:line="360" w:lineRule="auto"/>
      </w:pPr>
      <w:r w:rsidRPr="001C4E77">
        <w:t>No obstante, por lo que hace a la fracción III, del artículo 192, de la Ley de la materia, es de señalar que el Sujeto Obligado modificó su respuesta, durante la sustanciación del Medio de Impugnación; por lo que, se estima procedente entrar al estudio de dicha causal de sobreseimiento.</w:t>
      </w:r>
    </w:p>
    <w:p w14:paraId="07583CE8" w14:textId="77777777" w:rsidR="00EC3673" w:rsidRPr="001C4E77" w:rsidRDefault="00EC3673">
      <w:pPr>
        <w:spacing w:after="0" w:line="360" w:lineRule="auto"/>
      </w:pPr>
    </w:p>
    <w:p w14:paraId="5F253359" w14:textId="47CE5053" w:rsidR="00EC3673" w:rsidRPr="001C4E77" w:rsidRDefault="00E84870">
      <w:pPr>
        <w:spacing w:after="0" w:line="360" w:lineRule="auto"/>
        <w:rPr>
          <w:b/>
        </w:rPr>
      </w:pPr>
      <w:r w:rsidRPr="001C4E77">
        <w:t xml:space="preserve">Expuesto lo anterior, es preciso reiterar que la parte Recurrente </w:t>
      </w:r>
      <w:r w:rsidRPr="001C4E77">
        <w:rPr>
          <w:b/>
        </w:rPr>
        <w:t>solicitó la entrega</w:t>
      </w:r>
      <w:r w:rsidRPr="001C4E77">
        <w:t xml:space="preserve"> de</w:t>
      </w:r>
      <w:r w:rsidRPr="001C4E77">
        <w:rPr>
          <w:b/>
        </w:rPr>
        <w:t xml:space="preserve"> </w:t>
      </w:r>
      <w:r w:rsidRPr="001C4E77">
        <w:t xml:space="preserve">la entrega del nombre completo, cargo y nombramiento de </w:t>
      </w:r>
      <w:r w:rsidR="00A16335" w:rsidRPr="001C4E77">
        <w:t>los integrantes de la</w:t>
      </w:r>
      <w:r w:rsidRPr="001C4E77">
        <w:t xml:space="preserve"> 2da Delegación y </w:t>
      </w:r>
      <w:r w:rsidR="00A16335" w:rsidRPr="001C4E77">
        <w:t>de</w:t>
      </w:r>
      <w:r w:rsidRPr="001C4E77">
        <w:t xml:space="preserve">l </w:t>
      </w:r>
      <w:r w:rsidR="00A16335" w:rsidRPr="001C4E77">
        <w:t>Consejo de Participación Ciudadana</w:t>
      </w:r>
      <w:r w:rsidRPr="001C4E77">
        <w:t xml:space="preserve"> del Pueblo de Santa Clara Coatitla, de la administración 2025-2027.</w:t>
      </w:r>
    </w:p>
    <w:p w14:paraId="312FB779" w14:textId="77777777" w:rsidR="00EC3673" w:rsidRPr="001C4E77" w:rsidRDefault="00EC3673">
      <w:pPr>
        <w:spacing w:after="0" w:line="360" w:lineRule="auto"/>
      </w:pPr>
    </w:p>
    <w:p w14:paraId="0E9E6424" w14:textId="77777777" w:rsidR="00EC3673" w:rsidRPr="001C4E77" w:rsidRDefault="00E84870">
      <w:pPr>
        <w:spacing w:after="0" w:line="360" w:lineRule="auto"/>
      </w:pPr>
      <w:r w:rsidRPr="001C4E77">
        <w:t xml:space="preserve">En respuesta la Directora de Gobierno, remitió un listado de 16 personas, con el nombre completo y cargo de los delegados e integrantes del COPACI del Pueblo de Santa Clara Coatitla, e indicó que por cuanto hace a los nombramientos, no era posible su entrega, dado que fueron entregados a cada una de las personas electas. </w:t>
      </w:r>
    </w:p>
    <w:p w14:paraId="6D7481FB" w14:textId="77777777" w:rsidR="00EC3673" w:rsidRPr="001C4E77" w:rsidRDefault="00EC3673">
      <w:pPr>
        <w:spacing w:after="0" w:line="360" w:lineRule="auto"/>
      </w:pPr>
    </w:p>
    <w:p w14:paraId="29AB7046" w14:textId="77777777" w:rsidR="00EC3673" w:rsidRPr="001C4E77" w:rsidRDefault="00E84870">
      <w:pPr>
        <w:spacing w:after="0" w:line="360" w:lineRule="auto"/>
        <w:rPr>
          <w:color w:val="0D0D0D"/>
        </w:rPr>
      </w:pPr>
      <w:r w:rsidRPr="001C4E77">
        <w:t>Derivado de la respuesta, la parte Recurrente se inconformó bajo el argumento de que no se le entregaron los nombramientos y que corresponde a información que debe obrar en los archivos del Sujeto Obligado, lo cual actualiza la causal de procedencia prevista en la fracción V, del artículo 179 de la Ley de Transparencia y Acceso a la Información Pública del Estado de México y Municipios</w:t>
      </w:r>
      <w:r w:rsidRPr="001C4E77">
        <w:rPr>
          <w:color w:val="0D0D0D"/>
        </w:rPr>
        <w:t>, es decir por la entrega de información incompleta.</w:t>
      </w:r>
    </w:p>
    <w:p w14:paraId="30FEEB19" w14:textId="77777777" w:rsidR="00EC3673" w:rsidRPr="001C4E77" w:rsidRDefault="00EC3673">
      <w:pPr>
        <w:spacing w:after="0" w:line="360" w:lineRule="auto"/>
        <w:rPr>
          <w:color w:val="0D0D0D"/>
        </w:rPr>
      </w:pPr>
    </w:p>
    <w:p w14:paraId="3E8DE45D" w14:textId="77777777" w:rsidR="00EC3673" w:rsidRPr="001C4E77" w:rsidRDefault="00E84870">
      <w:pPr>
        <w:tabs>
          <w:tab w:val="left" w:pos="8931"/>
        </w:tabs>
        <w:spacing w:after="0" w:line="360" w:lineRule="auto"/>
        <w:ind w:right="142"/>
      </w:pPr>
      <w:r w:rsidRPr="001C4E77">
        <w:t>Conforme a lo anterior, se logra vislumbrar que la persona Recurrente no se agravió respecto al listado de nombres y cargos entregados en respuesta; por lo que, no se hará pronunciamiento alguno, respecto a la información entregada, de conformidad con el artículo 195 de la Ley de Transparencia y Acceso a la Información Pública del Estado de México y Municipios, en relación con el diverso 195, fracción IV, del Código de Procedimientos Administrativos del Estado de México, que establece que será improcedente el recurso contra los actos que se hayan consentido tácitamente, entendiéndose por éstos cuando el agravio no se haya promovido en el plazo señalado para el efecto.</w:t>
      </w:r>
    </w:p>
    <w:p w14:paraId="647EAC29" w14:textId="77777777" w:rsidR="00EC3673" w:rsidRPr="001C4E77" w:rsidRDefault="00E84870">
      <w:pPr>
        <w:tabs>
          <w:tab w:val="left" w:pos="8931"/>
        </w:tabs>
        <w:spacing w:after="0" w:line="360" w:lineRule="auto"/>
        <w:ind w:right="142"/>
      </w:pPr>
      <w:r w:rsidRPr="001C4E77">
        <w:t xml:space="preserve"> </w:t>
      </w:r>
    </w:p>
    <w:p w14:paraId="6A9F7BB5" w14:textId="77777777" w:rsidR="00EC3673" w:rsidRPr="001C4E77" w:rsidRDefault="00E84870">
      <w:pPr>
        <w:tabs>
          <w:tab w:val="left" w:pos="8931"/>
        </w:tabs>
        <w:spacing w:after="0" w:line="360" w:lineRule="auto"/>
        <w:ind w:right="142"/>
      </w:pPr>
      <w:r w:rsidRPr="001C4E77">
        <w:t xml:space="preserve">De la misma manera resulta aplicable el criterio sostenido por el Poder Judicial de la Federación de rubro </w:t>
      </w:r>
      <w:r w:rsidRPr="001C4E77">
        <w:rPr>
          <w:b/>
        </w:rPr>
        <w:t>ACTOS CONSENTIDOS TÁCITAMENTE</w:t>
      </w:r>
      <w:r w:rsidRPr="001C4E77">
        <w:t xml:space="preserve">,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w:t>
      </w:r>
      <w:r w:rsidRPr="001C4E77">
        <w:lastRenderedPageBreak/>
        <w:t>plazos establecidos en la Ley, se presume que la parte Recurrente está conforme con los mismos.</w:t>
      </w:r>
    </w:p>
    <w:p w14:paraId="0359AE4B" w14:textId="77777777" w:rsidR="00EC3673" w:rsidRPr="001C4E77" w:rsidRDefault="00E84870">
      <w:pPr>
        <w:tabs>
          <w:tab w:val="left" w:pos="8931"/>
        </w:tabs>
        <w:spacing w:after="0" w:line="360" w:lineRule="auto"/>
        <w:ind w:right="142"/>
      </w:pPr>
      <w:r w:rsidRPr="001C4E77">
        <w:t xml:space="preserve"> </w:t>
      </w:r>
    </w:p>
    <w:p w14:paraId="22801710" w14:textId="77777777" w:rsidR="00EC3673" w:rsidRPr="001C4E77" w:rsidRDefault="00E84870">
      <w:pPr>
        <w:tabs>
          <w:tab w:val="left" w:pos="8931"/>
        </w:tabs>
        <w:spacing w:after="0" w:line="360" w:lineRule="auto"/>
        <w:ind w:right="142"/>
      </w:pPr>
      <w:r w:rsidRPr="001C4E77">
        <w:t xml:space="preserve">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14:paraId="270193E9" w14:textId="77777777" w:rsidR="00EC3673" w:rsidRPr="001C4E77" w:rsidRDefault="00EC3673">
      <w:pPr>
        <w:tabs>
          <w:tab w:val="left" w:pos="8931"/>
        </w:tabs>
        <w:spacing w:after="0" w:line="360" w:lineRule="auto"/>
        <w:ind w:right="142"/>
      </w:pPr>
    </w:p>
    <w:p w14:paraId="029415FC" w14:textId="77777777" w:rsidR="00EC3673" w:rsidRPr="001C4E77" w:rsidRDefault="00E84870">
      <w:pPr>
        <w:tabs>
          <w:tab w:val="left" w:pos="8931"/>
        </w:tabs>
        <w:spacing w:after="0" w:line="360" w:lineRule="auto"/>
        <w:ind w:right="142"/>
      </w:pPr>
      <w:r w:rsidRPr="001C4E77">
        <w:t xml:space="preserve"> Asimismo, resulta relevante traer a colación el Criterio Orientador, de la Segunda Época, con número de registro SO/001/2020, emitido por el entonces Instituto Nacional de Transparencia, Acceso a la Información y Protección de Datos Personales, el cual establece que es improcedente entrar al análisis de las partes de la respuesta del Sujeto Obligado que no fueron impugnadas por la persona Recurrente; por lo que, en el presente caso, se tienen por consentido el listado de nombres y cargos de las personas delegadas y miembros del COPACI señalada en respuesta y únicamente se entrará al análisis de los nombramientos. </w:t>
      </w:r>
    </w:p>
    <w:p w14:paraId="061C0AD7" w14:textId="77777777" w:rsidR="00EC3673" w:rsidRPr="001C4E77" w:rsidRDefault="00EC3673">
      <w:pPr>
        <w:spacing w:after="0" w:line="360" w:lineRule="auto"/>
        <w:rPr>
          <w:color w:val="0D0D0D"/>
        </w:rPr>
      </w:pPr>
    </w:p>
    <w:p w14:paraId="7CD8869D" w14:textId="77777777" w:rsidR="00EC3673" w:rsidRPr="001C4E77" w:rsidRDefault="00E84870">
      <w:pPr>
        <w:spacing w:after="0" w:line="360" w:lineRule="auto"/>
      </w:pPr>
      <w:r w:rsidRPr="001C4E77">
        <w:t>En este sentido, se procede a contextualizar la solicitud que corresponde a los nombramientos de los delegados e integrantes del COPACI del Pueblo de Santa Clara Coatitla, de la administración 2025 -2027, que corresponden a las personas señaladas en respuesta.</w:t>
      </w:r>
    </w:p>
    <w:p w14:paraId="19B121D4" w14:textId="77777777" w:rsidR="00EC3673" w:rsidRPr="001C4E77" w:rsidRDefault="00EC3673">
      <w:pPr>
        <w:spacing w:after="0" w:line="360" w:lineRule="auto"/>
      </w:pPr>
    </w:p>
    <w:p w14:paraId="1633F7B9" w14:textId="6911DEF5" w:rsidR="00A16335" w:rsidRPr="001C4E77" w:rsidRDefault="00E84870">
      <w:pPr>
        <w:spacing w:after="0" w:line="360" w:lineRule="auto"/>
      </w:pPr>
      <w:r w:rsidRPr="001C4E77">
        <w:t xml:space="preserve">Así pues, es preciso señalar que de conformidad con lo dispuesto </w:t>
      </w:r>
      <w:r w:rsidR="00A16335" w:rsidRPr="001C4E77">
        <w:t>en el artículo 56 de la Ley Orgánica Municipal del Estado de México, los cuales establecen que son autoridades auxiliares, las personas titulades de las delgaciones, subdelegaciones, jefaturas de séctor, de sección y de manzana que designe el Ayuntamiento.</w:t>
      </w:r>
    </w:p>
    <w:p w14:paraId="11A98C59" w14:textId="77777777" w:rsidR="00A16335" w:rsidRPr="001C4E77" w:rsidRDefault="00A16335">
      <w:pPr>
        <w:spacing w:after="0" w:line="360" w:lineRule="auto"/>
      </w:pPr>
    </w:p>
    <w:p w14:paraId="50803BB7" w14:textId="038BF15D" w:rsidR="00A16335" w:rsidRPr="001C4E77" w:rsidRDefault="00A16335">
      <w:pPr>
        <w:spacing w:after="0" w:line="360" w:lineRule="auto"/>
      </w:pPr>
      <w:r w:rsidRPr="001C4E77">
        <w:lastRenderedPageBreak/>
        <w:t>Además, conforme a los artículos 64, 72, 73 y 74 de la normatividad referida, precisam que los Ayuntamientos para la gestión, promoción y ejecución de los planes y programas municipales, podrán de auxiliarse de consejos de participación ciudadana municipal, integrado hasta por cinco personas, mismos que serán órganos de comunicación y colaboración entre la comunidad y las autoridades.</w:t>
      </w:r>
    </w:p>
    <w:p w14:paraId="24997B45" w14:textId="77777777" w:rsidR="00A16335" w:rsidRPr="001C4E77" w:rsidRDefault="00A16335">
      <w:pPr>
        <w:spacing w:after="0" w:line="360" w:lineRule="auto"/>
      </w:pPr>
    </w:p>
    <w:p w14:paraId="30554F45" w14:textId="48FB4DE3" w:rsidR="00A16335" w:rsidRPr="001C4E77" w:rsidRDefault="00A16335">
      <w:pPr>
        <w:spacing w:after="0" w:line="360" w:lineRule="auto"/>
      </w:pPr>
      <w:r w:rsidRPr="001C4E77">
        <w:t>Además, conforme a los artículos</w:t>
      </w:r>
      <w:r w:rsidR="00677498" w:rsidRPr="001C4E77">
        <w:t xml:space="preserve"> 59 Bis y</w:t>
      </w:r>
      <w:r w:rsidRPr="001C4E77">
        <w:t xml:space="preserve"> </w:t>
      </w:r>
      <w:r w:rsidR="00677498" w:rsidRPr="001C4E77">
        <w:t xml:space="preserve">73, que precisan que el Ayuntamiento expedirá los nombramientos de las autoridades auxiliares y miembros de los Consejos de Participación Ciudadana, firmados por el titular de la Presidencia Municipal y la Secretaría del Ayuntamiento. </w:t>
      </w:r>
    </w:p>
    <w:p w14:paraId="14095021" w14:textId="77777777" w:rsidR="00677498" w:rsidRPr="001C4E77" w:rsidRDefault="00677498">
      <w:pPr>
        <w:spacing w:after="0" w:line="360" w:lineRule="auto"/>
      </w:pPr>
    </w:p>
    <w:p w14:paraId="230148BE" w14:textId="2FFD55FD" w:rsidR="00677498" w:rsidRPr="001C4E77" w:rsidRDefault="00677498" w:rsidP="00677498">
      <w:pPr>
        <w:spacing w:after="0" w:line="360" w:lineRule="auto"/>
      </w:pPr>
      <w:r w:rsidRPr="001C4E77">
        <w:t xml:space="preserve">En ese orden de ideas, el artículo 35 del Bando Municipal de Ecatepec de Morelos, precisa que los </w:t>
      </w:r>
      <w:r w:rsidRPr="001C4E77">
        <w:rPr>
          <w:b/>
        </w:rPr>
        <w:t>delegados y subdelegados</w:t>
      </w:r>
      <w:r w:rsidRPr="001C4E77">
        <w:t xml:space="preserve"> son autoridades auxiliares municipales, que son elegidos mediante voto libre, secreto y directo de las personas vecinas de la localidad, y que el proceso de elección se sujeta a las reglas establecidas en la convocatoria.</w:t>
      </w:r>
    </w:p>
    <w:p w14:paraId="0350642A" w14:textId="77777777" w:rsidR="00677498" w:rsidRPr="001C4E77" w:rsidRDefault="00677498" w:rsidP="00677498">
      <w:pPr>
        <w:spacing w:after="0" w:line="360" w:lineRule="auto"/>
      </w:pPr>
    </w:p>
    <w:p w14:paraId="3E1F4925" w14:textId="78791F4B" w:rsidR="00677498" w:rsidRPr="001C4E77" w:rsidRDefault="00677498" w:rsidP="00677498">
      <w:pPr>
        <w:spacing w:after="0" w:line="360" w:lineRule="auto"/>
      </w:pPr>
      <w:r w:rsidRPr="001C4E77">
        <w:t xml:space="preserve">Además, el diverso 37 del Bando mencionado, precisa que los Consejos de Participación Ciudadana se constituyen como órganos de comunicación y colaboración entre la comunidad y el gobierno municipal y su integración tiene lugar a partir de la normatividad aplicable. </w:t>
      </w:r>
    </w:p>
    <w:p w14:paraId="58E9F8F9" w14:textId="77777777" w:rsidR="00677498" w:rsidRPr="001C4E77" w:rsidRDefault="00677498">
      <w:pPr>
        <w:spacing w:after="0" w:line="360" w:lineRule="auto"/>
      </w:pPr>
    </w:p>
    <w:p w14:paraId="3B6B8A52" w14:textId="3EC0E21C" w:rsidR="00EC3673" w:rsidRPr="001C4E77" w:rsidRDefault="00677498">
      <w:pPr>
        <w:spacing w:after="0" w:line="360" w:lineRule="auto"/>
      </w:pPr>
      <w:r w:rsidRPr="001C4E77">
        <w:t xml:space="preserve">En ese orden de ideas, conforme al Bando Municipal 2025 del Sujeto Obligado, en su artículo 16 se precisa el territorio del Municipio de Ecatepec de Morelos, dentro del que se encuentra el Pueblo de Santa Clara Coatitla; por su parte, el artículo 33 del mismo Bando, precisa en su fracción II que el Ayuntamiento para el desempeño de sus funciones se auxilia de Delegaciones, Subdelegaciones y Consejos de Participación Ciudadana. </w:t>
      </w:r>
    </w:p>
    <w:p w14:paraId="27A6507F" w14:textId="77777777" w:rsidR="00EC3673" w:rsidRPr="001C4E77" w:rsidRDefault="00EC3673">
      <w:pPr>
        <w:spacing w:after="0" w:line="360" w:lineRule="auto"/>
      </w:pPr>
    </w:p>
    <w:p w14:paraId="22CFBD3A" w14:textId="77777777" w:rsidR="00EC3673" w:rsidRPr="001C4E77" w:rsidRDefault="00E84870">
      <w:pPr>
        <w:spacing w:after="0" w:line="360" w:lineRule="auto"/>
      </w:pPr>
      <w:r w:rsidRPr="001C4E77">
        <w:lastRenderedPageBreak/>
        <w:t xml:space="preserve">Aunado a lo anterior el artículo 64 del Bando Municipal vigente, prevé que la </w:t>
      </w:r>
      <w:r w:rsidRPr="001C4E77">
        <w:rPr>
          <w:b/>
        </w:rPr>
        <w:t>Dirección de Gobierno,</w:t>
      </w:r>
      <w:r w:rsidRPr="001C4E77">
        <w:t xml:space="preserve"> equipo con las delegaciones municipales, Consejos de Participación Ciudadana, entre otros, determinará el rumbo al que deben dirigirse las políticas de gobierno para impulsar el desarrollo comunitario, fortaleciendo la identidad municipal y la solidaridad vecinal, coadyuvando a fortalecer la relación gobierno-sociedad y la reconstrucción del tejido social; asimismo, fomentará una convivencia armónica de la sociedad entre Gobierno y Autoridades Auxiliares (Consejos de Participación Ciudadana y Delegados), mediando democráticamente los actos de gobierno con las diferentes expresiones políticas para la toma de decisiones de esta Administración Pública Municipal; generando capacitaciones, talleres, mesas de trabajo, así como demás actividades que generen el diálogo respetuoso entre las partes y que les permita a las Autoridades Auxiliares realizar plenamente sus funciones de acuerdo con la normatividad aplicable vigente. En caso de que los integrantes de los Consejos de Participación Ciudadana y Autoridades Auxiliares infrinjan la normatividad aplicable, esta Dirección se coordinará con las diversas dependencias de la Administración Pública Municipal para dar inicio al procedimiento respectivo y en su caso imponer las sanciones que en derecho corresponda.</w:t>
      </w:r>
    </w:p>
    <w:p w14:paraId="169B16C4" w14:textId="77777777" w:rsidR="00EC3673" w:rsidRPr="001C4E77" w:rsidRDefault="00EC3673">
      <w:pPr>
        <w:spacing w:after="0" w:line="360" w:lineRule="auto"/>
      </w:pPr>
    </w:p>
    <w:p w14:paraId="39D86847" w14:textId="77777777" w:rsidR="00EC3673" w:rsidRPr="001C4E77" w:rsidRDefault="00E84870">
      <w:pPr>
        <w:spacing w:after="0" w:line="360" w:lineRule="auto"/>
        <w:rPr>
          <w:color w:val="000000"/>
        </w:rPr>
      </w:pPr>
      <w:r w:rsidRPr="001C4E77">
        <w:t xml:space="preserve">Establecida dicha circunstancia, se procede analizar la información proporcionada por el Sujeto Obligado, por lo cual, en principio resulta necesario precisar que el Sujeto Obligado turno la solicitud de información, a la </w:t>
      </w:r>
      <w:r w:rsidRPr="001C4E77">
        <w:rPr>
          <w:b/>
        </w:rPr>
        <w:t>Dirección de Gobierno</w:t>
      </w:r>
      <w:r w:rsidRPr="001C4E77">
        <w:t xml:space="preserve">; </w:t>
      </w:r>
      <w:r w:rsidRPr="001C4E77">
        <w:rPr>
          <w:color w:val="000000"/>
        </w:rPr>
        <w:t>por lo que, es necesario hacer referencia al procedimiento de búsqueda que deben de seguir los Sujetos Obligados para localizar la información, el cual se encuentra previsto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3324751B" w14:textId="77777777" w:rsidR="00EC3673" w:rsidRPr="001C4E77" w:rsidRDefault="00E84870">
      <w:pPr>
        <w:spacing w:after="0" w:line="360" w:lineRule="auto"/>
        <w:rPr>
          <w:color w:val="FF0000"/>
        </w:rPr>
      </w:pPr>
      <w:r w:rsidRPr="001C4E77">
        <w:rPr>
          <w:color w:val="000000"/>
        </w:rPr>
        <w:lastRenderedPageBreak/>
        <w:t xml:space="preserve">Conforme a lo anterior se logra advertir </w:t>
      </w:r>
      <w:r w:rsidRPr="001C4E77">
        <w:rPr>
          <w:b/>
          <w:color w:val="000000"/>
        </w:rPr>
        <w:t xml:space="preserve">que el Sujeto Obligado cumplió con el procedimiento de búsqueda </w:t>
      </w:r>
      <w:r w:rsidRPr="001C4E77">
        <w:rPr>
          <w:color w:val="000000"/>
        </w:rPr>
        <w:t>previsto en el artículo 162 de la Ley de Transparencia y Acceso a la Información Pública del Estado de México y Municipios, toda vez que turnó la solicitud de información al área competente para conocer respecto de la nómina del Sujeto Obligado.</w:t>
      </w:r>
    </w:p>
    <w:p w14:paraId="18AD6DEB" w14:textId="77777777" w:rsidR="00EC3673" w:rsidRPr="001C4E77" w:rsidRDefault="00EC3673">
      <w:pPr>
        <w:spacing w:after="0" w:line="360" w:lineRule="auto"/>
      </w:pPr>
    </w:p>
    <w:p w14:paraId="241BA204" w14:textId="77777777" w:rsidR="00677498" w:rsidRPr="001C4E77" w:rsidRDefault="00677498" w:rsidP="00677498">
      <w:pPr>
        <w:spacing w:after="0" w:line="360" w:lineRule="auto"/>
      </w:pPr>
      <w:r w:rsidRPr="001C4E77">
        <w:t>En este contexto normativo vale la pena precisar que, si bien respuesta inicial el Sujeto Obligado manifestó que no era posible la entrega de los nombramientos solicitados, lo cual resulta incongruente, pues al ser autoridades auxiliares y órganos que realizan funciones dentro del Sujeto Obligado, se les pudo requerir el documento solicitado.</w:t>
      </w:r>
    </w:p>
    <w:p w14:paraId="5323352A" w14:textId="77777777" w:rsidR="00677498" w:rsidRPr="001C4E77" w:rsidRDefault="00677498" w:rsidP="00677498">
      <w:pPr>
        <w:spacing w:after="0" w:line="360" w:lineRule="auto"/>
      </w:pPr>
    </w:p>
    <w:p w14:paraId="08BB7191" w14:textId="77777777" w:rsidR="00677498" w:rsidRPr="001C4E77" w:rsidRDefault="00677498" w:rsidP="00677498">
      <w:pPr>
        <w:spacing w:after="0" w:line="360" w:lineRule="auto"/>
        <w:rPr>
          <w:bCs/>
        </w:rPr>
      </w:pPr>
      <w:r w:rsidRPr="001C4E77">
        <w:t xml:space="preserve">No obstante, durante la sustanciación del Recurso de Revisión modificó su respuesta inicial y </w:t>
      </w:r>
      <w:r w:rsidRPr="001C4E77">
        <w:rPr>
          <w:bCs/>
        </w:rPr>
        <w:t>remitió 16 nombramientos correspondientes a las personas enumeradas en la respuesta y que coinciden con el cargo señalado. A fin de ejemplificar lo anterior se inserta impresión de pantalla de parte de interés de la lista entregada en respuesta y de uno de los nombramientos:</w:t>
      </w:r>
    </w:p>
    <w:p w14:paraId="6E97239C" w14:textId="77777777" w:rsidR="00677498" w:rsidRPr="001C4E77" w:rsidRDefault="00677498" w:rsidP="00677498">
      <w:pPr>
        <w:spacing w:after="0" w:line="360" w:lineRule="auto"/>
        <w:rPr>
          <w:b/>
        </w:rPr>
      </w:pPr>
    </w:p>
    <w:p w14:paraId="574AD29A" w14:textId="77777777" w:rsidR="00EC3673" w:rsidRPr="001C4E77" w:rsidRDefault="00E84870">
      <w:pPr>
        <w:spacing w:after="0" w:line="360" w:lineRule="auto"/>
        <w:jc w:val="center"/>
        <w:rPr>
          <w:b/>
        </w:rPr>
      </w:pPr>
      <w:r w:rsidRPr="001C4E77">
        <w:rPr>
          <w:noProof/>
        </w:rPr>
        <w:drawing>
          <wp:inline distT="0" distB="0" distL="0" distR="0" wp14:anchorId="713C371E" wp14:editId="0F2F4A88">
            <wp:extent cx="5008880" cy="776176"/>
            <wp:effectExtent l="0" t="0" r="0" b="0"/>
            <wp:docPr id="19431214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0"/>
                    <a:srcRect b="31782"/>
                    <a:stretch/>
                  </pic:blipFill>
                  <pic:spPr bwMode="auto">
                    <a:xfrm>
                      <a:off x="0" y="0"/>
                      <a:ext cx="5009483" cy="776269"/>
                    </a:xfrm>
                    <a:prstGeom prst="rect">
                      <a:avLst/>
                    </a:prstGeom>
                    <a:ln>
                      <a:noFill/>
                    </a:ln>
                    <a:extLst>
                      <a:ext uri="{53640926-AAD7-44D8-BBD7-CCE9431645EC}">
                        <a14:shadowObscured xmlns:a14="http://schemas.microsoft.com/office/drawing/2010/main"/>
                      </a:ext>
                    </a:extLst>
                  </pic:spPr>
                </pic:pic>
              </a:graphicData>
            </a:graphic>
          </wp:inline>
        </w:drawing>
      </w:r>
    </w:p>
    <w:p w14:paraId="6C7E5082" w14:textId="77777777" w:rsidR="00EC3673" w:rsidRPr="001C4E77" w:rsidRDefault="00E84870">
      <w:pPr>
        <w:spacing w:after="0" w:line="360" w:lineRule="auto"/>
        <w:jc w:val="center"/>
      </w:pPr>
      <w:r w:rsidRPr="001C4E77">
        <w:rPr>
          <w:noProof/>
        </w:rPr>
        <w:drawing>
          <wp:inline distT="0" distB="0" distL="0" distR="0" wp14:anchorId="6E89F03A" wp14:editId="48298412">
            <wp:extent cx="3147237" cy="2200940"/>
            <wp:effectExtent l="0" t="0" r="2540" b="0"/>
            <wp:docPr id="19431214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1"/>
                    <a:srcRect t="12253" b="39256"/>
                    <a:stretch/>
                  </pic:blipFill>
                  <pic:spPr bwMode="auto">
                    <a:xfrm>
                      <a:off x="0" y="0"/>
                      <a:ext cx="3191490" cy="2231888"/>
                    </a:xfrm>
                    <a:prstGeom prst="rect">
                      <a:avLst/>
                    </a:prstGeom>
                    <a:ln>
                      <a:noFill/>
                    </a:ln>
                    <a:extLst>
                      <a:ext uri="{53640926-AAD7-44D8-BBD7-CCE9431645EC}">
                        <a14:shadowObscured xmlns:a14="http://schemas.microsoft.com/office/drawing/2010/main"/>
                      </a:ext>
                    </a:extLst>
                  </pic:spPr>
                </pic:pic>
              </a:graphicData>
            </a:graphic>
          </wp:inline>
        </w:drawing>
      </w:r>
    </w:p>
    <w:p w14:paraId="41BC9E01" w14:textId="3764D328" w:rsidR="00677498" w:rsidRPr="001C4E77" w:rsidRDefault="00E84870" w:rsidP="00677498">
      <w:pPr>
        <w:spacing w:after="0" w:line="360" w:lineRule="auto"/>
      </w:pPr>
      <w:r w:rsidRPr="001C4E77">
        <w:rPr>
          <w:color w:val="000000"/>
        </w:rPr>
        <w:lastRenderedPageBreak/>
        <w:t xml:space="preserve">En este sentido, se aprecia que mediante informe justificado entregó los nombramientos de las personas enlistadas en la respuesta, </w:t>
      </w:r>
      <w:r w:rsidR="00677498" w:rsidRPr="001C4E77">
        <w:rPr>
          <w:color w:val="000000"/>
        </w:rPr>
        <w:t xml:space="preserve">lo cual se traduce a los documentos que dan cuenta de la información solicitada; </w:t>
      </w:r>
      <w:r w:rsidR="00677498" w:rsidRPr="001C4E77">
        <w:t>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7C0650FF" w14:textId="77777777" w:rsidR="00677498" w:rsidRPr="001C4E77" w:rsidRDefault="00677498" w:rsidP="00677498">
      <w:pPr>
        <w:spacing w:after="0" w:line="360" w:lineRule="auto"/>
      </w:pPr>
    </w:p>
    <w:p w14:paraId="195E2F2A" w14:textId="77777777" w:rsidR="00677498" w:rsidRPr="001C4E77" w:rsidRDefault="00677498" w:rsidP="00677498">
      <w:pPr>
        <w:spacing w:after="0" w:line="360" w:lineRule="auto"/>
      </w:pPr>
      <w:r w:rsidRPr="001C4E77">
        <w:t xml:space="preserve">De esta manera, el derecho de acceso a la información pública se satisface en aquellos casos en que se entregue el soporte documental en el que conste la información solicitada, sin necesidad de elaborar documentos </w:t>
      </w:r>
      <w:r w:rsidRPr="001C4E77">
        <w:rPr>
          <w:i/>
          <w:iCs/>
        </w:rPr>
        <w:t>ad hoc</w:t>
      </w:r>
      <w:r w:rsidRPr="001C4E77">
        <w:t>; lo cual, de conformidad con en el artículo 160 de la Ley de Transparencia y Acceso a la Información Pública del Estado de México y Municipios, el cual refiere que los sujetos obligados deberán entregar la información que obre en sus archivos.</w:t>
      </w:r>
    </w:p>
    <w:p w14:paraId="4D4420B8" w14:textId="77777777" w:rsidR="00677498" w:rsidRPr="001C4E77" w:rsidRDefault="00677498" w:rsidP="00677498">
      <w:pPr>
        <w:spacing w:after="0" w:line="360" w:lineRule="auto"/>
      </w:pPr>
    </w:p>
    <w:p w14:paraId="49A8111A" w14:textId="29BC6317" w:rsidR="00677498" w:rsidRPr="001C4E77" w:rsidRDefault="00677498" w:rsidP="00677498">
      <w:pPr>
        <w:tabs>
          <w:tab w:val="left" w:pos="3962"/>
        </w:tabs>
        <w:spacing w:after="0" w:line="360" w:lineRule="auto"/>
        <w:rPr>
          <w:rFonts w:eastAsia="Calibri" w:cs="Tahoma"/>
          <w:bCs/>
          <w:lang w:eastAsia="en-US"/>
        </w:rPr>
      </w:pPr>
      <w:r w:rsidRPr="001C4E77">
        <w:t xml:space="preserve">De tales circunstancias, se concluye que los sujetos obligados únicamente se encuentran constreñidos a proporcionar los documentos que den cuenta de la información solicitada, como obren en sus archivos, sin tener que elaborarlos a las necesidades de la persona Recurrente; lo cual aconteció pues proporcionó los nombramientos de las personas referidas en respuesta y, </w:t>
      </w:r>
      <w:r w:rsidRPr="001C4E77">
        <w:rPr>
          <w:rFonts w:eastAsia="Calibri" w:cs="Tahoma"/>
          <w:bCs/>
          <w:lang w:eastAsia="en-US"/>
        </w:rPr>
        <w:t>por lo tanto, se considera que la impugnación que se dirime ha quedado sin materia.</w:t>
      </w:r>
    </w:p>
    <w:p w14:paraId="62F73BC3" w14:textId="77777777" w:rsidR="00677498" w:rsidRPr="001C4E77" w:rsidRDefault="00677498">
      <w:pPr>
        <w:spacing w:after="0" w:line="360" w:lineRule="auto"/>
        <w:rPr>
          <w:color w:val="000000"/>
        </w:rPr>
      </w:pPr>
    </w:p>
    <w:p w14:paraId="3CC75891" w14:textId="77777777" w:rsidR="00EC3673" w:rsidRPr="001C4E77" w:rsidRDefault="00E84870">
      <w:pPr>
        <w:pStyle w:val="Ttulo2"/>
        <w:spacing w:before="0" w:after="0"/>
        <w:rPr>
          <w:b w:val="0"/>
          <w:color w:val="000000"/>
        </w:rPr>
      </w:pPr>
      <w:bookmarkStart w:id="13" w:name="_Toc209707945"/>
      <w:r w:rsidRPr="001C4E77">
        <w:rPr>
          <w:color w:val="000000"/>
        </w:rPr>
        <w:t>CUARTO. Decisión</w:t>
      </w:r>
      <w:bookmarkEnd w:id="13"/>
    </w:p>
    <w:p w14:paraId="469D7536" w14:textId="77777777" w:rsidR="00EC3673" w:rsidRPr="001C4E77" w:rsidRDefault="00EC3673">
      <w:pPr>
        <w:spacing w:after="0" w:line="360" w:lineRule="auto"/>
        <w:rPr>
          <w:b/>
        </w:rPr>
      </w:pPr>
    </w:p>
    <w:p w14:paraId="21A67DD9" w14:textId="77777777" w:rsidR="00EC3673" w:rsidRPr="001C4E77" w:rsidRDefault="00E84870">
      <w:pPr>
        <w:spacing w:after="0" w:line="360" w:lineRule="auto"/>
        <w:rPr>
          <w:bCs/>
        </w:rPr>
      </w:pPr>
      <w:r w:rsidRPr="001C4E77">
        <w:t xml:space="preserve">Con fundamento en lo dispuesto en el artículo 186, fracción I de la Ley de Transparencia y Acceso a la Información Pública del Estado de México y Municipios, se considera procedente </w:t>
      </w:r>
      <w:r w:rsidRPr="001C4E77">
        <w:rPr>
          <w:b/>
        </w:rPr>
        <w:t xml:space="preserve">SOBRESEER </w:t>
      </w:r>
      <w:r w:rsidRPr="001C4E77">
        <w:t xml:space="preserve">el Recurso de Revisión </w:t>
      </w:r>
      <w:r w:rsidRPr="001C4E77">
        <w:rPr>
          <w:bCs/>
        </w:rPr>
        <w:t xml:space="preserve">09016/INFOEM/IP/RR/2025, al modificar la respuesta a la solicitud de acceso a la información con número de folio 00548/ECATEPEC/IP/2025. </w:t>
      </w:r>
    </w:p>
    <w:p w14:paraId="4C1EAB1E" w14:textId="46269D3D" w:rsidR="00EC3673" w:rsidRPr="001C4E77" w:rsidRDefault="00E84870">
      <w:pPr>
        <w:spacing w:after="0" w:line="360" w:lineRule="auto"/>
        <w:rPr>
          <w:b/>
          <w:u w:val="single"/>
        </w:rPr>
      </w:pPr>
      <w:r w:rsidRPr="001C4E77">
        <w:rPr>
          <w:b/>
          <w:u w:val="single"/>
        </w:rPr>
        <w:lastRenderedPageBreak/>
        <w:t>Términos de la Resolución para conocimiento de la parte Recurrente</w:t>
      </w:r>
    </w:p>
    <w:p w14:paraId="4F977EB5" w14:textId="77777777" w:rsidR="00EC3673" w:rsidRPr="001C4E77" w:rsidRDefault="00EC3673">
      <w:pPr>
        <w:spacing w:after="0" w:line="360" w:lineRule="auto"/>
        <w:rPr>
          <w:b/>
        </w:rPr>
      </w:pPr>
    </w:p>
    <w:p w14:paraId="01E4B34F" w14:textId="77777777" w:rsidR="00EC3673" w:rsidRPr="001C4E77" w:rsidRDefault="00E84870">
      <w:pPr>
        <w:spacing w:after="0" w:line="360" w:lineRule="auto"/>
        <w:rPr>
          <w:u w:val="single"/>
        </w:rPr>
      </w:pPr>
      <w:r w:rsidRPr="001C4E77">
        <w:rPr>
          <w:u w:val="single"/>
        </w:rPr>
        <w:t>Se le hace del conocimiento de la parte Recurrente que, el Sujeto Obligado mediante informe justificado, proporcionó los nombramientos solicitados, por lo que modificó la respuesta inicial para satisfacer su requerimiento, en consecuencia, se determinó concluir el presente asunto.</w:t>
      </w:r>
    </w:p>
    <w:p w14:paraId="3DBF911A" w14:textId="77777777" w:rsidR="00EC3673" w:rsidRPr="001C4E77" w:rsidRDefault="00EC3673">
      <w:pPr>
        <w:spacing w:after="0" w:line="360" w:lineRule="auto"/>
        <w:rPr>
          <w:u w:val="single"/>
        </w:rPr>
      </w:pPr>
    </w:p>
    <w:p w14:paraId="792E5D26" w14:textId="77777777" w:rsidR="00EC3673" w:rsidRPr="001C4E77" w:rsidRDefault="00E84870">
      <w:pPr>
        <w:spacing w:after="0" w:line="360" w:lineRule="auto"/>
        <w:rPr>
          <w:color w:val="0D0D0D"/>
          <w:u w:val="single"/>
        </w:rPr>
      </w:pPr>
      <w:r w:rsidRPr="001C4E77">
        <w:rPr>
          <w:color w:val="0D0D0D"/>
          <w:u w:val="single"/>
        </w:rPr>
        <w:t xml:space="preserve">Finalmente, se le informa que la </w:t>
      </w:r>
      <w:r w:rsidRPr="001C4E77">
        <w:rPr>
          <w:u w:val="single"/>
        </w:rPr>
        <w:t>labor de este Instituto de Transparencia, Acceso a la Información Pública y Protección de Datos Personales del Estado de México y Municipios, es apoyar a la población a acceder a la información pública y garantizar la protección de los datos personales.</w:t>
      </w:r>
    </w:p>
    <w:p w14:paraId="02B86F52" w14:textId="77777777" w:rsidR="00EC3673" w:rsidRPr="001C4E77" w:rsidRDefault="00EC3673">
      <w:pPr>
        <w:spacing w:after="0" w:line="360" w:lineRule="auto"/>
        <w:rPr>
          <w:u w:val="single"/>
        </w:rPr>
      </w:pPr>
    </w:p>
    <w:p w14:paraId="789361A5" w14:textId="77777777" w:rsidR="00EC3673" w:rsidRPr="001C4E77" w:rsidRDefault="00E84870">
      <w:pPr>
        <w:spacing w:after="0" w:line="360" w:lineRule="auto"/>
      </w:pPr>
      <w:r w:rsidRPr="001C4E77">
        <w:t>Por lo expuesto y fundado, este Pleno:</w:t>
      </w:r>
    </w:p>
    <w:p w14:paraId="3251F25D" w14:textId="77777777" w:rsidR="00EC3673" w:rsidRPr="001C4E77" w:rsidRDefault="00EC3673">
      <w:pPr>
        <w:spacing w:after="0" w:line="360" w:lineRule="auto"/>
      </w:pPr>
    </w:p>
    <w:p w14:paraId="0CCBB44D" w14:textId="77777777" w:rsidR="00EC3673" w:rsidRPr="001C4E77" w:rsidRDefault="00E84870">
      <w:pPr>
        <w:pStyle w:val="Ttulo1"/>
        <w:spacing w:before="0" w:after="0"/>
        <w:rPr>
          <w:sz w:val="22"/>
          <w:szCs w:val="22"/>
        </w:rPr>
      </w:pPr>
      <w:bookmarkStart w:id="14" w:name="_Toc209707946"/>
      <w:r w:rsidRPr="001C4E77">
        <w:rPr>
          <w:sz w:val="22"/>
          <w:szCs w:val="22"/>
        </w:rPr>
        <w:t>R E S U E L V E</w:t>
      </w:r>
      <w:bookmarkEnd w:id="14"/>
    </w:p>
    <w:p w14:paraId="7DD0B1A1" w14:textId="77777777" w:rsidR="00EC3673" w:rsidRPr="001C4E77" w:rsidRDefault="00EC3673">
      <w:pPr>
        <w:spacing w:after="0" w:line="360" w:lineRule="auto"/>
      </w:pPr>
    </w:p>
    <w:p w14:paraId="4A3B6E84" w14:textId="77777777" w:rsidR="00EC3673" w:rsidRPr="001C4E77" w:rsidRDefault="00E84870">
      <w:pPr>
        <w:spacing w:after="0" w:line="360" w:lineRule="auto"/>
        <w:rPr>
          <w:b/>
        </w:rPr>
      </w:pPr>
      <w:bookmarkStart w:id="15" w:name="_heading=h.99grdyftjgjp" w:colFirst="0" w:colLast="0"/>
      <w:bookmarkEnd w:id="15"/>
      <w:r w:rsidRPr="001C4E77">
        <w:rPr>
          <w:b/>
        </w:rPr>
        <w:t xml:space="preserve">PRIMERO. </w:t>
      </w:r>
      <w:r w:rsidRPr="001C4E77">
        <w:t xml:space="preserve">Se </w:t>
      </w:r>
      <w:r w:rsidRPr="001C4E77">
        <w:rPr>
          <w:b/>
        </w:rPr>
        <w:t xml:space="preserve">SOBRESEE </w:t>
      </w:r>
      <w:r w:rsidRPr="001C4E77">
        <w:t>el Recurso de Revisión con número</w:t>
      </w:r>
      <w:r w:rsidRPr="001C4E77">
        <w:rPr>
          <w:b/>
        </w:rPr>
        <w:t xml:space="preserve"> 09016/INFOEM/IP/RR/2025</w:t>
      </w:r>
      <w:r w:rsidRPr="001C4E77">
        <w:t>, en términos del artículo 192, fracción III, de la Ley de Transparencia y Acceso a la Información Pública del Estado de México y Municipios,</w:t>
      </w:r>
      <w:r w:rsidRPr="001C4E77">
        <w:rPr>
          <w:b/>
        </w:rPr>
        <w:t xml:space="preserve"> </w:t>
      </w:r>
      <w:r w:rsidRPr="001C4E77">
        <w:t>porque el Sujeto Obligado, al modificar la respuesta a la solicitud de acceso a la información,</w:t>
      </w:r>
      <w:r w:rsidRPr="001C4E77">
        <w:rPr>
          <w:b/>
        </w:rPr>
        <w:t xml:space="preserve"> </w:t>
      </w:r>
      <w:r w:rsidRPr="001C4E77">
        <w:t>el Medio de Impugnación, quedó sin materia, en términos de los Considerandos</w:t>
      </w:r>
      <w:r w:rsidRPr="001C4E77">
        <w:rPr>
          <w:b/>
        </w:rPr>
        <w:t xml:space="preserve"> TERCERO </w:t>
      </w:r>
      <w:r w:rsidRPr="001C4E77">
        <w:t>y</w:t>
      </w:r>
      <w:r w:rsidRPr="001C4E77">
        <w:rPr>
          <w:b/>
        </w:rPr>
        <w:t xml:space="preserve"> CUARTO </w:t>
      </w:r>
      <w:r w:rsidRPr="001C4E77">
        <w:t>de la presente Resolución.</w:t>
      </w:r>
    </w:p>
    <w:p w14:paraId="650B8F8C" w14:textId="77777777" w:rsidR="00EC3673" w:rsidRPr="001C4E77" w:rsidRDefault="00EC3673">
      <w:pPr>
        <w:spacing w:after="0" w:line="360" w:lineRule="auto"/>
        <w:rPr>
          <w:b/>
          <w:i/>
        </w:rPr>
      </w:pPr>
    </w:p>
    <w:p w14:paraId="078EE6A6" w14:textId="77777777" w:rsidR="00EC3673" w:rsidRPr="001C4E77" w:rsidRDefault="00E84870">
      <w:pPr>
        <w:spacing w:after="0" w:line="360" w:lineRule="auto"/>
        <w:rPr>
          <w:b/>
        </w:rPr>
      </w:pPr>
      <w:r w:rsidRPr="001C4E77">
        <w:rPr>
          <w:b/>
        </w:rPr>
        <w:t xml:space="preserve">SEGUNDO. NOTIFÍQUESE POR SAIMEX </w:t>
      </w:r>
      <w:r w:rsidRPr="001C4E77">
        <w:t>la presente Resolución al Titular de la Unidad de Transparencia del Sujeto Obligado.</w:t>
      </w:r>
    </w:p>
    <w:p w14:paraId="10331A4A" w14:textId="77777777" w:rsidR="00EC3673" w:rsidRPr="001C4E77" w:rsidRDefault="00EC3673">
      <w:pPr>
        <w:spacing w:after="0" w:line="360" w:lineRule="auto"/>
        <w:rPr>
          <w:b/>
          <w:i/>
        </w:rPr>
      </w:pPr>
    </w:p>
    <w:p w14:paraId="13845444" w14:textId="77777777" w:rsidR="00EC3673" w:rsidRPr="001C4E77" w:rsidRDefault="00E84870">
      <w:pPr>
        <w:spacing w:after="0" w:line="360" w:lineRule="auto"/>
        <w:rPr>
          <w:b/>
        </w:rPr>
      </w:pPr>
      <w:r w:rsidRPr="001C4E77">
        <w:rPr>
          <w:b/>
        </w:rPr>
        <w:t xml:space="preserve">TERCERO. NOTIFÍQUESE POR SAIMEX </w:t>
      </w:r>
      <w:r w:rsidRPr="001C4E77">
        <w:t xml:space="preserve">a la persona Recurrente la presente Resolución, asimismo, se hace de su conocimiento que de conformidad con lo establecido en el artículo 196 </w:t>
      </w:r>
      <w:r w:rsidRPr="001C4E77">
        <w:lastRenderedPageBreak/>
        <w:t>de la Ley de Transparencia y Acceso a la Información Pública del Estado de México y Municipios podrá promover el Juicio de Amparo en los términos de las leyes aplicables.</w:t>
      </w:r>
    </w:p>
    <w:p w14:paraId="0799D03C" w14:textId="77777777" w:rsidR="00EC3673" w:rsidRPr="001C4E77" w:rsidRDefault="00EC3673">
      <w:pPr>
        <w:spacing w:after="0" w:line="360" w:lineRule="auto"/>
      </w:pPr>
    </w:p>
    <w:p w14:paraId="32D63A15" w14:textId="04E8CA28" w:rsidR="00EC3673" w:rsidRDefault="00E84870">
      <w:pPr>
        <w:spacing w:after="0" w:line="360" w:lineRule="auto"/>
      </w:pPr>
      <w:r w:rsidRPr="001C4E77">
        <w:t xml:space="preserve">ASÍ LO RESUELVE, POR </w:t>
      </w:r>
      <w:r w:rsidRPr="001C4E77">
        <w:rPr>
          <w:b/>
        </w:rPr>
        <w:t>UNANIMIDAD</w:t>
      </w:r>
      <w:r w:rsidRPr="001C4E77">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1C4E77">
        <w:t xml:space="preserve"> </w:t>
      </w:r>
      <w:r w:rsidRPr="001C4E77">
        <w:t>Y GUADALUPE RAMÍREZ PEÑA, EN LA TRIGÉSIMA CUARTA SESIÓN ORDINARIA, CELEBRADA EL VEINTICUATRO DE SEPTIEMBRE DE DOS MIL VEINTICINCO, ANTE EL SECRETARIO TÉCNICO DEL PLENO, ALEXIS TAPIA RAMÍREZ.</w:t>
      </w:r>
    </w:p>
    <w:p w14:paraId="5F7EF884" w14:textId="77777777" w:rsidR="00EC3673" w:rsidRDefault="00EC3673">
      <w:pPr>
        <w:pStyle w:val="Ttulo2"/>
        <w:spacing w:before="0" w:after="0"/>
        <w:rPr>
          <w:b w:val="0"/>
        </w:rPr>
      </w:pPr>
    </w:p>
    <w:p w14:paraId="2510C555" w14:textId="77777777" w:rsidR="00EC3673" w:rsidRDefault="00EC3673">
      <w:pPr>
        <w:spacing w:after="0" w:line="360" w:lineRule="auto"/>
      </w:pPr>
    </w:p>
    <w:p w14:paraId="0F6F1E81" w14:textId="77777777" w:rsidR="00EC3673" w:rsidRDefault="00EC3673">
      <w:pPr>
        <w:spacing w:after="0" w:line="360" w:lineRule="auto"/>
      </w:pPr>
    </w:p>
    <w:p w14:paraId="34F1FF6C" w14:textId="77777777" w:rsidR="00EC3673" w:rsidRDefault="00EC3673">
      <w:pPr>
        <w:spacing w:after="0" w:line="360" w:lineRule="auto"/>
      </w:pPr>
    </w:p>
    <w:p w14:paraId="42E0B3CB" w14:textId="77777777" w:rsidR="00EC3673" w:rsidRDefault="00EC3673">
      <w:pPr>
        <w:spacing w:after="0" w:line="360" w:lineRule="auto"/>
      </w:pPr>
    </w:p>
    <w:p w14:paraId="415E3941" w14:textId="77777777" w:rsidR="00EC3673" w:rsidRDefault="00EC3673">
      <w:pPr>
        <w:spacing w:after="0" w:line="360" w:lineRule="auto"/>
      </w:pPr>
    </w:p>
    <w:p w14:paraId="56C74987" w14:textId="77777777" w:rsidR="00EC3673" w:rsidRDefault="00EC3673">
      <w:pPr>
        <w:spacing w:after="0" w:line="360" w:lineRule="auto"/>
      </w:pPr>
    </w:p>
    <w:p w14:paraId="365CB4DB" w14:textId="77777777" w:rsidR="00EC3673" w:rsidRDefault="00EC3673">
      <w:pPr>
        <w:spacing w:after="0" w:line="360" w:lineRule="auto"/>
      </w:pPr>
    </w:p>
    <w:p w14:paraId="1D931638" w14:textId="77777777" w:rsidR="00EC3673" w:rsidRDefault="00EC3673">
      <w:pPr>
        <w:spacing w:after="0" w:line="360" w:lineRule="auto"/>
      </w:pPr>
    </w:p>
    <w:p w14:paraId="2EC821F6" w14:textId="77777777" w:rsidR="00EC3673" w:rsidRDefault="00EC3673">
      <w:pPr>
        <w:spacing w:after="0" w:line="360" w:lineRule="auto"/>
      </w:pPr>
    </w:p>
    <w:p w14:paraId="4ECB9602" w14:textId="77777777" w:rsidR="00EC3673" w:rsidRDefault="00EC3673">
      <w:pPr>
        <w:spacing w:after="0" w:line="360" w:lineRule="auto"/>
      </w:pPr>
    </w:p>
    <w:p w14:paraId="7346BB0B" w14:textId="77777777" w:rsidR="00EC3673" w:rsidRDefault="00EC3673">
      <w:pPr>
        <w:spacing w:after="0" w:line="360" w:lineRule="auto"/>
      </w:pPr>
    </w:p>
    <w:p w14:paraId="7B82798C" w14:textId="77777777" w:rsidR="00EC3673" w:rsidRDefault="00EC3673">
      <w:pPr>
        <w:spacing w:after="0" w:line="360" w:lineRule="auto"/>
      </w:pPr>
    </w:p>
    <w:p w14:paraId="577DE6EB" w14:textId="77777777" w:rsidR="00EC3673" w:rsidRDefault="00EC3673">
      <w:pPr>
        <w:spacing w:after="0" w:line="360" w:lineRule="auto"/>
      </w:pPr>
    </w:p>
    <w:p w14:paraId="1410B757" w14:textId="77777777" w:rsidR="00EC3673" w:rsidRDefault="00EC3673">
      <w:pPr>
        <w:spacing w:after="0" w:line="360" w:lineRule="auto"/>
      </w:pPr>
    </w:p>
    <w:p w14:paraId="605642A5" w14:textId="77777777" w:rsidR="00EC3673" w:rsidRDefault="00EC3673">
      <w:pPr>
        <w:spacing w:after="0" w:line="360" w:lineRule="auto"/>
      </w:pPr>
    </w:p>
    <w:p w14:paraId="68479D10" w14:textId="77777777" w:rsidR="00EC3673" w:rsidRDefault="00EC3673">
      <w:pPr>
        <w:spacing w:after="0" w:line="360" w:lineRule="auto"/>
      </w:pPr>
    </w:p>
    <w:p w14:paraId="1E6168F3" w14:textId="77777777" w:rsidR="00EC3673" w:rsidRDefault="00EC3673">
      <w:pPr>
        <w:spacing w:after="0" w:line="360" w:lineRule="auto"/>
      </w:pPr>
    </w:p>
    <w:p w14:paraId="1A03E89A" w14:textId="77777777" w:rsidR="00EC3673" w:rsidRDefault="00EC3673">
      <w:pPr>
        <w:spacing w:after="0" w:line="360" w:lineRule="auto"/>
      </w:pPr>
    </w:p>
    <w:p w14:paraId="22FF29DF" w14:textId="77777777" w:rsidR="00EC3673" w:rsidRDefault="00EC3673">
      <w:pPr>
        <w:spacing w:after="0" w:line="360" w:lineRule="auto"/>
      </w:pPr>
    </w:p>
    <w:p w14:paraId="31F62641" w14:textId="77777777" w:rsidR="00EC3673" w:rsidRDefault="00EC3673">
      <w:pPr>
        <w:spacing w:after="0" w:line="360" w:lineRule="auto"/>
      </w:pPr>
    </w:p>
    <w:p w14:paraId="4B266813" w14:textId="77777777" w:rsidR="00EC3673" w:rsidRDefault="00EC3673">
      <w:pPr>
        <w:spacing w:after="0" w:line="360" w:lineRule="auto"/>
      </w:pPr>
    </w:p>
    <w:p w14:paraId="1B73804A" w14:textId="77777777" w:rsidR="00EC3673" w:rsidRDefault="00EC3673">
      <w:pPr>
        <w:spacing w:after="0" w:line="360" w:lineRule="auto"/>
      </w:pPr>
    </w:p>
    <w:p w14:paraId="390D5320" w14:textId="77777777" w:rsidR="00EC3673" w:rsidRDefault="00EC3673">
      <w:pPr>
        <w:spacing w:after="0" w:line="360" w:lineRule="auto"/>
      </w:pPr>
    </w:p>
    <w:sectPr w:rsidR="00EC3673">
      <w:headerReference w:type="even" r:id="rId12"/>
      <w:headerReference w:type="default" r:id="rId13"/>
      <w:footerReference w:type="even" r:id="rId14"/>
      <w:footerReference w:type="default" r:id="rId15"/>
      <w:headerReference w:type="first" r:id="rId16"/>
      <w:footerReference w:type="first" r:id="rId17"/>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7D0F9" w14:textId="77777777" w:rsidR="00A040F6" w:rsidRDefault="00A040F6">
      <w:pPr>
        <w:spacing w:after="0" w:line="240" w:lineRule="auto"/>
      </w:pPr>
      <w:r>
        <w:separator/>
      </w:r>
    </w:p>
  </w:endnote>
  <w:endnote w:type="continuationSeparator" w:id="0">
    <w:p w14:paraId="7CB4BFEC" w14:textId="77777777" w:rsidR="00A040F6" w:rsidRDefault="00A04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4892AE72-5DE2-4539-9945-B80CB59EA3C8}"/>
    <w:embedBold r:id="rId2" w:fontKey="{C2D67C6E-8272-4309-BF00-418E2A08FDD7}"/>
    <w:embedItalic r:id="rId3" w:fontKey="{4DA756F1-EDF0-4974-BCDB-4BABB55A8062}"/>
    <w:embedBoldItalic r:id="rId4" w:fontKey="{935C29F0-E14B-4853-8747-5E9EB3FE38F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B3AD8DF6-FD71-4E3A-9B19-14642C60CDCE}"/>
  </w:font>
  <w:font w:name="Georgia">
    <w:panose1 w:val="02040502050405020303"/>
    <w:charset w:val="00"/>
    <w:family w:val="roman"/>
    <w:pitch w:val="variable"/>
    <w:sig w:usb0="00000287" w:usb1="00000000" w:usb2="00000000" w:usb3="00000000" w:csb0="0000009F" w:csb1="00000000"/>
    <w:embedRegular r:id="rId6" w:fontKey="{E8942A31-34DD-462B-A2A7-F80B3C93A927}"/>
    <w:embedItalic r:id="rId7" w:fontKey="{98326841-7050-4648-89A1-F7327E9AF6A9}"/>
  </w:font>
  <w:font w:name="Calibri">
    <w:panose1 w:val="020F0502020204030204"/>
    <w:charset w:val="00"/>
    <w:family w:val="swiss"/>
    <w:pitch w:val="variable"/>
    <w:sig w:usb0="E4002EFF" w:usb1="C200247B" w:usb2="00000009" w:usb3="00000000" w:csb0="000001FF" w:csb1="00000000"/>
    <w:embedRegular r:id="rId8" w:fontKey="{DC03033A-37A1-4908-B631-ED5557C1384A}"/>
  </w:font>
  <w:font w:name="Tahoma">
    <w:panose1 w:val="020B0604030504040204"/>
    <w:charset w:val="00"/>
    <w:family w:val="swiss"/>
    <w:pitch w:val="variable"/>
    <w:sig w:usb0="E1002EFF" w:usb1="C000605B" w:usb2="00000029" w:usb3="00000000" w:csb0="000101FF" w:csb1="00000000"/>
    <w:embedBold r:id="rId9" w:fontKey="{FEFB4F01-A6F5-4691-8982-4278BEC01A3B}"/>
  </w:font>
  <w:font w:name="Garamond">
    <w:panose1 w:val="02020404030301010803"/>
    <w:charset w:val="00"/>
    <w:family w:val="roman"/>
    <w:pitch w:val="variable"/>
    <w:sig w:usb0="00000287" w:usb1="00000000" w:usb2="00000000" w:usb3="00000000" w:csb0="0000009F" w:csb1="00000000"/>
    <w:embedRegular r:id="rId10" w:fontKey="{6F9E7640-E1BD-4A73-9CBB-5D6F3A556F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5D89B" w14:textId="77777777" w:rsidR="00EC3673" w:rsidRDefault="00E8487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264DF">
      <w:rPr>
        <w:b/>
        <w:noProof/>
        <w:color w:val="000000"/>
        <w:sz w:val="24"/>
        <w:szCs w:val="24"/>
      </w:rPr>
      <w:t>18</w:t>
    </w:r>
    <w:r>
      <w:rPr>
        <w:b/>
        <w:color w:val="000000"/>
        <w:sz w:val="24"/>
        <w:szCs w:val="24"/>
      </w:rPr>
      <w:fldChar w:fldCharType="end"/>
    </w:r>
  </w:p>
  <w:p w14:paraId="24D38A0D" w14:textId="77777777" w:rsidR="00EC3673" w:rsidRDefault="00EC367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C0FC6" w14:textId="490771A1" w:rsidR="00EC3673" w:rsidRDefault="00E8487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264DF">
      <w:rPr>
        <w:b/>
        <w:noProof/>
        <w:color w:val="000000"/>
        <w:sz w:val="24"/>
        <w:szCs w:val="24"/>
      </w:rPr>
      <w:t>17</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264DF">
      <w:rPr>
        <w:b/>
        <w:noProof/>
        <w:color w:val="000000"/>
        <w:sz w:val="24"/>
        <w:szCs w:val="24"/>
      </w:rPr>
      <w:t>18</w:t>
    </w:r>
    <w:r>
      <w:rPr>
        <w:b/>
        <w:color w:val="000000"/>
        <w:sz w:val="24"/>
        <w:szCs w:val="24"/>
      </w:rPr>
      <w:fldChar w:fldCharType="end"/>
    </w:r>
  </w:p>
  <w:p w14:paraId="42C5E2AA" w14:textId="77777777" w:rsidR="00EC3673" w:rsidRDefault="00EC367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44733" w14:textId="77777777" w:rsidR="00EC3673" w:rsidRDefault="00E8487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264D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264DF">
      <w:rPr>
        <w:b/>
        <w:noProof/>
        <w:color w:val="000000"/>
        <w:sz w:val="24"/>
        <w:szCs w:val="24"/>
      </w:rPr>
      <w:t>18</w:t>
    </w:r>
    <w:r>
      <w:rPr>
        <w:b/>
        <w:color w:val="000000"/>
        <w:sz w:val="24"/>
        <w:szCs w:val="24"/>
      </w:rPr>
      <w:fldChar w:fldCharType="end"/>
    </w:r>
  </w:p>
  <w:p w14:paraId="531C531B" w14:textId="77777777" w:rsidR="00EC3673" w:rsidRDefault="00EC367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ED6DA" w14:textId="77777777" w:rsidR="00A040F6" w:rsidRDefault="00A040F6">
      <w:pPr>
        <w:spacing w:after="0" w:line="240" w:lineRule="auto"/>
      </w:pPr>
      <w:r>
        <w:separator/>
      </w:r>
    </w:p>
  </w:footnote>
  <w:footnote w:type="continuationSeparator" w:id="0">
    <w:p w14:paraId="22DEDA1C" w14:textId="77777777" w:rsidR="00A040F6" w:rsidRDefault="00A040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31F1D" w14:textId="77777777" w:rsidR="00EC3673" w:rsidRDefault="00EC3673">
    <w:pPr>
      <w:widowControl w:val="0"/>
      <w:pBdr>
        <w:top w:val="nil"/>
        <w:left w:val="nil"/>
        <w:bottom w:val="nil"/>
        <w:right w:val="nil"/>
        <w:between w:val="nil"/>
      </w:pBdr>
      <w:spacing w:after="0" w:line="276" w:lineRule="auto"/>
      <w:jc w:val="left"/>
      <w:rPr>
        <w:color w:val="000000"/>
      </w:rPr>
    </w:pPr>
  </w:p>
  <w:tbl>
    <w:tblPr>
      <w:tblStyle w:val="affffff6"/>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EC3673" w14:paraId="743F98C2" w14:textId="77777777">
      <w:trPr>
        <w:trHeight w:val="141"/>
      </w:trPr>
      <w:tc>
        <w:tcPr>
          <w:tcW w:w="2404" w:type="dxa"/>
        </w:tcPr>
        <w:p w14:paraId="0F8D6EDC" w14:textId="77777777" w:rsidR="00EC3673" w:rsidRDefault="00E84870">
          <w:pPr>
            <w:tabs>
              <w:tab w:val="right" w:pos="8838"/>
            </w:tabs>
            <w:ind w:right="-105"/>
            <w:rPr>
              <w:b/>
            </w:rPr>
          </w:pPr>
          <w:r>
            <w:rPr>
              <w:b/>
            </w:rPr>
            <w:t>Recurso de Revisión:</w:t>
          </w:r>
        </w:p>
      </w:tc>
      <w:tc>
        <w:tcPr>
          <w:tcW w:w="3587" w:type="dxa"/>
        </w:tcPr>
        <w:p w14:paraId="3FE2A0CC" w14:textId="77777777" w:rsidR="00EC3673" w:rsidRDefault="00E84870">
          <w:pPr>
            <w:tabs>
              <w:tab w:val="right" w:pos="8838"/>
            </w:tabs>
            <w:ind w:left="-28" w:right="683"/>
          </w:pPr>
          <w:r>
            <w:t>04196/INFOEM/IP/RR/2020</w:t>
          </w:r>
        </w:p>
      </w:tc>
    </w:tr>
    <w:tr w:rsidR="00EC3673" w14:paraId="320641E4" w14:textId="77777777">
      <w:trPr>
        <w:trHeight w:val="276"/>
      </w:trPr>
      <w:tc>
        <w:tcPr>
          <w:tcW w:w="2404" w:type="dxa"/>
        </w:tcPr>
        <w:p w14:paraId="46D444D6" w14:textId="77777777" w:rsidR="00EC3673" w:rsidRDefault="00E84870">
          <w:pPr>
            <w:tabs>
              <w:tab w:val="right" w:pos="8838"/>
            </w:tabs>
            <w:ind w:right="-105"/>
            <w:rPr>
              <w:b/>
            </w:rPr>
          </w:pPr>
          <w:r>
            <w:rPr>
              <w:b/>
            </w:rPr>
            <w:t>Sujeto Obligado:</w:t>
          </w:r>
        </w:p>
      </w:tc>
      <w:tc>
        <w:tcPr>
          <w:tcW w:w="3587" w:type="dxa"/>
        </w:tcPr>
        <w:p w14:paraId="5861910B" w14:textId="77777777" w:rsidR="00EC3673" w:rsidRDefault="00E84870">
          <w:pPr>
            <w:tabs>
              <w:tab w:val="right" w:pos="8838"/>
            </w:tabs>
            <w:ind w:right="116"/>
          </w:pPr>
          <w:r>
            <w:t>Ayuntamiento de Chapultepec</w:t>
          </w:r>
        </w:p>
      </w:tc>
    </w:tr>
    <w:tr w:rsidR="00EC3673" w14:paraId="3E7954C2" w14:textId="77777777">
      <w:trPr>
        <w:trHeight w:val="276"/>
      </w:trPr>
      <w:tc>
        <w:tcPr>
          <w:tcW w:w="2404" w:type="dxa"/>
        </w:tcPr>
        <w:p w14:paraId="351A9B13" w14:textId="77777777" w:rsidR="00EC3673" w:rsidRDefault="00E84870">
          <w:pPr>
            <w:tabs>
              <w:tab w:val="right" w:pos="8838"/>
            </w:tabs>
            <w:ind w:right="-105"/>
            <w:rPr>
              <w:b/>
            </w:rPr>
          </w:pPr>
          <w:r>
            <w:rPr>
              <w:b/>
            </w:rPr>
            <w:t>Comisionado Ponente:</w:t>
          </w:r>
        </w:p>
      </w:tc>
      <w:tc>
        <w:tcPr>
          <w:tcW w:w="3587" w:type="dxa"/>
        </w:tcPr>
        <w:p w14:paraId="58BBFA2C" w14:textId="77777777" w:rsidR="00EC3673" w:rsidRDefault="00E84870">
          <w:pPr>
            <w:tabs>
              <w:tab w:val="right" w:pos="8838"/>
            </w:tabs>
            <w:ind w:right="-32"/>
          </w:pPr>
          <w:r>
            <w:t>Luis Gustavo Parra Noriega</w:t>
          </w:r>
        </w:p>
      </w:tc>
    </w:tr>
  </w:tbl>
  <w:p w14:paraId="4FB56A19" w14:textId="77777777" w:rsidR="00EC3673"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1C46D4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0348B" w14:textId="77777777" w:rsidR="00EC3673" w:rsidRDefault="00EC3673">
    <w:pPr>
      <w:rPr>
        <w:sz w:val="16"/>
        <w:szCs w:val="16"/>
      </w:rPr>
    </w:pPr>
  </w:p>
  <w:tbl>
    <w:tblPr>
      <w:tblStyle w:val="affffff7"/>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EC3673" w14:paraId="55B99AB4" w14:textId="77777777">
      <w:trPr>
        <w:trHeight w:val="141"/>
      </w:trPr>
      <w:tc>
        <w:tcPr>
          <w:tcW w:w="2409" w:type="dxa"/>
        </w:tcPr>
        <w:p w14:paraId="717CB45A" w14:textId="77777777" w:rsidR="00EC3673" w:rsidRDefault="00E84870">
          <w:pPr>
            <w:tabs>
              <w:tab w:val="right" w:pos="8838"/>
            </w:tabs>
            <w:ind w:left="-395" w:right="-105" w:firstLine="395"/>
            <w:rPr>
              <w:b/>
            </w:rPr>
          </w:pPr>
          <w:r>
            <w:rPr>
              <w:b/>
            </w:rPr>
            <w:t>Recurso de Revisión:</w:t>
          </w:r>
        </w:p>
      </w:tc>
      <w:tc>
        <w:tcPr>
          <w:tcW w:w="3686" w:type="dxa"/>
        </w:tcPr>
        <w:p w14:paraId="581FC446" w14:textId="77777777" w:rsidR="00EC3673" w:rsidRPr="00A16335" w:rsidRDefault="00E84870">
          <w:pPr>
            <w:tabs>
              <w:tab w:val="right" w:pos="8838"/>
            </w:tabs>
            <w:ind w:right="176"/>
            <w:rPr>
              <w:bCs/>
            </w:rPr>
          </w:pPr>
          <w:r w:rsidRPr="00A16335">
            <w:rPr>
              <w:bCs/>
            </w:rPr>
            <w:t>09016/INFOEM/IP/RR/2025</w:t>
          </w:r>
        </w:p>
      </w:tc>
    </w:tr>
    <w:tr w:rsidR="00EC3673" w14:paraId="24E265B8" w14:textId="77777777">
      <w:trPr>
        <w:trHeight w:val="276"/>
      </w:trPr>
      <w:tc>
        <w:tcPr>
          <w:tcW w:w="2409" w:type="dxa"/>
        </w:tcPr>
        <w:p w14:paraId="4C70CD19" w14:textId="77777777" w:rsidR="00EC3673" w:rsidRDefault="00E84870">
          <w:pPr>
            <w:tabs>
              <w:tab w:val="right" w:pos="8838"/>
            </w:tabs>
            <w:ind w:right="-105"/>
            <w:rPr>
              <w:b/>
            </w:rPr>
          </w:pPr>
          <w:r>
            <w:rPr>
              <w:b/>
            </w:rPr>
            <w:t>Sujeto Obligado:</w:t>
          </w:r>
        </w:p>
      </w:tc>
      <w:tc>
        <w:tcPr>
          <w:tcW w:w="3686" w:type="dxa"/>
        </w:tcPr>
        <w:p w14:paraId="1E790C87" w14:textId="77777777" w:rsidR="00EC3673" w:rsidRDefault="00E84870">
          <w:pPr>
            <w:tabs>
              <w:tab w:val="left" w:pos="3158"/>
              <w:tab w:val="left" w:pos="4292"/>
              <w:tab w:val="right" w:pos="8838"/>
            </w:tabs>
            <w:ind w:right="176"/>
          </w:pPr>
          <w:r>
            <w:t>Ayuntamiento de Ecatepec de Morelos</w:t>
          </w:r>
        </w:p>
      </w:tc>
    </w:tr>
    <w:tr w:rsidR="00EC3673" w14:paraId="3A400B4D" w14:textId="77777777">
      <w:trPr>
        <w:trHeight w:val="276"/>
      </w:trPr>
      <w:tc>
        <w:tcPr>
          <w:tcW w:w="2409" w:type="dxa"/>
        </w:tcPr>
        <w:p w14:paraId="1C65130C" w14:textId="77777777" w:rsidR="00EC3673" w:rsidRDefault="00E84870">
          <w:pPr>
            <w:tabs>
              <w:tab w:val="right" w:pos="8838"/>
            </w:tabs>
            <w:ind w:right="-105"/>
            <w:rPr>
              <w:b/>
            </w:rPr>
          </w:pPr>
          <w:r>
            <w:rPr>
              <w:b/>
            </w:rPr>
            <w:t>Comisionado Ponente:</w:t>
          </w:r>
        </w:p>
      </w:tc>
      <w:tc>
        <w:tcPr>
          <w:tcW w:w="3686" w:type="dxa"/>
        </w:tcPr>
        <w:p w14:paraId="6C98669C" w14:textId="77777777" w:rsidR="00EC3673" w:rsidRDefault="00E84870">
          <w:pPr>
            <w:tabs>
              <w:tab w:val="right" w:pos="8838"/>
            </w:tabs>
            <w:ind w:right="176"/>
          </w:pPr>
          <w:r>
            <w:t>Luis Gustavo Parra Noriega</w:t>
          </w:r>
        </w:p>
        <w:p w14:paraId="2DA551CE" w14:textId="77777777" w:rsidR="00EC3673" w:rsidRDefault="00EC3673">
          <w:pPr>
            <w:tabs>
              <w:tab w:val="right" w:pos="8838"/>
            </w:tabs>
            <w:ind w:right="176"/>
          </w:pPr>
        </w:p>
      </w:tc>
    </w:tr>
  </w:tbl>
  <w:p w14:paraId="45FE5D0B" w14:textId="77777777" w:rsidR="00EC3673"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15F81F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54ACE" w14:textId="77777777" w:rsidR="00EC3673" w:rsidRDefault="00000000">
    <w:pPr>
      <w:widowControl w:val="0"/>
      <w:pBdr>
        <w:top w:val="nil"/>
        <w:left w:val="nil"/>
        <w:bottom w:val="nil"/>
        <w:right w:val="nil"/>
        <w:between w:val="nil"/>
      </w:pBdr>
      <w:spacing w:after="0" w:line="276" w:lineRule="auto"/>
      <w:jc w:val="left"/>
      <w:rPr>
        <w:color w:val="000000"/>
      </w:rPr>
    </w:pPr>
    <w:r>
      <w:rPr>
        <w:color w:val="000000"/>
      </w:rPr>
      <w:pict w14:anchorId="7B1F8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4"/>
          <w10:wrap anchorx="margin" anchory="margin"/>
        </v:shape>
      </w:pict>
    </w:r>
  </w:p>
  <w:tbl>
    <w:tblPr>
      <w:tblStyle w:val="affffff8"/>
      <w:tblW w:w="9214" w:type="dxa"/>
      <w:tblInd w:w="0" w:type="dxa"/>
      <w:tblLayout w:type="fixed"/>
      <w:tblLook w:val="0400" w:firstRow="0" w:lastRow="0" w:firstColumn="0" w:lastColumn="0" w:noHBand="0" w:noVBand="1"/>
    </w:tblPr>
    <w:tblGrid>
      <w:gridCol w:w="2127"/>
      <w:gridCol w:w="7087"/>
    </w:tblGrid>
    <w:tr w:rsidR="00EC3673" w14:paraId="42AB46C0" w14:textId="77777777">
      <w:trPr>
        <w:trHeight w:val="1546"/>
      </w:trPr>
      <w:tc>
        <w:tcPr>
          <w:tcW w:w="2127" w:type="dxa"/>
        </w:tcPr>
        <w:p w14:paraId="47D393A2" w14:textId="77777777" w:rsidR="00EC3673" w:rsidRDefault="00EC3673">
          <w:pPr>
            <w:tabs>
              <w:tab w:val="right" w:pos="4273"/>
            </w:tabs>
            <w:rPr>
              <w:rFonts w:ascii="Garamond" w:eastAsia="Garamond" w:hAnsi="Garamond" w:cs="Garamond"/>
              <w:sz w:val="16"/>
              <w:szCs w:val="16"/>
            </w:rPr>
          </w:pPr>
        </w:p>
      </w:tc>
      <w:tc>
        <w:tcPr>
          <w:tcW w:w="7087" w:type="dxa"/>
        </w:tcPr>
        <w:p w14:paraId="1AD37CAE" w14:textId="77777777" w:rsidR="00EC3673" w:rsidRDefault="00EC3673">
          <w:pPr>
            <w:rPr>
              <w:sz w:val="10"/>
              <w:szCs w:val="10"/>
            </w:rPr>
          </w:pPr>
        </w:p>
        <w:tbl>
          <w:tblPr>
            <w:tblStyle w:val="affffff9"/>
            <w:tblW w:w="6525" w:type="dxa"/>
            <w:tblInd w:w="454" w:type="dxa"/>
            <w:tblLayout w:type="fixed"/>
            <w:tblLook w:val="0400" w:firstRow="0" w:lastRow="0" w:firstColumn="0" w:lastColumn="0" w:noHBand="0" w:noVBand="1"/>
          </w:tblPr>
          <w:tblGrid>
            <w:gridCol w:w="2500"/>
            <w:gridCol w:w="4025"/>
          </w:tblGrid>
          <w:tr w:rsidR="00EC3673" w14:paraId="3AE2A209" w14:textId="77777777">
            <w:trPr>
              <w:trHeight w:val="427"/>
            </w:trPr>
            <w:tc>
              <w:tcPr>
                <w:tcW w:w="2500" w:type="dxa"/>
                <w:vAlign w:val="bottom"/>
              </w:tcPr>
              <w:p w14:paraId="3E62D5FC" w14:textId="77777777" w:rsidR="00EC3673" w:rsidRDefault="00E84870">
                <w:pPr>
                  <w:tabs>
                    <w:tab w:val="right" w:pos="8838"/>
                  </w:tabs>
                  <w:ind w:right="-105"/>
                  <w:rPr>
                    <w:b/>
                  </w:rPr>
                </w:pPr>
                <w:r>
                  <w:rPr>
                    <w:b/>
                  </w:rPr>
                  <w:t>Recurso de Revisión:</w:t>
                </w:r>
              </w:p>
            </w:tc>
            <w:tc>
              <w:tcPr>
                <w:tcW w:w="4025" w:type="dxa"/>
              </w:tcPr>
              <w:p w14:paraId="70B7F5EB" w14:textId="77777777" w:rsidR="00EC3673" w:rsidRDefault="00EC3673">
                <w:pPr>
                  <w:tabs>
                    <w:tab w:val="right" w:pos="8838"/>
                  </w:tabs>
                  <w:ind w:left="-28" w:right="-107"/>
                  <w:rPr>
                    <w:b/>
                  </w:rPr>
                </w:pPr>
              </w:p>
              <w:p w14:paraId="5C621C40" w14:textId="77777777" w:rsidR="00EC3673" w:rsidRDefault="00E84870">
                <w:pPr>
                  <w:tabs>
                    <w:tab w:val="right" w:pos="8838"/>
                  </w:tabs>
                  <w:ind w:left="-28" w:right="-107"/>
                  <w:rPr>
                    <w:b/>
                  </w:rPr>
                </w:pPr>
                <w:r>
                  <w:rPr>
                    <w:b/>
                  </w:rPr>
                  <w:t>09016/INFOEM/IP/RR/2025</w:t>
                </w:r>
              </w:p>
            </w:tc>
          </w:tr>
          <w:tr w:rsidR="00EC3673" w14:paraId="6EF5F26E" w14:textId="77777777">
            <w:trPr>
              <w:trHeight w:val="141"/>
            </w:trPr>
            <w:tc>
              <w:tcPr>
                <w:tcW w:w="2500" w:type="dxa"/>
              </w:tcPr>
              <w:p w14:paraId="236F047E" w14:textId="77777777" w:rsidR="00EC3673" w:rsidRDefault="00E84870">
                <w:pPr>
                  <w:tabs>
                    <w:tab w:val="right" w:pos="8838"/>
                  </w:tabs>
                  <w:ind w:right="-105"/>
                  <w:rPr>
                    <w:b/>
                  </w:rPr>
                </w:pPr>
                <w:r>
                  <w:rPr>
                    <w:b/>
                  </w:rPr>
                  <w:t>Recurrente:</w:t>
                </w:r>
              </w:p>
            </w:tc>
            <w:tc>
              <w:tcPr>
                <w:tcW w:w="4025" w:type="dxa"/>
              </w:tcPr>
              <w:p w14:paraId="750C2BB7" w14:textId="6C973F79" w:rsidR="00EC3673" w:rsidRDefault="00B866D8">
                <w:pPr>
                  <w:tabs>
                    <w:tab w:val="right" w:pos="8838"/>
                  </w:tabs>
                  <w:ind w:right="-107"/>
                </w:pPr>
                <w:r w:rsidRPr="00B866D8">
                  <w:rPr>
                    <w:highlight w:val="black"/>
                  </w:rPr>
                  <w:t>XXXXXXXXXXXXXXXXXXX</w:t>
                </w:r>
              </w:p>
            </w:tc>
          </w:tr>
          <w:tr w:rsidR="00EC3673" w14:paraId="37E679A2" w14:textId="77777777">
            <w:trPr>
              <w:trHeight w:val="276"/>
            </w:trPr>
            <w:tc>
              <w:tcPr>
                <w:tcW w:w="2500" w:type="dxa"/>
              </w:tcPr>
              <w:p w14:paraId="6C6255D4" w14:textId="77777777" w:rsidR="00EC3673" w:rsidRDefault="00E84870">
                <w:pPr>
                  <w:tabs>
                    <w:tab w:val="right" w:pos="8838"/>
                  </w:tabs>
                  <w:ind w:right="-105"/>
                  <w:rPr>
                    <w:b/>
                  </w:rPr>
                </w:pPr>
                <w:r>
                  <w:rPr>
                    <w:b/>
                  </w:rPr>
                  <w:t>Sujeto Obligado:</w:t>
                </w:r>
              </w:p>
            </w:tc>
            <w:tc>
              <w:tcPr>
                <w:tcW w:w="4025" w:type="dxa"/>
              </w:tcPr>
              <w:p w14:paraId="13838733" w14:textId="77777777" w:rsidR="00EC3673" w:rsidRDefault="00E84870">
                <w:pPr>
                  <w:tabs>
                    <w:tab w:val="right" w:pos="8838"/>
                  </w:tabs>
                  <w:ind w:right="33"/>
                </w:pPr>
                <w:r>
                  <w:t>Ayuntamiento de Ecatepec de Morelos</w:t>
                </w:r>
              </w:p>
            </w:tc>
          </w:tr>
          <w:tr w:rsidR="00EC3673" w14:paraId="74DF8FDA" w14:textId="77777777">
            <w:trPr>
              <w:trHeight w:val="276"/>
            </w:trPr>
            <w:tc>
              <w:tcPr>
                <w:tcW w:w="2500" w:type="dxa"/>
              </w:tcPr>
              <w:p w14:paraId="1FD507FB" w14:textId="77777777" w:rsidR="00EC3673" w:rsidRDefault="00E84870">
                <w:pPr>
                  <w:tabs>
                    <w:tab w:val="right" w:pos="8838"/>
                  </w:tabs>
                  <w:ind w:right="-105"/>
                  <w:rPr>
                    <w:b/>
                  </w:rPr>
                </w:pPr>
                <w:r>
                  <w:rPr>
                    <w:b/>
                  </w:rPr>
                  <w:t>Comisionado Ponente:</w:t>
                </w:r>
              </w:p>
            </w:tc>
            <w:tc>
              <w:tcPr>
                <w:tcW w:w="4025" w:type="dxa"/>
              </w:tcPr>
              <w:p w14:paraId="4A9FF0A4" w14:textId="77777777" w:rsidR="00EC3673" w:rsidRDefault="00E84870">
                <w:pPr>
                  <w:tabs>
                    <w:tab w:val="right" w:pos="8838"/>
                  </w:tabs>
                  <w:ind w:right="-107"/>
                </w:pPr>
                <w:r>
                  <w:t>Luis Gustavo Parra Noriega</w:t>
                </w:r>
              </w:p>
            </w:tc>
          </w:tr>
        </w:tbl>
        <w:p w14:paraId="3F9E9AF4" w14:textId="77777777" w:rsidR="00EC3673" w:rsidRDefault="00EC3673">
          <w:pPr>
            <w:tabs>
              <w:tab w:val="right" w:pos="8838"/>
            </w:tabs>
            <w:ind w:left="-28"/>
            <w:rPr>
              <w:rFonts w:ascii="Arial" w:eastAsia="Arial" w:hAnsi="Arial" w:cs="Arial"/>
              <w:b/>
            </w:rPr>
          </w:pPr>
        </w:p>
      </w:tc>
    </w:tr>
  </w:tbl>
  <w:p w14:paraId="3FC611DC" w14:textId="77777777" w:rsidR="00EC3673" w:rsidRDefault="00EC367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3F5C74"/>
    <w:multiLevelType w:val="multilevel"/>
    <w:tmpl w:val="4AF4DE5E"/>
    <w:lvl w:ilvl="0">
      <w:start w:val="2"/>
      <w:numFmt w:val="bullet"/>
      <w:lvlText w:val="●"/>
      <w:lvlJc w:val="left"/>
      <w:pPr>
        <w:ind w:left="720" w:hanging="360"/>
      </w:pPr>
      <w:rPr>
        <w:rFonts w:ascii="Noto Sans Symbols" w:eastAsia="Noto Sans Symbols" w:hAnsi="Noto Sans Symbols" w:cs="Noto Sans Symbols"/>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97429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673"/>
    <w:rsid w:val="000264DF"/>
    <w:rsid w:val="001C4E77"/>
    <w:rsid w:val="002F1860"/>
    <w:rsid w:val="00330EEB"/>
    <w:rsid w:val="0045127F"/>
    <w:rsid w:val="00474F3F"/>
    <w:rsid w:val="005F4E27"/>
    <w:rsid w:val="00677498"/>
    <w:rsid w:val="00987394"/>
    <w:rsid w:val="00A040F6"/>
    <w:rsid w:val="00A16335"/>
    <w:rsid w:val="00B028DF"/>
    <w:rsid w:val="00B866D8"/>
    <w:rsid w:val="00E832B0"/>
    <w:rsid w:val="00E84870"/>
    <w:rsid w:val="00EC3673"/>
    <w:rsid w:val="00F50F3F"/>
    <w:rsid w:val="00FF7B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95274"/>
  <w15:docId w15:val="{B659FCFE-1606-3244-8C91-D3B42A51F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3"/>
    <w:pPr>
      <w:spacing w:after="0" w:line="240" w:lineRule="auto"/>
    </w:pPr>
    <w:tblPr>
      <w:tblStyleRowBandSize w:val="1"/>
      <w:tblStyleColBandSize w:val="1"/>
      <w:tblCellMar>
        <w:left w:w="108" w:type="dxa"/>
        <w:right w:w="108" w:type="dxa"/>
      </w:tblCellMar>
    </w:tblPr>
  </w:style>
  <w:style w:type="table" w:customStyle="1" w:styleId="a0">
    <w:basedOn w:val="TableNormalf3"/>
    <w:pPr>
      <w:spacing w:after="0" w:line="240" w:lineRule="auto"/>
    </w:pPr>
    <w:tblPr>
      <w:tblStyleRowBandSize w:val="1"/>
      <w:tblStyleColBandSize w:val="1"/>
      <w:tblCellMar>
        <w:left w:w="108" w:type="dxa"/>
        <w:right w:w="108" w:type="dxa"/>
      </w:tblCellMar>
    </w:tbl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3"/>
    <w:pPr>
      <w:spacing w:after="0" w:line="240" w:lineRule="auto"/>
    </w:pPr>
    <w:tblPr>
      <w:tblStyleRowBandSize w:val="1"/>
      <w:tblStyleColBandSize w:val="1"/>
      <w:tblCellMar>
        <w:left w:w="108" w:type="dxa"/>
        <w:right w:w="108" w:type="dxa"/>
      </w:tblCellMar>
    </w:tblPr>
  </w:style>
  <w:style w:type="table" w:customStyle="1" w:styleId="a4">
    <w:basedOn w:val="TableNormalf3"/>
    <w:pPr>
      <w:spacing w:after="0" w:line="240" w:lineRule="auto"/>
    </w:pPr>
    <w:tblPr>
      <w:tblStyleRowBandSize w:val="1"/>
      <w:tblStyleColBandSize w:val="1"/>
      <w:tblCellMar>
        <w:left w:w="108" w:type="dxa"/>
        <w:right w:w="108" w:type="dxa"/>
      </w:tblCellMar>
    </w:tblPr>
  </w:style>
  <w:style w:type="table" w:customStyle="1" w:styleId="a5">
    <w:basedOn w:val="TableNormalf3"/>
    <w:pPr>
      <w:spacing w:after="0" w:line="240" w:lineRule="auto"/>
    </w:pPr>
    <w:tblPr>
      <w:tblStyleRowBandSize w:val="1"/>
      <w:tblStyleColBandSize w:val="1"/>
      <w:tblCellMar>
        <w:left w:w="108" w:type="dxa"/>
        <w:right w:w="108" w:type="dxa"/>
      </w:tblCellMar>
    </w:tblPr>
  </w:style>
  <w:style w:type="table" w:customStyle="1" w:styleId="a6">
    <w:basedOn w:val="TableNormalf3"/>
    <w:pPr>
      <w:spacing w:after="0" w:line="240" w:lineRule="auto"/>
    </w:pPr>
    <w:tblPr>
      <w:tblStyleRowBandSize w:val="1"/>
      <w:tblStyleColBandSize w:val="1"/>
      <w:tblCellMar>
        <w:left w:w="108" w:type="dxa"/>
        <w:right w:w="108" w:type="dxa"/>
      </w:tblCellMar>
    </w:tblPr>
  </w:style>
  <w:style w:type="table" w:customStyle="1" w:styleId="a7">
    <w:basedOn w:val="TableNormalf2"/>
    <w:pPr>
      <w:spacing w:after="0" w:line="240" w:lineRule="auto"/>
    </w:pPr>
    <w:tblPr>
      <w:tblStyleRowBandSize w:val="1"/>
      <w:tblStyleColBandSize w:val="1"/>
      <w:tblCellMar>
        <w:left w:w="108" w:type="dxa"/>
        <w:right w:w="108" w:type="dxa"/>
      </w:tblCellMar>
    </w:tblPr>
  </w:style>
  <w:style w:type="table" w:customStyle="1" w:styleId="a8">
    <w:basedOn w:val="TableNormalf2"/>
    <w:pPr>
      <w:spacing w:after="0" w:line="240" w:lineRule="auto"/>
    </w:pPr>
    <w:tblPr>
      <w:tblStyleRowBandSize w:val="1"/>
      <w:tblStyleColBandSize w:val="1"/>
      <w:tblCellMar>
        <w:left w:w="108" w:type="dxa"/>
        <w:right w:w="108" w:type="dxa"/>
      </w:tblCellMar>
    </w:tblPr>
  </w:style>
  <w:style w:type="table" w:customStyle="1" w:styleId="a9">
    <w:basedOn w:val="TableNormalf2"/>
    <w:pPr>
      <w:spacing w:after="0" w:line="240" w:lineRule="auto"/>
    </w:pPr>
    <w:tblPr>
      <w:tblStyleRowBandSize w:val="1"/>
      <w:tblStyleColBandSize w:val="1"/>
      <w:tblCellMar>
        <w:left w:w="108" w:type="dxa"/>
        <w:right w:w="108" w:type="dxa"/>
      </w:tblCellMar>
    </w:tblPr>
  </w:style>
  <w:style w:type="table" w:customStyle="1" w:styleId="aa">
    <w:basedOn w:val="TableNormalf2"/>
    <w:pPr>
      <w:spacing w:after="0" w:line="240" w:lineRule="auto"/>
    </w:pPr>
    <w:tblPr>
      <w:tblStyleRowBandSize w:val="1"/>
      <w:tblStyleColBandSize w:val="1"/>
      <w:tblCellMar>
        <w:left w:w="108" w:type="dxa"/>
        <w:right w:w="108" w:type="dxa"/>
      </w:tblCellMar>
    </w:tblPr>
  </w:style>
  <w:style w:type="table" w:customStyle="1" w:styleId="ab">
    <w:basedOn w:val="TableNormalf1"/>
    <w:pPr>
      <w:spacing w:after="0" w:line="240" w:lineRule="auto"/>
    </w:pPr>
    <w:tblPr>
      <w:tblStyleRowBandSize w:val="1"/>
      <w:tblStyleColBandSize w:val="1"/>
      <w:tblCellMar>
        <w:left w:w="108" w:type="dxa"/>
        <w:right w:w="108" w:type="dxa"/>
      </w:tblCellMar>
    </w:tblPr>
  </w:style>
  <w:style w:type="table" w:customStyle="1" w:styleId="ac">
    <w:basedOn w:val="TableNormalf1"/>
    <w:pPr>
      <w:spacing w:after="0" w:line="240" w:lineRule="auto"/>
    </w:pPr>
    <w:tblPr>
      <w:tblStyleRowBandSize w:val="1"/>
      <w:tblStyleColBandSize w:val="1"/>
      <w:tblCellMar>
        <w:left w:w="108" w:type="dxa"/>
        <w:right w:w="108" w:type="dxa"/>
      </w:tblCellMar>
    </w:tblPr>
  </w:style>
  <w:style w:type="table" w:customStyle="1" w:styleId="ad">
    <w:basedOn w:val="TableNormalf1"/>
    <w:pPr>
      <w:spacing w:after="0" w:line="240" w:lineRule="auto"/>
    </w:pPr>
    <w:tblPr>
      <w:tblStyleRowBandSize w:val="1"/>
      <w:tblStyleColBandSize w:val="1"/>
      <w:tblCellMar>
        <w:left w:w="108" w:type="dxa"/>
        <w:right w:w="108" w:type="dxa"/>
      </w:tblCellMar>
    </w:tblPr>
  </w:style>
  <w:style w:type="table" w:customStyle="1" w:styleId="ae">
    <w:basedOn w:val="TableNormalf1"/>
    <w:pPr>
      <w:spacing w:after="0" w:line="240" w:lineRule="auto"/>
    </w:pPr>
    <w:tblPr>
      <w:tblStyleRowBandSize w:val="1"/>
      <w:tblStyleColBandSize w:val="1"/>
      <w:tblCellMar>
        <w:left w:w="108" w:type="dxa"/>
        <w:right w:w="108" w:type="dxa"/>
      </w:tblCellMar>
    </w:tblPr>
  </w:style>
  <w:style w:type="table" w:customStyle="1" w:styleId="af">
    <w:basedOn w:val="TableNormalf0"/>
    <w:pPr>
      <w:spacing w:after="0" w:line="240" w:lineRule="auto"/>
    </w:pPr>
    <w:tblPr>
      <w:tblStyleRowBandSize w:val="1"/>
      <w:tblStyleColBandSize w:val="1"/>
      <w:tblCellMar>
        <w:left w:w="108" w:type="dxa"/>
        <w:right w:w="108" w:type="dxa"/>
      </w:tblCellMar>
    </w:tblPr>
  </w:style>
  <w:style w:type="table" w:customStyle="1" w:styleId="af0">
    <w:basedOn w:val="TableNormalf0"/>
    <w:pPr>
      <w:spacing w:after="0" w:line="240" w:lineRule="auto"/>
    </w:pPr>
    <w:tblPr>
      <w:tblStyleRowBandSize w:val="1"/>
      <w:tblStyleColBandSize w:val="1"/>
      <w:tblCellMar>
        <w:left w:w="108" w:type="dxa"/>
        <w:right w:w="108" w:type="dxa"/>
      </w:tblCellMar>
    </w:tblPr>
  </w:style>
  <w:style w:type="table" w:customStyle="1" w:styleId="af1">
    <w:basedOn w:val="TableNormalf0"/>
    <w:pPr>
      <w:spacing w:after="0" w:line="240" w:lineRule="auto"/>
    </w:pPr>
    <w:tblPr>
      <w:tblStyleRowBandSize w:val="1"/>
      <w:tblStyleColBandSize w:val="1"/>
      <w:tblCellMar>
        <w:left w:w="108" w:type="dxa"/>
        <w:right w:w="108" w:type="dxa"/>
      </w:tblCellMar>
    </w:tblPr>
  </w:style>
  <w:style w:type="table" w:customStyle="1" w:styleId="af2">
    <w:basedOn w:val="TableNormalf0"/>
    <w:pPr>
      <w:spacing w:after="0" w:line="240" w:lineRule="auto"/>
    </w:pPr>
    <w:tblPr>
      <w:tblStyleRowBandSize w:val="1"/>
      <w:tblStyleColBandSize w:val="1"/>
      <w:tblCellMar>
        <w:left w:w="108" w:type="dxa"/>
        <w:right w:w="108" w:type="dxa"/>
      </w:tblCellMar>
    </w:tblPr>
  </w:style>
  <w:style w:type="table" w:customStyle="1" w:styleId="af3">
    <w:basedOn w:val="TableNormalf"/>
    <w:pPr>
      <w:spacing w:after="0" w:line="240" w:lineRule="auto"/>
    </w:pPr>
    <w:tblPr>
      <w:tblStyleRowBandSize w:val="1"/>
      <w:tblStyleColBandSize w:val="1"/>
      <w:tblCellMar>
        <w:left w:w="108" w:type="dxa"/>
        <w:right w:w="108" w:type="dxa"/>
      </w:tblCellMar>
    </w:tblPr>
  </w:style>
  <w:style w:type="table" w:customStyle="1" w:styleId="af4">
    <w:basedOn w:val="TableNormalf"/>
    <w:pPr>
      <w:spacing w:after="0" w:line="240" w:lineRule="auto"/>
    </w:pPr>
    <w:tblPr>
      <w:tblStyleRowBandSize w:val="1"/>
      <w:tblStyleColBandSize w:val="1"/>
      <w:tblCellMar>
        <w:left w:w="108" w:type="dxa"/>
        <w:right w:w="108" w:type="dxa"/>
      </w:tblCellMar>
    </w:tblPr>
  </w:style>
  <w:style w:type="table" w:customStyle="1" w:styleId="af5">
    <w:basedOn w:val="TableNormalf"/>
    <w:pPr>
      <w:spacing w:after="0" w:line="240" w:lineRule="auto"/>
    </w:pPr>
    <w:tblPr>
      <w:tblStyleRowBandSize w:val="1"/>
      <w:tblStyleColBandSize w:val="1"/>
      <w:tblCellMar>
        <w:left w:w="108" w:type="dxa"/>
        <w:right w:w="108" w:type="dxa"/>
      </w:tblCellMar>
    </w:tblPr>
  </w:style>
  <w:style w:type="table" w:customStyle="1" w:styleId="af6">
    <w:basedOn w:val="TableNormalf"/>
    <w:pPr>
      <w:spacing w:after="0" w:line="240" w:lineRule="auto"/>
    </w:pPr>
    <w:tblPr>
      <w:tblStyleRowBandSize w:val="1"/>
      <w:tblStyleColBandSize w:val="1"/>
      <w:tblCellMar>
        <w:left w:w="108" w:type="dxa"/>
        <w:right w:w="108" w:type="dxa"/>
      </w:tblCellMar>
    </w:tblPr>
  </w:style>
  <w:style w:type="table" w:customStyle="1" w:styleId="af7">
    <w:basedOn w:val="TableNormale"/>
    <w:pPr>
      <w:spacing w:after="0" w:line="240" w:lineRule="auto"/>
    </w:pPr>
    <w:tblPr>
      <w:tblStyleRowBandSize w:val="1"/>
      <w:tblStyleColBandSize w:val="1"/>
      <w:tblCellMar>
        <w:left w:w="108" w:type="dxa"/>
        <w:right w:w="108" w:type="dxa"/>
      </w:tblCellMar>
    </w:tblPr>
  </w:style>
  <w:style w:type="table" w:customStyle="1" w:styleId="af8">
    <w:basedOn w:val="TableNormale"/>
    <w:pPr>
      <w:spacing w:after="0" w:line="240" w:lineRule="auto"/>
    </w:pPr>
    <w:tblPr>
      <w:tblStyleRowBandSize w:val="1"/>
      <w:tblStyleColBandSize w:val="1"/>
      <w:tblCellMar>
        <w:left w:w="108" w:type="dxa"/>
        <w:right w:w="108" w:type="dxa"/>
      </w:tblCellMar>
    </w:tblPr>
  </w:style>
  <w:style w:type="table" w:customStyle="1" w:styleId="af9">
    <w:basedOn w:val="TableNormale"/>
    <w:pPr>
      <w:spacing w:after="0" w:line="240" w:lineRule="auto"/>
    </w:pPr>
    <w:tblPr>
      <w:tblStyleRowBandSize w:val="1"/>
      <w:tblStyleColBandSize w:val="1"/>
      <w:tblCellMar>
        <w:left w:w="108" w:type="dxa"/>
        <w:right w:w="108" w:type="dxa"/>
      </w:tblCellMar>
    </w:tblPr>
  </w:style>
  <w:style w:type="table" w:customStyle="1" w:styleId="afa">
    <w:basedOn w:val="TableNormale"/>
    <w:pPr>
      <w:spacing w:after="0" w:line="240" w:lineRule="auto"/>
    </w:pPr>
    <w:tblPr>
      <w:tblStyleRowBandSize w:val="1"/>
      <w:tblStyleColBandSize w:val="1"/>
      <w:tblCellMar>
        <w:left w:w="108" w:type="dxa"/>
        <w:right w:w="108" w:type="dxa"/>
      </w:tblCellMar>
    </w:tblPr>
  </w:style>
  <w:style w:type="table" w:customStyle="1" w:styleId="afb">
    <w:basedOn w:val="TableNormald"/>
    <w:pPr>
      <w:spacing w:after="0" w:line="240" w:lineRule="auto"/>
    </w:pPr>
    <w:tblPr>
      <w:tblStyleRowBandSize w:val="1"/>
      <w:tblStyleColBandSize w:val="1"/>
      <w:tblCellMar>
        <w:left w:w="108" w:type="dxa"/>
        <w:right w:w="108" w:type="dxa"/>
      </w:tblCellMar>
    </w:tblPr>
  </w:style>
  <w:style w:type="table" w:customStyle="1" w:styleId="afc">
    <w:basedOn w:val="TableNormald"/>
    <w:pPr>
      <w:spacing w:after="0" w:line="240" w:lineRule="auto"/>
    </w:pPr>
    <w:tblPr>
      <w:tblStyleRowBandSize w:val="1"/>
      <w:tblStyleColBandSize w:val="1"/>
      <w:tblCellMar>
        <w:left w:w="108" w:type="dxa"/>
        <w:right w:w="108" w:type="dxa"/>
      </w:tblCellMar>
    </w:tblPr>
  </w:style>
  <w:style w:type="table" w:customStyle="1" w:styleId="afd">
    <w:basedOn w:val="TableNormald"/>
    <w:pPr>
      <w:spacing w:after="0" w:line="240" w:lineRule="auto"/>
    </w:pPr>
    <w:tblPr>
      <w:tblStyleRowBandSize w:val="1"/>
      <w:tblStyleColBandSize w:val="1"/>
      <w:tblCellMar>
        <w:left w:w="108" w:type="dxa"/>
        <w:right w:w="108" w:type="dxa"/>
      </w:tblCellMar>
    </w:tblPr>
  </w:style>
  <w:style w:type="table" w:customStyle="1" w:styleId="afe">
    <w:basedOn w:val="TableNormald"/>
    <w:pPr>
      <w:spacing w:after="0" w:line="240" w:lineRule="auto"/>
    </w:pPr>
    <w:tblPr>
      <w:tblStyleRowBandSize w:val="1"/>
      <w:tblStyleColBandSize w:val="1"/>
      <w:tblCellMar>
        <w:left w:w="108" w:type="dxa"/>
        <w:right w:w="108" w:type="dxa"/>
      </w:tblCellMar>
    </w:tblPr>
  </w:style>
  <w:style w:type="table" w:customStyle="1" w:styleId="aff">
    <w:basedOn w:val="TableNormalc"/>
    <w:pPr>
      <w:spacing w:after="0" w:line="240" w:lineRule="auto"/>
    </w:pPr>
    <w:tblPr>
      <w:tblStyleRowBandSize w:val="1"/>
      <w:tblStyleColBandSize w:val="1"/>
      <w:tblCellMar>
        <w:left w:w="108" w:type="dxa"/>
        <w:right w:w="108" w:type="dxa"/>
      </w:tblCellMar>
    </w:tblPr>
  </w:style>
  <w:style w:type="table" w:customStyle="1" w:styleId="aff0">
    <w:basedOn w:val="TableNormalc"/>
    <w:pPr>
      <w:spacing w:after="0" w:line="240" w:lineRule="auto"/>
    </w:pPr>
    <w:tblPr>
      <w:tblStyleRowBandSize w:val="1"/>
      <w:tblStyleColBandSize w:val="1"/>
      <w:tblCellMar>
        <w:left w:w="108" w:type="dxa"/>
        <w:right w:w="108" w:type="dxa"/>
      </w:tblCellMar>
    </w:tblPr>
  </w:style>
  <w:style w:type="table" w:customStyle="1" w:styleId="aff1">
    <w:basedOn w:val="TableNormalc"/>
    <w:pPr>
      <w:spacing w:after="0" w:line="240" w:lineRule="auto"/>
    </w:pPr>
    <w:tblPr>
      <w:tblStyleRowBandSize w:val="1"/>
      <w:tblStyleColBandSize w:val="1"/>
      <w:tblCellMar>
        <w:left w:w="108" w:type="dxa"/>
        <w:right w:w="108" w:type="dxa"/>
      </w:tblCellMar>
    </w:tblPr>
  </w:style>
  <w:style w:type="table" w:customStyle="1" w:styleId="aff2">
    <w:basedOn w:val="TableNormalc"/>
    <w:pPr>
      <w:spacing w:after="0" w:line="240" w:lineRule="auto"/>
    </w:pPr>
    <w:tblPr>
      <w:tblStyleRowBandSize w:val="1"/>
      <w:tblStyleColBandSize w:val="1"/>
      <w:tblCellMar>
        <w:left w:w="108" w:type="dxa"/>
        <w:right w:w="108" w:type="dxa"/>
      </w:tblCellMar>
    </w:tblPr>
  </w:style>
  <w:style w:type="table" w:customStyle="1" w:styleId="aff3">
    <w:basedOn w:val="TableNormalb"/>
    <w:pPr>
      <w:spacing w:after="0" w:line="240" w:lineRule="auto"/>
    </w:pPr>
    <w:tblPr>
      <w:tblStyleRowBandSize w:val="1"/>
      <w:tblStyleColBandSize w:val="1"/>
      <w:tblCellMar>
        <w:left w:w="108" w:type="dxa"/>
        <w:right w:w="108" w:type="dxa"/>
      </w:tblCellMar>
    </w:tblPr>
  </w:style>
  <w:style w:type="table" w:customStyle="1" w:styleId="aff4">
    <w:basedOn w:val="TableNormalb"/>
    <w:pPr>
      <w:spacing w:after="0" w:line="240" w:lineRule="auto"/>
    </w:pPr>
    <w:tblPr>
      <w:tblStyleRowBandSize w:val="1"/>
      <w:tblStyleColBandSize w:val="1"/>
      <w:tblCellMar>
        <w:left w:w="108" w:type="dxa"/>
        <w:right w:w="108" w:type="dxa"/>
      </w:tblCellMar>
    </w:tblPr>
  </w:style>
  <w:style w:type="table" w:customStyle="1" w:styleId="aff5">
    <w:basedOn w:val="TableNormalb"/>
    <w:pPr>
      <w:spacing w:after="0" w:line="240" w:lineRule="auto"/>
    </w:pPr>
    <w:tblPr>
      <w:tblStyleRowBandSize w:val="1"/>
      <w:tblStyleColBandSize w:val="1"/>
      <w:tblCellMar>
        <w:left w:w="108" w:type="dxa"/>
        <w:right w:w="108" w:type="dxa"/>
      </w:tblCellMar>
    </w:tblPr>
  </w:style>
  <w:style w:type="table" w:customStyle="1" w:styleId="aff6">
    <w:basedOn w:val="TableNormalb"/>
    <w:pPr>
      <w:spacing w:after="0" w:line="240" w:lineRule="auto"/>
    </w:pPr>
    <w:tblPr>
      <w:tblStyleRowBandSize w:val="1"/>
      <w:tblStyleColBandSize w:val="1"/>
      <w:tblCellMar>
        <w:left w:w="108" w:type="dxa"/>
        <w:right w:w="108" w:type="dxa"/>
      </w:tblCellMar>
    </w:tblPr>
  </w:style>
  <w:style w:type="table" w:customStyle="1" w:styleId="aff7">
    <w:basedOn w:val="TableNormala"/>
    <w:pPr>
      <w:spacing w:after="0" w:line="240" w:lineRule="auto"/>
    </w:pPr>
    <w:tblPr>
      <w:tblStyleRowBandSize w:val="1"/>
      <w:tblStyleColBandSize w:val="1"/>
      <w:tblCellMar>
        <w:left w:w="108" w:type="dxa"/>
        <w:right w:w="108" w:type="dxa"/>
      </w:tblCellMar>
    </w:tblPr>
  </w:style>
  <w:style w:type="table" w:customStyle="1" w:styleId="aff8">
    <w:basedOn w:val="TableNormala"/>
    <w:pPr>
      <w:spacing w:after="0" w:line="240" w:lineRule="auto"/>
    </w:pPr>
    <w:tblPr>
      <w:tblStyleRowBandSize w:val="1"/>
      <w:tblStyleColBandSize w:val="1"/>
      <w:tblCellMar>
        <w:left w:w="108" w:type="dxa"/>
        <w:right w:w="108" w:type="dxa"/>
      </w:tblCellMar>
    </w:tblPr>
  </w:style>
  <w:style w:type="table" w:customStyle="1" w:styleId="aff9">
    <w:basedOn w:val="TableNormala"/>
    <w:pPr>
      <w:spacing w:after="0" w:line="240" w:lineRule="auto"/>
    </w:pPr>
    <w:tblPr>
      <w:tblStyleRowBandSize w:val="1"/>
      <w:tblStyleColBandSize w:val="1"/>
      <w:tblCellMar>
        <w:left w:w="108" w:type="dxa"/>
        <w:right w:w="108" w:type="dxa"/>
      </w:tblCellMar>
    </w:tblPr>
  </w:style>
  <w:style w:type="table" w:customStyle="1" w:styleId="affa">
    <w:basedOn w:val="TableNormala"/>
    <w:pPr>
      <w:spacing w:after="0" w:line="240" w:lineRule="auto"/>
    </w:pPr>
    <w:tblPr>
      <w:tblStyleRowBandSize w:val="1"/>
      <w:tblStyleColBandSize w:val="1"/>
      <w:tblCellMar>
        <w:left w:w="108" w:type="dxa"/>
        <w:right w:w="108" w:type="dxa"/>
      </w:tblCellMar>
    </w:tblPr>
  </w:style>
  <w:style w:type="table" w:customStyle="1" w:styleId="affb">
    <w:basedOn w:val="TableNormala"/>
    <w:pPr>
      <w:spacing w:after="0" w:line="240" w:lineRule="auto"/>
    </w:pPr>
    <w:tblPr>
      <w:tblStyleRowBandSize w:val="1"/>
      <w:tblStyleColBandSize w:val="1"/>
      <w:tblCellMar>
        <w:left w:w="108" w:type="dxa"/>
        <w:right w:w="108" w:type="dxa"/>
      </w:tblCellMar>
    </w:tblPr>
  </w:style>
  <w:style w:type="table" w:customStyle="1" w:styleId="affc">
    <w:basedOn w:val="TableNormala"/>
    <w:pPr>
      <w:spacing w:after="0" w:line="240" w:lineRule="auto"/>
    </w:pPr>
    <w:tblPr>
      <w:tblStyleRowBandSize w:val="1"/>
      <w:tblStyleColBandSize w:val="1"/>
      <w:tblCellMar>
        <w:left w:w="108" w:type="dxa"/>
        <w:right w:w="108" w:type="dxa"/>
      </w:tblCellMar>
    </w:tblPr>
  </w:style>
  <w:style w:type="table" w:customStyle="1" w:styleId="affd">
    <w:basedOn w:val="TableNormala"/>
    <w:pPr>
      <w:spacing w:after="0" w:line="240" w:lineRule="auto"/>
    </w:pPr>
    <w:tblPr>
      <w:tblStyleRowBandSize w:val="1"/>
      <w:tblStyleColBandSize w:val="1"/>
      <w:tblCellMar>
        <w:left w:w="108" w:type="dxa"/>
        <w:right w:w="108" w:type="dxa"/>
      </w:tblCellMar>
    </w:tblPr>
  </w:style>
  <w:style w:type="table" w:customStyle="1" w:styleId="affe">
    <w:basedOn w:val="TableNormala"/>
    <w:pPr>
      <w:spacing w:after="0" w:line="240" w:lineRule="auto"/>
    </w:pPr>
    <w:tblPr>
      <w:tblStyleRowBandSize w:val="1"/>
      <w:tblStyleColBandSize w:val="1"/>
      <w:tblCellMar>
        <w:left w:w="108" w:type="dxa"/>
        <w:right w:w="108" w:type="dxa"/>
      </w:tblCellMar>
    </w:tblPr>
  </w:style>
  <w:style w:type="table" w:customStyle="1" w:styleId="afff">
    <w:basedOn w:val="TableNormala"/>
    <w:pPr>
      <w:spacing w:after="0" w:line="240" w:lineRule="auto"/>
    </w:pPr>
    <w:tblPr>
      <w:tblStyleRowBandSize w:val="1"/>
      <w:tblStyleColBandSize w:val="1"/>
      <w:tblCellMar>
        <w:left w:w="108" w:type="dxa"/>
        <w:right w:w="108" w:type="dxa"/>
      </w:tblCellMar>
    </w:tblPr>
  </w:style>
  <w:style w:type="table" w:customStyle="1" w:styleId="afff0">
    <w:basedOn w:val="TableNormala"/>
    <w:pPr>
      <w:spacing w:after="0" w:line="240" w:lineRule="auto"/>
    </w:pPr>
    <w:tblPr>
      <w:tblStyleRowBandSize w:val="1"/>
      <w:tblStyleColBandSize w:val="1"/>
      <w:tblCellMar>
        <w:left w:w="108" w:type="dxa"/>
        <w:right w:w="108" w:type="dxa"/>
      </w:tblCellMar>
    </w:tblPr>
  </w:style>
  <w:style w:type="table" w:customStyle="1" w:styleId="afff1">
    <w:basedOn w:val="TableNormala"/>
    <w:pPr>
      <w:spacing w:after="0" w:line="240" w:lineRule="auto"/>
    </w:pPr>
    <w:tblPr>
      <w:tblStyleRowBandSize w:val="1"/>
      <w:tblStyleColBandSize w:val="1"/>
      <w:tblCellMar>
        <w:left w:w="108" w:type="dxa"/>
        <w:right w:w="108" w:type="dxa"/>
      </w:tblCellMar>
    </w:tblPr>
  </w:style>
  <w:style w:type="table" w:customStyle="1" w:styleId="afff2">
    <w:basedOn w:val="TableNormala"/>
    <w:pPr>
      <w:spacing w:after="0" w:line="240" w:lineRule="auto"/>
    </w:pPr>
    <w:tblPr>
      <w:tblStyleRowBandSize w:val="1"/>
      <w:tblStyleColBandSize w:val="1"/>
      <w:tblCellMar>
        <w:left w:w="108" w:type="dxa"/>
        <w:right w:w="108" w:type="dxa"/>
      </w:tblCellMar>
    </w:tblPr>
  </w:style>
  <w:style w:type="table" w:customStyle="1" w:styleId="afff3">
    <w:basedOn w:val="TableNormala"/>
    <w:pPr>
      <w:spacing w:after="0" w:line="240" w:lineRule="auto"/>
    </w:pPr>
    <w:tblPr>
      <w:tblStyleRowBandSize w:val="1"/>
      <w:tblStyleColBandSize w:val="1"/>
      <w:tblCellMar>
        <w:left w:w="108" w:type="dxa"/>
        <w:right w:w="108" w:type="dxa"/>
      </w:tblCellMar>
    </w:tblPr>
  </w:style>
  <w:style w:type="table" w:customStyle="1" w:styleId="afff4">
    <w:basedOn w:val="TableNormala"/>
    <w:pPr>
      <w:spacing w:after="0" w:line="240" w:lineRule="auto"/>
    </w:pPr>
    <w:tblPr>
      <w:tblStyleRowBandSize w:val="1"/>
      <w:tblStyleColBandSize w:val="1"/>
      <w:tblCellMar>
        <w:left w:w="108" w:type="dxa"/>
        <w:right w:w="108" w:type="dxa"/>
      </w:tblCellMar>
    </w:tblPr>
  </w:style>
  <w:style w:type="table" w:customStyle="1" w:styleId="afff5">
    <w:basedOn w:val="TableNormala"/>
    <w:pPr>
      <w:spacing w:after="0" w:line="240" w:lineRule="auto"/>
    </w:pPr>
    <w:tblPr>
      <w:tblStyleRowBandSize w:val="1"/>
      <w:tblStyleColBandSize w:val="1"/>
      <w:tblCellMar>
        <w:left w:w="108" w:type="dxa"/>
        <w:right w:w="108" w:type="dxa"/>
      </w:tblCellMar>
    </w:tblPr>
  </w:style>
  <w:style w:type="table" w:customStyle="1" w:styleId="afff6">
    <w:basedOn w:val="TableNormala"/>
    <w:pPr>
      <w:spacing w:after="0" w:line="240" w:lineRule="auto"/>
    </w:pPr>
    <w:tblPr>
      <w:tblStyleRowBandSize w:val="1"/>
      <w:tblStyleColBandSize w:val="1"/>
      <w:tblCellMar>
        <w:left w:w="108" w:type="dxa"/>
        <w:right w:w="108" w:type="dxa"/>
      </w:tblCellMar>
    </w:tblPr>
  </w:style>
  <w:style w:type="table" w:customStyle="1" w:styleId="afff7">
    <w:basedOn w:val="TableNormala"/>
    <w:pPr>
      <w:spacing w:after="0" w:line="240" w:lineRule="auto"/>
    </w:pPr>
    <w:tblPr>
      <w:tblStyleRowBandSize w:val="1"/>
      <w:tblStyleColBandSize w:val="1"/>
      <w:tblCellMar>
        <w:left w:w="108" w:type="dxa"/>
        <w:right w:w="108" w:type="dxa"/>
      </w:tblCellMar>
    </w:tblPr>
  </w:style>
  <w:style w:type="table" w:customStyle="1" w:styleId="afff8">
    <w:basedOn w:val="TableNormala"/>
    <w:pPr>
      <w:spacing w:after="0" w:line="240" w:lineRule="auto"/>
    </w:pPr>
    <w:tblPr>
      <w:tblStyleRowBandSize w:val="1"/>
      <w:tblStyleColBandSize w:val="1"/>
      <w:tblCellMar>
        <w:left w:w="108" w:type="dxa"/>
        <w:right w:w="108" w:type="dxa"/>
      </w:tblCellMar>
    </w:tblPr>
  </w:style>
  <w:style w:type="table" w:customStyle="1" w:styleId="afff9">
    <w:basedOn w:val="TableNormala"/>
    <w:pPr>
      <w:spacing w:after="0" w:line="240" w:lineRule="auto"/>
    </w:pPr>
    <w:tblPr>
      <w:tblStyleRowBandSize w:val="1"/>
      <w:tblStyleColBandSize w:val="1"/>
      <w:tblCellMar>
        <w:left w:w="108" w:type="dxa"/>
        <w:right w:w="108" w:type="dxa"/>
      </w:tblCellMar>
    </w:tblPr>
  </w:style>
  <w:style w:type="table" w:customStyle="1" w:styleId="afffa">
    <w:basedOn w:val="TableNormala"/>
    <w:pPr>
      <w:spacing w:after="0" w:line="240" w:lineRule="auto"/>
    </w:pPr>
    <w:tblPr>
      <w:tblStyleRowBandSize w:val="1"/>
      <w:tblStyleColBandSize w:val="1"/>
      <w:tblCellMar>
        <w:left w:w="108" w:type="dxa"/>
        <w:right w:w="108" w:type="dxa"/>
      </w:tblCellMar>
    </w:tblPr>
  </w:style>
  <w:style w:type="table" w:customStyle="1" w:styleId="afffb">
    <w:basedOn w:val="TableNormala"/>
    <w:pPr>
      <w:spacing w:after="0" w:line="240" w:lineRule="auto"/>
    </w:pPr>
    <w:tblPr>
      <w:tblStyleRowBandSize w:val="1"/>
      <w:tblStyleColBandSize w:val="1"/>
      <w:tblCellMar>
        <w:left w:w="108" w:type="dxa"/>
        <w:right w:w="108" w:type="dxa"/>
      </w:tblCellMar>
    </w:tblPr>
  </w:style>
  <w:style w:type="table" w:customStyle="1" w:styleId="afffc">
    <w:basedOn w:val="TableNormala"/>
    <w:pPr>
      <w:spacing w:after="0" w:line="240" w:lineRule="auto"/>
    </w:pPr>
    <w:tblPr>
      <w:tblStyleRowBandSize w:val="1"/>
      <w:tblStyleColBandSize w:val="1"/>
      <w:tblCellMar>
        <w:left w:w="108" w:type="dxa"/>
        <w:right w:w="108" w:type="dxa"/>
      </w:tblCellMar>
    </w:tblPr>
  </w:style>
  <w:style w:type="table" w:customStyle="1" w:styleId="afffd">
    <w:basedOn w:val="TableNormal9"/>
    <w:pPr>
      <w:spacing w:after="0" w:line="240" w:lineRule="auto"/>
    </w:pPr>
    <w:tblPr>
      <w:tblStyleRowBandSize w:val="1"/>
      <w:tblStyleColBandSize w:val="1"/>
      <w:tblCellMar>
        <w:left w:w="108" w:type="dxa"/>
        <w:right w:w="108" w:type="dxa"/>
      </w:tblCellMar>
    </w:tblPr>
  </w:style>
  <w:style w:type="table" w:customStyle="1" w:styleId="afffe">
    <w:basedOn w:val="TableNormal9"/>
    <w:pPr>
      <w:spacing w:after="0" w:line="240" w:lineRule="auto"/>
    </w:pPr>
    <w:tblPr>
      <w:tblStyleRowBandSize w:val="1"/>
      <w:tblStyleColBandSize w:val="1"/>
      <w:tblCellMar>
        <w:left w:w="108" w:type="dxa"/>
        <w:right w:w="108" w:type="dxa"/>
      </w:tblCellMar>
    </w:tblPr>
  </w:style>
  <w:style w:type="table" w:customStyle="1" w:styleId="affff">
    <w:basedOn w:val="TableNormal9"/>
    <w:pPr>
      <w:spacing w:after="0" w:line="240" w:lineRule="auto"/>
    </w:pPr>
    <w:tblPr>
      <w:tblStyleRowBandSize w:val="1"/>
      <w:tblStyleColBandSize w:val="1"/>
      <w:tblCellMar>
        <w:left w:w="108" w:type="dxa"/>
        <w:right w:w="108" w:type="dxa"/>
      </w:tblCellMar>
    </w:tblPr>
  </w:style>
  <w:style w:type="table" w:customStyle="1" w:styleId="affff0">
    <w:basedOn w:val="TableNormal9"/>
    <w:pPr>
      <w:spacing w:after="0" w:line="240" w:lineRule="auto"/>
    </w:pPr>
    <w:tblPr>
      <w:tblStyleRowBandSize w:val="1"/>
      <w:tblStyleColBandSize w:val="1"/>
      <w:tblCellMar>
        <w:left w:w="108" w:type="dxa"/>
        <w:right w:w="108" w:type="dxa"/>
      </w:tblCellMar>
    </w:tblPr>
  </w:style>
  <w:style w:type="table" w:customStyle="1" w:styleId="affff1">
    <w:basedOn w:val="TableNormal9"/>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8"/>
    <w:pPr>
      <w:spacing w:after="0" w:line="240" w:lineRule="auto"/>
    </w:pPr>
    <w:tblPr>
      <w:tblStyleRowBandSize w:val="1"/>
      <w:tblStyleColBandSize w:val="1"/>
      <w:tblCellMar>
        <w:left w:w="108" w:type="dxa"/>
        <w:right w:w="108" w:type="dxa"/>
      </w:tblCellMar>
    </w:tblPr>
  </w:style>
  <w:style w:type="table" w:customStyle="1" w:styleId="affff3">
    <w:basedOn w:val="TableNormal8"/>
    <w:pPr>
      <w:spacing w:after="0" w:line="240" w:lineRule="auto"/>
    </w:pPr>
    <w:tblPr>
      <w:tblStyleRowBandSize w:val="1"/>
      <w:tblStyleColBandSize w:val="1"/>
      <w:tblCellMar>
        <w:left w:w="108" w:type="dxa"/>
        <w:right w:w="108" w:type="dxa"/>
      </w:tblCellMar>
    </w:tblPr>
  </w:style>
  <w:style w:type="table" w:customStyle="1" w:styleId="affff4">
    <w:basedOn w:val="TableNormal8"/>
    <w:pPr>
      <w:spacing w:after="0" w:line="240" w:lineRule="auto"/>
    </w:pPr>
    <w:tblPr>
      <w:tblStyleRowBandSize w:val="1"/>
      <w:tblStyleColBandSize w:val="1"/>
      <w:tblCellMar>
        <w:left w:w="108" w:type="dxa"/>
        <w:right w:w="108" w:type="dxa"/>
      </w:tblCellMar>
    </w:tblPr>
  </w:style>
  <w:style w:type="table" w:customStyle="1" w:styleId="affff5">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7"/>
    <w:pPr>
      <w:spacing w:after="0" w:line="240" w:lineRule="auto"/>
    </w:pPr>
    <w:tblPr>
      <w:tblStyleRowBandSize w:val="1"/>
      <w:tblStyleColBandSize w:val="1"/>
      <w:tblCellMar>
        <w:left w:w="108" w:type="dxa"/>
        <w:right w:w="108" w:type="dxa"/>
      </w:tblCellMar>
    </w:tblPr>
  </w:style>
  <w:style w:type="table" w:customStyle="1" w:styleId="affff7">
    <w:basedOn w:val="TableNormal7"/>
    <w:pPr>
      <w:spacing w:after="0" w:line="240" w:lineRule="auto"/>
    </w:pPr>
    <w:tblPr>
      <w:tblStyleRowBandSize w:val="1"/>
      <w:tblStyleColBandSize w:val="1"/>
      <w:tblCellMar>
        <w:left w:w="108" w:type="dxa"/>
        <w:right w:w="108" w:type="dxa"/>
      </w:tblCellMar>
    </w:tblPr>
  </w:style>
  <w:style w:type="table" w:customStyle="1" w:styleId="affff8">
    <w:basedOn w:val="TableNormal7"/>
    <w:pPr>
      <w:spacing w:after="0" w:line="240" w:lineRule="auto"/>
    </w:pPr>
    <w:tblPr>
      <w:tblStyleRowBandSize w:val="1"/>
      <w:tblStyleColBandSize w:val="1"/>
      <w:tblCellMar>
        <w:left w:w="108" w:type="dxa"/>
        <w:right w:w="108" w:type="dxa"/>
      </w:tblCellMar>
    </w:tblPr>
  </w:style>
  <w:style w:type="table" w:customStyle="1" w:styleId="affff9">
    <w:basedOn w:val="TableNormal7"/>
    <w:pPr>
      <w:spacing w:after="0" w:line="240" w:lineRule="auto"/>
    </w:pPr>
    <w:tblPr>
      <w:tblStyleRowBandSize w:val="1"/>
      <w:tblStyleColBandSize w:val="1"/>
      <w:tblCellMar>
        <w:left w:w="108" w:type="dxa"/>
        <w:right w:w="108" w:type="dxa"/>
      </w:tblCellMar>
    </w:tblPr>
  </w:style>
  <w:style w:type="table" w:customStyle="1" w:styleId="affffa">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6"/>
    <w:pPr>
      <w:spacing w:after="0" w:line="240" w:lineRule="auto"/>
    </w:pPr>
    <w:tblPr>
      <w:tblStyleRowBandSize w:val="1"/>
      <w:tblStyleColBandSize w:val="1"/>
      <w:tblCellMar>
        <w:left w:w="108" w:type="dxa"/>
        <w:right w:w="108" w:type="dxa"/>
      </w:tblCellMar>
    </w:tblPr>
  </w:style>
  <w:style w:type="table" w:customStyle="1" w:styleId="affffc">
    <w:basedOn w:val="TableNormal6"/>
    <w:pPr>
      <w:spacing w:after="0" w:line="240" w:lineRule="auto"/>
    </w:pPr>
    <w:tblPr>
      <w:tblStyleRowBandSize w:val="1"/>
      <w:tblStyleColBandSize w:val="1"/>
      <w:tblCellMar>
        <w:left w:w="108" w:type="dxa"/>
        <w:right w:w="108" w:type="dxa"/>
      </w:tblCellMar>
    </w:tblPr>
  </w:style>
  <w:style w:type="table" w:customStyle="1" w:styleId="affffd">
    <w:basedOn w:val="TableNormal6"/>
    <w:pPr>
      <w:spacing w:after="0" w:line="240" w:lineRule="auto"/>
    </w:pPr>
    <w:tblPr>
      <w:tblStyleRowBandSize w:val="1"/>
      <w:tblStyleColBandSize w:val="1"/>
      <w:tblCellMar>
        <w:left w:w="108" w:type="dxa"/>
        <w:right w:w="108" w:type="dxa"/>
      </w:tblCellMar>
    </w:tblPr>
  </w:style>
  <w:style w:type="table" w:customStyle="1" w:styleId="affffe">
    <w:basedOn w:val="TableNormal6"/>
    <w:pPr>
      <w:spacing w:after="0" w:line="240" w:lineRule="auto"/>
    </w:pPr>
    <w:tblPr>
      <w:tblStyleRowBandSize w:val="1"/>
      <w:tblStyleColBandSize w:val="1"/>
      <w:tblCellMar>
        <w:left w:w="108" w:type="dxa"/>
        <w:right w:w="108" w:type="dxa"/>
      </w:tblCellMar>
    </w:tblPr>
  </w:style>
  <w:style w:type="table" w:customStyle="1" w:styleId="afffff">
    <w:basedOn w:val="TableNormal5"/>
    <w:pPr>
      <w:spacing w:after="0" w:line="240" w:lineRule="auto"/>
    </w:pPr>
    <w:tblPr>
      <w:tblStyleRowBandSize w:val="1"/>
      <w:tblStyleColBandSize w:val="1"/>
      <w:tblCellMar>
        <w:left w:w="108" w:type="dxa"/>
        <w:right w:w="108" w:type="dxa"/>
      </w:tblCellMar>
    </w:tblPr>
  </w:style>
  <w:style w:type="table" w:customStyle="1" w:styleId="afffff0">
    <w:basedOn w:val="TableNormal5"/>
    <w:pPr>
      <w:spacing w:after="0" w:line="240" w:lineRule="auto"/>
    </w:pPr>
    <w:tblPr>
      <w:tblStyleRowBandSize w:val="1"/>
      <w:tblStyleColBandSize w:val="1"/>
      <w:tblCellMar>
        <w:left w:w="108" w:type="dxa"/>
        <w:right w:w="108" w:type="dxa"/>
      </w:tblCellMar>
    </w:tblPr>
  </w:style>
  <w:style w:type="table" w:customStyle="1" w:styleId="afffff1">
    <w:basedOn w:val="TableNormal5"/>
    <w:pPr>
      <w:spacing w:after="0" w:line="240" w:lineRule="auto"/>
    </w:pPr>
    <w:tblPr>
      <w:tblStyleRowBandSize w:val="1"/>
      <w:tblStyleColBandSize w:val="1"/>
      <w:tblCellMar>
        <w:left w:w="108" w:type="dxa"/>
        <w:right w:w="108" w:type="dxa"/>
      </w:tblCellMar>
    </w:tblPr>
  </w:style>
  <w:style w:type="table" w:customStyle="1" w:styleId="afffff2">
    <w:basedOn w:val="TableNormal5"/>
    <w:pPr>
      <w:spacing w:after="0" w:line="240" w:lineRule="auto"/>
    </w:pPr>
    <w:tblPr>
      <w:tblStyleRowBandSize w:val="1"/>
      <w:tblStyleColBandSize w:val="1"/>
      <w:tblCellMar>
        <w:left w:w="108" w:type="dxa"/>
        <w:right w:w="108" w:type="dxa"/>
      </w:tblCellMar>
    </w:tblPr>
  </w:style>
  <w:style w:type="table" w:customStyle="1" w:styleId="afffff3">
    <w:basedOn w:val="TableNormal5"/>
    <w:pPr>
      <w:spacing w:after="0" w:line="240" w:lineRule="auto"/>
    </w:pPr>
    <w:tblPr>
      <w:tblStyleRowBandSize w:val="1"/>
      <w:tblStyleColBandSize w:val="1"/>
      <w:tblCellMar>
        <w:left w:w="108" w:type="dxa"/>
        <w:right w:w="108" w:type="dxa"/>
      </w:tblCellMar>
    </w:tblPr>
  </w:style>
  <w:style w:type="table" w:customStyle="1" w:styleId="afffff4">
    <w:basedOn w:val="TableNormal4"/>
    <w:pPr>
      <w:spacing w:after="0" w:line="240" w:lineRule="auto"/>
    </w:pPr>
    <w:tblPr>
      <w:tblStyleRowBandSize w:val="1"/>
      <w:tblStyleColBandSize w:val="1"/>
      <w:tblCellMar>
        <w:left w:w="108" w:type="dxa"/>
        <w:right w:w="108" w:type="dxa"/>
      </w:tblCellMar>
    </w:tblPr>
  </w:style>
  <w:style w:type="table" w:customStyle="1" w:styleId="afffff5">
    <w:basedOn w:val="TableNormal4"/>
    <w:pPr>
      <w:spacing w:after="0" w:line="240" w:lineRule="auto"/>
    </w:pPr>
    <w:tblPr>
      <w:tblStyleRowBandSize w:val="1"/>
      <w:tblStyleColBandSize w:val="1"/>
      <w:tblCellMar>
        <w:left w:w="108" w:type="dxa"/>
        <w:right w:w="108" w:type="dxa"/>
      </w:tblCellMar>
    </w:tblPr>
  </w:style>
  <w:style w:type="table" w:customStyle="1" w:styleId="afffff6">
    <w:basedOn w:val="TableNormal4"/>
    <w:pPr>
      <w:spacing w:after="0" w:line="240" w:lineRule="auto"/>
    </w:pPr>
    <w:tblPr>
      <w:tblStyleRowBandSize w:val="1"/>
      <w:tblStyleColBandSize w:val="1"/>
      <w:tblCellMar>
        <w:left w:w="108" w:type="dxa"/>
        <w:right w:w="108" w:type="dxa"/>
      </w:tblCellMar>
    </w:tblPr>
  </w:style>
  <w:style w:type="table" w:customStyle="1" w:styleId="afffff7">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table" w:customStyle="1" w:styleId="afffff8">
    <w:basedOn w:val="TableNormal3"/>
    <w:pPr>
      <w:spacing w:after="0" w:line="240" w:lineRule="auto"/>
    </w:pPr>
    <w:tblPr>
      <w:tblStyleRowBandSize w:val="1"/>
      <w:tblStyleColBandSize w:val="1"/>
      <w:tblCellMar>
        <w:left w:w="108" w:type="dxa"/>
        <w:right w:w="108" w:type="dxa"/>
      </w:tblCellMar>
    </w:tblPr>
  </w:style>
  <w:style w:type="table" w:customStyle="1" w:styleId="afffff9">
    <w:basedOn w:val="TableNormal3"/>
    <w:pPr>
      <w:spacing w:after="0" w:line="240" w:lineRule="auto"/>
    </w:pPr>
    <w:tblPr>
      <w:tblStyleRowBandSize w:val="1"/>
      <w:tblStyleColBandSize w:val="1"/>
      <w:tblCellMar>
        <w:left w:w="108" w:type="dxa"/>
        <w:right w:w="108" w:type="dxa"/>
      </w:tblCellMar>
    </w:tblPr>
  </w:style>
  <w:style w:type="table" w:customStyle="1" w:styleId="afffffa">
    <w:basedOn w:val="TableNormal3"/>
    <w:pPr>
      <w:spacing w:after="0" w:line="240" w:lineRule="auto"/>
    </w:pPr>
    <w:tblPr>
      <w:tblStyleRowBandSize w:val="1"/>
      <w:tblStyleColBandSize w:val="1"/>
      <w:tblCellMar>
        <w:left w:w="108" w:type="dxa"/>
        <w:right w:w="108" w:type="dxa"/>
      </w:tblCellMar>
    </w:tblPr>
  </w:style>
  <w:style w:type="table" w:customStyle="1" w:styleId="afffffb">
    <w:basedOn w:val="TableNormal3"/>
    <w:pPr>
      <w:spacing w:after="0" w:line="240" w:lineRule="auto"/>
    </w:pPr>
    <w:tblPr>
      <w:tblStyleRowBandSize w:val="1"/>
      <w:tblStyleColBandSize w:val="1"/>
      <w:tblCellMar>
        <w:left w:w="108" w:type="dxa"/>
        <w:right w:w="108" w:type="dxa"/>
      </w:tblCellMar>
    </w:tblPr>
  </w:style>
  <w:style w:type="table" w:customStyle="1" w:styleId="afffffc">
    <w:basedOn w:val="TableNormal3"/>
    <w:pPr>
      <w:spacing w:after="0" w:line="240" w:lineRule="auto"/>
    </w:pPr>
    <w:tblPr>
      <w:tblStyleRowBandSize w:val="1"/>
      <w:tblStyleColBandSize w:val="1"/>
      <w:tblCellMar>
        <w:left w:w="108" w:type="dxa"/>
        <w:right w:w="108" w:type="dxa"/>
      </w:tblCellMar>
    </w:tblPr>
  </w:style>
  <w:style w:type="table" w:customStyle="1" w:styleId="afffffd">
    <w:basedOn w:val="TableNormal2"/>
    <w:pPr>
      <w:spacing w:after="0" w:line="240" w:lineRule="auto"/>
    </w:pPr>
    <w:tblPr>
      <w:tblStyleRowBandSize w:val="1"/>
      <w:tblStyleColBandSize w:val="1"/>
      <w:tblCellMar>
        <w:left w:w="108" w:type="dxa"/>
        <w:right w:w="108" w:type="dxa"/>
      </w:tblCellMar>
    </w:tblPr>
  </w:style>
  <w:style w:type="table" w:customStyle="1" w:styleId="afffffe">
    <w:basedOn w:val="TableNormal2"/>
    <w:pPr>
      <w:spacing w:after="0" w:line="240" w:lineRule="auto"/>
    </w:pPr>
    <w:tblPr>
      <w:tblStyleRowBandSize w:val="1"/>
      <w:tblStyleColBandSize w:val="1"/>
      <w:tblCellMar>
        <w:left w:w="108" w:type="dxa"/>
        <w:right w:w="108" w:type="dxa"/>
      </w:tblCellMar>
    </w:tblPr>
  </w:style>
  <w:style w:type="table" w:customStyle="1" w:styleId="affffff">
    <w:basedOn w:val="TableNormal2"/>
    <w:pPr>
      <w:spacing w:after="0" w:line="240" w:lineRule="auto"/>
    </w:pPr>
    <w:tblPr>
      <w:tblStyleRowBandSize w:val="1"/>
      <w:tblStyleColBandSize w:val="1"/>
      <w:tblCellMar>
        <w:left w:w="108" w:type="dxa"/>
        <w:right w:w="108" w:type="dxa"/>
      </w:tblCellMar>
    </w:tblPr>
  </w:style>
  <w:style w:type="table" w:customStyle="1" w:styleId="affffff0">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BF2B20"/>
    <w:rPr>
      <w:color w:val="605E5C"/>
      <w:shd w:val="clear" w:color="auto" w:fill="E1DFDD"/>
    </w:rPr>
  </w:style>
  <w:style w:type="table" w:customStyle="1" w:styleId="affffff1">
    <w:basedOn w:val="TableNormal1"/>
    <w:pPr>
      <w:spacing w:after="0" w:line="240" w:lineRule="auto"/>
    </w:pPr>
    <w:tblPr>
      <w:tblStyleRowBandSize w:val="1"/>
      <w:tblStyleColBandSize w:val="1"/>
      <w:tblCellMar>
        <w:left w:w="108" w:type="dxa"/>
        <w:right w:w="108" w:type="dxa"/>
      </w:tblCellMar>
    </w:tblPr>
  </w:style>
  <w:style w:type="table" w:customStyle="1" w:styleId="affffff2">
    <w:basedOn w:val="TableNormal1"/>
    <w:pPr>
      <w:spacing w:after="0" w:line="240" w:lineRule="auto"/>
    </w:pPr>
    <w:tblPr>
      <w:tblStyleRowBandSize w:val="1"/>
      <w:tblStyleColBandSize w:val="1"/>
      <w:tblCellMar>
        <w:left w:w="108" w:type="dxa"/>
        <w:right w:w="108" w:type="dxa"/>
      </w:tblCellMar>
    </w:tblPr>
  </w:style>
  <w:style w:type="table" w:customStyle="1" w:styleId="affffff3">
    <w:basedOn w:val="TableNormal1"/>
    <w:pPr>
      <w:spacing w:after="0" w:line="240" w:lineRule="auto"/>
    </w:pPr>
    <w:tblPr>
      <w:tblStyleRowBandSize w:val="1"/>
      <w:tblStyleColBandSize w:val="1"/>
      <w:tblCellMar>
        <w:left w:w="108" w:type="dxa"/>
        <w:right w:w="108" w:type="dxa"/>
      </w:tblCellMar>
    </w:tblPr>
  </w:style>
  <w:style w:type="table" w:customStyle="1" w:styleId="affffff4">
    <w:basedOn w:val="TableNormal1"/>
    <w:pPr>
      <w:spacing w:after="0" w:line="240" w:lineRule="auto"/>
    </w:pPr>
    <w:tblPr>
      <w:tblStyleRowBandSize w:val="1"/>
      <w:tblStyleColBandSize w:val="1"/>
      <w:tblCellMar>
        <w:left w:w="108" w:type="dxa"/>
        <w:right w:w="108" w:type="dxa"/>
      </w:tblCellMar>
    </w:tblPr>
  </w:style>
  <w:style w:type="table" w:customStyle="1" w:styleId="affffff5">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9">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hQ224emfGww/hapJDKsP/1upg==">CgMxLjAyDmgudTlsams2b2R2cThjMghoLmdqZGd4czIOaC52MWkyazF2Y3pkeGsyDmguc3UwanNzaWlna3BxMg5oLnFicWg4bHQ5YW9vbzIOaC41MTI4OXBydHYweTcyCWguMmV0OTJwMDIOaC5vY2s3M25iMTEwejgyDmguYmxmc29peTF6ZTBiMg5oLjJjcnFnb3ZoeHNzeDIOaC55ODdybXF0NHBlcWgyDmgua25rZnU5NDc3Y3JvMg5oLndpZXYyOTh1YzlqejIOaC5hcmI1aXcxeTR2dnEyDmguZm9qZ2VqZDlyM3pzMg5oLjk5Z3JkeWZ0amdqcDgAciExQ2V2STZjSjh0T0JIX1A0bVdhZXhETnBQNENwMTZhYm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A5EED2-27EB-486F-9A24-F50810B9B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4238</Words>
  <Characters>22125</Characters>
  <Application>Microsoft Office Word</Application>
  <DocSecurity>0</DocSecurity>
  <Lines>442</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Roxana Lechuga</cp:lastModifiedBy>
  <cp:revision>4</cp:revision>
  <cp:lastPrinted>2025-09-25T23:06:00Z</cp:lastPrinted>
  <dcterms:created xsi:type="dcterms:W3CDTF">2025-09-25T23:06:00Z</dcterms:created>
  <dcterms:modified xsi:type="dcterms:W3CDTF">2025-11-28T05:40:00Z</dcterms:modified>
</cp:coreProperties>
</file>