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530" w:rsidRDefault="004F2530">
      <w:pPr>
        <w:widowControl w:val="0"/>
        <w:pBdr>
          <w:top w:val="nil"/>
          <w:left w:val="nil"/>
          <w:bottom w:val="nil"/>
          <w:right w:val="nil"/>
          <w:between w:val="nil"/>
        </w:pBdr>
        <w:spacing w:line="276" w:lineRule="auto"/>
      </w:pPr>
    </w:p>
    <w:p w:rsidR="004F2530" w:rsidRDefault="004F2530">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32tp7ogt3v7q" w:colFirst="0" w:colLast="0"/>
      <w:bookmarkEnd w:id="0"/>
    </w:p>
    <w:p w:rsidR="004F2530" w:rsidRDefault="006040FD">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06666/INFOEM/IP/RR/2025 Y ACUMULADOS</w:t>
      </w:r>
    </w:p>
    <w:p w:rsidR="004F2530" w:rsidRDefault="004F2530">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4B5099" w:rsidRDefault="004B5099">
      <w:pPr>
        <w:spacing w:line="360" w:lineRule="auto"/>
        <w:jc w:val="both"/>
      </w:pPr>
    </w:p>
    <w:sdt>
      <w:sdtPr>
        <w:rPr>
          <w:sz w:val="20"/>
          <w:szCs w:val="20"/>
          <w:lang w:val="es-ES"/>
        </w:rPr>
        <w:id w:val="-337228724"/>
        <w:docPartObj>
          <w:docPartGallery w:val="Table of Contents"/>
          <w:docPartUnique/>
        </w:docPartObj>
      </w:sdtPr>
      <w:sdtEndPr>
        <w:rPr>
          <w:b/>
          <w:bCs/>
        </w:rPr>
      </w:sdtEndPr>
      <w:sdtContent>
        <w:p w:rsidR="004B5099" w:rsidRDefault="004B5099">
          <w:pPr>
            <w:pStyle w:val="TtulodeTDC"/>
          </w:pPr>
        </w:p>
        <w:p w:rsidR="004B5099" w:rsidRPr="00376470" w:rsidRDefault="004B5099">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5759424" w:history="1">
            <w:r w:rsidRPr="00376470">
              <w:rPr>
                <w:rStyle w:val="Hipervnculo"/>
                <w:rFonts w:ascii="Palatino Linotype" w:eastAsia="Palatino Linotype" w:hAnsi="Palatino Linotype" w:cs="Palatino Linotype"/>
                <w:bCs/>
                <w:noProof/>
              </w:rPr>
              <w:t>A N T E C E D E N T E S</w:t>
            </w:r>
            <w:r w:rsidRPr="00376470">
              <w:rPr>
                <w:noProof/>
                <w:webHidden/>
              </w:rPr>
              <w:tab/>
            </w:r>
            <w:r w:rsidRPr="00376470">
              <w:rPr>
                <w:noProof/>
                <w:webHidden/>
              </w:rPr>
              <w:fldChar w:fldCharType="begin"/>
            </w:r>
            <w:r w:rsidRPr="00376470">
              <w:rPr>
                <w:noProof/>
                <w:webHidden/>
              </w:rPr>
              <w:instrText xml:space="preserve"> PAGEREF _Toc215759424 \h </w:instrText>
            </w:r>
            <w:r w:rsidRPr="00376470">
              <w:rPr>
                <w:noProof/>
                <w:webHidden/>
              </w:rPr>
            </w:r>
            <w:r w:rsidRPr="00376470">
              <w:rPr>
                <w:noProof/>
                <w:webHidden/>
              </w:rPr>
              <w:fldChar w:fldCharType="separate"/>
            </w:r>
            <w:r w:rsidR="00A2619A">
              <w:rPr>
                <w:noProof/>
                <w:webHidden/>
              </w:rPr>
              <w:t>2</w:t>
            </w:r>
            <w:r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25" w:history="1">
            <w:r w:rsidR="004B5099" w:rsidRPr="00376470">
              <w:rPr>
                <w:rStyle w:val="Hipervnculo"/>
                <w:rFonts w:ascii="Palatino Linotype" w:eastAsia="Palatino Linotype" w:hAnsi="Palatino Linotype" w:cs="Palatino Linotype"/>
                <w:bCs/>
                <w:noProof/>
              </w:rPr>
              <w:t>I. Presentación de la solicitud de información</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_Toc215759425 \h </w:instrText>
            </w:r>
            <w:r w:rsidR="004B5099" w:rsidRPr="00376470">
              <w:rPr>
                <w:noProof/>
                <w:webHidden/>
              </w:rPr>
            </w:r>
            <w:r w:rsidR="004B5099" w:rsidRPr="00376470">
              <w:rPr>
                <w:noProof/>
                <w:webHidden/>
              </w:rPr>
              <w:fldChar w:fldCharType="separate"/>
            </w:r>
            <w:r w:rsidR="00A2619A">
              <w:rPr>
                <w:noProof/>
                <w:webHidden/>
              </w:rPr>
              <w:t>2</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26" w:history="1">
            <w:r w:rsidR="004B5099" w:rsidRPr="00376470">
              <w:rPr>
                <w:rStyle w:val="Hipervnculo"/>
                <w:rFonts w:ascii="Palatino Linotype" w:eastAsia="Palatino Linotype" w:hAnsi="Palatino Linotype" w:cs="Palatino Linotype"/>
                <w:bCs/>
                <w:noProof/>
              </w:rPr>
              <w:t>II. Respuesta del Sujeto Obligado</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_Toc215759426 \h </w:instrText>
            </w:r>
            <w:r w:rsidR="004B5099" w:rsidRPr="00376470">
              <w:rPr>
                <w:noProof/>
                <w:webHidden/>
              </w:rPr>
            </w:r>
            <w:r w:rsidR="004B5099" w:rsidRPr="00376470">
              <w:rPr>
                <w:noProof/>
                <w:webHidden/>
              </w:rPr>
              <w:fldChar w:fldCharType="separate"/>
            </w:r>
            <w:r w:rsidR="00A2619A">
              <w:rPr>
                <w:noProof/>
                <w:webHidden/>
              </w:rPr>
              <w:t>4</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27" w:history="1">
            <w:r w:rsidR="004B5099" w:rsidRPr="00376470">
              <w:rPr>
                <w:rStyle w:val="Hipervnculo"/>
                <w:rFonts w:ascii="Palatino Linotype" w:eastAsia="Palatino Linotype" w:hAnsi="Palatino Linotype" w:cs="Palatino Linotype"/>
                <w:bCs/>
                <w:noProof/>
              </w:rPr>
              <w:t>III. Interposición del Recurso de Revisión</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_Toc215759427 \h </w:instrText>
            </w:r>
            <w:r w:rsidR="004B5099" w:rsidRPr="00376470">
              <w:rPr>
                <w:noProof/>
                <w:webHidden/>
              </w:rPr>
            </w:r>
            <w:r w:rsidR="004B5099" w:rsidRPr="00376470">
              <w:rPr>
                <w:noProof/>
                <w:webHidden/>
              </w:rPr>
              <w:fldChar w:fldCharType="separate"/>
            </w:r>
            <w:r w:rsidR="00A2619A">
              <w:rPr>
                <w:noProof/>
                <w:webHidden/>
              </w:rPr>
              <w:t>10</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28" w:history="1">
            <w:r w:rsidR="004B5099" w:rsidRPr="00376470">
              <w:rPr>
                <w:rStyle w:val="Hipervnculo"/>
                <w:rFonts w:ascii="Palatino Linotype" w:eastAsia="Palatino Linotype" w:hAnsi="Palatino Linotype" w:cs="Palatino Linotype"/>
                <w:bCs/>
                <w:noProof/>
              </w:rPr>
              <w:t>IV. Trámite del Recurso de Revisión ante este Instituto</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_Toc215759428 \h </w:instrText>
            </w:r>
            <w:r w:rsidR="004B5099" w:rsidRPr="00376470">
              <w:rPr>
                <w:noProof/>
                <w:webHidden/>
              </w:rPr>
            </w:r>
            <w:r w:rsidR="004B5099" w:rsidRPr="00376470">
              <w:rPr>
                <w:noProof/>
                <w:webHidden/>
              </w:rPr>
              <w:fldChar w:fldCharType="separate"/>
            </w:r>
            <w:r w:rsidR="00A2619A">
              <w:rPr>
                <w:noProof/>
                <w:webHidden/>
              </w:rPr>
              <w:t>11</w:t>
            </w:r>
            <w:r w:rsidR="004B5099" w:rsidRPr="00376470">
              <w:rPr>
                <w:noProof/>
                <w:webHidden/>
              </w:rPr>
              <w:fldChar w:fldCharType="end"/>
            </w:r>
          </w:hyperlink>
        </w:p>
        <w:p w:rsidR="004B5099" w:rsidRPr="00376470" w:rsidRDefault="003A56B6">
          <w:pPr>
            <w:pStyle w:val="TDC1"/>
            <w:tabs>
              <w:tab w:val="right" w:leader="dot" w:pos="8828"/>
            </w:tabs>
            <w:rPr>
              <w:rFonts w:cstheme="minorBidi"/>
              <w:noProof/>
            </w:rPr>
          </w:pPr>
          <w:hyperlink w:anchor="_Toc215759429" w:history="1">
            <w:r w:rsidR="004B5099" w:rsidRPr="00376470">
              <w:rPr>
                <w:rStyle w:val="Hipervnculo"/>
                <w:rFonts w:ascii="Palatino Linotype" w:eastAsia="Palatino Linotype" w:hAnsi="Palatino Linotype" w:cs="Palatino Linotype"/>
                <w:bCs/>
                <w:noProof/>
              </w:rPr>
              <w:t>C O N S I D E R A N D O S</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_Toc215759429 \h </w:instrText>
            </w:r>
            <w:r w:rsidR="004B5099" w:rsidRPr="00376470">
              <w:rPr>
                <w:noProof/>
                <w:webHidden/>
              </w:rPr>
            </w:r>
            <w:r w:rsidR="004B5099" w:rsidRPr="00376470">
              <w:rPr>
                <w:noProof/>
                <w:webHidden/>
              </w:rPr>
              <w:fldChar w:fldCharType="separate"/>
            </w:r>
            <w:r w:rsidR="00A2619A">
              <w:rPr>
                <w:noProof/>
                <w:webHidden/>
              </w:rPr>
              <w:t>16</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30" w:history="1">
            <w:r w:rsidR="004B5099" w:rsidRPr="00376470">
              <w:rPr>
                <w:rStyle w:val="Hipervnculo"/>
                <w:rFonts w:ascii="Palatino Linotype" w:eastAsia="Palatino Linotype" w:hAnsi="Palatino Linotype" w:cs="Palatino Linotype"/>
                <w:bCs/>
                <w:noProof/>
              </w:rPr>
              <w:t>PRIMERO. Competencia</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_Toc215759430 \h </w:instrText>
            </w:r>
            <w:r w:rsidR="004B5099" w:rsidRPr="00376470">
              <w:rPr>
                <w:noProof/>
                <w:webHidden/>
              </w:rPr>
            </w:r>
            <w:r w:rsidR="004B5099" w:rsidRPr="00376470">
              <w:rPr>
                <w:noProof/>
                <w:webHidden/>
              </w:rPr>
              <w:fldChar w:fldCharType="separate"/>
            </w:r>
            <w:r w:rsidR="00A2619A">
              <w:rPr>
                <w:noProof/>
                <w:webHidden/>
              </w:rPr>
              <w:t>16</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31" w:history="1">
            <w:r w:rsidR="004B5099" w:rsidRPr="00376470">
              <w:rPr>
                <w:rStyle w:val="Hipervnculo"/>
                <w:rFonts w:ascii="Palatino Linotype" w:eastAsia="Palatino Linotype" w:hAnsi="Palatino Linotype" w:cs="Palatino Linotype"/>
                <w:bCs/>
                <w:noProof/>
              </w:rPr>
              <w:t>SEGUNDO. Causales de improcedencia y sobreseimiento</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_Toc215759431 \h </w:instrText>
            </w:r>
            <w:r w:rsidR="004B5099" w:rsidRPr="00376470">
              <w:rPr>
                <w:noProof/>
                <w:webHidden/>
              </w:rPr>
            </w:r>
            <w:r w:rsidR="004B5099" w:rsidRPr="00376470">
              <w:rPr>
                <w:noProof/>
                <w:webHidden/>
              </w:rPr>
              <w:fldChar w:fldCharType="separate"/>
            </w:r>
            <w:r w:rsidR="00A2619A">
              <w:rPr>
                <w:noProof/>
                <w:webHidden/>
              </w:rPr>
              <w:t>16</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32" w:history="1">
            <w:r w:rsidR="004B5099" w:rsidRPr="00376470">
              <w:rPr>
                <w:rStyle w:val="Hipervnculo"/>
                <w:rFonts w:ascii="Palatino Linotype" w:eastAsia="Palatino Linotype" w:hAnsi="Palatino Linotype" w:cs="Palatino Linotype"/>
                <w:bCs/>
                <w:noProof/>
              </w:rPr>
              <w:t>CUARTO. Marco normativo aplicable en materia de transparencia y acceso a la información pública</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_Toc215759432 \h </w:instrText>
            </w:r>
            <w:r w:rsidR="004B5099" w:rsidRPr="00376470">
              <w:rPr>
                <w:noProof/>
                <w:webHidden/>
              </w:rPr>
            </w:r>
            <w:r w:rsidR="004B5099" w:rsidRPr="00376470">
              <w:rPr>
                <w:noProof/>
                <w:webHidden/>
              </w:rPr>
              <w:fldChar w:fldCharType="separate"/>
            </w:r>
            <w:r w:rsidR="00A2619A">
              <w:rPr>
                <w:noProof/>
                <w:webHidden/>
              </w:rPr>
              <w:t>20</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33" w:history="1">
            <w:r w:rsidR="004B5099" w:rsidRPr="00376470">
              <w:rPr>
                <w:rStyle w:val="Hipervnculo"/>
                <w:rFonts w:ascii="Palatino Linotype" w:eastAsia="Palatino Linotype" w:hAnsi="Palatino Linotype" w:cs="Palatino Linotype"/>
                <w:bCs/>
                <w:noProof/>
              </w:rPr>
              <w:t>QUINTO. Estudio de Fondo</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_Toc215759433 \h </w:instrText>
            </w:r>
            <w:r w:rsidR="004B5099" w:rsidRPr="00376470">
              <w:rPr>
                <w:noProof/>
                <w:webHidden/>
              </w:rPr>
            </w:r>
            <w:r w:rsidR="004B5099" w:rsidRPr="00376470">
              <w:rPr>
                <w:noProof/>
                <w:webHidden/>
              </w:rPr>
              <w:fldChar w:fldCharType="separate"/>
            </w:r>
            <w:r w:rsidR="00A2619A">
              <w:rPr>
                <w:noProof/>
                <w:webHidden/>
              </w:rPr>
              <w:t>21</w:t>
            </w:r>
            <w:r w:rsidR="004B5099" w:rsidRPr="00376470">
              <w:rPr>
                <w:noProof/>
                <w:webHidden/>
              </w:rPr>
              <w:fldChar w:fldCharType="end"/>
            </w:r>
          </w:hyperlink>
        </w:p>
        <w:p w:rsidR="004B5099" w:rsidRPr="00376470" w:rsidRDefault="003A56B6">
          <w:pPr>
            <w:pStyle w:val="TDC2"/>
            <w:tabs>
              <w:tab w:val="right" w:leader="dot" w:pos="8828"/>
            </w:tabs>
            <w:rPr>
              <w:rFonts w:cstheme="minorBidi"/>
              <w:noProof/>
            </w:rPr>
          </w:pPr>
          <w:hyperlink w:anchor="_Toc215759434" w:history="1">
            <w:r w:rsidR="004B5099" w:rsidRPr="00376470">
              <w:rPr>
                <w:rStyle w:val="Hipervnculo"/>
                <w:rFonts w:ascii="Palatino Linotype" w:eastAsia="Palatino Linotype" w:hAnsi="Palatino Linotype" w:cs="Palatino Linotype"/>
                <w:bCs/>
                <w:noProof/>
              </w:rPr>
              <w:t>SEXTO. Decisión</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_Toc215759434 \h </w:instrText>
            </w:r>
            <w:r w:rsidR="004B5099" w:rsidRPr="00376470">
              <w:rPr>
                <w:noProof/>
                <w:webHidden/>
              </w:rPr>
            </w:r>
            <w:r w:rsidR="004B5099" w:rsidRPr="00376470">
              <w:rPr>
                <w:noProof/>
                <w:webHidden/>
              </w:rPr>
              <w:fldChar w:fldCharType="separate"/>
            </w:r>
            <w:r w:rsidR="00A2619A">
              <w:rPr>
                <w:noProof/>
                <w:webHidden/>
              </w:rPr>
              <w:t>32</w:t>
            </w:r>
            <w:r w:rsidR="004B5099" w:rsidRPr="00376470">
              <w:rPr>
                <w:noProof/>
                <w:webHidden/>
              </w:rPr>
              <w:fldChar w:fldCharType="end"/>
            </w:r>
          </w:hyperlink>
        </w:p>
        <w:p w:rsidR="004B5099" w:rsidRPr="00376470" w:rsidRDefault="003A56B6">
          <w:pPr>
            <w:pStyle w:val="TDC1"/>
            <w:tabs>
              <w:tab w:val="right" w:leader="dot" w:pos="8828"/>
            </w:tabs>
            <w:rPr>
              <w:rFonts w:cstheme="minorBidi"/>
              <w:noProof/>
            </w:rPr>
          </w:pPr>
          <w:hyperlink w:anchor="_Toc215759435" w:history="1">
            <w:r w:rsidR="004B5099" w:rsidRPr="00376470">
              <w:rPr>
                <w:rStyle w:val="Hipervnculo"/>
                <w:rFonts w:ascii="Palatino Linotype" w:eastAsia="Palatino Linotype" w:hAnsi="Palatino Linotype" w:cs="Palatino Linotype"/>
                <w:bCs/>
                <w:noProof/>
              </w:rPr>
              <w:t>R E S U E L V E</w:t>
            </w:r>
            <w:r w:rsidR="004B5099" w:rsidRPr="00376470">
              <w:rPr>
                <w:noProof/>
                <w:webHidden/>
              </w:rPr>
              <w:tab/>
            </w:r>
            <w:r w:rsidR="004B5099" w:rsidRPr="00376470">
              <w:rPr>
                <w:noProof/>
                <w:webHidden/>
              </w:rPr>
              <w:fldChar w:fldCharType="begin"/>
            </w:r>
            <w:r w:rsidR="004B5099" w:rsidRPr="00376470">
              <w:rPr>
                <w:noProof/>
                <w:webHidden/>
              </w:rPr>
              <w:instrText xml:space="preserve"> PAGEREF _Toc215759435 \h </w:instrText>
            </w:r>
            <w:r w:rsidR="004B5099" w:rsidRPr="00376470">
              <w:rPr>
                <w:noProof/>
                <w:webHidden/>
              </w:rPr>
            </w:r>
            <w:r w:rsidR="004B5099" w:rsidRPr="00376470">
              <w:rPr>
                <w:noProof/>
                <w:webHidden/>
              </w:rPr>
              <w:fldChar w:fldCharType="separate"/>
            </w:r>
            <w:r w:rsidR="00A2619A">
              <w:rPr>
                <w:noProof/>
                <w:webHidden/>
              </w:rPr>
              <w:t>33</w:t>
            </w:r>
            <w:r w:rsidR="004B5099" w:rsidRPr="00376470">
              <w:rPr>
                <w:noProof/>
                <w:webHidden/>
              </w:rPr>
              <w:fldChar w:fldCharType="end"/>
            </w:r>
          </w:hyperlink>
        </w:p>
        <w:p w:rsidR="004B5099" w:rsidRDefault="004B5099">
          <w:r>
            <w:rPr>
              <w:b/>
              <w:bCs/>
              <w:lang w:val="es-ES"/>
            </w:rPr>
            <w:fldChar w:fldCharType="end"/>
          </w:r>
        </w:p>
      </w:sdtContent>
    </w:sdt>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B5099" w:rsidRDefault="004B5099">
      <w:pPr>
        <w:spacing w:line="360" w:lineRule="auto"/>
        <w:jc w:val="both"/>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tres de diciembre de dos mil veinticinco.</w:t>
      </w:r>
    </w:p>
    <w:p w:rsidR="004F2530" w:rsidRDefault="004F2530">
      <w:pPr>
        <w:spacing w:line="360" w:lineRule="auto"/>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C26DD2">
        <w:rPr>
          <w:rFonts w:ascii="Palatino Linotype" w:eastAsia="Palatino Linotype" w:hAnsi="Palatino Linotype" w:cs="Palatino Linotype"/>
          <w:b/>
          <w:sz w:val="22"/>
          <w:szCs w:val="22"/>
        </w:rPr>
        <w:t>06666/INFOEM/IP/RR/2025, 06667/INFOEM/IP/RR/2025, 06668/INFOEM/IP/RR/2025, 06669/INFOEM/IP/RR/2025, 06670/INFOEM/IP/RR/2025, 06672/INFOEM/IP/RR/2025 y  06674/INFOEM/IP/RR/2025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r w:rsidRPr="00C26DD2">
        <w:rPr>
          <w:rFonts w:ascii="Palatino Linotype" w:eastAsia="Palatino Linotype" w:hAnsi="Palatino Linotype" w:cs="Palatino Linotype"/>
          <w:b/>
          <w:color w:val="0D0D0D"/>
          <w:sz w:val="22"/>
          <w:szCs w:val="22"/>
        </w:rPr>
        <w:t>Ayuntamiento de Toluca</w:t>
      </w:r>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02432/TOLUCA/IP/2025,</w:t>
      </w:r>
      <w:r>
        <w:t xml:space="preserve"> </w:t>
      </w:r>
      <w:r>
        <w:rPr>
          <w:rFonts w:ascii="Palatino Linotype" w:eastAsia="Palatino Linotype" w:hAnsi="Palatino Linotype" w:cs="Palatino Linotype"/>
          <w:sz w:val="22"/>
          <w:szCs w:val="22"/>
        </w:rPr>
        <w:t>02431/TOLUCA/IP/2025, 02430/TOLUCA/IP/2025, 02429/TOLUCA/IP/2025, 02428/TOLUCA/IP/2025</w:t>
      </w:r>
      <w:r>
        <w:rPr>
          <w:rFonts w:ascii="Palatino Linotype" w:eastAsia="Palatino Linotype" w:hAnsi="Palatino Linotype" w:cs="Palatino Linotype"/>
          <w:color w:val="0D0D0D"/>
          <w:sz w:val="22"/>
          <w:szCs w:val="22"/>
        </w:rPr>
        <w:t>, 02427/TOLUCA/IP/2025 y 02426/TOLUCA/IP/2025, se emite la presente Resolución, con base en los Antecedentes y C</w:t>
      </w:r>
      <w:r>
        <w:rPr>
          <w:rFonts w:ascii="Palatino Linotype" w:eastAsia="Palatino Linotype" w:hAnsi="Palatino Linotype" w:cs="Palatino Linotype"/>
          <w:sz w:val="22"/>
          <w:szCs w:val="22"/>
        </w:rPr>
        <w:t>onsiderandos que a continuación se exponen:</w:t>
      </w:r>
      <w:r w:rsidR="00F90369">
        <w:rPr>
          <w:rFonts w:ascii="Palatino Linotype" w:eastAsia="Palatino Linotype" w:hAnsi="Palatino Linotype" w:cs="Palatino Linotype"/>
          <w:sz w:val="22"/>
          <w:szCs w:val="22"/>
        </w:rPr>
        <w:t xml:space="preserve"> </w:t>
      </w:r>
      <w:bookmarkStart w:id="1" w:name="_GoBack"/>
      <w:bookmarkEnd w:id="1"/>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ayobw0mkcnty" w:colFirst="0" w:colLast="0"/>
      <w:bookmarkStart w:id="3" w:name="_Toc215759424"/>
      <w:bookmarkEnd w:id="2"/>
      <w:r>
        <w:rPr>
          <w:rFonts w:ascii="Palatino Linotype" w:eastAsia="Palatino Linotype" w:hAnsi="Palatino Linotype" w:cs="Palatino Linotype"/>
          <w:b/>
          <w:bCs/>
          <w:color w:val="000000"/>
          <w:sz w:val="22"/>
          <w:szCs w:val="22"/>
        </w:rPr>
        <w:t>A N T E C E D E N T E S</w:t>
      </w:r>
      <w:bookmarkEnd w:id="3"/>
    </w:p>
    <w:p w:rsidR="004F2530" w:rsidRDefault="004F2530">
      <w:pPr>
        <w:spacing w:line="360" w:lineRule="auto"/>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4" w:name="_heading=h.944at4oz40cg" w:colFirst="0" w:colLast="0"/>
      <w:bookmarkStart w:id="5" w:name="_Toc215759425"/>
      <w:bookmarkEnd w:id="4"/>
      <w:r>
        <w:rPr>
          <w:rFonts w:ascii="Palatino Linotype" w:eastAsia="Palatino Linotype" w:hAnsi="Palatino Linotype" w:cs="Palatino Linotype"/>
          <w:b/>
          <w:bCs/>
          <w:color w:val="000000"/>
          <w:sz w:val="22"/>
          <w:szCs w:val="22"/>
        </w:rPr>
        <w:t>I. Presentación de la solicitud de información</w:t>
      </w:r>
      <w:bookmarkEnd w:id="5"/>
    </w:p>
    <w:p w:rsidR="004F2530" w:rsidRDefault="004F253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4F2530" w:rsidRDefault="006040F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veintitrés de abril de dos mil veinticinco, el Particular presentó una solicitud de acceso a la información pública, a través del Sistema de Acceso a la Información Mexiquense, en lo sucesivo el SAIMEX, ante el Ayuntamiento de Toluca, mediante la cual requirió lo siguiente:</w:t>
      </w:r>
    </w:p>
    <w:p w:rsidR="004F2530" w:rsidRDefault="004F253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4F2530">
        <w:tc>
          <w:tcPr>
            <w:tcW w:w="2547" w:type="dxa"/>
            <w:tcBorders>
              <w:top w:val="single" w:sz="4" w:space="0" w:color="000000"/>
              <w:left w:val="single" w:sz="4" w:space="0" w:color="000000"/>
              <w:bottom w:val="single" w:sz="4" w:space="0" w:color="000000"/>
              <w:right w:val="single" w:sz="4" w:space="0" w:color="000000"/>
            </w:tcBorders>
            <w:shd w:val="clear" w:color="auto" w:fill="D0CECE"/>
          </w:tcPr>
          <w:p w:rsidR="004F2530" w:rsidRDefault="006040FD">
            <w:pPr>
              <w:tabs>
                <w:tab w:val="left" w:pos="567"/>
              </w:tabs>
              <w:spacing w:line="360" w:lineRule="auto"/>
              <w:ind w:right="-28"/>
              <w:rPr>
                <w:b/>
                <w:bCs/>
              </w:rPr>
            </w:pPr>
            <w:bookmarkStart w:id="6" w:name="_heading=h.ph9fbeeu44kw" w:colFirst="0" w:colLast="0"/>
            <w:bookmarkEnd w:id="6"/>
            <w:r>
              <w:rPr>
                <w:b/>
                <w:bCs/>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rsidR="004F2530" w:rsidRDefault="006040FD">
            <w:pPr>
              <w:tabs>
                <w:tab w:val="left" w:pos="567"/>
              </w:tabs>
              <w:spacing w:line="360" w:lineRule="auto"/>
              <w:rPr>
                <w:b/>
                <w:bCs/>
              </w:rPr>
            </w:pPr>
            <w:r>
              <w:rPr>
                <w:b/>
                <w:bCs/>
              </w:rPr>
              <w:t>‘’DESCRIPCIÓN CLARA Y PRECISA DE LA INFORMACIÓN SOLICITADA</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lastRenderedPageBreak/>
              <w:t>02432/TOLUCA/IP/2025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i/>
                <w:iCs/>
                <w:color w:val="FF0000"/>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2024</w:t>
            </w:r>
            <w:r>
              <w:rPr>
                <w:i/>
                <w:iCs/>
              </w:rPr>
              <w:t>”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t>02431/TOLUCA/IP/2025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color w:val="FF0000"/>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2023</w:t>
            </w:r>
            <w:r>
              <w:rPr>
                <w:i/>
                <w:iCs/>
              </w:rPr>
              <w:t>”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t>02430/TOLUCA/IP/2025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i/>
                <w:iCs/>
                <w:color w:val="FF0000"/>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2022</w:t>
            </w:r>
            <w:r>
              <w:rPr>
                <w:i/>
                <w:iCs/>
              </w:rPr>
              <w:t>”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t>02429/TOLUCA/IP/2025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i/>
                <w:iCs/>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2021</w:t>
            </w:r>
            <w:r>
              <w:rPr>
                <w:i/>
                <w:iCs/>
              </w:rPr>
              <w:t>”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t>02428/TOLUCA/IP/2025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2020”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t>02427/TOLUCA/IP/2025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año 2019” (Sic)</w:t>
            </w:r>
          </w:p>
        </w:tc>
      </w:tr>
      <w:tr w:rsidR="004F2530">
        <w:tc>
          <w:tcPr>
            <w:tcW w:w="2547"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t>02426/TOLUCA/IP/2025</w:t>
            </w:r>
          </w:p>
        </w:tc>
        <w:tc>
          <w:tcPr>
            <w:tcW w:w="6379"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Todas la peticiones ciudadanas recibidas en presidencia y a través de la unidad de atención ciudadana de manera física y electrónica, con em oficio donde se turna para que se ateknda la petición y la respuesta a la petición del 1 de enero al 23 de abril de 2025” (Sic)</w:t>
            </w:r>
          </w:p>
        </w:tc>
      </w:tr>
    </w:tbl>
    <w:p w:rsidR="004F2530" w:rsidRDefault="004F2530">
      <w:pPr>
        <w:tabs>
          <w:tab w:val="left" w:pos="4667"/>
        </w:tabs>
        <w:spacing w:line="360" w:lineRule="auto"/>
        <w:ind w:left="567" w:right="567"/>
        <w:jc w:val="both"/>
        <w:rPr>
          <w:rFonts w:ascii="Palatino Linotype" w:eastAsia="Palatino Linotype" w:hAnsi="Palatino Linotype" w:cs="Palatino Linotype"/>
          <w:i/>
          <w:iCs/>
        </w:rPr>
      </w:pPr>
    </w:p>
    <w:p w:rsidR="004F2530" w:rsidRDefault="006040FD">
      <w:pPr>
        <w:tabs>
          <w:tab w:val="left" w:pos="4667"/>
        </w:tabs>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lastRenderedPageBreak/>
        <w:t xml:space="preserve">Es de señalar que en las siete solicitudes de acceso a la información el ahora Recurrente eligió como modalidad de entrega de la información </w:t>
      </w:r>
      <w:r>
        <w:rPr>
          <w:rFonts w:ascii="Palatino Linotype" w:eastAsia="Palatino Linotype" w:hAnsi="Palatino Linotype" w:cs="Palatino Linotype"/>
          <w:i/>
          <w:iCs/>
          <w:sz w:val="22"/>
          <w:szCs w:val="22"/>
        </w:rPr>
        <w:t>“A través del SAIMEX”.</w:t>
      </w:r>
    </w:p>
    <w:p w:rsidR="004F2530" w:rsidRDefault="004F2530">
      <w:pPr>
        <w:tabs>
          <w:tab w:val="left" w:pos="4667"/>
        </w:tabs>
        <w:spacing w:line="360" w:lineRule="auto"/>
        <w:ind w:left="567" w:right="567"/>
        <w:jc w:val="both"/>
        <w:rPr>
          <w:rFonts w:ascii="Palatino Linotype" w:eastAsia="Palatino Linotype" w:hAnsi="Palatino Linotype" w:cs="Palatino Linotype"/>
          <w:i/>
          <w:iCs/>
        </w:rPr>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7" w:name="_heading=h.vc6mjbxwng1k" w:colFirst="0" w:colLast="0"/>
      <w:bookmarkStart w:id="8" w:name="_Toc215759426"/>
      <w:bookmarkEnd w:id="7"/>
      <w:r>
        <w:rPr>
          <w:rFonts w:ascii="Palatino Linotype" w:eastAsia="Palatino Linotype" w:hAnsi="Palatino Linotype" w:cs="Palatino Linotype"/>
          <w:b/>
          <w:bCs/>
          <w:color w:val="000000"/>
          <w:sz w:val="22"/>
          <w:szCs w:val="22"/>
        </w:rPr>
        <w:t>II. Respuesta del Sujeto Obligado</w:t>
      </w:r>
      <w:bookmarkEnd w:id="8"/>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dieciséis de mayo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las solicitudes de acceso a la información a través del SAIMEX con la digitalización de los documentos siguientes:</w:t>
      </w:r>
    </w:p>
    <w:p w:rsidR="004F2530" w:rsidRDefault="004F2530">
      <w:pPr>
        <w:spacing w:line="360" w:lineRule="auto"/>
        <w:jc w:val="both"/>
        <w:rPr>
          <w:rFonts w:ascii="Palatino Linotype" w:eastAsia="Palatino Linotype" w:hAnsi="Palatino Linotype" w:cs="Palatino Linotype"/>
          <w:sz w:val="22"/>
          <w:szCs w:val="22"/>
        </w:rPr>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521"/>
      </w:tblGrid>
      <w:tr w:rsidR="004F2530">
        <w:tc>
          <w:tcPr>
            <w:tcW w:w="2405" w:type="dxa"/>
            <w:tcBorders>
              <w:top w:val="single" w:sz="4" w:space="0" w:color="000000"/>
              <w:left w:val="single" w:sz="4" w:space="0" w:color="000000"/>
              <w:bottom w:val="single" w:sz="4" w:space="0" w:color="000000"/>
              <w:right w:val="single" w:sz="4" w:space="0" w:color="000000"/>
            </w:tcBorders>
            <w:shd w:val="clear" w:color="auto" w:fill="D0CECE"/>
          </w:tcPr>
          <w:p w:rsidR="004F2530" w:rsidRDefault="006040FD">
            <w:pPr>
              <w:tabs>
                <w:tab w:val="left" w:pos="567"/>
              </w:tabs>
              <w:spacing w:line="360" w:lineRule="auto"/>
              <w:ind w:right="-28"/>
              <w:rPr>
                <w:b/>
                <w:bCs/>
              </w:rPr>
            </w:pPr>
            <w:r>
              <w:rPr>
                <w:b/>
                <w:bCs/>
              </w:rPr>
              <w:t>FOLIO DE SOLICITUD</w:t>
            </w:r>
          </w:p>
        </w:tc>
        <w:tc>
          <w:tcPr>
            <w:tcW w:w="6521" w:type="dxa"/>
            <w:tcBorders>
              <w:top w:val="single" w:sz="4" w:space="0" w:color="000000"/>
              <w:left w:val="single" w:sz="4" w:space="0" w:color="000000"/>
              <w:bottom w:val="single" w:sz="4" w:space="0" w:color="000000"/>
              <w:right w:val="single" w:sz="4" w:space="0" w:color="000000"/>
            </w:tcBorders>
            <w:shd w:val="clear" w:color="auto" w:fill="D0CECE"/>
          </w:tcPr>
          <w:p w:rsidR="004F2530" w:rsidRDefault="006040FD">
            <w:pPr>
              <w:tabs>
                <w:tab w:val="left" w:pos="567"/>
              </w:tabs>
              <w:spacing w:line="360" w:lineRule="auto"/>
              <w:jc w:val="both"/>
              <w:rPr>
                <w:b/>
                <w:bCs/>
              </w:rPr>
            </w:pPr>
            <w:r>
              <w:rPr>
                <w:b/>
                <w:bCs/>
              </w:rPr>
              <w:t>RESPUESTA</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t>02432/TOLUCA/IP/2025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2024, se integra por un volumen muy extenso de documentos, más de 25mil fojas útiles, con un peso digital aproximado de 15.636GM,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w:t>
            </w:r>
            <w:r>
              <w:rPr>
                <w:rFonts w:ascii="Palatino Linotype" w:eastAsia="Palatino Linotype" w:hAnsi="Palatino Linotype" w:cs="Palatino Linotype"/>
                <w:i/>
                <w:iCs/>
                <w:color w:val="000000"/>
              </w:rPr>
              <w:lastRenderedPageBreak/>
              <w:t>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p w:rsidR="004F2530" w:rsidRDefault="006040FD">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 </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lastRenderedPageBreak/>
              <w:t>02431/TOLUCA/IP/2025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2023, se integra por un volumen muy extenso de documentos, más de 16 mil fojas útiles, con un peso digital aproximado de 19.31GM,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w:t>
            </w:r>
            <w:r>
              <w:rPr>
                <w:rFonts w:ascii="Palatino Linotype" w:eastAsia="Palatino Linotype" w:hAnsi="Palatino Linotype" w:cs="Palatino Linotype"/>
                <w:i/>
                <w:iCs/>
                <w:color w:val="000000"/>
              </w:rPr>
              <w:lastRenderedPageBreak/>
              <w:t>No. 207 Delegación Centro Histórico, Toluca, EdoMex, en un horario de 10:00 a 17:00hrs de lunes a viernes acompañado del servidor público Diego Ángel Guadarrama González, donde para salvaguardar los datos personales, no se puede fotocopiar, o filmar ningún documentos.</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lastRenderedPageBreak/>
              <w:t>02430/TOLUCA/IP/2025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2022, se integra por un volumen muy extenso de documentos, más de 16 mil fojas útiles, con un peso digital aproximado de 19.31GM,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color w:val="FF0000"/>
              </w:rPr>
            </w:pPr>
            <w:r>
              <w:rPr>
                <w:b/>
                <w:bCs/>
                <w:i/>
                <w:iCs/>
              </w:rPr>
              <w:lastRenderedPageBreak/>
              <w:t>02429/TOLUCA/IP/2025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2021, se integra por un volumen muy extenso de documentos, más de 19 mil fojas útiles, con un peso digital aproximado de 8.486GM,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t>02428/TOLUCA/IP/2025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i/>
                <w:iCs/>
                <w:color w:val="000000"/>
              </w:rPr>
              <w:t>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2020, se integra por un volumen muy extenso de documentos, más de 22 mil fojas útiles, con un peso digital aproximado de 8.901GM,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lastRenderedPageBreak/>
              <w:t>02427/TOLUCA/IP/2025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Informo que la Secretaria del Ayuntamiento, procedió a realizar la búsqueda exhaustiva y razonable en los archivos que obran en la Coordinación de Atención Ciudadana; sin embargo se hace del conocimientos que la expresión documental integrada por las </w:t>
            </w:r>
            <w:r>
              <w:rPr>
                <w:rFonts w:ascii="Palatino Linotype" w:eastAsia="Palatino Linotype" w:hAnsi="Palatino Linotype" w:cs="Palatino Linotype"/>
                <w:i/>
                <w:iCs/>
                <w:color w:val="000000"/>
              </w:rPr>
              <w:lastRenderedPageBreak/>
              <w:t>peticiones ciudadanas recibidas, el oficio de turno y respuesta de manera física y electrónica del periodo comprendido, 2019, se integra por un volumen muy extenso de documentos, más de 44 mil fojas útiles, con un peso digital aproximado de 20.76GM,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p w:rsidR="004F2530" w:rsidRDefault="004F2530">
            <w:pPr>
              <w:tabs>
                <w:tab w:val="left" w:pos="567"/>
              </w:tabs>
              <w:spacing w:line="360" w:lineRule="auto"/>
              <w:jc w:val="both"/>
            </w:pPr>
          </w:p>
        </w:tc>
      </w:tr>
      <w:tr w:rsidR="004F2530">
        <w:tc>
          <w:tcPr>
            <w:tcW w:w="2405" w:type="dxa"/>
            <w:tcBorders>
              <w:top w:val="single" w:sz="4" w:space="0" w:color="000000"/>
              <w:left w:val="single" w:sz="4" w:space="0" w:color="000000"/>
              <w:bottom w:val="single" w:sz="4" w:space="0" w:color="000000"/>
              <w:right w:val="single" w:sz="4" w:space="0" w:color="000000"/>
            </w:tcBorders>
          </w:tcPr>
          <w:p w:rsidR="004F2530" w:rsidRDefault="006040FD">
            <w:pPr>
              <w:spacing w:line="360" w:lineRule="auto"/>
              <w:rPr>
                <w:b/>
                <w:bCs/>
                <w:i/>
                <w:iCs/>
              </w:rPr>
            </w:pPr>
            <w:r>
              <w:rPr>
                <w:b/>
                <w:bCs/>
                <w:i/>
                <w:iCs/>
              </w:rPr>
              <w:lastRenderedPageBreak/>
              <w:t>02426/TOLUCA/IP/2025</w:t>
            </w:r>
          </w:p>
        </w:tc>
        <w:tc>
          <w:tcPr>
            <w:tcW w:w="6521" w:type="dxa"/>
            <w:tcBorders>
              <w:top w:val="single" w:sz="4" w:space="0" w:color="000000"/>
              <w:left w:val="single" w:sz="4" w:space="0" w:color="000000"/>
              <w:bottom w:val="single" w:sz="4" w:space="0" w:color="000000"/>
              <w:right w:val="single" w:sz="4" w:space="0" w:color="000000"/>
            </w:tcBorders>
          </w:tcPr>
          <w:p w:rsidR="004F2530" w:rsidRDefault="006040FD">
            <w:pPr>
              <w:tabs>
                <w:tab w:val="left" w:pos="567"/>
              </w:tabs>
              <w:spacing w:line="360" w:lineRule="auto"/>
              <w:jc w:val="both"/>
            </w:pPr>
            <w:r>
              <w:t xml:space="preserve">i) </w:t>
            </w:r>
            <w:r>
              <w:rPr>
                <w:rFonts w:ascii="Palatino Linotype" w:eastAsia="Palatino Linotype" w:hAnsi="Palatino Linotype" w:cs="Palatino Linotype"/>
                <w:sz w:val="22"/>
                <w:szCs w:val="22"/>
              </w:rPr>
              <w:t>Oficio sin número de fecha de dieciséis de mayo de dos mil veinticinco, suscrito por el Titular de Transparencia y dirigido al solicitante, en los siguientes términos</w:t>
            </w:r>
            <w:r>
              <w:t>:</w:t>
            </w:r>
          </w:p>
          <w:p w:rsidR="004F2530" w:rsidRDefault="004F2530">
            <w:pPr>
              <w:tabs>
                <w:tab w:val="left" w:pos="567"/>
              </w:tabs>
              <w:spacing w:line="360" w:lineRule="auto"/>
              <w:jc w:val="both"/>
            </w:pPr>
          </w:p>
          <w:p w:rsidR="004F2530" w:rsidRDefault="006040FD">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Informo que la Secretaria del Ayuntamiento, procedió a realizar la búsqueda exhaustiva y razonable en los archivos que obran en la Coordinación de Atención Ciudadana; sin embargo se hace del conocimientos que la expresión documental integrada por las peticiones ciudadanas recibidas, el oficio de turno y respuesta de manera física y electrónica del periodo comprendido, del 01 de enero al 23 de abril de 2025, se integra por un volumen muy extenso de </w:t>
            </w:r>
            <w:r>
              <w:rPr>
                <w:rFonts w:ascii="Palatino Linotype" w:eastAsia="Palatino Linotype" w:hAnsi="Palatino Linotype" w:cs="Palatino Linotype"/>
                <w:i/>
                <w:iCs/>
                <w:color w:val="000000"/>
              </w:rPr>
              <w:lastRenderedPageBreak/>
              <w:t>documentos, más de 16 mil fojas útiles, con un peso digital aproximado de 7.49GM, por lo que la entrega de información sobrepasa la capacidad técnica, administrativa y humana del personal que labora en esta unidad administrativa, aunado a que dichos deben de  ser analizados por contener datos personales. Por lo que para realizar esta labor implicaría dejar de realizar otras funciones propias del área, por lo que se solicitó al Comité de Transparencia el cambio de modalidad de la entrega de información a In Situ,  en la oficina que ocupa la coordinación de atención ciudadana ubicada en Palacio Municipal, Avenida Independencia Pte. No. 207 Delegación Centro Histórico, Toluca, EdoMex, en un horario de 10:00 a 17:00hrs de lunes a viernes acompañado del servidor público Diego Ángel Guadarrama González, donde para salvaguardar los datos personales, no se puede fotocopiar, o filmar ningún documentos.</w:t>
            </w:r>
          </w:p>
        </w:tc>
      </w:tr>
    </w:tbl>
    <w:p w:rsidR="004F2530" w:rsidRDefault="004F2530">
      <w:pPr>
        <w:tabs>
          <w:tab w:val="left" w:pos="4667"/>
        </w:tabs>
        <w:spacing w:line="360" w:lineRule="auto"/>
        <w:ind w:left="567" w:right="567"/>
        <w:jc w:val="both"/>
        <w:rPr>
          <w:rFonts w:ascii="Palatino Linotype" w:eastAsia="Palatino Linotype" w:hAnsi="Palatino Linotype" w:cs="Palatino Linotype"/>
          <w:i/>
          <w:iCs/>
        </w:rPr>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9" w:name="_heading=h.ckkicr3qwzwy" w:colFirst="0" w:colLast="0"/>
      <w:bookmarkStart w:id="10" w:name="_Toc215759427"/>
      <w:bookmarkEnd w:id="9"/>
      <w:r>
        <w:rPr>
          <w:rFonts w:ascii="Palatino Linotype" w:eastAsia="Palatino Linotype" w:hAnsi="Palatino Linotype" w:cs="Palatino Linotype"/>
          <w:b/>
          <w:bCs/>
          <w:color w:val="000000"/>
          <w:sz w:val="22"/>
          <w:szCs w:val="22"/>
        </w:rPr>
        <w:t>III. Interposición del Recurso de Revisión</w:t>
      </w:r>
      <w:bookmarkEnd w:id="10"/>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Con fecha seis de junio de dos mil veinticinco, de dos mil veinticinco, se recibió en este Instituto, a través del Sistema de Acceso a la Información Mexiquense (SAIMEX), cinco Recursos de Revisión interpuestos por la persona Recurrente, en contra de las respuestas del Sujeto Obligado, en los términos similares de conformidad con lo siguiente:</w:t>
      </w:r>
    </w:p>
    <w:p w:rsidR="004F2530" w:rsidRDefault="004F2530">
      <w:pPr>
        <w:spacing w:line="360" w:lineRule="auto"/>
        <w:ind w:left="567" w:right="567"/>
        <w:jc w:val="both"/>
        <w:rPr>
          <w:rFonts w:ascii="Palatino Linotype" w:eastAsia="Palatino Linotype" w:hAnsi="Palatino Linotype" w:cs="Palatino Linotype"/>
          <w:i/>
          <w:iCs/>
        </w:rPr>
      </w:pPr>
    </w:p>
    <w:p w:rsidR="004F2530" w:rsidRDefault="006040FD">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4F2530" w:rsidRDefault="006040FD">
      <w:pPr>
        <w:ind w:firstLine="567"/>
        <w:jc w:val="both"/>
        <w:rPr>
          <w:rFonts w:ascii="Palatino Linotype" w:eastAsia="Palatino Linotype" w:hAnsi="Palatino Linotype" w:cs="Palatino Linotype"/>
          <w:i/>
          <w:iCs/>
        </w:rPr>
      </w:pPr>
      <w:r>
        <w:rPr>
          <w:rFonts w:ascii="Palatino Linotype" w:eastAsia="Palatino Linotype" w:hAnsi="Palatino Linotype" w:cs="Palatino Linotype"/>
          <w:i/>
          <w:iCs/>
        </w:rPr>
        <w:t>“La respuesta negativa dicen que son muchas hojas</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rsidR="004F2530" w:rsidRDefault="004F2530">
      <w:pPr>
        <w:spacing w:line="360" w:lineRule="auto"/>
        <w:ind w:left="567" w:right="567"/>
        <w:jc w:val="both"/>
        <w:rPr>
          <w:rFonts w:ascii="Palatino Linotype" w:eastAsia="Palatino Linotype" w:hAnsi="Palatino Linotype" w:cs="Palatino Linotype"/>
          <w:i/>
          <w:iCs/>
        </w:rPr>
      </w:pPr>
    </w:p>
    <w:p w:rsidR="004F2530" w:rsidRDefault="006040FD">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4F2530" w:rsidRDefault="006040FD">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“La respuesta negativa dicen que son muchas hojas se solicita se entregie es publica.</w:t>
      </w:r>
      <w:r>
        <w:rPr>
          <w:rFonts w:ascii="Palatino Linotype" w:eastAsia="Palatino Linotype" w:hAnsi="Palatino Linotype" w:cs="Palatino Linotype"/>
          <w:i/>
          <w:iCs/>
        </w:rPr>
        <w:t xml:space="preserve">”  </w:t>
      </w:r>
    </w:p>
    <w:p w:rsidR="004F2530" w:rsidRDefault="004F2530">
      <w:pPr>
        <w:spacing w:line="360" w:lineRule="auto"/>
        <w:ind w:left="567" w:right="567"/>
        <w:jc w:val="both"/>
        <w:rPr>
          <w:rFonts w:ascii="Palatino Linotype" w:eastAsia="Palatino Linotype" w:hAnsi="Palatino Linotype" w:cs="Palatino Linotype"/>
          <w:i/>
          <w:iCs/>
        </w:rPr>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11" w:name="_heading=h.sy9di2nsvbe0" w:colFirst="0" w:colLast="0"/>
      <w:bookmarkStart w:id="12" w:name="_Toc215759428"/>
      <w:bookmarkEnd w:id="11"/>
      <w:r>
        <w:rPr>
          <w:rFonts w:ascii="Palatino Linotype" w:eastAsia="Palatino Linotype" w:hAnsi="Palatino Linotype" w:cs="Palatino Linotype"/>
          <w:b/>
          <w:bCs/>
          <w:color w:val="000000"/>
          <w:sz w:val="22"/>
          <w:szCs w:val="22"/>
        </w:rPr>
        <w:lastRenderedPageBreak/>
        <w:t>IV. Trámite del Recurso de Revisión ante este Instituto</w:t>
      </w:r>
      <w:bookmarkEnd w:id="12"/>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El seis de junio de dos mil veinticinco, el Sistema de Acceso a la Información Mexiquense (SAIMEX), asignó los números de expedientes 06666/INFOEM/IP/RR/2025, 06667/INFOEM/IP/RR/2025, 06668/INFOEM/IP/RR/2025, 06669/INFOEM/IP/RR/2025, 06670/INFOEM/IP/RR/2025, 06672/INFOEM/IP/RR/2025 y  06674/INFOEM/IP/RR/2025, a los Medios de Impugnación que nos ocupan, con base en el sistema aprobado por el Pleno de este Organismo Garante y los turnó al Comisionado, Luis Gustavo Parra Noriega, para los efectos del artículo 185, fracción I de la Ley de Transparencia y Acceso a la Información Pública del Estado de México y Municipios.</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diez y once de junio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diecinueve y veinte de junio, todos de dos mil veinticinco, se recibió, a través del SAIMEX, el informe justificado, a través del cual ratifica medularmente su respuesta inicial.</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 xml:space="preserve">El diecinueve de noviembre de dos mil veinticinco, se dictó acuerdo mediante el cual se puso a la vista del Particular de forma parcial, el Informe </w:t>
      </w:r>
      <w:r>
        <w:rPr>
          <w:rFonts w:ascii="Palatino Linotype" w:eastAsia="Palatino Linotype" w:hAnsi="Palatino Linotype" w:cs="Palatino Linotype"/>
          <w:sz w:val="22"/>
          <w:szCs w:val="22"/>
        </w:rPr>
        <w:lastRenderedPageBreak/>
        <w:t>Justificado entregados por el Sujeto Obligado, el cual fue notificado, a través del SAIMEX, el mismo día. Cabe señalar que el Particular fue omiso en realizar manifestación alguna.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e) Requerimiento de información adicional</w:t>
      </w:r>
      <w:r>
        <w:rPr>
          <w:rFonts w:ascii="Palatino Linotype" w:eastAsia="Palatino Linotype" w:hAnsi="Palatino Linotype" w:cs="Palatino Linotype"/>
          <w:sz w:val="22"/>
          <w:szCs w:val="22"/>
        </w:rPr>
        <w:t>. El trece de noviembre de dos mil veinticinco, se emitió un requerimiento de información adicional suscrito por el Comisionado Ponente el cual es dirigido a la Titular de la Unidad de Transparencia del Sujeto Obligado, lo anterior de conformidad con los artículos 14, fracciones I, II, V y XVI, del Reglamento Interior del Instituto de Transparencia, Acceso a la Información Pública y Protección de Datos Personales del Estado de México y Municipios, mismo que fue notificado al Ayuntamiento de Toluca, el mismo día, a través de correo electrónico y el Sistema de Acceso a la Información Mexiquense (SAIMEX), por medio del cual se le solicitó lo siguiente:</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advierte que en respuesta propuso el cambio de modalidad para la entrega de la información solicitada por el Particular, de las cuales existen ciertas discrepancias, entre el peso y número de fojas, aunado a que se desconoce a qué se refiere con las siglas GM. Por lo que,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se le requiere, para que indique lo siguiente”</w:t>
      </w:r>
    </w:p>
    <w:p w:rsidR="004F2530" w:rsidRDefault="004F2530">
      <w:pPr>
        <w:spacing w:line="360" w:lineRule="auto"/>
        <w:jc w:val="both"/>
        <w:rPr>
          <w:rFonts w:ascii="Palatino Linotype" w:eastAsia="Palatino Linotype" w:hAnsi="Palatino Linotype" w:cs="Palatino Linotype"/>
          <w:i/>
          <w:iCs/>
        </w:rPr>
      </w:pPr>
    </w:p>
    <w:p w:rsidR="004F2530" w:rsidRDefault="006040F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peso y número de hojas aproximado, de los documentos que den cuenta de lo solicitado (solicitud, turno y respuesta), desglosado por año.</w:t>
      </w:r>
    </w:p>
    <w:p w:rsidR="004F2530" w:rsidRDefault="006040F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rPr>
        <w:t xml:space="preserve">Si presentó la incidencia ante la Dirección General Informática de este Instituto o al correo </w:t>
      </w:r>
      <w:hyperlink r:id="rId9">
        <w:r>
          <w:rPr>
            <w:rFonts w:ascii="Palatino Linotype" w:eastAsia="Palatino Linotype" w:hAnsi="Palatino Linotype" w:cs="Palatino Linotype"/>
            <w:i/>
            <w:iCs/>
            <w:color w:val="0563C1"/>
            <w:u w:val="single"/>
          </w:rPr>
          <w:t>nelson.correa@infoem.org.mx</w:t>
        </w:r>
      </w:hyperlink>
      <w:r>
        <w:rPr>
          <w:rFonts w:ascii="Palatino Linotype" w:eastAsia="Palatino Linotype" w:hAnsi="Palatino Linotype" w:cs="Palatino Linotype"/>
          <w:i/>
          <w:iCs/>
          <w:color w:val="000000"/>
        </w:rPr>
        <w:t>.</w:t>
      </w:r>
    </w:p>
    <w:p w:rsidR="004F2530" w:rsidRDefault="004F2530">
      <w:pPr>
        <w:pBdr>
          <w:top w:val="nil"/>
          <w:left w:val="nil"/>
          <w:bottom w:val="nil"/>
          <w:right w:val="nil"/>
          <w:between w:val="nil"/>
        </w:pBdr>
        <w:spacing w:line="360" w:lineRule="auto"/>
        <w:ind w:left="1080"/>
        <w:jc w:val="both"/>
        <w:rPr>
          <w:rFonts w:ascii="Palatino Linotype" w:eastAsia="Palatino Linotype" w:hAnsi="Palatino Linotype" w:cs="Palatino Linotype"/>
          <w:i/>
          <w:iCs/>
          <w:color w:val="000000"/>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f) Desahogo del Requerimiento de Información Adicional.</w:t>
      </w:r>
      <w:r>
        <w:rPr>
          <w:rFonts w:ascii="Palatino Linotype" w:eastAsia="Palatino Linotype" w:hAnsi="Palatino Linotype" w:cs="Palatino Linotype"/>
          <w:sz w:val="22"/>
          <w:szCs w:val="22"/>
        </w:rPr>
        <w:t xml:space="preserve"> El diecinueve de noviembre de dos mil veinticinco, se recibió por medio de correo institucional y del Sistema de Acceso a </w:t>
      </w:r>
      <w:r>
        <w:rPr>
          <w:rFonts w:ascii="Palatino Linotype" w:eastAsia="Palatino Linotype" w:hAnsi="Palatino Linotype" w:cs="Palatino Linotype"/>
          <w:sz w:val="22"/>
          <w:szCs w:val="22"/>
        </w:rPr>
        <w:lastRenderedPageBreak/>
        <w:t>la Información Mexiquense (SAIMEX), el oficio número 201007000/UT/04468/2025, del catorce de noviembre de dos mil veinticinco, suscrito por el Titular de la Unidad de Transparencia y dirigido al Secretario del Ayuntamiento, por medio del cual refirió un oficio de turno donde se solicitaba a más tardar el día 19 de noviembre  la  información en los recursos de revisión 06666/INFOEM/IP/RR/2025 y acumulados.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Posteriormente el día veintiuno de noviembre de dos mil veinticinco se recibió por medio de correo institucional y del Sistema de Acceso a la Información Mexiquense (SAIMEX), el desahogo del requerimiento de información adicional, por medio del oficio 2010A0000/5159/2025, del diecinueve de noviembre de dos mil veinticinco, suscrito por el Secretario del Ayuntamiento y dirigido al Titular de la Unidad de Transparencia donde refiere lo siguiente:</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iCs/>
          <w:color w:val="000000"/>
        </w:rPr>
        <w:t>Por lo anterior se solicitó a la Unidad de Transparencia llevara a cabo los actos conducentes para el registro del cambio de modalidad en la entrega de la información, en la bitácora del Instituto de Transparencia, Acceso a la Información Publica y Protección de Datos Personales del Estado de México y Municipios (INFOEM).</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cuanto al punto sobre el desconocimiento de las siglas GM, se informa que por error involuntario se colocó la letra incorrecta, por lo que se solicita muy atentamente, tomar en consideración las abreviaturas consideradas para señalar el peso digital de cada archivo. </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En lo que respecta a las discrepancias, entre el peso y numero de fojas, se informa que se llevó a cabo la revisión de los archivos y del peso de los mismos, de lo cual se procedió a realizar la rectificación de los parámetros técnicos involucrados inicialmente proporcionados, no omito mencionar que cada petición contiene un número indeterminado de hojas, toda vez que se tienen solicitudes que contienen más de una hoja, lo mismo para el caso de las respuestas, como se muestra en el siguiente cuadro.</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pBdr>
          <w:top w:val="nil"/>
          <w:left w:val="nil"/>
          <w:bottom w:val="nil"/>
          <w:right w:val="nil"/>
          <w:between w:val="nil"/>
        </w:pBdr>
        <w:spacing w:line="360" w:lineRule="auto"/>
        <w:ind w:left="720"/>
        <w:jc w:val="center"/>
        <w:rPr>
          <w:rFonts w:ascii="Palatino Linotype" w:eastAsia="Palatino Linotype" w:hAnsi="Palatino Linotype" w:cs="Palatino Linotype"/>
          <w:i/>
          <w:iCs/>
          <w:color w:val="000000"/>
        </w:rPr>
      </w:pPr>
      <w:r>
        <w:rPr>
          <w:rFonts w:ascii="Palatino Linotype" w:eastAsia="Palatino Linotype" w:hAnsi="Palatino Linotype" w:cs="Palatino Linotype"/>
          <w:i/>
          <w:iCs/>
          <w:noProof/>
          <w:color w:val="000000"/>
        </w:rPr>
        <w:drawing>
          <wp:inline distT="0" distB="0" distL="0" distR="0">
            <wp:extent cx="5166245" cy="112291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66245" cy="1122918"/>
                    </a:xfrm>
                    <a:prstGeom prst="rect">
                      <a:avLst/>
                    </a:prstGeom>
                    <a:ln/>
                  </pic:spPr>
                </pic:pic>
              </a:graphicData>
            </a:graphic>
          </wp:inline>
        </w:drawing>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Cabe mencionar que, hay factores técnicos que se deben tomar en cuenta para calcular el peso digital de los documentos escaneados en pdf, como el tamaño promedio de cada archivo, la calidad del escaneo utilizada, ya sea baja, estándar o alta, la variación que se presenta en peso de un lote grande de documentos escaneados con mezcla de páginas en blanco y negro y a color ocurre porque en su contenido se tiene más información por pixel, el tipo de compresión empleado por el escáner o software, la resolución predeterminada al escaneo del documento, la complejidad visual por que puede tener un texto limpio que pesa menos, una foto o grafico de color pesa más, aunque dos páginas sean color, su complejidad influye mucho en el peso; en resumen, los documentos que integran la información solicitada caen en el supuesto de que el peso digital varia porque cada pagina tiene distinto nivel de información, color, resolución, ruido y compresión, lo que hace que cada imagen escaneada tenga un tamaño diferente, aunque provenga del mismo lote. </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Cabe mencionar  que adjunto el Acta de la Quingentésima nonagésima tercera sesión extraordinaria  del comité de transparencia del municipio de Toluca, mediante acuerdo número CT/SE/593/2025, donde se aprueba el cambio de modalidad por consulta en sitio.</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Acumulación de los asuntos. </w:t>
      </w:r>
      <w:r>
        <w:rPr>
          <w:rFonts w:ascii="Palatino Linotype" w:eastAsia="Palatino Linotype" w:hAnsi="Palatino Linotype" w:cs="Palatino Linotype"/>
          <w:sz w:val="22"/>
          <w:szCs w:val="22"/>
        </w:rPr>
        <w:t xml:space="preserve">El dieciocho de junio de dos mil veinticinco, el Pleno del Instituto de Transparencia, Acceso a la Información Pública y Protección de Datos Personales del Estado de México y Municipios, durante la Décima Tercera Sesión Ordinaria, </w:t>
      </w:r>
      <w:r>
        <w:rPr>
          <w:rFonts w:ascii="Palatino Linotype" w:eastAsia="Palatino Linotype" w:hAnsi="Palatino Linotype" w:cs="Palatino Linotype"/>
          <w:sz w:val="22"/>
          <w:szCs w:val="22"/>
        </w:rPr>
        <w:lastRenderedPageBreak/>
        <w:t xml:space="preserve">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decretó la acumulación de los Recursos de Revisión </w:t>
      </w:r>
      <w:r>
        <w:rPr>
          <w:rFonts w:ascii="Palatino Linotype" w:eastAsia="Palatino Linotype" w:hAnsi="Palatino Linotype" w:cs="Palatino Linotype"/>
          <w:b/>
          <w:bCs/>
          <w:sz w:val="22"/>
          <w:szCs w:val="22"/>
        </w:rPr>
        <w:t>06667/INFOEM/IP/RR/2025, 06668/INFOEM/IP/RR/2025, 06669/INFOEM/IP/RR/2025, 06670/INFOEM/IP/RR/2025, 06672/INFOEM/IP/RR/2025 y  06674/INFOEM/IP/RR/2025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bCs/>
          <w:sz w:val="22"/>
          <w:szCs w:val="22"/>
        </w:rPr>
        <w:t>06666/INFOEM/IP/RR/2025,</w:t>
      </w:r>
      <w:r>
        <w:rPr>
          <w:rFonts w:ascii="Palatino Linotype" w:eastAsia="Palatino Linotype" w:hAnsi="Palatino Linotype" w:cs="Palatino Linotype"/>
          <w:sz w:val="22"/>
          <w:szCs w:val="22"/>
        </w:rPr>
        <w:t xml:space="preserve"> por ser este último el más antiguo, sustanciado bajo el índice de esta Ponencia.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bookmarkStart w:id="13" w:name="_heading=h.wf7dyr8apiyb" w:colFirst="0" w:colLast="0"/>
      <w:bookmarkEnd w:id="13"/>
      <w:r>
        <w:rPr>
          <w:rFonts w:ascii="Palatino Linotype" w:eastAsia="Palatino Linotype" w:hAnsi="Palatino Linotype" w:cs="Palatino Linotype"/>
          <w:b/>
          <w:bCs/>
          <w:sz w:val="22"/>
          <w:szCs w:val="22"/>
        </w:rPr>
        <w:t xml:space="preserve">f) Ampliación de plazo para resolver. </w:t>
      </w:r>
      <w:r>
        <w:rPr>
          <w:rFonts w:ascii="Palatino Linotype" w:eastAsia="Palatino Linotype" w:hAnsi="Palatino Linotype" w:cs="Palatino Linotype"/>
          <w:sz w:val="22"/>
          <w:szCs w:val="22"/>
        </w:rPr>
        <w:t>El veinticuatro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 Vista del Desahogo del Requerimiento de Información Adicional. </w:t>
      </w:r>
      <w:r>
        <w:rPr>
          <w:rFonts w:ascii="Palatino Linotype" w:eastAsia="Palatino Linotype" w:hAnsi="Palatino Linotype" w:cs="Palatino Linotype"/>
          <w:sz w:val="22"/>
          <w:szCs w:val="22"/>
        </w:rPr>
        <w:t>El veinticuatro de noviembre de dos mil veinticinco, se dictó acuerdo por medio del cual se puso a la vista del Recurrente el Desahogo del Requerimiento de Información Adicional entregado por el Sujeto Obligado, el cual fue notificado a las partes, a través del Sistema de Acceso a la Información Mexiquense (SAIMEX), el mismo día.</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g) Cierre de instrucción.</w:t>
      </w:r>
      <w:r>
        <w:rPr>
          <w:rFonts w:ascii="Palatino Linotype" w:eastAsia="Palatino Linotype" w:hAnsi="Palatino Linotype" w:cs="Palatino Linotype"/>
          <w:sz w:val="22"/>
          <w:szCs w:val="22"/>
        </w:rPr>
        <w:t xml:space="preserve"> El primero de diciembre de dos mil veinticinco, al no existir diligencias pendientes por desahogar, se emitió el acuerdo por medio del cual se declaró cerrada la instrucción y se determinó pasar los expedientes a resolución, en términos de lo </w:t>
      </w:r>
      <w:r>
        <w:rPr>
          <w:rFonts w:ascii="Palatino Linotype" w:eastAsia="Palatino Linotype" w:hAnsi="Palatino Linotype" w:cs="Palatino Linotype"/>
          <w:sz w:val="22"/>
          <w:szCs w:val="22"/>
        </w:rPr>
        <w:lastRenderedPageBreak/>
        <w:t>dispuesto en los artículos 185, fracciones VI y VIII, de la Ley de Transparencia y Acceso a la Información Pública del Estado de México y Municipios, acto que fue notificado a las partes, mediante el SAIMEX, el catorce de dicho mes y año.</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004F2530" w:rsidRDefault="004F2530">
      <w:pPr>
        <w:spacing w:line="360" w:lineRule="auto"/>
        <w:jc w:val="both"/>
        <w:rPr>
          <w:rFonts w:ascii="Palatino Linotype" w:eastAsia="Palatino Linotype" w:hAnsi="Palatino Linotype" w:cs="Palatino Linotype"/>
          <w:b/>
          <w:bCs/>
          <w:sz w:val="14"/>
          <w:szCs w:val="14"/>
        </w:rPr>
      </w:pPr>
    </w:p>
    <w:p w:rsidR="004F2530" w:rsidRDefault="006040FD">
      <w:pPr>
        <w:pStyle w:val="Ttulo1"/>
        <w:spacing w:before="0" w:after="0" w:line="360" w:lineRule="auto"/>
        <w:jc w:val="center"/>
        <w:rPr>
          <w:rFonts w:ascii="Palatino Linotype" w:eastAsia="Palatino Linotype" w:hAnsi="Palatino Linotype" w:cs="Palatino Linotype"/>
          <w:b/>
          <w:bCs/>
          <w:color w:val="000000"/>
          <w:sz w:val="22"/>
          <w:szCs w:val="22"/>
        </w:rPr>
      </w:pPr>
      <w:bookmarkStart w:id="14" w:name="_heading=h.lmpoder78udy" w:colFirst="0" w:colLast="0"/>
      <w:bookmarkStart w:id="15" w:name="_Toc215759429"/>
      <w:bookmarkEnd w:id="14"/>
      <w:r>
        <w:rPr>
          <w:rFonts w:ascii="Palatino Linotype" w:eastAsia="Palatino Linotype" w:hAnsi="Palatino Linotype" w:cs="Palatino Linotype"/>
          <w:b/>
          <w:bCs/>
          <w:color w:val="000000"/>
          <w:sz w:val="22"/>
          <w:szCs w:val="22"/>
        </w:rPr>
        <w:t>C O N S I D E R A N D O S</w:t>
      </w:r>
      <w:bookmarkEnd w:id="15"/>
    </w:p>
    <w:p w:rsidR="004F2530" w:rsidRDefault="004F2530">
      <w:pPr>
        <w:spacing w:line="360" w:lineRule="auto"/>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16" w:name="_heading=h.dnyw15wsewkh" w:colFirst="0" w:colLast="0"/>
      <w:bookmarkStart w:id="17" w:name="_Toc215759430"/>
      <w:bookmarkEnd w:id="16"/>
      <w:r>
        <w:rPr>
          <w:rFonts w:ascii="Palatino Linotype" w:eastAsia="Palatino Linotype" w:hAnsi="Palatino Linotype" w:cs="Palatino Linotype"/>
          <w:b/>
          <w:bCs/>
          <w:color w:val="000000"/>
          <w:sz w:val="22"/>
          <w:szCs w:val="22"/>
        </w:rPr>
        <w:t>PRIMERO. Competencia</w:t>
      </w:r>
      <w:bookmarkEnd w:id="17"/>
    </w:p>
    <w:p w:rsidR="004F2530" w:rsidRDefault="004F2530">
      <w:pPr>
        <w:spacing w:line="360" w:lineRule="auto"/>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18" w:name="_heading=h.4kp4pogojvhf" w:colFirst="0" w:colLast="0"/>
      <w:bookmarkStart w:id="19" w:name="_Toc215759431"/>
      <w:bookmarkEnd w:id="18"/>
      <w:r>
        <w:rPr>
          <w:rFonts w:ascii="Palatino Linotype" w:eastAsia="Palatino Linotype" w:hAnsi="Palatino Linotype" w:cs="Palatino Linotype"/>
          <w:b/>
          <w:bCs/>
          <w:color w:val="000000"/>
          <w:sz w:val="22"/>
          <w:szCs w:val="22"/>
        </w:rPr>
        <w:t>SEGUNDO. Causales de improcedencia y sobreseimiento</w:t>
      </w:r>
      <w:bookmarkEnd w:id="19"/>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4F2530" w:rsidRDefault="004F2530">
      <w:pPr>
        <w:spacing w:line="360" w:lineRule="auto"/>
        <w:jc w:val="both"/>
        <w:rPr>
          <w:rFonts w:ascii="Palatino Linotype" w:eastAsia="Palatino Linotype" w:hAnsi="Palatino Linotype" w:cs="Palatino Linotype"/>
          <w:b/>
          <w:bCs/>
          <w:color w:val="000000"/>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entrega de la información.</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4F2530" w:rsidRDefault="006040F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Una vez realizado el estudio de las constancias que integran el expediente en que se actúa, se desprende que el Particular requirió todas las peticiones ciudadanas recibidas en presidencia y a través de la unidad de atención ciudadana de manera física y electrónica, con oficio de petición y la respuesta del primero de enero de dos mil diecinueve al veintitrés de abril de dos mil veinticinco.</w:t>
      </w: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la Unidad de Transparencia, a través de la Secretaria del Ayuntamiento y servidor público habilitado, se pronunció de manera clara al solicitar un cambio de </w:t>
      </w:r>
      <w:r>
        <w:rPr>
          <w:rFonts w:ascii="Palatino Linotype" w:eastAsia="Palatino Linotype" w:hAnsi="Palatino Linotype" w:cs="Palatino Linotype"/>
          <w:color w:val="000000"/>
          <w:sz w:val="22"/>
          <w:szCs w:val="22"/>
        </w:rPr>
        <w:lastRenderedPageBreak/>
        <w:t>modalidad a consulta directa ya que en las diversas solicitudes refirió que la información sobrepasaba las capacidades administrativas y humanas al referir cierto de numero de miles  de fojas acompañado de un peso en GM; ante dicha circunstancia, el Particular se inconformó de la negativa de entrega de la información, al referir un numero de fojas y manifestando que dichas documentales son públicas, lo cual actualiza la causal de procedencia prevista en la fracción I, del artículo 179 de la Ley de Transparencia y Acceso a la Información Pública del Estado de México y Municipios. Así las cosas, una vez admitido y notificado a las partes los Medio de Impugnación, el Sujeto Obligado ratificó la respuesta inicial.</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mismo, por medio del Requerimiento de Información Adicional se solicitó el peso y número de hojas aproximado, de los documentos que den cuenta de lo solicitado (solicitud, turno y respuesta), desglosado por año; a lo cual, el Sujeto Obligado dio respuesta al Requerimiento de Información Adicional en donde mencionó, el peso, número de fojas por año, al igual que se estaban haciendo las gestiones correspondientes para que la incidencia  quedara en la Bitácora de Incidencia del Instituto. Cabe mencionar que anexaron el acta por medio del cual se aprueba el cambio de modalidad in situ.</w:t>
      </w: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consistentes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rsidR="004F2530" w:rsidRDefault="004F2530">
      <w:pPr>
        <w:tabs>
          <w:tab w:val="left" w:pos="4962"/>
        </w:tabs>
        <w:spacing w:line="360" w:lineRule="auto"/>
        <w:jc w:val="both"/>
        <w:rPr>
          <w:rFonts w:ascii="Palatino Linotype" w:eastAsia="Palatino Linotype" w:hAnsi="Palatino Linotype" w:cs="Palatino Linotype"/>
          <w:sz w:val="22"/>
          <w:szCs w:val="22"/>
        </w:rPr>
      </w:pPr>
    </w:p>
    <w:p w:rsidR="004F2530" w:rsidRDefault="006040FD">
      <w:pPr>
        <w:pStyle w:val="Ttulo2"/>
        <w:spacing w:before="0" w:after="0" w:line="360" w:lineRule="auto"/>
        <w:jc w:val="both"/>
        <w:rPr>
          <w:rFonts w:ascii="Palatino Linotype" w:eastAsia="Palatino Linotype" w:hAnsi="Palatino Linotype" w:cs="Palatino Linotype"/>
          <w:b/>
          <w:bCs/>
          <w:color w:val="000000"/>
          <w:sz w:val="22"/>
          <w:szCs w:val="22"/>
        </w:rPr>
      </w:pPr>
      <w:bookmarkStart w:id="20" w:name="_heading=h.533foacw03rb" w:colFirst="0" w:colLast="0"/>
      <w:bookmarkStart w:id="21" w:name="_Toc215759432"/>
      <w:bookmarkEnd w:id="20"/>
      <w:r>
        <w:rPr>
          <w:rFonts w:ascii="Palatino Linotype" w:eastAsia="Palatino Linotype" w:hAnsi="Palatino Linotype" w:cs="Palatino Linotype"/>
          <w:b/>
          <w:bCs/>
          <w:color w:val="000000"/>
          <w:sz w:val="22"/>
          <w:szCs w:val="22"/>
        </w:rPr>
        <w:lastRenderedPageBreak/>
        <w:t>CUARTO. Marco normativo aplicable en materia de transparencia y acceso a la información pública</w:t>
      </w:r>
      <w:bookmarkEnd w:id="21"/>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w:t>
      </w:r>
      <w:r>
        <w:rPr>
          <w:rFonts w:ascii="Palatino Linotype" w:eastAsia="Palatino Linotype" w:hAnsi="Palatino Linotype" w:cs="Palatino Linotype"/>
          <w:sz w:val="22"/>
          <w:szCs w:val="22"/>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rsidR="004F2530" w:rsidRDefault="004F2530">
      <w:pPr>
        <w:tabs>
          <w:tab w:val="left" w:pos="4962"/>
        </w:tabs>
        <w:spacing w:line="360" w:lineRule="auto"/>
        <w:jc w:val="both"/>
        <w:rPr>
          <w:rFonts w:ascii="Palatino Linotype" w:eastAsia="Palatino Linotype" w:hAnsi="Palatino Linotype" w:cs="Palatino Linotype"/>
          <w:sz w:val="22"/>
          <w:szCs w:val="22"/>
        </w:rPr>
      </w:pPr>
    </w:p>
    <w:p w:rsidR="004F2530" w:rsidRDefault="006040FD">
      <w:pPr>
        <w:pStyle w:val="Ttulo2"/>
        <w:spacing w:before="0" w:after="0" w:line="360" w:lineRule="auto"/>
        <w:rPr>
          <w:rFonts w:ascii="Palatino Linotype" w:eastAsia="Palatino Linotype" w:hAnsi="Palatino Linotype" w:cs="Palatino Linotype"/>
          <w:b/>
          <w:bCs/>
          <w:color w:val="000000"/>
          <w:sz w:val="22"/>
          <w:szCs w:val="22"/>
        </w:rPr>
      </w:pPr>
      <w:bookmarkStart w:id="22" w:name="_heading=h.htv6ooq5nxhv" w:colFirst="0" w:colLast="0"/>
      <w:bookmarkStart w:id="23" w:name="_Toc215759433"/>
      <w:bookmarkEnd w:id="22"/>
      <w:r>
        <w:rPr>
          <w:rFonts w:ascii="Palatino Linotype" w:eastAsia="Palatino Linotype" w:hAnsi="Palatino Linotype" w:cs="Palatino Linotype"/>
          <w:b/>
          <w:bCs/>
          <w:color w:val="000000"/>
          <w:sz w:val="22"/>
          <w:szCs w:val="22"/>
        </w:rPr>
        <w:t>QUINTO. Estudio de Fondo</w:t>
      </w:r>
      <w:bookmarkEnd w:id="23"/>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del agravio hecho valer por la ahora Recurrente, por lo que, es necesario contextualizar la solicitud de información.</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Aunado a lo anterior, es destacar que conforme al numeral 200014000 del Manual de Organización de la Presidencia Municipal del Sujeto Obligado, se advierte la existencia de una Unidad de Coordinación de Atención Ciudadana, dependiente del presidente, la cual cuenta con facultades para conocer de las </w:t>
      </w:r>
      <w:r>
        <w:rPr>
          <w:rFonts w:ascii="Palatino Linotype" w:eastAsia="Palatino Linotype" w:hAnsi="Palatino Linotype" w:cs="Palatino Linotype"/>
          <w:b/>
          <w:bCs/>
          <w:color w:val="000000"/>
          <w:sz w:val="22"/>
          <w:szCs w:val="22"/>
          <w:u w:val="single"/>
        </w:rPr>
        <w:t>participaciones ciudadanas a través de la atención y  direccionamiento de sus iniciativas, denuncias, desacuerdos, necesidades,  observaciones,  sugerencias y peticiones a las dependencias correspondientes</w:t>
      </w:r>
      <w:r>
        <w:rPr>
          <w:rFonts w:ascii="Palatino Linotype" w:eastAsia="Palatino Linotype" w:hAnsi="Palatino Linotype" w:cs="Palatino Linotype"/>
          <w:color w:val="000000"/>
          <w:sz w:val="22"/>
          <w:szCs w:val="22"/>
        </w:rPr>
        <w:t>.</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anterior, se logra vislumbrar que la pretensión de la persona Recurrente es obtener </w:t>
      </w:r>
      <w:r>
        <w:rPr>
          <w:rFonts w:ascii="Palatino Linotype" w:eastAsia="Palatino Linotype" w:hAnsi="Palatino Linotype" w:cs="Palatino Linotype"/>
          <w:color w:val="000000"/>
          <w:sz w:val="22"/>
          <w:szCs w:val="22"/>
        </w:rPr>
        <w:t>todas la peticiones ciudadanas recibidas en presidencia y a través de la unidad de atención ciudadana de manera física y electrónica, con oficio donde se turna para que se atienda la petición y la respuesta del primero de enero de dos mil diecinueve al veintitrés de abril de dos mil veinticinco; además, que el Sujeto obligado debe conocer de dicha información.</w:t>
      </w:r>
    </w:p>
    <w:p w:rsidR="004F2530" w:rsidRDefault="004F2530">
      <w:pPr>
        <w:widowControl w:val="0"/>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Establecida dicha circunstancia, se procede analizar la respuesta entregada, para lo cual, es de señalar que </w:t>
      </w:r>
      <w:r>
        <w:rPr>
          <w:rFonts w:ascii="Palatino Linotype" w:eastAsia="Palatino Linotype" w:hAnsi="Palatino Linotype" w:cs="Palatino Linotype"/>
          <w:color w:val="000000"/>
          <w:sz w:val="22"/>
          <w:szCs w:val="22"/>
        </w:rPr>
        <w:t>la Unidad de Transparencia, a través de la Secretaria del Ayuntamiento y servidor público habilitado,</w:t>
      </w:r>
      <w:r>
        <w:rPr>
          <w:rFonts w:ascii="Palatino Linotype" w:eastAsia="Palatino Linotype" w:hAnsi="Palatino Linotype" w:cs="Palatino Linotype"/>
          <w:sz w:val="22"/>
          <w:szCs w:val="22"/>
        </w:rPr>
        <w:t xml:space="preserve">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w:t>
      </w:r>
      <w:r>
        <w:rPr>
          <w:rFonts w:ascii="Palatino Linotype" w:eastAsia="Palatino Linotype" w:hAnsi="Palatino Linotype" w:cs="Palatino Linotype"/>
          <w:sz w:val="22"/>
          <w:szCs w:val="22"/>
        </w:rPr>
        <w:lastRenderedPageBreak/>
        <w:t>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artículo 92, fracción I, del Bando Municipal de Toluca, dos mil veinticinco, en el que se establece que la Secretaria del Ayuntamiento  estará a cargo de una Secretaria o Secretario, quien tendrá como </w:t>
      </w:r>
      <w:r>
        <w:rPr>
          <w:rFonts w:ascii="Palatino Linotype" w:eastAsia="Palatino Linotype" w:hAnsi="Palatino Linotype" w:cs="Palatino Linotype"/>
          <w:b/>
          <w:bCs/>
          <w:sz w:val="22"/>
          <w:szCs w:val="22"/>
          <w:u w:val="single"/>
        </w:rPr>
        <w:t>principales funciones auxiliar a la Presidenta o Presidente Municipal</w:t>
      </w:r>
      <w:r>
        <w:rPr>
          <w:rFonts w:ascii="Palatino Linotype" w:eastAsia="Palatino Linotype" w:hAnsi="Palatino Linotype" w:cs="Palatino Linotype"/>
          <w:sz w:val="22"/>
          <w:szCs w:val="22"/>
        </w:rPr>
        <w:t xml:space="preserve">, formular el proyecto de orden del día de las sesiones de cabildo, así como emitir las convocatorias, asistir y levantar las actas  correspondientes, elaborar los informes mensuales y trimestrales de las comisiones  edilicias y </w:t>
      </w:r>
      <w:r>
        <w:rPr>
          <w:rFonts w:ascii="Palatino Linotype" w:eastAsia="Palatino Linotype" w:hAnsi="Palatino Linotype" w:cs="Palatino Linotype"/>
          <w:b/>
          <w:bCs/>
          <w:sz w:val="22"/>
          <w:szCs w:val="22"/>
          <w:u w:val="single"/>
        </w:rPr>
        <w:t>fomentar la participación ciudadana</w:t>
      </w:r>
      <w:r>
        <w:rPr>
          <w:rFonts w:ascii="Palatino Linotype" w:eastAsia="Palatino Linotype" w:hAnsi="Palatino Linotype" w:cs="Palatino Linotype"/>
          <w:sz w:val="22"/>
          <w:szCs w:val="22"/>
        </w:rPr>
        <w:t xml:space="preserve"> en apoyo de los programas sociales  municipales.</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Siguiendo con el mismo orden de ideas en el artículo 3.3 del Manual de Organización de la Presidencia Municipal refiere que la presidencia municipal se auxiliará de las siguientes unidades administrativas entre muchas más la Coordinación de Atención Ciudadana  que se encargara de fortalecer la participación ciudadana a través de la atención y  direccionamiento de sus iniciativas, denuncias, desacuerdos, necesidades,  observaciones, sugerencias y peticiones.</w:t>
      </w: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advierte que fue la propia </w:t>
      </w:r>
      <w:r>
        <w:rPr>
          <w:rFonts w:ascii="Palatino Linotype" w:eastAsia="Palatino Linotype" w:hAnsi="Palatino Linotype" w:cs="Palatino Linotype"/>
          <w:color w:val="000000"/>
          <w:sz w:val="22"/>
          <w:szCs w:val="22"/>
        </w:rPr>
        <w:t>Unidad de Transparencia, a través de la Secretaria del Ayuntamiento y servidor público habilitado</w:t>
      </w:r>
      <w:r>
        <w:rPr>
          <w:rFonts w:ascii="Palatino Linotype" w:eastAsia="Palatino Linotype" w:hAnsi="Palatino Linotype" w:cs="Palatino Linotype"/>
          <w:sz w:val="22"/>
          <w:szCs w:val="22"/>
        </w:rPr>
        <w:t>, es la competente para conocer de lo requerido, al ver las cuestiones relacionadas con las peticiones ciudadanas del Ayuntamiento de Toluca y por lo tanto cumplió con parte del procedimiento de búsqueda.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lastRenderedPageBreak/>
        <w:t xml:space="preserve">Ahora bien, en respuesta dicha área </w:t>
      </w:r>
      <w:r>
        <w:rPr>
          <w:rFonts w:ascii="Palatino Linotype" w:eastAsia="Palatino Linotype" w:hAnsi="Palatino Linotype" w:cs="Palatino Linotype"/>
          <w:color w:val="000000"/>
          <w:sz w:val="22"/>
          <w:szCs w:val="22"/>
        </w:rPr>
        <w:t>se pronunció de manera clara al solicitar un cambio de modalidad a consulta directa ya que en las diversas solicitudes refirió que la información sobrepasaba las capacidades administrativas y humanas al referir cierto de numero de miles  de fojas acompañado de un peso en GM; por lo que, se procede analizar si procede el cambio de modalidad. Al respecto, cabe recordar que se requirió la información, a través del Sistema de Acceso a Información Mexiquense (SAIMEX).</w:t>
      </w:r>
    </w:p>
    <w:p w:rsidR="004F2530" w:rsidRDefault="004F2530">
      <w:pPr>
        <w:tabs>
          <w:tab w:val="left" w:pos="7080"/>
        </w:tabs>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D0D0D"/>
          <w:sz w:val="22"/>
          <w:szCs w:val="22"/>
        </w:rPr>
        <w:t>En ese sentido,</w:t>
      </w:r>
      <w:r>
        <w:rPr>
          <w:rFonts w:ascii="Palatino Linotype" w:eastAsia="Palatino Linotype" w:hAnsi="Palatino Linotype" w:cs="Palatino Linotype"/>
          <w:sz w:val="22"/>
          <w:szCs w:val="22"/>
        </w:rPr>
        <w:t xml:space="preserve"> 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bCs/>
          <w:sz w:val="22"/>
          <w:szCs w:val="22"/>
        </w:rPr>
        <w:t>la modalidad en la que prefiere se otorgue el acceso a la información</w:t>
      </w:r>
      <w:r>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El artículo 158, dispone que, de manera excepcional, cuando de manera fundada y motivada lo determine el Sujeto Obligado, </w:t>
      </w:r>
      <w:r>
        <w:rPr>
          <w:rFonts w:ascii="Palatino Linotype" w:eastAsia="Palatino Linotype" w:hAnsi="Palatino Linotype" w:cs="Palatino Linotype"/>
          <w:b/>
          <w:bCs/>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bCs/>
          <w:sz w:val="22"/>
          <w:szCs w:val="22"/>
        </w:rPr>
        <w:t>Cuando la información no pueda entregarse o enviarse en la modalidad elegida, el sujeto obligado deberá ofrecer otra u otras modalidades de entrega.</w:t>
      </w:r>
      <w:r>
        <w:rPr>
          <w:rFonts w:ascii="Palatino Linotype" w:eastAsia="Palatino Linotype" w:hAnsi="Palatino Linotype" w:cs="Palatino Linotype"/>
          <w:sz w:val="22"/>
          <w:szCs w:val="22"/>
        </w:rPr>
        <w:t xml:space="preserve"> En cualquier caso, </w:t>
      </w:r>
      <w:r>
        <w:rPr>
          <w:rFonts w:ascii="Palatino Linotype" w:eastAsia="Palatino Linotype" w:hAnsi="Palatino Linotype" w:cs="Palatino Linotype"/>
          <w:b/>
          <w:bCs/>
          <w:sz w:val="22"/>
          <w:szCs w:val="22"/>
        </w:rPr>
        <w:t>se deberá fundar y motivar</w:t>
      </w:r>
      <w:r>
        <w:rPr>
          <w:rFonts w:ascii="Palatino Linotype" w:eastAsia="Palatino Linotype" w:hAnsi="Palatino Linotype" w:cs="Palatino Linotype"/>
          <w:sz w:val="22"/>
          <w:szCs w:val="22"/>
        </w:rPr>
        <w:t xml:space="preserve"> la necesidad de ofrecer otras modalidades.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lastRenderedPageBreak/>
        <w:t xml:space="preserve">En tales consideraciones, la entrega de la información deberá hacerse, </w:t>
      </w:r>
      <w:r>
        <w:rPr>
          <w:rFonts w:ascii="Palatino Linotype" w:eastAsia="Palatino Linotype" w:hAnsi="Palatino Linotype" w:cs="Palatino Linotype"/>
          <w:b/>
          <w:bCs/>
          <w:sz w:val="22"/>
          <w:szCs w:val="22"/>
        </w:rPr>
        <w:t>en la medida de lo posible, en la forma solicitada por el interesado, salvo que exista un impedimento justificado para atenderla</w:t>
      </w:r>
      <w:r>
        <w:rPr>
          <w:rFonts w:ascii="Palatino Linotype" w:eastAsia="Palatino Linotype" w:hAnsi="Palatino Linotype" w:cs="Palatino Linotype"/>
          <w:sz w:val="22"/>
          <w:szCs w:val="22"/>
        </w:rPr>
        <w:t xml:space="preserve">, en cuyo caso, deberán exponerse las razones por las cuales no era posible utilizar el medio de reproducción solicitado; en ese sentido, la entrega de la información en una modalidad distinta a la elegida por el particular </w:t>
      </w:r>
      <w:r>
        <w:rPr>
          <w:rFonts w:ascii="Palatino Linotype" w:eastAsia="Palatino Linotype" w:hAnsi="Palatino Linotype" w:cs="Palatino Linotype"/>
          <w:b/>
          <w:bCs/>
          <w:sz w:val="22"/>
          <w:szCs w:val="22"/>
        </w:rPr>
        <w:t xml:space="preserve">sólo procede, en caso de que se acredite la imposibilidad de atenderla. </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bookmarkStart w:id="24" w:name="_heading=h.hobtbyiqpsvy" w:colFirst="0" w:colLast="0"/>
      <w:bookmarkEnd w:id="24"/>
      <w:r>
        <w:rPr>
          <w:rFonts w:ascii="Palatino Linotype" w:eastAsia="Palatino Linotype" w:hAnsi="Palatino Linotype" w:cs="Palatino Linotype"/>
          <w:sz w:val="22"/>
          <w:szCs w:val="22"/>
        </w:rPr>
        <w:t xml:space="preserve">Así, cuando se justifique el impedimento, </w:t>
      </w:r>
      <w:r>
        <w:rPr>
          <w:rFonts w:ascii="Palatino Linotype" w:eastAsia="Palatino Linotype" w:hAnsi="Palatino Linotype" w:cs="Palatino Linotype"/>
          <w:b/>
          <w:bCs/>
          <w:sz w:val="22"/>
          <w:szCs w:val="22"/>
        </w:rPr>
        <w:t>los Sujetos Obligados deberán ofrecer al particular otras modalidades de entrega que permita la información</w:t>
      </w:r>
      <w:r>
        <w:rPr>
          <w:rFonts w:ascii="Palatino Linotype" w:eastAsia="Palatino Linotype" w:hAnsi="Palatino Linotype" w:cs="Palatino Linotype"/>
          <w:sz w:val="22"/>
          <w:szCs w:val="22"/>
        </w:rPr>
        <w:t xml:space="preserve">,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bCs/>
          <w:sz w:val="22"/>
          <w:szCs w:val="22"/>
        </w:rPr>
        <w:t>información en todas las modalidades que lo permitan, procurando reducir los costos de entrega.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4F2530" w:rsidRDefault="004F2530">
      <w:pPr>
        <w:widowControl w:val="0"/>
        <w:spacing w:line="360" w:lineRule="auto"/>
        <w:jc w:val="both"/>
        <w:rPr>
          <w:rFonts w:ascii="Palatino Linotype" w:eastAsia="Palatino Linotype" w:hAnsi="Palatino Linotype" w:cs="Palatino Linotype"/>
          <w:sz w:val="22"/>
          <w:szCs w:val="22"/>
        </w:rPr>
      </w:pPr>
    </w:p>
    <w:p w:rsidR="004F2530" w:rsidRDefault="006040FD">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razones por las cuales la información implicaba un análisis, estudio o procesamiento de datos;</w:t>
      </w:r>
    </w:p>
    <w:p w:rsidR="004F2530" w:rsidRDefault="004F2530">
      <w:pPr>
        <w:spacing w:line="360" w:lineRule="auto"/>
        <w:ind w:left="720"/>
        <w:jc w:val="both"/>
        <w:rPr>
          <w:rFonts w:ascii="Palatino Linotype" w:eastAsia="Palatino Linotype" w:hAnsi="Palatino Linotype" w:cs="Palatino Linotype"/>
          <w:sz w:val="22"/>
          <w:szCs w:val="22"/>
        </w:rPr>
      </w:pPr>
    </w:p>
    <w:p w:rsidR="004F2530" w:rsidRDefault="006040FD">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qué motivo el tiempo, que se le otorga al Sujeto Obligado para dar respuesta, en la modalidad elegida a la solicitud de información, no le es suficiente, y</w:t>
      </w:r>
    </w:p>
    <w:p w:rsidR="004F2530" w:rsidRDefault="004F253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4F2530" w:rsidRDefault="006040FD">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cantidad de recursos humanos y materiales con los que cuenta el Sujeto Obligado son insuficientes.</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bookmarkStart w:id="25" w:name="_heading=h.aviscj5syntr" w:colFirst="0" w:colLast="0"/>
      <w:bookmarkEnd w:id="25"/>
      <w:r>
        <w:rPr>
          <w:rFonts w:ascii="Palatino Linotype" w:eastAsia="Palatino Linotype" w:hAnsi="Palatino Linotype" w:cs="Palatino Linotype"/>
          <w:color w:val="000000"/>
          <w:sz w:val="22"/>
          <w:szCs w:val="22"/>
        </w:rPr>
        <w:t>Ahora bien, el Sujeto Obligado precisó que ponía a disposición de la persona Recurrente los oficios solicitados en consulta directa, bajo las siguientes consideraciones:</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Que la información sobrepasaba las capacidades técnicas, humanas y administrativas del área, para poder procesar la información, y, </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Que la información excedía la capacidad de </w:t>
      </w:r>
      <w:r>
        <w:rPr>
          <w:rFonts w:ascii="Palatino Linotype" w:eastAsia="Palatino Linotype" w:hAnsi="Palatino Linotype" w:cs="Palatino Linotype"/>
          <w:color w:val="000000"/>
          <w:sz w:val="22"/>
          <w:szCs w:val="22"/>
        </w:rPr>
        <w:t>máxima de carga dentro del sistema ya que son aproximadamente 80,190 fojas.</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rFonts w:ascii="Palatino Linotype" w:eastAsia="Palatino Linotype" w:hAnsi="Palatino Linotype" w:cs="Palatino Linotype"/>
          <w:b/>
          <w:bCs/>
          <w:sz w:val="22"/>
          <w:szCs w:val="22"/>
        </w:rPr>
        <w:t>quinientos megabytes</w:t>
      </w:r>
      <w:r>
        <w:rPr>
          <w:rFonts w:ascii="Palatino Linotype" w:eastAsia="Palatino Linotype" w:hAnsi="Palatino Linotype" w:cs="Palatino Linotype"/>
          <w:sz w:val="22"/>
          <w:szCs w:val="22"/>
        </w:rPr>
        <w:t xml:space="preserve"> o su equivalente a </w:t>
      </w:r>
      <w:r>
        <w:rPr>
          <w:rFonts w:ascii="Palatino Linotype" w:eastAsia="Palatino Linotype" w:hAnsi="Palatino Linotype" w:cs="Palatino Linotype"/>
          <w:b/>
          <w:bCs/>
          <w:sz w:val="22"/>
          <w:szCs w:val="22"/>
        </w:rPr>
        <w:t>ocho mil fojas</w:t>
      </w:r>
      <w:r>
        <w:rPr>
          <w:rFonts w:ascii="Palatino Linotype" w:eastAsia="Palatino Linotype" w:hAnsi="Palatino Linotype" w:cs="Palatino Linotype"/>
          <w:sz w:val="22"/>
          <w:szCs w:val="22"/>
        </w:rPr>
        <w:t>.</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del desahogo al Requerimiento de Información Adicional, el Sujeto Obligado aclaró que las documentales que contienen tanto la petición como la respuesta contienen un </w:t>
      </w:r>
      <w:r>
        <w:rPr>
          <w:rFonts w:ascii="Palatino Linotype" w:eastAsia="Palatino Linotype" w:hAnsi="Palatino Linotype" w:cs="Palatino Linotype"/>
          <w:color w:val="000000"/>
          <w:sz w:val="22"/>
          <w:szCs w:val="22"/>
        </w:rPr>
        <w:lastRenderedPageBreak/>
        <w:t>número indeterminado de hojas, toda vez que se tienen que pudieran contener más de una, por lo que en ese contexto refirió del primero de enero al treinta y uno de diciembre de dos mil diecinueve se cuenta con 44,013, asimismo, del primero de enero al treinta y uno de diciembre de dos mil veinte son 22,099, lo que concierne al año dos mil veintiuno serian 19,055, para dos mil veintidós, 39,710, para lo subsecuente a dos mil veintitrés son 30,889, en ese contexto para dos mil veinticuatro se cuenta con 25,085 y finalmente del primero de enero al veintitrés de abril de dos mil veinticinco se tienen 16,157, lo cual traducido en peso trascienden a más de 10GB</w:t>
      </w:r>
    </w:p>
    <w:p w:rsidR="004F2530" w:rsidRDefault="004F2530">
      <w:pPr>
        <w:tabs>
          <w:tab w:val="left" w:pos="7080"/>
        </w:tabs>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información solicitada, sobrepasaba las capacidades técnicas del Sistema de Acceso a la Información Mexiquense (SAIMEX), pues son 197,008 fojas equivalentes a más de 30GB aproximadamente por toda la información;</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anterior, se logra vislumbrar que el Sujeto Obligado señaló el impedimento para proporcionar la información, en la modalidad elegida por la parte Recurrente, a saber, el </w:t>
      </w:r>
      <w:r>
        <w:rPr>
          <w:rFonts w:ascii="Palatino Linotype" w:eastAsia="Palatino Linotype" w:hAnsi="Palatino Linotype" w:cs="Palatino Linotype"/>
          <w:b/>
          <w:bCs/>
          <w:sz w:val="22"/>
          <w:szCs w:val="22"/>
        </w:rPr>
        <w:t>Sistema de Acceso a la Información Mexiquense (SAIMEX);</w:t>
      </w:r>
      <w:r>
        <w:rPr>
          <w:rFonts w:ascii="Palatino Linotype" w:eastAsia="Palatino Linotype" w:hAnsi="Palatino Linotype" w:cs="Palatino Linotype"/>
          <w:sz w:val="22"/>
          <w:szCs w:val="22"/>
        </w:rPr>
        <w:t xml:space="preserve"> por lo que, resulta procedente el cambio de modalidad.</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el Sujeto Obligado puso a disposición la información únicamente en consulta directa, pues señaló que para poderla entregar en disco compacto, en USB, en copias simples o certificadas, por correo postal certificado, por correo o vínculo electrónico, sobrepasaba sus capacidades técnicas, administrativas y humanas, al tener que realizar la búsqueda, extracción de la documentación, la digitalización, la reproducción y localización de información; </w:t>
      </w:r>
      <w:r>
        <w:rPr>
          <w:rFonts w:ascii="Palatino Linotype" w:eastAsia="Palatino Linotype" w:hAnsi="Palatino Linotype" w:cs="Palatino Linotype"/>
          <w:sz w:val="22"/>
          <w:szCs w:val="22"/>
        </w:rPr>
        <w:t xml:space="preserve">sobre dicha circunstancia, es de señalar que el Organismo Garante Nacional, a través de diversas resoluciones de los Recursos de Inconformidad, entre las cuales se encuentran el RIA 136/20, RIA 140/20, RIA 153/20 RIA 237/20, RIA 257/20, RIA 258/20, entre </w:t>
      </w:r>
      <w:r>
        <w:rPr>
          <w:rFonts w:ascii="Palatino Linotype" w:eastAsia="Palatino Linotype" w:hAnsi="Palatino Linotype" w:cs="Palatino Linotype"/>
          <w:sz w:val="22"/>
          <w:szCs w:val="22"/>
        </w:rPr>
        <w:lastRenderedPageBreak/>
        <w:t xml:space="preserve">otras, ha considerado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sentido pues el Vigésimo Quinto de los Lineamientos para la operación del Sistema de Acceso a la Información Mexiquense (SAIMEX) y del Sistema de Acceso, Rectificación, Cancelación y Oposición de Datos Personales del Estado de México (SARCOEM), establece que el Sujeto Obligado de encontrarse impedido para otorgar la información a través de la modalidad elegida, deberá ofrecer al particular las siguientes formas:</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Disco compacto;</w:t>
      </w:r>
    </w:p>
    <w:p w:rsidR="004F2530" w:rsidRDefault="006040FD">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Dispositivo de almacenamiento aportado por el particular (CD o USB);</w:t>
      </w:r>
    </w:p>
    <w:p w:rsidR="004F2530" w:rsidRDefault="006040FD">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Copias simples o certificadas previo pago de derechos correspondientes, y</w:t>
      </w:r>
    </w:p>
    <w:p w:rsidR="004F2530" w:rsidRDefault="006040FD">
      <w:pPr>
        <w:numPr>
          <w:ilvl w:val="0"/>
          <w:numId w:val="5"/>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su caso, correo electrónico o vínculo electrónico.</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señala que la entrega de la información de los incisos a, b y c, será en la Unidad de Transparencia o a domicilio, por correo postar certificado, previo pago de los derechos correspondientes; asimismo, aclara que, si la persona Solicitante proporciona el dispositivo electrónico para la entrega, la reproducción digital se hará sin costo.</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si bien es procedente el cambio de modalidad, el Sujeto Obligado fue restrictivo al señalar como única modalidad de entrega consulta directa, pues estaba en posibilidad de proporcionarla en otras modalidades de entrega, de manera calendarizada como lo señaló en respuesta.</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tomando como analogía la fracción I, del Septuagésimo de los Lineamientos Generales de Clasificación y Desclasificación de la información, así como para la elaboración de versiones públicas, que establece que cuando derivado del volumen y particularidades de los documentos, el sujeto Obligado determine que se necesita un mayor tiempo para entregar la información, deberá informárselo al solicitante, en donde le diga los días y horarios que podrá llevarlo a cabo.</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se puede vislumbrar que tal como lo realizó en respuesta, el Sujeto Obligado estaba en posibilidades de poner a disposición la información solicitada en todas las modalidades, a efecto de que el Particular decidiera de qué manera obtener la información y a partir de dicha circunstancial, hacer un calendario con los días y horas para obtener la información.</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color w:val="000000"/>
          <w:sz w:val="22"/>
          <w:szCs w:val="22"/>
        </w:rPr>
        <w:t>Conforme a lo anterior, el Ayuntamiento de Toluca</w:t>
      </w:r>
      <w:r>
        <w:rPr>
          <w:rFonts w:ascii="Palatino Linotype" w:eastAsia="Palatino Linotype" w:hAnsi="Palatino Linotype" w:cs="Palatino Linotype"/>
          <w:sz w:val="22"/>
          <w:szCs w:val="22"/>
        </w:rPr>
        <w:t xml:space="preserve">, si bien acreditó la imposibilidad para proporcionar la información a través del Sistema de Acceso a la Información Mexiquense, omitió ponerla a disposición en todas las modalidades posibles, lo cual da como resultado que el agravió resulte </w:t>
      </w:r>
      <w:r>
        <w:rPr>
          <w:rFonts w:ascii="Palatino Linotype" w:eastAsia="Palatino Linotype" w:hAnsi="Palatino Linotype" w:cs="Palatino Linotype"/>
          <w:b/>
          <w:bCs/>
          <w:sz w:val="22"/>
          <w:szCs w:val="22"/>
        </w:rPr>
        <w:t>PARCIALMENTE FUNDADO.</w:t>
      </w:r>
    </w:p>
    <w:p w:rsidR="004F2530" w:rsidRDefault="004F2530">
      <w:pPr>
        <w:spacing w:line="360" w:lineRule="auto"/>
        <w:ind w:right="-28"/>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Ahora bien, resulta necesario analizar de manera oficiosa, si la información puede ser adjuntada por correo electrónico; al respecto, dicho medio es un sistema que permite el intercambio de mensajes entre distintas computadoras interconectadas a través de una red.</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existen diferentes plataformas que brindan dicho servicio, sobre el tema, a través de la plataforma Gmail se informa que el peso máximo que soporta un correo electrónico para enviar archivos adjuntos en un mensaje es de veinticinco megabytes (consultado en la liga electrónica </w:t>
      </w:r>
      <w:hyperlink r:id="rId11" w:anchor=":~:text=Tama%C3%B1o%20m%C3%A1ximo%20de%20los%20archivos,Drive%20en%20vez%20de%20adjuntarlo">
        <w:r>
          <w:rPr>
            <w:rFonts w:ascii="Palatino Linotype" w:eastAsia="Palatino Linotype" w:hAnsi="Palatino Linotype" w:cs="Palatino Linotype"/>
            <w:color w:val="0563C1"/>
            <w:sz w:val="22"/>
            <w:szCs w:val="22"/>
            <w:u w:val="single"/>
          </w:rPr>
          <w:t>https://support.google.com/mail/answer/6584?co=GENIE.Platform%3DDesktop&amp;hl=es#:~:text=Tama%C3%B1o%20m%C3%A1ximo%20de%20los%20archivos,Drive%20en%20vez%20de%20adjuntarlo</w:t>
        </w:r>
      </w:hyperlink>
      <w:r>
        <w:rPr>
          <w:rFonts w:ascii="Palatino Linotype" w:eastAsia="Palatino Linotype" w:hAnsi="Palatino Linotype" w:cs="Palatino Linotype"/>
          <w:sz w:val="22"/>
          <w:szCs w:val="22"/>
        </w:rPr>
        <w:t>), tal como se muestra continuación:</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Tamaño máximo de los archivos adjuntos</w:t>
      </w:r>
    </w:p>
    <w:p w:rsidR="004F2530" w:rsidRDefault="006040FD">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Puedes enviar uno o varios archivos adjuntos en un mismo mensaje, pero en total no pueden superar los 25 MB. Si el archivo tiene más de 25 MB, Gmail añadirá automáticamente un enlace a Google Drive en vez de adjuntarlo.”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logra observar, un correo electrónico comúnmente permite únicamente la carga de archivos adjuntos cuyo peso total se traduzca en veinticinco megabytes; por lo que, para proporcionar toda la información solicitada, necesitaría remitir más de mil seiscientos correos, lo cual generaría una carga desproporcional al Sujeto Obligado, que implicaría que tuviera que dejar de realizar sus funciones sustantivas y esenciales para cumplir con sus funciones; por lo que, este Instituto considera improcedente ordenar dicha modalidad.</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resulta procedente ordenar al Sujeto Obligado a poner a disposición las peticiones ciudadanas solicitadas, en todas las modalidades posible; para lo cual, en necesario aclarar, </w:t>
      </w:r>
      <w:r>
        <w:rPr>
          <w:rFonts w:ascii="Palatino Linotype" w:eastAsia="Palatino Linotype" w:hAnsi="Palatino Linotype" w:cs="Palatino Linotype"/>
          <w:sz w:val="22"/>
          <w:szCs w:val="22"/>
        </w:rPr>
        <w:lastRenderedPageBreak/>
        <w:t>para el caso que no pueda subir la información en una liga electrónica de acceso en Internet, por no contar con presupuesto, ni con el equipo electrónico adecuado para tal circunstancia, podrá omitir dicha modalidad, para la entrega de la misma.</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 dentro del transcurso del término señalado en el párrafo anterior, </w:t>
      </w:r>
      <w:r>
        <w:rPr>
          <w:rFonts w:ascii="Palatino Linotype" w:eastAsia="Palatino Linotype" w:hAnsi="Palatino Linotype" w:cs="Palatino Linotype"/>
          <w:b/>
          <w:bCs/>
          <w:sz w:val="22"/>
          <w:szCs w:val="22"/>
        </w:rPr>
        <w:t>el Particular acude por la información,</w:t>
      </w:r>
      <w:r>
        <w:rPr>
          <w:rFonts w:ascii="Palatino Linotype" w:eastAsia="Palatino Linotype" w:hAnsi="Palatino Linotype" w:cs="Palatino Linotype"/>
          <w:sz w:val="22"/>
          <w:szCs w:val="22"/>
        </w:rPr>
        <w:t xml:space="preserve"> el Sujeto Obligado levantará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este Instituto considera que los documentos que den cuenta de lo solicitado, pudieran contar con datos o información clasificada, como lo es el nombre de particulares o datos de contacto de estos, por lo que, en el caso,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w:t>
      </w:r>
      <w:r>
        <w:rPr>
          <w:rFonts w:ascii="Palatino Linotype" w:eastAsia="Palatino Linotype" w:hAnsi="Palatino Linotype" w:cs="Palatino Linotype"/>
          <w:color w:val="000000"/>
          <w:sz w:val="22"/>
          <w:szCs w:val="22"/>
        </w:rPr>
        <w:lastRenderedPageBreak/>
        <w:t>de Transparencia para efectos de atender al requerimiento informativo, deberá elaborar una versión Pública en la que se testen las partes o secciones clasificadas, indicando su contenido de manera genérica y fundando y motivando su clasificación.</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pStyle w:val="Ttulo2"/>
        <w:spacing w:before="0" w:after="0" w:line="360" w:lineRule="auto"/>
        <w:jc w:val="both"/>
        <w:rPr>
          <w:rFonts w:ascii="Palatino Linotype" w:eastAsia="Palatino Linotype" w:hAnsi="Palatino Linotype" w:cs="Palatino Linotype"/>
          <w:b/>
          <w:bCs/>
          <w:color w:val="000000"/>
          <w:sz w:val="22"/>
          <w:szCs w:val="22"/>
        </w:rPr>
      </w:pPr>
      <w:bookmarkStart w:id="26" w:name="_heading=h.fz2b8fwo2xpq" w:colFirst="0" w:colLast="0"/>
      <w:bookmarkStart w:id="27" w:name="_Toc215759434"/>
      <w:bookmarkEnd w:id="26"/>
      <w:r>
        <w:rPr>
          <w:rFonts w:ascii="Palatino Linotype" w:eastAsia="Palatino Linotype" w:hAnsi="Palatino Linotype" w:cs="Palatino Linotype"/>
          <w:b/>
          <w:bCs/>
          <w:color w:val="000000"/>
          <w:sz w:val="22"/>
          <w:szCs w:val="22"/>
        </w:rPr>
        <w:t>SEXTO. Decisión</w:t>
      </w:r>
      <w:bookmarkEnd w:id="27"/>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MODIFICAR </w:t>
      </w:r>
      <w:r>
        <w:rPr>
          <w:rFonts w:ascii="Palatino Linotype" w:eastAsia="Palatino Linotype" w:hAnsi="Palatino Linotype" w:cs="Palatino Linotype"/>
          <w:color w:val="000000"/>
          <w:sz w:val="22"/>
          <w:szCs w:val="22"/>
        </w:rPr>
        <w:t xml:space="preserve">las respuestas otorgadas por el Sujeto Obligado a las solicitudes de información </w:t>
      </w:r>
      <w:r>
        <w:rPr>
          <w:rFonts w:ascii="Palatino Linotype" w:eastAsia="Palatino Linotype" w:hAnsi="Palatino Linotype" w:cs="Palatino Linotype"/>
          <w:sz w:val="22"/>
          <w:szCs w:val="22"/>
        </w:rPr>
        <w:t>02432/TOLUCA/IP/2025,</w:t>
      </w:r>
      <w:r>
        <w:t xml:space="preserve"> </w:t>
      </w:r>
      <w:r>
        <w:rPr>
          <w:rFonts w:ascii="Palatino Linotype" w:eastAsia="Palatino Linotype" w:hAnsi="Palatino Linotype" w:cs="Palatino Linotype"/>
          <w:sz w:val="22"/>
          <w:szCs w:val="22"/>
        </w:rPr>
        <w:t>02431/TOLUCA/IP/2025, 02430/TOLUCA/IP/2025, 02429/TOLUCA/IP/2025, 02428/TOLUCA/IP/2025</w:t>
      </w:r>
      <w:r>
        <w:rPr>
          <w:rFonts w:ascii="Palatino Linotype" w:eastAsia="Palatino Linotype" w:hAnsi="Palatino Linotype" w:cs="Palatino Linotype"/>
          <w:color w:val="0D0D0D"/>
          <w:sz w:val="22"/>
          <w:szCs w:val="22"/>
        </w:rPr>
        <w:t>, 02427/TOLUCA/IP/2025 y 02426/TOLUCA/IP/2025</w:t>
      </w:r>
      <w:r>
        <w:rPr>
          <w:rFonts w:ascii="Palatino Linotype" w:eastAsia="Palatino Linotype" w:hAnsi="Palatino Linotype" w:cs="Palatino Linotype"/>
          <w:color w:val="000000"/>
          <w:sz w:val="22"/>
          <w:szCs w:val="22"/>
        </w:rPr>
        <w:t>, referente al recurso de revisión 06666/INFOEM/IP/RR/2025 y acumulados,  efecto de que a efecto de que, ponga a disposición, en todas las modalidades que permita la documentación de las peticiones ciudadanas.</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4F2530" w:rsidRDefault="004F2530">
      <w:pPr>
        <w:spacing w:line="360" w:lineRule="auto"/>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al Particular, que, en el presente caso, se le concede parcialmente la razón, pues si bien el Sujeto Obligado acreditó la imposibilidad de entregar la información por el Sistema de Acceso a la Información Mexiquense, omitió poner la información en todas las modalidades posibles. </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es garantizar la protección de los datos personales.</w:t>
      </w: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4F2530" w:rsidRDefault="004F2530">
      <w:pPr>
        <w:spacing w:line="360" w:lineRule="auto"/>
        <w:jc w:val="both"/>
        <w:rPr>
          <w:rFonts w:ascii="Palatino Linotype" w:eastAsia="Palatino Linotype" w:hAnsi="Palatino Linotype" w:cs="Palatino Linotype"/>
          <w:sz w:val="22"/>
          <w:szCs w:val="22"/>
        </w:rPr>
      </w:pPr>
    </w:p>
    <w:p w:rsidR="004F2530" w:rsidRDefault="006040FD">
      <w:pPr>
        <w:pStyle w:val="Ttulo1"/>
        <w:spacing w:before="0" w:after="0" w:line="360" w:lineRule="auto"/>
        <w:jc w:val="center"/>
        <w:rPr>
          <w:rFonts w:ascii="Palatino Linotype" w:eastAsia="Palatino Linotype" w:hAnsi="Palatino Linotype" w:cs="Palatino Linotype"/>
          <w:b/>
          <w:bCs/>
          <w:color w:val="000000"/>
          <w:sz w:val="22"/>
          <w:szCs w:val="22"/>
        </w:rPr>
      </w:pPr>
      <w:bookmarkStart w:id="28" w:name="_heading=h.hddbnquzkkce" w:colFirst="0" w:colLast="0"/>
      <w:bookmarkStart w:id="29" w:name="_Toc215759435"/>
      <w:bookmarkEnd w:id="28"/>
      <w:r>
        <w:rPr>
          <w:rFonts w:ascii="Palatino Linotype" w:eastAsia="Palatino Linotype" w:hAnsi="Palatino Linotype" w:cs="Palatino Linotype"/>
          <w:b/>
          <w:bCs/>
          <w:color w:val="000000"/>
          <w:sz w:val="22"/>
          <w:szCs w:val="22"/>
        </w:rPr>
        <w:t>R E S U E L V E</w:t>
      </w:r>
      <w:bookmarkEnd w:id="29"/>
    </w:p>
    <w:p w:rsidR="004F2530" w:rsidRDefault="004F2530">
      <w:pPr>
        <w:spacing w:line="360" w:lineRule="auto"/>
        <w:ind w:right="-91"/>
        <w:jc w:val="both"/>
        <w:rPr>
          <w:rFonts w:ascii="Palatino Linotype" w:eastAsia="Palatino Linotype" w:hAnsi="Palatino Linotype" w:cs="Palatino Linotype"/>
          <w:b/>
          <w:bCs/>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PRIMERO. Se MODIFICA </w:t>
      </w:r>
      <w:r>
        <w:rPr>
          <w:rFonts w:ascii="Palatino Linotype" w:eastAsia="Palatino Linotype" w:hAnsi="Palatino Linotype" w:cs="Palatino Linotype"/>
          <w:color w:val="000000"/>
          <w:sz w:val="22"/>
          <w:szCs w:val="22"/>
        </w:rPr>
        <w:t xml:space="preserve">la respuesta entregada por el Ayuntamiento de Toluca, a las solicitudes de información </w:t>
      </w:r>
      <w:r>
        <w:rPr>
          <w:rFonts w:ascii="Palatino Linotype" w:eastAsia="Palatino Linotype" w:hAnsi="Palatino Linotype" w:cs="Palatino Linotype"/>
          <w:sz w:val="22"/>
          <w:szCs w:val="22"/>
        </w:rPr>
        <w:t>02432/TOLUCA/IP/2025, 02431/TOLUCA/IP/2025, 02430/TOLUCA/IP/2025, 02429/TOLUCA/IP/2025, 02428/TOLUCA/IP/2025, 02427/TOLUCA/IP/2025 y 02426/TOLUCA/IP/2025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bCs/>
          <w:color w:val="000000"/>
          <w:sz w:val="22"/>
          <w:szCs w:val="22"/>
        </w:rPr>
        <w:t>PARCIALMENTE FUNDADAS</w:t>
      </w:r>
      <w:r>
        <w:rPr>
          <w:rFonts w:ascii="Palatino Linotype" w:eastAsia="Palatino Linotype" w:hAnsi="Palatino Linotype" w:cs="Palatino Linotype"/>
          <w:color w:val="000000"/>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bCs/>
          <w:color w:val="000000"/>
          <w:sz w:val="22"/>
          <w:szCs w:val="22"/>
        </w:rPr>
        <w:t>QUINTO y SEXTO</w:t>
      </w:r>
      <w:r>
        <w:rPr>
          <w:rFonts w:ascii="Palatino Linotype" w:eastAsia="Palatino Linotype" w:hAnsi="Palatino Linotype" w:cs="Palatino Linotype"/>
          <w:color w:val="000000"/>
          <w:sz w:val="22"/>
          <w:szCs w:val="22"/>
        </w:rPr>
        <w:t xml:space="preserve"> de la presente Resolución.</w:t>
      </w:r>
    </w:p>
    <w:p w:rsidR="004F2530" w:rsidRDefault="004F2530">
      <w:pPr>
        <w:spacing w:line="360" w:lineRule="auto"/>
        <w:jc w:val="both"/>
        <w:rPr>
          <w:rFonts w:ascii="Palatino Linotype" w:eastAsia="Palatino Linotype" w:hAnsi="Palatino Linotype" w:cs="Palatino Linotype"/>
          <w:b/>
          <w:bCs/>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Se ORDENA </w:t>
      </w:r>
      <w:r>
        <w:rPr>
          <w:rFonts w:ascii="Palatino Linotype" w:eastAsia="Palatino Linotype" w:hAnsi="Palatino Linotype" w:cs="Palatino Linotype"/>
          <w:color w:val="000000"/>
          <w:sz w:val="22"/>
          <w:szCs w:val="22"/>
        </w:rPr>
        <w:t>al Sujeto Obligado, a efecto de que a efecto de que,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en su caso, en versión pública, lo siguiente</w:t>
      </w:r>
    </w:p>
    <w:p w:rsidR="004F2530" w:rsidRDefault="006040FD">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rsidR="004F2530" w:rsidRDefault="006040F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peticiones ciudadanas recibidas en la Presidencia Municipal, con su respectivo oficio de turno y respuesta del primero de enero de dos mil diecinueve al veintitrés </w:t>
      </w:r>
      <w:r>
        <w:rPr>
          <w:rFonts w:ascii="Palatino Linotype" w:eastAsia="Palatino Linotype" w:hAnsi="Palatino Linotype" w:cs="Palatino Linotype"/>
          <w:color w:val="000000"/>
          <w:sz w:val="22"/>
          <w:szCs w:val="22"/>
        </w:rPr>
        <w:lastRenderedPageBreak/>
        <w:t>de abril de dos mil veinticinco, aludidas en el desahogo del requerimiento de información adicional.</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Para tal situación, el Sujeto Obligado, a través del Sistema de Acceso a la Información Mexiquense (SAIMEX), deberá indicar el procedimiento que tendrá que seguir el Particular, para acceder a la documentación, es decir, el domicilio de la Unidad de Transparencia, así como los días y horarios de atención, junto con el nombre del servidor público que le atenderá, el procedimiento de pago y el costo, en caso de proceder, de conformidad con el Vigésimo Sexto de los Lineamientos para la operación del Sistema de Acceso a la Información Mexiquense (SAIMEX) y del Sistema de Acceso, Rectificación, Cancelación y Oposición de Datos Personales del Estado de México (SARCOEM). Además, deberá señalarle que podrá acceder de manera gratuita a la información en las oficinas del Sujeto Obligado, si proporciona el medio de almacenamiento.</w:t>
      </w:r>
    </w:p>
    <w:p w:rsidR="004F2530" w:rsidRDefault="004F2530">
      <w:pPr>
        <w:spacing w:line="360" w:lineRule="auto"/>
        <w:jc w:val="both"/>
        <w:rPr>
          <w:rFonts w:ascii="Palatino Linotype" w:eastAsia="Palatino Linotype" w:hAnsi="Palatino Linotype" w:cs="Palatino Linotype"/>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o la clasificación de los oficios, en el supuesto que actualicen alguna causal de reserva, de conformidad con los artículos 49, fracciones II y VIII y 132, fracción II de la Ley de Transparencia y Acceso a la Información Pública del Estado de México y Municipios.</w:t>
      </w:r>
    </w:p>
    <w:p w:rsidR="004F2530" w:rsidRDefault="004F2530">
      <w:pPr>
        <w:spacing w:line="360" w:lineRule="auto"/>
        <w:jc w:val="both"/>
        <w:rPr>
          <w:rFonts w:ascii="Palatino Linotype" w:eastAsia="Palatino Linotype" w:hAnsi="Palatino Linotype" w:cs="Palatino Linotype"/>
          <w:b/>
          <w:bCs/>
          <w:color w:val="000000"/>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 xml:space="preserve">TERCERO.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Pr>
          <w:rFonts w:ascii="Palatino Linotype" w:eastAsia="Palatino Linotype" w:hAnsi="Palatino Linotype" w:cs="Palatino Linotype"/>
          <w:sz w:val="22"/>
          <w:szCs w:val="22"/>
        </w:rPr>
        <w:lastRenderedPageBreak/>
        <w:t xml:space="preserve">resolución o hacerlo de manera parcial, se le impondrá una medida de apremio de conformidad con lo previsto en los artículos 198, 200, fracción III, 214, 215 y 216 de la Ley referida. </w:t>
      </w:r>
    </w:p>
    <w:p w:rsidR="004F2530" w:rsidRDefault="004F2530">
      <w:pPr>
        <w:spacing w:line="360" w:lineRule="auto"/>
        <w:ind w:right="-28"/>
        <w:jc w:val="both"/>
        <w:rPr>
          <w:rFonts w:ascii="Palatino Linotype" w:eastAsia="Palatino Linotype" w:hAnsi="Palatino Linotype" w:cs="Palatino Linotype"/>
          <w:sz w:val="22"/>
          <w:szCs w:val="22"/>
        </w:rPr>
      </w:pPr>
    </w:p>
    <w:p w:rsidR="004F2530" w:rsidRDefault="006040FD">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4F2530" w:rsidRDefault="004F2530">
      <w:pPr>
        <w:spacing w:line="360" w:lineRule="auto"/>
        <w:jc w:val="both"/>
        <w:rPr>
          <w:rFonts w:ascii="Palatino Linotype" w:eastAsia="Palatino Linotype" w:hAnsi="Palatino Linotype" w:cs="Palatino Linotype"/>
          <w:b/>
          <w:bCs/>
          <w:color w:val="000000"/>
          <w:sz w:val="22"/>
          <w:szCs w:val="22"/>
        </w:rPr>
      </w:pPr>
    </w:p>
    <w:p w:rsidR="004F2530" w:rsidRDefault="006040F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CUARTO.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4F2530" w:rsidRDefault="004F2530">
      <w:pPr>
        <w:spacing w:line="360" w:lineRule="auto"/>
        <w:jc w:val="both"/>
        <w:rPr>
          <w:rFonts w:ascii="Palatino Linotype" w:eastAsia="Palatino Linotype" w:hAnsi="Palatino Linotype" w:cs="Palatino Linotype"/>
          <w:b/>
          <w:bCs/>
          <w:color w:val="000000"/>
          <w:sz w:val="22"/>
          <w:szCs w:val="22"/>
        </w:rPr>
      </w:pPr>
    </w:p>
    <w:p w:rsidR="004F2530" w:rsidRDefault="006040F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2"/>
          <w:szCs w:val="22"/>
        </w:rPr>
        <w:t>CUADRAGÉSIMA</w:t>
      </w:r>
      <w:r>
        <w:rPr>
          <w:rFonts w:ascii="Palatino Linotype" w:eastAsia="Palatino Linotype" w:hAnsi="Palatino Linotype" w:cs="Palatino Linotype"/>
          <w:color w:val="000000"/>
          <w:sz w:val="22"/>
          <w:szCs w:val="22"/>
        </w:rPr>
        <w:t xml:space="preserve"> TERCERA SESIÓN ORDINARIA, CELEBRADA EL TRES DE DICIEMBRE DE DOS MIL VEINTICINCO, ANTE EL SECRETARIO TÉCNICO DEL PLENO, ALEXIS TAPIA RAMÍREZ.</w:t>
      </w: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rPr>
          <w:rFonts w:ascii="Palatino Linotype" w:eastAsia="Palatino Linotype" w:hAnsi="Palatino Linotype" w:cs="Palatino Linotype"/>
        </w:rPr>
      </w:pPr>
    </w:p>
    <w:p w:rsidR="004F2530" w:rsidRDefault="004F2530">
      <w:pPr>
        <w:spacing w:line="360" w:lineRule="auto"/>
      </w:pPr>
    </w:p>
    <w:p w:rsidR="004F2530" w:rsidRDefault="004F2530">
      <w:pPr>
        <w:spacing w:line="360" w:lineRule="auto"/>
      </w:pPr>
    </w:p>
    <w:p w:rsidR="004F2530" w:rsidRDefault="004F2530">
      <w:pPr>
        <w:spacing w:line="360" w:lineRule="auto"/>
      </w:pPr>
    </w:p>
    <w:p w:rsidR="004F2530" w:rsidRDefault="004F2530">
      <w:pPr>
        <w:spacing w:line="360" w:lineRule="auto"/>
      </w:pPr>
    </w:p>
    <w:p w:rsidR="004F2530" w:rsidRDefault="004F2530">
      <w:pPr>
        <w:spacing w:line="360" w:lineRule="auto"/>
      </w:pPr>
    </w:p>
    <w:p w:rsidR="004F2530" w:rsidRDefault="004F2530">
      <w:pPr>
        <w:spacing w:line="360" w:lineRule="auto"/>
      </w:pPr>
    </w:p>
    <w:p w:rsidR="004F2530" w:rsidRDefault="004F2530">
      <w:pPr>
        <w:spacing w:line="360" w:lineRule="auto"/>
      </w:pPr>
    </w:p>
    <w:p w:rsidR="004F2530" w:rsidRDefault="004F2530"/>
    <w:p w:rsidR="004F2530" w:rsidRDefault="004F2530"/>
    <w:sectPr w:rsidR="004F2530">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6B6" w:rsidRDefault="003A56B6">
      <w:r>
        <w:separator/>
      </w:r>
    </w:p>
  </w:endnote>
  <w:endnote w:type="continuationSeparator" w:id="0">
    <w:p w:rsidR="003A56B6" w:rsidRDefault="003A5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BA92BA2-F6A4-4583-B59A-FF2C02D673CC}"/>
  </w:font>
  <w:font w:name="Calibri">
    <w:panose1 w:val="020F0502020204030204"/>
    <w:charset w:val="00"/>
    <w:family w:val="swiss"/>
    <w:pitch w:val="variable"/>
    <w:sig w:usb0="E4002EFF" w:usb1="C200247B" w:usb2="00000009" w:usb3="00000000" w:csb0="000001FF" w:csb1="00000000"/>
    <w:embedRegular r:id="rId2" w:fontKey="{C0496968-9980-4048-844F-B2D23121CE88}"/>
    <w:embedBold r:id="rId3" w:fontKey="{7091A975-36C8-4DA0-93B4-D5FF92B468A1}"/>
  </w:font>
  <w:font w:name="Calibri Light">
    <w:panose1 w:val="020F0302020204030204"/>
    <w:charset w:val="00"/>
    <w:family w:val="swiss"/>
    <w:pitch w:val="variable"/>
    <w:sig w:usb0="E4002EFF" w:usb1="C200247B" w:usb2="00000009" w:usb3="00000000" w:csb0="000001FF" w:csb1="00000000"/>
    <w:embedRegular r:id="rId4" w:fontKey="{D2EAF067-7A77-4445-A6BE-C30FD3519D61}"/>
  </w:font>
  <w:font w:name="Georgia">
    <w:panose1 w:val="02040502050405020303"/>
    <w:charset w:val="00"/>
    <w:family w:val="roman"/>
    <w:pitch w:val="variable"/>
    <w:sig w:usb0="00000287" w:usb1="00000000" w:usb2="00000000" w:usb3="00000000" w:csb0="0000009F" w:csb1="00000000"/>
    <w:embedItalic r:id="rId5" w:fontKey="{DFEE6114-FAFE-4C93-9302-F07E0D4A2FCC}"/>
  </w:font>
  <w:font w:name="Palatino Linotype">
    <w:panose1 w:val="02040502050505030304"/>
    <w:charset w:val="00"/>
    <w:family w:val="roman"/>
    <w:pitch w:val="variable"/>
    <w:sig w:usb0="E0000287" w:usb1="40000013" w:usb2="00000000" w:usb3="00000000" w:csb0="0000019F" w:csb1="00000000"/>
    <w:embedRegular r:id="rId6" w:fontKey="{DC2EF963-D0AF-4CD3-BC36-6A671D3A1910}"/>
    <w:embedBold r:id="rId7" w:fontKey="{618AADA5-BA1A-4E2E-B7D1-677E75925C96}"/>
    <w:embedItalic r:id="rId8" w:fontKey="{A9AD8699-1C50-464C-8138-8423F595A760}"/>
    <w:embedBoldItalic r:id="rId9" w:fontKey="{4B17210D-B946-4D5D-A0DD-AEC3F4B6E615}"/>
  </w:font>
  <w:font w:name="Garamond">
    <w:panose1 w:val="02020404030301010803"/>
    <w:charset w:val="00"/>
    <w:family w:val="roman"/>
    <w:pitch w:val="variable"/>
    <w:sig w:usb0="00000287" w:usb1="00000000" w:usb2="00000000" w:usb3="00000000" w:csb0="0000009F" w:csb1="00000000"/>
    <w:embedRegular r:id="rId10" w:fontKey="{CFB33F51-E41C-4AD9-9824-28D246592E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6040FD">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A2619A">
      <w:rPr>
        <w:rFonts w:ascii="Palatino Linotype" w:eastAsia="Palatino Linotype" w:hAnsi="Palatino Linotype" w:cs="Palatino Linotype"/>
        <w:b/>
        <w:bCs/>
        <w:noProof/>
        <w:color w:val="000000"/>
        <w:sz w:val="22"/>
        <w:szCs w:val="22"/>
      </w:rPr>
      <w:t>36</w:t>
    </w:r>
    <w:r>
      <w:rPr>
        <w:rFonts w:ascii="Palatino Linotype" w:eastAsia="Palatino Linotype" w:hAnsi="Palatino Linotype" w:cs="Palatino Linotype"/>
        <w:b/>
        <w:bCs/>
        <w:color w:val="000000"/>
        <w:sz w:val="22"/>
        <w:szCs w:val="22"/>
      </w:rPr>
      <w:fldChar w:fldCharType="end"/>
    </w:r>
  </w:p>
  <w:p w:rsidR="004F2530" w:rsidRDefault="004F253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6040FD">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90369">
      <w:rPr>
        <w:rFonts w:ascii="Palatino Linotype" w:eastAsia="Palatino Linotype" w:hAnsi="Palatino Linotype" w:cs="Palatino Linotype"/>
        <w:b/>
        <w:bCs/>
        <w:noProof/>
        <w:color w:val="000000"/>
        <w:sz w:val="22"/>
        <w:szCs w:val="22"/>
      </w:rPr>
      <w:t>24</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90369">
      <w:rPr>
        <w:rFonts w:ascii="Palatino Linotype" w:eastAsia="Palatino Linotype" w:hAnsi="Palatino Linotype" w:cs="Palatino Linotype"/>
        <w:b/>
        <w:bCs/>
        <w:noProof/>
        <w:color w:val="000000"/>
        <w:sz w:val="22"/>
        <w:szCs w:val="22"/>
      </w:rPr>
      <w:t>36</w:t>
    </w:r>
    <w:r>
      <w:rPr>
        <w:rFonts w:ascii="Palatino Linotype" w:eastAsia="Palatino Linotype" w:hAnsi="Palatino Linotype" w:cs="Palatino Linotype"/>
        <w:b/>
        <w:bCs/>
        <w:color w:val="000000"/>
        <w:sz w:val="22"/>
        <w:szCs w:val="22"/>
      </w:rPr>
      <w:fldChar w:fldCharType="end"/>
    </w:r>
  </w:p>
  <w:p w:rsidR="004F2530" w:rsidRDefault="004F253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6040F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90369">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90369">
      <w:rPr>
        <w:rFonts w:ascii="Palatino Linotype" w:eastAsia="Palatino Linotype" w:hAnsi="Palatino Linotype" w:cs="Palatino Linotype"/>
        <w:b/>
        <w:bCs/>
        <w:noProof/>
        <w:color w:val="000000"/>
        <w:sz w:val="22"/>
        <w:szCs w:val="22"/>
      </w:rPr>
      <w:t>36</w:t>
    </w:r>
    <w:r>
      <w:rPr>
        <w:rFonts w:ascii="Palatino Linotype" w:eastAsia="Palatino Linotype" w:hAnsi="Palatino Linotype" w:cs="Palatino Linotype"/>
        <w:b/>
        <w:bCs/>
        <w:color w:val="000000"/>
        <w:sz w:val="22"/>
        <w:szCs w:val="22"/>
      </w:rPr>
      <w:fldChar w:fldCharType="end"/>
    </w:r>
  </w:p>
  <w:p w:rsidR="004F2530" w:rsidRDefault="004F253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6B6" w:rsidRDefault="003A56B6">
      <w:r>
        <w:separator/>
      </w:r>
    </w:p>
  </w:footnote>
  <w:footnote w:type="continuationSeparator" w:id="0">
    <w:p w:rsidR="003A56B6" w:rsidRDefault="003A56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4F2530">
    <w:pPr>
      <w:widowControl w:val="0"/>
      <w:pBdr>
        <w:top w:val="nil"/>
        <w:left w:val="nil"/>
        <w:bottom w:val="nil"/>
        <w:right w:val="nil"/>
        <w:between w:val="nil"/>
      </w:pBdr>
      <w:spacing w:line="276" w:lineRule="auto"/>
    </w:pPr>
  </w:p>
  <w:tbl>
    <w:tblPr>
      <w:tblStyle w:val="a1"/>
      <w:tblW w:w="9705" w:type="dxa"/>
      <w:tblInd w:w="0" w:type="dxa"/>
      <w:tblLayout w:type="fixed"/>
      <w:tblLook w:val="0400" w:firstRow="0" w:lastRow="0" w:firstColumn="0" w:lastColumn="0" w:noHBand="0" w:noVBand="1"/>
    </w:tblPr>
    <w:tblGrid>
      <w:gridCol w:w="2972"/>
      <w:gridCol w:w="6733"/>
    </w:tblGrid>
    <w:tr w:rsidR="004F2530">
      <w:trPr>
        <w:trHeight w:val="1435"/>
      </w:trPr>
      <w:tc>
        <w:tcPr>
          <w:tcW w:w="0" w:type="auto"/>
        </w:tcPr>
        <w:p w:rsidR="004F2530" w:rsidRDefault="004F2530">
          <w:pPr>
            <w:tabs>
              <w:tab w:val="right" w:pos="4273"/>
            </w:tabs>
            <w:spacing w:line="256" w:lineRule="auto"/>
            <w:rPr>
              <w:rFonts w:ascii="Garamond" w:eastAsia="Garamond" w:hAnsi="Garamond" w:cs="Garamond"/>
              <w:sz w:val="22"/>
              <w:szCs w:val="22"/>
            </w:rPr>
          </w:pPr>
        </w:p>
      </w:tc>
      <w:tc>
        <w:tcPr>
          <w:tcW w:w="0" w:type="auto"/>
        </w:tcPr>
        <w:p w:rsidR="004F2530" w:rsidRDefault="004F253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4F2530">
            <w:trPr>
              <w:trHeight w:val="144"/>
            </w:trPr>
            <w:tc>
              <w:tcPr>
                <w:tcW w:w="0" w:type="auto"/>
              </w:tcPr>
              <w:p w:rsidR="004F2530" w:rsidRDefault="006040FD">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4F2530" w:rsidRDefault="006040FD">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4F2530">
            <w:trPr>
              <w:trHeight w:val="283"/>
            </w:trPr>
            <w:tc>
              <w:tcPr>
                <w:tcW w:w="0" w:type="auto"/>
              </w:tcPr>
              <w:p w:rsidR="004F2530" w:rsidRDefault="006040FD">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4F2530" w:rsidRDefault="006040FD">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4F2530">
            <w:trPr>
              <w:trHeight w:val="283"/>
            </w:trPr>
            <w:tc>
              <w:tcPr>
                <w:tcW w:w="0" w:type="auto"/>
              </w:tcPr>
              <w:p w:rsidR="004F2530" w:rsidRDefault="006040FD">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4F2530" w:rsidRDefault="006040FD">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4F2530" w:rsidRDefault="004F2530">
                <w:pPr>
                  <w:tabs>
                    <w:tab w:val="right" w:pos="8838"/>
                  </w:tabs>
                  <w:ind w:left="-74" w:right="-105"/>
                  <w:jc w:val="both"/>
                  <w:rPr>
                    <w:rFonts w:ascii="Palatino Linotype" w:eastAsia="Palatino Linotype" w:hAnsi="Palatino Linotype" w:cs="Palatino Linotype"/>
                    <w:b/>
                    <w:bCs/>
                    <w:sz w:val="22"/>
                    <w:szCs w:val="22"/>
                  </w:rPr>
                </w:pPr>
              </w:p>
            </w:tc>
          </w:tr>
        </w:tbl>
        <w:p w:rsidR="004F2530" w:rsidRDefault="004F2530">
          <w:pPr>
            <w:tabs>
              <w:tab w:val="right" w:pos="8838"/>
            </w:tabs>
            <w:spacing w:line="256" w:lineRule="auto"/>
            <w:ind w:left="-28"/>
            <w:jc w:val="both"/>
            <w:rPr>
              <w:rFonts w:ascii="Arial" w:eastAsia="Arial" w:hAnsi="Arial" w:cs="Arial"/>
              <w:b/>
              <w:bCs/>
              <w:sz w:val="22"/>
              <w:szCs w:val="22"/>
            </w:rPr>
          </w:pPr>
        </w:p>
      </w:tc>
    </w:tr>
  </w:tbl>
  <w:p w:rsidR="004F2530" w:rsidRDefault="006040FD">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-1381124</wp:posOffset>
          </wp:positionH>
          <wp:positionV relativeFrom="margin">
            <wp:posOffset>-1611629</wp:posOffset>
          </wp:positionV>
          <wp:extent cx="5612130" cy="730821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4F2530">
    <w:pPr>
      <w:widowControl w:val="0"/>
      <w:pBdr>
        <w:top w:val="nil"/>
        <w:left w:val="nil"/>
        <w:bottom w:val="nil"/>
        <w:right w:val="nil"/>
        <w:between w:val="nil"/>
      </w:pBdr>
      <w:spacing w:line="276" w:lineRule="auto"/>
      <w:rPr>
        <w:color w:val="000000"/>
      </w:rPr>
    </w:pPr>
  </w:p>
  <w:tbl>
    <w:tblPr>
      <w:tblStyle w:val="a3"/>
      <w:tblW w:w="9356" w:type="dxa"/>
      <w:tblInd w:w="0" w:type="dxa"/>
      <w:tblLayout w:type="fixed"/>
      <w:tblLook w:val="0400" w:firstRow="0" w:lastRow="0" w:firstColumn="0" w:lastColumn="0" w:noHBand="0" w:noVBand="1"/>
    </w:tblPr>
    <w:tblGrid>
      <w:gridCol w:w="1985"/>
      <w:gridCol w:w="7371"/>
    </w:tblGrid>
    <w:tr w:rsidR="004F2530">
      <w:trPr>
        <w:trHeight w:val="1435"/>
      </w:trPr>
      <w:tc>
        <w:tcPr>
          <w:tcW w:w="1985" w:type="dxa"/>
        </w:tcPr>
        <w:p w:rsidR="004F2530" w:rsidRDefault="004F2530">
          <w:pPr>
            <w:tabs>
              <w:tab w:val="right" w:pos="4273"/>
            </w:tabs>
            <w:spacing w:line="256" w:lineRule="auto"/>
            <w:rPr>
              <w:rFonts w:ascii="Garamond" w:eastAsia="Garamond" w:hAnsi="Garamond" w:cs="Garamond"/>
              <w:sz w:val="22"/>
              <w:szCs w:val="22"/>
            </w:rPr>
          </w:pPr>
        </w:p>
      </w:tc>
      <w:tc>
        <w:tcPr>
          <w:tcW w:w="7371" w:type="dxa"/>
        </w:tcPr>
        <w:p w:rsidR="004F2530" w:rsidRDefault="004F2530">
          <w:pPr>
            <w:rPr>
              <w:sz w:val="28"/>
              <w:szCs w:val="28"/>
            </w:rPr>
          </w:pPr>
        </w:p>
        <w:tbl>
          <w:tblPr>
            <w:tblStyle w:val="a4"/>
            <w:tblW w:w="93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41"/>
            <w:gridCol w:w="4247"/>
            <w:gridCol w:w="2254"/>
          </w:tblGrid>
          <w:tr w:rsidR="004F2530">
            <w:trPr>
              <w:trHeight w:val="194"/>
            </w:trPr>
            <w:tc>
              <w:tcPr>
                <w:tcW w:w="2841" w:type="dxa"/>
              </w:tcPr>
              <w:p w:rsidR="004F2530" w:rsidRDefault="006040FD">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47" w:type="dxa"/>
              </w:tcPr>
              <w:p w:rsidR="004B5099" w:rsidRDefault="006040FD">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06666/INFOEM/IP/RR/2025 y </w:t>
                </w:r>
              </w:p>
              <w:p w:rsidR="004F2530" w:rsidRDefault="006040FD">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acumulados</w:t>
                </w:r>
              </w:p>
            </w:tc>
            <w:tc>
              <w:tcPr>
                <w:tcW w:w="2254" w:type="dxa"/>
              </w:tcPr>
              <w:p w:rsidR="004F2530" w:rsidRDefault="004F2530">
                <w:pPr>
                  <w:tabs>
                    <w:tab w:val="right" w:pos="8838"/>
                  </w:tabs>
                  <w:ind w:left="-114" w:right="-105"/>
                  <w:jc w:val="both"/>
                  <w:rPr>
                    <w:rFonts w:ascii="Palatino Linotype" w:eastAsia="Palatino Linotype" w:hAnsi="Palatino Linotype" w:cs="Palatino Linotype"/>
                    <w:sz w:val="22"/>
                    <w:szCs w:val="22"/>
                  </w:rPr>
                </w:pPr>
              </w:p>
            </w:tc>
          </w:tr>
          <w:tr w:rsidR="004F2530">
            <w:trPr>
              <w:trHeight w:val="88"/>
            </w:trPr>
            <w:tc>
              <w:tcPr>
                <w:tcW w:w="2841" w:type="dxa"/>
              </w:tcPr>
              <w:p w:rsidR="004F2530" w:rsidRDefault="006040FD">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47" w:type="dxa"/>
              </w:tcPr>
              <w:p w:rsidR="004F2530" w:rsidRDefault="006040FD">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Toluca</w:t>
                </w:r>
              </w:p>
            </w:tc>
            <w:tc>
              <w:tcPr>
                <w:tcW w:w="2254" w:type="dxa"/>
              </w:tcPr>
              <w:p w:rsidR="004F2530" w:rsidRDefault="004F2530">
                <w:pPr>
                  <w:tabs>
                    <w:tab w:val="left" w:pos="2834"/>
                    <w:tab w:val="right" w:pos="8838"/>
                  </w:tabs>
                  <w:ind w:left="-114"/>
                  <w:jc w:val="both"/>
                  <w:rPr>
                    <w:rFonts w:ascii="Palatino Linotype" w:eastAsia="Palatino Linotype" w:hAnsi="Palatino Linotype" w:cs="Palatino Linotype"/>
                    <w:sz w:val="22"/>
                    <w:szCs w:val="22"/>
                  </w:rPr>
                </w:pPr>
              </w:p>
            </w:tc>
          </w:tr>
          <w:tr w:rsidR="004F2530">
            <w:trPr>
              <w:trHeight w:val="383"/>
            </w:trPr>
            <w:tc>
              <w:tcPr>
                <w:tcW w:w="2841" w:type="dxa"/>
              </w:tcPr>
              <w:p w:rsidR="004F2530" w:rsidRDefault="006040FD">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247" w:type="dxa"/>
              </w:tcPr>
              <w:p w:rsidR="004F2530" w:rsidRDefault="006040FD">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rsidR="004F2530" w:rsidRDefault="004F2530">
                <w:pPr>
                  <w:tabs>
                    <w:tab w:val="right" w:pos="8838"/>
                  </w:tabs>
                  <w:ind w:left="-114" w:right="-105"/>
                  <w:jc w:val="both"/>
                  <w:rPr>
                    <w:rFonts w:ascii="Palatino Linotype" w:eastAsia="Palatino Linotype" w:hAnsi="Palatino Linotype" w:cs="Palatino Linotype"/>
                    <w:sz w:val="22"/>
                    <w:szCs w:val="22"/>
                  </w:rPr>
                </w:pPr>
              </w:p>
            </w:tc>
          </w:tr>
        </w:tbl>
        <w:p w:rsidR="004F2530" w:rsidRDefault="004F2530">
          <w:pPr>
            <w:tabs>
              <w:tab w:val="right" w:pos="8838"/>
            </w:tabs>
            <w:spacing w:line="256" w:lineRule="auto"/>
            <w:ind w:left="-28"/>
            <w:jc w:val="both"/>
            <w:rPr>
              <w:rFonts w:ascii="Arial" w:eastAsia="Arial" w:hAnsi="Arial" w:cs="Arial"/>
              <w:b/>
              <w:bCs/>
              <w:sz w:val="22"/>
              <w:szCs w:val="22"/>
            </w:rPr>
          </w:pPr>
        </w:p>
      </w:tc>
    </w:tr>
  </w:tbl>
  <w:p w:rsidR="004F2530" w:rsidRDefault="006040FD">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-1153159</wp:posOffset>
          </wp:positionH>
          <wp:positionV relativeFrom="margin">
            <wp:posOffset>-1539239</wp:posOffset>
          </wp:positionV>
          <wp:extent cx="7835900" cy="1020381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530" w:rsidRDefault="004F2530">
    <w:pPr>
      <w:widowControl w:val="0"/>
      <w:pBdr>
        <w:top w:val="nil"/>
        <w:left w:val="nil"/>
        <w:bottom w:val="nil"/>
        <w:right w:val="nil"/>
        <w:between w:val="nil"/>
      </w:pBdr>
      <w:spacing w:line="276" w:lineRule="auto"/>
      <w:rPr>
        <w:color w:val="000000"/>
      </w:rPr>
    </w:pPr>
  </w:p>
  <w:tbl>
    <w:tblPr>
      <w:tblStyle w:val="a5"/>
      <w:tblW w:w="9214" w:type="dxa"/>
      <w:tblInd w:w="0" w:type="dxa"/>
      <w:tblLayout w:type="fixed"/>
      <w:tblLook w:val="0400" w:firstRow="0" w:lastRow="0" w:firstColumn="0" w:lastColumn="0" w:noHBand="0" w:noVBand="1"/>
    </w:tblPr>
    <w:tblGrid>
      <w:gridCol w:w="1560"/>
      <w:gridCol w:w="7654"/>
    </w:tblGrid>
    <w:tr w:rsidR="004F2530">
      <w:trPr>
        <w:trHeight w:val="1435"/>
      </w:trPr>
      <w:tc>
        <w:tcPr>
          <w:tcW w:w="1560" w:type="dxa"/>
        </w:tcPr>
        <w:p w:rsidR="004F2530" w:rsidRDefault="004F2530">
          <w:pPr>
            <w:tabs>
              <w:tab w:val="right" w:pos="4273"/>
            </w:tabs>
            <w:spacing w:line="256" w:lineRule="auto"/>
            <w:rPr>
              <w:rFonts w:ascii="Garamond" w:eastAsia="Garamond" w:hAnsi="Garamond" w:cs="Garamond"/>
              <w:sz w:val="22"/>
              <w:szCs w:val="22"/>
            </w:rPr>
          </w:pPr>
        </w:p>
      </w:tc>
      <w:tc>
        <w:tcPr>
          <w:tcW w:w="7654" w:type="dxa"/>
        </w:tcPr>
        <w:p w:rsidR="004F2530" w:rsidRDefault="004F253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6"/>
            <w:tblW w:w="8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18"/>
            <w:gridCol w:w="4261"/>
            <w:gridCol w:w="452"/>
          </w:tblGrid>
          <w:tr w:rsidR="004F2530">
            <w:trPr>
              <w:gridAfter w:val="1"/>
              <w:wAfter w:w="452" w:type="dxa"/>
              <w:trHeight w:val="132"/>
            </w:trPr>
            <w:tc>
              <w:tcPr>
                <w:tcW w:w="3818" w:type="dxa"/>
              </w:tcPr>
              <w:p w:rsidR="004F2530" w:rsidRDefault="006040FD">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61" w:type="dxa"/>
              </w:tcPr>
              <w:p w:rsidR="004B5099" w:rsidRDefault="006040FD">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06666/INFOEM/IP/RR/2025 y </w:t>
                </w:r>
              </w:p>
              <w:p w:rsidR="004F2530" w:rsidRDefault="006040FD">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acumulados </w:t>
                </w:r>
              </w:p>
            </w:tc>
          </w:tr>
          <w:tr w:rsidR="004F2530">
            <w:trPr>
              <w:gridAfter w:val="1"/>
              <w:wAfter w:w="452" w:type="dxa"/>
              <w:trHeight w:val="132"/>
            </w:trPr>
            <w:tc>
              <w:tcPr>
                <w:tcW w:w="3818" w:type="dxa"/>
              </w:tcPr>
              <w:p w:rsidR="004F2530" w:rsidRDefault="006040FD">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261" w:type="dxa"/>
              </w:tcPr>
              <w:p w:rsidR="004F2530" w:rsidRDefault="004F2530">
                <w:pPr>
                  <w:tabs>
                    <w:tab w:val="left" w:pos="3122"/>
                    <w:tab w:val="right" w:pos="8838"/>
                  </w:tabs>
                  <w:ind w:left="-74" w:right="-105"/>
                  <w:jc w:val="both"/>
                  <w:rPr>
                    <w:rFonts w:ascii="Palatino Linotype" w:eastAsia="Palatino Linotype" w:hAnsi="Palatino Linotype" w:cs="Palatino Linotype"/>
                    <w:sz w:val="22"/>
                    <w:szCs w:val="22"/>
                  </w:rPr>
                </w:pPr>
              </w:p>
            </w:tc>
          </w:tr>
          <w:tr w:rsidR="004F2530">
            <w:trPr>
              <w:gridAfter w:val="1"/>
              <w:wAfter w:w="452" w:type="dxa"/>
              <w:trHeight w:val="261"/>
            </w:trPr>
            <w:tc>
              <w:tcPr>
                <w:tcW w:w="3818" w:type="dxa"/>
              </w:tcPr>
              <w:p w:rsidR="004F2530" w:rsidRDefault="006040FD">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61" w:type="dxa"/>
              </w:tcPr>
              <w:p w:rsidR="004F2530" w:rsidRDefault="006040FD">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4F2530">
            <w:trPr>
              <w:trHeight w:val="261"/>
            </w:trPr>
            <w:tc>
              <w:tcPr>
                <w:tcW w:w="3818" w:type="dxa"/>
              </w:tcPr>
              <w:p w:rsidR="004F2530" w:rsidRDefault="006040FD">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713" w:type="dxa"/>
                <w:gridSpan w:val="2"/>
              </w:tcPr>
              <w:p w:rsidR="004F2530" w:rsidRDefault="006040FD">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4F2530" w:rsidRDefault="004F2530">
          <w:pPr>
            <w:tabs>
              <w:tab w:val="right" w:pos="8838"/>
            </w:tabs>
            <w:spacing w:line="256" w:lineRule="auto"/>
            <w:ind w:left="-28"/>
            <w:jc w:val="both"/>
            <w:rPr>
              <w:rFonts w:ascii="Arial" w:eastAsia="Arial" w:hAnsi="Arial" w:cs="Arial"/>
              <w:b/>
              <w:bCs/>
              <w:sz w:val="22"/>
              <w:szCs w:val="22"/>
            </w:rPr>
          </w:pPr>
        </w:p>
      </w:tc>
    </w:tr>
  </w:tbl>
  <w:p w:rsidR="004F2530" w:rsidRDefault="003A56B6">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33.3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0C9C"/>
    <w:multiLevelType w:val="multilevel"/>
    <w:tmpl w:val="E2B0F7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055F74"/>
    <w:multiLevelType w:val="multilevel"/>
    <w:tmpl w:val="4E64B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8E792C"/>
    <w:multiLevelType w:val="multilevel"/>
    <w:tmpl w:val="9F48FA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9A41C4"/>
    <w:multiLevelType w:val="multilevel"/>
    <w:tmpl w:val="7C182D96"/>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15:restartNumberingAfterBreak="0">
    <w:nsid w:val="69EC5E4F"/>
    <w:multiLevelType w:val="multilevel"/>
    <w:tmpl w:val="A34898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69040AC"/>
    <w:multiLevelType w:val="multilevel"/>
    <w:tmpl w:val="971E0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530"/>
    <w:rsid w:val="000D23A5"/>
    <w:rsid w:val="00376470"/>
    <w:rsid w:val="003A56B6"/>
    <w:rsid w:val="0044012E"/>
    <w:rsid w:val="004B5099"/>
    <w:rsid w:val="004F2530"/>
    <w:rsid w:val="006040FD"/>
    <w:rsid w:val="00A2619A"/>
    <w:rsid w:val="00C26DD2"/>
    <w:rsid w:val="00F903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ACBA087-6080-4F5A-AAFC-3100B5FA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port.google.com/mail/answer/6584?co=GENIE.Platform%3DDesktop&amp;hl=e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nelson.correa@infoem.org.m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9I0puC8Q/7VewPqbKjRUO6MUA==">CgMxLjAyDmguMzJ0cDdvZ3QzdjdxMg5oLmF5b2J3MG1rY250eTIOaC45NDRhdDRvejQwY2cyDmgucGg5ZmJlZXU0NGt3Mg5oLnZjNm1qYnh3bmcxazIOaC5ja2tpY3IzcXd6d3kyDmguc3k5ZGkybnN2YmUwMg5oLndmN2R5cjhhcGl5YjIOaC5sbXBvZGVyNzh1ZHkyDmguZG55dzE1d3Nld2toMg5oLjRrcDRwb2dvanZoZjIOaC41MzNmb2FjdzAzcmIyDmguaHR2Nm9vcTVueGh2Mg5oLmhvYnRieWlxcHN2eTIOaC5hdmlzY2o1c3ludHIyDmguZnoyYjhmd28yeHBxMg5oLmhkZGJucXV6a2tjZTgAciExdHlKUnUxQ1RpUWh0ZnlMLUNUbEVDOUZaLU9kOGxRO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D53B32-EDDD-44C6-ADA4-95C1F15C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9095</Words>
  <Characters>50027</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4</cp:revision>
  <cp:lastPrinted>2025-12-05T16:27:00Z</cp:lastPrinted>
  <dcterms:created xsi:type="dcterms:W3CDTF">2025-12-05T16:27:00Z</dcterms:created>
  <dcterms:modified xsi:type="dcterms:W3CDTF">2025-12-15T17:27:00Z</dcterms:modified>
</cp:coreProperties>
</file>