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7287FE2E" w14:textId="61DA6673" w:rsidR="00174749" w:rsidRPr="000B1569" w:rsidRDefault="00076681" w:rsidP="007449D0">
          <w:pPr>
            <w:pStyle w:val="TtulodeTDC"/>
            <w:tabs>
              <w:tab w:val="left" w:pos="5529"/>
            </w:tabs>
            <w:spacing w:before="0" w:line="360" w:lineRule="auto"/>
            <w:jc w:val="center"/>
            <w:rPr>
              <w:rFonts w:ascii="Palatino Linotype" w:eastAsia="Calibri" w:hAnsi="Palatino Linotype" w:cs="Tahoma"/>
              <w:color w:val="auto"/>
              <w:sz w:val="22"/>
              <w:szCs w:val="22"/>
            </w:rPr>
          </w:pPr>
          <w:r w:rsidRPr="000B1569">
            <w:rPr>
              <w:rFonts w:ascii="Palatino Linotype" w:hAnsi="Palatino Linotype"/>
              <w:color w:val="000000" w:themeColor="text1"/>
              <w:sz w:val="22"/>
              <w:szCs w:val="22"/>
              <w:lang w:val="es-ES"/>
            </w:rPr>
            <w:t xml:space="preserve">RESOLUCIÓN DEL RECURSO DE REVISIÓN </w:t>
          </w:r>
          <w:r w:rsidR="007A1EB0" w:rsidRPr="000B1569">
            <w:rPr>
              <w:rFonts w:ascii="Palatino Linotype" w:eastAsia="Calibri" w:hAnsi="Palatino Linotype" w:cs="Tahoma"/>
              <w:color w:val="auto"/>
              <w:sz w:val="22"/>
              <w:szCs w:val="22"/>
            </w:rPr>
            <w:t>01881</w:t>
          </w:r>
          <w:r w:rsidR="00200755" w:rsidRPr="000B1569">
            <w:rPr>
              <w:rFonts w:ascii="Palatino Linotype" w:eastAsia="Calibri" w:hAnsi="Palatino Linotype" w:cs="Tahoma"/>
              <w:color w:val="auto"/>
              <w:sz w:val="22"/>
              <w:szCs w:val="22"/>
            </w:rPr>
            <w:t>/INFOEM/IP/RR/2025</w:t>
          </w:r>
        </w:p>
        <w:p w14:paraId="129922F2" w14:textId="77777777" w:rsidR="007449D0" w:rsidRPr="000B1569" w:rsidRDefault="007449D0" w:rsidP="007449D0">
          <w:pPr>
            <w:rPr>
              <w:lang w:eastAsia="es-MX"/>
            </w:rPr>
          </w:pPr>
        </w:p>
        <w:p w14:paraId="4AA702C6" w14:textId="25A716D0" w:rsidR="007449D0" w:rsidRPr="000B1569" w:rsidRDefault="00076681" w:rsidP="007449D0">
          <w:pPr>
            <w:pStyle w:val="TDC1"/>
            <w:rPr>
              <w:rFonts w:ascii="Palatino Linotype" w:eastAsiaTheme="minorEastAsia" w:hAnsi="Palatino Linotype" w:cstheme="minorBidi"/>
              <w:noProof/>
              <w:sz w:val="24"/>
              <w:szCs w:val="24"/>
              <w:lang w:eastAsia="es-MX"/>
            </w:rPr>
          </w:pPr>
          <w:r w:rsidRPr="000B1569">
            <w:rPr>
              <w:rFonts w:ascii="Palatino Linotype" w:hAnsi="Palatino Linotype"/>
              <w:sz w:val="22"/>
              <w:szCs w:val="22"/>
            </w:rPr>
            <w:fldChar w:fldCharType="begin"/>
          </w:r>
          <w:r w:rsidRPr="000B1569">
            <w:rPr>
              <w:rFonts w:ascii="Palatino Linotype" w:hAnsi="Palatino Linotype"/>
              <w:sz w:val="22"/>
              <w:szCs w:val="22"/>
            </w:rPr>
            <w:instrText xml:space="preserve"> TOC \o "1-3" \h \z \u </w:instrText>
          </w:r>
          <w:r w:rsidRPr="000B1569">
            <w:rPr>
              <w:rFonts w:ascii="Palatino Linotype" w:hAnsi="Palatino Linotype"/>
              <w:sz w:val="22"/>
              <w:szCs w:val="22"/>
            </w:rPr>
            <w:fldChar w:fldCharType="separate"/>
          </w:r>
          <w:hyperlink w:anchor="_Toc195121249" w:history="1">
            <w:r w:rsidR="007449D0" w:rsidRPr="000B1569">
              <w:rPr>
                <w:rStyle w:val="Hipervnculo"/>
                <w:rFonts w:ascii="Palatino Linotype" w:hAnsi="Palatino Linotype"/>
                <w:noProof/>
                <w:sz w:val="22"/>
                <w:szCs w:val="22"/>
              </w:rPr>
              <w:t>A N T E C E D E N T E S</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_Toc195121249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2</w:t>
            </w:r>
            <w:r w:rsidR="007449D0" w:rsidRPr="000B1569">
              <w:rPr>
                <w:rFonts w:ascii="Palatino Linotype" w:hAnsi="Palatino Linotype"/>
                <w:noProof/>
                <w:webHidden/>
                <w:sz w:val="22"/>
                <w:szCs w:val="22"/>
              </w:rPr>
              <w:fldChar w:fldCharType="end"/>
            </w:r>
          </w:hyperlink>
        </w:p>
        <w:p w14:paraId="04223BCD" w14:textId="419DE464"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50" w:history="1">
            <w:r w:rsidR="007449D0" w:rsidRPr="000B1569">
              <w:rPr>
                <w:rStyle w:val="Hipervnculo"/>
                <w:rFonts w:ascii="Palatino Linotype" w:eastAsia="Calibri" w:hAnsi="Palatino Linotype"/>
                <w:noProof/>
                <w:sz w:val="22"/>
                <w:szCs w:val="22"/>
                <w:lang w:val="es-ES"/>
              </w:rPr>
              <w:t>I. Presentación de la solicitud de información</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_Toc195121250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2</w:t>
            </w:r>
            <w:r w:rsidR="007449D0" w:rsidRPr="000B1569">
              <w:rPr>
                <w:rFonts w:ascii="Palatino Linotype" w:hAnsi="Palatino Linotype"/>
                <w:noProof/>
                <w:webHidden/>
                <w:sz w:val="22"/>
                <w:szCs w:val="22"/>
              </w:rPr>
              <w:fldChar w:fldCharType="end"/>
            </w:r>
          </w:hyperlink>
        </w:p>
        <w:p w14:paraId="305CE118" w14:textId="709F45DF"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51" w:history="1">
            <w:r w:rsidR="007449D0" w:rsidRPr="000B1569">
              <w:rPr>
                <w:rStyle w:val="Hipervnculo"/>
                <w:rFonts w:ascii="Palatino Linotype" w:eastAsia="Calibri" w:hAnsi="Palatino Linotype"/>
                <w:noProof/>
                <w:sz w:val="22"/>
                <w:szCs w:val="22"/>
              </w:rPr>
              <w:t>II. Respuesta del Sujeto Obligado</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_Toc195121251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3</w:t>
            </w:r>
            <w:r w:rsidR="007449D0" w:rsidRPr="000B1569">
              <w:rPr>
                <w:rFonts w:ascii="Palatino Linotype" w:hAnsi="Palatino Linotype"/>
                <w:noProof/>
                <w:webHidden/>
                <w:sz w:val="22"/>
                <w:szCs w:val="22"/>
              </w:rPr>
              <w:fldChar w:fldCharType="end"/>
            </w:r>
          </w:hyperlink>
        </w:p>
        <w:p w14:paraId="76342357" w14:textId="1DAD810B"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52" w:history="1">
            <w:r w:rsidR="007449D0" w:rsidRPr="000B1569">
              <w:rPr>
                <w:rStyle w:val="Hipervnculo"/>
                <w:rFonts w:ascii="Palatino Linotype" w:eastAsia="Calibri" w:hAnsi="Palatino Linotype"/>
                <w:noProof/>
                <w:sz w:val="22"/>
                <w:szCs w:val="22"/>
              </w:rPr>
              <w:t>III. Interposición del Recurso de Revisión</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_Toc195121252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3</w:t>
            </w:r>
            <w:r w:rsidR="007449D0" w:rsidRPr="000B1569">
              <w:rPr>
                <w:rFonts w:ascii="Palatino Linotype" w:hAnsi="Palatino Linotype"/>
                <w:noProof/>
                <w:webHidden/>
                <w:sz w:val="22"/>
                <w:szCs w:val="22"/>
              </w:rPr>
              <w:fldChar w:fldCharType="end"/>
            </w:r>
          </w:hyperlink>
        </w:p>
        <w:p w14:paraId="493CC7B3" w14:textId="7F10A47B"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53" w:history="1">
            <w:r w:rsidR="007449D0" w:rsidRPr="000B1569">
              <w:rPr>
                <w:rStyle w:val="Hipervnculo"/>
                <w:rFonts w:ascii="Palatino Linotype" w:eastAsia="Calibri" w:hAnsi="Palatino Linotype"/>
                <w:noProof/>
                <w:sz w:val="22"/>
                <w:szCs w:val="22"/>
              </w:rPr>
              <w:t xml:space="preserve">IV. </w:t>
            </w:r>
            <w:r w:rsidR="007449D0" w:rsidRPr="000B1569">
              <w:rPr>
                <w:rStyle w:val="Hipervnculo"/>
                <w:rFonts w:ascii="Palatino Linotype" w:eastAsia="Batang" w:hAnsi="Palatino Linotype"/>
                <w:noProof/>
                <w:sz w:val="22"/>
                <w:szCs w:val="22"/>
              </w:rPr>
              <w:t>Trámite del Recurso de Revisión</w:t>
            </w:r>
            <w:r w:rsidR="007449D0" w:rsidRPr="000B1569">
              <w:rPr>
                <w:rStyle w:val="Hipervnculo"/>
                <w:rFonts w:ascii="Palatino Linotype" w:eastAsia="Calibri" w:hAnsi="Palatino Linotype"/>
                <w:noProof/>
                <w:sz w:val="22"/>
                <w:szCs w:val="22"/>
              </w:rPr>
              <w:t xml:space="preserve"> </w:t>
            </w:r>
            <w:r w:rsidR="007449D0" w:rsidRPr="000B1569">
              <w:rPr>
                <w:rStyle w:val="Hipervnculo"/>
                <w:rFonts w:ascii="Palatino Linotype" w:eastAsia="Batang" w:hAnsi="Palatino Linotype"/>
                <w:noProof/>
                <w:sz w:val="22"/>
                <w:szCs w:val="22"/>
              </w:rPr>
              <w:t>ante este Instituto</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_Toc195121253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4</w:t>
            </w:r>
            <w:r w:rsidR="007449D0" w:rsidRPr="000B1569">
              <w:rPr>
                <w:rFonts w:ascii="Palatino Linotype" w:hAnsi="Palatino Linotype"/>
                <w:noProof/>
                <w:webHidden/>
                <w:sz w:val="22"/>
                <w:szCs w:val="22"/>
              </w:rPr>
              <w:fldChar w:fldCharType="end"/>
            </w:r>
          </w:hyperlink>
        </w:p>
        <w:p w14:paraId="3BC60B0C" w14:textId="7F6BA6C1"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54" w:history="1">
            <w:r w:rsidR="007449D0" w:rsidRPr="000B1569">
              <w:rPr>
                <w:rStyle w:val="Hipervnculo"/>
                <w:rFonts w:ascii="Palatino Linotype" w:hAnsi="Palatino Linotype"/>
                <w:noProof/>
                <w:sz w:val="22"/>
                <w:szCs w:val="22"/>
              </w:rPr>
              <w:t>a) Turno del Medio de Impugnación.</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_Toc195121254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4</w:t>
            </w:r>
            <w:r w:rsidR="007449D0" w:rsidRPr="000B1569">
              <w:rPr>
                <w:rFonts w:ascii="Palatino Linotype" w:hAnsi="Palatino Linotype"/>
                <w:noProof/>
                <w:webHidden/>
                <w:sz w:val="22"/>
                <w:szCs w:val="22"/>
              </w:rPr>
              <w:fldChar w:fldCharType="end"/>
            </w:r>
          </w:hyperlink>
        </w:p>
        <w:p w14:paraId="37A2B037" w14:textId="1F1638EE"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55" w:history="1">
            <w:r w:rsidR="007449D0" w:rsidRPr="000B1569">
              <w:rPr>
                <w:rStyle w:val="Hipervnculo"/>
                <w:rFonts w:ascii="Palatino Linotype" w:hAnsi="Palatino Linotype"/>
                <w:noProof/>
                <w:sz w:val="22"/>
                <w:szCs w:val="22"/>
              </w:rPr>
              <w:t>b) Admisión del Recurso de Revisión.</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_Toc195121255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4</w:t>
            </w:r>
            <w:r w:rsidR="007449D0" w:rsidRPr="000B1569">
              <w:rPr>
                <w:rFonts w:ascii="Palatino Linotype" w:hAnsi="Palatino Linotype"/>
                <w:noProof/>
                <w:webHidden/>
                <w:sz w:val="22"/>
                <w:szCs w:val="22"/>
              </w:rPr>
              <w:fldChar w:fldCharType="end"/>
            </w:r>
          </w:hyperlink>
        </w:p>
        <w:p w14:paraId="774EF42F" w14:textId="7C501D40"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56" w:history="1">
            <w:r w:rsidR="007449D0" w:rsidRPr="000B1569">
              <w:rPr>
                <w:rStyle w:val="Hipervnculo"/>
                <w:rFonts w:ascii="Palatino Linotype" w:hAnsi="Palatino Linotype"/>
                <w:noProof/>
                <w:sz w:val="22"/>
                <w:szCs w:val="22"/>
              </w:rPr>
              <w:t>c) Informe Justificado.</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_Toc195121256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4</w:t>
            </w:r>
            <w:r w:rsidR="007449D0" w:rsidRPr="000B1569">
              <w:rPr>
                <w:rFonts w:ascii="Palatino Linotype" w:hAnsi="Palatino Linotype"/>
                <w:noProof/>
                <w:webHidden/>
                <w:sz w:val="22"/>
                <w:szCs w:val="22"/>
              </w:rPr>
              <w:fldChar w:fldCharType="end"/>
            </w:r>
          </w:hyperlink>
        </w:p>
        <w:p w14:paraId="2AFAB6D9" w14:textId="243B6999"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57" w:history="1">
            <w:r w:rsidR="007449D0" w:rsidRPr="000B1569">
              <w:rPr>
                <w:rStyle w:val="Hipervnculo"/>
                <w:rFonts w:ascii="Palatino Linotype" w:hAnsi="Palatino Linotype"/>
                <w:noProof/>
                <w:sz w:val="22"/>
                <w:szCs w:val="22"/>
              </w:rPr>
              <w:t>e) Cierre de instrucción.</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_Toc195121257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5</w:t>
            </w:r>
            <w:r w:rsidR="007449D0" w:rsidRPr="000B1569">
              <w:rPr>
                <w:rFonts w:ascii="Palatino Linotype" w:hAnsi="Palatino Linotype"/>
                <w:noProof/>
                <w:webHidden/>
                <w:sz w:val="22"/>
                <w:szCs w:val="22"/>
              </w:rPr>
              <w:fldChar w:fldCharType="end"/>
            </w:r>
          </w:hyperlink>
        </w:p>
        <w:p w14:paraId="6F455B66" w14:textId="2EDDB8D3"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58" w:history="1">
            <w:r w:rsidR="007449D0" w:rsidRPr="000B1569">
              <w:rPr>
                <w:rStyle w:val="Hipervnculo"/>
                <w:rFonts w:ascii="Palatino Linotype" w:hAnsi="Palatino Linotype"/>
                <w:noProof/>
                <w:sz w:val="22"/>
                <w:szCs w:val="22"/>
              </w:rPr>
              <w:t>f) Ampliación de plazo para resolver.</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_Toc195121258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6</w:t>
            </w:r>
            <w:r w:rsidR="007449D0" w:rsidRPr="000B1569">
              <w:rPr>
                <w:rFonts w:ascii="Palatino Linotype" w:hAnsi="Palatino Linotype"/>
                <w:noProof/>
                <w:webHidden/>
                <w:sz w:val="22"/>
                <w:szCs w:val="22"/>
              </w:rPr>
              <w:fldChar w:fldCharType="end"/>
            </w:r>
          </w:hyperlink>
        </w:p>
        <w:p w14:paraId="52D05D93" w14:textId="2CFBE66D" w:rsidR="007449D0" w:rsidRPr="000B1569" w:rsidRDefault="003A28C4" w:rsidP="007449D0">
          <w:pPr>
            <w:pStyle w:val="TDC1"/>
            <w:rPr>
              <w:rFonts w:ascii="Palatino Linotype" w:eastAsiaTheme="minorEastAsia" w:hAnsi="Palatino Linotype" w:cstheme="minorBidi"/>
              <w:noProof/>
              <w:sz w:val="24"/>
              <w:szCs w:val="24"/>
              <w:lang w:eastAsia="es-MX"/>
            </w:rPr>
          </w:pPr>
          <w:hyperlink w:anchor="_Toc195121259" w:history="1">
            <w:r w:rsidR="007449D0" w:rsidRPr="000B1569">
              <w:rPr>
                <w:rStyle w:val="Hipervnculo"/>
                <w:rFonts w:ascii="Palatino Linotype" w:hAnsi="Palatino Linotype"/>
                <w:noProof/>
                <w:sz w:val="22"/>
                <w:szCs w:val="22"/>
                <w:lang w:val="es-ES"/>
              </w:rPr>
              <w:t>C O N S I D E R A N D O S</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_Toc195121259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6</w:t>
            </w:r>
            <w:r w:rsidR="007449D0" w:rsidRPr="000B1569">
              <w:rPr>
                <w:rFonts w:ascii="Palatino Linotype" w:hAnsi="Palatino Linotype"/>
                <w:noProof/>
                <w:webHidden/>
                <w:sz w:val="22"/>
                <w:szCs w:val="22"/>
              </w:rPr>
              <w:fldChar w:fldCharType="end"/>
            </w:r>
          </w:hyperlink>
        </w:p>
        <w:p w14:paraId="1EA2C49E" w14:textId="661747DF"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60" w:history="1">
            <w:r w:rsidR="007449D0" w:rsidRPr="000B1569">
              <w:rPr>
                <w:rStyle w:val="Hipervnculo"/>
                <w:rFonts w:ascii="Palatino Linotype" w:eastAsia="Calibri" w:hAnsi="Palatino Linotype"/>
                <w:noProof/>
                <w:sz w:val="22"/>
                <w:szCs w:val="22"/>
                <w:lang w:val="es-ES" w:eastAsia="es-MX"/>
              </w:rPr>
              <w:t xml:space="preserve">PRIMERO. </w:t>
            </w:r>
            <w:r w:rsidR="007449D0" w:rsidRPr="000B1569">
              <w:rPr>
                <w:rStyle w:val="Hipervnculo"/>
                <w:rFonts w:ascii="Palatino Linotype" w:hAnsi="Palatino Linotype"/>
                <w:noProof/>
                <w:sz w:val="22"/>
                <w:szCs w:val="22"/>
                <w:lang w:val="es-ES"/>
              </w:rPr>
              <w:t>Competencia</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_Toc195121260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6</w:t>
            </w:r>
            <w:r w:rsidR="007449D0" w:rsidRPr="000B1569">
              <w:rPr>
                <w:rFonts w:ascii="Palatino Linotype" w:hAnsi="Palatino Linotype"/>
                <w:noProof/>
                <w:webHidden/>
                <w:sz w:val="22"/>
                <w:szCs w:val="22"/>
              </w:rPr>
              <w:fldChar w:fldCharType="end"/>
            </w:r>
          </w:hyperlink>
        </w:p>
        <w:p w14:paraId="655DB0AC" w14:textId="28D54266"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61" w:history="1">
            <w:r w:rsidR="007449D0" w:rsidRPr="000B1569">
              <w:rPr>
                <w:rStyle w:val="Hipervnculo"/>
                <w:rFonts w:ascii="Palatino Linotype" w:eastAsia="Calibri" w:hAnsi="Palatino Linotype"/>
                <w:noProof/>
                <w:sz w:val="22"/>
                <w:szCs w:val="22"/>
                <w:lang w:val="es-ES" w:eastAsia="es-MX"/>
              </w:rPr>
              <w:t xml:space="preserve">SEGUNDO. </w:t>
            </w:r>
            <w:r w:rsidR="007449D0" w:rsidRPr="000B1569">
              <w:rPr>
                <w:rStyle w:val="Hipervnculo"/>
                <w:rFonts w:ascii="Palatino Linotype" w:hAnsi="Palatino Linotype"/>
                <w:noProof/>
                <w:sz w:val="22"/>
                <w:szCs w:val="22"/>
                <w:lang w:val="es-ES"/>
              </w:rPr>
              <w:t>Causales de improcedencia y sobreseimiento</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_Toc195121261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7</w:t>
            </w:r>
            <w:r w:rsidR="007449D0" w:rsidRPr="000B1569">
              <w:rPr>
                <w:rFonts w:ascii="Palatino Linotype" w:hAnsi="Palatino Linotype"/>
                <w:noProof/>
                <w:webHidden/>
                <w:sz w:val="22"/>
                <w:szCs w:val="22"/>
              </w:rPr>
              <w:fldChar w:fldCharType="end"/>
            </w:r>
          </w:hyperlink>
        </w:p>
        <w:p w14:paraId="564F9711" w14:textId="38ADA756"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62" w:history="1">
            <w:r w:rsidR="007449D0" w:rsidRPr="000B1569">
              <w:rPr>
                <w:rStyle w:val="Hipervnculo"/>
                <w:rFonts w:ascii="Palatino Linotype" w:hAnsi="Palatino Linotype"/>
                <w:noProof/>
                <w:sz w:val="22"/>
                <w:szCs w:val="22"/>
                <w:lang w:val="es-ES"/>
              </w:rPr>
              <w:t>TERCERO. Determinación de la Controversia</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_Toc195121262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8</w:t>
            </w:r>
            <w:r w:rsidR="007449D0" w:rsidRPr="000B1569">
              <w:rPr>
                <w:rFonts w:ascii="Palatino Linotype" w:hAnsi="Palatino Linotype"/>
                <w:noProof/>
                <w:webHidden/>
                <w:sz w:val="22"/>
                <w:szCs w:val="22"/>
              </w:rPr>
              <w:fldChar w:fldCharType="end"/>
            </w:r>
          </w:hyperlink>
        </w:p>
        <w:p w14:paraId="4663462F" w14:textId="7C11C1D3"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63" w:history="1">
            <w:r w:rsidR="007449D0" w:rsidRPr="000B1569">
              <w:rPr>
                <w:rStyle w:val="Hipervnculo"/>
                <w:rFonts w:ascii="Palatino Linotype" w:hAnsi="Palatino Linotype"/>
                <w:noProof/>
                <w:sz w:val="22"/>
                <w:szCs w:val="22"/>
                <w:lang w:val="es-ES"/>
              </w:rPr>
              <w:t xml:space="preserve">CUARTO. </w:t>
            </w:r>
            <w:r w:rsidR="007449D0" w:rsidRPr="000B1569">
              <w:rPr>
                <w:rStyle w:val="Hipervnculo"/>
                <w:rFonts w:ascii="Palatino Linotype" w:hAnsi="Palatino Linotype"/>
                <w:noProof/>
                <w:sz w:val="22"/>
                <w:szCs w:val="22"/>
              </w:rPr>
              <w:t>Marco normativo aplicable en materia de transparencia y acceso a la información pública</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_Toc195121263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9</w:t>
            </w:r>
            <w:r w:rsidR="007449D0" w:rsidRPr="000B1569">
              <w:rPr>
                <w:rFonts w:ascii="Palatino Linotype" w:hAnsi="Palatino Linotype"/>
                <w:noProof/>
                <w:webHidden/>
                <w:sz w:val="22"/>
                <w:szCs w:val="22"/>
              </w:rPr>
              <w:fldChar w:fldCharType="end"/>
            </w:r>
          </w:hyperlink>
        </w:p>
        <w:p w14:paraId="69885F33" w14:textId="6CEB6DBD"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64" w:history="1">
            <w:r w:rsidR="007449D0" w:rsidRPr="000B1569">
              <w:rPr>
                <w:rStyle w:val="Hipervnculo"/>
                <w:rFonts w:ascii="Palatino Linotype" w:hAnsi="Palatino Linotype"/>
                <w:noProof/>
                <w:sz w:val="22"/>
                <w:szCs w:val="22"/>
                <w:lang w:val="es-ES"/>
              </w:rPr>
              <w:t>QUINTO. Estudio de Fondo</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_Toc195121264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11</w:t>
            </w:r>
            <w:r w:rsidR="007449D0" w:rsidRPr="000B1569">
              <w:rPr>
                <w:rFonts w:ascii="Palatino Linotype" w:hAnsi="Palatino Linotype"/>
                <w:noProof/>
                <w:webHidden/>
                <w:sz w:val="22"/>
                <w:szCs w:val="22"/>
              </w:rPr>
              <w:fldChar w:fldCharType="end"/>
            </w:r>
          </w:hyperlink>
        </w:p>
        <w:p w14:paraId="2FB91779" w14:textId="3A8A2119" w:rsidR="007449D0" w:rsidRPr="000B1569" w:rsidRDefault="003A28C4" w:rsidP="007449D0">
          <w:pPr>
            <w:pStyle w:val="TDC2"/>
            <w:tabs>
              <w:tab w:val="right" w:leader="dot" w:pos="8921"/>
            </w:tabs>
            <w:spacing w:line="360" w:lineRule="auto"/>
            <w:rPr>
              <w:rFonts w:ascii="Palatino Linotype" w:eastAsiaTheme="minorEastAsia" w:hAnsi="Palatino Linotype" w:cstheme="minorBidi"/>
              <w:noProof/>
              <w:sz w:val="24"/>
              <w:szCs w:val="24"/>
              <w:lang w:eastAsia="es-MX"/>
            </w:rPr>
          </w:pPr>
          <w:hyperlink w:anchor="_Toc195121265" w:history="1">
            <w:r w:rsidR="007449D0" w:rsidRPr="000B1569">
              <w:rPr>
                <w:rStyle w:val="Hipervnculo"/>
                <w:rFonts w:ascii="Palatino Linotype" w:eastAsia="Calibri" w:hAnsi="Palatino Linotype"/>
                <w:noProof/>
                <w:sz w:val="22"/>
                <w:szCs w:val="22"/>
              </w:rPr>
              <w:t>SEXTO. Decisión.</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_Toc195121265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24</w:t>
            </w:r>
            <w:r w:rsidR="007449D0" w:rsidRPr="000B1569">
              <w:rPr>
                <w:rFonts w:ascii="Palatino Linotype" w:hAnsi="Palatino Linotype"/>
                <w:noProof/>
                <w:webHidden/>
                <w:sz w:val="22"/>
                <w:szCs w:val="22"/>
              </w:rPr>
              <w:fldChar w:fldCharType="end"/>
            </w:r>
          </w:hyperlink>
        </w:p>
        <w:p w14:paraId="6AC63EAB" w14:textId="1D36C05C" w:rsidR="007449D0" w:rsidRPr="000B1569" w:rsidRDefault="003A28C4" w:rsidP="007449D0">
          <w:pPr>
            <w:pStyle w:val="TDC1"/>
            <w:rPr>
              <w:rFonts w:ascii="Palatino Linotype" w:eastAsiaTheme="minorEastAsia" w:hAnsi="Palatino Linotype" w:cstheme="minorBidi"/>
              <w:noProof/>
              <w:sz w:val="24"/>
              <w:szCs w:val="24"/>
              <w:lang w:eastAsia="es-MX"/>
            </w:rPr>
          </w:pPr>
          <w:hyperlink w:anchor="_Toc195121266" w:history="1">
            <w:r w:rsidR="007449D0" w:rsidRPr="000B1569">
              <w:rPr>
                <w:rStyle w:val="Hipervnculo"/>
                <w:rFonts w:ascii="Palatino Linotype" w:eastAsia="Calibri" w:hAnsi="Palatino Linotype"/>
                <w:noProof/>
                <w:sz w:val="22"/>
                <w:szCs w:val="22"/>
              </w:rPr>
              <w:t>R E S U E L V E:</w:t>
            </w:r>
            <w:r w:rsidR="007449D0" w:rsidRPr="000B1569">
              <w:rPr>
                <w:rFonts w:ascii="Palatino Linotype" w:hAnsi="Palatino Linotype"/>
                <w:noProof/>
                <w:webHidden/>
                <w:sz w:val="22"/>
                <w:szCs w:val="22"/>
              </w:rPr>
              <w:tab/>
            </w:r>
            <w:r w:rsidR="007449D0" w:rsidRPr="000B1569">
              <w:rPr>
                <w:rFonts w:ascii="Palatino Linotype" w:hAnsi="Palatino Linotype"/>
                <w:noProof/>
                <w:webHidden/>
                <w:sz w:val="22"/>
                <w:szCs w:val="22"/>
              </w:rPr>
              <w:fldChar w:fldCharType="begin"/>
            </w:r>
            <w:r w:rsidR="007449D0" w:rsidRPr="000B1569">
              <w:rPr>
                <w:rFonts w:ascii="Palatino Linotype" w:hAnsi="Palatino Linotype"/>
                <w:noProof/>
                <w:webHidden/>
                <w:sz w:val="22"/>
                <w:szCs w:val="22"/>
              </w:rPr>
              <w:instrText xml:space="preserve"> PAGEREF _Toc195121266 \h </w:instrText>
            </w:r>
            <w:r w:rsidR="007449D0" w:rsidRPr="000B1569">
              <w:rPr>
                <w:rFonts w:ascii="Palatino Linotype" w:hAnsi="Palatino Linotype"/>
                <w:noProof/>
                <w:webHidden/>
                <w:sz w:val="22"/>
                <w:szCs w:val="22"/>
              </w:rPr>
            </w:r>
            <w:r w:rsidR="007449D0" w:rsidRPr="000B1569">
              <w:rPr>
                <w:rFonts w:ascii="Palatino Linotype" w:hAnsi="Palatino Linotype"/>
                <w:noProof/>
                <w:webHidden/>
                <w:sz w:val="22"/>
                <w:szCs w:val="22"/>
              </w:rPr>
              <w:fldChar w:fldCharType="separate"/>
            </w:r>
            <w:r w:rsidR="00043734">
              <w:rPr>
                <w:rFonts w:ascii="Palatino Linotype" w:hAnsi="Palatino Linotype"/>
                <w:noProof/>
                <w:webHidden/>
                <w:sz w:val="22"/>
                <w:szCs w:val="22"/>
              </w:rPr>
              <w:t>25</w:t>
            </w:r>
            <w:r w:rsidR="007449D0" w:rsidRPr="000B1569">
              <w:rPr>
                <w:rFonts w:ascii="Palatino Linotype" w:hAnsi="Palatino Linotype"/>
                <w:noProof/>
                <w:webHidden/>
                <w:sz w:val="22"/>
                <w:szCs w:val="22"/>
              </w:rPr>
              <w:fldChar w:fldCharType="end"/>
            </w:r>
          </w:hyperlink>
        </w:p>
        <w:p w14:paraId="075FABE6" w14:textId="7F18E106" w:rsidR="00F063F0" w:rsidRPr="000B1569" w:rsidRDefault="00076681" w:rsidP="007449D0">
          <w:pPr>
            <w:spacing w:after="0" w:line="360" w:lineRule="auto"/>
          </w:pPr>
          <w:r w:rsidRPr="000B1569">
            <w:rPr>
              <w:lang w:val="es-ES"/>
            </w:rPr>
            <w:fldChar w:fldCharType="end"/>
          </w:r>
        </w:p>
      </w:sdtContent>
    </w:sdt>
    <w:p w14:paraId="3530C0FA" w14:textId="6CBC7D32" w:rsidR="00DB3DC5" w:rsidRPr="000B1569" w:rsidRDefault="00DB3DC5" w:rsidP="005032B4">
      <w:pPr>
        <w:tabs>
          <w:tab w:val="left" w:pos="8931"/>
        </w:tabs>
        <w:spacing w:after="0" w:line="360" w:lineRule="auto"/>
        <w:contextualSpacing/>
        <w:rPr>
          <w:rFonts w:eastAsia="Calibri" w:cs="Tahoma"/>
          <w:color w:val="auto"/>
          <w:lang w:val="es-ES"/>
        </w:rPr>
      </w:pPr>
      <w:r w:rsidRPr="000B1569">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007A1EB0" w:rsidRPr="000B1569">
        <w:rPr>
          <w:rFonts w:eastAsia="Calibri" w:cs="Tahoma"/>
          <w:color w:val="auto"/>
          <w:lang w:val="es-ES"/>
        </w:rPr>
        <w:t xml:space="preserve">Estado de México, de </w:t>
      </w:r>
      <w:r w:rsidR="00174749" w:rsidRPr="000B1569">
        <w:rPr>
          <w:rFonts w:eastAsia="Calibri" w:cs="Tahoma"/>
          <w:color w:val="auto"/>
          <w:lang w:val="es-ES"/>
        </w:rPr>
        <w:t xml:space="preserve">veintitrés </w:t>
      </w:r>
      <w:r w:rsidR="007A1EB0" w:rsidRPr="000B1569">
        <w:rPr>
          <w:rFonts w:eastAsia="Calibri" w:cs="Tahoma"/>
          <w:color w:val="auto"/>
          <w:lang w:val="es-ES"/>
        </w:rPr>
        <w:t>de abril</w:t>
      </w:r>
      <w:r w:rsidR="008E279B" w:rsidRPr="000B1569">
        <w:rPr>
          <w:rFonts w:eastAsia="Calibri" w:cs="Tahoma"/>
          <w:color w:val="auto"/>
          <w:lang w:val="es-ES"/>
        </w:rPr>
        <w:t xml:space="preserve"> de dos mil veinticinco.</w:t>
      </w:r>
      <w:r w:rsidRPr="000B1569">
        <w:rPr>
          <w:rFonts w:eastAsia="Calibri" w:cs="Tahoma"/>
          <w:color w:val="auto"/>
          <w:lang w:val="es-ES"/>
        </w:rPr>
        <w:t xml:space="preserve"> </w:t>
      </w:r>
    </w:p>
    <w:p w14:paraId="2A681408" w14:textId="1CE12C44" w:rsidR="00DB3DC5" w:rsidRPr="000B1569" w:rsidRDefault="00455DCB" w:rsidP="005032B4">
      <w:pPr>
        <w:tabs>
          <w:tab w:val="left" w:pos="2340"/>
        </w:tabs>
        <w:spacing w:after="0" w:line="360" w:lineRule="auto"/>
        <w:contextualSpacing/>
        <w:rPr>
          <w:rFonts w:eastAsia="Calibri" w:cs="Tahoma"/>
          <w:b/>
          <w:bCs/>
          <w:color w:val="FF0000"/>
          <w:lang w:val="es-ES"/>
        </w:rPr>
      </w:pPr>
      <w:r w:rsidRPr="000B1569">
        <w:rPr>
          <w:rFonts w:eastAsia="Calibri" w:cs="Tahoma"/>
          <w:b/>
          <w:bCs/>
          <w:color w:val="FF0000"/>
          <w:lang w:val="es-ES"/>
        </w:rPr>
        <w:tab/>
      </w:r>
    </w:p>
    <w:p w14:paraId="75D54F3E" w14:textId="23F98A34" w:rsidR="00DB3DC5" w:rsidRPr="000B1569" w:rsidRDefault="00DB3DC5" w:rsidP="005032B4">
      <w:pPr>
        <w:spacing w:after="0" w:line="360" w:lineRule="auto"/>
        <w:contextualSpacing/>
        <w:rPr>
          <w:rFonts w:eastAsia="Calibri" w:cs="Tahoma"/>
          <w:color w:val="auto"/>
        </w:rPr>
      </w:pPr>
      <w:r w:rsidRPr="000B1569">
        <w:rPr>
          <w:rFonts w:eastAsia="Calibri" w:cs="Tahoma"/>
          <w:b/>
          <w:bCs/>
          <w:color w:val="auto"/>
          <w:lang w:val="es-ES"/>
        </w:rPr>
        <w:t xml:space="preserve">VISTO </w:t>
      </w:r>
      <w:r w:rsidRPr="000B1569">
        <w:rPr>
          <w:rFonts w:eastAsia="Calibri" w:cs="Tahoma"/>
          <w:color w:val="auto"/>
          <w:lang w:val="es-ES"/>
        </w:rPr>
        <w:t>el expediente electrónico conformado con motivo d</w:t>
      </w:r>
      <w:r w:rsidR="00087796" w:rsidRPr="000B1569">
        <w:rPr>
          <w:rFonts w:eastAsia="Calibri" w:cs="Tahoma"/>
          <w:color w:val="auto"/>
          <w:lang w:val="es-ES"/>
        </w:rPr>
        <w:t>el</w:t>
      </w:r>
      <w:r w:rsidRPr="000B1569">
        <w:rPr>
          <w:rFonts w:eastAsia="Calibri" w:cs="Tahoma"/>
          <w:color w:val="auto"/>
          <w:lang w:val="es-ES"/>
        </w:rPr>
        <w:t xml:space="preserve"> Recurso de Revisión </w:t>
      </w:r>
      <w:r w:rsidR="007A1EB0" w:rsidRPr="00C759D7">
        <w:rPr>
          <w:rFonts w:eastAsia="Calibri" w:cs="Tahoma"/>
          <w:b/>
          <w:color w:val="auto"/>
        </w:rPr>
        <w:t>01881</w:t>
      </w:r>
      <w:r w:rsidR="00DE71A5" w:rsidRPr="00C759D7">
        <w:rPr>
          <w:rFonts w:eastAsia="Calibri" w:cs="Tahoma"/>
          <w:b/>
          <w:color w:val="auto"/>
        </w:rPr>
        <w:t>/INFOEM/IP/RR/2025</w:t>
      </w:r>
      <w:r w:rsidR="00043CDA" w:rsidRPr="000B1569">
        <w:rPr>
          <w:rFonts w:eastAsia="Calibri" w:cs="Tahoma"/>
          <w:color w:val="auto"/>
        </w:rPr>
        <w:t>,</w:t>
      </w:r>
      <w:r w:rsidRPr="000B1569">
        <w:rPr>
          <w:rFonts w:cs="Tahoma"/>
          <w:color w:val="auto"/>
        </w:rPr>
        <w:t xml:space="preserve"> en contra de la respuesta del Sujeto Obligado, </w:t>
      </w:r>
      <w:bookmarkStart w:id="0" w:name="_GoBack"/>
      <w:r w:rsidR="007A1EB0" w:rsidRPr="00C759D7">
        <w:rPr>
          <w:b/>
          <w:bCs/>
          <w:color w:val="000000"/>
        </w:rPr>
        <w:t>Ayuntamiento de Toluca</w:t>
      </w:r>
      <w:r w:rsidRPr="00C759D7">
        <w:rPr>
          <w:rFonts w:cs="Tahoma"/>
          <w:b/>
          <w:color w:val="auto"/>
        </w:rPr>
        <w:t>,</w:t>
      </w:r>
      <w:r w:rsidRPr="000B1569">
        <w:rPr>
          <w:rFonts w:cs="Tahoma"/>
          <w:color w:val="auto"/>
        </w:rPr>
        <w:t xml:space="preserve"> </w:t>
      </w:r>
      <w:bookmarkEnd w:id="0"/>
      <w:r w:rsidRPr="000B1569">
        <w:rPr>
          <w:rFonts w:cs="Tahoma"/>
          <w:color w:val="auto"/>
        </w:rPr>
        <w:t xml:space="preserve">a la solicitud de acceso a la información </w:t>
      </w:r>
      <w:r w:rsidR="002C3558" w:rsidRPr="000B1569">
        <w:rPr>
          <w:rFonts w:cs="Tahoma"/>
          <w:color w:val="auto"/>
        </w:rPr>
        <w:t xml:space="preserve">pública </w:t>
      </w:r>
      <w:r w:rsidR="007A1EB0" w:rsidRPr="000B1569">
        <w:rPr>
          <w:rFonts w:eastAsia="Calibri" w:cs="Tahoma"/>
        </w:rPr>
        <w:t>00144/</w:t>
      </w:r>
      <w:r w:rsidR="00200755" w:rsidRPr="000B1569">
        <w:rPr>
          <w:rFonts w:eastAsia="Calibri" w:cs="Tahoma"/>
        </w:rPr>
        <w:t>T</w:t>
      </w:r>
      <w:r w:rsidR="007A1EB0" w:rsidRPr="000B1569">
        <w:rPr>
          <w:rFonts w:eastAsia="Calibri" w:cs="Tahoma"/>
        </w:rPr>
        <w:t>OLUCA</w:t>
      </w:r>
      <w:r w:rsidR="00200755" w:rsidRPr="000B1569">
        <w:rPr>
          <w:rFonts w:eastAsia="Calibri" w:cs="Tahoma"/>
        </w:rPr>
        <w:t xml:space="preserve">/IP/2025 </w:t>
      </w:r>
      <w:r w:rsidRPr="000B1569">
        <w:rPr>
          <w:rFonts w:cs="Tahoma"/>
          <w:color w:val="auto"/>
        </w:rPr>
        <w:t>se emite</w:t>
      </w:r>
      <w:r w:rsidRPr="000B1569">
        <w:rPr>
          <w:rFonts w:cs="Tahoma"/>
          <w:bCs/>
          <w:color w:val="auto"/>
        </w:rPr>
        <w:t xml:space="preserve"> la presente Resolución, con base en los Antecedentes y Considerandos que se exponen a continuación:</w:t>
      </w:r>
    </w:p>
    <w:p w14:paraId="134E03A6" w14:textId="5F6E8CA4" w:rsidR="00DB3DC5" w:rsidRPr="000B1569" w:rsidRDefault="00455DCB" w:rsidP="005032B4">
      <w:pPr>
        <w:tabs>
          <w:tab w:val="left" w:pos="1965"/>
        </w:tabs>
        <w:spacing w:after="0" w:line="360" w:lineRule="auto"/>
        <w:contextualSpacing/>
        <w:rPr>
          <w:rFonts w:eastAsia="Calibri" w:cs="Tahoma"/>
          <w:b/>
          <w:bCs/>
          <w:color w:val="FF0000"/>
          <w:lang w:val="es-ES"/>
        </w:rPr>
      </w:pPr>
      <w:r w:rsidRPr="000B1569">
        <w:rPr>
          <w:rFonts w:eastAsia="Calibri" w:cs="Tahoma"/>
          <w:b/>
          <w:bCs/>
          <w:color w:val="FF0000"/>
          <w:lang w:val="es-ES"/>
        </w:rPr>
        <w:tab/>
      </w:r>
    </w:p>
    <w:p w14:paraId="32EEB02D" w14:textId="734C012B" w:rsidR="00DB3DC5" w:rsidRPr="000B1569" w:rsidRDefault="00737CF6" w:rsidP="005032B4">
      <w:pPr>
        <w:pStyle w:val="Ttulo1"/>
        <w:spacing w:before="0" w:line="360" w:lineRule="auto"/>
        <w:jc w:val="center"/>
        <w:rPr>
          <w:rFonts w:ascii="Palatino Linotype" w:hAnsi="Palatino Linotype"/>
          <w:b/>
          <w:color w:val="000000" w:themeColor="text1"/>
          <w:sz w:val="22"/>
          <w:szCs w:val="22"/>
        </w:rPr>
      </w:pPr>
      <w:bookmarkStart w:id="1" w:name="_Toc195121249"/>
      <w:r w:rsidRPr="000B1569">
        <w:rPr>
          <w:rFonts w:ascii="Palatino Linotype" w:hAnsi="Palatino Linotype"/>
          <w:b/>
          <w:color w:val="000000" w:themeColor="text1"/>
          <w:sz w:val="22"/>
          <w:szCs w:val="22"/>
        </w:rPr>
        <w:t>A N T E C E D E N T E S</w:t>
      </w:r>
      <w:bookmarkEnd w:id="1"/>
    </w:p>
    <w:p w14:paraId="09E98305" w14:textId="77777777" w:rsidR="00DB3DC5" w:rsidRPr="000B1569" w:rsidRDefault="00DB3DC5" w:rsidP="005032B4">
      <w:pPr>
        <w:spacing w:after="0" w:line="360" w:lineRule="auto"/>
        <w:contextualSpacing/>
        <w:jc w:val="center"/>
        <w:rPr>
          <w:rFonts w:eastAsia="Calibri" w:cs="Tahoma"/>
          <w:b/>
          <w:bCs/>
          <w:color w:val="auto"/>
          <w:lang w:val="es-ES"/>
        </w:rPr>
      </w:pPr>
    </w:p>
    <w:p w14:paraId="5E541408" w14:textId="7E0BBF99" w:rsidR="00DB3DC5" w:rsidRPr="000B1569" w:rsidRDefault="00DB3DC5" w:rsidP="005032B4">
      <w:pPr>
        <w:pStyle w:val="Ttulo2"/>
        <w:spacing w:before="0" w:line="360" w:lineRule="auto"/>
        <w:rPr>
          <w:rFonts w:ascii="Palatino Linotype" w:eastAsia="Calibri" w:hAnsi="Palatino Linotype"/>
          <w:b/>
          <w:color w:val="000000" w:themeColor="text1"/>
          <w:sz w:val="22"/>
          <w:szCs w:val="22"/>
          <w:lang w:val="es-ES"/>
        </w:rPr>
      </w:pPr>
      <w:bookmarkStart w:id="2" w:name="_Toc195121250"/>
      <w:r w:rsidRPr="000B1569">
        <w:rPr>
          <w:rFonts w:ascii="Palatino Linotype" w:eastAsia="Calibri" w:hAnsi="Palatino Linotype"/>
          <w:b/>
          <w:color w:val="000000" w:themeColor="text1"/>
          <w:sz w:val="22"/>
          <w:szCs w:val="22"/>
          <w:lang w:val="es-ES"/>
        </w:rPr>
        <w:t>I. Presentación</w:t>
      </w:r>
      <w:r w:rsidR="00737CF6" w:rsidRPr="000B1569">
        <w:rPr>
          <w:rFonts w:ascii="Palatino Linotype" w:eastAsia="Calibri" w:hAnsi="Palatino Linotype"/>
          <w:b/>
          <w:color w:val="000000" w:themeColor="text1"/>
          <w:sz w:val="22"/>
          <w:szCs w:val="22"/>
          <w:lang w:val="es-ES"/>
        </w:rPr>
        <w:t xml:space="preserve"> de la solicitud de información</w:t>
      </w:r>
      <w:bookmarkEnd w:id="2"/>
    </w:p>
    <w:p w14:paraId="5A91601B" w14:textId="77777777" w:rsidR="00DB3DC5" w:rsidRPr="000B1569" w:rsidRDefault="00DB3DC5" w:rsidP="005032B4">
      <w:pPr>
        <w:spacing w:after="0" w:line="360" w:lineRule="auto"/>
        <w:contextualSpacing/>
        <w:rPr>
          <w:rFonts w:eastAsia="Calibri" w:cs="Tahoma"/>
          <w:b/>
          <w:bCs/>
          <w:color w:val="auto"/>
          <w:lang w:val="es-ES"/>
        </w:rPr>
      </w:pPr>
    </w:p>
    <w:p w14:paraId="1620C68D" w14:textId="633F0959" w:rsidR="00DB3DC5" w:rsidRPr="000B1569" w:rsidRDefault="00DB3DC5" w:rsidP="005032B4">
      <w:pPr>
        <w:spacing w:after="0" w:line="360" w:lineRule="auto"/>
        <w:contextualSpacing/>
        <w:rPr>
          <w:rFonts w:cs="Tahoma"/>
          <w:color w:val="auto"/>
        </w:rPr>
      </w:pPr>
      <w:r w:rsidRPr="000B1569">
        <w:rPr>
          <w:rFonts w:eastAsia="Calibri" w:cs="Tahoma"/>
          <w:color w:val="auto"/>
          <w:lang w:val="es-ES"/>
        </w:rPr>
        <w:t xml:space="preserve">Con fecha </w:t>
      </w:r>
      <w:r w:rsidR="007A1EB0" w:rsidRPr="000B1569">
        <w:rPr>
          <w:rFonts w:eastAsia="Calibri" w:cs="Tahoma"/>
          <w:color w:val="auto"/>
          <w:lang w:val="es-ES"/>
        </w:rPr>
        <w:t>tr</w:t>
      </w:r>
      <w:r w:rsidR="00200755" w:rsidRPr="000B1569">
        <w:rPr>
          <w:rFonts w:eastAsia="Calibri" w:cs="Tahoma"/>
          <w:color w:val="auto"/>
          <w:lang w:val="es-ES"/>
        </w:rPr>
        <w:t>e</w:t>
      </w:r>
      <w:r w:rsidR="007A1EB0" w:rsidRPr="000B1569">
        <w:rPr>
          <w:rFonts w:eastAsia="Calibri" w:cs="Tahoma"/>
          <w:color w:val="auto"/>
          <w:lang w:val="es-ES"/>
        </w:rPr>
        <w:t>ce</w:t>
      </w:r>
      <w:r w:rsidR="00200755" w:rsidRPr="000B1569">
        <w:rPr>
          <w:rFonts w:eastAsia="Calibri" w:cs="Tahoma"/>
          <w:color w:val="auto"/>
          <w:lang w:val="es-ES"/>
        </w:rPr>
        <w:t xml:space="preserve"> de enero </w:t>
      </w:r>
      <w:r w:rsidR="00EA276A" w:rsidRPr="000B1569">
        <w:rPr>
          <w:rFonts w:eastAsia="Calibri" w:cs="Tahoma"/>
          <w:color w:val="auto"/>
          <w:lang w:val="es-ES"/>
        </w:rPr>
        <w:t xml:space="preserve">de dos mil </w:t>
      </w:r>
      <w:r w:rsidR="00DE71A5" w:rsidRPr="000B1569">
        <w:rPr>
          <w:rFonts w:eastAsia="Calibri" w:cs="Tahoma"/>
          <w:color w:val="auto"/>
          <w:lang w:val="es-ES"/>
        </w:rPr>
        <w:t>veinticinco</w:t>
      </w:r>
      <w:r w:rsidRPr="000B1569">
        <w:rPr>
          <w:rFonts w:eastAsia="Calibri" w:cs="Tahoma"/>
          <w:color w:val="auto"/>
          <w:lang w:val="es-ES"/>
        </w:rPr>
        <w:t xml:space="preserve">, </w:t>
      </w:r>
      <w:r w:rsidR="0046538F" w:rsidRPr="000B1569">
        <w:rPr>
          <w:rFonts w:eastAsia="Calibri" w:cs="Tahoma"/>
          <w:color w:val="auto"/>
          <w:lang w:val="es-ES"/>
        </w:rPr>
        <w:t>la persona Solicitante</w:t>
      </w:r>
      <w:r w:rsidRPr="000B1569">
        <w:rPr>
          <w:rFonts w:eastAsia="Calibri" w:cs="Tahoma"/>
          <w:color w:val="auto"/>
          <w:lang w:val="es-ES"/>
        </w:rPr>
        <w:t xml:space="preserve"> presentó </w:t>
      </w:r>
      <w:r w:rsidR="0046538F" w:rsidRPr="000B1569">
        <w:rPr>
          <w:rFonts w:eastAsia="Calibri" w:cs="Tahoma"/>
          <w:color w:val="auto"/>
          <w:lang w:val="es-ES"/>
        </w:rPr>
        <w:t>un requerimiento</w:t>
      </w:r>
      <w:r w:rsidR="00087796" w:rsidRPr="000B1569">
        <w:rPr>
          <w:rFonts w:eastAsia="Calibri" w:cs="Tahoma"/>
          <w:color w:val="auto"/>
          <w:lang w:val="es-ES"/>
        </w:rPr>
        <w:t xml:space="preserve"> </w:t>
      </w:r>
      <w:r w:rsidRPr="000B1569">
        <w:rPr>
          <w:rFonts w:eastAsia="Calibri" w:cs="Tahoma"/>
          <w:color w:val="auto"/>
          <w:lang w:val="es-ES"/>
        </w:rPr>
        <w:t xml:space="preserve">de acceso a la información, a través del Sistema de Acceso a la Información Mexiquense (SAIMEX), ante el </w:t>
      </w:r>
      <w:r w:rsidR="007A1EB0" w:rsidRPr="000B1569">
        <w:rPr>
          <w:bCs/>
          <w:color w:val="000000"/>
        </w:rPr>
        <w:t>Ayuntamiento de Toluca</w:t>
      </w:r>
      <w:r w:rsidR="00E464B9" w:rsidRPr="000B1569">
        <w:rPr>
          <w:bCs/>
          <w:color w:val="000000"/>
        </w:rPr>
        <w:t xml:space="preserve"> (ya que, si bien se registró el seis de enero de dos mil veinticinco, también es que fue inhábil)</w:t>
      </w:r>
      <w:r w:rsidR="00200755" w:rsidRPr="000B1569">
        <w:rPr>
          <w:rFonts w:cs="Tahoma"/>
          <w:color w:val="auto"/>
        </w:rPr>
        <w:t>,</w:t>
      </w:r>
      <w:r w:rsidR="00647DF2" w:rsidRPr="000B1569">
        <w:rPr>
          <w:rFonts w:eastAsia="Calibri" w:cs="Times New Roman"/>
          <w:b/>
          <w:color w:val="auto"/>
        </w:rPr>
        <w:t xml:space="preserve"> </w:t>
      </w:r>
      <w:r w:rsidRPr="000B1569">
        <w:rPr>
          <w:rFonts w:cs="Tahoma"/>
          <w:color w:val="auto"/>
        </w:rPr>
        <w:t>en los siguientes términos:</w:t>
      </w:r>
    </w:p>
    <w:p w14:paraId="143ECF6C" w14:textId="0F6230CE" w:rsidR="00345BB5" w:rsidRPr="000B1569" w:rsidRDefault="00345BB5" w:rsidP="005032B4">
      <w:pPr>
        <w:tabs>
          <w:tab w:val="left" w:pos="4667"/>
        </w:tabs>
        <w:spacing w:after="0" w:line="360" w:lineRule="auto"/>
        <w:ind w:right="567"/>
        <w:contextualSpacing/>
        <w:rPr>
          <w:rFonts w:cs="Tahoma"/>
          <w:b/>
          <w:bCs/>
          <w:i/>
          <w:color w:val="FF0000"/>
        </w:rPr>
      </w:pPr>
    </w:p>
    <w:p w14:paraId="07987E48" w14:textId="7EFEF85F" w:rsidR="00DE71A5" w:rsidRPr="000B1569" w:rsidRDefault="00087796" w:rsidP="00E464B9">
      <w:pPr>
        <w:spacing w:after="0" w:line="360" w:lineRule="auto"/>
        <w:ind w:left="567" w:right="567"/>
        <w:contextualSpacing/>
        <w:rPr>
          <w:rFonts w:eastAsia="Times New Roman" w:cs="Arial"/>
          <w:b/>
          <w:bCs/>
          <w:i/>
          <w:iCs/>
          <w:color w:val="auto"/>
          <w:sz w:val="20"/>
          <w:lang w:eastAsia="es-ES"/>
        </w:rPr>
      </w:pPr>
      <w:r w:rsidRPr="000B1569">
        <w:rPr>
          <w:rFonts w:eastAsia="Times New Roman" w:cs="Arial"/>
          <w:b/>
          <w:bCs/>
          <w:i/>
          <w:iCs/>
          <w:color w:val="auto"/>
          <w:sz w:val="20"/>
          <w:lang w:eastAsia="es-ES"/>
        </w:rPr>
        <w:t>“DESCRIPCIÓN CLARA Y PRECISA DE LA INFORMACIÓN SOLICITADA.</w:t>
      </w:r>
    </w:p>
    <w:p w14:paraId="5D13BEEC" w14:textId="5405EBA6" w:rsidR="00087796" w:rsidRPr="000B1569" w:rsidRDefault="00E464B9" w:rsidP="00E464B9">
      <w:pPr>
        <w:spacing w:after="0" w:line="360" w:lineRule="auto"/>
        <w:ind w:left="567" w:right="567"/>
        <w:rPr>
          <w:rFonts w:eastAsia="Times New Roman" w:cs="Times New Roman"/>
          <w:i/>
          <w:color w:val="auto"/>
          <w:sz w:val="20"/>
          <w:szCs w:val="20"/>
          <w:lang w:eastAsia="es-MX"/>
        </w:rPr>
      </w:pPr>
      <w:r w:rsidRPr="000B1569">
        <w:rPr>
          <w:i/>
          <w:color w:val="000000"/>
          <w:sz w:val="20"/>
          <w:szCs w:val="20"/>
        </w:rPr>
        <w:t xml:space="preserve">Del pase de lista de policías se solicita el nombre, cargo y sueldo d </w:t>
      </w:r>
      <w:proofErr w:type="spellStart"/>
      <w:r w:rsidRPr="000B1569">
        <w:rPr>
          <w:i/>
          <w:color w:val="000000"/>
          <w:sz w:val="20"/>
          <w:szCs w:val="20"/>
        </w:rPr>
        <w:t>elos</w:t>
      </w:r>
      <w:proofErr w:type="spellEnd"/>
      <w:r w:rsidRPr="000B1569">
        <w:rPr>
          <w:i/>
          <w:color w:val="000000"/>
          <w:sz w:val="20"/>
          <w:szCs w:val="20"/>
        </w:rPr>
        <w:t xml:space="preserve"> policías que estaba en </w:t>
      </w:r>
      <w:proofErr w:type="spellStart"/>
      <w:r w:rsidRPr="000B1569">
        <w:rPr>
          <w:i/>
          <w:color w:val="000000"/>
          <w:sz w:val="20"/>
          <w:szCs w:val="20"/>
        </w:rPr>
        <w:t>taban</w:t>
      </w:r>
      <w:proofErr w:type="spellEnd"/>
      <w:r w:rsidRPr="000B1569">
        <w:rPr>
          <w:i/>
          <w:color w:val="000000"/>
          <w:sz w:val="20"/>
          <w:szCs w:val="20"/>
        </w:rPr>
        <w:t xml:space="preserve"> en el pase de lista de hoy 6 de enero</w:t>
      </w:r>
      <w:r w:rsidR="00087796" w:rsidRPr="000B1569">
        <w:rPr>
          <w:rFonts w:eastAsia="Times New Roman" w:cs="Arial"/>
          <w:bCs/>
          <w:i/>
          <w:iCs/>
          <w:color w:val="auto"/>
          <w:sz w:val="20"/>
          <w:lang w:eastAsia="es-ES"/>
        </w:rPr>
        <w:t xml:space="preserve">” (Sic) </w:t>
      </w:r>
    </w:p>
    <w:p w14:paraId="03420A6D" w14:textId="77777777" w:rsidR="0046538F" w:rsidRPr="000B1569" w:rsidRDefault="0046538F" w:rsidP="00E464B9">
      <w:pPr>
        <w:spacing w:after="0" w:line="360" w:lineRule="auto"/>
        <w:ind w:right="567"/>
        <w:contextualSpacing/>
        <w:rPr>
          <w:rFonts w:eastAsia="Times New Roman" w:cs="Arial"/>
          <w:bCs/>
          <w:i/>
          <w:iCs/>
          <w:color w:val="auto"/>
          <w:sz w:val="20"/>
          <w:lang w:eastAsia="es-ES"/>
        </w:rPr>
      </w:pPr>
    </w:p>
    <w:p w14:paraId="115716E2" w14:textId="77777777" w:rsidR="00087796" w:rsidRPr="000B1569" w:rsidRDefault="00087796" w:rsidP="00E464B9">
      <w:pPr>
        <w:spacing w:after="0" w:line="360" w:lineRule="auto"/>
        <w:ind w:left="567" w:right="567"/>
        <w:contextualSpacing/>
        <w:rPr>
          <w:rFonts w:eastAsia="Times New Roman" w:cs="Arial"/>
          <w:b/>
          <w:bCs/>
          <w:i/>
          <w:iCs/>
          <w:color w:val="auto"/>
          <w:sz w:val="20"/>
          <w:lang w:eastAsia="es-ES"/>
        </w:rPr>
      </w:pPr>
      <w:r w:rsidRPr="000B1569">
        <w:rPr>
          <w:rFonts w:eastAsia="Times New Roman" w:cs="Arial"/>
          <w:b/>
          <w:bCs/>
          <w:i/>
          <w:iCs/>
          <w:color w:val="auto"/>
          <w:sz w:val="20"/>
          <w:lang w:eastAsia="es-ES"/>
        </w:rPr>
        <w:t>“MODALIDAD DE ENTREGA</w:t>
      </w:r>
    </w:p>
    <w:p w14:paraId="05C0E60D" w14:textId="5AA43E7D" w:rsidR="00345BB5" w:rsidRPr="000B1569" w:rsidRDefault="00087796" w:rsidP="00E464B9">
      <w:pPr>
        <w:spacing w:after="0" w:line="360" w:lineRule="auto"/>
        <w:ind w:left="567" w:right="567"/>
        <w:contextualSpacing/>
        <w:rPr>
          <w:rFonts w:eastAsia="Times New Roman" w:cs="Arial"/>
          <w:bCs/>
          <w:i/>
          <w:iCs/>
          <w:color w:val="auto"/>
          <w:sz w:val="20"/>
          <w:lang w:eastAsia="es-ES"/>
        </w:rPr>
      </w:pPr>
      <w:r w:rsidRPr="000B1569">
        <w:rPr>
          <w:rFonts w:eastAsia="Times New Roman" w:cs="Arial"/>
          <w:bCs/>
          <w:i/>
          <w:iCs/>
          <w:color w:val="auto"/>
          <w:sz w:val="20"/>
          <w:lang w:eastAsia="es-ES"/>
        </w:rPr>
        <w:t>A través del SAIMEX”</w:t>
      </w:r>
    </w:p>
    <w:p w14:paraId="4387F950" w14:textId="77777777" w:rsidR="001A0F43" w:rsidRPr="000B1569" w:rsidRDefault="001A0F43" w:rsidP="005032B4">
      <w:pPr>
        <w:spacing w:after="0" w:line="360" w:lineRule="auto"/>
        <w:contextualSpacing/>
        <w:rPr>
          <w:rFonts w:eastAsia="Calibri" w:cs="Tahoma"/>
          <w:b/>
          <w:bCs/>
          <w:color w:val="auto"/>
        </w:rPr>
      </w:pPr>
    </w:p>
    <w:p w14:paraId="675E2DC0" w14:textId="75639D5F" w:rsidR="00DB3DC5" w:rsidRPr="000B1569" w:rsidRDefault="00DB3DC5" w:rsidP="005032B4">
      <w:pPr>
        <w:pStyle w:val="Ttulo2"/>
        <w:spacing w:before="0" w:line="360" w:lineRule="auto"/>
        <w:rPr>
          <w:rFonts w:ascii="Palatino Linotype" w:eastAsia="Calibri" w:hAnsi="Palatino Linotype"/>
          <w:b/>
          <w:color w:val="000000" w:themeColor="text1"/>
          <w:sz w:val="22"/>
          <w:szCs w:val="22"/>
        </w:rPr>
      </w:pPr>
      <w:bookmarkStart w:id="3" w:name="_Toc195121251"/>
      <w:r w:rsidRPr="000B1569">
        <w:rPr>
          <w:rFonts w:ascii="Palatino Linotype" w:eastAsia="Calibri" w:hAnsi="Palatino Linotype"/>
          <w:b/>
          <w:color w:val="000000" w:themeColor="text1"/>
          <w:sz w:val="22"/>
          <w:szCs w:val="22"/>
        </w:rPr>
        <w:lastRenderedPageBreak/>
        <w:t>II. Respuesta</w:t>
      </w:r>
      <w:r w:rsidR="00076681" w:rsidRPr="000B1569">
        <w:rPr>
          <w:rFonts w:ascii="Palatino Linotype" w:eastAsia="Calibri" w:hAnsi="Palatino Linotype"/>
          <w:b/>
          <w:color w:val="000000" w:themeColor="text1"/>
          <w:sz w:val="22"/>
          <w:szCs w:val="22"/>
        </w:rPr>
        <w:t xml:space="preserve"> del Sujeto Obligado</w:t>
      </w:r>
      <w:bookmarkEnd w:id="3"/>
    </w:p>
    <w:p w14:paraId="6BDD54F7" w14:textId="77777777" w:rsidR="00345BB5" w:rsidRPr="000B1569" w:rsidRDefault="00345BB5" w:rsidP="005032B4">
      <w:pPr>
        <w:spacing w:after="0" w:line="360" w:lineRule="auto"/>
        <w:contextualSpacing/>
        <w:rPr>
          <w:rFonts w:eastAsia="Calibri" w:cs="Tahoma"/>
          <w:b/>
          <w:bCs/>
          <w:color w:val="FF0000"/>
        </w:rPr>
      </w:pPr>
    </w:p>
    <w:p w14:paraId="12EEC53D" w14:textId="57A6D51F" w:rsidR="00345BB5" w:rsidRPr="000B1569" w:rsidRDefault="00345BB5" w:rsidP="00E464B9">
      <w:pPr>
        <w:autoSpaceDE w:val="0"/>
        <w:autoSpaceDN w:val="0"/>
        <w:adjustRightInd w:val="0"/>
        <w:spacing w:after="0" w:line="360" w:lineRule="auto"/>
        <w:rPr>
          <w:rFonts w:cs="Tahoma"/>
          <w:bCs/>
          <w:color w:val="auto"/>
          <w:lang w:val="es-ES_tradnl"/>
        </w:rPr>
      </w:pPr>
      <w:r w:rsidRPr="000B1569">
        <w:rPr>
          <w:rFonts w:cs="Tahoma"/>
          <w:bCs/>
          <w:color w:val="auto"/>
          <w:lang w:val="es-ES_tradnl"/>
        </w:rPr>
        <w:t xml:space="preserve">Con fecha </w:t>
      </w:r>
      <w:r w:rsidR="00123ADD" w:rsidRPr="000B1569">
        <w:rPr>
          <w:rFonts w:cs="Tahoma"/>
          <w:bCs/>
          <w:color w:val="auto"/>
          <w:lang w:val="es-ES_tradnl"/>
        </w:rPr>
        <w:t>cinco de febrero</w:t>
      </w:r>
      <w:r w:rsidR="00EA276A" w:rsidRPr="000B1569">
        <w:rPr>
          <w:rFonts w:cs="Tahoma"/>
          <w:bCs/>
          <w:color w:val="auto"/>
          <w:lang w:val="es-ES_tradnl"/>
        </w:rPr>
        <w:t xml:space="preserve"> de dos mil</w:t>
      </w:r>
      <w:r w:rsidR="00CA0F13" w:rsidRPr="000B1569">
        <w:rPr>
          <w:rFonts w:cs="Tahoma"/>
          <w:bCs/>
          <w:color w:val="auto"/>
          <w:lang w:val="es-ES_tradnl"/>
        </w:rPr>
        <w:t xml:space="preserve"> veinticinco</w:t>
      </w:r>
      <w:r w:rsidRPr="000B1569">
        <w:rPr>
          <w:rFonts w:cs="Tahoma"/>
          <w:bCs/>
          <w:color w:val="auto"/>
          <w:lang w:val="es-ES_tradnl"/>
        </w:rPr>
        <w:t>, el</w:t>
      </w:r>
      <w:r w:rsidR="00200755" w:rsidRPr="000B1569">
        <w:rPr>
          <w:bCs/>
          <w:color w:val="000000"/>
        </w:rPr>
        <w:t xml:space="preserve"> </w:t>
      </w:r>
      <w:r w:rsidR="007A1EB0" w:rsidRPr="000B1569">
        <w:rPr>
          <w:bCs/>
          <w:color w:val="000000"/>
        </w:rPr>
        <w:t>Ayuntamiento de Toluca</w:t>
      </w:r>
      <w:r w:rsidRPr="000B1569">
        <w:rPr>
          <w:rFonts w:cs="Tahoma"/>
          <w:bCs/>
          <w:color w:val="auto"/>
          <w:lang w:val="es-ES_tradnl"/>
        </w:rPr>
        <w:t xml:space="preserve">, notificó la respuesta a la solicitud, a través del Sistema de Acceso a la Información Mexiquense (SAIMEX), mediante </w:t>
      </w:r>
      <w:bookmarkStart w:id="4" w:name="_Hlk101903429"/>
      <w:r w:rsidR="0046538F" w:rsidRPr="000B1569">
        <w:rPr>
          <w:rFonts w:cs="Tahoma"/>
          <w:bCs/>
          <w:color w:val="auto"/>
          <w:lang w:val="es-ES_tradnl"/>
        </w:rPr>
        <w:t>la digitalización de</w:t>
      </w:r>
      <w:r w:rsidR="00123ADD" w:rsidRPr="000B1569">
        <w:rPr>
          <w:rFonts w:cs="Tahoma"/>
          <w:bCs/>
          <w:color w:val="auto"/>
          <w:lang w:val="es-ES_tradnl"/>
        </w:rPr>
        <w:t>l</w:t>
      </w:r>
      <w:r w:rsidR="0046538F" w:rsidRPr="000B1569">
        <w:rPr>
          <w:rFonts w:cs="Tahoma"/>
          <w:bCs/>
          <w:color w:val="auto"/>
          <w:lang w:val="es-ES_tradnl"/>
        </w:rPr>
        <w:t xml:space="preserve"> s</w:t>
      </w:r>
      <w:r w:rsidR="00EA276A" w:rsidRPr="000B1569">
        <w:rPr>
          <w:rFonts w:cs="Tahoma"/>
          <w:bCs/>
          <w:color w:val="auto"/>
          <w:lang w:val="es-ES_tradnl"/>
        </w:rPr>
        <w:t>iguiente documento</w:t>
      </w:r>
      <w:r w:rsidR="0046538F" w:rsidRPr="000B1569">
        <w:rPr>
          <w:rFonts w:cs="Tahoma"/>
          <w:bCs/>
          <w:color w:val="auto"/>
          <w:lang w:val="es-ES_tradnl"/>
        </w:rPr>
        <w:t>:</w:t>
      </w:r>
    </w:p>
    <w:bookmarkEnd w:id="4"/>
    <w:p w14:paraId="18CD5E2F" w14:textId="77777777" w:rsidR="005620CE" w:rsidRPr="000B1569" w:rsidRDefault="005620CE" w:rsidP="00E464B9">
      <w:pPr>
        <w:autoSpaceDE w:val="0"/>
        <w:autoSpaceDN w:val="0"/>
        <w:adjustRightInd w:val="0"/>
        <w:spacing w:after="0" w:line="360" w:lineRule="auto"/>
        <w:rPr>
          <w:rFonts w:cs="Tahoma"/>
          <w:color w:val="FF0000"/>
          <w:lang w:val="es-ES_tradnl"/>
        </w:rPr>
      </w:pPr>
    </w:p>
    <w:p w14:paraId="3D79A79A" w14:textId="211DF287" w:rsidR="00DD0E44" w:rsidRPr="000B1569" w:rsidRDefault="00E464B9" w:rsidP="00E464B9">
      <w:pPr>
        <w:autoSpaceDE w:val="0"/>
        <w:autoSpaceDN w:val="0"/>
        <w:adjustRightInd w:val="0"/>
        <w:spacing w:after="0" w:line="360" w:lineRule="auto"/>
        <w:rPr>
          <w:rFonts w:cs="Tahoma"/>
          <w:color w:val="auto"/>
          <w:lang w:val="es-ES_tradnl"/>
        </w:rPr>
      </w:pPr>
      <w:r w:rsidRPr="000B1569">
        <w:rPr>
          <w:rFonts w:cs="Tahoma"/>
          <w:color w:val="auto"/>
          <w:lang w:val="es-ES_tradnl"/>
        </w:rPr>
        <w:t xml:space="preserve">i) </w:t>
      </w:r>
      <w:r w:rsidR="007A1EB0" w:rsidRPr="000B1569">
        <w:rPr>
          <w:rFonts w:cs="Tahoma"/>
          <w:color w:val="auto"/>
          <w:lang w:val="es-ES_tradnl"/>
        </w:rPr>
        <w:t>Oficio sin</w:t>
      </w:r>
      <w:r w:rsidR="007047F4" w:rsidRPr="000B1569">
        <w:rPr>
          <w:rFonts w:cs="Tahoma"/>
          <w:color w:val="auto"/>
          <w:lang w:val="es-ES_tradnl"/>
        </w:rPr>
        <w:t xml:space="preserve"> número, de</w:t>
      </w:r>
      <w:r w:rsidRPr="000B1569">
        <w:rPr>
          <w:rFonts w:cs="Tahoma"/>
          <w:color w:val="auto"/>
          <w:lang w:val="es-ES_tradnl"/>
        </w:rPr>
        <w:t xml:space="preserve">l </w:t>
      </w:r>
      <w:r w:rsidR="007A1EB0" w:rsidRPr="000B1569">
        <w:rPr>
          <w:rFonts w:cs="Tahoma"/>
          <w:color w:val="auto"/>
          <w:lang w:val="es-ES_tradnl"/>
        </w:rPr>
        <w:t>cuatro de febre</w:t>
      </w:r>
      <w:r w:rsidR="000A6A91" w:rsidRPr="000B1569">
        <w:rPr>
          <w:rFonts w:cs="Tahoma"/>
          <w:color w:val="auto"/>
          <w:lang w:val="es-ES_tradnl"/>
        </w:rPr>
        <w:t>ro de dos mil veinticinco</w:t>
      </w:r>
      <w:r w:rsidR="0018339D" w:rsidRPr="000B1569">
        <w:rPr>
          <w:rFonts w:cs="Tahoma"/>
          <w:color w:val="auto"/>
          <w:lang w:val="es-ES_tradnl"/>
        </w:rPr>
        <w:t>,</w:t>
      </w:r>
      <w:r w:rsidR="00DD0E44" w:rsidRPr="000B1569">
        <w:rPr>
          <w:rFonts w:cs="Tahoma"/>
          <w:color w:val="auto"/>
          <w:lang w:val="es-ES_tradnl"/>
        </w:rPr>
        <w:t xml:space="preserve"> suscrito por </w:t>
      </w:r>
      <w:r w:rsidR="00FB3B20" w:rsidRPr="000B1569">
        <w:rPr>
          <w:rFonts w:cs="Tahoma"/>
          <w:color w:val="auto"/>
          <w:lang w:val="es-ES_tradnl"/>
        </w:rPr>
        <w:t xml:space="preserve">el Titular de la Unidad </w:t>
      </w:r>
      <w:r w:rsidRPr="000B1569">
        <w:rPr>
          <w:rFonts w:cs="Tahoma"/>
          <w:color w:val="auto"/>
          <w:lang w:val="es-ES_tradnl"/>
        </w:rPr>
        <w:t>de Transparencia y dirigido al S</w:t>
      </w:r>
      <w:r w:rsidR="00FB3B20" w:rsidRPr="000B1569">
        <w:rPr>
          <w:rFonts w:cs="Tahoma"/>
          <w:color w:val="auto"/>
          <w:lang w:val="es-ES_tradnl"/>
        </w:rPr>
        <w:t xml:space="preserve">olicitante </w:t>
      </w:r>
      <w:r w:rsidRPr="000B1569">
        <w:rPr>
          <w:rFonts w:cs="Tahoma"/>
          <w:color w:val="auto"/>
          <w:lang w:val="es-ES_tradnl"/>
        </w:rPr>
        <w:t>en los siguientes términos</w:t>
      </w:r>
    </w:p>
    <w:p w14:paraId="167AC9CB" w14:textId="77777777" w:rsidR="00E464B9" w:rsidRPr="000B1569" w:rsidRDefault="00E464B9" w:rsidP="00E464B9">
      <w:pPr>
        <w:ind w:left="567" w:right="567"/>
      </w:pPr>
    </w:p>
    <w:p w14:paraId="35C80B3B" w14:textId="2BB05D08" w:rsidR="00FB3B20" w:rsidRPr="000B1569" w:rsidRDefault="006A5843" w:rsidP="00E464B9">
      <w:pPr>
        <w:spacing w:line="360" w:lineRule="auto"/>
        <w:ind w:left="567" w:right="567"/>
        <w:rPr>
          <w:i/>
          <w:sz w:val="20"/>
        </w:rPr>
      </w:pPr>
      <w:r w:rsidRPr="000B1569">
        <w:rPr>
          <w:i/>
          <w:sz w:val="20"/>
        </w:rPr>
        <w:t>“</w:t>
      </w:r>
      <w:r w:rsidR="00CC7917" w:rsidRPr="000B1569">
        <w:rPr>
          <w:i/>
          <w:sz w:val="20"/>
        </w:rPr>
        <w:t>…h</w:t>
      </w:r>
      <w:r w:rsidR="00FB3B20" w:rsidRPr="000B1569">
        <w:rPr>
          <w:i/>
          <w:sz w:val="20"/>
        </w:rPr>
        <w:t xml:space="preserve">ago de su conocimiento que </w:t>
      </w:r>
      <w:r w:rsidR="00FB3B20" w:rsidRPr="000B1569">
        <w:rPr>
          <w:b/>
          <w:i/>
          <w:sz w:val="20"/>
        </w:rPr>
        <w:t>la Dirección General de Administración y Servidor Público Habilitado</w:t>
      </w:r>
      <w:r w:rsidR="00FB3B20" w:rsidRPr="000B1569">
        <w:rPr>
          <w:i/>
          <w:sz w:val="20"/>
        </w:rPr>
        <w:t xml:space="preserve"> informo que después de una búsqueda en los archivos que guarda, el pase de lista de los Servidores Públicos solicitados no corresponde a esta Unidad Administrativa, motivo por el cual no es posible otorgar la información solicitada.</w:t>
      </w:r>
    </w:p>
    <w:p w14:paraId="14EDDA78" w14:textId="77777777" w:rsidR="00E464B9" w:rsidRPr="000B1569" w:rsidRDefault="00E464B9" w:rsidP="00E464B9">
      <w:pPr>
        <w:spacing w:line="360" w:lineRule="auto"/>
        <w:ind w:left="567" w:right="567"/>
        <w:rPr>
          <w:i/>
          <w:sz w:val="20"/>
        </w:rPr>
      </w:pPr>
    </w:p>
    <w:p w14:paraId="687EF754" w14:textId="0B7B4F79" w:rsidR="00DD0E44" w:rsidRPr="000B1569" w:rsidRDefault="00FB3B20" w:rsidP="00E464B9">
      <w:pPr>
        <w:spacing w:line="360" w:lineRule="auto"/>
        <w:ind w:left="567" w:right="567"/>
        <w:rPr>
          <w:i/>
          <w:sz w:val="20"/>
        </w:rPr>
      </w:pPr>
      <w:r w:rsidRPr="000B1569">
        <w:rPr>
          <w:i/>
          <w:sz w:val="20"/>
        </w:rPr>
        <w:t xml:space="preserve">Así mismo la </w:t>
      </w:r>
      <w:r w:rsidRPr="000B1569">
        <w:rPr>
          <w:b/>
          <w:i/>
          <w:sz w:val="20"/>
        </w:rPr>
        <w:t>Dirección General de Seguridad Pública y Protección Ciudadana</w:t>
      </w:r>
      <w:r w:rsidRPr="000B1569">
        <w:rPr>
          <w:i/>
          <w:sz w:val="20"/>
        </w:rPr>
        <w:t xml:space="preserve"> informo que se entrega la información versión pública en el Acta CT/SE/63/02/2025 </w:t>
      </w:r>
      <w:r w:rsidR="00CC7917" w:rsidRPr="000B1569">
        <w:rPr>
          <w:i/>
          <w:sz w:val="20"/>
        </w:rPr>
        <w:t>de la Sexagésima Tercera Sesión Extraordinaria, de fecha cuatro de febrero del año dos mil veinticinco</w:t>
      </w:r>
      <w:r w:rsidR="00E464B9" w:rsidRPr="000B1569">
        <w:rPr>
          <w:i/>
          <w:sz w:val="20"/>
        </w:rPr>
        <w:t xml:space="preserve">.” </w:t>
      </w:r>
    </w:p>
    <w:p w14:paraId="45376E65" w14:textId="77777777" w:rsidR="00DD0E44" w:rsidRPr="000B1569" w:rsidRDefault="00DD0E44" w:rsidP="005032B4">
      <w:pPr>
        <w:autoSpaceDE w:val="0"/>
        <w:autoSpaceDN w:val="0"/>
        <w:adjustRightInd w:val="0"/>
        <w:spacing w:after="0" w:line="360" w:lineRule="auto"/>
        <w:ind w:right="567"/>
        <w:rPr>
          <w:rFonts w:cs="Tahoma"/>
          <w:color w:val="FF0000"/>
          <w:lang w:val="es-ES_tradnl"/>
        </w:rPr>
      </w:pPr>
    </w:p>
    <w:p w14:paraId="6867D521" w14:textId="67290D74" w:rsidR="00DB3DC5" w:rsidRPr="000B1569" w:rsidRDefault="00DB3DC5" w:rsidP="005032B4">
      <w:pPr>
        <w:pStyle w:val="Ttulo2"/>
        <w:spacing w:before="0" w:line="360" w:lineRule="auto"/>
        <w:rPr>
          <w:rFonts w:ascii="Palatino Linotype" w:eastAsia="Calibri" w:hAnsi="Palatino Linotype"/>
          <w:b/>
          <w:color w:val="000000" w:themeColor="text1"/>
          <w:sz w:val="22"/>
          <w:szCs w:val="22"/>
        </w:rPr>
      </w:pPr>
      <w:bookmarkStart w:id="5" w:name="_Toc195121252"/>
      <w:r w:rsidRPr="000B1569">
        <w:rPr>
          <w:rFonts w:ascii="Palatino Linotype" w:eastAsia="Calibri" w:hAnsi="Palatino Linotype"/>
          <w:b/>
          <w:color w:val="000000" w:themeColor="text1"/>
          <w:sz w:val="22"/>
          <w:szCs w:val="22"/>
        </w:rPr>
        <w:t>III. Interpo</w:t>
      </w:r>
      <w:r w:rsidR="00076681" w:rsidRPr="000B1569">
        <w:rPr>
          <w:rFonts w:ascii="Palatino Linotype" w:eastAsia="Calibri" w:hAnsi="Palatino Linotype"/>
          <w:b/>
          <w:color w:val="000000" w:themeColor="text1"/>
          <w:sz w:val="22"/>
          <w:szCs w:val="22"/>
        </w:rPr>
        <w:t>sición del Recurso de Revisión</w:t>
      </w:r>
      <w:bookmarkEnd w:id="5"/>
    </w:p>
    <w:p w14:paraId="462885A3" w14:textId="77777777" w:rsidR="009A627C" w:rsidRPr="000B1569" w:rsidRDefault="009A627C" w:rsidP="005032B4">
      <w:pPr>
        <w:spacing w:after="0" w:line="360" w:lineRule="auto"/>
        <w:contextualSpacing/>
        <w:rPr>
          <w:rFonts w:eastAsia="Times New Roman" w:cs="Tahoma"/>
          <w:bCs/>
          <w:color w:val="FF0000"/>
          <w:lang w:eastAsia="es-ES"/>
        </w:rPr>
      </w:pPr>
    </w:p>
    <w:p w14:paraId="240D95DA" w14:textId="175B79F1" w:rsidR="00DB3DC5" w:rsidRPr="000B1569" w:rsidRDefault="00DB3DC5" w:rsidP="005032B4">
      <w:pPr>
        <w:widowControl w:val="0"/>
        <w:spacing w:after="0" w:line="360" w:lineRule="auto"/>
        <w:contextualSpacing/>
        <w:rPr>
          <w:rFonts w:eastAsia="Calibri" w:cs="Times New Roman"/>
          <w:bCs/>
          <w:color w:val="auto"/>
        </w:rPr>
      </w:pPr>
      <w:r w:rsidRPr="000B1569">
        <w:rPr>
          <w:rFonts w:eastAsia="Calibri" w:cs="Times New Roman"/>
          <w:bCs/>
          <w:color w:val="auto"/>
        </w:rPr>
        <w:t xml:space="preserve">Con fecha </w:t>
      </w:r>
      <w:r w:rsidR="00174749" w:rsidRPr="000B1569">
        <w:rPr>
          <w:rFonts w:eastAsia="Calibri" w:cs="Times New Roman"/>
          <w:bCs/>
          <w:color w:val="auto"/>
        </w:rPr>
        <w:t>veinticuatro</w:t>
      </w:r>
      <w:r w:rsidR="00E40ED9" w:rsidRPr="000B1569">
        <w:rPr>
          <w:rFonts w:eastAsia="Calibri" w:cs="Times New Roman"/>
          <w:bCs/>
          <w:color w:val="auto"/>
        </w:rPr>
        <w:t xml:space="preserve"> de </w:t>
      </w:r>
      <w:r w:rsidR="00D95D2D" w:rsidRPr="000B1569">
        <w:rPr>
          <w:rFonts w:eastAsia="Calibri" w:cs="Times New Roman"/>
          <w:bCs/>
          <w:color w:val="auto"/>
        </w:rPr>
        <w:t>febrero</w:t>
      </w:r>
      <w:r w:rsidR="00E40ED9" w:rsidRPr="000B1569">
        <w:rPr>
          <w:rFonts w:eastAsia="Calibri" w:cs="Times New Roman"/>
          <w:bCs/>
          <w:color w:val="auto"/>
        </w:rPr>
        <w:t xml:space="preserve"> de dos mil veinticinco</w:t>
      </w:r>
      <w:r w:rsidRPr="000B1569">
        <w:rPr>
          <w:rFonts w:eastAsia="Calibri" w:cs="Times New Roman"/>
          <w:bCs/>
          <w:color w:val="auto"/>
        </w:rPr>
        <w:t xml:space="preserve">, </w:t>
      </w:r>
      <w:r w:rsidRPr="000B1569">
        <w:rPr>
          <w:rFonts w:eastAsia="Calibri" w:cs="Times New Roman"/>
          <w:bCs/>
          <w:color w:val="auto"/>
          <w:lang w:val="es-ES"/>
        </w:rPr>
        <w:t xml:space="preserve">se recibió en este Instituto, a través del Sistema de Acceso a la Información Mexiquense (SAIMEX), </w:t>
      </w:r>
      <w:r w:rsidR="00002991" w:rsidRPr="000B1569">
        <w:rPr>
          <w:rFonts w:eastAsia="Calibri" w:cs="Times New Roman"/>
          <w:bCs/>
          <w:color w:val="auto"/>
          <w:lang w:val="es-ES"/>
        </w:rPr>
        <w:t>el</w:t>
      </w:r>
      <w:r w:rsidR="006A0867" w:rsidRPr="000B1569">
        <w:rPr>
          <w:rFonts w:eastAsia="Calibri" w:cs="Times New Roman"/>
          <w:bCs/>
          <w:color w:val="auto"/>
          <w:lang w:val="es-ES"/>
        </w:rPr>
        <w:t xml:space="preserve"> </w:t>
      </w:r>
      <w:r w:rsidRPr="000B1569">
        <w:rPr>
          <w:rFonts w:eastAsia="Calibri" w:cs="Times New Roman"/>
          <w:bCs/>
          <w:color w:val="auto"/>
          <w:lang w:val="es-ES"/>
        </w:rPr>
        <w:t>Recurso de Revisión interpuesto por la parte Recurrente, en contra de la respuesta del Sujeto Obligado</w:t>
      </w:r>
      <w:r w:rsidR="00174749" w:rsidRPr="000B1569">
        <w:rPr>
          <w:rFonts w:eastAsia="Calibri" w:cs="Times New Roman"/>
          <w:color w:val="auto"/>
        </w:rPr>
        <w:t xml:space="preserve"> </w:t>
      </w:r>
      <w:r w:rsidR="00174749" w:rsidRPr="000B1569">
        <w:rPr>
          <w:bCs/>
          <w:color w:val="000000"/>
        </w:rPr>
        <w:t>(ya que, si bien se registró el veintitrés del mismo mes, también es que fue inhábil)</w:t>
      </w:r>
      <w:r w:rsidR="005400EE" w:rsidRPr="000B1569">
        <w:rPr>
          <w:rFonts w:eastAsia="Calibri" w:cs="Times New Roman"/>
          <w:color w:val="auto"/>
        </w:rPr>
        <w:t xml:space="preserve"> </w:t>
      </w:r>
      <w:r w:rsidRPr="000B1569">
        <w:rPr>
          <w:rFonts w:eastAsia="Times New Roman" w:cs="Tahoma"/>
          <w:bCs/>
          <w:color w:val="auto"/>
          <w:lang w:val="es-ES" w:eastAsia="es-ES"/>
        </w:rPr>
        <w:t>en los siguientes términos:</w:t>
      </w:r>
    </w:p>
    <w:p w14:paraId="383A8105" w14:textId="77777777" w:rsidR="00DB3DC5" w:rsidRPr="000B1569" w:rsidRDefault="00DB3DC5" w:rsidP="005032B4">
      <w:pPr>
        <w:tabs>
          <w:tab w:val="left" w:pos="4667"/>
        </w:tabs>
        <w:spacing w:after="0" w:line="360" w:lineRule="auto"/>
        <w:ind w:left="567" w:right="567"/>
        <w:contextualSpacing/>
        <w:rPr>
          <w:rFonts w:cs="Tahoma"/>
          <w:b/>
          <w:bCs/>
          <w:i/>
          <w:color w:val="FF0000"/>
          <w:sz w:val="20"/>
          <w:szCs w:val="20"/>
        </w:rPr>
      </w:pPr>
    </w:p>
    <w:p w14:paraId="0E422949" w14:textId="77777777" w:rsidR="006A0867" w:rsidRPr="000B1569" w:rsidRDefault="006A0867" w:rsidP="005032B4">
      <w:pPr>
        <w:tabs>
          <w:tab w:val="left" w:pos="4667"/>
        </w:tabs>
        <w:spacing w:after="0" w:line="360" w:lineRule="auto"/>
        <w:ind w:left="567" w:right="567"/>
        <w:rPr>
          <w:b/>
          <w:i/>
          <w:iCs/>
          <w:color w:val="auto"/>
          <w:sz w:val="20"/>
          <w:szCs w:val="20"/>
        </w:rPr>
      </w:pPr>
      <w:r w:rsidRPr="000B1569">
        <w:rPr>
          <w:b/>
          <w:i/>
          <w:iCs/>
          <w:color w:val="auto"/>
          <w:sz w:val="20"/>
          <w:szCs w:val="20"/>
        </w:rPr>
        <w:lastRenderedPageBreak/>
        <w:t>“ACTO IMPUGNADO</w:t>
      </w:r>
    </w:p>
    <w:p w14:paraId="199F28DE" w14:textId="5483CC5D" w:rsidR="006A0867" w:rsidRPr="000B1569" w:rsidRDefault="00CC7917" w:rsidP="00CC7917">
      <w:pPr>
        <w:spacing w:after="0" w:line="240" w:lineRule="auto"/>
        <w:ind w:firstLine="567"/>
        <w:rPr>
          <w:rFonts w:eastAsia="Times New Roman" w:cs="Times New Roman"/>
          <w:i/>
          <w:color w:val="auto"/>
          <w:sz w:val="20"/>
          <w:szCs w:val="20"/>
          <w:lang w:eastAsia="es-MX"/>
        </w:rPr>
      </w:pPr>
      <w:proofErr w:type="spellStart"/>
      <w:r w:rsidRPr="000B1569">
        <w:rPr>
          <w:rFonts w:eastAsia="Times New Roman" w:cs="Times New Roman"/>
          <w:i/>
          <w:color w:val="auto"/>
          <w:sz w:val="20"/>
          <w:szCs w:val="20"/>
          <w:lang w:eastAsia="es-MX"/>
        </w:rPr>
        <w:t>Prirmero</w:t>
      </w:r>
      <w:proofErr w:type="spellEnd"/>
      <w:r w:rsidRPr="000B1569">
        <w:rPr>
          <w:rFonts w:eastAsia="Times New Roman" w:cs="Times New Roman"/>
          <w:i/>
          <w:color w:val="auto"/>
          <w:sz w:val="20"/>
          <w:szCs w:val="20"/>
          <w:lang w:eastAsia="es-MX"/>
        </w:rPr>
        <w:t xml:space="preserve"> la respuesta a destiempo y la negativa de información</w:t>
      </w:r>
      <w:r w:rsidR="006A0867" w:rsidRPr="000B1569">
        <w:rPr>
          <w:i/>
          <w:iCs/>
          <w:color w:val="auto"/>
          <w:sz w:val="20"/>
          <w:szCs w:val="20"/>
        </w:rPr>
        <w:t>” (Sic.)</w:t>
      </w:r>
    </w:p>
    <w:p w14:paraId="349885DE" w14:textId="77777777" w:rsidR="006A0867" w:rsidRPr="000B1569" w:rsidRDefault="006A0867" w:rsidP="005032B4">
      <w:pPr>
        <w:tabs>
          <w:tab w:val="left" w:pos="4667"/>
        </w:tabs>
        <w:spacing w:after="0" w:line="360" w:lineRule="auto"/>
        <w:ind w:left="567" w:right="567"/>
        <w:rPr>
          <w:rFonts w:cs="Tahoma"/>
          <w:bCs/>
          <w:i/>
          <w:color w:val="FF0000"/>
          <w:sz w:val="20"/>
          <w:szCs w:val="20"/>
        </w:rPr>
      </w:pPr>
    </w:p>
    <w:p w14:paraId="09EF88BF" w14:textId="77777777" w:rsidR="006A0867" w:rsidRPr="000B1569" w:rsidRDefault="006A0867" w:rsidP="005032B4">
      <w:pPr>
        <w:tabs>
          <w:tab w:val="left" w:pos="4667"/>
        </w:tabs>
        <w:spacing w:after="0" w:line="360" w:lineRule="auto"/>
        <w:ind w:left="567" w:right="567"/>
        <w:rPr>
          <w:rFonts w:cs="Tahoma"/>
          <w:b/>
          <w:bCs/>
          <w:i/>
          <w:color w:val="auto"/>
          <w:sz w:val="20"/>
          <w:szCs w:val="20"/>
        </w:rPr>
      </w:pPr>
      <w:r w:rsidRPr="000B1569">
        <w:rPr>
          <w:rFonts w:cs="Tahoma"/>
          <w:b/>
          <w:bCs/>
          <w:i/>
          <w:color w:val="auto"/>
          <w:sz w:val="20"/>
          <w:szCs w:val="20"/>
        </w:rPr>
        <w:t>“RAZONES O MOTIVOS DE LA INCONFORMIDAD</w:t>
      </w:r>
    </w:p>
    <w:p w14:paraId="702646C1" w14:textId="33CED9D3" w:rsidR="00667107" w:rsidRPr="000B1569" w:rsidRDefault="00CC7917" w:rsidP="005032B4">
      <w:pPr>
        <w:tabs>
          <w:tab w:val="left" w:pos="4667"/>
        </w:tabs>
        <w:spacing w:after="0" w:line="360" w:lineRule="auto"/>
        <w:ind w:left="567" w:right="567"/>
        <w:rPr>
          <w:i/>
          <w:iCs/>
          <w:color w:val="auto"/>
          <w:sz w:val="20"/>
          <w:szCs w:val="20"/>
        </w:rPr>
      </w:pPr>
      <w:r w:rsidRPr="000B1569">
        <w:rPr>
          <w:i/>
          <w:color w:val="000000"/>
          <w:sz w:val="20"/>
          <w:szCs w:val="20"/>
        </w:rPr>
        <w:t>La negativa de la información y la respuesta a destiempo</w:t>
      </w:r>
      <w:r w:rsidR="0064639F" w:rsidRPr="000B1569">
        <w:rPr>
          <w:i/>
          <w:iCs/>
          <w:color w:val="auto"/>
          <w:sz w:val="20"/>
          <w:szCs w:val="20"/>
        </w:rPr>
        <w:t>” (Sic.)</w:t>
      </w:r>
    </w:p>
    <w:p w14:paraId="5EF80AD3" w14:textId="77777777" w:rsidR="00667107" w:rsidRPr="000B1569" w:rsidRDefault="00667107" w:rsidP="005032B4">
      <w:pPr>
        <w:tabs>
          <w:tab w:val="left" w:pos="4667"/>
        </w:tabs>
        <w:spacing w:after="0" w:line="360" w:lineRule="auto"/>
        <w:ind w:right="567"/>
        <w:rPr>
          <w:i/>
          <w:iCs/>
          <w:color w:val="auto"/>
          <w:sz w:val="20"/>
          <w:szCs w:val="20"/>
        </w:rPr>
      </w:pPr>
    </w:p>
    <w:p w14:paraId="2D3CE335" w14:textId="2BF858B6" w:rsidR="00DB3DC5" w:rsidRPr="000B1569" w:rsidRDefault="00DB3DC5" w:rsidP="005032B4">
      <w:pPr>
        <w:pStyle w:val="Ttulo2"/>
        <w:spacing w:before="0" w:line="360" w:lineRule="auto"/>
        <w:rPr>
          <w:rFonts w:ascii="Palatino Linotype" w:eastAsia="Batang" w:hAnsi="Palatino Linotype"/>
          <w:b/>
          <w:color w:val="000000" w:themeColor="text1"/>
          <w:sz w:val="22"/>
          <w:szCs w:val="22"/>
        </w:rPr>
      </w:pPr>
      <w:bookmarkStart w:id="6" w:name="_Toc195121253"/>
      <w:r w:rsidRPr="000B1569">
        <w:rPr>
          <w:rFonts w:ascii="Palatino Linotype" w:eastAsia="Calibri" w:hAnsi="Palatino Linotype"/>
          <w:b/>
          <w:color w:val="000000" w:themeColor="text1"/>
          <w:sz w:val="22"/>
          <w:szCs w:val="22"/>
        </w:rPr>
        <w:t xml:space="preserve">IV. </w:t>
      </w:r>
      <w:r w:rsidRPr="000B1569">
        <w:rPr>
          <w:rFonts w:ascii="Palatino Linotype" w:eastAsia="Batang" w:hAnsi="Palatino Linotype"/>
          <w:b/>
          <w:color w:val="000000" w:themeColor="text1"/>
          <w:sz w:val="22"/>
          <w:szCs w:val="22"/>
        </w:rPr>
        <w:t>Trámite del Recurso de Revisión</w:t>
      </w:r>
      <w:r w:rsidRPr="000B1569">
        <w:rPr>
          <w:rFonts w:ascii="Palatino Linotype" w:eastAsia="Calibri" w:hAnsi="Palatino Linotype"/>
          <w:b/>
          <w:color w:val="000000" w:themeColor="text1"/>
          <w:sz w:val="22"/>
          <w:szCs w:val="22"/>
        </w:rPr>
        <w:t xml:space="preserve"> </w:t>
      </w:r>
      <w:r w:rsidR="00076681" w:rsidRPr="000B1569">
        <w:rPr>
          <w:rFonts w:ascii="Palatino Linotype" w:eastAsia="Batang" w:hAnsi="Palatino Linotype"/>
          <w:b/>
          <w:color w:val="000000" w:themeColor="text1"/>
          <w:sz w:val="22"/>
          <w:szCs w:val="22"/>
        </w:rPr>
        <w:t>ante este Instituto</w:t>
      </w:r>
      <w:bookmarkEnd w:id="6"/>
    </w:p>
    <w:p w14:paraId="13E537D5" w14:textId="77777777" w:rsidR="00DB3DC5" w:rsidRPr="000B1569" w:rsidRDefault="00DB3DC5" w:rsidP="005032B4">
      <w:pPr>
        <w:spacing w:after="0" w:line="360" w:lineRule="auto"/>
        <w:contextualSpacing/>
        <w:rPr>
          <w:rFonts w:eastAsia="Batang" w:cs="Tahoma"/>
          <w:b/>
          <w:bCs/>
          <w:color w:val="FF0000"/>
        </w:rPr>
      </w:pPr>
    </w:p>
    <w:p w14:paraId="5B9B961B" w14:textId="7A255A21" w:rsidR="00DB3DC5" w:rsidRPr="000B1569" w:rsidRDefault="00DB3DC5" w:rsidP="005032B4">
      <w:pPr>
        <w:spacing w:after="0" w:line="360" w:lineRule="auto"/>
        <w:contextualSpacing/>
        <w:rPr>
          <w:rFonts w:eastAsia="Batang" w:cs="Tahoma"/>
          <w:b/>
          <w:bCs/>
          <w:color w:val="auto"/>
        </w:rPr>
      </w:pPr>
      <w:bookmarkStart w:id="7" w:name="_Toc195121254"/>
      <w:r w:rsidRPr="000B1569">
        <w:rPr>
          <w:rStyle w:val="Ttulo2Car"/>
          <w:rFonts w:ascii="Palatino Linotype" w:hAnsi="Palatino Linotype"/>
          <w:b/>
          <w:color w:val="000000" w:themeColor="text1"/>
          <w:sz w:val="22"/>
          <w:szCs w:val="22"/>
        </w:rPr>
        <w:t>a) Turno del Medio de Impugnación.</w:t>
      </w:r>
      <w:bookmarkEnd w:id="7"/>
      <w:r w:rsidRPr="000B1569">
        <w:rPr>
          <w:rFonts w:eastAsia="Batang" w:cs="Tahoma"/>
          <w:b/>
          <w:bCs/>
        </w:rPr>
        <w:t xml:space="preserve"> </w:t>
      </w:r>
      <w:r w:rsidRPr="000B1569">
        <w:rPr>
          <w:rFonts w:eastAsia="Batang" w:cs="Tahoma"/>
          <w:bCs/>
          <w:color w:val="auto"/>
        </w:rPr>
        <w:t xml:space="preserve">El </w:t>
      </w:r>
      <w:r w:rsidR="00CC7917" w:rsidRPr="000B1569">
        <w:rPr>
          <w:rFonts w:eastAsia="Batang" w:cs="Tahoma"/>
          <w:bCs/>
          <w:color w:val="auto"/>
        </w:rPr>
        <w:t>veintitrés</w:t>
      </w:r>
      <w:r w:rsidR="00B732D1" w:rsidRPr="000B1569">
        <w:rPr>
          <w:rFonts w:eastAsia="Batang" w:cs="Tahoma"/>
          <w:bCs/>
          <w:color w:val="auto"/>
        </w:rPr>
        <w:t xml:space="preserve"> de </w:t>
      </w:r>
      <w:r w:rsidR="00576536" w:rsidRPr="000B1569">
        <w:rPr>
          <w:rFonts w:eastAsia="Batang" w:cs="Tahoma"/>
          <w:bCs/>
          <w:color w:val="auto"/>
        </w:rPr>
        <w:t>febrero</w:t>
      </w:r>
      <w:r w:rsidR="00E063FC" w:rsidRPr="000B1569">
        <w:rPr>
          <w:rFonts w:eastAsia="Batang" w:cs="Tahoma"/>
          <w:bCs/>
          <w:color w:val="auto"/>
        </w:rPr>
        <w:t xml:space="preserve"> </w:t>
      </w:r>
      <w:r w:rsidR="00B732D1" w:rsidRPr="000B1569">
        <w:rPr>
          <w:rFonts w:eastAsia="Times New Roman" w:cs="Tahoma"/>
          <w:bCs/>
          <w:color w:val="auto"/>
          <w:lang w:eastAsia="es-ES"/>
        </w:rPr>
        <w:t xml:space="preserve">de dos mil </w:t>
      </w:r>
      <w:r w:rsidR="00CF76E0" w:rsidRPr="000B1569">
        <w:rPr>
          <w:rFonts w:eastAsia="Times New Roman" w:cs="Tahoma"/>
          <w:bCs/>
          <w:color w:val="auto"/>
          <w:lang w:eastAsia="es-ES"/>
        </w:rPr>
        <w:t>veinticinco,</w:t>
      </w:r>
      <w:r w:rsidRPr="000B1569">
        <w:rPr>
          <w:rFonts w:eastAsia="Batang" w:cs="Tahoma"/>
          <w:bCs/>
          <w:color w:val="auto"/>
        </w:rPr>
        <w:t xml:space="preserve"> el </w:t>
      </w:r>
      <w:r w:rsidRPr="000B1569">
        <w:rPr>
          <w:rFonts w:eastAsia="Calibri" w:cs="Tahoma"/>
          <w:color w:val="auto"/>
          <w:lang w:val="es-ES"/>
        </w:rPr>
        <w:t>Sistema de Acceso a la Información Mexiquense (SAIMEX),</w:t>
      </w:r>
      <w:r w:rsidRPr="000B1569">
        <w:rPr>
          <w:rFonts w:eastAsia="Batang" w:cs="Tahoma"/>
          <w:bCs/>
          <w:color w:val="auto"/>
        </w:rPr>
        <w:t xml:space="preserve"> </w:t>
      </w:r>
      <w:r w:rsidR="0089704B" w:rsidRPr="000B1569">
        <w:rPr>
          <w:rFonts w:eastAsia="Batang" w:cs="Tahoma"/>
          <w:bCs/>
          <w:color w:val="auto"/>
          <w:lang w:val="es-ES_tradnl"/>
        </w:rPr>
        <w:t xml:space="preserve">asignó </w:t>
      </w:r>
      <w:r w:rsidR="0003316E" w:rsidRPr="000B1569">
        <w:rPr>
          <w:rFonts w:eastAsia="Batang" w:cs="Tahoma"/>
          <w:bCs/>
          <w:color w:val="auto"/>
          <w:lang w:val="es-ES_tradnl"/>
        </w:rPr>
        <w:t>el</w:t>
      </w:r>
      <w:r w:rsidR="0089704B" w:rsidRPr="000B1569">
        <w:rPr>
          <w:rFonts w:eastAsia="Batang" w:cs="Tahoma"/>
          <w:bCs/>
          <w:color w:val="auto"/>
          <w:lang w:val="es-ES_tradnl"/>
        </w:rPr>
        <w:t xml:space="preserve"> número de expediente</w:t>
      </w:r>
      <w:r w:rsidR="00031961" w:rsidRPr="000B1569">
        <w:rPr>
          <w:rFonts w:eastAsia="Batang" w:cs="Tahoma"/>
          <w:bCs/>
          <w:color w:val="auto"/>
          <w:lang w:val="es-ES_tradnl"/>
        </w:rPr>
        <w:t xml:space="preserve"> </w:t>
      </w:r>
      <w:r w:rsidR="00E464B9" w:rsidRPr="000B1569">
        <w:rPr>
          <w:rFonts w:eastAsia="Calibri" w:cs="Tahoma"/>
          <w:b/>
          <w:color w:val="auto"/>
        </w:rPr>
        <w:t xml:space="preserve"> 01881/INFOEM/IP/RR/2025</w:t>
      </w:r>
      <w:r w:rsidRPr="000B1569">
        <w:rPr>
          <w:rFonts w:eastAsia="Batang" w:cs="Tahoma"/>
          <w:bCs/>
          <w:color w:val="auto"/>
        </w:rPr>
        <w:t xml:space="preserve">, al Medio de Impugnación que nos ocupa, con base en el sistema aprobado por el Pleno de este Órgano Garante y lo turnó al </w:t>
      </w:r>
      <w:r w:rsidRPr="000B1569">
        <w:rPr>
          <w:rFonts w:eastAsia="Batang" w:cs="Tahoma"/>
          <w:b/>
          <w:color w:val="auto"/>
        </w:rPr>
        <w:t>Comisionado Ponente Luis Gustavo Parra Noriega</w:t>
      </w:r>
      <w:r w:rsidRPr="000B1569">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0B1569" w:rsidRDefault="00DB3DC5" w:rsidP="005032B4">
      <w:pPr>
        <w:spacing w:after="0" w:line="360" w:lineRule="auto"/>
        <w:contextualSpacing/>
        <w:rPr>
          <w:rFonts w:eastAsia="Batang" w:cs="Tahoma"/>
          <w:bCs/>
          <w:color w:val="FF0000"/>
        </w:rPr>
      </w:pPr>
    </w:p>
    <w:p w14:paraId="2B3B5A4B" w14:textId="0C651291" w:rsidR="00DB3DC5" w:rsidRPr="000B1569" w:rsidRDefault="00DB3DC5" w:rsidP="005032B4">
      <w:pPr>
        <w:spacing w:after="0" w:line="360" w:lineRule="auto"/>
        <w:contextualSpacing/>
        <w:rPr>
          <w:rFonts w:eastAsia="Times New Roman" w:cs="Tahoma"/>
          <w:bCs/>
          <w:color w:val="auto"/>
          <w:lang w:val="es-ES_tradnl" w:eastAsia="es-ES"/>
        </w:rPr>
      </w:pPr>
      <w:bookmarkStart w:id="8" w:name="_Toc195121255"/>
      <w:r w:rsidRPr="000B1569">
        <w:rPr>
          <w:rStyle w:val="Ttulo2Car"/>
          <w:rFonts w:ascii="Palatino Linotype" w:hAnsi="Palatino Linotype"/>
          <w:b/>
          <w:color w:val="000000" w:themeColor="text1"/>
          <w:sz w:val="22"/>
          <w:szCs w:val="22"/>
        </w:rPr>
        <w:t>b) Admisión de</w:t>
      </w:r>
      <w:r w:rsidR="00EA3D68" w:rsidRPr="000B1569">
        <w:rPr>
          <w:rStyle w:val="Ttulo2Car"/>
          <w:rFonts w:ascii="Palatino Linotype" w:hAnsi="Palatino Linotype"/>
          <w:b/>
          <w:color w:val="000000" w:themeColor="text1"/>
          <w:sz w:val="22"/>
          <w:szCs w:val="22"/>
        </w:rPr>
        <w:t>l</w:t>
      </w:r>
      <w:r w:rsidRPr="000B1569">
        <w:rPr>
          <w:rStyle w:val="Ttulo2Car"/>
          <w:rFonts w:ascii="Palatino Linotype" w:hAnsi="Palatino Linotype"/>
          <w:b/>
          <w:color w:val="000000" w:themeColor="text1"/>
          <w:sz w:val="22"/>
          <w:szCs w:val="22"/>
        </w:rPr>
        <w:t xml:space="preserve"> Recurso de Revisión.</w:t>
      </w:r>
      <w:bookmarkEnd w:id="8"/>
      <w:r w:rsidRPr="000B1569">
        <w:rPr>
          <w:rFonts w:eastAsia="Times New Roman" w:cs="Tahoma"/>
          <w:b/>
          <w:bCs/>
          <w:lang w:val="es-ES_tradnl" w:eastAsia="es-ES"/>
        </w:rPr>
        <w:t xml:space="preserve"> </w:t>
      </w:r>
      <w:r w:rsidRPr="000B1569">
        <w:rPr>
          <w:rFonts w:eastAsia="Times New Roman" w:cs="Tahoma"/>
          <w:bCs/>
          <w:color w:val="auto"/>
          <w:lang w:val="es-ES_tradnl" w:eastAsia="es-ES"/>
        </w:rPr>
        <w:t xml:space="preserve">El </w:t>
      </w:r>
      <w:r w:rsidR="00CC7917" w:rsidRPr="000B1569">
        <w:rPr>
          <w:rFonts w:eastAsia="Times New Roman" w:cs="Tahoma"/>
          <w:bCs/>
          <w:color w:val="auto"/>
          <w:lang w:val="es-ES_tradnl" w:eastAsia="es-ES"/>
        </w:rPr>
        <w:t>veintisiete</w:t>
      </w:r>
      <w:r w:rsidR="00B732D1" w:rsidRPr="000B1569">
        <w:rPr>
          <w:rFonts w:eastAsia="Times New Roman" w:cs="Tahoma"/>
          <w:bCs/>
          <w:color w:val="auto"/>
          <w:lang w:val="es-ES_tradnl" w:eastAsia="es-ES"/>
        </w:rPr>
        <w:t xml:space="preserve"> de </w:t>
      </w:r>
      <w:r w:rsidR="00576536" w:rsidRPr="000B1569">
        <w:rPr>
          <w:rFonts w:eastAsia="Times New Roman" w:cs="Tahoma"/>
          <w:bCs/>
          <w:color w:val="auto"/>
          <w:lang w:val="es-ES_tradnl" w:eastAsia="es-ES"/>
        </w:rPr>
        <w:t>febrero</w:t>
      </w:r>
      <w:r w:rsidR="006778B9" w:rsidRPr="000B1569">
        <w:rPr>
          <w:rFonts w:eastAsia="Batang" w:cs="Tahoma"/>
          <w:bCs/>
          <w:color w:val="auto"/>
        </w:rPr>
        <w:t xml:space="preserve"> </w:t>
      </w:r>
      <w:r w:rsidR="00B732D1" w:rsidRPr="000B1569">
        <w:rPr>
          <w:rFonts w:eastAsia="Batang" w:cs="Tahoma"/>
          <w:bCs/>
          <w:color w:val="auto"/>
        </w:rPr>
        <w:t>de dos mil veinticinco</w:t>
      </w:r>
      <w:r w:rsidRPr="000B1569">
        <w:rPr>
          <w:rFonts w:eastAsia="Times New Roman" w:cs="Tahoma"/>
          <w:bCs/>
          <w:color w:val="auto"/>
          <w:lang w:val="es-ES_tradnl" w:eastAsia="es-ES"/>
        </w:rPr>
        <w:t>, se acordó la admisión de</w:t>
      </w:r>
      <w:r w:rsidR="0003316E" w:rsidRPr="000B1569">
        <w:rPr>
          <w:rFonts w:eastAsia="Times New Roman" w:cs="Tahoma"/>
          <w:bCs/>
          <w:color w:val="auto"/>
          <w:lang w:val="es-ES_tradnl" w:eastAsia="es-ES"/>
        </w:rPr>
        <w:t>l</w:t>
      </w:r>
      <w:r w:rsidRPr="000B1569">
        <w:rPr>
          <w:rFonts w:eastAsia="Times New Roman" w:cs="Tahoma"/>
          <w:bCs/>
          <w:color w:val="auto"/>
          <w:lang w:val="es-ES_tradnl" w:eastAsia="es-ES"/>
        </w:rPr>
        <w:t xml:space="preserve"> Recurso de Revisión interpuesto por </w:t>
      </w:r>
      <w:r w:rsidR="0003316E" w:rsidRPr="000B1569">
        <w:rPr>
          <w:rFonts w:eastAsia="Times New Roman" w:cs="Tahoma"/>
          <w:bCs/>
          <w:color w:val="auto"/>
          <w:lang w:val="es-ES_tradnl" w:eastAsia="es-ES"/>
        </w:rPr>
        <w:t>el</w:t>
      </w:r>
      <w:r w:rsidRPr="000B1569">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w:t>
      </w:r>
      <w:r w:rsidR="0003316E" w:rsidRPr="000B1569">
        <w:rPr>
          <w:rFonts w:eastAsia="Times New Roman" w:cs="Tahoma"/>
          <w:bCs/>
          <w:color w:val="auto"/>
          <w:lang w:val="es-ES_tradnl" w:eastAsia="es-ES"/>
        </w:rPr>
        <w:t>el</w:t>
      </w:r>
      <w:r w:rsidRPr="000B1569">
        <w:rPr>
          <w:rFonts w:eastAsia="Times New Roman" w:cs="Tahoma"/>
          <w:bCs/>
          <w:color w:val="auto"/>
          <w:lang w:val="es-ES_tradnl" w:eastAsia="es-ES"/>
        </w:rPr>
        <w:t xml:space="preserve"> cual fue debidamente notificado a las parte</w:t>
      </w:r>
      <w:r w:rsidR="00A322C2" w:rsidRPr="000B1569">
        <w:rPr>
          <w:rFonts w:eastAsia="Times New Roman" w:cs="Tahoma"/>
          <w:bCs/>
          <w:color w:val="auto"/>
          <w:lang w:val="es-ES_tradnl" w:eastAsia="es-ES"/>
        </w:rPr>
        <w:t xml:space="preserve">s, el </w:t>
      </w:r>
      <w:r w:rsidR="00B732D1" w:rsidRPr="000B1569">
        <w:rPr>
          <w:rFonts w:eastAsia="Times New Roman" w:cs="Tahoma"/>
          <w:bCs/>
          <w:color w:val="auto"/>
          <w:lang w:val="es-ES_tradnl" w:eastAsia="es-ES"/>
        </w:rPr>
        <w:t>mismo día</w:t>
      </w:r>
      <w:r w:rsidRPr="000B1569">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7F8B0501" w14:textId="77777777" w:rsidR="00767EFB" w:rsidRPr="000B1569" w:rsidRDefault="00767EFB" w:rsidP="005032B4">
      <w:pPr>
        <w:spacing w:after="0" w:line="360" w:lineRule="auto"/>
        <w:contextualSpacing/>
        <w:rPr>
          <w:rFonts w:eastAsia="Times New Roman" w:cs="Tahoma"/>
          <w:b/>
          <w:bCs/>
          <w:color w:val="auto"/>
          <w:lang w:eastAsia="es-ES"/>
        </w:rPr>
      </w:pPr>
    </w:p>
    <w:p w14:paraId="3FF946A9" w14:textId="6A9C56AD" w:rsidR="00CC7917" w:rsidRPr="000B1569" w:rsidRDefault="00767EFB" w:rsidP="005032B4">
      <w:pPr>
        <w:tabs>
          <w:tab w:val="left" w:pos="3261"/>
        </w:tabs>
        <w:spacing w:after="0" w:line="360" w:lineRule="auto"/>
        <w:rPr>
          <w:rFonts w:cs="Tahoma"/>
          <w:bCs/>
          <w:iCs/>
          <w:lang w:val="es-ES"/>
        </w:rPr>
      </w:pPr>
      <w:bookmarkStart w:id="9" w:name="_Toc195121256"/>
      <w:r w:rsidRPr="000B1569">
        <w:rPr>
          <w:rStyle w:val="Ttulo2Car"/>
          <w:rFonts w:ascii="Palatino Linotype" w:hAnsi="Palatino Linotype"/>
          <w:b/>
          <w:color w:val="000000" w:themeColor="text1"/>
          <w:sz w:val="22"/>
          <w:szCs w:val="22"/>
        </w:rPr>
        <w:t xml:space="preserve">c) </w:t>
      </w:r>
      <w:r w:rsidR="00A322C2" w:rsidRPr="000B1569">
        <w:rPr>
          <w:rStyle w:val="Ttulo2Car"/>
          <w:rFonts w:ascii="Palatino Linotype" w:hAnsi="Palatino Linotype"/>
          <w:b/>
          <w:color w:val="000000" w:themeColor="text1"/>
          <w:sz w:val="22"/>
          <w:szCs w:val="22"/>
        </w:rPr>
        <w:t>Infor</w:t>
      </w:r>
      <w:r w:rsidR="00CF76E0" w:rsidRPr="000B1569">
        <w:rPr>
          <w:rStyle w:val="Ttulo2Car"/>
          <w:rFonts w:ascii="Palatino Linotype" w:hAnsi="Palatino Linotype"/>
          <w:b/>
          <w:color w:val="000000" w:themeColor="text1"/>
          <w:sz w:val="22"/>
          <w:szCs w:val="22"/>
        </w:rPr>
        <w:t>me Justificado</w:t>
      </w:r>
      <w:r w:rsidR="00A322C2" w:rsidRPr="000B1569">
        <w:rPr>
          <w:rStyle w:val="Ttulo2Car"/>
          <w:rFonts w:ascii="Palatino Linotype" w:hAnsi="Palatino Linotype"/>
          <w:b/>
          <w:color w:val="000000" w:themeColor="text1"/>
          <w:sz w:val="22"/>
          <w:szCs w:val="22"/>
        </w:rPr>
        <w:t>.</w:t>
      </w:r>
      <w:bookmarkEnd w:id="9"/>
      <w:r w:rsidR="00CF76E0" w:rsidRPr="000B1569">
        <w:rPr>
          <w:rFonts w:cs="Tahoma"/>
          <w:bCs/>
          <w:iCs/>
          <w:lang w:val="es-ES"/>
        </w:rPr>
        <w:t xml:space="preserve"> </w:t>
      </w:r>
      <w:r w:rsidR="00CC7917" w:rsidRPr="000B1569">
        <w:rPr>
          <w:rFonts w:cs="Tahoma"/>
          <w:bCs/>
          <w:iCs/>
          <w:lang w:val="es-ES"/>
        </w:rPr>
        <w:t xml:space="preserve">El </w:t>
      </w:r>
      <w:r w:rsidR="00174749" w:rsidRPr="000B1569">
        <w:rPr>
          <w:rFonts w:cs="Tahoma"/>
          <w:bCs/>
          <w:iCs/>
          <w:lang w:val="es-ES"/>
        </w:rPr>
        <w:t xml:space="preserve">once de marzo </w:t>
      </w:r>
      <w:r w:rsidR="00CC7917" w:rsidRPr="000B1569">
        <w:rPr>
          <w:rFonts w:cs="Tahoma"/>
          <w:bCs/>
          <w:iCs/>
          <w:lang w:val="es-ES"/>
        </w:rPr>
        <w:t>de dos mil veinticinco, se recibió, a través de Sistema de Acceso a la Información Mexiquense (SAIMEX), el Informe Justificado de</w:t>
      </w:r>
      <w:r w:rsidR="00E464B9" w:rsidRPr="000B1569">
        <w:rPr>
          <w:rFonts w:cs="Tahoma"/>
          <w:bCs/>
          <w:iCs/>
          <w:lang w:val="es-ES"/>
        </w:rPr>
        <w:t xml:space="preserve">l Sujeto Obligado, a través de un oficio sin número, </w:t>
      </w:r>
      <w:r w:rsidR="00174749" w:rsidRPr="000B1569">
        <w:rPr>
          <w:rFonts w:cs="Tahoma"/>
          <w:bCs/>
          <w:iCs/>
          <w:lang w:val="es-ES"/>
        </w:rPr>
        <w:t xml:space="preserve">del diez de marzo de dos mil veinticinco, </w:t>
      </w:r>
      <w:r w:rsidR="00E464B9" w:rsidRPr="000B1569">
        <w:rPr>
          <w:rFonts w:cs="Tahoma"/>
          <w:bCs/>
          <w:iCs/>
          <w:lang w:val="es-ES"/>
        </w:rPr>
        <w:t xml:space="preserve">suscrito </w:t>
      </w:r>
      <w:r w:rsidR="00E464B9" w:rsidRPr="000B1569">
        <w:rPr>
          <w:rFonts w:cs="Tahoma"/>
          <w:bCs/>
          <w:iCs/>
          <w:lang w:val="es-ES"/>
        </w:rPr>
        <w:lastRenderedPageBreak/>
        <w:t xml:space="preserve">por el Titular de la Unidad de Transparencia y </w:t>
      </w:r>
      <w:r w:rsidR="00CC7917" w:rsidRPr="000B1569">
        <w:rPr>
          <w:rFonts w:cs="Tahoma"/>
          <w:bCs/>
          <w:iCs/>
          <w:lang w:val="es-ES"/>
        </w:rPr>
        <w:t xml:space="preserve">dirigido al Comisionado </w:t>
      </w:r>
      <w:r w:rsidR="00E464B9" w:rsidRPr="000B1569">
        <w:rPr>
          <w:rFonts w:cs="Tahoma"/>
          <w:bCs/>
          <w:iCs/>
          <w:lang w:val="es-ES"/>
        </w:rPr>
        <w:t>Ponente por medio del cual ratificó su respuesta</w:t>
      </w:r>
      <w:r w:rsidR="00CC7917" w:rsidRPr="000B1569">
        <w:rPr>
          <w:rFonts w:cs="Tahoma"/>
          <w:bCs/>
          <w:iCs/>
          <w:lang w:val="es-ES"/>
        </w:rPr>
        <w:t xml:space="preserve">, </w:t>
      </w:r>
      <w:r w:rsidR="00E70F89" w:rsidRPr="000B1569">
        <w:rPr>
          <w:rFonts w:cs="Tahoma"/>
          <w:bCs/>
          <w:iCs/>
          <w:lang w:val="es-ES"/>
        </w:rPr>
        <w:t xml:space="preserve">de conformidad con lo siguiente: </w:t>
      </w:r>
    </w:p>
    <w:p w14:paraId="1DF45665" w14:textId="77777777" w:rsidR="00CC7917" w:rsidRPr="000B1569" w:rsidRDefault="00CC7917" w:rsidP="00E70F89">
      <w:pPr>
        <w:tabs>
          <w:tab w:val="left" w:pos="3261"/>
        </w:tabs>
        <w:spacing w:after="0" w:line="360" w:lineRule="auto"/>
        <w:ind w:left="567" w:right="567"/>
        <w:rPr>
          <w:rFonts w:cs="Tahoma"/>
          <w:bCs/>
          <w:iCs/>
          <w:sz w:val="20"/>
          <w:szCs w:val="20"/>
          <w:lang w:val="es-ES"/>
        </w:rPr>
      </w:pPr>
    </w:p>
    <w:p w14:paraId="0E4A43D4" w14:textId="77777777" w:rsidR="00E70F89" w:rsidRPr="000B1569" w:rsidRDefault="00CC7917" w:rsidP="00E70F89">
      <w:pPr>
        <w:tabs>
          <w:tab w:val="left" w:pos="3261"/>
        </w:tabs>
        <w:spacing w:after="0" w:line="360" w:lineRule="auto"/>
        <w:ind w:left="567" w:right="567"/>
        <w:rPr>
          <w:rFonts w:cs="Tahoma"/>
          <w:bCs/>
          <w:iCs/>
          <w:sz w:val="20"/>
          <w:szCs w:val="20"/>
          <w:lang w:val="es-ES"/>
        </w:rPr>
      </w:pPr>
      <w:r w:rsidRPr="000B1569">
        <w:rPr>
          <w:rFonts w:cs="Tahoma"/>
          <w:bCs/>
          <w:iCs/>
          <w:sz w:val="20"/>
          <w:szCs w:val="20"/>
          <w:lang w:val="es-ES"/>
        </w:rPr>
        <w:t xml:space="preserve">“... </w:t>
      </w:r>
    </w:p>
    <w:p w14:paraId="6A64F623" w14:textId="5218E42C" w:rsidR="00123ADD" w:rsidRPr="000B1569" w:rsidRDefault="00CC7917" w:rsidP="00E70F89">
      <w:pPr>
        <w:tabs>
          <w:tab w:val="left" w:pos="3261"/>
        </w:tabs>
        <w:spacing w:after="0" w:line="360" w:lineRule="auto"/>
        <w:ind w:left="567" w:right="567"/>
        <w:jc w:val="center"/>
        <w:rPr>
          <w:rFonts w:cs="Tahoma"/>
          <w:b/>
          <w:bCs/>
          <w:iCs/>
          <w:sz w:val="20"/>
          <w:szCs w:val="20"/>
          <w:lang w:val="es-ES"/>
        </w:rPr>
      </w:pPr>
      <w:r w:rsidRPr="000B1569">
        <w:rPr>
          <w:rFonts w:cs="Tahoma"/>
          <w:b/>
          <w:bCs/>
          <w:iCs/>
          <w:sz w:val="20"/>
          <w:szCs w:val="20"/>
          <w:lang w:val="es-ES"/>
        </w:rPr>
        <w:t>CONCLUSIÓN</w:t>
      </w:r>
    </w:p>
    <w:p w14:paraId="5A37C131" w14:textId="77777777" w:rsidR="00002809" w:rsidRPr="000B1569" w:rsidRDefault="00002809" w:rsidP="00E70F89">
      <w:pPr>
        <w:tabs>
          <w:tab w:val="left" w:pos="3261"/>
        </w:tabs>
        <w:spacing w:after="0" w:line="360" w:lineRule="auto"/>
        <w:ind w:left="567" w:right="567"/>
        <w:jc w:val="center"/>
        <w:rPr>
          <w:rFonts w:cs="Tahoma"/>
          <w:b/>
          <w:bCs/>
          <w:iCs/>
          <w:sz w:val="20"/>
          <w:szCs w:val="20"/>
          <w:lang w:val="es-ES"/>
        </w:rPr>
      </w:pPr>
    </w:p>
    <w:p w14:paraId="47E1888A" w14:textId="323FE52F" w:rsidR="007125A1" w:rsidRPr="000B1569" w:rsidRDefault="007125A1" w:rsidP="00E70F89">
      <w:pPr>
        <w:tabs>
          <w:tab w:val="left" w:pos="3261"/>
        </w:tabs>
        <w:spacing w:after="0" w:line="360" w:lineRule="auto"/>
        <w:ind w:left="567" w:right="567"/>
        <w:rPr>
          <w:rFonts w:cs="Tahoma"/>
          <w:bCs/>
          <w:i/>
          <w:iCs/>
          <w:sz w:val="20"/>
          <w:szCs w:val="20"/>
          <w:lang w:val="es-ES"/>
        </w:rPr>
      </w:pPr>
      <w:r w:rsidRPr="000B1569">
        <w:rPr>
          <w:rFonts w:cs="Tahoma"/>
          <w:bCs/>
          <w:i/>
          <w:iCs/>
          <w:sz w:val="20"/>
          <w:szCs w:val="20"/>
          <w:lang w:val="es-ES"/>
        </w:rPr>
        <w:t xml:space="preserve">Por lo antes expuesto, </w:t>
      </w:r>
      <w:r w:rsidRPr="000B1569">
        <w:rPr>
          <w:rFonts w:cs="Tahoma"/>
          <w:bCs/>
          <w:i/>
          <w:iCs/>
          <w:sz w:val="20"/>
          <w:szCs w:val="20"/>
          <w:u w:val="single"/>
          <w:lang w:val="es-ES"/>
        </w:rPr>
        <w:t>se ratifica</w:t>
      </w:r>
      <w:r w:rsidRPr="000B1569">
        <w:rPr>
          <w:rFonts w:cs="Tahoma"/>
          <w:bCs/>
          <w:i/>
          <w:iCs/>
          <w:sz w:val="20"/>
          <w:szCs w:val="20"/>
          <w:lang w:val="es-ES"/>
        </w:rPr>
        <w:t xml:space="preserve"> la respuesta a la solicitud de información de acceso a la información de mérito, toda vez, que se entregó lo que obra de acuerdo a lo requerido en la solicitud de acceso a la información pública, en atención a lo manifestado por el Servidor Público Habilitado Competente, cumpliendo con el principio de legalidad y el derecho de acceso a la información pública.</w:t>
      </w:r>
    </w:p>
    <w:p w14:paraId="2A98B6D5" w14:textId="77777777" w:rsidR="00E70F89" w:rsidRPr="000B1569" w:rsidRDefault="00E70F89" w:rsidP="00E70F89">
      <w:pPr>
        <w:tabs>
          <w:tab w:val="left" w:pos="3261"/>
        </w:tabs>
        <w:spacing w:after="0" w:line="360" w:lineRule="auto"/>
        <w:ind w:left="567" w:right="567"/>
        <w:rPr>
          <w:rFonts w:cs="Tahoma"/>
          <w:bCs/>
          <w:i/>
          <w:iCs/>
          <w:sz w:val="20"/>
          <w:szCs w:val="20"/>
          <w:lang w:val="es-ES"/>
        </w:rPr>
      </w:pPr>
    </w:p>
    <w:p w14:paraId="2A4E9459" w14:textId="47F2C7A3" w:rsidR="007125A1" w:rsidRPr="000B1569" w:rsidRDefault="007125A1" w:rsidP="00E70F89">
      <w:pPr>
        <w:tabs>
          <w:tab w:val="left" w:pos="3261"/>
        </w:tabs>
        <w:spacing w:after="0" w:line="360" w:lineRule="auto"/>
        <w:ind w:left="567" w:right="567"/>
        <w:rPr>
          <w:rFonts w:cs="Tahoma"/>
          <w:bCs/>
          <w:i/>
          <w:iCs/>
          <w:sz w:val="20"/>
          <w:szCs w:val="20"/>
          <w:lang w:val="es-ES"/>
        </w:rPr>
      </w:pPr>
      <w:r w:rsidRPr="000B1569">
        <w:rPr>
          <w:rFonts w:cs="Tahoma"/>
          <w:bCs/>
          <w:i/>
          <w:iCs/>
          <w:sz w:val="20"/>
          <w:szCs w:val="20"/>
          <w:lang w:val="es-ES"/>
        </w:rPr>
        <w:t xml:space="preserve">De tal manera que, por consiguiente, se puede confirmar que el folio </w:t>
      </w:r>
      <w:r w:rsidRPr="000B1569">
        <w:rPr>
          <w:rFonts w:cs="Tahoma"/>
          <w:b/>
          <w:bCs/>
          <w:i/>
          <w:iCs/>
          <w:sz w:val="20"/>
          <w:szCs w:val="20"/>
          <w:lang w:val="es-ES"/>
        </w:rPr>
        <w:t>00144/TOLUCA/IP/2025</w:t>
      </w:r>
      <w:r w:rsidRPr="000B1569">
        <w:rPr>
          <w:rFonts w:cs="Tahoma"/>
          <w:bCs/>
          <w:i/>
          <w:iCs/>
          <w:sz w:val="20"/>
          <w:szCs w:val="20"/>
          <w:lang w:val="es-ES"/>
        </w:rPr>
        <w:t>, se tiene por cumplido, bajo la prerrogativa del derecho de acceso a la información.</w:t>
      </w:r>
    </w:p>
    <w:p w14:paraId="3FAAD62E" w14:textId="77777777" w:rsidR="00E70F89" w:rsidRPr="000B1569" w:rsidRDefault="00E70F89" w:rsidP="00E70F89">
      <w:pPr>
        <w:tabs>
          <w:tab w:val="left" w:pos="3261"/>
        </w:tabs>
        <w:spacing w:after="0" w:line="360" w:lineRule="auto"/>
        <w:ind w:left="567" w:right="567"/>
        <w:rPr>
          <w:rFonts w:cs="Tahoma"/>
          <w:bCs/>
          <w:i/>
          <w:iCs/>
          <w:sz w:val="20"/>
          <w:szCs w:val="20"/>
          <w:lang w:val="es-ES"/>
        </w:rPr>
      </w:pPr>
    </w:p>
    <w:p w14:paraId="17E78385" w14:textId="3F50E86A" w:rsidR="00E70F89" w:rsidRPr="000B1569" w:rsidRDefault="007125A1" w:rsidP="00E70F89">
      <w:pPr>
        <w:tabs>
          <w:tab w:val="left" w:pos="3261"/>
        </w:tabs>
        <w:spacing w:after="0" w:line="360" w:lineRule="auto"/>
        <w:ind w:left="567" w:right="567"/>
        <w:rPr>
          <w:rFonts w:cs="Tahoma"/>
          <w:bCs/>
          <w:i/>
          <w:iCs/>
          <w:sz w:val="20"/>
          <w:szCs w:val="20"/>
          <w:lang w:val="es-ES"/>
        </w:rPr>
      </w:pPr>
      <w:r w:rsidRPr="000B1569">
        <w:rPr>
          <w:rFonts w:cs="Tahoma"/>
          <w:bCs/>
          <w:i/>
          <w:iCs/>
          <w:sz w:val="20"/>
          <w:szCs w:val="20"/>
          <w:lang w:val="es-ES"/>
        </w:rPr>
        <w:t>Toda vez, que este Sujeto Obligado, atendió el derecho de acceso a la información pública, y le informo sobre lo requerido en su solicitud, por lo que no se pueda cuestionar o dudar de la veracidad de esta</w:t>
      </w:r>
      <w:r w:rsidR="00E70F89" w:rsidRPr="000B1569">
        <w:rPr>
          <w:rFonts w:cs="Tahoma"/>
          <w:bCs/>
          <w:i/>
          <w:iCs/>
          <w:sz w:val="20"/>
          <w:szCs w:val="20"/>
          <w:lang w:val="es-ES"/>
        </w:rPr>
        <w:t>.</w:t>
      </w:r>
    </w:p>
    <w:p w14:paraId="639BCD77" w14:textId="27AD52DE" w:rsidR="00104D0A" w:rsidRPr="000B1569" w:rsidRDefault="007125A1" w:rsidP="00E70F89">
      <w:pPr>
        <w:tabs>
          <w:tab w:val="left" w:pos="3261"/>
        </w:tabs>
        <w:spacing w:after="0" w:line="360" w:lineRule="auto"/>
        <w:ind w:left="567" w:right="567"/>
        <w:rPr>
          <w:rFonts w:cs="Tahoma"/>
          <w:bCs/>
          <w:iCs/>
          <w:sz w:val="20"/>
          <w:szCs w:val="20"/>
          <w:lang w:val="es-ES"/>
        </w:rPr>
      </w:pPr>
      <w:r w:rsidRPr="000B1569">
        <w:rPr>
          <w:rFonts w:cs="Tahoma"/>
          <w:bCs/>
          <w:i/>
          <w:iCs/>
          <w:sz w:val="20"/>
          <w:szCs w:val="20"/>
          <w:lang w:val="es-ES"/>
        </w:rPr>
        <w:t>…”</w:t>
      </w:r>
    </w:p>
    <w:p w14:paraId="492F048C" w14:textId="77777777" w:rsidR="00123ADD" w:rsidRPr="000B1569" w:rsidRDefault="00123ADD" w:rsidP="005032B4">
      <w:pPr>
        <w:tabs>
          <w:tab w:val="left" w:pos="3261"/>
        </w:tabs>
        <w:spacing w:after="0" w:line="360" w:lineRule="auto"/>
        <w:rPr>
          <w:rFonts w:cs="Tahoma"/>
          <w:bCs/>
          <w:iCs/>
          <w:lang w:val="es-ES"/>
        </w:rPr>
      </w:pPr>
    </w:p>
    <w:p w14:paraId="6B26443D" w14:textId="737725E0" w:rsidR="00104D0A" w:rsidRPr="000B1569" w:rsidRDefault="00104D0A" w:rsidP="005032B4">
      <w:pPr>
        <w:tabs>
          <w:tab w:val="left" w:pos="3261"/>
        </w:tabs>
        <w:spacing w:after="0" w:line="360" w:lineRule="auto"/>
        <w:rPr>
          <w:rFonts w:cs="Tahoma"/>
          <w:color w:val="auto"/>
          <w:lang w:val="es-ES_tradnl"/>
        </w:rPr>
      </w:pPr>
      <w:r w:rsidRPr="000B1569">
        <w:rPr>
          <w:rFonts w:cs="Tahoma"/>
          <w:b/>
          <w:bCs/>
          <w:iCs/>
          <w:lang w:val="es-ES"/>
        </w:rPr>
        <w:t>d) Vista del Informe Justificado.</w:t>
      </w:r>
      <w:r w:rsidR="003B5DA8" w:rsidRPr="000B1569">
        <w:rPr>
          <w:rFonts w:cs="Tahoma"/>
          <w:bCs/>
          <w:iCs/>
          <w:lang w:val="es-ES"/>
        </w:rPr>
        <w:t xml:space="preserve">  El  </w:t>
      </w:r>
      <w:r w:rsidR="00E70F89" w:rsidRPr="000B1569">
        <w:rPr>
          <w:rFonts w:cs="Tahoma"/>
          <w:bCs/>
          <w:iCs/>
          <w:lang w:val="es-ES"/>
        </w:rPr>
        <w:t>primero de abril</w:t>
      </w:r>
      <w:r w:rsidRPr="000B1569">
        <w:rPr>
          <w:rFonts w:cs="Tahoma"/>
          <w:bCs/>
          <w:iCs/>
          <w:lang w:val="es-ES"/>
        </w:rPr>
        <w:t xml:space="preserve"> de dos mil veinticinco, se dictó acuerdo por medio del cual se puso a la vista del Recurrente el Informe Justificado entregado por el Sujeto Obligado, el cual fue notificado a las partes, el mismo </w:t>
      </w:r>
      <w:r w:rsidR="00BB0202" w:rsidRPr="000B1569">
        <w:rPr>
          <w:rFonts w:cs="Tahoma"/>
          <w:bCs/>
          <w:iCs/>
          <w:lang w:val="es-ES"/>
        </w:rPr>
        <w:t>día</w:t>
      </w:r>
      <w:r w:rsidRPr="000B1569">
        <w:rPr>
          <w:rFonts w:cs="Tahoma"/>
          <w:bCs/>
          <w:iCs/>
          <w:lang w:val="es-ES"/>
        </w:rPr>
        <w:t xml:space="preserve">, a través del Sistema de Acceso a la </w:t>
      </w:r>
      <w:r w:rsidR="00BB0202" w:rsidRPr="000B1569">
        <w:rPr>
          <w:rFonts w:cs="Tahoma"/>
          <w:bCs/>
          <w:iCs/>
          <w:lang w:val="es-ES"/>
        </w:rPr>
        <w:t>Información</w:t>
      </w:r>
      <w:r w:rsidRPr="000B1569">
        <w:rPr>
          <w:rFonts w:cs="Tahoma"/>
          <w:bCs/>
          <w:iCs/>
          <w:lang w:val="es-ES"/>
        </w:rPr>
        <w:t xml:space="preserve"> Mexiquense (SAIMEX). </w:t>
      </w:r>
    </w:p>
    <w:p w14:paraId="2950AAC1" w14:textId="77777777" w:rsidR="00B456E9" w:rsidRPr="000B1569" w:rsidRDefault="00B456E9" w:rsidP="005032B4">
      <w:pPr>
        <w:spacing w:after="0" w:line="360" w:lineRule="auto"/>
        <w:contextualSpacing/>
        <w:rPr>
          <w:rFonts w:cs="Tahoma"/>
          <w:b/>
          <w:color w:val="FF0000"/>
        </w:rPr>
      </w:pPr>
    </w:p>
    <w:p w14:paraId="45EE5EDB" w14:textId="1770832F" w:rsidR="00052F85" w:rsidRPr="000B1569" w:rsidRDefault="00052F85" w:rsidP="00052F85">
      <w:pPr>
        <w:autoSpaceDE w:val="0"/>
        <w:autoSpaceDN w:val="0"/>
        <w:adjustRightInd w:val="0"/>
        <w:spacing w:after="0" w:line="360" w:lineRule="auto"/>
        <w:ind w:right="-28"/>
        <w:contextualSpacing/>
        <w:rPr>
          <w:rFonts w:eastAsia="Calibri" w:cs="Tahoma"/>
          <w:bCs/>
          <w:color w:val="auto"/>
        </w:rPr>
      </w:pPr>
      <w:bookmarkStart w:id="10" w:name="_Toc195121257"/>
      <w:r w:rsidRPr="000B1569">
        <w:rPr>
          <w:rStyle w:val="Ttulo2Car"/>
          <w:rFonts w:ascii="Palatino Linotype" w:hAnsi="Palatino Linotype"/>
          <w:b/>
          <w:bCs/>
          <w:color w:val="auto"/>
          <w:sz w:val="22"/>
          <w:szCs w:val="22"/>
        </w:rPr>
        <w:t>e) Cierre de instrucción.</w:t>
      </w:r>
      <w:bookmarkEnd w:id="10"/>
      <w:r w:rsidRPr="000B1569">
        <w:rPr>
          <w:rFonts w:eastAsia="Times New Roman" w:cs="Tahoma"/>
          <w:color w:val="auto"/>
          <w:szCs w:val="24"/>
          <w:lang w:eastAsia="es-ES"/>
        </w:rPr>
        <w:t xml:space="preserve"> El nueve de abril de dos mil veinticinco, al no existir diligencias pendientes por desahogar, se emitió el acuerdo por medio del cual se declaró cerrada la instrucción y se determinó pasar los expedientes a resolución, en términos de lo dispuesto en </w:t>
      </w:r>
      <w:r w:rsidRPr="000B1569">
        <w:rPr>
          <w:rFonts w:eastAsia="Times New Roman" w:cs="Tahoma"/>
          <w:color w:val="auto"/>
          <w:szCs w:val="24"/>
          <w:lang w:eastAsia="es-ES"/>
        </w:rPr>
        <w:lastRenderedPageBreak/>
        <w:t xml:space="preserve">los artículos 185, fracciones VI y VIII, de la Ley de Transparencia y Acceso a la Información Pública del Estado de México y Municipios, mismo que fue notificado a las partes el mismo día, a través del </w:t>
      </w:r>
      <w:r w:rsidRPr="000B1569">
        <w:rPr>
          <w:rFonts w:eastAsia="Times New Roman" w:cs="Tahoma"/>
          <w:color w:val="auto"/>
          <w:szCs w:val="20"/>
          <w:lang w:val="es-ES" w:eastAsia="es-ES"/>
        </w:rPr>
        <w:t>Sistema de Acceso a la Información Mexiquense (SAIMEX)</w:t>
      </w:r>
      <w:r w:rsidRPr="000B1569">
        <w:rPr>
          <w:rFonts w:eastAsia="Times New Roman" w:cs="Tahoma"/>
          <w:color w:val="auto"/>
          <w:szCs w:val="24"/>
          <w:lang w:eastAsia="es-ES"/>
        </w:rPr>
        <w:t xml:space="preserve">. </w:t>
      </w:r>
    </w:p>
    <w:p w14:paraId="0638A3BE" w14:textId="77777777" w:rsidR="00052F85" w:rsidRPr="000B1569" w:rsidRDefault="00052F85" w:rsidP="005032B4">
      <w:pPr>
        <w:spacing w:after="0" w:line="360" w:lineRule="auto"/>
        <w:contextualSpacing/>
        <w:rPr>
          <w:rFonts w:cs="Tahoma"/>
          <w:b/>
          <w:color w:val="FF0000"/>
        </w:rPr>
      </w:pPr>
    </w:p>
    <w:p w14:paraId="1F190464" w14:textId="128745B6" w:rsidR="003B65D9" w:rsidRPr="000B1569" w:rsidRDefault="00052F85" w:rsidP="003B65D9">
      <w:pPr>
        <w:widowControl w:val="0"/>
        <w:spacing w:after="0" w:line="360" w:lineRule="auto"/>
        <w:contextualSpacing/>
        <w:rPr>
          <w:rFonts w:eastAsia="Times New Roman" w:cs="Tahoma"/>
          <w:color w:val="auto"/>
          <w:lang w:eastAsia="es-MX"/>
        </w:rPr>
      </w:pPr>
      <w:bookmarkStart w:id="11" w:name="_Toc195121258"/>
      <w:r w:rsidRPr="000B1569">
        <w:rPr>
          <w:rStyle w:val="Ttulo2Car"/>
          <w:rFonts w:ascii="Palatino Linotype" w:hAnsi="Palatino Linotype"/>
          <w:b/>
          <w:bCs/>
          <w:color w:val="auto"/>
          <w:sz w:val="22"/>
          <w:szCs w:val="22"/>
        </w:rPr>
        <w:t>f</w:t>
      </w:r>
      <w:r w:rsidR="003B65D9" w:rsidRPr="000B1569">
        <w:rPr>
          <w:rStyle w:val="Ttulo2Car"/>
          <w:rFonts w:ascii="Palatino Linotype" w:hAnsi="Palatino Linotype"/>
          <w:b/>
          <w:bCs/>
          <w:color w:val="auto"/>
          <w:sz w:val="22"/>
          <w:szCs w:val="22"/>
        </w:rPr>
        <w:t>) Ampliación de plazo para resolver.</w:t>
      </w:r>
      <w:bookmarkEnd w:id="11"/>
      <w:r w:rsidR="003B65D9" w:rsidRPr="000B1569">
        <w:rPr>
          <w:rFonts w:eastAsia="Palatino Linotype" w:cs="Palatino Linotype"/>
          <w:b/>
          <w:bCs/>
          <w:color w:val="auto"/>
          <w:sz w:val="18"/>
          <w:szCs w:val="18"/>
          <w:lang w:eastAsia="es-MX"/>
        </w:rPr>
        <w:t xml:space="preserve"> </w:t>
      </w:r>
      <w:r w:rsidR="003B65D9" w:rsidRPr="000B1569">
        <w:rPr>
          <w:rFonts w:eastAsia="Palatino Linotype" w:cs="Palatino Linotype"/>
          <w:color w:val="auto"/>
          <w:lang w:eastAsia="es-MX"/>
        </w:rPr>
        <w:t xml:space="preserve">El </w:t>
      </w:r>
      <w:r w:rsidR="001F6D05" w:rsidRPr="000B1569">
        <w:rPr>
          <w:rFonts w:eastAsia="Palatino Linotype" w:cs="Palatino Linotype"/>
          <w:bCs/>
          <w:color w:val="auto"/>
          <w:lang w:val="es-ES_tradnl" w:eastAsia="es-MX"/>
        </w:rPr>
        <w:t>veintiuno de abril de dos mil veinticinco</w:t>
      </w:r>
      <w:r w:rsidR="003B65D9" w:rsidRPr="000B1569">
        <w:rPr>
          <w:rFonts w:eastAsia="Palatino Linotype" w:cs="Palatino Linotype"/>
          <w:color w:val="auto"/>
          <w:lang w:eastAsia="es-MX"/>
        </w:rPr>
        <w:t xml:space="preserve">, </w:t>
      </w:r>
      <w:r w:rsidR="003B65D9" w:rsidRPr="000B1569">
        <w:rPr>
          <w:rFonts w:eastAsia="Palatino Linotype" w:cs="Palatino Linotype"/>
          <w:color w:val="auto"/>
          <w:lang w:val="es-ES" w:eastAsia="es-MX"/>
        </w:rPr>
        <w:t xml:space="preserve">el Comisionado Ponente, con fundamento en lo dispuesto por el artículo 181, párrafo tercero, de la Ley de Transparencia y Acceso a la Información Pública del Estado de México y Municipios, acordó ampliar por un </w:t>
      </w:r>
      <w:r w:rsidRPr="000B1569">
        <w:rPr>
          <w:rFonts w:eastAsia="Palatino Linotype" w:cs="Palatino Linotype"/>
          <w:b/>
          <w:color w:val="auto"/>
          <w:lang w:val="es-ES" w:eastAsia="es-MX"/>
        </w:rPr>
        <w:t>periodo de quince días</w:t>
      </w:r>
      <w:r w:rsidR="003B65D9" w:rsidRPr="000B1569">
        <w:rPr>
          <w:rFonts w:eastAsia="Palatino Linotype" w:cs="Palatino Linotype"/>
          <w:color w:val="auto"/>
          <w:lang w:val="es-ES" w:eastAsia="es-MX"/>
        </w:rPr>
        <w:t xml:space="preserve">, el plazo para resolver el Recurso de Revisión que nos ocupa; acto que fue notificado a las partes el </w:t>
      </w:r>
      <w:r w:rsidR="00D40673" w:rsidRPr="000B1569">
        <w:rPr>
          <w:rFonts w:eastAsia="Palatino Linotype" w:cs="Palatino Linotype"/>
          <w:color w:val="auto"/>
          <w:lang w:val="es-ES" w:eastAsia="es-MX"/>
        </w:rPr>
        <w:t>veinticuatro del mismo mes</w:t>
      </w:r>
      <w:r w:rsidR="003B65D9" w:rsidRPr="000B1569">
        <w:rPr>
          <w:rFonts w:eastAsia="Palatino Linotype" w:cs="Palatino Linotype"/>
          <w:color w:val="auto"/>
          <w:lang w:val="es-ES" w:eastAsia="es-MX"/>
        </w:rPr>
        <w:t>, mediante el Sistema de Acceso a la Información Mexiquense (SAIMEX).</w:t>
      </w:r>
    </w:p>
    <w:p w14:paraId="44D053F7" w14:textId="77777777" w:rsidR="0014339D" w:rsidRPr="000B1569" w:rsidRDefault="0014339D" w:rsidP="005032B4">
      <w:pPr>
        <w:autoSpaceDE w:val="0"/>
        <w:autoSpaceDN w:val="0"/>
        <w:adjustRightInd w:val="0"/>
        <w:spacing w:after="0" w:line="360" w:lineRule="auto"/>
        <w:ind w:right="-28"/>
        <w:contextualSpacing/>
        <w:rPr>
          <w:rFonts w:eastAsia="Calibri" w:cs="Tahoma"/>
          <w:bCs/>
          <w:color w:val="auto"/>
        </w:rPr>
      </w:pPr>
    </w:p>
    <w:p w14:paraId="0A452CDE" w14:textId="54B76A07" w:rsidR="00DB3DC5" w:rsidRPr="000B1569" w:rsidRDefault="00DB3DC5" w:rsidP="00914A32">
      <w:pPr>
        <w:spacing w:after="0" w:line="360" w:lineRule="auto"/>
        <w:contextualSpacing/>
        <w:rPr>
          <w:rFonts w:eastAsia="Times New Roman" w:cs="Tahoma"/>
          <w:color w:val="auto"/>
          <w:szCs w:val="24"/>
          <w:lang w:eastAsia="es-ES"/>
        </w:rPr>
      </w:pPr>
      <w:r w:rsidRPr="000B1569">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5D6BEAC1" w14:textId="77777777" w:rsidR="001B530A" w:rsidRPr="000B1569" w:rsidRDefault="001B530A" w:rsidP="00914A32">
      <w:pPr>
        <w:spacing w:after="0" w:line="360" w:lineRule="auto"/>
        <w:contextualSpacing/>
        <w:rPr>
          <w:rFonts w:eastAsia="Times New Roman" w:cs="Tahoma"/>
          <w:color w:val="auto"/>
          <w:szCs w:val="24"/>
          <w:lang w:eastAsia="es-ES"/>
        </w:rPr>
      </w:pPr>
    </w:p>
    <w:p w14:paraId="1AD6FB2C" w14:textId="338C6782" w:rsidR="00DB3DC5" w:rsidRPr="000B1569" w:rsidRDefault="00076681" w:rsidP="005032B4">
      <w:pPr>
        <w:pStyle w:val="Ttulo1"/>
        <w:spacing w:before="0" w:line="360" w:lineRule="auto"/>
        <w:jc w:val="center"/>
        <w:rPr>
          <w:rFonts w:ascii="Palatino Linotype" w:eastAsia="Times New Roman" w:hAnsi="Palatino Linotype"/>
          <w:b/>
          <w:color w:val="000000" w:themeColor="text1"/>
          <w:sz w:val="22"/>
          <w:szCs w:val="22"/>
          <w:lang w:val="es-ES" w:eastAsia="es-ES"/>
        </w:rPr>
      </w:pPr>
      <w:bookmarkStart w:id="12" w:name="_Toc195121259"/>
      <w:r w:rsidRPr="000B1569">
        <w:rPr>
          <w:rFonts w:ascii="Palatino Linotype" w:eastAsia="Times New Roman" w:hAnsi="Palatino Linotype"/>
          <w:b/>
          <w:color w:val="000000" w:themeColor="text1"/>
          <w:sz w:val="22"/>
          <w:szCs w:val="22"/>
          <w:lang w:val="es-ES" w:eastAsia="es-ES"/>
        </w:rPr>
        <w:t>C O N S I D E R A N D O S</w:t>
      </w:r>
      <w:bookmarkEnd w:id="12"/>
    </w:p>
    <w:p w14:paraId="446E7524" w14:textId="77777777" w:rsidR="00DB3DC5" w:rsidRPr="000B1569" w:rsidRDefault="00DB3DC5" w:rsidP="005032B4">
      <w:pPr>
        <w:spacing w:after="0" w:line="360" w:lineRule="auto"/>
        <w:contextualSpacing/>
        <w:jc w:val="center"/>
        <w:rPr>
          <w:rFonts w:eastAsia="Times New Roman" w:cs="Tahoma"/>
          <w:b/>
          <w:color w:val="auto"/>
          <w:lang w:val="es-ES" w:eastAsia="es-ES"/>
        </w:rPr>
      </w:pPr>
    </w:p>
    <w:p w14:paraId="5C90BBB8" w14:textId="2F93BE5A" w:rsidR="00DB3DC5" w:rsidRPr="000B1569" w:rsidRDefault="00DB3DC5" w:rsidP="005032B4">
      <w:pPr>
        <w:pStyle w:val="Ttulo2"/>
        <w:spacing w:before="0" w:line="360" w:lineRule="auto"/>
        <w:rPr>
          <w:rFonts w:ascii="Palatino Linotype" w:eastAsia="Times New Roman" w:hAnsi="Palatino Linotype"/>
          <w:b/>
          <w:color w:val="000000" w:themeColor="text1"/>
          <w:sz w:val="22"/>
          <w:szCs w:val="22"/>
          <w:lang w:val="es-ES" w:eastAsia="es-ES"/>
        </w:rPr>
      </w:pPr>
      <w:bookmarkStart w:id="13" w:name="_Toc195121260"/>
      <w:r w:rsidRPr="000B1569">
        <w:rPr>
          <w:rFonts w:ascii="Palatino Linotype" w:eastAsia="Calibri" w:hAnsi="Palatino Linotype"/>
          <w:b/>
          <w:color w:val="000000" w:themeColor="text1"/>
          <w:sz w:val="22"/>
          <w:szCs w:val="22"/>
          <w:lang w:val="es-ES" w:eastAsia="es-MX"/>
        </w:rPr>
        <w:t xml:space="preserve">PRIMERO. </w:t>
      </w:r>
      <w:r w:rsidR="00076681" w:rsidRPr="000B1569">
        <w:rPr>
          <w:rFonts w:ascii="Palatino Linotype" w:eastAsia="Times New Roman" w:hAnsi="Palatino Linotype"/>
          <w:b/>
          <w:color w:val="000000" w:themeColor="text1"/>
          <w:sz w:val="22"/>
          <w:szCs w:val="22"/>
          <w:lang w:val="es-ES" w:eastAsia="es-ES"/>
        </w:rPr>
        <w:t>Competencia</w:t>
      </w:r>
      <w:bookmarkEnd w:id="13"/>
    </w:p>
    <w:p w14:paraId="377E7349" w14:textId="77777777" w:rsidR="00DB3DC5" w:rsidRPr="000B1569" w:rsidRDefault="00DB3DC5" w:rsidP="005032B4">
      <w:pPr>
        <w:autoSpaceDE w:val="0"/>
        <w:autoSpaceDN w:val="0"/>
        <w:adjustRightInd w:val="0"/>
        <w:spacing w:after="0" w:line="360" w:lineRule="auto"/>
        <w:contextualSpacing/>
        <w:rPr>
          <w:rFonts w:eastAsia="Times New Roman" w:cs="Tahoma"/>
          <w:b/>
          <w:color w:val="FF0000"/>
          <w:szCs w:val="24"/>
          <w:lang w:val="es-ES" w:eastAsia="es-ES"/>
        </w:rPr>
      </w:pPr>
    </w:p>
    <w:p w14:paraId="4436F6C2" w14:textId="71747F2F" w:rsidR="001B530A" w:rsidRPr="000B1569" w:rsidRDefault="001B530A" w:rsidP="001B530A">
      <w:pPr>
        <w:spacing w:after="0" w:line="360" w:lineRule="auto"/>
        <w:contextualSpacing/>
        <w:rPr>
          <w:rFonts w:eastAsia="Times New Roman" w:cs="Tahoma"/>
          <w:bCs/>
          <w:color w:val="000000"/>
          <w:lang w:eastAsia="es-ES"/>
        </w:rPr>
      </w:pPr>
      <w:r w:rsidRPr="000B1569">
        <w:rPr>
          <w:rFonts w:eastAsia="Times New Roman" w:cs="Tahoma"/>
          <w:bCs/>
          <w:color w:val="000000"/>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0BA53EEE" w14:textId="77777777" w:rsidR="001B530A" w:rsidRPr="000B1569" w:rsidRDefault="001B530A" w:rsidP="001B530A">
      <w:pPr>
        <w:spacing w:after="0" w:line="360" w:lineRule="auto"/>
        <w:contextualSpacing/>
        <w:rPr>
          <w:rFonts w:eastAsia="Times New Roman" w:cs="Tahoma"/>
          <w:bCs/>
          <w:color w:val="000000"/>
          <w:lang w:eastAsia="es-ES"/>
        </w:rPr>
      </w:pPr>
      <w:r w:rsidRPr="000B1569">
        <w:rPr>
          <w:rFonts w:eastAsia="Times New Roman" w:cs="Tahoma"/>
          <w:bCs/>
          <w:color w:val="000000"/>
          <w:lang w:eastAsia="es-ES"/>
        </w:rPr>
        <w:t xml:space="preserve">1°, 2°, fracciones II y IV; 13, 29, 36, fracciones I y II; 176, 178, 179, 181 párrafo tercero, 185, 188 y 189 de la Ley Transparencia y Acceso a la Información Pública del Estado de México y </w:t>
      </w:r>
      <w:r w:rsidRPr="000B1569">
        <w:rPr>
          <w:rFonts w:eastAsia="Times New Roman" w:cs="Tahoma"/>
          <w:bCs/>
          <w:color w:val="000000"/>
          <w:lang w:eastAsia="es-ES"/>
        </w:rPr>
        <w:lastRenderedPageBreak/>
        <w:t>Municipios: 7°, 9°, fracciones I y XXIII y 11 del Reglamento Interior del Instituto de Transparencia, Acceso a la Información Pública y Protección de Datos Personales del Estado de México y Municipios.</w:t>
      </w:r>
    </w:p>
    <w:p w14:paraId="34F007D6" w14:textId="77777777" w:rsidR="00DB3DC5" w:rsidRPr="000B1569" w:rsidRDefault="00DB3DC5" w:rsidP="005032B4">
      <w:pPr>
        <w:autoSpaceDE w:val="0"/>
        <w:autoSpaceDN w:val="0"/>
        <w:adjustRightInd w:val="0"/>
        <w:spacing w:after="0" w:line="360" w:lineRule="auto"/>
        <w:contextualSpacing/>
        <w:rPr>
          <w:rFonts w:eastAsia="Calibri" w:cs="Tahoma"/>
          <w:b/>
          <w:color w:val="auto"/>
          <w:szCs w:val="24"/>
          <w:lang w:val="es-ES" w:eastAsia="es-MX"/>
        </w:rPr>
      </w:pPr>
    </w:p>
    <w:p w14:paraId="77696DE3" w14:textId="33801258" w:rsidR="00DB3DC5" w:rsidRPr="000B1569" w:rsidRDefault="00DB3DC5" w:rsidP="005032B4">
      <w:pPr>
        <w:pStyle w:val="Ttulo2"/>
        <w:spacing w:before="0" w:line="360" w:lineRule="auto"/>
        <w:rPr>
          <w:rFonts w:ascii="Palatino Linotype" w:eastAsia="Times New Roman" w:hAnsi="Palatino Linotype"/>
          <w:b/>
          <w:color w:val="000000" w:themeColor="text1"/>
          <w:sz w:val="22"/>
          <w:szCs w:val="22"/>
          <w:lang w:val="es-ES" w:eastAsia="es-ES"/>
        </w:rPr>
      </w:pPr>
      <w:bookmarkStart w:id="14" w:name="_Toc195121261"/>
      <w:r w:rsidRPr="000B1569">
        <w:rPr>
          <w:rFonts w:ascii="Palatino Linotype" w:eastAsia="Calibri" w:hAnsi="Palatino Linotype"/>
          <w:b/>
          <w:color w:val="000000" w:themeColor="text1"/>
          <w:sz w:val="22"/>
          <w:szCs w:val="22"/>
          <w:lang w:val="es-ES" w:eastAsia="es-MX"/>
        </w:rPr>
        <w:t xml:space="preserve">SEGUNDO. </w:t>
      </w:r>
      <w:r w:rsidRPr="000B1569">
        <w:rPr>
          <w:rFonts w:ascii="Palatino Linotype" w:eastAsia="Times New Roman" w:hAnsi="Palatino Linotype"/>
          <w:b/>
          <w:color w:val="000000" w:themeColor="text1"/>
          <w:sz w:val="22"/>
          <w:szCs w:val="22"/>
          <w:lang w:val="es-ES" w:eastAsia="es-ES"/>
        </w:rPr>
        <w:t>Causales de</w:t>
      </w:r>
      <w:r w:rsidR="00076681" w:rsidRPr="000B1569">
        <w:rPr>
          <w:rFonts w:ascii="Palatino Linotype" w:eastAsia="Times New Roman" w:hAnsi="Palatino Linotype"/>
          <w:b/>
          <w:color w:val="000000" w:themeColor="text1"/>
          <w:sz w:val="22"/>
          <w:szCs w:val="22"/>
          <w:lang w:val="es-ES" w:eastAsia="es-ES"/>
        </w:rPr>
        <w:t xml:space="preserve"> improcedencia y sobreseimiento</w:t>
      </w:r>
      <w:bookmarkEnd w:id="14"/>
      <w:r w:rsidRPr="000B1569">
        <w:rPr>
          <w:rFonts w:ascii="Palatino Linotype" w:eastAsia="Times New Roman" w:hAnsi="Palatino Linotype"/>
          <w:b/>
          <w:color w:val="000000" w:themeColor="text1"/>
          <w:sz w:val="22"/>
          <w:szCs w:val="22"/>
          <w:lang w:val="es-ES" w:eastAsia="es-ES"/>
        </w:rPr>
        <w:t xml:space="preserve"> </w:t>
      </w:r>
    </w:p>
    <w:p w14:paraId="22A992CE" w14:textId="77777777" w:rsidR="00DB3DC5" w:rsidRPr="000B1569" w:rsidRDefault="00DB3DC5" w:rsidP="005032B4">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0B1569" w:rsidRDefault="00DB3DC5" w:rsidP="005032B4">
      <w:pPr>
        <w:autoSpaceDE w:val="0"/>
        <w:autoSpaceDN w:val="0"/>
        <w:adjustRightInd w:val="0"/>
        <w:spacing w:after="0" w:line="360" w:lineRule="auto"/>
        <w:contextualSpacing/>
        <w:rPr>
          <w:rFonts w:eastAsia="Times New Roman" w:cs="Tahoma"/>
          <w:color w:val="auto"/>
          <w:szCs w:val="24"/>
          <w:lang w:val="es-ES" w:eastAsia="es-ES"/>
        </w:rPr>
      </w:pPr>
      <w:r w:rsidRPr="000B1569">
        <w:rPr>
          <w:rFonts w:eastAsia="Times New Roman" w:cs="Tahoma"/>
          <w:color w:val="auto"/>
          <w:szCs w:val="24"/>
          <w:lang w:val="es-ES" w:eastAsia="es-ES"/>
        </w:rPr>
        <w:t xml:space="preserve">De las constancias que forma parte del Recurso de Revisión que se analiza, se advierte que previo al estudio del fondo de la </w:t>
      </w:r>
      <w:proofErr w:type="spellStart"/>
      <w:r w:rsidRPr="000B1569">
        <w:rPr>
          <w:rFonts w:eastAsia="Times New Roman" w:cs="Tahoma"/>
          <w:i/>
          <w:color w:val="auto"/>
          <w:szCs w:val="24"/>
          <w:lang w:val="es-ES" w:eastAsia="es-ES"/>
        </w:rPr>
        <w:t>litis</w:t>
      </w:r>
      <w:proofErr w:type="spellEnd"/>
      <w:r w:rsidRPr="000B1569">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0B1569" w:rsidRDefault="00DB3DC5" w:rsidP="005032B4">
      <w:pPr>
        <w:spacing w:after="0" w:line="360" w:lineRule="auto"/>
        <w:contextualSpacing/>
        <w:rPr>
          <w:b/>
          <w:color w:val="auto"/>
          <w:lang w:val="es-ES"/>
        </w:rPr>
      </w:pPr>
    </w:p>
    <w:p w14:paraId="7CEF4E51" w14:textId="77777777" w:rsidR="00DB3DC5" w:rsidRPr="000B1569" w:rsidRDefault="00DB3DC5" w:rsidP="005032B4">
      <w:pPr>
        <w:spacing w:after="0" w:line="360" w:lineRule="auto"/>
        <w:contextualSpacing/>
        <w:rPr>
          <w:b/>
          <w:color w:val="auto"/>
          <w:lang w:val="es-ES"/>
        </w:rPr>
      </w:pPr>
      <w:r w:rsidRPr="000B1569">
        <w:rPr>
          <w:b/>
          <w:color w:val="auto"/>
          <w:lang w:val="es-ES"/>
        </w:rPr>
        <w:t>Causales de improcedencia</w:t>
      </w:r>
    </w:p>
    <w:p w14:paraId="039C7835" w14:textId="77777777" w:rsidR="00DB3DC5" w:rsidRPr="000B1569" w:rsidRDefault="00DB3DC5" w:rsidP="005032B4">
      <w:pPr>
        <w:spacing w:after="0" w:line="360" w:lineRule="auto"/>
        <w:contextualSpacing/>
        <w:rPr>
          <w:color w:val="auto"/>
        </w:rPr>
      </w:pPr>
    </w:p>
    <w:p w14:paraId="24BC499F" w14:textId="77777777" w:rsidR="00DB3DC5" w:rsidRPr="000B1569" w:rsidRDefault="00DB3DC5" w:rsidP="005032B4">
      <w:pPr>
        <w:spacing w:after="0" w:line="360" w:lineRule="auto"/>
        <w:contextualSpacing/>
        <w:rPr>
          <w:rFonts w:eastAsia="Times New Roman" w:cs="Tahoma"/>
          <w:color w:val="auto"/>
          <w:lang w:eastAsia="es-ES"/>
        </w:rPr>
      </w:pPr>
      <w:r w:rsidRPr="000B1569">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0B1569" w:rsidRDefault="00DB3DC5" w:rsidP="005032B4">
      <w:pPr>
        <w:spacing w:after="0" w:line="360" w:lineRule="auto"/>
        <w:contextualSpacing/>
        <w:rPr>
          <w:rFonts w:eastAsia="Times New Roman" w:cs="Tahoma"/>
          <w:color w:val="auto"/>
          <w:lang w:eastAsia="es-ES"/>
        </w:rPr>
      </w:pPr>
    </w:p>
    <w:p w14:paraId="344A6FE5" w14:textId="77777777" w:rsidR="00DB3DC5" w:rsidRPr="000B1569" w:rsidRDefault="00DB3DC5" w:rsidP="005032B4">
      <w:pPr>
        <w:spacing w:after="0" w:line="360" w:lineRule="auto"/>
        <w:contextualSpacing/>
        <w:rPr>
          <w:rFonts w:eastAsia="Times New Roman" w:cs="Tahoma"/>
          <w:color w:val="auto"/>
          <w:lang w:eastAsia="es-ES"/>
        </w:rPr>
      </w:pPr>
      <w:r w:rsidRPr="000B1569">
        <w:rPr>
          <w:rFonts w:eastAsia="Times New Roman" w:cs="Tahoma"/>
          <w:color w:val="auto"/>
          <w:lang w:eastAsia="es-ES"/>
        </w:rPr>
        <w:t>En el presente caso, </w:t>
      </w:r>
      <w:r w:rsidRPr="000B1569">
        <w:rPr>
          <w:rFonts w:eastAsia="Times New Roman" w:cs="Tahoma"/>
          <w:b/>
          <w:bCs/>
          <w:color w:val="auto"/>
          <w:lang w:eastAsia="es-ES"/>
        </w:rPr>
        <w:t>no se actualiza ninguna de las causales de improcedencia</w:t>
      </w:r>
      <w:r w:rsidRPr="000B1569">
        <w:rPr>
          <w:rFonts w:eastAsia="Times New Roman" w:cs="Tahoma"/>
          <w:color w:val="auto"/>
          <w:lang w:eastAsia="es-ES"/>
        </w:rPr>
        <w:t xml:space="preserve">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w:t>
      </w:r>
      <w:r w:rsidRPr="000B1569">
        <w:rPr>
          <w:rFonts w:eastAsia="Times New Roman" w:cs="Tahoma"/>
          <w:color w:val="auto"/>
          <w:lang w:eastAsia="es-ES"/>
        </w:rPr>
        <w:lastRenderedPageBreak/>
        <w:t>formó parte del agravio; ni se realizó una consulta o ampliación a los alcances del requerimiento informativo.</w:t>
      </w:r>
    </w:p>
    <w:p w14:paraId="0308760A" w14:textId="77777777" w:rsidR="00DB3DC5" w:rsidRPr="000B1569" w:rsidRDefault="00DB3DC5" w:rsidP="005032B4">
      <w:pPr>
        <w:spacing w:after="0" w:line="360" w:lineRule="auto"/>
        <w:contextualSpacing/>
        <w:rPr>
          <w:rFonts w:eastAsia="Times New Roman" w:cs="Tahoma"/>
          <w:color w:val="auto"/>
          <w:lang w:val="es-ES" w:eastAsia="es-ES"/>
        </w:rPr>
      </w:pPr>
    </w:p>
    <w:p w14:paraId="76A50112" w14:textId="0555C624" w:rsidR="00DB3DC5" w:rsidRPr="000B1569" w:rsidRDefault="00DB3DC5" w:rsidP="005032B4">
      <w:pPr>
        <w:spacing w:after="0" w:line="360" w:lineRule="auto"/>
        <w:contextualSpacing/>
        <w:rPr>
          <w:rFonts w:eastAsia="Times New Roman" w:cs="Tahoma"/>
          <w:bCs/>
          <w:color w:val="auto"/>
          <w:lang w:val="es-ES" w:eastAsia="es-ES"/>
        </w:rPr>
      </w:pPr>
      <w:r w:rsidRPr="000B1569">
        <w:rPr>
          <w:rFonts w:eastAsia="Times New Roman" w:cs="Tahoma"/>
          <w:color w:val="auto"/>
          <w:lang w:val="es-ES" w:eastAsia="es-ES"/>
        </w:rPr>
        <w:t>Conforme a lo anterior, se actualiza</w:t>
      </w:r>
      <w:r w:rsidR="00DD0E44" w:rsidRPr="000B1569">
        <w:rPr>
          <w:rFonts w:eastAsia="Times New Roman" w:cs="Tahoma"/>
          <w:color w:val="auto"/>
          <w:lang w:val="es-ES" w:eastAsia="es-ES"/>
        </w:rPr>
        <w:t xml:space="preserve"> </w:t>
      </w:r>
      <w:r w:rsidRPr="000B1569">
        <w:rPr>
          <w:rFonts w:eastAsia="Times New Roman" w:cs="Tahoma"/>
          <w:color w:val="auto"/>
          <w:lang w:val="es-ES" w:eastAsia="es-ES"/>
        </w:rPr>
        <w:t>la causal de procedencia señalad</w:t>
      </w:r>
      <w:r w:rsidR="00BB36D2" w:rsidRPr="000B1569">
        <w:rPr>
          <w:rFonts w:eastAsia="Times New Roman" w:cs="Tahoma"/>
          <w:color w:val="auto"/>
          <w:lang w:val="es-ES" w:eastAsia="es-ES"/>
        </w:rPr>
        <w:t xml:space="preserve">a en el artículo 179, </w:t>
      </w:r>
      <w:r w:rsidR="006945D2" w:rsidRPr="000B1569">
        <w:rPr>
          <w:rFonts w:eastAsia="Times New Roman" w:cs="Tahoma"/>
          <w:color w:val="auto"/>
          <w:lang w:val="es-ES" w:eastAsia="es-ES"/>
        </w:rPr>
        <w:t>fracci</w:t>
      </w:r>
      <w:r w:rsidR="00DD0E44" w:rsidRPr="000B1569">
        <w:rPr>
          <w:rFonts w:eastAsia="Times New Roman" w:cs="Tahoma"/>
          <w:color w:val="auto"/>
          <w:lang w:val="es-ES" w:eastAsia="es-ES"/>
        </w:rPr>
        <w:t>ón V</w:t>
      </w:r>
      <w:r w:rsidRPr="000B1569">
        <w:rPr>
          <w:rFonts w:eastAsia="Times New Roman" w:cs="Tahoma"/>
          <w:color w:val="auto"/>
          <w:lang w:val="es-ES" w:eastAsia="es-ES"/>
        </w:rPr>
        <w:t>, de la Ley de la materia</w:t>
      </w:r>
      <w:r w:rsidRPr="000B1569">
        <w:rPr>
          <w:rFonts w:eastAsia="Times New Roman" w:cs="Tahoma"/>
          <w:bCs/>
          <w:color w:val="auto"/>
          <w:lang w:val="es-ES" w:eastAsia="es-ES"/>
        </w:rPr>
        <w:t xml:space="preserve">, toda vez que el Solicitante se inconformó con la </w:t>
      </w:r>
      <w:r w:rsidR="00771B61" w:rsidRPr="000B1569">
        <w:rPr>
          <w:rFonts w:eastAsia="Times New Roman" w:cs="Tahoma"/>
          <w:bCs/>
          <w:color w:val="auto"/>
          <w:lang w:val="es-ES" w:eastAsia="es-ES"/>
        </w:rPr>
        <w:t xml:space="preserve">entrega de información </w:t>
      </w:r>
      <w:r w:rsidR="00DD0E44" w:rsidRPr="000B1569">
        <w:rPr>
          <w:rFonts w:eastAsia="Times New Roman" w:cs="Tahoma"/>
          <w:bCs/>
          <w:color w:val="auto"/>
          <w:lang w:val="es-ES" w:eastAsia="es-ES"/>
        </w:rPr>
        <w:t>incompleta</w:t>
      </w:r>
      <w:r w:rsidR="002F1D02" w:rsidRPr="000B1569">
        <w:rPr>
          <w:rFonts w:eastAsia="Times New Roman" w:cs="Tahoma"/>
          <w:bCs/>
          <w:color w:val="auto"/>
          <w:lang w:val="es-ES" w:eastAsia="es-ES"/>
        </w:rPr>
        <w:t xml:space="preserve">. </w:t>
      </w:r>
    </w:p>
    <w:p w14:paraId="33270C86" w14:textId="77777777" w:rsidR="00DB3DC5" w:rsidRPr="000B1569" w:rsidRDefault="00DB3DC5" w:rsidP="005032B4">
      <w:pPr>
        <w:spacing w:after="0" w:line="360" w:lineRule="auto"/>
        <w:contextualSpacing/>
        <w:rPr>
          <w:rFonts w:cs="Tahoma"/>
          <w:color w:val="auto"/>
          <w:lang w:val="es-ES"/>
        </w:rPr>
      </w:pPr>
    </w:p>
    <w:p w14:paraId="1F9679C3" w14:textId="77777777" w:rsidR="0096358C" w:rsidRPr="000B1569" w:rsidRDefault="0096358C" w:rsidP="0096358C">
      <w:pPr>
        <w:spacing w:after="0" w:line="360" w:lineRule="auto"/>
        <w:rPr>
          <w:rFonts w:eastAsia="Palatino Linotype" w:cs="Palatino Linotype"/>
          <w:color w:val="0D0D0D"/>
          <w:lang w:eastAsia="es-MX"/>
        </w:rPr>
      </w:pPr>
      <w:r w:rsidRPr="000B1569">
        <w:rPr>
          <w:rFonts w:eastAsia="Palatino Linotype" w:cs="Palatino Linotype"/>
          <w:b/>
          <w:color w:val="0D0D0D"/>
          <w:lang w:eastAsia="es-MX"/>
        </w:rPr>
        <w:t>Causales de sobreseimiento</w:t>
      </w:r>
    </w:p>
    <w:p w14:paraId="6ACA01E8" w14:textId="77777777" w:rsidR="0096358C" w:rsidRPr="000B1569" w:rsidRDefault="0096358C" w:rsidP="0096358C">
      <w:pPr>
        <w:spacing w:after="0" w:line="360" w:lineRule="auto"/>
        <w:rPr>
          <w:rFonts w:eastAsia="Palatino Linotype" w:cs="Palatino Linotype"/>
          <w:color w:val="0D0D0D"/>
          <w:lang w:eastAsia="es-MX"/>
        </w:rPr>
      </w:pPr>
    </w:p>
    <w:p w14:paraId="62B819D7" w14:textId="77777777" w:rsidR="0096358C" w:rsidRPr="000B1569" w:rsidRDefault="0096358C" w:rsidP="0096358C">
      <w:pPr>
        <w:spacing w:after="0" w:line="360" w:lineRule="auto"/>
        <w:rPr>
          <w:rFonts w:eastAsia="Palatino Linotype" w:cs="Palatino Linotype"/>
          <w:color w:val="0D0D0D"/>
          <w:lang w:eastAsia="es-MX"/>
        </w:rPr>
      </w:pPr>
      <w:r w:rsidRPr="000B1569">
        <w:rPr>
          <w:rFonts w:eastAsia="Palatino Linotype" w:cs="Palatino Linotype"/>
          <w:color w:val="0D0D0D"/>
          <w:lang w:eastAsia="es-MX"/>
        </w:rPr>
        <w:t>Por ser de previo y especial pronunciamiento, este Instituto analiza si se actualiza alguna causal de sobreseimiento.</w:t>
      </w:r>
    </w:p>
    <w:p w14:paraId="4BC430FC" w14:textId="77777777" w:rsidR="0096358C" w:rsidRPr="000B1569" w:rsidRDefault="0096358C" w:rsidP="0096358C">
      <w:pPr>
        <w:spacing w:after="0" w:line="360" w:lineRule="auto"/>
        <w:rPr>
          <w:rFonts w:eastAsia="Palatino Linotype" w:cs="Palatino Linotype"/>
          <w:color w:val="0D0D0D"/>
          <w:lang w:eastAsia="es-MX"/>
        </w:rPr>
      </w:pPr>
    </w:p>
    <w:p w14:paraId="40981242" w14:textId="77777777" w:rsidR="0096358C" w:rsidRPr="000B1569" w:rsidRDefault="0096358C" w:rsidP="0096358C">
      <w:pPr>
        <w:spacing w:after="0" w:line="360" w:lineRule="auto"/>
        <w:rPr>
          <w:rFonts w:eastAsia="Palatino Linotype" w:cs="Palatino Linotype"/>
          <w:color w:val="000000"/>
          <w:lang w:eastAsia="es-MX"/>
        </w:rPr>
      </w:pPr>
      <w:r w:rsidRPr="000B1569">
        <w:rPr>
          <w:rFonts w:eastAsia="Palatino Linotype" w:cs="Palatino Linotype"/>
          <w:color w:val="0D0D0D"/>
          <w:lang w:eastAsia="es-MX"/>
        </w:rPr>
        <w:t>Sobre el tema, e</w:t>
      </w:r>
      <w:r w:rsidRPr="000B1569">
        <w:rPr>
          <w:rFonts w:eastAsia="Palatino Linotype" w:cs="Palatino Linotype"/>
          <w:color w:val="000000"/>
          <w:lang w:eastAsia="es-MX"/>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2501383C" w14:textId="77777777" w:rsidR="0096358C" w:rsidRPr="000B1569" w:rsidRDefault="0096358C" w:rsidP="0096358C">
      <w:pPr>
        <w:spacing w:after="0" w:line="360" w:lineRule="auto"/>
        <w:rPr>
          <w:rFonts w:eastAsia="Palatino Linotype" w:cs="Palatino Linotype"/>
          <w:color w:val="000000"/>
          <w:lang w:eastAsia="es-MX"/>
        </w:rPr>
      </w:pPr>
    </w:p>
    <w:p w14:paraId="3AD7097F" w14:textId="77777777" w:rsidR="0096358C" w:rsidRPr="000B1569" w:rsidRDefault="0096358C" w:rsidP="0096358C">
      <w:pPr>
        <w:spacing w:after="0" w:line="360" w:lineRule="auto"/>
        <w:rPr>
          <w:rFonts w:eastAsia="Palatino Linotype" w:cs="Palatino Linotype"/>
          <w:color w:val="0D0D0D"/>
          <w:lang w:eastAsia="es-MX"/>
        </w:rPr>
      </w:pPr>
      <w:r w:rsidRPr="000B1569">
        <w:rPr>
          <w:rFonts w:eastAsia="Palatino Linotype" w:cs="Palatino Linotype"/>
          <w:color w:val="0D0D0D"/>
          <w:lang w:eastAsia="es-MX"/>
        </w:rPr>
        <w:t xml:space="preserve">Por tales motivos, se considera procedente entrar al fondo del presente asunto. </w:t>
      </w:r>
    </w:p>
    <w:p w14:paraId="51FFF3D0" w14:textId="77777777" w:rsidR="00DB3DC5" w:rsidRPr="000B1569" w:rsidRDefault="00DB3DC5" w:rsidP="005032B4">
      <w:pPr>
        <w:spacing w:after="0" w:line="360" w:lineRule="auto"/>
        <w:contextualSpacing/>
        <w:rPr>
          <w:rFonts w:eastAsia="Times New Roman" w:cs="Tahoma"/>
          <w:b/>
          <w:bCs/>
          <w:iCs/>
          <w:color w:val="auto"/>
          <w:lang w:val="es-ES" w:eastAsia="es-ES"/>
        </w:rPr>
      </w:pPr>
    </w:p>
    <w:p w14:paraId="633955FE" w14:textId="54B7B231" w:rsidR="00DB3DC5" w:rsidRPr="000B1569" w:rsidRDefault="00DB3DC5" w:rsidP="005032B4">
      <w:pPr>
        <w:pStyle w:val="Ttulo2"/>
        <w:spacing w:before="0" w:line="360" w:lineRule="auto"/>
        <w:rPr>
          <w:rFonts w:ascii="Palatino Linotype" w:eastAsia="Times New Roman" w:hAnsi="Palatino Linotype"/>
          <w:b/>
          <w:color w:val="000000" w:themeColor="text1"/>
          <w:sz w:val="22"/>
          <w:szCs w:val="22"/>
          <w:lang w:val="es-ES" w:eastAsia="es-ES"/>
        </w:rPr>
      </w:pPr>
      <w:bookmarkStart w:id="15" w:name="_Toc195121262"/>
      <w:r w:rsidRPr="000B1569">
        <w:rPr>
          <w:rFonts w:ascii="Palatino Linotype" w:eastAsia="Times New Roman" w:hAnsi="Palatino Linotype"/>
          <w:b/>
          <w:color w:val="000000" w:themeColor="text1"/>
          <w:sz w:val="22"/>
          <w:szCs w:val="22"/>
          <w:lang w:val="es-ES" w:eastAsia="es-ES"/>
        </w:rPr>
        <w:t>TERCERO. De</w:t>
      </w:r>
      <w:r w:rsidR="00076681" w:rsidRPr="000B1569">
        <w:rPr>
          <w:rFonts w:ascii="Palatino Linotype" w:eastAsia="Times New Roman" w:hAnsi="Palatino Linotype"/>
          <w:b/>
          <w:color w:val="000000" w:themeColor="text1"/>
          <w:sz w:val="22"/>
          <w:szCs w:val="22"/>
          <w:lang w:val="es-ES" w:eastAsia="es-ES"/>
        </w:rPr>
        <w:t>terminación de la Controversia</w:t>
      </w:r>
      <w:bookmarkEnd w:id="15"/>
    </w:p>
    <w:p w14:paraId="29A4CC8A" w14:textId="77777777" w:rsidR="00DB3DC5" w:rsidRPr="000B1569" w:rsidRDefault="00DB3DC5" w:rsidP="005032B4">
      <w:pPr>
        <w:autoSpaceDE w:val="0"/>
        <w:autoSpaceDN w:val="0"/>
        <w:adjustRightInd w:val="0"/>
        <w:spacing w:after="0" w:line="360" w:lineRule="auto"/>
        <w:contextualSpacing/>
        <w:rPr>
          <w:rFonts w:eastAsia="Calibri" w:cs="Tahoma"/>
          <w:color w:val="FF0000"/>
          <w:lang w:val="es-ES" w:eastAsia="es-MX"/>
        </w:rPr>
      </w:pPr>
    </w:p>
    <w:p w14:paraId="0C864300" w14:textId="43C92466" w:rsidR="00FD19DD" w:rsidRPr="000B1569" w:rsidRDefault="00D0244F" w:rsidP="005032B4">
      <w:pPr>
        <w:spacing w:after="0" w:line="360" w:lineRule="auto"/>
        <w:rPr>
          <w:rFonts w:cs="Tahoma"/>
          <w:color w:val="auto"/>
        </w:rPr>
      </w:pPr>
      <w:r w:rsidRPr="000B1569">
        <w:rPr>
          <w:rFonts w:eastAsia="Calibri" w:cs="Tahoma"/>
          <w:iCs/>
          <w:color w:val="auto"/>
          <w:lang w:val="es-ES" w:eastAsia="es-ES_tradnl"/>
        </w:rPr>
        <w:lastRenderedPageBreak/>
        <w:t xml:space="preserve">Una vez realizado el estudio de las constancias que integran el expediente en que se actúa, se desprende </w:t>
      </w:r>
      <w:r w:rsidRPr="000B1569">
        <w:rPr>
          <w:rFonts w:cs="Tahoma"/>
          <w:color w:val="auto"/>
        </w:rPr>
        <w:t xml:space="preserve">que el Recurrente </w:t>
      </w:r>
      <w:r w:rsidR="001E59AF" w:rsidRPr="000B1569">
        <w:rPr>
          <w:rFonts w:cs="Tahoma"/>
          <w:color w:val="auto"/>
        </w:rPr>
        <w:t xml:space="preserve">requirió </w:t>
      </w:r>
      <w:r w:rsidR="0096358C" w:rsidRPr="000B1569">
        <w:rPr>
          <w:rFonts w:cs="Tahoma"/>
          <w:color w:val="auto"/>
        </w:rPr>
        <w:t xml:space="preserve">saber el </w:t>
      </w:r>
      <w:r w:rsidR="00DB4F13" w:rsidRPr="000B1569">
        <w:rPr>
          <w:rFonts w:cs="Tahoma"/>
          <w:color w:val="auto"/>
        </w:rPr>
        <w:t xml:space="preserve">nombre, cargo y sueldo de los policías </w:t>
      </w:r>
      <w:r w:rsidR="00524ED6" w:rsidRPr="000B1569">
        <w:rPr>
          <w:rFonts w:cs="Tahoma"/>
          <w:color w:val="auto"/>
        </w:rPr>
        <w:t xml:space="preserve"> </w:t>
      </w:r>
      <w:r w:rsidR="00DB4F13" w:rsidRPr="000B1569">
        <w:rPr>
          <w:rFonts w:cs="Tahoma"/>
          <w:color w:val="auto"/>
        </w:rPr>
        <w:t xml:space="preserve">que estaban en el pase de lista del día seis de enero de dos mil veinticinco. </w:t>
      </w:r>
    </w:p>
    <w:p w14:paraId="6ACC4ED2" w14:textId="77777777" w:rsidR="00F87269" w:rsidRPr="000B1569" w:rsidRDefault="00F87269" w:rsidP="005032B4">
      <w:pPr>
        <w:spacing w:after="0" w:line="360" w:lineRule="auto"/>
        <w:rPr>
          <w:rFonts w:cs="Tahoma"/>
          <w:color w:val="auto"/>
        </w:rPr>
      </w:pPr>
    </w:p>
    <w:p w14:paraId="71EA3622" w14:textId="0F79A0DC" w:rsidR="00B456E9" w:rsidRPr="000B1569" w:rsidRDefault="00D0244F" w:rsidP="005032B4">
      <w:pPr>
        <w:spacing w:after="0" w:line="360" w:lineRule="auto"/>
        <w:ind w:right="-28"/>
        <w:rPr>
          <w:rFonts w:eastAsia="Calibri" w:cs="Tahoma"/>
          <w:color w:val="auto"/>
        </w:rPr>
      </w:pPr>
      <w:r w:rsidRPr="000B1569">
        <w:rPr>
          <w:rFonts w:cs="Tahoma"/>
          <w:bCs/>
          <w:iCs/>
          <w:color w:val="auto"/>
          <w:lang w:val="es-ES"/>
        </w:rPr>
        <w:t xml:space="preserve">En respuesta, el Sujeto Obligado, por medio de </w:t>
      </w:r>
      <w:r w:rsidR="001E59AF" w:rsidRPr="000B1569">
        <w:rPr>
          <w:rFonts w:cs="Tahoma"/>
          <w:bCs/>
          <w:iCs/>
          <w:color w:val="auto"/>
          <w:lang w:val="es-ES"/>
        </w:rPr>
        <w:t xml:space="preserve">la </w:t>
      </w:r>
      <w:r w:rsidR="00524ED6" w:rsidRPr="000B1569">
        <w:rPr>
          <w:rFonts w:cs="Tahoma"/>
          <w:bCs/>
          <w:iCs/>
          <w:color w:val="auto"/>
          <w:lang w:val="es-ES"/>
        </w:rPr>
        <w:t xml:space="preserve">Dirección </w:t>
      </w:r>
      <w:r w:rsidR="00432E9C" w:rsidRPr="000B1569">
        <w:rPr>
          <w:rFonts w:cs="Tahoma"/>
          <w:bCs/>
          <w:iCs/>
          <w:color w:val="auto"/>
          <w:lang w:val="es-ES"/>
        </w:rPr>
        <w:t xml:space="preserve">General de Administración precisó que el pase de lista de los servidores públicos solicitados no corresponde a </w:t>
      </w:r>
      <w:r w:rsidR="00432E9C" w:rsidRPr="000B1569">
        <w:rPr>
          <w:rFonts w:cs="Tahoma"/>
          <w:color w:val="auto"/>
          <w:lang w:val="es-ES"/>
        </w:rPr>
        <w:t>dicha unidad administrativa, por otro lado la Dirección de Seguridad Pública y Protección Ciudadana precisó que entregaba la información en versión pública de conformidad con el Acta</w:t>
      </w:r>
      <w:r w:rsidR="00432E9C" w:rsidRPr="000B1569">
        <w:t xml:space="preserve"> </w:t>
      </w:r>
      <w:r w:rsidR="00432E9C" w:rsidRPr="000B1569">
        <w:rPr>
          <w:rFonts w:cs="Tahoma"/>
          <w:color w:val="auto"/>
          <w:lang w:val="es-ES"/>
        </w:rPr>
        <w:t xml:space="preserve">CT/SE/63/02/2025 de la Sexagésima Tercera Sesión Extraordinaria; </w:t>
      </w:r>
      <w:r w:rsidR="00914B0A" w:rsidRPr="000B1569">
        <w:rPr>
          <w:rFonts w:cs="Tahoma"/>
          <w:color w:val="auto"/>
          <w:lang w:val="es-ES"/>
        </w:rPr>
        <w:t xml:space="preserve"> ante dicha circunstancia, </w:t>
      </w:r>
      <w:r w:rsidRPr="000B1569">
        <w:rPr>
          <w:rFonts w:cs="Tahoma"/>
          <w:color w:val="auto"/>
          <w:lang w:val="es-ES"/>
        </w:rPr>
        <w:t xml:space="preserve">el Particular se inconformó de </w:t>
      </w:r>
      <w:r w:rsidR="003E5ADD" w:rsidRPr="000B1569">
        <w:rPr>
          <w:rFonts w:cs="Tahoma"/>
          <w:color w:val="auto"/>
          <w:lang w:val="es-ES"/>
        </w:rPr>
        <w:t>la</w:t>
      </w:r>
      <w:r w:rsidR="00394286" w:rsidRPr="000B1569">
        <w:rPr>
          <w:rFonts w:cs="Tahoma"/>
          <w:color w:val="auto"/>
          <w:lang w:val="es-ES"/>
        </w:rPr>
        <w:t xml:space="preserve"> </w:t>
      </w:r>
      <w:r w:rsidR="00432E9C" w:rsidRPr="000B1569">
        <w:rPr>
          <w:rFonts w:cs="Tahoma"/>
          <w:color w:val="auto"/>
          <w:lang w:val="es-ES"/>
        </w:rPr>
        <w:t xml:space="preserve">entrega de </w:t>
      </w:r>
      <w:r w:rsidR="001C4397" w:rsidRPr="000B1569">
        <w:rPr>
          <w:rFonts w:cs="Tahoma"/>
          <w:color w:val="auto"/>
          <w:lang w:val="es-ES"/>
        </w:rPr>
        <w:t>información incompleta</w:t>
      </w:r>
      <w:r w:rsidR="003E5ADD" w:rsidRPr="000B1569">
        <w:rPr>
          <w:rFonts w:cs="Tahoma"/>
          <w:color w:val="auto"/>
          <w:lang w:val="es-ES"/>
        </w:rPr>
        <w:t xml:space="preserve">, </w:t>
      </w:r>
      <w:r w:rsidRPr="000B1569">
        <w:rPr>
          <w:rFonts w:cs="Tahoma"/>
          <w:color w:val="auto"/>
          <w:lang w:val="es-ES"/>
        </w:rPr>
        <w:t>lo cual,</w:t>
      </w:r>
      <w:r w:rsidRPr="000B1569">
        <w:rPr>
          <w:rFonts w:eastAsia="Calibri" w:cs="Tahoma"/>
          <w:color w:val="auto"/>
        </w:rPr>
        <w:t xml:space="preserve"> actualiza la causal de procedencia previst</w:t>
      </w:r>
      <w:r w:rsidR="001C4397" w:rsidRPr="000B1569">
        <w:rPr>
          <w:rFonts w:eastAsia="Calibri" w:cs="Tahoma"/>
          <w:color w:val="auto"/>
        </w:rPr>
        <w:t>a</w:t>
      </w:r>
      <w:r w:rsidRPr="000B1569">
        <w:rPr>
          <w:rFonts w:eastAsia="Calibri" w:cs="Tahoma"/>
          <w:color w:val="auto"/>
        </w:rPr>
        <w:t xml:space="preserve"> en la fracc</w:t>
      </w:r>
      <w:r w:rsidR="00394286" w:rsidRPr="000B1569">
        <w:rPr>
          <w:rFonts w:eastAsia="Calibri" w:cs="Tahoma"/>
          <w:color w:val="auto"/>
        </w:rPr>
        <w:t>i</w:t>
      </w:r>
      <w:r w:rsidR="001C4397" w:rsidRPr="000B1569">
        <w:rPr>
          <w:rFonts w:eastAsia="Calibri" w:cs="Tahoma"/>
          <w:color w:val="auto"/>
        </w:rPr>
        <w:t>ón V</w:t>
      </w:r>
      <w:r w:rsidR="003E5ADD" w:rsidRPr="000B1569">
        <w:rPr>
          <w:rFonts w:eastAsia="Calibri" w:cs="Tahoma"/>
          <w:color w:val="auto"/>
        </w:rPr>
        <w:t xml:space="preserve">, </w:t>
      </w:r>
      <w:r w:rsidRPr="000B1569">
        <w:rPr>
          <w:rFonts w:eastAsia="Calibri" w:cs="Tahoma"/>
          <w:color w:val="auto"/>
        </w:rPr>
        <w:t>del artículo 179 de la Ley de Transparencia y Acceso a la Información Pública del Estado de México y Municipios.</w:t>
      </w:r>
      <w:r w:rsidR="00914B0A" w:rsidRPr="000B1569">
        <w:rPr>
          <w:rFonts w:eastAsia="Calibri" w:cs="Tahoma"/>
          <w:color w:val="auto"/>
        </w:rPr>
        <w:t xml:space="preserve"> Así las cosas, una vez admitido y notificado el Recurso de Revisión a las partes, </w:t>
      </w:r>
      <w:r w:rsidR="001C4397" w:rsidRPr="000B1569">
        <w:rPr>
          <w:rFonts w:eastAsia="Calibri" w:cs="Tahoma"/>
          <w:color w:val="auto"/>
        </w:rPr>
        <w:t xml:space="preserve">el Sujeto Obligado ratificó su respuesta, cabe precisar que la persona Recurrente </w:t>
      </w:r>
      <w:r w:rsidR="00432E9C" w:rsidRPr="000B1569">
        <w:rPr>
          <w:rFonts w:eastAsia="Calibri" w:cs="Tahoma"/>
          <w:color w:val="auto"/>
        </w:rPr>
        <w:t xml:space="preserve">omitió </w:t>
      </w:r>
      <w:r w:rsidR="00914B0A" w:rsidRPr="000B1569">
        <w:rPr>
          <w:rFonts w:eastAsia="Calibri" w:cs="Tahoma"/>
          <w:color w:val="auto"/>
        </w:rPr>
        <w:t>manifestarse</w:t>
      </w:r>
      <w:r w:rsidR="00251B33" w:rsidRPr="000B1569">
        <w:rPr>
          <w:rFonts w:eastAsia="Calibri" w:cs="Tahoma"/>
          <w:color w:val="auto"/>
        </w:rPr>
        <w:t xml:space="preserve">. </w:t>
      </w:r>
    </w:p>
    <w:p w14:paraId="6CBAEA4E" w14:textId="1D61BEF2" w:rsidR="00E73B06" w:rsidRPr="000B1569" w:rsidRDefault="00E73B06" w:rsidP="005032B4">
      <w:pPr>
        <w:spacing w:after="0" w:line="360" w:lineRule="auto"/>
        <w:ind w:right="-28"/>
        <w:rPr>
          <w:rFonts w:cs="Tahoma"/>
          <w:bCs/>
          <w:iCs/>
          <w:color w:val="auto"/>
          <w:lang w:val="es-ES"/>
        </w:rPr>
      </w:pPr>
    </w:p>
    <w:p w14:paraId="3A6521F2" w14:textId="558F99F8" w:rsidR="00DB3DC5" w:rsidRPr="000B1569" w:rsidRDefault="00DB3DC5" w:rsidP="005032B4">
      <w:pPr>
        <w:tabs>
          <w:tab w:val="left" w:pos="4962"/>
        </w:tabs>
        <w:spacing w:after="0" w:line="360" w:lineRule="auto"/>
        <w:contextualSpacing/>
        <w:rPr>
          <w:rFonts w:eastAsia="Calibri" w:cs="Tahoma"/>
          <w:bCs/>
          <w:color w:val="auto"/>
          <w:szCs w:val="24"/>
        </w:rPr>
      </w:pPr>
      <w:r w:rsidRPr="000B1569">
        <w:rPr>
          <w:rFonts w:eastAsia="Calibri" w:cs="Tahoma"/>
          <w:iCs/>
          <w:color w:val="auto"/>
          <w:lang w:val="es-ES" w:eastAsia="es-ES_tradnl"/>
        </w:rPr>
        <w:t>Lo anterior, se desprende de las documentales que obran en el expediente de referencia, materia de la presente resolución, consistente en: la solicitud de acceso a la información</w:t>
      </w:r>
      <w:r w:rsidR="00914B0A" w:rsidRPr="000B1569">
        <w:rPr>
          <w:rFonts w:eastAsia="Calibri" w:cs="Tahoma"/>
          <w:iCs/>
          <w:color w:val="auto"/>
          <w:lang w:val="es-ES" w:eastAsia="es-ES_tradnl"/>
        </w:rPr>
        <w:t>, la respuesta y</w:t>
      </w:r>
      <w:r w:rsidRPr="000B1569">
        <w:rPr>
          <w:rFonts w:eastAsia="Calibri" w:cs="Tahoma"/>
          <w:iCs/>
          <w:color w:val="auto"/>
          <w:lang w:eastAsia="es-ES_tradnl"/>
        </w:rPr>
        <w:t xml:space="preserve"> el escrito </w:t>
      </w:r>
      <w:proofErr w:type="spellStart"/>
      <w:r w:rsidRPr="000B1569">
        <w:rPr>
          <w:rFonts w:eastAsia="Calibri" w:cs="Tahoma"/>
          <w:iCs/>
          <w:color w:val="auto"/>
          <w:lang w:eastAsia="es-ES_tradnl"/>
        </w:rPr>
        <w:t>recursal</w:t>
      </w:r>
      <w:proofErr w:type="spellEnd"/>
      <w:r w:rsidRPr="000B1569">
        <w:rPr>
          <w:rFonts w:eastAsia="Calibri" w:cs="Tahoma"/>
          <w:iCs/>
          <w:color w:val="auto"/>
          <w:lang w:eastAsia="es-ES_tradnl"/>
        </w:rPr>
        <w:t xml:space="preserve">; </w:t>
      </w:r>
      <w:r w:rsidRPr="000B1569">
        <w:rPr>
          <w:rFonts w:eastAsia="Calibri" w:cs="Tahoma"/>
          <w:bCs/>
          <w:color w:val="auto"/>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0B1569" w:rsidRDefault="00DB3DC5" w:rsidP="005032B4">
      <w:pPr>
        <w:autoSpaceDE w:val="0"/>
        <w:autoSpaceDN w:val="0"/>
        <w:adjustRightInd w:val="0"/>
        <w:spacing w:after="0" w:line="360" w:lineRule="auto"/>
        <w:contextualSpacing/>
        <w:rPr>
          <w:rFonts w:eastAsia="Times New Roman" w:cs="Tahoma"/>
          <w:b/>
          <w:bCs/>
          <w:iCs/>
          <w:color w:val="auto"/>
          <w:lang w:val="es-ES" w:eastAsia="es-ES"/>
        </w:rPr>
      </w:pPr>
    </w:p>
    <w:p w14:paraId="6818EF86" w14:textId="7240494C" w:rsidR="00DB3DC5" w:rsidRPr="000B1569" w:rsidRDefault="00DB3DC5" w:rsidP="005032B4">
      <w:pPr>
        <w:pStyle w:val="Ttulo2"/>
        <w:spacing w:before="0" w:line="360" w:lineRule="auto"/>
        <w:rPr>
          <w:rFonts w:ascii="Palatino Linotype" w:eastAsia="Times New Roman" w:hAnsi="Palatino Linotype"/>
          <w:b/>
          <w:color w:val="000000" w:themeColor="text1"/>
          <w:sz w:val="22"/>
          <w:szCs w:val="22"/>
          <w:lang w:eastAsia="es-ES"/>
        </w:rPr>
      </w:pPr>
      <w:bookmarkStart w:id="16" w:name="_Toc195121263"/>
      <w:r w:rsidRPr="000B1569">
        <w:rPr>
          <w:rFonts w:ascii="Palatino Linotype" w:eastAsia="Times New Roman" w:hAnsi="Palatino Linotype"/>
          <w:b/>
          <w:color w:val="000000" w:themeColor="text1"/>
          <w:sz w:val="22"/>
          <w:szCs w:val="22"/>
          <w:lang w:val="es-ES" w:eastAsia="es-ES"/>
        </w:rPr>
        <w:t xml:space="preserve">CUARTO. </w:t>
      </w:r>
      <w:r w:rsidRPr="000B1569">
        <w:rPr>
          <w:rFonts w:ascii="Palatino Linotype" w:eastAsia="Times New Roman" w:hAnsi="Palatino Linotype"/>
          <w:b/>
          <w:color w:val="000000" w:themeColor="text1"/>
          <w:sz w:val="22"/>
          <w:szCs w:val="22"/>
          <w:lang w:eastAsia="es-ES"/>
        </w:rPr>
        <w:t xml:space="preserve">Marco normativo aplicable en materia de transparencia y </w:t>
      </w:r>
      <w:r w:rsidR="00076681" w:rsidRPr="000B1569">
        <w:rPr>
          <w:rFonts w:ascii="Palatino Linotype" w:eastAsia="Times New Roman" w:hAnsi="Palatino Linotype"/>
          <w:b/>
          <w:color w:val="000000" w:themeColor="text1"/>
          <w:sz w:val="22"/>
          <w:szCs w:val="22"/>
          <w:lang w:eastAsia="es-ES"/>
        </w:rPr>
        <w:t>acceso a la información pública</w:t>
      </w:r>
      <w:bookmarkEnd w:id="16"/>
    </w:p>
    <w:p w14:paraId="1FA9DF31" w14:textId="77777777" w:rsidR="00DB3DC5" w:rsidRPr="000B1569" w:rsidRDefault="00DB3DC5" w:rsidP="005032B4">
      <w:pPr>
        <w:autoSpaceDE w:val="0"/>
        <w:autoSpaceDN w:val="0"/>
        <w:adjustRightInd w:val="0"/>
        <w:spacing w:after="0" w:line="360" w:lineRule="auto"/>
        <w:contextualSpacing/>
        <w:rPr>
          <w:rFonts w:eastAsia="Times New Roman" w:cs="Tahoma"/>
          <w:bCs/>
          <w:iCs/>
          <w:color w:val="FF0000"/>
          <w:lang w:val="es-ES" w:eastAsia="es-ES"/>
        </w:rPr>
      </w:pPr>
    </w:p>
    <w:p w14:paraId="2666C008" w14:textId="77777777" w:rsidR="001B530A" w:rsidRPr="000B1569" w:rsidRDefault="001B530A" w:rsidP="001B530A">
      <w:pPr>
        <w:spacing w:after="0" w:line="360" w:lineRule="auto"/>
        <w:rPr>
          <w:rFonts w:eastAsia="Palatino Linotype" w:cs="Palatino Linotype"/>
          <w:color w:val="000000"/>
          <w:lang w:eastAsia="es-MX"/>
        </w:rPr>
      </w:pPr>
      <w:r w:rsidRPr="000B1569">
        <w:rPr>
          <w:rFonts w:eastAsia="Palatino Linotype" w:cs="Palatino Linotype"/>
          <w:color w:val="000000"/>
          <w:lang w:eastAsia="es-MX"/>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EE1C21B" w14:textId="77777777" w:rsidR="001B530A" w:rsidRPr="000B1569" w:rsidRDefault="001B530A" w:rsidP="001B530A">
      <w:pPr>
        <w:spacing w:after="0" w:line="360" w:lineRule="auto"/>
        <w:rPr>
          <w:rFonts w:eastAsia="Palatino Linotype" w:cs="Palatino Linotype"/>
          <w:color w:val="000000"/>
          <w:lang w:eastAsia="es-MX"/>
        </w:rPr>
      </w:pPr>
    </w:p>
    <w:p w14:paraId="45E05F6C" w14:textId="77777777" w:rsidR="001B530A" w:rsidRPr="000B1569" w:rsidRDefault="001B530A" w:rsidP="001B530A">
      <w:pPr>
        <w:spacing w:after="0" w:line="360" w:lineRule="auto"/>
        <w:rPr>
          <w:rFonts w:eastAsia="Palatino Linotype" w:cs="Palatino Linotype"/>
          <w:color w:val="000000"/>
          <w:lang w:eastAsia="es-MX"/>
        </w:rPr>
      </w:pPr>
      <w:r w:rsidRPr="000B1569">
        <w:rPr>
          <w:rFonts w:eastAsia="Palatino Linotype" w:cs="Palatino Linotype"/>
          <w:color w:val="000000"/>
          <w:lang w:eastAsia="es-MX"/>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BB9955D" w14:textId="77777777" w:rsidR="001B530A" w:rsidRPr="000B1569" w:rsidRDefault="001B530A" w:rsidP="001B530A">
      <w:pPr>
        <w:spacing w:after="0" w:line="360" w:lineRule="auto"/>
        <w:rPr>
          <w:rFonts w:eastAsia="Palatino Linotype" w:cs="Palatino Linotype"/>
          <w:color w:val="000000"/>
          <w:lang w:eastAsia="es-MX"/>
        </w:rPr>
      </w:pPr>
    </w:p>
    <w:p w14:paraId="29A3F68A" w14:textId="77777777" w:rsidR="001B530A" w:rsidRPr="000B1569" w:rsidRDefault="001B530A" w:rsidP="001B530A">
      <w:pPr>
        <w:spacing w:after="0" w:line="360" w:lineRule="auto"/>
        <w:rPr>
          <w:rFonts w:eastAsia="Palatino Linotype" w:cs="Palatino Linotype"/>
          <w:color w:val="000000"/>
          <w:lang w:eastAsia="es-MX"/>
        </w:rPr>
      </w:pPr>
      <w:r w:rsidRPr="000B1569">
        <w:rPr>
          <w:rFonts w:eastAsia="Palatino Linotype" w:cs="Palatino Linotype"/>
          <w:color w:val="000000"/>
          <w:lang w:eastAsia="es-MX"/>
        </w:rPr>
        <w:t>Por su parte, la Ley de Transparencia y Acceso a la Información Pública del Estado de México y Municipios (Reglamentaria del artículo 5° de la Constitución Local), establece lo siguiente:</w:t>
      </w:r>
    </w:p>
    <w:p w14:paraId="1235D93D" w14:textId="77777777" w:rsidR="001B530A" w:rsidRPr="000B1569" w:rsidRDefault="001B530A" w:rsidP="001B530A">
      <w:pPr>
        <w:spacing w:after="0" w:line="360" w:lineRule="auto"/>
        <w:rPr>
          <w:rFonts w:eastAsia="Palatino Linotype" w:cs="Palatino Linotype"/>
          <w:color w:val="000000"/>
          <w:lang w:eastAsia="es-MX"/>
        </w:rPr>
      </w:pPr>
    </w:p>
    <w:p w14:paraId="36DBA91D" w14:textId="77777777" w:rsidR="001B530A" w:rsidRPr="000B1569" w:rsidRDefault="001B530A" w:rsidP="001B530A">
      <w:pPr>
        <w:spacing w:after="0" w:line="360" w:lineRule="auto"/>
        <w:rPr>
          <w:rFonts w:eastAsia="Palatino Linotype" w:cs="Palatino Linotype"/>
          <w:color w:val="000000"/>
          <w:lang w:eastAsia="es-MX"/>
        </w:rPr>
      </w:pPr>
      <w:r w:rsidRPr="000B1569">
        <w:rPr>
          <w:rFonts w:eastAsia="Palatino Linotype" w:cs="Palatino Linotype"/>
          <w:color w:val="000000"/>
          <w:lang w:eastAsia="es-MX"/>
        </w:rPr>
        <w:t>El artículo 12, que, quienes generen, recopilen, administren, manejen, procesen, archiven o conserven información pública serán responsables de la misma.</w:t>
      </w:r>
    </w:p>
    <w:p w14:paraId="23F3A0F8" w14:textId="77777777" w:rsidR="001B530A" w:rsidRPr="000B1569" w:rsidRDefault="001B530A" w:rsidP="001B530A">
      <w:pPr>
        <w:spacing w:after="0" w:line="360" w:lineRule="auto"/>
        <w:rPr>
          <w:rFonts w:eastAsia="Palatino Linotype" w:cs="Palatino Linotype"/>
          <w:color w:val="000000"/>
          <w:lang w:eastAsia="es-MX"/>
        </w:rPr>
      </w:pPr>
    </w:p>
    <w:p w14:paraId="5472FEFE" w14:textId="77777777" w:rsidR="001B530A" w:rsidRPr="000B1569" w:rsidRDefault="001B530A" w:rsidP="001B530A">
      <w:pPr>
        <w:widowControl w:val="0"/>
        <w:spacing w:after="0" w:line="360" w:lineRule="auto"/>
        <w:rPr>
          <w:rFonts w:eastAsia="Palatino Linotype" w:cs="Palatino Linotype"/>
          <w:color w:val="000000"/>
          <w:lang w:eastAsia="es-MX"/>
        </w:rPr>
      </w:pPr>
      <w:r w:rsidRPr="000B1569">
        <w:rPr>
          <w:rFonts w:eastAsia="Palatino Linotype" w:cs="Palatino Linotype"/>
          <w:color w:val="000000"/>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5AAD3941" w14:textId="77777777" w:rsidR="001B530A" w:rsidRPr="000B1569" w:rsidRDefault="001B530A" w:rsidP="001B530A">
      <w:pPr>
        <w:widowControl w:val="0"/>
        <w:spacing w:after="0" w:line="360" w:lineRule="auto"/>
        <w:rPr>
          <w:rFonts w:eastAsia="Palatino Linotype" w:cs="Palatino Linotype"/>
          <w:color w:val="000000"/>
          <w:lang w:eastAsia="es-MX"/>
        </w:rPr>
      </w:pPr>
    </w:p>
    <w:p w14:paraId="427A4A6E" w14:textId="77777777" w:rsidR="001B530A" w:rsidRPr="000B1569" w:rsidRDefault="001B530A" w:rsidP="001B530A">
      <w:pPr>
        <w:spacing w:after="0" w:line="360" w:lineRule="auto"/>
        <w:rPr>
          <w:rFonts w:eastAsia="Palatino Linotype" w:cs="Palatino Linotype"/>
          <w:color w:val="000000"/>
          <w:lang w:eastAsia="es-MX"/>
        </w:rPr>
      </w:pPr>
      <w:r w:rsidRPr="000B1569">
        <w:rPr>
          <w:rFonts w:eastAsia="Palatino Linotype" w:cs="Palatino Linotype"/>
          <w:color w:val="000000"/>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0B1569" w:rsidRDefault="00DB3DC5" w:rsidP="005032B4">
      <w:pPr>
        <w:spacing w:after="0" w:line="360" w:lineRule="auto"/>
        <w:contextualSpacing/>
        <w:rPr>
          <w:rFonts w:cs="Tahoma"/>
          <w:bCs/>
          <w:iCs/>
          <w:color w:val="FF0000"/>
          <w:lang w:val="es-ES"/>
        </w:rPr>
      </w:pPr>
    </w:p>
    <w:p w14:paraId="3EB23114" w14:textId="33FEEC26" w:rsidR="00DB3DC5" w:rsidRPr="000B1569" w:rsidRDefault="00076681" w:rsidP="005032B4">
      <w:pPr>
        <w:pStyle w:val="Ttulo2"/>
        <w:spacing w:before="0" w:line="360" w:lineRule="auto"/>
        <w:rPr>
          <w:rFonts w:ascii="Palatino Linotype" w:eastAsia="Times New Roman" w:hAnsi="Palatino Linotype"/>
          <w:b/>
          <w:color w:val="000000" w:themeColor="text1"/>
          <w:sz w:val="22"/>
          <w:szCs w:val="22"/>
          <w:lang w:val="es-ES" w:eastAsia="es-ES"/>
        </w:rPr>
      </w:pPr>
      <w:bookmarkStart w:id="17" w:name="_Toc195121264"/>
      <w:r w:rsidRPr="000B1569">
        <w:rPr>
          <w:rFonts w:ascii="Palatino Linotype" w:eastAsia="Times New Roman" w:hAnsi="Palatino Linotype"/>
          <w:b/>
          <w:color w:val="000000" w:themeColor="text1"/>
          <w:sz w:val="22"/>
          <w:szCs w:val="22"/>
          <w:lang w:val="es-ES" w:eastAsia="es-ES"/>
        </w:rPr>
        <w:lastRenderedPageBreak/>
        <w:t xml:space="preserve">QUINTO. </w:t>
      </w:r>
      <w:r w:rsidR="00DB3DC5" w:rsidRPr="000B1569">
        <w:rPr>
          <w:rFonts w:ascii="Palatino Linotype" w:eastAsia="Times New Roman" w:hAnsi="Palatino Linotype"/>
          <w:b/>
          <w:color w:val="000000" w:themeColor="text1"/>
          <w:sz w:val="22"/>
          <w:szCs w:val="22"/>
          <w:lang w:val="es-ES" w:eastAsia="es-ES"/>
        </w:rPr>
        <w:t>E</w:t>
      </w:r>
      <w:r w:rsidRPr="000B1569">
        <w:rPr>
          <w:rFonts w:ascii="Palatino Linotype" w:eastAsia="Times New Roman" w:hAnsi="Palatino Linotype"/>
          <w:b/>
          <w:color w:val="000000" w:themeColor="text1"/>
          <w:sz w:val="22"/>
          <w:szCs w:val="22"/>
          <w:lang w:val="es-ES" w:eastAsia="es-ES"/>
        </w:rPr>
        <w:t>studio de Fondo</w:t>
      </w:r>
      <w:bookmarkEnd w:id="17"/>
    </w:p>
    <w:p w14:paraId="5511A115" w14:textId="238AA78D" w:rsidR="00DB3DC5" w:rsidRPr="000B1569" w:rsidRDefault="00DB3DC5" w:rsidP="005032B4">
      <w:pPr>
        <w:spacing w:after="0" w:line="360" w:lineRule="auto"/>
        <w:contextualSpacing/>
        <w:rPr>
          <w:rFonts w:eastAsia="Times New Roman" w:cs="Tahoma"/>
          <w:b/>
          <w:bCs/>
          <w:iCs/>
          <w:color w:val="auto"/>
          <w:lang w:val="es-ES" w:eastAsia="es-ES"/>
        </w:rPr>
      </w:pPr>
    </w:p>
    <w:p w14:paraId="194A9F65" w14:textId="2AEFD256" w:rsidR="006E26AA" w:rsidRPr="000B1569" w:rsidRDefault="006E26AA" w:rsidP="005032B4">
      <w:pPr>
        <w:spacing w:after="0" w:line="360" w:lineRule="auto"/>
        <w:contextualSpacing/>
        <w:rPr>
          <w:rFonts w:eastAsia="Times New Roman" w:cs="Tahoma"/>
          <w:iCs/>
          <w:color w:val="auto"/>
          <w:lang w:val="es-ES" w:eastAsia="es-ES"/>
        </w:rPr>
      </w:pPr>
      <w:r w:rsidRPr="000B1569">
        <w:rPr>
          <w:rFonts w:eastAsia="Times New Roman" w:cs="Tahoma"/>
          <w:iCs/>
          <w:color w:val="auto"/>
          <w:lang w:val="es-ES" w:eastAsia="es-ES"/>
        </w:rPr>
        <w:t xml:space="preserve">Expuestas las posturas de las partes, se procede al análisis del agravio hecho valer por el Recurrente, concerniente a la </w:t>
      </w:r>
      <w:r w:rsidR="00432E9C" w:rsidRPr="000B1569">
        <w:rPr>
          <w:rFonts w:eastAsia="Times New Roman" w:cs="Tahoma"/>
          <w:iCs/>
          <w:color w:val="auto"/>
          <w:lang w:val="es-ES" w:eastAsia="es-ES"/>
        </w:rPr>
        <w:t>entrega de información incompleta.</w:t>
      </w:r>
      <w:r w:rsidRPr="000B1569">
        <w:rPr>
          <w:rFonts w:eastAsia="Times New Roman" w:cs="Tahoma"/>
          <w:iCs/>
          <w:color w:val="auto"/>
          <w:lang w:val="es-ES" w:eastAsia="es-ES"/>
        </w:rPr>
        <w:t xml:space="preserve">, para lo cual en principio resulta necesario contextualizar la solicitud de información. </w:t>
      </w:r>
    </w:p>
    <w:p w14:paraId="2CAFF782" w14:textId="77777777" w:rsidR="00002809" w:rsidRPr="000B1569" w:rsidRDefault="00002809" w:rsidP="005032B4">
      <w:pPr>
        <w:spacing w:after="0" w:line="360" w:lineRule="auto"/>
        <w:contextualSpacing/>
        <w:rPr>
          <w:rFonts w:eastAsia="Times New Roman" w:cs="Tahoma"/>
          <w:iCs/>
          <w:color w:val="auto"/>
          <w:lang w:val="es-ES" w:eastAsia="es-ES"/>
        </w:rPr>
      </w:pPr>
    </w:p>
    <w:p w14:paraId="37399012" w14:textId="77777777" w:rsidR="00C800FC" w:rsidRPr="000B1569" w:rsidRDefault="00C800FC" w:rsidP="00C800FC">
      <w:pPr>
        <w:widowControl w:val="0"/>
        <w:spacing w:after="0" w:line="360" w:lineRule="auto"/>
        <w:rPr>
          <w:rFonts w:eastAsia="Palatino Linotype" w:cs="Palatino Linotype"/>
          <w:b/>
          <w:color w:val="FF0000"/>
          <w:lang w:eastAsia="es-MX"/>
        </w:rPr>
      </w:pPr>
      <w:r w:rsidRPr="000B1569">
        <w:rPr>
          <w:rFonts w:eastAsia="Palatino Linotype" w:cs="Palatino Linotype"/>
          <w:lang w:eastAsia="es-MX"/>
        </w:rPr>
        <w:t>En tal sentido, el artículo 147 de la Constitución Política del Estado Libre y Soberano de México, establece que los trabajadores al Servicio del Estado, recibirán una remuneración adecuada e irrenunciable por el desempeño de su empleo, cargo o comisión, que será determinada en el presupuesto de egresos que corresponda.</w:t>
      </w:r>
    </w:p>
    <w:p w14:paraId="3658C3CD" w14:textId="77777777" w:rsidR="00C800FC" w:rsidRPr="000B1569" w:rsidRDefault="00C800FC" w:rsidP="00C800FC">
      <w:pPr>
        <w:widowControl w:val="0"/>
        <w:spacing w:after="0" w:line="360" w:lineRule="auto"/>
        <w:rPr>
          <w:rFonts w:eastAsia="Palatino Linotype" w:cs="Palatino Linotype"/>
          <w:b/>
          <w:color w:val="FF0000"/>
          <w:lang w:eastAsia="es-MX"/>
        </w:rPr>
      </w:pPr>
    </w:p>
    <w:p w14:paraId="065C7155" w14:textId="77777777" w:rsidR="00C800FC" w:rsidRPr="000B1569" w:rsidRDefault="00C800FC" w:rsidP="00C800FC">
      <w:pPr>
        <w:spacing w:after="0" w:line="360" w:lineRule="auto"/>
        <w:ind w:right="-28"/>
        <w:contextualSpacing/>
        <w:rPr>
          <w:rFonts w:eastAsia="Calibri" w:cs="Tahoma"/>
          <w:bCs/>
          <w:lang w:val="es-ES" w:eastAsia="es-MX"/>
        </w:rPr>
      </w:pPr>
      <w:r w:rsidRPr="000B1569">
        <w:rPr>
          <w:rFonts w:eastAsia="Calibri" w:cs="Tahoma"/>
          <w:bCs/>
          <w:lang w:val="es-ES" w:eastAsia="es-MX"/>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37485E6" w14:textId="77777777" w:rsidR="00C800FC" w:rsidRPr="000B1569" w:rsidRDefault="00C800FC" w:rsidP="00C800FC">
      <w:pPr>
        <w:widowControl w:val="0"/>
        <w:spacing w:after="0" w:line="360" w:lineRule="auto"/>
        <w:rPr>
          <w:rFonts w:eastAsia="Palatino Linotype" w:cs="Palatino Linotype"/>
          <w:b/>
          <w:color w:val="FF0000"/>
          <w:lang w:val="es-ES" w:eastAsia="es-MX"/>
        </w:rPr>
      </w:pPr>
    </w:p>
    <w:p w14:paraId="48418EFD" w14:textId="77777777" w:rsidR="00C800FC" w:rsidRPr="000B1569" w:rsidRDefault="00C800FC" w:rsidP="00C800FC">
      <w:pPr>
        <w:widowControl w:val="0"/>
        <w:spacing w:after="0" w:line="360" w:lineRule="auto"/>
        <w:rPr>
          <w:rFonts w:eastAsia="Palatino Linotype" w:cs="Palatino Linotype"/>
          <w:color w:val="auto"/>
          <w:lang w:eastAsia="es-MX"/>
        </w:rPr>
      </w:pPr>
      <w:r w:rsidRPr="000B1569">
        <w:rPr>
          <w:rFonts w:eastAsia="Palatino Linotype" w:cs="Palatino Linotype"/>
          <w:color w:val="auto"/>
          <w:lang w:eastAsia="es-MX"/>
        </w:rPr>
        <w:t>Además,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16174FDD" w14:textId="77777777" w:rsidR="00C800FC" w:rsidRPr="000B1569" w:rsidRDefault="00C800FC" w:rsidP="00C800FC">
      <w:pPr>
        <w:widowControl w:val="0"/>
        <w:spacing w:after="0" w:line="360" w:lineRule="auto"/>
        <w:rPr>
          <w:rFonts w:eastAsia="Palatino Linotype" w:cs="Palatino Linotype"/>
          <w:b/>
          <w:color w:val="auto"/>
          <w:lang w:eastAsia="es-MX"/>
        </w:rPr>
      </w:pPr>
    </w:p>
    <w:p w14:paraId="175F7D7F" w14:textId="77777777" w:rsidR="00C800FC" w:rsidRPr="000B1569" w:rsidRDefault="00C800FC" w:rsidP="00C800FC">
      <w:pPr>
        <w:spacing w:after="0" w:line="360" w:lineRule="auto"/>
        <w:ind w:right="-28"/>
        <w:contextualSpacing/>
        <w:rPr>
          <w:rFonts w:eastAsia="Calibri" w:cs="Tahoma"/>
          <w:bCs/>
          <w:lang w:val="es-ES" w:eastAsia="es-MX"/>
        </w:rPr>
      </w:pPr>
      <w:r w:rsidRPr="000B1569">
        <w:rPr>
          <w:rFonts w:eastAsia="Palatino Linotype" w:cs="Palatino Linotype"/>
          <w:bCs/>
          <w:color w:val="auto"/>
          <w:lang w:eastAsia="es-MX"/>
        </w:rPr>
        <w:t xml:space="preserve">En ese contexto, </w:t>
      </w:r>
      <w:r w:rsidRPr="000B1569">
        <w:rPr>
          <w:rFonts w:eastAsia="Calibri" w:cs="Tahoma"/>
          <w:bCs/>
          <w:lang w:val="es-ES" w:eastAsia="es-MX"/>
        </w:rPr>
        <w:t xml:space="preserve">los Lineamientos Técnicos Generales para la publicación, homologación y estandarización de la información de las obligaciones establecidas en el Título Quinto y en la fracción IV del artículo 31 de la Ley General de Transparencia y Acceso a la Información </w:t>
      </w:r>
      <w:r w:rsidRPr="000B1569">
        <w:rPr>
          <w:rFonts w:eastAsia="Calibri" w:cs="Tahoma"/>
          <w:bCs/>
          <w:lang w:val="es-ES" w:eastAsia="es-MX"/>
        </w:rPr>
        <w:lastRenderedPageBreak/>
        <w:t xml:space="preserve">Pública, que deben de difundir los sujetos obligados en los portales de Internet y en la Plataforma Nacional de Transparencia, vigentes a la fecha de la solicitud, precisan que los Sujetos Obligados deben de publicar de todos los servidores públicos de base, de confianza, integrantes, miembros de la institución y toda personal que desempeñe un empleo, cargo o comisión o realice actos de autoridad, </w:t>
      </w:r>
      <w:r w:rsidRPr="000B1569">
        <w:rPr>
          <w:rFonts w:eastAsia="Calibri" w:cs="Tahoma"/>
          <w:b/>
          <w:lang w:val="es-ES" w:eastAsia="es-MX"/>
        </w:rPr>
        <w:t>la remuneración bruta y neta</w:t>
      </w:r>
      <w:r w:rsidRPr="000B1569">
        <w:rPr>
          <w:rFonts w:eastAsia="Calibri" w:cs="Tahoma"/>
          <w:bCs/>
          <w:lang w:val="es-ES" w:eastAsia="es-MX"/>
        </w:rPr>
        <w:t>, así como, todas las percepciones en efectivo o en especie, que incluya sueldos, prestaciones, gratificaciones, primas, comisiones, dietas, bonos, estímulos, apoyos económicos, ingresos de sistemas de compensación, entre otros, que incluya la periodicidad de la remuneración.</w:t>
      </w:r>
    </w:p>
    <w:p w14:paraId="455E2B0E" w14:textId="77777777" w:rsidR="00C800FC" w:rsidRPr="000B1569" w:rsidRDefault="00C800FC" w:rsidP="00C800FC">
      <w:pPr>
        <w:widowControl w:val="0"/>
        <w:spacing w:after="0" w:line="360" w:lineRule="auto"/>
        <w:rPr>
          <w:rFonts w:eastAsia="Palatino Linotype" w:cs="Palatino Linotype"/>
          <w:bCs/>
          <w:color w:val="auto"/>
          <w:lang w:val="es-ES" w:eastAsia="es-MX"/>
        </w:rPr>
      </w:pPr>
    </w:p>
    <w:p w14:paraId="592FCC78" w14:textId="6D122AD3" w:rsidR="00432E9C" w:rsidRPr="000B1569" w:rsidRDefault="00C800FC" w:rsidP="009162A7">
      <w:pPr>
        <w:widowControl w:val="0"/>
        <w:spacing w:after="0" w:line="360" w:lineRule="auto"/>
        <w:rPr>
          <w:rFonts w:eastAsia="Palatino Linotype" w:cs="Palatino Linotype"/>
          <w:color w:val="auto"/>
          <w:lang w:eastAsia="es-MX"/>
        </w:rPr>
      </w:pPr>
      <w:r w:rsidRPr="000B1569">
        <w:rPr>
          <w:rFonts w:eastAsia="Palatino Linotype" w:cs="Palatino Linotype"/>
          <w:color w:val="auto"/>
          <w:lang w:eastAsia="es-MX"/>
        </w:rPr>
        <w:t xml:space="preserve">Ahora bien, respecto a los servidores públicos solicitados, el artículo </w:t>
      </w:r>
      <w:r w:rsidR="00774C50" w:rsidRPr="000B1569">
        <w:rPr>
          <w:rFonts w:eastAsia="Palatino Linotype" w:cs="Palatino Linotype"/>
          <w:color w:val="auto"/>
          <w:lang w:eastAsia="es-MX"/>
        </w:rPr>
        <w:t>3.31</w:t>
      </w:r>
      <w:r w:rsidRPr="000B1569">
        <w:rPr>
          <w:rFonts w:eastAsia="Palatino Linotype" w:cs="Palatino Linotype"/>
          <w:color w:val="auto"/>
          <w:lang w:eastAsia="es-MX"/>
        </w:rPr>
        <w:t xml:space="preserve"> del </w:t>
      </w:r>
      <w:r w:rsidR="00774C50" w:rsidRPr="000B1569">
        <w:rPr>
          <w:rFonts w:eastAsia="Palatino Linotype" w:cs="Palatino Linotype"/>
          <w:color w:val="auto"/>
          <w:lang w:eastAsia="es-MX"/>
        </w:rPr>
        <w:t>Código</w:t>
      </w:r>
      <w:r w:rsidR="00F94F5F" w:rsidRPr="000B1569">
        <w:rPr>
          <w:rFonts w:eastAsia="Palatino Linotype" w:cs="Palatino Linotype"/>
          <w:color w:val="auto"/>
          <w:lang w:eastAsia="es-MX"/>
        </w:rPr>
        <w:t xml:space="preserve"> Reglamentario Municipal de Toluca</w:t>
      </w:r>
      <w:r w:rsidRPr="000B1569">
        <w:rPr>
          <w:rFonts w:eastAsia="Palatino Linotype" w:cs="Palatino Linotype"/>
          <w:color w:val="auto"/>
          <w:lang w:eastAsia="es-MX"/>
        </w:rPr>
        <w:t xml:space="preserve">, señala que la Administración Pública Municipal está integrada por </w:t>
      </w:r>
      <w:r w:rsidR="00F94F5F" w:rsidRPr="000B1569">
        <w:rPr>
          <w:rFonts w:eastAsia="Palatino Linotype" w:cs="Palatino Linotype"/>
          <w:color w:val="auto"/>
          <w:lang w:eastAsia="es-MX"/>
        </w:rPr>
        <w:t xml:space="preserve">diversas unidades administrativas entre las cuales se encuentran la Dirección General de Seguridad y Protección, encargada de supervisar y controlar el cuerpo de seguridad pública municipal, y otorgar la seguridad pública en el Municipio. </w:t>
      </w:r>
    </w:p>
    <w:p w14:paraId="6D01C4AE" w14:textId="77E333EE" w:rsidR="00F94F5F" w:rsidRPr="000B1569" w:rsidRDefault="00F94F5F" w:rsidP="009162A7">
      <w:pPr>
        <w:widowControl w:val="0"/>
        <w:spacing w:after="0" w:line="360" w:lineRule="auto"/>
        <w:rPr>
          <w:rFonts w:eastAsia="Palatino Linotype" w:cs="Palatino Linotype"/>
          <w:color w:val="auto"/>
          <w:lang w:eastAsia="es-MX"/>
        </w:rPr>
      </w:pPr>
    </w:p>
    <w:p w14:paraId="624C20E1" w14:textId="77295A5D" w:rsidR="00F94F5F" w:rsidRPr="000B1569" w:rsidRDefault="007C7903" w:rsidP="009162A7">
      <w:pPr>
        <w:widowControl w:val="0"/>
        <w:spacing w:after="0" w:line="360" w:lineRule="auto"/>
        <w:rPr>
          <w:rFonts w:eastAsia="Palatino Linotype" w:cs="Palatino Linotype"/>
          <w:color w:val="auto"/>
          <w:lang w:eastAsia="es-MX"/>
        </w:rPr>
      </w:pPr>
      <w:r w:rsidRPr="000B1569">
        <w:rPr>
          <w:rFonts w:eastAsia="Palatino Linotype" w:cs="Palatino Linotype"/>
          <w:color w:val="auto"/>
          <w:lang w:eastAsia="es-MX"/>
        </w:rPr>
        <w:t>Finalmente</w:t>
      </w:r>
      <w:r w:rsidR="00F94F5F" w:rsidRPr="000B1569">
        <w:rPr>
          <w:rFonts w:eastAsia="Palatino Linotype" w:cs="Palatino Linotype"/>
          <w:color w:val="auto"/>
          <w:lang w:eastAsia="es-MX"/>
        </w:rPr>
        <w:t xml:space="preserve">, se localizó </w:t>
      </w:r>
      <w:r w:rsidR="003C7F30" w:rsidRPr="000B1569">
        <w:rPr>
          <w:rFonts w:eastAsia="Palatino Linotype" w:cs="Palatino Linotype"/>
          <w:color w:val="auto"/>
          <w:lang w:eastAsia="es-MX"/>
        </w:rPr>
        <w:t xml:space="preserve">la nota periodística denominada “Alcalde de Toluca realiza pase de lista a la policía” (consultada en la liga electrónica </w:t>
      </w:r>
      <w:hyperlink r:id="rId8" w:history="1">
        <w:r w:rsidR="003C7F30" w:rsidRPr="000B1569">
          <w:rPr>
            <w:rStyle w:val="Hipervnculo"/>
            <w:rFonts w:eastAsia="Palatino Linotype" w:cs="Palatino Linotype"/>
            <w:lang w:eastAsia="es-MX"/>
          </w:rPr>
          <w:t>https://entidadmx.com/2025/01/07/alcalde-de-toluca-realiza-pase-de-lista-a-la-policia/</w:t>
        </w:r>
      </w:hyperlink>
      <w:r w:rsidR="003C7F30" w:rsidRPr="000B1569">
        <w:rPr>
          <w:rFonts w:eastAsia="Palatino Linotype" w:cs="Palatino Linotype"/>
          <w:color w:val="auto"/>
          <w:lang w:eastAsia="es-MX"/>
        </w:rPr>
        <w:t xml:space="preserve">), en el que se logró vislumbrar que el día seis de enero de dos mil veinticinco, el Presidente Municipal de Toluca realizó el pase de lista y una inspección al personal de Seguridad y Protección Ciudadana, así como la revisión del estado físico y mecánico del parque vehicular. </w:t>
      </w:r>
    </w:p>
    <w:p w14:paraId="7D51D78F" w14:textId="47C78973" w:rsidR="006E26AA" w:rsidRPr="000B1569" w:rsidRDefault="006E26AA" w:rsidP="005032B4">
      <w:pPr>
        <w:spacing w:after="0" w:line="360" w:lineRule="auto"/>
        <w:contextualSpacing/>
        <w:rPr>
          <w:rFonts w:eastAsia="Times New Roman" w:cs="Tahoma"/>
          <w:iCs/>
          <w:color w:val="auto"/>
          <w:lang w:val="es-ES" w:eastAsia="es-ES"/>
        </w:rPr>
      </w:pPr>
    </w:p>
    <w:p w14:paraId="24DB85CC" w14:textId="75B6FDB5" w:rsidR="00B46F88" w:rsidRPr="000B1569" w:rsidRDefault="007B5D0A" w:rsidP="005032B4">
      <w:pPr>
        <w:spacing w:after="0" w:line="360" w:lineRule="auto"/>
        <w:contextualSpacing/>
        <w:rPr>
          <w:rFonts w:eastAsia="Times New Roman" w:cs="Tahoma"/>
          <w:iCs/>
          <w:color w:val="auto"/>
          <w:lang w:eastAsia="es-ES"/>
        </w:rPr>
      </w:pPr>
      <w:r w:rsidRPr="000B1569">
        <w:rPr>
          <w:rFonts w:eastAsia="Times New Roman" w:cs="Tahoma"/>
          <w:iCs/>
          <w:color w:val="auto"/>
          <w:lang w:eastAsia="es-ES"/>
        </w:rPr>
        <w:t xml:space="preserve">Conforme a lo anterior, se logra vislumbrar que la pretensión del ahora Recurrente, es obtener los documentos que </w:t>
      </w:r>
      <w:r w:rsidR="00063884" w:rsidRPr="000B1569">
        <w:rPr>
          <w:rFonts w:eastAsia="Times New Roman" w:cs="Tahoma"/>
          <w:iCs/>
          <w:color w:val="auto"/>
          <w:lang w:eastAsia="es-ES"/>
        </w:rPr>
        <w:t>den cuenta del</w:t>
      </w:r>
      <w:r w:rsidR="003C7F30" w:rsidRPr="000B1569">
        <w:rPr>
          <w:rFonts w:eastAsia="Times New Roman" w:cs="Tahoma"/>
          <w:iCs/>
          <w:color w:val="auto"/>
          <w:lang w:eastAsia="es-ES"/>
        </w:rPr>
        <w:t xml:space="preserve"> nombre, cargo y sueldo bruto y neto mensual vigente, de los policías que se </w:t>
      </w:r>
      <w:r w:rsidR="007C7903" w:rsidRPr="000B1569">
        <w:rPr>
          <w:rFonts w:eastAsia="Times New Roman" w:cs="Tahoma"/>
          <w:iCs/>
          <w:color w:val="auto"/>
          <w:lang w:eastAsia="es-ES"/>
        </w:rPr>
        <w:t xml:space="preserve">encontraban en el pase de lista del seis de enero de dos mil veinticinco. </w:t>
      </w:r>
      <w:r w:rsidR="00252709" w:rsidRPr="000B1569">
        <w:rPr>
          <w:rFonts w:eastAsia="Times New Roman" w:cs="Tahoma"/>
          <w:iCs/>
          <w:color w:val="auto"/>
          <w:lang w:eastAsia="es-ES"/>
        </w:rPr>
        <w:t xml:space="preserve"> </w:t>
      </w:r>
    </w:p>
    <w:p w14:paraId="6878D56D" w14:textId="218ED1D3" w:rsidR="007B5D0A" w:rsidRPr="000B1569" w:rsidRDefault="007B5D0A" w:rsidP="005032B4">
      <w:pPr>
        <w:spacing w:after="0" w:line="360" w:lineRule="auto"/>
        <w:contextualSpacing/>
        <w:rPr>
          <w:rFonts w:eastAsia="Times New Roman" w:cs="Tahoma"/>
          <w:iCs/>
          <w:color w:val="auto"/>
          <w:lang w:eastAsia="es-ES"/>
        </w:rPr>
      </w:pPr>
      <w:r w:rsidRPr="000B1569">
        <w:rPr>
          <w:rFonts w:eastAsia="Times New Roman" w:cs="Tahoma"/>
          <w:iCs/>
          <w:color w:val="auto"/>
          <w:lang w:eastAsia="es-ES"/>
        </w:rPr>
        <w:lastRenderedPageBreak/>
        <w:t xml:space="preserve">Establecida dicha circunstancia, se procede analizar la respuesta entregada, para lo cual, es de señalar que de las constancias que obran en el expediente, se logra vislumbrar que el Sujeto Obligado turno la solicitud de información a la </w:t>
      </w:r>
      <w:r w:rsidR="007C7903" w:rsidRPr="000B1569">
        <w:rPr>
          <w:rFonts w:eastAsia="Times New Roman" w:cs="Tahoma"/>
          <w:iCs/>
          <w:color w:val="auto"/>
          <w:lang w:eastAsia="es-ES"/>
        </w:rPr>
        <w:t>Dirección General de Administración y la Dirección General de Seguridad Pública y Protección Ciudadana</w:t>
      </w:r>
      <w:r w:rsidRPr="000B1569">
        <w:rPr>
          <w:rFonts w:eastAsia="Times New Roman" w:cs="Tahoma"/>
          <w:iCs/>
          <w:color w:val="auto"/>
          <w:lang w:eastAsia="es-ES"/>
        </w:rPr>
        <w:t>;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F145D65" w14:textId="4B4FF26A" w:rsidR="007C7903" w:rsidRPr="000B1569" w:rsidRDefault="007C7903" w:rsidP="005032B4">
      <w:pPr>
        <w:spacing w:after="0" w:line="360" w:lineRule="auto"/>
        <w:contextualSpacing/>
        <w:rPr>
          <w:rFonts w:eastAsia="Times New Roman" w:cs="Tahoma"/>
          <w:iCs/>
          <w:color w:val="auto"/>
          <w:lang w:eastAsia="es-ES"/>
        </w:rPr>
      </w:pPr>
    </w:p>
    <w:p w14:paraId="551396C3" w14:textId="31B86016" w:rsidR="007C7903" w:rsidRPr="000B1569" w:rsidRDefault="003C3D81" w:rsidP="005032B4">
      <w:pPr>
        <w:spacing w:after="0" w:line="360" w:lineRule="auto"/>
        <w:contextualSpacing/>
        <w:rPr>
          <w:rFonts w:eastAsia="Times New Roman" w:cs="Tahoma"/>
          <w:iCs/>
          <w:color w:val="auto"/>
          <w:lang w:eastAsia="es-ES"/>
        </w:rPr>
      </w:pPr>
      <w:r w:rsidRPr="000B1569">
        <w:rPr>
          <w:rFonts w:eastAsia="Times New Roman" w:cs="Tahoma"/>
          <w:iCs/>
          <w:color w:val="auto"/>
          <w:lang w:eastAsia="es-ES"/>
        </w:rPr>
        <w:t xml:space="preserve">Al respecto, el </w:t>
      </w:r>
      <w:r w:rsidR="00556FAE" w:rsidRPr="000B1569">
        <w:rPr>
          <w:rFonts w:eastAsia="Times New Roman" w:cs="Tahoma"/>
          <w:iCs/>
          <w:color w:val="auto"/>
          <w:lang w:eastAsia="es-ES"/>
        </w:rPr>
        <w:t>Manual General de Organización del Sector Central de la Administración Pública Municipal de Toluca</w:t>
      </w:r>
      <w:r w:rsidRPr="000B1569">
        <w:rPr>
          <w:rFonts w:eastAsia="Times New Roman" w:cs="Tahoma"/>
          <w:iCs/>
          <w:color w:val="auto"/>
          <w:lang w:eastAsia="es-ES"/>
        </w:rPr>
        <w:t>, precisa que la Dirección</w:t>
      </w:r>
      <w:r w:rsidR="00556FAE" w:rsidRPr="000B1569">
        <w:rPr>
          <w:rFonts w:eastAsia="Times New Roman" w:cs="Tahoma"/>
          <w:iCs/>
          <w:color w:val="auto"/>
          <w:lang w:eastAsia="es-ES"/>
        </w:rPr>
        <w:t xml:space="preserve"> General de Seguridad y Protección, es la encargada de proponer e implementar los trabajos de formación continua, así como de capacitaciones especializadas para el personal operativo y todas aquellas actividades inherentes al área de su competencia</w:t>
      </w:r>
      <w:r w:rsidR="0088255F" w:rsidRPr="000B1569">
        <w:rPr>
          <w:rFonts w:eastAsia="Times New Roman" w:cs="Tahoma"/>
          <w:iCs/>
          <w:color w:val="auto"/>
          <w:lang w:eastAsia="es-ES"/>
        </w:rPr>
        <w:t xml:space="preserve"> y las que sean encomendadas por el Presidente Municipal</w:t>
      </w:r>
      <w:r w:rsidR="00556FAE" w:rsidRPr="000B1569">
        <w:rPr>
          <w:rFonts w:eastAsia="Times New Roman" w:cs="Tahoma"/>
          <w:iCs/>
          <w:color w:val="auto"/>
          <w:lang w:eastAsia="es-ES"/>
        </w:rPr>
        <w:t>, y la</w:t>
      </w:r>
      <w:r w:rsidRPr="000B1569">
        <w:rPr>
          <w:rFonts w:eastAsia="Times New Roman" w:cs="Tahoma"/>
          <w:iCs/>
          <w:color w:val="auto"/>
          <w:lang w:eastAsia="es-ES"/>
        </w:rPr>
        <w:t xml:space="preserve"> </w:t>
      </w:r>
      <w:r w:rsidR="0088255F" w:rsidRPr="000B1569">
        <w:rPr>
          <w:rFonts w:eastAsia="Times New Roman" w:cs="Tahoma"/>
          <w:iCs/>
          <w:color w:val="auto"/>
          <w:lang w:eastAsia="es-ES"/>
        </w:rPr>
        <w:t xml:space="preserve">Dirección </w:t>
      </w:r>
      <w:r w:rsidRPr="000B1569">
        <w:rPr>
          <w:rFonts w:eastAsia="Times New Roman" w:cs="Tahoma"/>
          <w:iCs/>
          <w:color w:val="auto"/>
          <w:lang w:eastAsia="es-ES"/>
        </w:rPr>
        <w:t>de Administración</w:t>
      </w:r>
      <w:r w:rsidR="006C725F" w:rsidRPr="000B1569">
        <w:rPr>
          <w:rFonts w:eastAsia="Times New Roman" w:cs="Tahoma"/>
          <w:iCs/>
          <w:color w:val="auto"/>
          <w:lang w:eastAsia="es-ES"/>
        </w:rPr>
        <w:t xml:space="preserve">, encargada de los procesos de reclutamiento, selección, contratación y control del personal, así como validar la elaboración y distribución de la nómina del personal que labora en de la administración pública municipal con la finalidad de que devenguen el sueldo correspondiente. </w:t>
      </w:r>
    </w:p>
    <w:p w14:paraId="7CE0F777" w14:textId="77777777" w:rsidR="007B5D0A" w:rsidRPr="000B1569" w:rsidRDefault="007B5D0A" w:rsidP="005032B4">
      <w:pPr>
        <w:spacing w:after="0" w:line="360" w:lineRule="auto"/>
        <w:contextualSpacing/>
        <w:rPr>
          <w:rFonts w:eastAsia="Times New Roman" w:cs="Tahoma"/>
          <w:iCs/>
          <w:color w:val="auto"/>
          <w:lang w:eastAsia="es-ES"/>
        </w:rPr>
      </w:pPr>
    </w:p>
    <w:p w14:paraId="5B96FBBA" w14:textId="289CC600" w:rsidR="003C3D81" w:rsidRPr="000B1569" w:rsidRDefault="003C3D81" w:rsidP="003C3D81">
      <w:pPr>
        <w:spacing w:after="0" w:line="360" w:lineRule="auto"/>
        <w:rPr>
          <w:rFonts w:eastAsia="Palatino Linotype" w:cs="Palatino Linotype"/>
          <w:color w:val="000000"/>
          <w:lang w:eastAsia="es-MX"/>
        </w:rPr>
      </w:pPr>
      <w:r w:rsidRPr="000B1569">
        <w:rPr>
          <w:rFonts w:eastAsia="Times New Roman" w:cs="Tahoma"/>
          <w:iCs/>
          <w:color w:val="auto"/>
          <w:lang w:eastAsia="es-ES"/>
        </w:rPr>
        <w:t xml:space="preserve">Conforme a lo anterior, </w:t>
      </w:r>
      <w:r w:rsidRPr="000B1569">
        <w:rPr>
          <w:rFonts w:eastAsia="Palatino Linotype" w:cs="Palatino Linotype"/>
          <w:color w:val="auto"/>
          <w:lang w:eastAsia="es-MX"/>
        </w:rPr>
        <w:t xml:space="preserve">se </w:t>
      </w:r>
      <w:r w:rsidRPr="000B1569">
        <w:rPr>
          <w:rFonts w:eastAsia="Palatino Linotype" w:cs="Palatino Linotype"/>
          <w:color w:val="000000"/>
          <w:lang w:eastAsia="es-MX"/>
        </w:rPr>
        <w:t xml:space="preserve">advierte que el Sujeto Obligado, cumplió con el procedimiento de búsqueda previsto en el artículo 162 de la Ley de Transparencia y Acceso a la Información Pública del Estado de México y Municipios, toda vez que turnó la solicitud de información a las áreas competentes. </w:t>
      </w:r>
    </w:p>
    <w:p w14:paraId="766732FF" w14:textId="4A43F080" w:rsidR="007B5D0A" w:rsidRPr="000B1569" w:rsidRDefault="007B5D0A" w:rsidP="005032B4">
      <w:pPr>
        <w:spacing w:after="0" w:line="360" w:lineRule="auto"/>
        <w:contextualSpacing/>
        <w:rPr>
          <w:rFonts w:eastAsia="Times New Roman" w:cs="Tahoma"/>
          <w:iCs/>
          <w:color w:val="FF0000"/>
          <w:lang w:eastAsia="es-ES"/>
        </w:rPr>
      </w:pPr>
    </w:p>
    <w:p w14:paraId="37E6FBA7" w14:textId="4008D5AC" w:rsidR="00914A32" w:rsidRPr="000B1569" w:rsidRDefault="006C725F" w:rsidP="00D449B9">
      <w:pPr>
        <w:spacing w:after="0" w:line="360" w:lineRule="auto"/>
        <w:contextualSpacing/>
        <w:rPr>
          <w:rFonts w:eastAsia="Times New Roman" w:cs="Tahoma"/>
          <w:iCs/>
          <w:color w:val="auto"/>
          <w:lang w:eastAsia="es-ES"/>
        </w:rPr>
      </w:pPr>
      <w:r w:rsidRPr="000B1569">
        <w:rPr>
          <w:rFonts w:eastAsia="Times New Roman" w:cs="Tahoma"/>
          <w:iCs/>
          <w:color w:val="auto"/>
          <w:lang w:eastAsia="es-ES"/>
        </w:rPr>
        <w:t xml:space="preserve">Ahora bien, en </w:t>
      </w:r>
      <w:r w:rsidR="00002809" w:rsidRPr="000B1569">
        <w:rPr>
          <w:rFonts w:eastAsia="Times New Roman" w:cs="Tahoma"/>
          <w:iCs/>
          <w:color w:val="auto"/>
          <w:lang w:eastAsia="es-ES"/>
        </w:rPr>
        <w:t>tanto en r</w:t>
      </w:r>
      <w:r w:rsidRPr="000B1569">
        <w:rPr>
          <w:rFonts w:eastAsia="Times New Roman" w:cs="Tahoma"/>
          <w:iCs/>
          <w:color w:val="auto"/>
          <w:lang w:eastAsia="es-ES"/>
        </w:rPr>
        <w:t xml:space="preserve">espuesta, como en Informe Justificado, la </w:t>
      </w:r>
      <w:r w:rsidR="00D449B9" w:rsidRPr="000B1569">
        <w:rPr>
          <w:rFonts w:eastAsia="Times New Roman" w:cs="Tahoma"/>
          <w:iCs/>
          <w:color w:val="auto"/>
          <w:lang w:eastAsia="es-ES"/>
        </w:rPr>
        <w:t>Dirección General de Administración de Administración</w:t>
      </w:r>
      <w:r w:rsidR="007B5D0A" w:rsidRPr="000B1569">
        <w:rPr>
          <w:rFonts w:eastAsia="Times New Roman" w:cs="Tahoma"/>
          <w:iCs/>
          <w:color w:val="auto"/>
          <w:lang w:eastAsia="es-ES"/>
        </w:rPr>
        <w:t xml:space="preserve"> </w:t>
      </w:r>
      <w:r w:rsidR="00252709" w:rsidRPr="000B1569">
        <w:rPr>
          <w:rFonts w:eastAsia="Times New Roman" w:cs="Tahoma"/>
          <w:iCs/>
          <w:color w:val="auto"/>
          <w:lang w:eastAsia="es-ES"/>
        </w:rPr>
        <w:t xml:space="preserve">precisó que </w:t>
      </w:r>
      <w:r w:rsidR="00D449B9" w:rsidRPr="000B1569">
        <w:rPr>
          <w:rFonts w:eastAsia="Times New Roman" w:cs="Tahoma"/>
          <w:iCs/>
          <w:color w:val="auto"/>
          <w:lang w:eastAsia="es-ES"/>
        </w:rPr>
        <w:t>el pase de lista de los Servidores Públicos solicitados no le correspondía a la unidad administrativa a su cargo, motivo por el cual no era posible proporcionar la información solicitada, mientras que la Dirección General de Seguridad Pública y Protección Ciudadana precisó que entregaba la información en versión pública de conformidad con el Acta CT/SE/63/02/2025 de la Sexagésima Tercera Sesión Extraordinaria</w:t>
      </w:r>
      <w:r w:rsidR="00002809" w:rsidRPr="000B1569">
        <w:rPr>
          <w:rFonts w:eastAsia="Times New Roman" w:cs="Tahoma"/>
          <w:iCs/>
          <w:color w:val="auto"/>
          <w:lang w:eastAsia="es-ES"/>
        </w:rPr>
        <w:t>;</w:t>
      </w:r>
      <w:r w:rsidR="00D449B9" w:rsidRPr="000B1569">
        <w:rPr>
          <w:rFonts w:eastAsia="Times New Roman" w:cs="Tahoma"/>
          <w:iCs/>
          <w:color w:val="auto"/>
          <w:lang w:eastAsia="es-ES"/>
        </w:rPr>
        <w:t xml:space="preserve">, pronunciamientos que resultan </w:t>
      </w:r>
      <w:r w:rsidR="00D449B9" w:rsidRPr="000B1569">
        <w:rPr>
          <w:rFonts w:eastAsia="Times New Roman" w:cs="Tahoma"/>
          <w:b/>
          <w:bCs/>
          <w:iCs/>
          <w:color w:val="auto"/>
          <w:lang w:eastAsia="es-ES"/>
        </w:rPr>
        <w:t>incongruentes</w:t>
      </w:r>
      <w:r w:rsidR="00D449B9" w:rsidRPr="000B1569">
        <w:rPr>
          <w:rFonts w:eastAsia="Times New Roman" w:cs="Tahoma"/>
          <w:iCs/>
          <w:color w:val="auto"/>
          <w:lang w:eastAsia="es-ES"/>
        </w:rPr>
        <w:t xml:space="preserve">, pues no es la pretensión de la persona Recurrente acceder a una lista de pase de asistencia y si bien precisó entregar la </w:t>
      </w:r>
      <w:r w:rsidR="00AD526B" w:rsidRPr="000B1569">
        <w:rPr>
          <w:rFonts w:eastAsia="Times New Roman" w:cs="Tahoma"/>
          <w:iCs/>
          <w:color w:val="auto"/>
          <w:lang w:eastAsia="es-ES"/>
        </w:rPr>
        <w:t xml:space="preserve">información solicitada, omitió proporcionarla, así como el Acuerdo en el que se aprobó la versión pública de la información.  </w:t>
      </w:r>
    </w:p>
    <w:p w14:paraId="2E0A6934" w14:textId="77777777" w:rsidR="00AD526B" w:rsidRPr="000B1569" w:rsidRDefault="00AD526B" w:rsidP="0015016B">
      <w:pPr>
        <w:spacing w:after="0" w:line="360" w:lineRule="auto"/>
        <w:contextualSpacing/>
        <w:rPr>
          <w:rFonts w:eastAsia="Times New Roman" w:cs="Tahoma"/>
          <w:iCs/>
          <w:color w:val="auto"/>
          <w:lang w:eastAsia="es-ES"/>
        </w:rPr>
      </w:pPr>
    </w:p>
    <w:p w14:paraId="1440E99C" w14:textId="77777777" w:rsidR="00002809" w:rsidRPr="000B1569" w:rsidRDefault="00AD526B" w:rsidP="00AD526B">
      <w:pPr>
        <w:tabs>
          <w:tab w:val="center" w:pos="4522"/>
        </w:tabs>
        <w:spacing w:line="360" w:lineRule="auto"/>
        <w:contextualSpacing/>
        <w:rPr>
          <w:rFonts w:eastAsia="Calibri" w:cs="Times New Roman"/>
          <w:color w:val="000000"/>
          <w:lang w:eastAsia="es-MX"/>
        </w:rPr>
      </w:pPr>
      <w:r w:rsidRPr="000B1569">
        <w:rPr>
          <w:rFonts w:eastAsia="Times New Roman" w:cs="Tahoma"/>
          <w:bCs/>
          <w:iCs/>
          <w:lang w:val="es-ES" w:eastAsia="es-ES"/>
        </w:rPr>
        <w:t>S</w:t>
      </w:r>
      <w:r w:rsidRPr="000B1569">
        <w:rPr>
          <w:rFonts w:eastAsia="Calibri" w:cs="Tahoma"/>
          <w:lang w:val="es-ES" w:eastAsia="es-MX"/>
        </w:rPr>
        <w:t xml:space="preserve">obre el tema </w:t>
      </w:r>
      <w:r w:rsidRPr="000B1569">
        <w:rPr>
          <w:rFonts w:eastAsia="Calibri" w:cs="Times New Roman"/>
          <w:lang w:eastAsia="es-MX"/>
        </w:rPr>
        <w:t xml:space="preserve">el </w:t>
      </w:r>
      <w:r w:rsidRPr="000B1569">
        <w:rPr>
          <w:rFonts w:eastAsia="Times New Roman" w:cs="Tahoma"/>
          <w:lang w:val="es-ES" w:eastAsia="es-ES"/>
        </w:rPr>
        <w:t xml:space="preserve">artículo 1.8, fracción IX, del Código Administrativo del Estado de México, establece que para que un acto administrativo tenga validez, deberá guardar congruencia con lo solicitado. </w:t>
      </w:r>
      <w:r w:rsidRPr="000B1569">
        <w:rPr>
          <w:rFonts w:eastAsia="Calibri" w:cs="Times New Roman"/>
          <w:color w:val="000000"/>
          <w:lang w:eastAsia="es-MX"/>
        </w:rPr>
        <w:t xml:space="preserve">Situación que se robustece, con el </w:t>
      </w:r>
      <w:r w:rsidRPr="000B1569">
        <w:rPr>
          <w:rFonts w:eastAsia="Calibri" w:cs="Tahoma"/>
          <w:bCs/>
          <w:lang w:val="es-ES" w:eastAsia="es-MX"/>
        </w:rPr>
        <w:t>el Criterio de Interpretación</w:t>
      </w:r>
      <w:r w:rsidRPr="000B1569">
        <w:rPr>
          <w:rFonts w:eastAsia="Calibri" w:cs="Tahoma"/>
          <w:bCs/>
          <w:lang w:val="x-none" w:eastAsia="es-MX"/>
        </w:rPr>
        <w:t xml:space="preserve">, con clave de control </w:t>
      </w:r>
      <w:r w:rsidRPr="000B1569">
        <w:rPr>
          <w:rFonts w:eastAsia="Calibri" w:cs="Tahoma"/>
          <w:bCs/>
          <w:lang w:val="es-ES" w:eastAsia="es-MX"/>
        </w:rPr>
        <w:t xml:space="preserve">SO/002/2017, de la Segunda Época, emitido por el Instituto Nacional de Transparencia, Acceso a la Información y Protección de Datos Personales, vigente a la fecha de la solicitud, que </w:t>
      </w:r>
      <w:r w:rsidRPr="000B1569">
        <w:rPr>
          <w:rFonts w:eastAsia="Calibri" w:cs="Times New Roman"/>
          <w:color w:val="000000"/>
          <w:lang w:eastAsia="es-MX"/>
        </w:rPr>
        <w:t xml:space="preserve">establece que todo acto administrativo debe apegarse al </w:t>
      </w:r>
      <w:r w:rsidRPr="000B1569">
        <w:rPr>
          <w:rFonts w:eastAsia="Calibri" w:cs="Times New Roman"/>
          <w:b/>
          <w:bCs/>
          <w:color w:val="000000"/>
          <w:lang w:eastAsia="es-MX"/>
        </w:rPr>
        <w:t>principio de congruencia</w:t>
      </w:r>
      <w:r w:rsidRPr="000B1569">
        <w:rPr>
          <w:rFonts w:eastAsia="Calibri" w:cs="Times New Roman"/>
          <w:color w:val="000000"/>
          <w:lang w:eastAsia="es-MX"/>
        </w:rPr>
        <w:t xml:space="preserve">, entendiendo por éste que </w:t>
      </w:r>
      <w:r w:rsidRPr="000B1569">
        <w:rPr>
          <w:rFonts w:eastAsia="Calibri" w:cs="Tahoma"/>
          <w:bCs/>
          <w:iCs/>
          <w:lang w:eastAsia="es-MX"/>
        </w:rPr>
        <w:t>exista concordancia entre el requerimiento formulado por el particular y la respuesta proporcionada por el sujeto obligado</w:t>
      </w:r>
      <w:r w:rsidRPr="000B1569">
        <w:rPr>
          <w:rFonts w:eastAsia="Calibri" w:cs="Times New Roman"/>
          <w:color w:val="000000"/>
          <w:lang w:eastAsia="es-MX"/>
        </w:rPr>
        <w:t>,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r w:rsidR="00002809" w:rsidRPr="000B1569">
        <w:rPr>
          <w:rFonts w:eastAsia="Calibri" w:cs="Times New Roman"/>
          <w:color w:val="000000"/>
          <w:lang w:eastAsia="es-MX"/>
        </w:rPr>
        <w:t>.</w:t>
      </w:r>
    </w:p>
    <w:p w14:paraId="7CA5F286" w14:textId="77777777" w:rsidR="00002809" w:rsidRPr="000B1569" w:rsidRDefault="00002809" w:rsidP="00AD526B">
      <w:pPr>
        <w:tabs>
          <w:tab w:val="center" w:pos="4522"/>
        </w:tabs>
        <w:spacing w:line="360" w:lineRule="auto"/>
        <w:contextualSpacing/>
        <w:rPr>
          <w:rFonts w:eastAsia="Calibri" w:cs="Times New Roman"/>
          <w:color w:val="000000"/>
          <w:lang w:eastAsia="es-MX"/>
        </w:rPr>
      </w:pPr>
    </w:p>
    <w:p w14:paraId="35C837FD" w14:textId="0E4712A6" w:rsidR="00D4442D" w:rsidRPr="000B1569" w:rsidRDefault="00002809" w:rsidP="00AD526B">
      <w:pPr>
        <w:tabs>
          <w:tab w:val="center" w:pos="4522"/>
        </w:tabs>
        <w:spacing w:line="360" w:lineRule="auto"/>
        <w:contextualSpacing/>
        <w:rPr>
          <w:rFonts w:eastAsia="Calibri" w:cs="Times New Roman"/>
          <w:b/>
          <w:bCs/>
          <w:color w:val="000000"/>
          <w:lang w:eastAsia="es-MX"/>
        </w:rPr>
      </w:pPr>
      <w:r w:rsidRPr="000B1569">
        <w:rPr>
          <w:rFonts w:eastAsia="Calibri" w:cs="Times New Roman"/>
          <w:color w:val="000000"/>
          <w:lang w:eastAsia="es-MX"/>
        </w:rPr>
        <w:lastRenderedPageBreak/>
        <w:t xml:space="preserve">De tal suerte, se logra vislumbrar que el agravio es </w:t>
      </w:r>
      <w:r w:rsidR="00AD526B" w:rsidRPr="000B1569">
        <w:rPr>
          <w:rFonts w:eastAsia="Calibri" w:cs="Times New Roman"/>
          <w:b/>
          <w:bCs/>
          <w:color w:val="000000"/>
          <w:lang w:eastAsia="es-MX"/>
        </w:rPr>
        <w:t>FUNDADO</w:t>
      </w:r>
      <w:r w:rsidRPr="000B1569">
        <w:rPr>
          <w:rFonts w:eastAsia="Calibri" w:cs="Times New Roman"/>
          <w:b/>
          <w:bCs/>
          <w:color w:val="000000"/>
          <w:lang w:eastAsia="es-MX"/>
        </w:rPr>
        <w:t xml:space="preserve">, </w:t>
      </w:r>
      <w:r w:rsidRPr="000B1569">
        <w:rPr>
          <w:rFonts w:eastAsia="Calibri" w:cs="Times New Roman"/>
          <w:color w:val="000000"/>
          <w:lang w:eastAsia="es-MX"/>
        </w:rPr>
        <w:t xml:space="preserve">pues la Dirección General de Administración debe de conocer de la plantilla de personal de todo el Ayuntamiento, es decir, incluyendo a los policías; mientras que la </w:t>
      </w:r>
      <w:r w:rsidRPr="000B1569">
        <w:rPr>
          <w:rFonts w:eastAsia="Times New Roman" w:cs="Tahoma"/>
          <w:iCs/>
          <w:color w:val="auto"/>
          <w:lang w:eastAsia="es-ES"/>
        </w:rPr>
        <w:t>Dirección General de Seguridad Pública y Protección Ciudadana, debe de conocer del pase de lista del seis de enero de dos mil veinticinco; por lo que, inclusive las áreas estaban en posibilidades de trabajar en conjunto para atender la solicitud de información</w:t>
      </w:r>
      <w:r w:rsidR="002E5730" w:rsidRPr="000B1569">
        <w:rPr>
          <w:rFonts w:eastAsia="Times New Roman" w:cs="Tahoma"/>
          <w:iCs/>
          <w:color w:val="auto"/>
          <w:lang w:eastAsia="es-ES"/>
        </w:rPr>
        <w:t>, pues la segunda área pudo proporcionar el nombre de los policías a la primera y esta estar en posibilidades de entregar lo peticionado.</w:t>
      </w:r>
    </w:p>
    <w:p w14:paraId="3A1863DF" w14:textId="77777777" w:rsidR="00AD526B" w:rsidRPr="000B1569" w:rsidRDefault="00AD526B" w:rsidP="00AD526B">
      <w:pPr>
        <w:tabs>
          <w:tab w:val="center" w:pos="4522"/>
        </w:tabs>
        <w:spacing w:line="360" w:lineRule="auto"/>
        <w:contextualSpacing/>
        <w:rPr>
          <w:rFonts w:eastAsia="Times New Roman" w:cs="Tahoma"/>
          <w:lang w:val="es-ES" w:eastAsia="es-ES"/>
        </w:rPr>
      </w:pPr>
    </w:p>
    <w:p w14:paraId="3CD75F14" w14:textId="178A649E" w:rsidR="0015016B" w:rsidRPr="000B1569" w:rsidRDefault="0015016B" w:rsidP="0015016B">
      <w:pPr>
        <w:spacing w:after="0" w:line="360" w:lineRule="auto"/>
        <w:contextualSpacing/>
        <w:rPr>
          <w:rFonts w:eastAsia="Times New Roman" w:cs="Tahoma"/>
          <w:bCs/>
          <w:iCs/>
          <w:color w:val="auto"/>
          <w:lang w:val="es-ES" w:eastAsia="es-ES"/>
        </w:rPr>
      </w:pPr>
      <w:r w:rsidRPr="000B1569">
        <w:rPr>
          <w:rFonts w:eastAsia="Times New Roman" w:cs="Tahoma"/>
          <w:bCs/>
          <w:iCs/>
          <w:color w:val="auto"/>
          <w:lang w:eastAsia="es-ES"/>
        </w:rPr>
        <w:t>Así, este Instituto considera que, para atender el requerimiento de información, el</w:t>
      </w:r>
      <w:r w:rsidRPr="000B1569">
        <w:rPr>
          <w:rFonts w:eastAsia="Times New Roman" w:cs="Tahoma"/>
          <w:bCs/>
          <w:iCs/>
          <w:color w:val="auto"/>
          <w:lang w:val="es-ES" w:eastAsia="es-ES"/>
        </w:rPr>
        <w:t xml:space="preserve"> Sujeto Obligado deberá realizar una búsqueda exhaustiva y razonable en los archivos de la </w:t>
      </w:r>
      <w:r w:rsidR="006519FE" w:rsidRPr="000B1569">
        <w:rPr>
          <w:rFonts w:eastAsia="Times New Roman" w:cs="Tahoma"/>
          <w:bCs/>
          <w:iCs/>
          <w:color w:val="auto"/>
          <w:lang w:val="es-ES" w:eastAsia="es-ES"/>
        </w:rPr>
        <w:t>Dirección General de Administración y la Dirección General de Seguridad Pública y Protección Ciudadana</w:t>
      </w:r>
      <w:r w:rsidRPr="000B1569">
        <w:rPr>
          <w:rFonts w:eastAsia="Times New Roman" w:cs="Tahoma"/>
          <w:bCs/>
          <w:iCs/>
          <w:color w:val="auto"/>
          <w:lang w:val="es-ES" w:eastAsia="es-ES"/>
        </w:rPr>
        <w:t xml:space="preserve">, a efecto de que proporcione </w:t>
      </w:r>
      <w:r w:rsidR="0030305E" w:rsidRPr="000B1569">
        <w:rPr>
          <w:rFonts w:eastAsia="Times New Roman" w:cs="Tahoma"/>
          <w:bCs/>
          <w:iCs/>
          <w:color w:val="auto"/>
          <w:lang w:val="es-ES" w:eastAsia="es-ES"/>
        </w:rPr>
        <w:t xml:space="preserve">el </w:t>
      </w:r>
      <w:r w:rsidR="0030305E" w:rsidRPr="000B1569">
        <w:rPr>
          <w:rFonts w:eastAsia="Times New Roman" w:cs="Tahoma"/>
          <w:iCs/>
          <w:color w:val="auto"/>
          <w:lang w:eastAsia="es-ES"/>
        </w:rPr>
        <w:t>documento donde const</w:t>
      </w:r>
      <w:r w:rsidR="006519FE" w:rsidRPr="000B1569">
        <w:rPr>
          <w:rFonts w:eastAsia="Times New Roman" w:cs="Tahoma"/>
          <w:iCs/>
          <w:color w:val="auto"/>
          <w:lang w:eastAsia="es-ES"/>
        </w:rPr>
        <w:t xml:space="preserve">e el </w:t>
      </w:r>
      <w:r w:rsidR="002E5730" w:rsidRPr="000B1569">
        <w:rPr>
          <w:rFonts w:eastAsia="Times New Roman" w:cs="Tahoma"/>
          <w:iCs/>
          <w:color w:val="auto"/>
          <w:lang w:eastAsia="es-ES"/>
        </w:rPr>
        <w:t xml:space="preserve">nombre, </w:t>
      </w:r>
      <w:r w:rsidR="006519FE" w:rsidRPr="000B1569">
        <w:rPr>
          <w:rFonts w:eastAsia="Times New Roman" w:cs="Tahoma"/>
          <w:iCs/>
          <w:color w:val="auto"/>
          <w:lang w:eastAsia="es-ES"/>
        </w:rPr>
        <w:t>cargo y</w:t>
      </w:r>
      <w:r w:rsidR="002E5730" w:rsidRPr="000B1569">
        <w:rPr>
          <w:rFonts w:eastAsia="Times New Roman" w:cs="Tahoma"/>
          <w:iCs/>
          <w:color w:val="auto"/>
          <w:lang w:eastAsia="es-ES"/>
        </w:rPr>
        <w:t>,</w:t>
      </w:r>
      <w:r w:rsidR="006519FE" w:rsidRPr="000B1569">
        <w:rPr>
          <w:rFonts w:eastAsia="Times New Roman" w:cs="Tahoma"/>
          <w:iCs/>
          <w:color w:val="auto"/>
          <w:lang w:eastAsia="es-ES"/>
        </w:rPr>
        <w:t xml:space="preserve"> sueldo bruto y neto mensual vigente al trece del enero de dos mil veinticinco, de los policías que se encontraban en el pase de lista realizado por el Presidente </w:t>
      </w:r>
      <w:proofErr w:type="spellStart"/>
      <w:r w:rsidR="006519FE" w:rsidRPr="000B1569">
        <w:rPr>
          <w:rFonts w:eastAsia="Times New Roman" w:cs="Tahoma"/>
          <w:iCs/>
          <w:color w:val="auto"/>
          <w:lang w:eastAsia="es-ES"/>
        </w:rPr>
        <w:t>Municicipal</w:t>
      </w:r>
      <w:proofErr w:type="spellEnd"/>
      <w:r w:rsidR="006519FE" w:rsidRPr="000B1569">
        <w:rPr>
          <w:rFonts w:eastAsia="Times New Roman" w:cs="Tahoma"/>
          <w:iCs/>
          <w:color w:val="auto"/>
          <w:lang w:eastAsia="es-ES"/>
        </w:rPr>
        <w:t xml:space="preserve">, el día seis de enero de dos mil veinticinco </w:t>
      </w:r>
      <w:r w:rsidR="0030305E" w:rsidRPr="000B1569">
        <w:rPr>
          <w:rFonts w:eastAsia="Times New Roman" w:cs="Tahoma"/>
          <w:iCs/>
          <w:color w:val="auto"/>
          <w:lang w:eastAsia="es-ES"/>
        </w:rPr>
        <w:t xml:space="preserve"> </w:t>
      </w:r>
    </w:p>
    <w:p w14:paraId="2D675344" w14:textId="77777777" w:rsidR="0015016B" w:rsidRPr="000B1569" w:rsidRDefault="0015016B" w:rsidP="0015016B">
      <w:pPr>
        <w:spacing w:after="0" w:line="360" w:lineRule="auto"/>
        <w:contextualSpacing/>
        <w:rPr>
          <w:rFonts w:eastAsia="Times New Roman" w:cs="Tahoma"/>
          <w:iCs/>
          <w:color w:val="auto"/>
          <w:lang w:val="es-ES" w:eastAsia="es-ES"/>
        </w:rPr>
      </w:pPr>
    </w:p>
    <w:p w14:paraId="6FF218BD" w14:textId="77777777" w:rsidR="0015016B" w:rsidRPr="000B1569" w:rsidRDefault="0015016B" w:rsidP="0015016B">
      <w:pPr>
        <w:spacing w:after="0" w:line="360" w:lineRule="auto"/>
        <w:contextualSpacing/>
        <w:rPr>
          <w:rFonts w:eastAsia="Times New Roman" w:cs="Tahoma"/>
          <w:iCs/>
          <w:color w:val="auto"/>
          <w:lang w:eastAsia="es-ES"/>
        </w:rPr>
      </w:pPr>
      <w:r w:rsidRPr="000B1569">
        <w:rPr>
          <w:rFonts w:eastAsia="Times New Roman" w:cs="Tahoma"/>
          <w:bCs/>
          <w:iCs/>
          <w:color w:val="auto"/>
          <w:lang w:eastAsia="es-ES"/>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5ABFDFA" w14:textId="77777777" w:rsidR="0015016B" w:rsidRPr="000B1569" w:rsidRDefault="0015016B" w:rsidP="0015016B">
      <w:pPr>
        <w:spacing w:after="0" w:line="360" w:lineRule="auto"/>
        <w:contextualSpacing/>
        <w:rPr>
          <w:rFonts w:eastAsia="Times New Roman" w:cs="Tahoma"/>
          <w:bCs/>
          <w:iCs/>
          <w:color w:val="auto"/>
          <w:lang w:eastAsia="es-ES"/>
        </w:rPr>
      </w:pPr>
    </w:p>
    <w:p w14:paraId="2DE73319" w14:textId="79E02B45" w:rsidR="0015016B" w:rsidRPr="000B1569" w:rsidRDefault="0015016B" w:rsidP="0015016B">
      <w:pPr>
        <w:spacing w:after="0" w:line="360" w:lineRule="auto"/>
        <w:contextualSpacing/>
        <w:rPr>
          <w:rFonts w:eastAsia="Palatino Linotype" w:cs="Palatino Linotype"/>
          <w:color w:val="auto"/>
          <w:lang w:eastAsia="es-MX"/>
        </w:rPr>
      </w:pPr>
      <w:r w:rsidRPr="000B1569">
        <w:rPr>
          <w:rFonts w:eastAsia="Times New Roman" w:cs="Tahoma"/>
          <w:bCs/>
          <w:iCs/>
          <w:color w:val="auto"/>
          <w:lang w:eastAsia="es-ES"/>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w:t>
      </w:r>
      <w:r w:rsidRPr="000B1569">
        <w:rPr>
          <w:rFonts w:eastAsia="Times New Roman" w:cs="Tahoma"/>
          <w:bCs/>
          <w:iCs/>
          <w:color w:val="auto"/>
          <w:lang w:eastAsia="es-ES"/>
        </w:rPr>
        <w:lastRenderedPageBreak/>
        <w:t>de Transparencia y Acceso a la Información Pública del Estado de México y Municipios, el cual refiere que los sujetos obligados deberán entregar la información que obre en sus archivos.</w:t>
      </w:r>
      <w:r w:rsidR="00D4442D" w:rsidRPr="000B1569">
        <w:rPr>
          <w:rFonts w:eastAsia="Times New Roman" w:cs="Tahoma"/>
          <w:bCs/>
          <w:iCs/>
          <w:color w:val="auto"/>
          <w:lang w:eastAsia="es-ES"/>
        </w:rPr>
        <w:t xml:space="preserve"> </w:t>
      </w:r>
      <w:r w:rsidRPr="000B1569">
        <w:rPr>
          <w:rFonts w:eastAsia="Palatino Linotype" w:cs="Palatino Linotype"/>
          <w:color w:val="auto"/>
          <w:lang w:eastAsia="es-MX"/>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w:t>
      </w:r>
      <w:r w:rsidR="0030305E" w:rsidRPr="000B1569">
        <w:rPr>
          <w:rFonts w:eastAsia="Palatino Linotype" w:cs="Palatino Linotype"/>
          <w:color w:val="auto"/>
          <w:lang w:eastAsia="es-MX"/>
        </w:rPr>
        <w:t>el documento</w:t>
      </w:r>
      <w:r w:rsidRPr="000B1569">
        <w:rPr>
          <w:rFonts w:eastAsia="Palatino Linotype" w:cs="Palatino Linotype"/>
          <w:color w:val="auto"/>
          <w:lang w:eastAsia="es-MX"/>
        </w:rPr>
        <w:t xml:space="preserve"> que d</w:t>
      </w:r>
      <w:r w:rsidR="0030305E" w:rsidRPr="000B1569">
        <w:rPr>
          <w:rFonts w:eastAsia="Palatino Linotype" w:cs="Palatino Linotype"/>
          <w:color w:val="auto"/>
          <w:lang w:eastAsia="es-MX"/>
        </w:rPr>
        <w:t>é</w:t>
      </w:r>
      <w:r w:rsidRPr="000B1569">
        <w:rPr>
          <w:rFonts w:eastAsia="Palatino Linotype" w:cs="Palatino Linotype"/>
          <w:color w:val="auto"/>
          <w:lang w:eastAsia="es-MX"/>
        </w:rPr>
        <w:t xml:space="preserve"> cuenta de lo requerido.</w:t>
      </w:r>
    </w:p>
    <w:p w14:paraId="6559BC2E" w14:textId="77777777" w:rsidR="00780EC7" w:rsidRPr="000B1569" w:rsidRDefault="00780EC7" w:rsidP="005032B4">
      <w:pPr>
        <w:spacing w:after="0" w:line="360" w:lineRule="auto"/>
        <w:rPr>
          <w:rFonts w:eastAsia="Times New Roman" w:cs="Tahoma"/>
          <w:iCs/>
          <w:lang w:eastAsia="es-ES"/>
        </w:rPr>
      </w:pPr>
    </w:p>
    <w:p w14:paraId="49C424E0" w14:textId="456EE77C" w:rsidR="00C35DF4" w:rsidRPr="000B1569" w:rsidRDefault="006519FE" w:rsidP="00C35DF4">
      <w:pPr>
        <w:spacing w:after="0" w:line="360" w:lineRule="auto"/>
        <w:rPr>
          <w:rFonts w:eastAsia="Palatino Linotype" w:cs="Palatino Linotype"/>
          <w:color w:val="000000"/>
          <w:lang w:eastAsia="es-MX"/>
        </w:rPr>
      </w:pPr>
      <w:r w:rsidRPr="000B1569">
        <w:rPr>
          <w:rFonts w:eastAsia="Calibri" w:cs="Times New Roman"/>
          <w:bCs/>
          <w:iCs/>
          <w:color w:val="auto"/>
        </w:rPr>
        <w:t xml:space="preserve">Finalmente, </w:t>
      </w:r>
      <w:r w:rsidR="00C35DF4" w:rsidRPr="000B1569">
        <w:rPr>
          <w:rFonts w:eastAsia="Calibri" w:cs="Times New Roman"/>
          <w:bCs/>
          <w:iCs/>
          <w:color w:val="auto"/>
        </w:rPr>
        <w:t xml:space="preserve">se procede a analizar </w:t>
      </w:r>
      <w:r w:rsidR="002E5730" w:rsidRPr="000B1569">
        <w:rPr>
          <w:rFonts w:eastAsia="Calibri" w:cs="Times New Roman"/>
          <w:bCs/>
          <w:iCs/>
          <w:color w:val="auto"/>
        </w:rPr>
        <w:t xml:space="preserve">de manera oficiosa si el nombre de los </w:t>
      </w:r>
      <w:proofErr w:type="spellStart"/>
      <w:r w:rsidR="002E5730" w:rsidRPr="000B1569">
        <w:rPr>
          <w:rFonts w:eastAsia="Calibri" w:cs="Times New Roman"/>
          <w:bCs/>
          <w:iCs/>
          <w:color w:val="auto"/>
        </w:rPr>
        <w:t>policias</w:t>
      </w:r>
      <w:proofErr w:type="spellEnd"/>
      <w:r w:rsidR="002E5730" w:rsidRPr="000B1569">
        <w:rPr>
          <w:rFonts w:eastAsia="Calibri" w:cs="Times New Roman"/>
          <w:bCs/>
          <w:iCs/>
          <w:color w:val="auto"/>
        </w:rPr>
        <w:t xml:space="preserve"> </w:t>
      </w:r>
      <w:proofErr w:type="spellStart"/>
      <w:r w:rsidR="002E5730" w:rsidRPr="000B1569">
        <w:rPr>
          <w:rFonts w:eastAsia="Calibri" w:cs="Times New Roman"/>
          <w:bCs/>
          <w:iCs/>
          <w:color w:val="auto"/>
        </w:rPr>
        <w:t>acutaliza</w:t>
      </w:r>
      <w:proofErr w:type="spellEnd"/>
      <w:r w:rsidR="002E5730" w:rsidRPr="000B1569">
        <w:rPr>
          <w:rFonts w:eastAsia="Calibri" w:cs="Times New Roman"/>
          <w:bCs/>
          <w:iCs/>
          <w:color w:val="auto"/>
        </w:rPr>
        <w:t xml:space="preserve"> alguna causal de reserva, al ser </w:t>
      </w:r>
      <w:r w:rsidR="00C35DF4" w:rsidRPr="000B1569">
        <w:rPr>
          <w:rFonts w:eastAsia="Calibri" w:cs="Times New Roman"/>
          <w:bCs/>
          <w:iCs/>
          <w:color w:val="auto"/>
        </w:rPr>
        <w:t>elementos operativos en materia de seguridad pública</w:t>
      </w:r>
      <w:r w:rsidR="00C35DF4" w:rsidRPr="000B1569">
        <w:rPr>
          <w:rFonts w:eastAsia="Calibri" w:cs="Times New Roman"/>
          <w:color w:val="000000"/>
          <w:lang w:eastAsia="es-MX"/>
        </w:rPr>
        <w:t>; al respecto, el artículo 140, fracción IV, de la Ley de Transparencia y Acceso a la Información Pública del Estado de México y Municipios</w:t>
      </w:r>
      <w:r w:rsidR="002E5730" w:rsidRPr="000B1569">
        <w:rPr>
          <w:rFonts w:eastAsia="Calibri" w:cs="Times New Roman"/>
          <w:color w:val="000000"/>
          <w:lang w:eastAsia="es-MX"/>
        </w:rPr>
        <w:t xml:space="preserve"> (</w:t>
      </w:r>
      <w:r w:rsidR="00C35DF4" w:rsidRPr="000B1569">
        <w:rPr>
          <w:rFonts w:eastAsia="Calibri" w:cs="Times New Roman"/>
          <w:color w:val="000000"/>
          <w:lang w:eastAsia="es-MX"/>
        </w:rPr>
        <w:t>homólogo a parte del artículo 113, fracción V de la Ley General de Transparencia y Acceso a la Información Pública</w:t>
      </w:r>
      <w:r w:rsidR="002E5730" w:rsidRPr="000B1569">
        <w:rPr>
          <w:rFonts w:eastAsia="Calibri" w:cs="Times New Roman"/>
          <w:color w:val="000000"/>
          <w:lang w:eastAsia="es-MX"/>
        </w:rPr>
        <w:t>, vigente a la fecha de la solicitud</w:t>
      </w:r>
      <w:r w:rsidR="00C35DF4" w:rsidRPr="000B1569">
        <w:rPr>
          <w:rFonts w:eastAsia="Calibri" w:cs="Times New Roman"/>
          <w:color w:val="000000"/>
          <w:lang w:eastAsia="es-MX"/>
        </w:rPr>
        <w:t>), prevé lo siguiente:</w:t>
      </w:r>
    </w:p>
    <w:p w14:paraId="04C78271" w14:textId="77777777" w:rsidR="00C35DF4" w:rsidRPr="000B1569" w:rsidRDefault="00C35DF4" w:rsidP="00C35DF4">
      <w:pPr>
        <w:tabs>
          <w:tab w:val="left" w:pos="4962"/>
        </w:tabs>
        <w:spacing w:after="0" w:line="360" w:lineRule="auto"/>
        <w:ind w:left="567" w:right="567"/>
        <w:contextualSpacing/>
        <w:rPr>
          <w:rFonts w:eastAsia="Calibri" w:cs="Tahoma"/>
          <w:i/>
          <w:iCs/>
          <w:color w:val="000000"/>
          <w:sz w:val="20"/>
          <w:szCs w:val="20"/>
          <w:lang w:val="es-ES" w:eastAsia="es-ES_tradnl"/>
        </w:rPr>
      </w:pPr>
    </w:p>
    <w:p w14:paraId="74E3CD17" w14:textId="77777777" w:rsidR="00C35DF4" w:rsidRPr="000B1569" w:rsidRDefault="00C35DF4" w:rsidP="00C35DF4">
      <w:pPr>
        <w:tabs>
          <w:tab w:val="left" w:pos="4962"/>
        </w:tabs>
        <w:spacing w:after="0" w:line="360" w:lineRule="auto"/>
        <w:ind w:left="567" w:right="567"/>
        <w:contextualSpacing/>
        <w:rPr>
          <w:rFonts w:eastAsia="Calibri" w:cs="Tahoma"/>
          <w:i/>
          <w:iCs/>
          <w:color w:val="000000"/>
          <w:sz w:val="20"/>
          <w:szCs w:val="20"/>
          <w:lang w:val="es-ES" w:eastAsia="es-ES_tradnl"/>
        </w:rPr>
      </w:pPr>
      <w:r w:rsidRPr="000B1569">
        <w:rPr>
          <w:rFonts w:eastAsia="Calibri" w:cs="Tahoma"/>
          <w:i/>
          <w:iCs/>
          <w:color w:val="000000"/>
          <w:sz w:val="20"/>
          <w:szCs w:val="20"/>
          <w:lang w:val="es-ES" w:eastAsia="es-ES_tradnl"/>
        </w:rPr>
        <w:t xml:space="preserve"> “</w:t>
      </w:r>
      <w:r w:rsidRPr="000B1569">
        <w:rPr>
          <w:rFonts w:eastAsia="Calibri" w:cs="Tahoma"/>
          <w:b/>
          <w:i/>
          <w:iCs/>
          <w:color w:val="000000"/>
          <w:sz w:val="20"/>
          <w:szCs w:val="20"/>
          <w:lang w:val="es-ES" w:eastAsia="es-ES_tradnl"/>
        </w:rPr>
        <w:t>Artículo 140.</w:t>
      </w:r>
      <w:r w:rsidRPr="000B1569">
        <w:rPr>
          <w:rFonts w:eastAsia="Calibri" w:cs="Tahoma"/>
          <w:i/>
          <w:iCs/>
          <w:color w:val="000000"/>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623FD35B" w14:textId="77777777" w:rsidR="00C35DF4" w:rsidRPr="000B1569" w:rsidRDefault="00C35DF4" w:rsidP="00C35DF4">
      <w:pPr>
        <w:tabs>
          <w:tab w:val="left" w:pos="4962"/>
        </w:tabs>
        <w:spacing w:after="0" w:line="360" w:lineRule="auto"/>
        <w:ind w:left="567" w:right="567"/>
        <w:contextualSpacing/>
        <w:rPr>
          <w:rFonts w:eastAsia="Calibri" w:cs="Tahoma"/>
          <w:i/>
          <w:iCs/>
          <w:color w:val="000000"/>
          <w:sz w:val="20"/>
          <w:szCs w:val="20"/>
          <w:lang w:val="es-ES" w:eastAsia="es-ES_tradnl"/>
        </w:rPr>
      </w:pPr>
      <w:r w:rsidRPr="000B1569">
        <w:rPr>
          <w:rFonts w:eastAsia="Calibri" w:cs="Tahoma"/>
          <w:i/>
          <w:iCs/>
          <w:color w:val="000000"/>
          <w:sz w:val="20"/>
          <w:szCs w:val="20"/>
          <w:lang w:val="es-ES" w:eastAsia="es-ES_tradnl"/>
        </w:rPr>
        <w:t>…</w:t>
      </w:r>
    </w:p>
    <w:p w14:paraId="459C2865" w14:textId="77777777" w:rsidR="00C35DF4" w:rsidRPr="000B1569" w:rsidRDefault="00C35DF4" w:rsidP="00C35DF4">
      <w:pPr>
        <w:tabs>
          <w:tab w:val="left" w:pos="4962"/>
        </w:tabs>
        <w:spacing w:after="0" w:line="360" w:lineRule="auto"/>
        <w:ind w:left="567" w:right="567"/>
        <w:contextualSpacing/>
        <w:rPr>
          <w:rFonts w:eastAsia="Calibri" w:cs="Tahoma"/>
          <w:i/>
          <w:iCs/>
          <w:color w:val="000000"/>
          <w:sz w:val="20"/>
          <w:szCs w:val="20"/>
          <w:lang w:eastAsia="es-ES_tradnl"/>
        </w:rPr>
      </w:pPr>
      <w:r w:rsidRPr="000B1569">
        <w:rPr>
          <w:rFonts w:eastAsia="Calibri" w:cs="Tahoma"/>
          <w:i/>
          <w:iCs/>
          <w:color w:val="000000"/>
          <w:sz w:val="20"/>
          <w:szCs w:val="20"/>
          <w:lang w:eastAsia="es-ES_tradnl"/>
        </w:rPr>
        <w:t>IV. Ponga en riesgo la vida, la seguridad o la salud de una persona física;</w:t>
      </w:r>
    </w:p>
    <w:p w14:paraId="12C67878" w14:textId="77777777" w:rsidR="00C35DF4" w:rsidRPr="000B1569" w:rsidRDefault="00C35DF4" w:rsidP="00C35DF4">
      <w:pPr>
        <w:tabs>
          <w:tab w:val="left" w:pos="4962"/>
        </w:tabs>
        <w:spacing w:after="0" w:line="360" w:lineRule="auto"/>
        <w:ind w:left="567" w:right="567"/>
        <w:contextualSpacing/>
        <w:rPr>
          <w:rFonts w:eastAsia="Calibri" w:cs="Tahoma"/>
          <w:i/>
          <w:iCs/>
          <w:color w:val="000000"/>
          <w:sz w:val="20"/>
          <w:szCs w:val="20"/>
          <w:lang w:val="es-ES" w:eastAsia="es-ES_tradnl"/>
        </w:rPr>
      </w:pPr>
      <w:r w:rsidRPr="000B1569">
        <w:rPr>
          <w:rFonts w:eastAsia="Calibri" w:cs="Tahoma"/>
          <w:i/>
          <w:iCs/>
          <w:color w:val="000000"/>
          <w:sz w:val="20"/>
          <w:szCs w:val="20"/>
          <w:lang w:val="es-ES" w:eastAsia="es-ES_tradnl"/>
        </w:rPr>
        <w:t xml:space="preserve">…” </w:t>
      </w:r>
    </w:p>
    <w:p w14:paraId="63085BE6" w14:textId="77777777" w:rsidR="00C35DF4" w:rsidRPr="000B1569" w:rsidRDefault="00C35DF4" w:rsidP="00C35DF4">
      <w:pPr>
        <w:spacing w:after="0" w:line="360" w:lineRule="auto"/>
        <w:rPr>
          <w:rFonts w:eastAsia="Calibri" w:cs="Tahoma"/>
          <w:bCs/>
          <w:color w:val="000000"/>
          <w:lang w:eastAsia="es-MX"/>
        </w:rPr>
      </w:pPr>
    </w:p>
    <w:p w14:paraId="52BA6B42" w14:textId="45792B22" w:rsidR="00C35DF4" w:rsidRPr="000B1569" w:rsidRDefault="00C35DF4" w:rsidP="00C35DF4">
      <w:pPr>
        <w:spacing w:after="0" w:line="360" w:lineRule="auto"/>
        <w:rPr>
          <w:rFonts w:eastAsia="Calibri" w:cs="Tahoma"/>
          <w:bCs/>
          <w:color w:val="000000"/>
          <w:lang w:eastAsia="es-MX"/>
        </w:rPr>
      </w:pPr>
      <w:r w:rsidRPr="000B1569">
        <w:rPr>
          <w:rFonts w:eastAsia="Calibri" w:cs="Tahoma"/>
          <w:bCs/>
          <w:color w:val="000000"/>
          <w:lang w:eastAsia="es-MX"/>
        </w:rPr>
        <w:t xml:space="preserve">Del precepto legal anteriormente citado se desprende que como información reservada podrá clasificarse aquella cuya publicación pueda poner en riesgo la vida, seguridad o salud de una persona física; para acreditar lo anterior, los </w:t>
      </w:r>
      <w:r w:rsidRPr="000B1569">
        <w:rPr>
          <w:rFonts w:eastAsia="Calibri" w:cs="Tahoma"/>
          <w:bCs/>
          <w:color w:val="000000"/>
          <w:lang w:val="es-ES" w:eastAsia="es-MX"/>
        </w:rPr>
        <w:t>Lineamientos Generales</w:t>
      </w:r>
      <w:r w:rsidR="002E5730" w:rsidRPr="000B1569">
        <w:rPr>
          <w:rFonts w:eastAsia="Calibri" w:cs="Tahoma"/>
          <w:bCs/>
          <w:color w:val="000000"/>
          <w:lang w:val="es-ES" w:eastAsia="es-MX"/>
        </w:rPr>
        <w:t>, vigentes a la fecha de la solicitud</w:t>
      </w:r>
      <w:r w:rsidRPr="000B1569">
        <w:rPr>
          <w:rFonts w:eastAsia="Calibri" w:cs="Tahoma"/>
          <w:bCs/>
          <w:color w:val="000000"/>
          <w:lang w:val="es-ES" w:eastAsia="es-MX"/>
        </w:rPr>
        <w:t xml:space="preserve">, </w:t>
      </w:r>
      <w:r w:rsidRPr="000B1569">
        <w:rPr>
          <w:rFonts w:eastAsia="Calibri" w:cs="Tahoma"/>
          <w:bCs/>
          <w:color w:val="000000"/>
          <w:lang w:eastAsia="es-MX"/>
        </w:rPr>
        <w:t>establecen lo siguiente:</w:t>
      </w:r>
    </w:p>
    <w:p w14:paraId="54B1A19C" w14:textId="77777777" w:rsidR="00C35DF4" w:rsidRPr="000B1569" w:rsidRDefault="00C35DF4" w:rsidP="00C35DF4">
      <w:pPr>
        <w:spacing w:after="0" w:line="360" w:lineRule="auto"/>
        <w:rPr>
          <w:rFonts w:eastAsia="Calibri" w:cs="Tahoma"/>
          <w:bCs/>
          <w:color w:val="000000"/>
          <w:lang w:eastAsia="es-MX"/>
        </w:rPr>
      </w:pPr>
    </w:p>
    <w:p w14:paraId="3D91C752" w14:textId="77777777" w:rsidR="00C35DF4" w:rsidRPr="000B1569" w:rsidRDefault="00C35DF4" w:rsidP="00C35DF4">
      <w:pPr>
        <w:spacing w:after="0" w:line="360" w:lineRule="auto"/>
        <w:ind w:left="567" w:right="567"/>
        <w:contextualSpacing/>
        <w:rPr>
          <w:rFonts w:eastAsia="Calibri" w:cs="Tahoma"/>
          <w:bCs/>
          <w:i/>
          <w:color w:val="000000"/>
          <w:sz w:val="20"/>
          <w:szCs w:val="20"/>
          <w:lang w:eastAsia="es-MX"/>
        </w:rPr>
      </w:pPr>
      <w:r w:rsidRPr="000B1569">
        <w:rPr>
          <w:rFonts w:eastAsia="Calibri" w:cs="Tahoma"/>
          <w:b/>
          <w:bCs/>
          <w:i/>
          <w:color w:val="000000"/>
          <w:sz w:val="20"/>
          <w:szCs w:val="20"/>
          <w:lang w:eastAsia="es-MX"/>
        </w:rPr>
        <w:lastRenderedPageBreak/>
        <w:t xml:space="preserve">“Vigésimo tercero. </w:t>
      </w:r>
      <w:r w:rsidRPr="000B1569">
        <w:rPr>
          <w:rFonts w:eastAsia="Calibri" w:cs="Tahoma"/>
          <w:bCs/>
          <w:i/>
          <w:color w:val="000000"/>
          <w:sz w:val="20"/>
          <w:szCs w:val="20"/>
          <w:lang w:eastAsia="es-MX"/>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1C9872FA" w14:textId="77777777" w:rsidR="00C35DF4" w:rsidRPr="000B1569" w:rsidRDefault="00C35DF4" w:rsidP="00C35DF4">
      <w:pPr>
        <w:spacing w:after="0" w:line="360" w:lineRule="auto"/>
        <w:ind w:left="567" w:right="567"/>
        <w:contextualSpacing/>
        <w:rPr>
          <w:rFonts w:eastAsia="Calibri" w:cs="Tahoma"/>
          <w:bCs/>
          <w:i/>
          <w:color w:val="000000"/>
          <w:sz w:val="20"/>
          <w:szCs w:val="20"/>
          <w:lang w:eastAsia="es-MX"/>
        </w:rPr>
      </w:pPr>
    </w:p>
    <w:p w14:paraId="1F7FA0A9" w14:textId="77777777" w:rsidR="00C35DF4" w:rsidRPr="000B1569" w:rsidRDefault="00C35DF4" w:rsidP="00C35DF4">
      <w:pPr>
        <w:spacing w:after="0" w:line="360" w:lineRule="auto"/>
        <w:rPr>
          <w:rFonts w:eastAsia="Calibri" w:cs="Tahoma"/>
          <w:b/>
          <w:bCs/>
          <w:color w:val="000000"/>
          <w:lang w:eastAsia="es-MX"/>
        </w:rPr>
      </w:pPr>
      <w:r w:rsidRPr="000B1569">
        <w:rPr>
          <w:rFonts w:eastAsia="Calibri" w:cs="Tahoma"/>
          <w:bCs/>
          <w:color w:val="000000"/>
          <w:lang w:eastAsia="es-MX"/>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7E4343F0" w14:textId="77777777" w:rsidR="00C35DF4" w:rsidRPr="000B1569" w:rsidRDefault="00C35DF4" w:rsidP="00C35DF4">
      <w:pPr>
        <w:spacing w:after="0" w:line="360" w:lineRule="auto"/>
        <w:rPr>
          <w:rFonts w:eastAsia="Calibri" w:cs="Tahoma"/>
          <w:bCs/>
          <w:color w:val="000000"/>
          <w:lang w:eastAsia="es-MX"/>
        </w:rPr>
      </w:pPr>
    </w:p>
    <w:p w14:paraId="75925881" w14:textId="77777777" w:rsidR="00C35DF4" w:rsidRPr="000B1569" w:rsidRDefault="00C35DF4" w:rsidP="00C35DF4">
      <w:pPr>
        <w:spacing w:after="0" w:line="360" w:lineRule="auto"/>
        <w:rPr>
          <w:rFonts w:eastAsia="Calibri" w:cs="Tahoma"/>
          <w:bCs/>
          <w:color w:val="000000"/>
          <w:lang w:eastAsia="es-MX"/>
        </w:rPr>
      </w:pPr>
      <w:r w:rsidRPr="000B1569">
        <w:rPr>
          <w:rFonts w:eastAsia="Calibri" w:cs="Tahoma"/>
          <w:bCs/>
          <w:color w:val="000000"/>
          <w:lang w:eastAsia="es-MX"/>
        </w:rPr>
        <w:t>Además, el artículo 81, fracción III, de la Ley de Seguridad del Estado de México, establece lo siguiente:</w:t>
      </w:r>
    </w:p>
    <w:p w14:paraId="0A5A32B2" w14:textId="77777777" w:rsidR="00C35DF4" w:rsidRPr="000B1569" w:rsidRDefault="00C35DF4" w:rsidP="00C35DF4">
      <w:pPr>
        <w:spacing w:after="0" w:line="360" w:lineRule="auto"/>
        <w:rPr>
          <w:rFonts w:eastAsia="Calibri" w:cs="Tahoma"/>
          <w:bCs/>
          <w:color w:val="000000"/>
          <w:lang w:eastAsia="es-MX"/>
        </w:rPr>
      </w:pPr>
    </w:p>
    <w:p w14:paraId="41578472" w14:textId="77777777" w:rsidR="00C35DF4" w:rsidRPr="000B1569" w:rsidRDefault="00C35DF4" w:rsidP="00C35DF4">
      <w:pPr>
        <w:spacing w:after="0" w:line="360" w:lineRule="auto"/>
        <w:ind w:left="567" w:right="567"/>
        <w:contextualSpacing/>
        <w:rPr>
          <w:rFonts w:eastAsia="Calibri" w:cs="Tahoma"/>
          <w:bCs/>
          <w:i/>
          <w:color w:val="000000"/>
          <w:sz w:val="20"/>
          <w:szCs w:val="20"/>
          <w:lang w:eastAsia="es-MX"/>
        </w:rPr>
      </w:pPr>
      <w:r w:rsidRPr="000B1569">
        <w:rPr>
          <w:rFonts w:eastAsia="Calibri" w:cs="Tahoma"/>
          <w:b/>
          <w:bCs/>
          <w:i/>
          <w:color w:val="000000"/>
          <w:sz w:val="20"/>
          <w:szCs w:val="20"/>
          <w:lang w:eastAsia="es-MX"/>
        </w:rPr>
        <w:t>“Artículo 81.-</w:t>
      </w:r>
      <w:r w:rsidRPr="000B1569">
        <w:rPr>
          <w:rFonts w:eastAsia="Calibri" w:cs="Tahoma"/>
          <w:bCs/>
          <w:i/>
          <w:color w:val="000000"/>
          <w:sz w:val="20"/>
          <w:szCs w:val="20"/>
          <w:lang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5580E294" w14:textId="77777777" w:rsidR="00C35DF4" w:rsidRPr="000B1569" w:rsidRDefault="00C35DF4" w:rsidP="00C35DF4">
      <w:pPr>
        <w:spacing w:after="0" w:line="360" w:lineRule="auto"/>
        <w:ind w:left="567" w:right="567"/>
        <w:contextualSpacing/>
        <w:rPr>
          <w:rFonts w:eastAsia="Calibri" w:cs="Tahoma"/>
          <w:bCs/>
          <w:i/>
          <w:color w:val="000000"/>
          <w:sz w:val="20"/>
          <w:szCs w:val="20"/>
          <w:lang w:eastAsia="es-MX"/>
        </w:rPr>
      </w:pPr>
      <w:r w:rsidRPr="000B1569">
        <w:rPr>
          <w:rFonts w:eastAsia="Calibri" w:cs="Tahoma"/>
          <w:bCs/>
          <w:i/>
          <w:color w:val="000000"/>
          <w:sz w:val="20"/>
          <w:szCs w:val="20"/>
          <w:lang w:eastAsia="es-MX"/>
        </w:rPr>
        <w:t>…</w:t>
      </w:r>
    </w:p>
    <w:p w14:paraId="4C812773" w14:textId="77777777" w:rsidR="00C35DF4" w:rsidRPr="000B1569" w:rsidRDefault="00C35DF4" w:rsidP="00C35DF4">
      <w:pPr>
        <w:spacing w:after="0" w:line="360" w:lineRule="auto"/>
        <w:ind w:left="567" w:right="567"/>
        <w:contextualSpacing/>
        <w:rPr>
          <w:rFonts w:eastAsia="Calibri" w:cs="Tahoma"/>
          <w:bCs/>
          <w:i/>
          <w:color w:val="000000"/>
          <w:sz w:val="20"/>
          <w:szCs w:val="20"/>
          <w:lang w:eastAsia="es-MX"/>
        </w:rPr>
      </w:pPr>
      <w:r w:rsidRPr="000B1569">
        <w:rPr>
          <w:rFonts w:eastAsia="Calibri" w:cs="Tahoma"/>
          <w:bCs/>
          <w:i/>
          <w:color w:val="000000"/>
          <w:sz w:val="20"/>
          <w:szCs w:val="20"/>
          <w:lang w:eastAsia="es-MX"/>
        </w:rPr>
        <w:t>III. La relativa a los servidores públicos integrantes de las instituciones de seguridad pública, cuya revelación pueda poner en riesgo su vida e integridad física con motivo de sus funciones;</w:t>
      </w:r>
    </w:p>
    <w:p w14:paraId="11D33EE5" w14:textId="77777777" w:rsidR="00C35DF4" w:rsidRPr="000B1569" w:rsidRDefault="00C35DF4" w:rsidP="00C35DF4">
      <w:pPr>
        <w:spacing w:after="0" w:line="360" w:lineRule="auto"/>
        <w:ind w:left="567" w:right="567"/>
        <w:contextualSpacing/>
        <w:rPr>
          <w:rFonts w:eastAsia="Calibri" w:cs="Tahoma"/>
          <w:bCs/>
          <w:i/>
          <w:color w:val="000000"/>
          <w:sz w:val="20"/>
          <w:szCs w:val="20"/>
          <w:lang w:eastAsia="es-MX"/>
        </w:rPr>
      </w:pPr>
      <w:r w:rsidRPr="000B1569">
        <w:rPr>
          <w:rFonts w:eastAsia="Calibri" w:cs="Tahoma"/>
          <w:bCs/>
          <w:i/>
          <w:color w:val="000000"/>
          <w:sz w:val="20"/>
          <w:szCs w:val="20"/>
          <w:lang w:eastAsia="es-MX"/>
        </w:rPr>
        <w:t>…”</w:t>
      </w:r>
    </w:p>
    <w:p w14:paraId="7020A20B" w14:textId="77777777" w:rsidR="00C35DF4" w:rsidRPr="000B1569" w:rsidRDefault="00C35DF4" w:rsidP="00C35DF4">
      <w:pPr>
        <w:spacing w:after="0" w:line="360" w:lineRule="auto"/>
        <w:rPr>
          <w:rFonts w:eastAsia="Calibri" w:cs="Tahoma"/>
          <w:bCs/>
          <w:color w:val="000000"/>
          <w:sz w:val="20"/>
          <w:szCs w:val="20"/>
          <w:lang w:eastAsia="es-MX"/>
        </w:rPr>
      </w:pPr>
    </w:p>
    <w:p w14:paraId="2EF56B72" w14:textId="77777777" w:rsidR="00C35DF4" w:rsidRPr="000B1569" w:rsidRDefault="00C35DF4" w:rsidP="00C35DF4">
      <w:pPr>
        <w:spacing w:after="0" w:line="360" w:lineRule="auto"/>
        <w:rPr>
          <w:rFonts w:eastAsia="Times New Roman" w:cs="Tahoma"/>
          <w:b/>
          <w:bCs/>
          <w:color w:val="000000"/>
          <w:lang w:eastAsia="es-ES"/>
        </w:rPr>
      </w:pPr>
      <w:r w:rsidRPr="000B1569">
        <w:rPr>
          <w:rFonts w:eastAsia="Times New Roman" w:cs="Tahoma"/>
          <w:color w:val="000000"/>
          <w:lang w:eastAsia="es-ES"/>
        </w:rPr>
        <w:t xml:space="preserve">Conforme al citado artículo, se desprende </w:t>
      </w:r>
      <w:r w:rsidRPr="000B1569">
        <w:rPr>
          <w:rFonts w:eastAsia="Times New Roman" w:cs="Tahoma"/>
          <w:b/>
          <w:bCs/>
          <w:color w:val="000000"/>
          <w:lang w:eastAsia="es-ES"/>
        </w:rPr>
        <w:t>que es reservada toda aquella información de los servidores públicos integrantes de las instituciones de seguridad pública, cuya revelación pueda poner en riesgo su vida e integridad física con motivo de sus funciones.</w:t>
      </w:r>
    </w:p>
    <w:p w14:paraId="1827BA2D" w14:textId="77777777" w:rsidR="00C35DF4" w:rsidRPr="000B1569" w:rsidRDefault="00C35DF4" w:rsidP="00C35DF4">
      <w:pPr>
        <w:spacing w:after="0" w:line="360" w:lineRule="auto"/>
        <w:rPr>
          <w:rFonts w:eastAsia="Times New Roman" w:cs="Tahoma"/>
          <w:bCs/>
          <w:iCs/>
          <w:color w:val="000000"/>
          <w:lang w:val="es-ES_tradnl" w:eastAsia="es-ES"/>
        </w:rPr>
      </w:pPr>
    </w:p>
    <w:p w14:paraId="471E07F2" w14:textId="6C00F180" w:rsidR="00C35DF4" w:rsidRPr="000B1569" w:rsidRDefault="00C35DF4" w:rsidP="00C35DF4">
      <w:pPr>
        <w:spacing w:after="0" w:line="360" w:lineRule="auto"/>
        <w:rPr>
          <w:rFonts w:eastAsia="Calibri" w:cs="Tahoma"/>
          <w:bCs/>
          <w:color w:val="000000"/>
          <w:lang w:eastAsia="es-MX"/>
        </w:rPr>
      </w:pPr>
      <w:r w:rsidRPr="000B1569">
        <w:rPr>
          <w:rFonts w:eastAsia="Calibri" w:cs="Tahoma"/>
          <w:bCs/>
          <w:color w:val="000000"/>
          <w:lang w:eastAsia="es-MX"/>
        </w:rPr>
        <w:t xml:space="preserve">En ese contexto, es de señalar que los datos de servidores públicos, entre los que se encuentran el nombre de los trabajadores, por regla general, son de naturaleza pública, de </w:t>
      </w:r>
      <w:r w:rsidRPr="000B1569">
        <w:rPr>
          <w:rFonts w:eastAsia="Calibri" w:cs="Tahoma"/>
          <w:bCs/>
          <w:color w:val="000000"/>
          <w:lang w:eastAsia="es-MX"/>
        </w:rPr>
        <w:lastRenderedPageBreak/>
        <w:t>conformidad con el artículo 92, fracci</w:t>
      </w:r>
      <w:r w:rsidR="002E5730" w:rsidRPr="000B1569">
        <w:rPr>
          <w:rFonts w:eastAsia="Calibri" w:cs="Tahoma"/>
          <w:bCs/>
          <w:color w:val="000000"/>
          <w:lang w:eastAsia="es-MX"/>
        </w:rPr>
        <w:t>o</w:t>
      </w:r>
      <w:r w:rsidRPr="000B1569">
        <w:rPr>
          <w:rFonts w:eastAsia="Calibri" w:cs="Tahoma"/>
          <w:bCs/>
          <w:color w:val="000000"/>
          <w:lang w:eastAsia="es-MX"/>
        </w:rPr>
        <w:t>n</w:t>
      </w:r>
      <w:r w:rsidR="002E5730" w:rsidRPr="000B1569">
        <w:rPr>
          <w:rFonts w:eastAsia="Calibri" w:cs="Tahoma"/>
          <w:bCs/>
          <w:color w:val="000000"/>
          <w:lang w:eastAsia="es-MX"/>
        </w:rPr>
        <w:t>es</w:t>
      </w:r>
      <w:r w:rsidRPr="000B1569">
        <w:rPr>
          <w:rFonts w:eastAsia="Calibri" w:cs="Tahoma"/>
          <w:bCs/>
          <w:color w:val="000000"/>
          <w:lang w:eastAsia="es-MX"/>
        </w:rPr>
        <w:t xml:space="preserve"> VII</w:t>
      </w:r>
      <w:r w:rsidR="002E5730" w:rsidRPr="000B1569">
        <w:rPr>
          <w:rFonts w:eastAsia="Calibri" w:cs="Tahoma"/>
          <w:bCs/>
          <w:color w:val="000000"/>
          <w:lang w:eastAsia="es-MX"/>
        </w:rPr>
        <w:t xml:space="preserve"> y VIII</w:t>
      </w:r>
      <w:r w:rsidRPr="000B1569">
        <w:rPr>
          <w:rFonts w:eastAsia="Calibri" w:cs="Tahoma"/>
          <w:bCs/>
          <w:color w:val="000000"/>
          <w:lang w:eastAsia="es-MX"/>
        </w:rPr>
        <w:t>, de la Ley de Transparencia y Acceso a la Información Pública del Estado de México y Municipios.</w:t>
      </w:r>
    </w:p>
    <w:p w14:paraId="6623A036" w14:textId="77777777" w:rsidR="00C35DF4" w:rsidRPr="000B1569" w:rsidRDefault="00C35DF4" w:rsidP="00C35DF4">
      <w:pPr>
        <w:spacing w:after="0" w:line="360" w:lineRule="auto"/>
        <w:rPr>
          <w:rFonts w:eastAsia="Calibri" w:cs="Tahoma"/>
          <w:bCs/>
          <w:color w:val="000000"/>
          <w:lang w:eastAsia="es-MX"/>
        </w:rPr>
      </w:pPr>
    </w:p>
    <w:p w14:paraId="7FC61486" w14:textId="6B764661" w:rsidR="00C35DF4" w:rsidRPr="000B1569" w:rsidRDefault="00C35DF4" w:rsidP="00C35DF4">
      <w:pPr>
        <w:spacing w:after="0" w:line="360" w:lineRule="auto"/>
        <w:rPr>
          <w:rFonts w:eastAsia="Times New Roman" w:cs="Tahoma"/>
          <w:color w:val="000000"/>
          <w:lang w:eastAsia="es-ES"/>
        </w:rPr>
      </w:pPr>
      <w:r w:rsidRPr="000B1569">
        <w:rPr>
          <w:rFonts w:eastAsia="Calibri" w:cs="Tahoma"/>
          <w:bCs/>
          <w:color w:val="000000"/>
          <w:lang w:eastAsia="es-MX"/>
        </w:rPr>
        <w:t xml:space="preserve">No obstante, resulta necesario traer a colación por analogía, el </w:t>
      </w:r>
      <w:r w:rsidRPr="000B1569">
        <w:rPr>
          <w:rFonts w:eastAsia="Calibri" w:cs="Times New Roman"/>
          <w:color w:val="000000"/>
          <w:lang w:val="es-ES" w:eastAsia="es-MX"/>
        </w:rPr>
        <w:t xml:space="preserve">Criterio </w:t>
      </w:r>
      <w:r w:rsidR="002E5730" w:rsidRPr="000B1569">
        <w:rPr>
          <w:rFonts w:eastAsia="Calibri" w:cs="Times New Roman"/>
          <w:color w:val="000000"/>
          <w:lang w:val="es-ES" w:eastAsia="es-MX"/>
        </w:rPr>
        <w:t>Orientador</w:t>
      </w:r>
      <w:r w:rsidRPr="000B1569">
        <w:rPr>
          <w:rFonts w:eastAsia="Calibri" w:cs="Times New Roman"/>
          <w:color w:val="000000"/>
          <w:lang w:val="es-ES" w:eastAsia="es-MX"/>
        </w:rPr>
        <w:t xml:space="preserve">, con número de registro SO/006/2009, de la Primera Época, </w:t>
      </w:r>
      <w:r w:rsidRPr="000B1569">
        <w:rPr>
          <w:rFonts w:eastAsia="Calibri" w:cs="Tahoma"/>
          <w:bCs/>
          <w:color w:val="000000"/>
          <w:lang w:eastAsia="es-MX"/>
        </w:rPr>
        <w:t xml:space="preserve">emitido por </w:t>
      </w:r>
      <w:r w:rsidRPr="000B1569">
        <w:rPr>
          <w:rFonts w:eastAsia="Times New Roman" w:cs="Tahoma"/>
          <w:color w:val="000000"/>
          <w:lang w:eastAsia="es-ES"/>
        </w:rPr>
        <w:t>el entonces Instituto Nacional de Transparencia, Acceso a la Información y Protección de Datos Personales</w:t>
      </w:r>
      <w:r w:rsidR="002E5730" w:rsidRPr="000B1569">
        <w:rPr>
          <w:rFonts w:eastAsia="Times New Roman" w:cs="Tahoma"/>
          <w:color w:val="000000"/>
          <w:lang w:eastAsia="es-ES"/>
        </w:rPr>
        <w:t>, vigente a la fecha de la solicitud</w:t>
      </w:r>
      <w:r w:rsidRPr="000B1569">
        <w:rPr>
          <w:rFonts w:eastAsia="Times New Roman" w:cs="Tahoma"/>
          <w:color w:val="000000"/>
          <w:lang w:eastAsia="es-ES"/>
        </w:rPr>
        <w:t>, que establece lo siguiente:</w:t>
      </w:r>
    </w:p>
    <w:p w14:paraId="6D0E61DF" w14:textId="77777777" w:rsidR="00C35DF4" w:rsidRPr="000B1569" w:rsidRDefault="00C35DF4" w:rsidP="00C35DF4">
      <w:pPr>
        <w:spacing w:after="0" w:line="360" w:lineRule="auto"/>
        <w:rPr>
          <w:rFonts w:eastAsia="Times New Roman" w:cs="Tahoma"/>
          <w:color w:val="000000"/>
          <w:lang w:eastAsia="es-ES"/>
        </w:rPr>
      </w:pPr>
    </w:p>
    <w:p w14:paraId="5BCD9854" w14:textId="77777777" w:rsidR="00C35DF4" w:rsidRPr="000B1569" w:rsidRDefault="00C35DF4" w:rsidP="00C35DF4">
      <w:pPr>
        <w:tabs>
          <w:tab w:val="left" w:pos="4962"/>
        </w:tabs>
        <w:spacing w:after="0" w:line="360" w:lineRule="auto"/>
        <w:ind w:left="567" w:right="567"/>
        <w:contextualSpacing/>
        <w:rPr>
          <w:rFonts w:eastAsia="Times New Roman" w:cs="Tahoma"/>
          <w:i/>
          <w:color w:val="000000"/>
          <w:sz w:val="20"/>
          <w:lang w:eastAsia="es-ES"/>
        </w:rPr>
      </w:pPr>
      <w:r w:rsidRPr="000B1569">
        <w:rPr>
          <w:rFonts w:eastAsia="Times New Roman" w:cs="Tahoma"/>
          <w:b/>
          <w:i/>
          <w:color w:val="000000"/>
          <w:sz w:val="20"/>
          <w:lang w:eastAsia="es-ES"/>
        </w:rPr>
        <w:t>“Nombres de servidores públicos dedicados a actividades en materia de seguridad, por excepción pueden considerarse información reservada.</w:t>
      </w:r>
      <w:r w:rsidRPr="000B1569">
        <w:rPr>
          <w:rFonts w:eastAsia="Times New Roman" w:cs="Tahoma"/>
          <w:i/>
          <w:color w:val="000000"/>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959B324" w14:textId="77777777" w:rsidR="00C35DF4" w:rsidRPr="000B1569" w:rsidRDefault="00C35DF4" w:rsidP="00C35DF4">
      <w:pPr>
        <w:spacing w:after="0" w:line="360" w:lineRule="auto"/>
        <w:rPr>
          <w:rFonts w:eastAsia="Calibri" w:cs="Tahoma"/>
          <w:bCs/>
          <w:color w:val="000000"/>
          <w:lang w:eastAsia="es-MX"/>
        </w:rPr>
      </w:pPr>
    </w:p>
    <w:p w14:paraId="013A6A1D" w14:textId="77777777" w:rsidR="00C35DF4" w:rsidRPr="000B1569" w:rsidRDefault="00C35DF4" w:rsidP="00C35DF4">
      <w:pPr>
        <w:spacing w:after="0" w:line="360" w:lineRule="auto"/>
        <w:rPr>
          <w:rFonts w:eastAsia="Calibri" w:cs="Tahoma"/>
          <w:bCs/>
          <w:color w:val="000000"/>
          <w:lang w:eastAsia="es-MX"/>
        </w:rPr>
      </w:pPr>
      <w:r w:rsidRPr="000B1569">
        <w:rPr>
          <w:rFonts w:eastAsia="Calibri" w:cs="Tahoma"/>
          <w:bCs/>
          <w:color w:val="000000"/>
          <w:lang w:eastAsia="es-MX"/>
        </w:rPr>
        <w:lastRenderedPageBreak/>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39057BBB" w14:textId="77777777" w:rsidR="00C35DF4" w:rsidRPr="000B1569" w:rsidRDefault="00C35DF4" w:rsidP="00C35DF4">
      <w:pPr>
        <w:spacing w:after="0" w:line="360" w:lineRule="auto"/>
        <w:rPr>
          <w:rFonts w:eastAsia="Calibri" w:cs="Tahoma"/>
          <w:bCs/>
          <w:color w:val="000000"/>
          <w:lang w:eastAsia="es-MX"/>
        </w:rPr>
      </w:pPr>
    </w:p>
    <w:p w14:paraId="22687A52" w14:textId="77777777" w:rsidR="00C35DF4" w:rsidRPr="000B1569" w:rsidRDefault="00C35DF4" w:rsidP="00C35DF4">
      <w:pPr>
        <w:spacing w:after="0" w:line="360" w:lineRule="auto"/>
        <w:rPr>
          <w:rFonts w:eastAsia="Palatino Linotype" w:cs="Palatino Linotype"/>
          <w:color w:val="000000"/>
          <w:lang w:eastAsia="es-MX"/>
        </w:rPr>
      </w:pPr>
      <w:r w:rsidRPr="000B1569">
        <w:rPr>
          <w:rFonts w:eastAsia="Palatino Linotype" w:cs="Palatino Linotype"/>
          <w:color w:val="000000"/>
          <w:lang w:eastAsia="es-MX"/>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1D296260" w14:textId="77777777" w:rsidR="00C35DF4" w:rsidRPr="000B1569" w:rsidRDefault="00C35DF4" w:rsidP="00C35DF4">
      <w:pPr>
        <w:spacing w:after="0" w:line="360" w:lineRule="auto"/>
        <w:rPr>
          <w:rFonts w:eastAsia="Calibri" w:cs="Tahoma"/>
          <w:bCs/>
          <w:color w:val="000000"/>
          <w:lang w:eastAsia="es-MX"/>
        </w:rPr>
      </w:pPr>
    </w:p>
    <w:p w14:paraId="57AFB465" w14:textId="77777777" w:rsidR="00C35DF4" w:rsidRPr="000B1569" w:rsidRDefault="00C35DF4" w:rsidP="00C35DF4">
      <w:pPr>
        <w:spacing w:after="0" w:line="360" w:lineRule="auto"/>
        <w:rPr>
          <w:rFonts w:eastAsia="Calibri" w:cs="Tahoma"/>
          <w:bCs/>
          <w:color w:val="000000"/>
          <w:lang w:eastAsia="es-MX"/>
        </w:rPr>
      </w:pPr>
      <w:r w:rsidRPr="000B1569">
        <w:rPr>
          <w:rFonts w:eastAsia="Calibri" w:cs="Tahoma"/>
          <w:bCs/>
          <w:color w:val="000000"/>
          <w:lang w:eastAsia="es-MX"/>
        </w:rPr>
        <w:t xml:space="preserve">En ese orden de ideas, si bien por regla general los nombres de los trabajadores gubernamentales son información pública de oficio, existe una excepción relativa a </w:t>
      </w:r>
      <w:r w:rsidRPr="000B1569">
        <w:rPr>
          <w:rFonts w:eastAsia="Calibri" w:cs="Tahoma"/>
          <w:b/>
          <w:bCs/>
          <w:color w:val="000000"/>
          <w:lang w:eastAsia="es-MX"/>
        </w:rPr>
        <w:t>aquellos que realicen actividades operativas en materia de seguridad,</w:t>
      </w:r>
      <w:r w:rsidRPr="000B1569">
        <w:rPr>
          <w:rFonts w:eastAsia="Calibri" w:cs="Tahoma"/>
          <w:bCs/>
          <w:color w:val="000000"/>
          <w:lang w:eastAsia="es-MX"/>
        </w:rPr>
        <w:t xml:space="preserve"> como es el caso de los elementos operativos y la policía municipal.</w:t>
      </w:r>
    </w:p>
    <w:p w14:paraId="0AA87763" w14:textId="77777777" w:rsidR="00C35DF4" w:rsidRPr="000B1569" w:rsidRDefault="00C35DF4" w:rsidP="00C35DF4">
      <w:pPr>
        <w:spacing w:after="0" w:line="360" w:lineRule="auto"/>
        <w:rPr>
          <w:rFonts w:eastAsia="Calibri" w:cs="Tahoma"/>
          <w:bCs/>
          <w:color w:val="000000"/>
          <w:lang w:eastAsia="es-MX"/>
        </w:rPr>
      </w:pPr>
    </w:p>
    <w:p w14:paraId="7BF8CBA1" w14:textId="77777777" w:rsidR="00C35DF4" w:rsidRPr="000B1569" w:rsidRDefault="00C35DF4" w:rsidP="00C35DF4">
      <w:pPr>
        <w:spacing w:after="0" w:line="360" w:lineRule="auto"/>
        <w:rPr>
          <w:rFonts w:eastAsia="Calibri" w:cs="Tahoma"/>
          <w:bCs/>
          <w:color w:val="000000"/>
          <w:lang w:eastAsia="es-MX"/>
        </w:rPr>
      </w:pPr>
      <w:r w:rsidRPr="000B1569">
        <w:rPr>
          <w:rFonts w:eastAsia="Calibri" w:cs="Tahoma"/>
          <w:bCs/>
          <w:color w:val="000000"/>
          <w:lang w:eastAsia="es-MX"/>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12A8E84F" w14:textId="77777777" w:rsidR="00C35DF4" w:rsidRPr="000B1569" w:rsidRDefault="00C35DF4" w:rsidP="00C35DF4">
      <w:pPr>
        <w:spacing w:after="0" w:line="360" w:lineRule="auto"/>
        <w:rPr>
          <w:rFonts w:eastAsia="Calibri" w:cs="Tahoma"/>
          <w:bCs/>
          <w:color w:val="000000"/>
          <w:lang w:eastAsia="es-MX"/>
        </w:rPr>
      </w:pPr>
    </w:p>
    <w:p w14:paraId="74E4EC3F" w14:textId="77777777" w:rsidR="00C35DF4" w:rsidRPr="000B1569" w:rsidRDefault="00C35DF4" w:rsidP="00C35DF4">
      <w:pPr>
        <w:spacing w:after="0" w:line="360" w:lineRule="auto"/>
        <w:rPr>
          <w:rFonts w:eastAsia="Calibri" w:cs="Tahoma"/>
          <w:bCs/>
          <w:color w:val="000000"/>
          <w:lang w:eastAsia="es-MX"/>
        </w:rPr>
      </w:pPr>
      <w:r w:rsidRPr="000B1569">
        <w:rPr>
          <w:rFonts w:eastAsia="Calibri" w:cs="Tahoma"/>
          <w:bCs/>
          <w:color w:val="000000"/>
          <w:lang w:eastAsia="es-MX"/>
        </w:rPr>
        <w:lastRenderedPageBreak/>
        <w:t>En ese contexto, el artículo 6°, fracciones XI y XII de dicho ordenamiento jurídico, establece los siguientes conceptos:</w:t>
      </w:r>
    </w:p>
    <w:p w14:paraId="0D482D04" w14:textId="77777777" w:rsidR="00C35DF4" w:rsidRPr="000B1569" w:rsidRDefault="00C35DF4" w:rsidP="00C35DF4">
      <w:pPr>
        <w:spacing w:after="0" w:line="360" w:lineRule="auto"/>
        <w:rPr>
          <w:rFonts w:eastAsia="Calibri" w:cs="Tahoma"/>
          <w:bCs/>
          <w:color w:val="000000"/>
          <w:lang w:eastAsia="es-MX"/>
        </w:rPr>
      </w:pPr>
    </w:p>
    <w:p w14:paraId="24F3BD4F" w14:textId="77777777" w:rsidR="00C35DF4" w:rsidRPr="000B1569" w:rsidRDefault="00C35DF4" w:rsidP="00C35DF4">
      <w:pPr>
        <w:numPr>
          <w:ilvl w:val="0"/>
          <w:numId w:val="32"/>
        </w:numPr>
        <w:spacing w:after="0" w:line="360" w:lineRule="auto"/>
        <w:rPr>
          <w:rFonts w:eastAsia="Calibri" w:cs="Tahoma"/>
          <w:b/>
          <w:bCs/>
          <w:color w:val="000000"/>
          <w:lang w:eastAsia="es-MX"/>
        </w:rPr>
      </w:pPr>
      <w:r w:rsidRPr="000B1569">
        <w:rPr>
          <w:rFonts w:eastAsia="Calibri" w:cs="Tahoma"/>
          <w:b/>
          <w:bCs/>
          <w:color w:val="000000"/>
          <w:lang w:eastAsia="es-MX"/>
        </w:rPr>
        <w:t xml:space="preserve">Instituciones Policiales: </w:t>
      </w:r>
      <w:r w:rsidRPr="000B1569">
        <w:rPr>
          <w:rFonts w:eastAsia="Calibri" w:cs="Tahoma"/>
          <w:bCs/>
          <w:color w:val="000000"/>
          <w:lang w:eastAsia="es-MX"/>
        </w:rPr>
        <w:t xml:space="preserve">Son los cuerpos de policía, de vigilancia y custodia de los establecimientos penitenciarios, detención preventiva, centros de arraigo y en general, </w:t>
      </w:r>
      <w:r w:rsidRPr="000B1569">
        <w:rPr>
          <w:rFonts w:eastAsia="Calibri" w:cs="Tahoma"/>
          <w:b/>
          <w:bCs/>
          <w:color w:val="000000"/>
          <w:lang w:eastAsia="es-MX"/>
        </w:rPr>
        <w:t>todas las dependencias encargadas de la seguridad pública a nivel</w:t>
      </w:r>
      <w:r w:rsidRPr="000B1569">
        <w:rPr>
          <w:rFonts w:eastAsia="Calibri" w:cs="Tahoma"/>
          <w:bCs/>
          <w:color w:val="000000"/>
          <w:lang w:eastAsia="es-MX"/>
        </w:rPr>
        <w:t xml:space="preserve"> estatal y </w:t>
      </w:r>
      <w:r w:rsidRPr="000B1569">
        <w:rPr>
          <w:rFonts w:eastAsia="Calibri" w:cs="Tahoma"/>
          <w:b/>
          <w:bCs/>
          <w:color w:val="000000"/>
          <w:lang w:eastAsia="es-MX"/>
        </w:rPr>
        <w:t>municipal.</w:t>
      </w:r>
    </w:p>
    <w:p w14:paraId="35B244C9" w14:textId="77777777" w:rsidR="00C35DF4" w:rsidRPr="000B1569" w:rsidRDefault="00C35DF4" w:rsidP="00C35DF4">
      <w:pPr>
        <w:spacing w:after="0" w:line="360" w:lineRule="auto"/>
        <w:ind w:left="720"/>
        <w:contextualSpacing/>
        <w:rPr>
          <w:rFonts w:eastAsia="Calibri" w:cs="Tahoma"/>
          <w:bCs/>
          <w:color w:val="000000"/>
          <w:lang w:eastAsia="es-MX"/>
        </w:rPr>
      </w:pPr>
    </w:p>
    <w:p w14:paraId="130598A2" w14:textId="77777777" w:rsidR="00C35DF4" w:rsidRPr="000B1569" w:rsidRDefault="00C35DF4" w:rsidP="00C35DF4">
      <w:pPr>
        <w:numPr>
          <w:ilvl w:val="0"/>
          <w:numId w:val="32"/>
        </w:numPr>
        <w:spacing w:after="0" w:line="360" w:lineRule="auto"/>
        <w:rPr>
          <w:rFonts w:eastAsia="Calibri" w:cs="Tahoma"/>
          <w:b/>
          <w:bCs/>
          <w:color w:val="000000"/>
          <w:lang w:eastAsia="es-MX"/>
        </w:rPr>
      </w:pPr>
      <w:r w:rsidRPr="000B1569">
        <w:rPr>
          <w:rFonts w:eastAsia="Calibri" w:cs="Tahoma"/>
          <w:b/>
          <w:bCs/>
          <w:color w:val="000000"/>
          <w:lang w:eastAsia="es-MX"/>
        </w:rPr>
        <w:t xml:space="preserve">Instituciones de Seguridad Pública: </w:t>
      </w:r>
      <w:r w:rsidRPr="000B1569">
        <w:rPr>
          <w:rFonts w:eastAsia="Calibri" w:cs="Tahoma"/>
          <w:bCs/>
          <w:color w:val="000000"/>
          <w:lang w:eastAsia="es-MX"/>
        </w:rPr>
        <w:t xml:space="preserve">Instituciones Policiales, Procuración de Justicia, Sistema Penitenciario y </w:t>
      </w:r>
      <w:r w:rsidRPr="000B1569">
        <w:rPr>
          <w:rFonts w:eastAsia="Calibri" w:cs="Tahoma"/>
          <w:b/>
          <w:bCs/>
          <w:color w:val="000000"/>
          <w:lang w:eastAsia="es-MX"/>
        </w:rPr>
        <w:t xml:space="preserve">dependencias encargadas de la seguridad pública a nivel </w:t>
      </w:r>
      <w:r w:rsidRPr="000B1569">
        <w:rPr>
          <w:rFonts w:eastAsia="Calibri" w:cs="Tahoma"/>
          <w:bCs/>
          <w:color w:val="000000"/>
          <w:lang w:eastAsia="es-MX"/>
        </w:rPr>
        <w:t xml:space="preserve">estatal y </w:t>
      </w:r>
      <w:r w:rsidRPr="000B1569">
        <w:rPr>
          <w:rFonts w:eastAsia="Calibri" w:cs="Tahoma"/>
          <w:b/>
          <w:bCs/>
          <w:color w:val="000000"/>
          <w:lang w:eastAsia="es-MX"/>
        </w:rPr>
        <w:t>municipal.</w:t>
      </w:r>
    </w:p>
    <w:p w14:paraId="58BD2883" w14:textId="77777777" w:rsidR="00C35DF4" w:rsidRPr="000B1569" w:rsidRDefault="00C35DF4" w:rsidP="00C35DF4">
      <w:pPr>
        <w:spacing w:after="0" w:line="360" w:lineRule="auto"/>
        <w:rPr>
          <w:rFonts w:eastAsia="Calibri" w:cs="Tahoma"/>
          <w:b/>
          <w:bCs/>
          <w:color w:val="000000"/>
          <w:lang w:eastAsia="es-MX"/>
        </w:rPr>
      </w:pPr>
    </w:p>
    <w:p w14:paraId="6BC80320" w14:textId="2682BED0" w:rsidR="00C35DF4" w:rsidRPr="000B1569" w:rsidRDefault="00C35DF4" w:rsidP="00C35DF4">
      <w:pPr>
        <w:spacing w:after="0" w:line="360" w:lineRule="auto"/>
        <w:rPr>
          <w:rFonts w:eastAsia="Calibri" w:cs="Times New Roman"/>
          <w:color w:val="000000"/>
          <w:szCs w:val="20"/>
          <w:lang w:eastAsia="es-ES"/>
        </w:rPr>
      </w:pPr>
      <w:r w:rsidRPr="000B1569">
        <w:rPr>
          <w:rFonts w:eastAsia="Calibri" w:cs="Tahoma"/>
          <w:iCs/>
          <w:color w:val="000000"/>
          <w:szCs w:val="20"/>
          <w:lang w:val="es-ES" w:eastAsia="es-ES_tradnl"/>
        </w:rPr>
        <w:t>Conforme a lo anterior</w:t>
      </w:r>
      <w:r w:rsidRPr="000B1569">
        <w:rPr>
          <w:rFonts w:eastAsia="Calibri" w:cs="Tahoma"/>
          <w:bCs/>
          <w:color w:val="000000"/>
          <w:lang w:eastAsia="es-MX"/>
        </w:rPr>
        <w:t>, se puede deducir que la</w:t>
      </w:r>
      <w:r w:rsidRPr="000B1569">
        <w:rPr>
          <w:rFonts w:eastAsia="Calibri" w:cs="Tahoma"/>
          <w:bCs/>
          <w:color w:val="000000"/>
          <w:lang w:val="es-ES_tradnl" w:eastAsia="es-MX"/>
        </w:rPr>
        <w:t xml:space="preserve"> </w:t>
      </w:r>
      <w:r w:rsidR="002E5730" w:rsidRPr="000B1569">
        <w:rPr>
          <w:rFonts w:eastAsia="Calibri" w:cs="Tahoma"/>
          <w:bCs/>
          <w:color w:val="000000"/>
          <w:lang w:eastAsia="es-MX"/>
        </w:rPr>
        <w:t>Dirección General de Seguridad Pública y Protección Ciudadana</w:t>
      </w:r>
      <w:r w:rsidRPr="000B1569">
        <w:rPr>
          <w:rFonts w:eastAsia="Calibri" w:cs="Tahoma"/>
          <w:bCs/>
          <w:color w:val="000000"/>
          <w:lang w:eastAsia="es-MX"/>
        </w:rPr>
        <w:t xml:space="preserve">, es una institución de seguridad pública, pues tiene como atribución principal, la prevención de delitos </w:t>
      </w:r>
      <w:r w:rsidRPr="000B1569">
        <w:rPr>
          <w:rFonts w:eastAsia="Calibri" w:cs="Times New Roman"/>
          <w:color w:val="000000"/>
          <w:szCs w:val="20"/>
          <w:lang w:eastAsia="es-ES"/>
        </w:rPr>
        <w:t>y proteger a las personas, sus propiedades, posesiones y derechos.</w:t>
      </w:r>
    </w:p>
    <w:p w14:paraId="732CE526" w14:textId="77777777" w:rsidR="00C35DF4" w:rsidRPr="000B1569" w:rsidRDefault="00C35DF4" w:rsidP="00C35DF4">
      <w:pPr>
        <w:spacing w:after="0" w:line="360" w:lineRule="auto"/>
        <w:rPr>
          <w:rFonts w:eastAsia="Calibri" w:cs="Times New Roman"/>
          <w:color w:val="000000"/>
          <w:szCs w:val="20"/>
          <w:lang w:eastAsia="es-ES"/>
        </w:rPr>
      </w:pPr>
    </w:p>
    <w:p w14:paraId="1C5FCCD5" w14:textId="77777777" w:rsidR="00C35DF4" w:rsidRPr="000B1569" w:rsidRDefault="00C35DF4" w:rsidP="00C35DF4">
      <w:pPr>
        <w:tabs>
          <w:tab w:val="left" w:pos="4962"/>
        </w:tabs>
        <w:spacing w:after="0" w:line="360" w:lineRule="auto"/>
        <w:ind w:right="-28"/>
        <w:contextualSpacing/>
        <w:rPr>
          <w:rFonts w:eastAsia="Calibri" w:cs="Tahoma"/>
          <w:bCs/>
          <w:color w:val="000000"/>
          <w:lang w:eastAsia="es-MX"/>
        </w:rPr>
      </w:pPr>
      <w:r w:rsidRPr="000B1569">
        <w:rPr>
          <w:rFonts w:eastAsia="Calibri" w:cs="Tahoma"/>
          <w:bCs/>
          <w:color w:val="000000"/>
          <w:lang w:val="es-ES" w:eastAsia="es-MX"/>
        </w:rPr>
        <w:t xml:space="preserve">Además, </w:t>
      </w:r>
      <w:r w:rsidRPr="000B1569">
        <w:rPr>
          <w:rFonts w:eastAsia="Calibri" w:cs="Tahoma"/>
          <w:bCs/>
          <w:color w:val="000000"/>
          <w:lang w:eastAsia="es-MX"/>
        </w:rPr>
        <w:t xml:space="preserve">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sidRPr="000B1569">
        <w:rPr>
          <w:rFonts w:eastAsia="Calibri" w:cs="Tahoma"/>
          <w:b/>
          <w:bCs/>
          <w:color w:val="000000"/>
          <w:lang w:eastAsia="es-MX"/>
        </w:rPr>
        <w:t>desempeña funciones de mando</w:t>
      </w:r>
      <w:r w:rsidRPr="000B1569">
        <w:rPr>
          <w:rFonts w:eastAsia="Calibri" w:cs="Tahoma"/>
          <w:bCs/>
          <w:color w:val="000000"/>
          <w:lang w:eastAsia="es-MX"/>
        </w:rPr>
        <w:t xml:space="preserve">), entre los cuales, se encuentra </w:t>
      </w:r>
      <w:r w:rsidRPr="000B1569">
        <w:rPr>
          <w:rFonts w:eastAsia="Calibri" w:cs="Tahoma"/>
          <w:b/>
          <w:bCs/>
          <w:color w:val="000000"/>
          <w:lang w:eastAsia="es-MX"/>
        </w:rPr>
        <w:t>la Policía Municipal</w:t>
      </w:r>
      <w:r w:rsidRPr="000B1569">
        <w:rPr>
          <w:rFonts w:eastAsia="Calibri" w:cs="Tahoma"/>
          <w:bCs/>
          <w:color w:val="000000"/>
          <w:lang w:eastAsia="es-MX"/>
        </w:rPr>
        <w:t>.</w:t>
      </w:r>
    </w:p>
    <w:p w14:paraId="2241BBC2" w14:textId="77777777" w:rsidR="00C35DF4" w:rsidRPr="000B1569" w:rsidRDefault="00C35DF4" w:rsidP="00C35DF4">
      <w:pPr>
        <w:tabs>
          <w:tab w:val="left" w:pos="4962"/>
        </w:tabs>
        <w:spacing w:after="0" w:line="360" w:lineRule="auto"/>
        <w:ind w:right="-28"/>
        <w:contextualSpacing/>
        <w:rPr>
          <w:rFonts w:eastAsia="Calibri" w:cs="Tahoma"/>
          <w:bCs/>
          <w:color w:val="000000"/>
          <w:lang w:eastAsia="es-MX"/>
        </w:rPr>
      </w:pPr>
    </w:p>
    <w:p w14:paraId="4ECCB3AE" w14:textId="77777777" w:rsidR="00C35DF4" w:rsidRPr="000B1569" w:rsidRDefault="00C35DF4" w:rsidP="00C35DF4">
      <w:pPr>
        <w:tabs>
          <w:tab w:val="left" w:pos="4962"/>
        </w:tabs>
        <w:spacing w:after="0" w:line="360" w:lineRule="auto"/>
        <w:ind w:right="-28"/>
        <w:contextualSpacing/>
        <w:rPr>
          <w:rFonts w:eastAsia="Calibri" w:cs="Tahoma"/>
          <w:bCs/>
          <w:color w:val="000000"/>
          <w:lang w:eastAsia="es-MX"/>
        </w:rPr>
      </w:pPr>
      <w:r w:rsidRPr="000B1569">
        <w:rPr>
          <w:rFonts w:eastAsia="Calibri" w:cs="Tahoma"/>
          <w:bCs/>
          <w:color w:val="000000"/>
          <w:lang w:eastAsia="es-MX"/>
        </w:rPr>
        <w:t xml:space="preserve">Asimismo, se advierte que las Instituciones Policiales, se conforman del personal </w:t>
      </w:r>
      <w:r w:rsidRPr="000B1569">
        <w:rPr>
          <w:rFonts w:eastAsia="Calibri" w:cs="Tahoma"/>
          <w:b/>
          <w:color w:val="000000"/>
          <w:lang w:eastAsia="es-MX"/>
        </w:rPr>
        <w:t>administrativo,</w:t>
      </w:r>
      <w:r w:rsidRPr="000B1569">
        <w:rPr>
          <w:rFonts w:eastAsia="Calibri" w:cs="Tahoma"/>
          <w:bCs/>
          <w:color w:val="000000"/>
          <w:lang w:eastAsia="es-MX"/>
        </w:rPr>
        <w:t xml:space="preserve"> que son los trabajadores de apoyo (chofer, personal de mantenimiento, servicios generales y área secretaria); </w:t>
      </w:r>
      <w:r w:rsidRPr="000B1569">
        <w:rPr>
          <w:rFonts w:eastAsia="Calibri" w:cs="Tahoma"/>
          <w:b/>
          <w:color w:val="000000"/>
          <w:lang w:eastAsia="es-MX"/>
        </w:rPr>
        <w:t>así como, el personal de mando</w:t>
      </w:r>
      <w:r w:rsidRPr="000B1569">
        <w:rPr>
          <w:rFonts w:eastAsia="Calibri" w:cs="Tahoma"/>
          <w:bCs/>
          <w:color w:val="000000"/>
          <w:lang w:eastAsia="es-MX"/>
        </w:rPr>
        <w:t xml:space="preserve"> (alto, medio y </w:t>
      </w:r>
      <w:r w:rsidRPr="000B1569">
        <w:rPr>
          <w:rFonts w:eastAsia="Calibri" w:cs="Tahoma"/>
          <w:bCs/>
          <w:color w:val="000000"/>
          <w:lang w:eastAsia="es-MX"/>
        </w:rPr>
        <w:lastRenderedPageBreak/>
        <w:t>superior), que es aquel que realiza funciones de dirección, coordinación y supervisión, por lo cual, corresponde a aquel que tenga trabajadores a su cargo.</w:t>
      </w:r>
    </w:p>
    <w:p w14:paraId="1E15E883" w14:textId="77777777" w:rsidR="00C35DF4" w:rsidRPr="000B1569" w:rsidRDefault="00C35DF4" w:rsidP="00C35DF4">
      <w:pPr>
        <w:spacing w:after="0" w:line="360" w:lineRule="auto"/>
        <w:contextualSpacing/>
        <w:rPr>
          <w:rFonts w:eastAsia="Times New Roman" w:cs="Tahoma"/>
          <w:color w:val="000000"/>
          <w:szCs w:val="24"/>
          <w:lang w:val="es-ES" w:eastAsia="es-ES"/>
        </w:rPr>
      </w:pPr>
    </w:p>
    <w:p w14:paraId="4985BC4F" w14:textId="77777777" w:rsidR="00C35DF4" w:rsidRPr="000B1569" w:rsidRDefault="00C35DF4" w:rsidP="00C35DF4">
      <w:pPr>
        <w:spacing w:after="0" w:line="360" w:lineRule="auto"/>
        <w:contextualSpacing/>
        <w:rPr>
          <w:rFonts w:eastAsia="Calibri" w:cs="Tahoma"/>
          <w:bCs/>
          <w:color w:val="000000"/>
          <w:lang w:eastAsia="es-MX"/>
        </w:rPr>
      </w:pPr>
      <w:r w:rsidRPr="000B1569">
        <w:rPr>
          <w:rFonts w:eastAsia="Calibri" w:cs="Tahoma"/>
          <w:bCs/>
          <w:color w:val="000000"/>
          <w:lang w:eastAsia="es-MX"/>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A9610EC" w14:textId="77777777" w:rsidR="00C35DF4" w:rsidRPr="000B1569" w:rsidRDefault="00C35DF4" w:rsidP="00C35DF4">
      <w:pPr>
        <w:spacing w:after="0" w:line="360" w:lineRule="auto"/>
        <w:contextualSpacing/>
        <w:rPr>
          <w:rFonts w:eastAsia="Calibri" w:cs="Tahoma"/>
          <w:bCs/>
          <w:color w:val="000000"/>
          <w:lang w:eastAsia="es-MX"/>
        </w:rPr>
      </w:pPr>
    </w:p>
    <w:p w14:paraId="5A13E8A0" w14:textId="77777777" w:rsidR="00C35DF4" w:rsidRPr="000B1569" w:rsidRDefault="00C35DF4" w:rsidP="00C35DF4">
      <w:pPr>
        <w:spacing w:after="0" w:line="360" w:lineRule="auto"/>
        <w:contextualSpacing/>
        <w:rPr>
          <w:rFonts w:eastAsia="Calibri" w:cs="Tahoma"/>
          <w:bCs/>
          <w:color w:val="000000"/>
          <w:lang w:eastAsia="es-MX"/>
        </w:rPr>
      </w:pPr>
      <w:r w:rsidRPr="000B1569">
        <w:rPr>
          <w:rFonts w:eastAsia="Calibri" w:cs="Tahoma"/>
          <w:bCs/>
          <w:color w:val="000000"/>
          <w:lang w:eastAsia="es-MX"/>
        </w:rPr>
        <w:t xml:space="preserve">Sin embargo, por lo que hace al </w:t>
      </w:r>
      <w:r w:rsidRPr="000B1569">
        <w:rPr>
          <w:rFonts w:eastAsia="Calibri" w:cs="Tahoma"/>
          <w:b/>
          <w:color w:val="000000"/>
          <w:lang w:eastAsia="es-MX"/>
        </w:rPr>
        <w:t>personal administrativo y los mandos medios y superiores</w:t>
      </w:r>
      <w:r w:rsidRPr="000B1569">
        <w:rPr>
          <w:rFonts w:eastAsia="Calibri" w:cs="Tahoma"/>
          <w:bCs/>
          <w:color w:val="000000"/>
          <w:lang w:eastAsia="es-MX"/>
        </w:rPr>
        <w:t>,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48D0397C" w14:textId="77777777" w:rsidR="00C35DF4" w:rsidRPr="000B1569" w:rsidRDefault="00C35DF4" w:rsidP="00C35DF4">
      <w:pPr>
        <w:spacing w:after="0" w:line="360" w:lineRule="auto"/>
        <w:contextualSpacing/>
        <w:rPr>
          <w:rFonts w:eastAsia="Calibri" w:cs="Tahoma"/>
          <w:bCs/>
          <w:color w:val="000000"/>
          <w:lang w:eastAsia="es-MX"/>
        </w:rPr>
      </w:pPr>
    </w:p>
    <w:p w14:paraId="773A3172" w14:textId="77777777" w:rsidR="00C35DF4" w:rsidRPr="000B1569" w:rsidRDefault="00C35DF4" w:rsidP="00C35DF4">
      <w:pPr>
        <w:spacing w:after="0" w:line="360" w:lineRule="auto"/>
        <w:rPr>
          <w:rFonts w:eastAsia="Calibri" w:cs="Tahoma"/>
          <w:bCs/>
          <w:color w:val="000000"/>
          <w:lang w:eastAsia="es-MX"/>
        </w:rPr>
      </w:pPr>
      <w:r w:rsidRPr="000B1569">
        <w:rPr>
          <w:rFonts w:eastAsia="Calibri" w:cs="Tahoma"/>
          <w:bCs/>
          <w:color w:val="000000"/>
          <w:lang w:eastAsia="es-MX"/>
        </w:rPr>
        <w:t>De tal situación, se considera que dar a conocer el nombre de los elementos operativos en materia de seguridad, como lo son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0E87D5BB" w14:textId="77777777" w:rsidR="00C35DF4" w:rsidRPr="000B1569" w:rsidRDefault="00C35DF4" w:rsidP="00C35DF4">
      <w:pPr>
        <w:spacing w:after="0" w:line="360" w:lineRule="auto"/>
        <w:contextualSpacing/>
        <w:rPr>
          <w:rFonts w:eastAsia="Calibri" w:cs="Tahoma"/>
          <w:bCs/>
          <w:color w:val="000000"/>
          <w:lang w:eastAsia="es-MX"/>
        </w:rPr>
      </w:pPr>
    </w:p>
    <w:p w14:paraId="0C1F2F65" w14:textId="77777777" w:rsidR="00C35DF4" w:rsidRPr="000B1569" w:rsidRDefault="00C35DF4" w:rsidP="00C35DF4">
      <w:pPr>
        <w:spacing w:after="0" w:line="360" w:lineRule="auto"/>
        <w:rPr>
          <w:rFonts w:eastAsia="Calibri" w:cs="Tahoma"/>
          <w:bCs/>
          <w:color w:val="000000"/>
          <w:lang w:eastAsia="es-MX"/>
        </w:rPr>
      </w:pPr>
      <w:r w:rsidRPr="000B1569">
        <w:rPr>
          <w:rFonts w:eastAsia="Calibri" w:cs="Tahoma"/>
          <w:bCs/>
          <w:color w:val="000000"/>
          <w:lang w:eastAsia="es-MX"/>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2369DB9B" w14:textId="77777777" w:rsidR="00C35DF4" w:rsidRPr="000B1569" w:rsidRDefault="00C35DF4" w:rsidP="00C35DF4">
      <w:pPr>
        <w:spacing w:after="0" w:line="360" w:lineRule="auto"/>
        <w:rPr>
          <w:rFonts w:eastAsia="Calibri" w:cs="Tahoma"/>
          <w:bCs/>
          <w:color w:val="000000"/>
          <w:lang w:eastAsia="es-MX"/>
        </w:rPr>
      </w:pPr>
    </w:p>
    <w:p w14:paraId="2F1A9FB4" w14:textId="365B072A" w:rsidR="00C35DF4" w:rsidRPr="000B1569" w:rsidRDefault="00C35DF4" w:rsidP="00C35DF4">
      <w:pPr>
        <w:spacing w:after="0" w:line="360" w:lineRule="auto"/>
        <w:rPr>
          <w:rFonts w:eastAsia="Calibri" w:cs="Tahoma"/>
          <w:b/>
          <w:iCs/>
          <w:color w:val="000000"/>
          <w:lang w:val="es-ES" w:eastAsia="es-ES_tradnl"/>
        </w:rPr>
      </w:pPr>
      <w:r w:rsidRPr="000B1569">
        <w:rPr>
          <w:rFonts w:eastAsia="Calibri" w:cs="Tahoma"/>
          <w:bCs/>
          <w:color w:val="000000"/>
          <w:lang w:eastAsia="es-MX"/>
        </w:rPr>
        <w:t xml:space="preserve">Por tales consideraciones, </w:t>
      </w:r>
      <w:r w:rsidRPr="000B1569">
        <w:rPr>
          <w:rFonts w:eastAsia="Calibri" w:cs="Tahoma"/>
          <w:b/>
          <w:bCs/>
          <w:color w:val="000000"/>
          <w:lang w:eastAsia="es-MX"/>
        </w:rPr>
        <w:t>resulta procedente la reserva del nombre de los elementos operativos adscritos a la</w:t>
      </w:r>
      <w:r w:rsidRPr="000B1569">
        <w:rPr>
          <w:rFonts w:eastAsia="Calibri" w:cs="Tahoma"/>
          <w:b/>
          <w:color w:val="000000"/>
          <w:lang w:eastAsia="es-MX"/>
        </w:rPr>
        <w:t xml:space="preserve"> </w:t>
      </w:r>
      <w:r w:rsidR="002E5730" w:rsidRPr="000B1569">
        <w:rPr>
          <w:rFonts w:eastAsia="Calibri" w:cs="Tahoma"/>
          <w:b/>
          <w:color w:val="000000"/>
          <w:lang w:eastAsia="es-MX"/>
        </w:rPr>
        <w:t>Dirección General de Seguridad Pública y Protección Ciudadana</w:t>
      </w:r>
      <w:r w:rsidRPr="000B1569">
        <w:rPr>
          <w:rFonts w:eastAsia="Calibri" w:cs="Tahoma"/>
          <w:b/>
          <w:bCs/>
          <w:color w:val="000000"/>
          <w:lang w:eastAsia="es-MX"/>
        </w:rPr>
        <w:t xml:space="preserve">, en términos del artículo 140, fracción IV, de </w:t>
      </w:r>
      <w:r w:rsidRPr="000B1569">
        <w:rPr>
          <w:rFonts w:eastAsia="Calibri" w:cs="Tahoma"/>
          <w:b/>
          <w:iCs/>
          <w:color w:val="000000"/>
          <w:lang w:val="es-ES" w:eastAsia="es-ES_tradnl"/>
        </w:rPr>
        <w:t>de la Ley de Transparencia y Acceso a la Información Pública del Estado de México y Municipios.</w:t>
      </w:r>
    </w:p>
    <w:p w14:paraId="2B6D806D" w14:textId="77777777" w:rsidR="00C35DF4" w:rsidRPr="000B1569" w:rsidRDefault="00C35DF4" w:rsidP="00C35DF4">
      <w:pPr>
        <w:spacing w:after="0" w:line="360" w:lineRule="auto"/>
        <w:rPr>
          <w:rFonts w:eastAsia="Calibri" w:cs="Tahoma"/>
          <w:b/>
          <w:iCs/>
          <w:color w:val="000000"/>
          <w:lang w:val="es-ES" w:eastAsia="es-ES_tradnl"/>
        </w:rPr>
      </w:pPr>
    </w:p>
    <w:p w14:paraId="22E4ACBE" w14:textId="77777777" w:rsidR="00C35DF4" w:rsidRPr="000B1569" w:rsidRDefault="00C35DF4" w:rsidP="00C35DF4">
      <w:pPr>
        <w:tabs>
          <w:tab w:val="left" w:pos="4962"/>
        </w:tabs>
        <w:spacing w:after="0" w:line="360" w:lineRule="auto"/>
        <w:rPr>
          <w:rFonts w:eastAsia="Calibri" w:cs="Tahoma"/>
          <w:iCs/>
          <w:color w:val="000000"/>
          <w:lang w:val="es-ES" w:eastAsia="es-ES_tradnl"/>
        </w:rPr>
      </w:pPr>
      <w:r w:rsidRPr="000B1569">
        <w:rPr>
          <w:rFonts w:eastAsia="Calibri" w:cs="Tahoma"/>
          <w:iCs/>
          <w:color w:val="000000"/>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39C3B204" w14:textId="77777777" w:rsidR="00C35DF4" w:rsidRPr="000B1569" w:rsidRDefault="00C35DF4" w:rsidP="00C35DF4">
      <w:pPr>
        <w:tabs>
          <w:tab w:val="left" w:pos="4962"/>
        </w:tabs>
        <w:spacing w:after="0" w:line="360" w:lineRule="auto"/>
        <w:rPr>
          <w:rFonts w:eastAsia="Calibri" w:cs="Tahoma"/>
          <w:iCs/>
          <w:color w:val="000000"/>
          <w:lang w:val="es-ES" w:eastAsia="es-ES_tradnl"/>
        </w:rPr>
      </w:pPr>
    </w:p>
    <w:p w14:paraId="239117C0" w14:textId="77777777" w:rsidR="00C35DF4" w:rsidRPr="000B1569" w:rsidRDefault="00C35DF4" w:rsidP="00C35DF4">
      <w:pPr>
        <w:numPr>
          <w:ilvl w:val="0"/>
          <w:numId w:val="31"/>
        </w:numPr>
        <w:tabs>
          <w:tab w:val="left" w:pos="4962"/>
        </w:tabs>
        <w:spacing w:after="0" w:line="360" w:lineRule="auto"/>
        <w:ind w:left="709" w:hanging="436"/>
        <w:rPr>
          <w:rFonts w:eastAsia="Calibri" w:cs="Tahoma"/>
          <w:iCs/>
          <w:color w:val="000000"/>
          <w:lang w:val="es-ES_tradnl" w:eastAsia="es-ES_tradnl"/>
        </w:rPr>
      </w:pPr>
      <w:r w:rsidRPr="000B1569">
        <w:rPr>
          <w:rFonts w:eastAsia="Calibri" w:cs="Tahoma"/>
          <w:iCs/>
          <w:color w:val="000000"/>
          <w:lang w:val="es-ES_tradnl" w:eastAsia="es-ES_tradnl"/>
        </w:rPr>
        <w:t>La divulgación de la información representa un riesgo real, demostrable e identificable de perjuicio significativo al interés público o a la seguridad nacional.</w:t>
      </w:r>
    </w:p>
    <w:p w14:paraId="1048E17E" w14:textId="77777777" w:rsidR="00C35DF4" w:rsidRPr="000B1569" w:rsidRDefault="00C35DF4" w:rsidP="00C35DF4">
      <w:pPr>
        <w:tabs>
          <w:tab w:val="left" w:pos="4962"/>
        </w:tabs>
        <w:spacing w:after="0" w:line="360" w:lineRule="auto"/>
        <w:ind w:left="709"/>
        <w:rPr>
          <w:rFonts w:eastAsia="Calibri" w:cs="Tahoma"/>
          <w:iCs/>
          <w:color w:val="000000"/>
          <w:lang w:val="es-ES_tradnl" w:eastAsia="es-ES_tradnl"/>
        </w:rPr>
      </w:pPr>
    </w:p>
    <w:p w14:paraId="56FF4FDA" w14:textId="77777777" w:rsidR="00C35DF4" w:rsidRPr="000B1569" w:rsidRDefault="00C35DF4" w:rsidP="00C35DF4">
      <w:pPr>
        <w:numPr>
          <w:ilvl w:val="0"/>
          <w:numId w:val="31"/>
        </w:numPr>
        <w:tabs>
          <w:tab w:val="left" w:pos="4962"/>
        </w:tabs>
        <w:spacing w:after="0" w:line="360" w:lineRule="auto"/>
        <w:ind w:left="709" w:hanging="436"/>
        <w:jc w:val="left"/>
        <w:rPr>
          <w:rFonts w:eastAsia="Calibri" w:cs="Tahoma"/>
          <w:iCs/>
          <w:color w:val="000000"/>
          <w:lang w:val="es-ES_tradnl" w:eastAsia="es-ES_tradnl"/>
        </w:rPr>
      </w:pPr>
      <w:r w:rsidRPr="000B1569">
        <w:rPr>
          <w:rFonts w:eastAsia="Calibri" w:cs="Tahoma"/>
          <w:iCs/>
          <w:color w:val="000000"/>
          <w:lang w:val="es-ES_tradnl" w:eastAsia="es-ES_tradnl"/>
        </w:rPr>
        <w:t>El riesgo de perjuicio supera el interés público general de que se difunda.</w:t>
      </w:r>
    </w:p>
    <w:p w14:paraId="1BA73710" w14:textId="77777777" w:rsidR="00C35DF4" w:rsidRPr="000B1569" w:rsidRDefault="00C35DF4" w:rsidP="00C35DF4">
      <w:pPr>
        <w:spacing w:after="0" w:line="240" w:lineRule="auto"/>
        <w:ind w:left="720"/>
        <w:contextualSpacing/>
        <w:rPr>
          <w:rFonts w:eastAsia="Calibri" w:cs="Tahoma"/>
          <w:iCs/>
          <w:color w:val="000000"/>
          <w:szCs w:val="24"/>
          <w:lang w:val="es-ES_tradnl" w:eastAsia="es-ES_tradnl"/>
        </w:rPr>
      </w:pPr>
    </w:p>
    <w:p w14:paraId="78F8249F" w14:textId="77777777" w:rsidR="00C35DF4" w:rsidRPr="000B1569" w:rsidRDefault="00C35DF4" w:rsidP="00C35DF4">
      <w:pPr>
        <w:numPr>
          <w:ilvl w:val="0"/>
          <w:numId w:val="31"/>
        </w:numPr>
        <w:tabs>
          <w:tab w:val="left" w:pos="4962"/>
        </w:tabs>
        <w:spacing w:after="0" w:line="360" w:lineRule="auto"/>
        <w:ind w:left="709" w:hanging="436"/>
        <w:jc w:val="left"/>
        <w:rPr>
          <w:rFonts w:eastAsia="Calibri" w:cs="Tahoma"/>
          <w:iCs/>
          <w:color w:val="000000"/>
          <w:lang w:val="es-ES_tradnl" w:eastAsia="es-ES_tradnl"/>
        </w:rPr>
      </w:pPr>
      <w:r w:rsidRPr="000B1569">
        <w:rPr>
          <w:rFonts w:eastAsia="Calibri" w:cs="Tahoma"/>
          <w:iCs/>
          <w:color w:val="000000"/>
          <w:lang w:val="es-ES_tradnl" w:eastAsia="es-ES_tradnl"/>
        </w:rPr>
        <w:t>Que la limitación se adecua al principio de proporcionalidad y representa el medio menos restrictivo disponible para evitar el perjuicio.</w:t>
      </w:r>
    </w:p>
    <w:p w14:paraId="62A1D05C" w14:textId="77777777" w:rsidR="00C35DF4" w:rsidRPr="000B1569" w:rsidRDefault="00C35DF4" w:rsidP="00C35DF4">
      <w:pPr>
        <w:spacing w:after="0" w:line="360" w:lineRule="auto"/>
        <w:jc w:val="left"/>
        <w:rPr>
          <w:rFonts w:eastAsia="Calibri" w:cs="Tahoma"/>
          <w:iCs/>
          <w:color w:val="000000"/>
          <w:lang w:eastAsia="es-ES_tradnl"/>
        </w:rPr>
      </w:pPr>
    </w:p>
    <w:p w14:paraId="02D9BD41" w14:textId="4B333BCD" w:rsidR="00C35DF4" w:rsidRPr="000B1569" w:rsidRDefault="00C35DF4" w:rsidP="00F80468">
      <w:pPr>
        <w:autoSpaceDE w:val="0"/>
        <w:autoSpaceDN w:val="0"/>
        <w:spacing w:after="0" w:line="360" w:lineRule="auto"/>
        <w:rPr>
          <w:rFonts w:eastAsia="Times New Roman" w:cs="Tahoma"/>
          <w:color w:val="000000"/>
          <w:lang w:eastAsia="es-ES"/>
        </w:rPr>
      </w:pPr>
      <w:r w:rsidRPr="000B1569">
        <w:rPr>
          <w:rFonts w:eastAsia="Calibri" w:cs="Tahoma"/>
          <w:bCs/>
          <w:color w:val="000000"/>
          <w:lang w:eastAsia="es-MX"/>
        </w:rPr>
        <w:lastRenderedPageBreak/>
        <w:t xml:space="preserve">Además, el artículo 125 de la Ley de la materia, establece </w:t>
      </w:r>
      <w:r w:rsidRPr="000B1569">
        <w:rPr>
          <w:rFonts w:eastAsia="Times New Roman" w:cs="Tahoma"/>
          <w:bCs/>
          <w:color w:val="000000"/>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0B1569">
        <w:rPr>
          <w:rFonts w:eastAsia="Times New Roman" w:cs="Tahoma"/>
          <w:color w:val="000000"/>
          <w:lang w:eastAsia="es-ES"/>
        </w:rPr>
        <w:t>versiones públicas, deberá clasificar el nombre de los elementos operativos de la</w:t>
      </w:r>
      <w:r w:rsidRPr="000B1569">
        <w:rPr>
          <w:rFonts w:eastAsia="Calibri" w:cs="Tahoma"/>
          <w:bCs/>
          <w:color w:val="000000"/>
          <w:lang w:eastAsia="es-MX"/>
        </w:rPr>
        <w:t xml:space="preserve"> Dirección General de Seguridad y Protección</w:t>
      </w:r>
      <w:r w:rsidRPr="000B1569">
        <w:rPr>
          <w:rFonts w:eastAsia="Palatino Linotype" w:cs="Palatino Linotype"/>
          <w:color w:val="000000"/>
          <w:lang w:eastAsia="es-MX"/>
        </w:rPr>
        <w:t>,</w:t>
      </w:r>
      <w:r w:rsidRPr="000B1569">
        <w:rPr>
          <w:rFonts w:eastAsia="Times New Roman" w:cs="Tahoma"/>
          <w:color w:val="000000"/>
          <w:lang w:eastAsia="es-ES"/>
        </w:rPr>
        <w:t xml:space="preserve"> de manera fundada y motivada, mediante la respectiva prueba de daño, y deberá proporcionar la información del personal administrativo y mandos medios y superiores de dicha área.</w:t>
      </w:r>
    </w:p>
    <w:p w14:paraId="5FC267CF" w14:textId="77777777" w:rsidR="002E5730" w:rsidRPr="000B1569" w:rsidRDefault="002E5730" w:rsidP="00F80468">
      <w:pPr>
        <w:autoSpaceDE w:val="0"/>
        <w:autoSpaceDN w:val="0"/>
        <w:spacing w:after="0" w:line="360" w:lineRule="auto"/>
        <w:rPr>
          <w:rFonts w:eastAsia="Times New Roman" w:cs="Tahoma"/>
          <w:color w:val="000000"/>
          <w:lang w:eastAsia="es-ES"/>
        </w:rPr>
      </w:pPr>
    </w:p>
    <w:p w14:paraId="165A4D47" w14:textId="212D6166" w:rsidR="00837D5E" w:rsidRPr="000B1569" w:rsidRDefault="00837D5E" w:rsidP="00837D5E">
      <w:pPr>
        <w:autoSpaceDE w:val="0"/>
        <w:autoSpaceDN w:val="0"/>
        <w:spacing w:after="0" w:line="360" w:lineRule="auto"/>
        <w:rPr>
          <w:rFonts w:eastAsia="Times New Roman" w:cs="Tahoma"/>
          <w:color w:val="000000"/>
          <w:lang w:eastAsia="es-ES"/>
        </w:rPr>
      </w:pPr>
      <w:r w:rsidRPr="000B1569">
        <w:rPr>
          <w:rFonts w:eastAsia="Times New Roman" w:cs="Tahoma"/>
          <w:color w:val="000000"/>
          <w:lang w:eastAsia="es-ES"/>
        </w:rPr>
        <w:t>En ese contexto, toda vez que resultó procedente la clasificación de los datos testados, 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21534ED9" w14:textId="77777777" w:rsidR="00837D5E" w:rsidRPr="000B1569" w:rsidRDefault="00837D5E" w:rsidP="00837D5E">
      <w:pPr>
        <w:autoSpaceDE w:val="0"/>
        <w:autoSpaceDN w:val="0"/>
        <w:spacing w:after="0" w:line="360" w:lineRule="auto"/>
        <w:rPr>
          <w:rFonts w:eastAsia="Times New Roman" w:cs="Tahoma"/>
          <w:color w:val="000000"/>
          <w:lang w:eastAsia="es-ES"/>
        </w:rPr>
      </w:pPr>
    </w:p>
    <w:p w14:paraId="14049B33" w14:textId="4928A189" w:rsidR="00837D5E" w:rsidRPr="000B1569" w:rsidRDefault="00837D5E" w:rsidP="00837D5E">
      <w:pPr>
        <w:pStyle w:val="Prrafodelista"/>
        <w:numPr>
          <w:ilvl w:val="0"/>
          <w:numId w:val="37"/>
        </w:numPr>
        <w:autoSpaceDE w:val="0"/>
        <w:autoSpaceDN w:val="0"/>
        <w:spacing w:after="0" w:line="360" w:lineRule="auto"/>
        <w:rPr>
          <w:rFonts w:eastAsia="Times New Roman" w:cs="Tahoma"/>
          <w:color w:val="000000"/>
          <w:lang w:eastAsia="es-ES"/>
        </w:rPr>
      </w:pPr>
      <w:r w:rsidRPr="000B1569">
        <w:rPr>
          <w:rFonts w:eastAsia="Times New Roman" w:cs="Tahoma"/>
          <w:color w:val="000000"/>
          <w:lang w:eastAsia="es-ES"/>
        </w:rPr>
        <w:t>Confirmar la clasificación;</w:t>
      </w:r>
    </w:p>
    <w:p w14:paraId="0FC2A821" w14:textId="3EAEB47E" w:rsidR="00837D5E" w:rsidRPr="000B1569" w:rsidRDefault="00837D5E" w:rsidP="00837D5E">
      <w:pPr>
        <w:pStyle w:val="Prrafodelista"/>
        <w:numPr>
          <w:ilvl w:val="0"/>
          <w:numId w:val="37"/>
        </w:numPr>
        <w:autoSpaceDE w:val="0"/>
        <w:autoSpaceDN w:val="0"/>
        <w:spacing w:after="0" w:line="360" w:lineRule="auto"/>
        <w:rPr>
          <w:rFonts w:eastAsia="Times New Roman" w:cs="Tahoma"/>
          <w:color w:val="000000"/>
          <w:lang w:eastAsia="es-ES"/>
        </w:rPr>
      </w:pPr>
      <w:r w:rsidRPr="000B1569">
        <w:rPr>
          <w:rFonts w:eastAsia="Times New Roman" w:cs="Tahoma"/>
          <w:color w:val="000000"/>
          <w:lang w:eastAsia="es-ES"/>
        </w:rPr>
        <w:t>Modificar la clasificación y, otorgar total o parcialmente el acceso a la información, o</w:t>
      </w:r>
    </w:p>
    <w:p w14:paraId="39B8C119" w14:textId="577D049E" w:rsidR="00837D5E" w:rsidRPr="000B1569" w:rsidRDefault="00837D5E" w:rsidP="00837D5E">
      <w:pPr>
        <w:pStyle w:val="Prrafodelista"/>
        <w:numPr>
          <w:ilvl w:val="0"/>
          <w:numId w:val="37"/>
        </w:numPr>
        <w:autoSpaceDE w:val="0"/>
        <w:autoSpaceDN w:val="0"/>
        <w:spacing w:after="0" w:line="360" w:lineRule="auto"/>
        <w:rPr>
          <w:rFonts w:eastAsia="Times New Roman" w:cs="Tahoma"/>
          <w:color w:val="000000"/>
          <w:lang w:eastAsia="es-ES"/>
        </w:rPr>
      </w:pPr>
      <w:r w:rsidRPr="000B1569">
        <w:rPr>
          <w:rFonts w:eastAsia="Times New Roman" w:cs="Tahoma"/>
          <w:color w:val="000000"/>
          <w:lang w:eastAsia="es-ES"/>
        </w:rPr>
        <w:t>Revocar la clasificación y conceder el acceso a la información.</w:t>
      </w:r>
    </w:p>
    <w:p w14:paraId="7FD49E04" w14:textId="77777777" w:rsidR="00837D5E" w:rsidRPr="000B1569" w:rsidRDefault="00837D5E" w:rsidP="00837D5E">
      <w:pPr>
        <w:autoSpaceDE w:val="0"/>
        <w:autoSpaceDN w:val="0"/>
        <w:spacing w:after="0" w:line="360" w:lineRule="auto"/>
        <w:rPr>
          <w:rFonts w:eastAsia="Times New Roman" w:cs="Tahoma"/>
          <w:color w:val="000000"/>
          <w:lang w:eastAsia="es-ES"/>
        </w:rPr>
      </w:pPr>
    </w:p>
    <w:p w14:paraId="47DEB0F2" w14:textId="295084ED" w:rsidR="00837D5E" w:rsidRPr="000B1569" w:rsidRDefault="00837D5E" w:rsidP="00837D5E">
      <w:pPr>
        <w:autoSpaceDE w:val="0"/>
        <w:autoSpaceDN w:val="0"/>
        <w:spacing w:after="0" w:line="360" w:lineRule="auto"/>
        <w:rPr>
          <w:rFonts w:eastAsia="Times New Roman" w:cs="Tahoma"/>
          <w:color w:val="000000"/>
          <w:lang w:eastAsia="es-ES"/>
        </w:rPr>
      </w:pPr>
      <w:r w:rsidRPr="000B1569">
        <w:rPr>
          <w:rFonts w:eastAsia="Times New Roman" w:cs="Tahoma"/>
          <w:color w:val="000000"/>
          <w:lang w:eastAsia="es-ES"/>
        </w:rPr>
        <w:lastRenderedPageBreak/>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por lo que, en el presente caso, deberá </w:t>
      </w:r>
      <w:proofErr w:type="spellStart"/>
      <w:r w:rsidRPr="000B1569">
        <w:rPr>
          <w:rFonts w:eastAsia="Times New Roman" w:cs="Tahoma"/>
          <w:color w:val="000000"/>
          <w:lang w:eastAsia="es-ES"/>
        </w:rPr>
        <w:t>proprocionar</w:t>
      </w:r>
      <w:proofErr w:type="spellEnd"/>
      <w:r w:rsidRPr="000B1569">
        <w:rPr>
          <w:rFonts w:eastAsia="Times New Roman" w:cs="Tahoma"/>
          <w:color w:val="000000"/>
          <w:lang w:eastAsia="es-ES"/>
        </w:rPr>
        <w:t xml:space="preserve"> el Acuerdo emitido por el Comité de Transparencia, donde confirma la clasificación del nombre de los </w:t>
      </w:r>
      <w:proofErr w:type="spellStart"/>
      <w:r w:rsidRPr="000B1569">
        <w:rPr>
          <w:rFonts w:eastAsia="Times New Roman" w:cs="Tahoma"/>
          <w:color w:val="000000"/>
          <w:lang w:eastAsia="es-ES"/>
        </w:rPr>
        <w:t>policias</w:t>
      </w:r>
      <w:proofErr w:type="spellEnd"/>
      <w:r w:rsidRPr="000B1569">
        <w:rPr>
          <w:rFonts w:eastAsia="Times New Roman" w:cs="Tahoma"/>
          <w:color w:val="000000"/>
          <w:lang w:eastAsia="es-ES"/>
        </w:rPr>
        <w:t xml:space="preserve"> municipales.</w:t>
      </w:r>
    </w:p>
    <w:p w14:paraId="6CE94D58" w14:textId="77777777" w:rsidR="00837D5E" w:rsidRPr="000B1569" w:rsidRDefault="00837D5E" w:rsidP="00F80468">
      <w:pPr>
        <w:autoSpaceDE w:val="0"/>
        <w:autoSpaceDN w:val="0"/>
        <w:spacing w:after="0" w:line="360" w:lineRule="auto"/>
        <w:rPr>
          <w:rFonts w:eastAsia="Times New Roman" w:cs="Tahoma"/>
          <w:color w:val="000000"/>
          <w:lang w:eastAsia="es-ES"/>
        </w:rPr>
      </w:pPr>
    </w:p>
    <w:p w14:paraId="34ED85BA" w14:textId="15E61825" w:rsidR="002A0B3A" w:rsidRPr="000B1569" w:rsidRDefault="002E5730" w:rsidP="00837D5E">
      <w:pPr>
        <w:spacing w:after="0" w:line="360" w:lineRule="auto"/>
        <w:rPr>
          <w:rFonts w:eastAsia="Palatino Linotype" w:cs="Palatino Linotype"/>
          <w:color w:val="000000"/>
          <w:lang w:eastAsia="es-MX"/>
        </w:rPr>
      </w:pPr>
      <w:r w:rsidRPr="000B1569">
        <w:rPr>
          <w:rFonts w:eastAsia="Palatino Linotype" w:cs="Palatino Linotype"/>
          <w:color w:val="000000"/>
          <w:lang w:eastAsia="es-MX"/>
        </w:rPr>
        <w:t xml:space="preserve">Finalmente no pasa desapercibido para este Instituto que los documentos que den cuenta </w:t>
      </w:r>
      <w:r w:rsidR="00837D5E" w:rsidRPr="000B1569">
        <w:rPr>
          <w:rFonts w:eastAsia="Palatino Linotype" w:cs="Palatino Linotype"/>
          <w:color w:val="000000"/>
          <w:lang w:eastAsia="es-MX"/>
        </w:rPr>
        <w:t xml:space="preserve">del cargo y sueldo de los </w:t>
      </w:r>
      <w:proofErr w:type="spellStart"/>
      <w:r w:rsidR="00837D5E" w:rsidRPr="000B1569">
        <w:rPr>
          <w:rFonts w:eastAsia="Palatino Linotype" w:cs="Palatino Linotype"/>
          <w:color w:val="000000"/>
          <w:lang w:eastAsia="es-MX"/>
        </w:rPr>
        <w:t>policias</w:t>
      </w:r>
      <w:proofErr w:type="spellEnd"/>
      <w:r w:rsidR="00837D5E" w:rsidRPr="000B1569">
        <w:rPr>
          <w:rFonts w:eastAsia="Palatino Linotype" w:cs="Palatino Linotype"/>
          <w:color w:val="000000"/>
          <w:lang w:eastAsia="es-MX"/>
        </w:rPr>
        <w:t xml:space="preserve"> municipales</w:t>
      </w:r>
      <w:r w:rsidRPr="000B1569">
        <w:rPr>
          <w:rFonts w:eastAsia="Palatino Linotype" w:cs="Palatino Linotype"/>
          <w:color w:val="000000"/>
          <w:lang w:eastAsia="es-MX"/>
        </w:rPr>
        <w:t>, pudieran contener datos o información clasificada; al respecto, conforme al</w:t>
      </w:r>
      <w:r w:rsidR="00837D5E" w:rsidRPr="000B1569">
        <w:rPr>
          <w:rFonts w:eastAsia="Palatino Linotype" w:cs="Palatino Linotype"/>
          <w:color w:val="000000"/>
          <w:lang w:eastAsia="es-MX"/>
        </w:rPr>
        <w:t xml:space="preserve"> </w:t>
      </w:r>
      <w:r w:rsidRPr="000B1569">
        <w:rPr>
          <w:rFonts w:eastAsia="Palatino Linotype" w:cs="Palatino Linotype"/>
          <w:color w:val="000000"/>
          <w:lang w:eastAsia="es-MX"/>
        </w:rPr>
        <w:t>artículo 3°, fracción XLV, relacionado con el 137, ambos de la Ley de Transparencia y Acceso</w:t>
      </w:r>
      <w:r w:rsidR="00837D5E" w:rsidRPr="000B1569">
        <w:rPr>
          <w:rFonts w:eastAsia="Palatino Linotype" w:cs="Palatino Linotype"/>
          <w:color w:val="000000"/>
          <w:lang w:eastAsia="es-MX"/>
        </w:rPr>
        <w:t xml:space="preserve"> </w:t>
      </w:r>
      <w:r w:rsidRPr="000B1569">
        <w:rPr>
          <w:rFonts w:eastAsia="Palatino Linotype" w:cs="Palatino Linotype"/>
          <w:color w:val="000000"/>
          <w:lang w:eastAsia="es-MX"/>
        </w:rPr>
        <w:t>a la Información Pública del Estado de México y Municipios, cuando un documento contenga</w:t>
      </w:r>
      <w:r w:rsidR="00837D5E" w:rsidRPr="000B1569">
        <w:rPr>
          <w:rFonts w:eastAsia="Palatino Linotype" w:cs="Palatino Linotype"/>
          <w:color w:val="000000"/>
          <w:lang w:eastAsia="es-MX"/>
        </w:rPr>
        <w:t xml:space="preserve"> </w:t>
      </w:r>
      <w:r w:rsidRPr="000B1569">
        <w:rPr>
          <w:rFonts w:eastAsia="Palatino Linotype" w:cs="Palatino Linotype"/>
          <w:color w:val="000000"/>
          <w:lang w:eastAsia="es-MX"/>
        </w:rPr>
        <w:t>información pública y reservada o confidencial, la Unidad de Transparencia para efectos de</w:t>
      </w:r>
      <w:r w:rsidR="00837D5E" w:rsidRPr="000B1569">
        <w:rPr>
          <w:rFonts w:eastAsia="Palatino Linotype" w:cs="Palatino Linotype"/>
          <w:color w:val="000000"/>
          <w:lang w:eastAsia="es-MX"/>
        </w:rPr>
        <w:t xml:space="preserve"> </w:t>
      </w:r>
      <w:r w:rsidRPr="000B1569">
        <w:rPr>
          <w:rFonts w:eastAsia="Palatino Linotype" w:cs="Palatino Linotype"/>
          <w:color w:val="000000"/>
          <w:lang w:eastAsia="es-MX"/>
        </w:rPr>
        <w:t>atender al requerimiento informativo, deberá elaborar una versión Pública en la que se testen</w:t>
      </w:r>
      <w:r w:rsidR="00837D5E" w:rsidRPr="000B1569">
        <w:rPr>
          <w:rFonts w:eastAsia="Palatino Linotype" w:cs="Palatino Linotype"/>
          <w:color w:val="000000"/>
          <w:lang w:eastAsia="es-MX"/>
        </w:rPr>
        <w:t xml:space="preserve"> </w:t>
      </w:r>
      <w:r w:rsidRPr="000B1569">
        <w:rPr>
          <w:rFonts w:eastAsia="Palatino Linotype" w:cs="Palatino Linotype"/>
          <w:color w:val="000000"/>
          <w:lang w:eastAsia="es-MX"/>
        </w:rPr>
        <w:t>las partes o secciones clasificadas, indicando su contenido de manera genérica y fundando y</w:t>
      </w:r>
      <w:r w:rsidR="00837D5E" w:rsidRPr="000B1569">
        <w:rPr>
          <w:rFonts w:eastAsia="Palatino Linotype" w:cs="Palatino Linotype"/>
          <w:color w:val="000000"/>
          <w:lang w:eastAsia="es-MX"/>
        </w:rPr>
        <w:t xml:space="preserve"> </w:t>
      </w:r>
      <w:r w:rsidRPr="000B1569">
        <w:rPr>
          <w:rFonts w:eastAsia="Palatino Linotype" w:cs="Palatino Linotype"/>
          <w:color w:val="000000"/>
          <w:lang w:eastAsia="es-MX"/>
        </w:rPr>
        <w:t>motivando su clasificación.</w:t>
      </w:r>
      <w:r w:rsidR="00837D5E" w:rsidRPr="000B1569">
        <w:rPr>
          <w:rFonts w:eastAsia="Palatino Linotype" w:cs="Palatino Linotype"/>
          <w:color w:val="000000"/>
          <w:lang w:eastAsia="es-MX"/>
        </w:rPr>
        <w:t xml:space="preserve">  </w:t>
      </w:r>
      <w:r w:rsidRPr="000B1569">
        <w:rPr>
          <w:rFonts w:eastAsia="Palatino Linotype" w:cs="Palatino Linotype"/>
          <w:color w:val="000000"/>
          <w:lang w:eastAsia="es-MX"/>
        </w:rPr>
        <w:t xml:space="preserve">Para tal situación, el Sujeto Obligado deberá seguir el procedimiento </w:t>
      </w:r>
      <w:r w:rsidR="00837D5E" w:rsidRPr="000B1569">
        <w:rPr>
          <w:rFonts w:eastAsia="Palatino Linotype" w:cs="Palatino Linotype"/>
          <w:color w:val="000000"/>
          <w:lang w:eastAsia="es-MX"/>
        </w:rPr>
        <w:t>referido en párrafos anteriores.</w:t>
      </w:r>
    </w:p>
    <w:p w14:paraId="131B35A8" w14:textId="77777777" w:rsidR="00837D5E" w:rsidRPr="000B1569" w:rsidRDefault="00837D5E" w:rsidP="00837D5E">
      <w:pPr>
        <w:spacing w:after="0" w:line="360" w:lineRule="auto"/>
        <w:rPr>
          <w:rFonts w:eastAsia="Times New Roman" w:cs="Tahoma"/>
          <w:iCs/>
          <w:lang w:eastAsia="es-ES"/>
        </w:rPr>
      </w:pPr>
    </w:p>
    <w:p w14:paraId="172FFE0D" w14:textId="0B38F4C2" w:rsidR="002A0B3A" w:rsidRPr="000B1569" w:rsidRDefault="002A0B3A" w:rsidP="005032B4">
      <w:pPr>
        <w:pStyle w:val="Ttulo2"/>
        <w:spacing w:before="0" w:line="360" w:lineRule="auto"/>
        <w:rPr>
          <w:rFonts w:ascii="Palatino Linotype" w:eastAsia="Calibri" w:hAnsi="Palatino Linotype"/>
          <w:b/>
          <w:color w:val="000000" w:themeColor="text1"/>
          <w:sz w:val="22"/>
          <w:szCs w:val="22"/>
        </w:rPr>
      </w:pPr>
      <w:bookmarkStart w:id="18" w:name="_Toc195121265"/>
      <w:r w:rsidRPr="000B1569">
        <w:rPr>
          <w:rFonts w:ascii="Palatino Linotype" w:eastAsia="Calibri" w:hAnsi="Palatino Linotype"/>
          <w:b/>
          <w:color w:val="000000" w:themeColor="text1"/>
          <w:sz w:val="22"/>
          <w:szCs w:val="22"/>
        </w:rPr>
        <w:t>SEXTO. Decisión</w:t>
      </w:r>
      <w:bookmarkEnd w:id="18"/>
    </w:p>
    <w:p w14:paraId="2731E528" w14:textId="77777777" w:rsidR="002A0B3A" w:rsidRPr="000B1569" w:rsidRDefault="002A0B3A" w:rsidP="005032B4">
      <w:pPr>
        <w:spacing w:after="0" w:line="360" w:lineRule="auto"/>
        <w:contextualSpacing/>
        <w:rPr>
          <w:rFonts w:eastAsia="Calibri" w:cs="Tahoma"/>
          <w:b/>
          <w:color w:val="auto"/>
        </w:rPr>
      </w:pPr>
    </w:p>
    <w:p w14:paraId="538F552D" w14:textId="77777777" w:rsidR="00F80468" w:rsidRPr="000B1569" w:rsidRDefault="00F80468" w:rsidP="00F80468">
      <w:pPr>
        <w:spacing w:after="0" w:line="360" w:lineRule="auto"/>
        <w:rPr>
          <w:rFonts w:eastAsia="Palatino Linotype" w:cs="Palatino Linotype"/>
          <w:color w:val="000000"/>
          <w:lang w:eastAsia="es-MX"/>
        </w:rPr>
      </w:pPr>
      <w:r w:rsidRPr="000B1569">
        <w:rPr>
          <w:rFonts w:eastAsia="Palatino Linotype" w:cs="Palatino Linotype"/>
          <w:color w:val="000000"/>
          <w:lang w:eastAsia="es-MX"/>
        </w:rPr>
        <w:t xml:space="preserve">De acuerdo con lo expuesto y, con fundamento en el artículo 186, fracción III, de la Ley de Transparencia y Acceso a la Información Pública del Estado de México y Municipios, este Instituto considera procedente </w:t>
      </w:r>
      <w:r w:rsidRPr="000B1569">
        <w:rPr>
          <w:rFonts w:eastAsia="Palatino Linotype" w:cs="Palatino Linotype"/>
          <w:b/>
          <w:color w:val="000000"/>
          <w:lang w:eastAsia="es-MX"/>
        </w:rPr>
        <w:t xml:space="preserve">REVOCAR </w:t>
      </w:r>
      <w:r w:rsidRPr="000B1569">
        <w:rPr>
          <w:rFonts w:eastAsia="Palatino Linotype" w:cs="Palatino Linotype"/>
          <w:color w:val="000000"/>
          <w:lang w:eastAsia="es-MX"/>
        </w:rPr>
        <w:t>la respuesta del Ayuntamiento de Toluca</w:t>
      </w:r>
      <w:r w:rsidRPr="000B1569">
        <w:rPr>
          <w:rFonts w:eastAsia="Palatino Linotype" w:cs="Palatino Linotype"/>
          <w:b/>
          <w:color w:val="000000"/>
          <w:lang w:eastAsia="es-MX"/>
        </w:rPr>
        <w:t xml:space="preserve">, </w:t>
      </w:r>
      <w:r w:rsidRPr="000B1569">
        <w:rPr>
          <w:rFonts w:eastAsia="Palatino Linotype" w:cs="Palatino Linotype"/>
          <w:color w:val="000000"/>
          <w:lang w:eastAsia="es-MX"/>
        </w:rPr>
        <w:t>a efecto de que previa búsqueda exhaustiva y razonable entregue, en versión pública, la información solicitada.</w:t>
      </w:r>
    </w:p>
    <w:p w14:paraId="329AC632" w14:textId="77777777" w:rsidR="002A0B3A" w:rsidRPr="000B1569" w:rsidRDefault="002A0B3A" w:rsidP="005032B4">
      <w:pPr>
        <w:spacing w:after="0" w:line="360" w:lineRule="auto"/>
        <w:contextualSpacing/>
        <w:rPr>
          <w:rFonts w:eastAsia="Times New Roman" w:cs="Tahoma"/>
          <w:color w:val="auto"/>
          <w:szCs w:val="24"/>
          <w:lang w:val="es-ES" w:eastAsia="es-ES"/>
        </w:rPr>
      </w:pPr>
    </w:p>
    <w:p w14:paraId="76B23D88" w14:textId="3C58BE72" w:rsidR="002A0B3A" w:rsidRPr="000B1569" w:rsidRDefault="002A0B3A" w:rsidP="005032B4">
      <w:pPr>
        <w:spacing w:after="0" w:line="360" w:lineRule="auto"/>
        <w:contextualSpacing/>
        <w:rPr>
          <w:rFonts w:eastAsia="Calibri" w:cs="Tahoma"/>
          <w:b/>
          <w:bCs/>
          <w:color w:val="auto"/>
        </w:rPr>
      </w:pPr>
      <w:r w:rsidRPr="000B1569">
        <w:rPr>
          <w:rFonts w:eastAsia="Calibri" w:cs="Tahoma"/>
          <w:b/>
          <w:bCs/>
          <w:color w:val="auto"/>
        </w:rPr>
        <w:t>Términos de la Resolución p</w:t>
      </w:r>
      <w:r w:rsidR="000B1569" w:rsidRPr="000B1569">
        <w:rPr>
          <w:rFonts w:eastAsia="Calibri" w:cs="Tahoma"/>
          <w:b/>
          <w:bCs/>
          <w:color w:val="auto"/>
        </w:rPr>
        <w:t>ara conocimiento del Particular</w:t>
      </w:r>
    </w:p>
    <w:p w14:paraId="2EEF94A6" w14:textId="77777777" w:rsidR="002A0B3A" w:rsidRPr="000B1569" w:rsidRDefault="002A0B3A" w:rsidP="005032B4">
      <w:pPr>
        <w:spacing w:after="0" w:line="360" w:lineRule="auto"/>
        <w:contextualSpacing/>
        <w:rPr>
          <w:rFonts w:eastAsia="Calibri" w:cs="Tahoma"/>
          <w:b/>
          <w:bCs/>
          <w:color w:val="auto"/>
        </w:rPr>
      </w:pPr>
    </w:p>
    <w:p w14:paraId="331B5A98" w14:textId="77777777" w:rsidR="00F80468" w:rsidRPr="000B1569" w:rsidRDefault="00F80468" w:rsidP="00F80468">
      <w:pPr>
        <w:spacing w:after="0" w:line="360" w:lineRule="auto"/>
        <w:rPr>
          <w:rFonts w:eastAsia="Palatino Linotype" w:cs="Palatino Linotype"/>
          <w:color w:val="000000"/>
          <w:lang w:eastAsia="es-MX"/>
        </w:rPr>
      </w:pPr>
      <w:r w:rsidRPr="000B1569">
        <w:rPr>
          <w:rFonts w:eastAsia="Palatino Linotype" w:cs="Palatino Linotype"/>
          <w:color w:val="000000"/>
          <w:lang w:eastAsia="es-MX"/>
        </w:rPr>
        <w:lastRenderedPageBreak/>
        <w:t>Se le hace del conocimiento a la persona Recurrente que, en el presente asunto, se le da la razón, pues el Sujeto Obligado, omitió entregar la información, por lo que, deberá hacer la entrega de la información solicitada. 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3B614F93" w14:textId="77777777" w:rsidR="00F80468" w:rsidRPr="000B1569" w:rsidRDefault="00F80468" w:rsidP="005032B4">
      <w:pPr>
        <w:spacing w:after="0" w:line="360" w:lineRule="auto"/>
      </w:pPr>
    </w:p>
    <w:p w14:paraId="1BF135B6" w14:textId="77777777" w:rsidR="002A0B3A" w:rsidRPr="000B1569" w:rsidRDefault="002A0B3A" w:rsidP="005032B4">
      <w:pPr>
        <w:spacing w:after="0" w:line="360" w:lineRule="auto"/>
        <w:contextualSpacing/>
        <w:rPr>
          <w:rFonts w:eastAsia="Calibri" w:cs="Tahoma"/>
          <w:bCs/>
          <w:color w:val="auto"/>
        </w:rPr>
      </w:pPr>
      <w:r w:rsidRPr="000B1569">
        <w:rPr>
          <w:rFonts w:eastAsia="Calibri" w:cs="Tahoma"/>
          <w:bCs/>
          <w:color w:val="auto"/>
        </w:rPr>
        <w:t>Por lo expuesto y fundado, este Pleno:</w:t>
      </w:r>
    </w:p>
    <w:p w14:paraId="0FA647B5" w14:textId="77777777" w:rsidR="002A0B3A" w:rsidRPr="000B1569" w:rsidRDefault="002A0B3A" w:rsidP="005032B4">
      <w:pPr>
        <w:spacing w:after="0" w:line="360" w:lineRule="auto"/>
        <w:contextualSpacing/>
        <w:rPr>
          <w:rFonts w:eastAsia="Calibri" w:cs="Tahoma"/>
          <w:bCs/>
          <w:color w:val="auto"/>
        </w:rPr>
      </w:pPr>
    </w:p>
    <w:p w14:paraId="7919B441" w14:textId="3F9ED85A" w:rsidR="002A0B3A" w:rsidRPr="000B1569" w:rsidRDefault="002A0B3A" w:rsidP="005032B4">
      <w:pPr>
        <w:pStyle w:val="Ttulo1"/>
        <w:spacing w:before="0" w:line="360" w:lineRule="auto"/>
        <w:jc w:val="center"/>
        <w:rPr>
          <w:rFonts w:ascii="Palatino Linotype" w:eastAsia="Calibri" w:hAnsi="Palatino Linotype"/>
          <w:b/>
          <w:color w:val="000000" w:themeColor="text1"/>
          <w:sz w:val="22"/>
          <w:szCs w:val="22"/>
        </w:rPr>
      </w:pPr>
      <w:bookmarkStart w:id="19" w:name="_Toc195121266"/>
      <w:r w:rsidRPr="000B1569">
        <w:rPr>
          <w:rFonts w:ascii="Palatino Linotype" w:eastAsia="Calibri" w:hAnsi="Palatino Linotype"/>
          <w:b/>
          <w:color w:val="000000" w:themeColor="text1"/>
          <w:sz w:val="22"/>
          <w:szCs w:val="22"/>
        </w:rPr>
        <w:t>R E S U E L V E</w:t>
      </w:r>
      <w:bookmarkEnd w:id="19"/>
    </w:p>
    <w:p w14:paraId="6A252915" w14:textId="77777777" w:rsidR="002A0B3A" w:rsidRPr="000B1569" w:rsidRDefault="002A0B3A" w:rsidP="005032B4">
      <w:pPr>
        <w:spacing w:after="0" w:line="360" w:lineRule="auto"/>
        <w:ind w:right="-91"/>
        <w:contextualSpacing/>
        <w:jc w:val="center"/>
        <w:rPr>
          <w:rFonts w:eastAsia="Calibri" w:cs="Tahoma"/>
          <w:b/>
          <w:bCs/>
          <w:color w:val="auto"/>
        </w:rPr>
      </w:pPr>
    </w:p>
    <w:p w14:paraId="2A1F5806" w14:textId="6D1FD5F3" w:rsidR="00F80468" w:rsidRPr="000B1569" w:rsidRDefault="00F80468" w:rsidP="00F80468">
      <w:pPr>
        <w:spacing w:after="0" w:line="360" w:lineRule="auto"/>
        <w:contextualSpacing/>
        <w:rPr>
          <w:rFonts w:eastAsia="Palatino Linotype" w:cs="Palatino Linotype"/>
          <w:bCs/>
          <w:color w:val="000000"/>
          <w:lang w:eastAsia="es-MX"/>
        </w:rPr>
      </w:pPr>
      <w:r w:rsidRPr="000B1569">
        <w:rPr>
          <w:rFonts w:eastAsia="Palatino Linotype" w:cs="Tahoma"/>
          <w:b/>
          <w:bCs/>
          <w:color w:val="000000"/>
          <w:lang w:eastAsia="es-MX"/>
        </w:rPr>
        <w:t xml:space="preserve">PRIMERO. </w:t>
      </w:r>
      <w:r w:rsidRPr="000B1569">
        <w:rPr>
          <w:rFonts w:eastAsia="Palatino Linotype" w:cs="Tahoma"/>
          <w:bCs/>
          <w:color w:val="000000"/>
          <w:lang w:eastAsia="es-MX"/>
        </w:rPr>
        <w:t xml:space="preserve">Se </w:t>
      </w:r>
      <w:r w:rsidRPr="000B1569">
        <w:rPr>
          <w:rFonts w:eastAsia="Palatino Linotype" w:cs="Tahoma"/>
          <w:b/>
          <w:bCs/>
          <w:color w:val="000000"/>
          <w:lang w:eastAsia="es-MX"/>
        </w:rPr>
        <w:t xml:space="preserve">REVOCA </w:t>
      </w:r>
      <w:r w:rsidRPr="000B1569">
        <w:rPr>
          <w:rFonts w:eastAsia="Palatino Linotype" w:cs="Tahoma"/>
          <w:bCs/>
          <w:color w:val="000000"/>
          <w:lang w:eastAsia="es-MX"/>
        </w:rPr>
        <w:t>la respuesta entregada por el Ayuntamiento de Toluca, a la solicitud de información</w:t>
      </w:r>
      <w:r w:rsidRPr="000B1569">
        <w:rPr>
          <w:rFonts w:eastAsia="Palatino Linotype" w:cs="Palatino Linotype"/>
          <w:color w:val="000000"/>
          <w:lang w:eastAsia="es-MX"/>
        </w:rPr>
        <w:t xml:space="preserve"> 00144/TOLUCA/IP/2025</w:t>
      </w:r>
      <w:r w:rsidRPr="000B1569">
        <w:rPr>
          <w:rFonts w:eastAsia="Palatino Linotype" w:cs="Palatino Linotype"/>
          <w:bCs/>
          <w:color w:val="000000"/>
          <w:lang w:eastAsia="es-MX"/>
        </w:rPr>
        <w:t xml:space="preserve">, por resultar </w:t>
      </w:r>
      <w:r w:rsidRPr="000B1569">
        <w:rPr>
          <w:rFonts w:eastAsia="Palatino Linotype" w:cs="Palatino Linotype"/>
          <w:b/>
          <w:bCs/>
          <w:color w:val="000000"/>
          <w:lang w:eastAsia="es-MX"/>
        </w:rPr>
        <w:t>FUNDADAS</w:t>
      </w:r>
      <w:r w:rsidRPr="000B1569">
        <w:rPr>
          <w:rFonts w:eastAsia="Palatino Linotype" w:cs="Tahoma"/>
          <w:b/>
          <w:bCs/>
          <w:color w:val="000000"/>
          <w:lang w:eastAsia="es-MX"/>
        </w:rPr>
        <w:t xml:space="preserve"> </w:t>
      </w:r>
      <w:r w:rsidRPr="000B1569">
        <w:rPr>
          <w:rFonts w:eastAsia="Calibri" w:cs="Tahoma"/>
          <w:bCs/>
          <w:color w:val="000000"/>
          <w:lang w:eastAsia="es-MX"/>
        </w:rPr>
        <w:t>las razones o motivos de inconformidad hechos valer por el Recurrente</w:t>
      </w:r>
      <w:r w:rsidRPr="000B1569">
        <w:rPr>
          <w:rFonts w:eastAsia="Palatino Linotype" w:cs="Tahoma"/>
          <w:bCs/>
          <w:color w:val="000000"/>
          <w:lang w:eastAsia="es-MX"/>
        </w:rPr>
        <w:t xml:space="preserve">, </w:t>
      </w:r>
      <w:r w:rsidRPr="000B1569">
        <w:rPr>
          <w:rFonts w:eastAsia="Calibri" w:cs="Tahoma"/>
          <w:bCs/>
          <w:color w:val="000000"/>
          <w:lang w:eastAsia="es-MX"/>
        </w:rPr>
        <w:t>en términos de los considerandos QUINTO y SEXTO de la presente Resolución.</w:t>
      </w:r>
    </w:p>
    <w:p w14:paraId="0F8095EE" w14:textId="77777777" w:rsidR="00F80468" w:rsidRPr="000B1569" w:rsidRDefault="00F80468" w:rsidP="00F80468">
      <w:pPr>
        <w:spacing w:after="0" w:line="360" w:lineRule="auto"/>
        <w:contextualSpacing/>
        <w:rPr>
          <w:rFonts w:eastAsia="Times New Roman" w:cs="Tahoma"/>
          <w:bCs/>
          <w:color w:val="000000"/>
          <w:lang w:eastAsia="es-ES"/>
        </w:rPr>
      </w:pPr>
    </w:p>
    <w:p w14:paraId="27BC49CC" w14:textId="105FDCD0" w:rsidR="00837D5E" w:rsidRPr="000B1569" w:rsidRDefault="00F80468" w:rsidP="00F80468">
      <w:pPr>
        <w:spacing w:after="0" w:line="360" w:lineRule="auto"/>
        <w:rPr>
          <w:rFonts w:eastAsia="Palatino Linotype" w:cs="Palatino Linotype"/>
          <w:color w:val="000000"/>
          <w:lang w:eastAsia="es-MX"/>
        </w:rPr>
      </w:pPr>
      <w:r w:rsidRPr="000B1569">
        <w:rPr>
          <w:rFonts w:eastAsia="Palatino Linotype" w:cs="Tahoma"/>
          <w:b/>
          <w:bCs/>
          <w:color w:val="000000"/>
          <w:lang w:eastAsia="es-MX"/>
        </w:rPr>
        <w:t xml:space="preserve">SEGUNDO. </w:t>
      </w:r>
      <w:r w:rsidRPr="000B1569">
        <w:rPr>
          <w:rFonts w:eastAsia="Palatino Linotype" w:cs="Palatino Linotype"/>
          <w:color w:val="000000"/>
          <w:lang w:eastAsia="es-MX"/>
        </w:rPr>
        <w:t xml:space="preserve">Se </w:t>
      </w:r>
      <w:r w:rsidRPr="000B1569">
        <w:rPr>
          <w:rFonts w:eastAsia="Palatino Linotype" w:cs="Palatino Linotype"/>
          <w:b/>
          <w:color w:val="000000"/>
          <w:lang w:eastAsia="es-MX"/>
        </w:rPr>
        <w:t>ORDENA</w:t>
      </w:r>
      <w:r w:rsidRPr="000B1569">
        <w:rPr>
          <w:rFonts w:eastAsia="Palatino Linotype" w:cs="Palatino Linotype"/>
          <w:color w:val="000000"/>
          <w:lang w:eastAsia="es-MX"/>
        </w:rPr>
        <w:t xml:space="preserve"> al Ente Recurrido</w:t>
      </w:r>
      <w:r w:rsidRPr="000B1569">
        <w:rPr>
          <w:rFonts w:eastAsia="Palatino Linotype" w:cs="Palatino Linotype"/>
          <w:b/>
          <w:color w:val="000000"/>
          <w:lang w:eastAsia="es-MX"/>
        </w:rPr>
        <w:t xml:space="preserve">, </w:t>
      </w:r>
      <w:r w:rsidRPr="000B1569">
        <w:rPr>
          <w:rFonts w:eastAsia="Palatino Linotype" w:cs="Palatino Linotype"/>
          <w:color w:val="000000"/>
          <w:lang w:eastAsia="es-MX"/>
        </w:rPr>
        <w:t xml:space="preserve">a efecto de que previa búsqueda exhaustiva y razonable, en los archivos de las unidades administrativas competentes, entregue a través del Sistema de Acceso a la Información Mexiquense (SAIMEX), </w:t>
      </w:r>
      <w:r w:rsidR="00837D5E" w:rsidRPr="000B1569">
        <w:rPr>
          <w:rFonts w:eastAsia="Palatino Linotype" w:cs="Palatino Linotype"/>
          <w:color w:val="000000"/>
          <w:lang w:eastAsia="es-MX"/>
        </w:rPr>
        <w:t xml:space="preserve">respecto a los </w:t>
      </w:r>
      <w:proofErr w:type="spellStart"/>
      <w:r w:rsidR="00837D5E" w:rsidRPr="000B1569">
        <w:rPr>
          <w:rFonts w:eastAsia="Palatino Linotype" w:cs="Palatino Linotype"/>
          <w:color w:val="000000"/>
          <w:lang w:eastAsia="es-MX"/>
        </w:rPr>
        <w:t>policias</w:t>
      </w:r>
      <w:proofErr w:type="spellEnd"/>
      <w:r w:rsidR="00837D5E" w:rsidRPr="000B1569">
        <w:rPr>
          <w:rFonts w:eastAsia="Palatino Linotype" w:cs="Palatino Linotype"/>
          <w:color w:val="000000"/>
          <w:lang w:eastAsia="es-MX"/>
        </w:rPr>
        <w:t xml:space="preserve"> municipales que se </w:t>
      </w:r>
      <w:proofErr w:type="spellStart"/>
      <w:r w:rsidR="00837D5E" w:rsidRPr="000B1569">
        <w:rPr>
          <w:rFonts w:eastAsia="Palatino Linotype" w:cs="Palatino Linotype"/>
          <w:color w:val="000000"/>
          <w:lang w:eastAsia="es-MX"/>
        </w:rPr>
        <w:t>encontrban</w:t>
      </w:r>
      <w:proofErr w:type="spellEnd"/>
      <w:r w:rsidR="00837D5E" w:rsidRPr="000B1569">
        <w:rPr>
          <w:rFonts w:eastAsia="Palatino Linotype" w:cs="Palatino Linotype"/>
          <w:color w:val="000000"/>
          <w:lang w:eastAsia="es-MX"/>
        </w:rPr>
        <w:t xml:space="preserve"> en el pase </w:t>
      </w:r>
      <w:r w:rsidR="00837D5E" w:rsidRPr="000B1569">
        <w:rPr>
          <w:rFonts w:eastAsia="Times New Roman" w:cs="Times New Roman"/>
          <w:color w:val="auto"/>
          <w:szCs w:val="24"/>
          <w:lang w:eastAsia="es-ES"/>
        </w:rPr>
        <w:t>de lista realizado por el Presidente Municipal, el seis de enero de dos mil veinticinco, lo siguiente:</w:t>
      </w:r>
    </w:p>
    <w:p w14:paraId="5E29AD9E" w14:textId="77777777" w:rsidR="00F80468" w:rsidRPr="000B1569" w:rsidRDefault="00F80468" w:rsidP="00F80468">
      <w:pPr>
        <w:spacing w:after="0" w:line="360" w:lineRule="auto"/>
        <w:rPr>
          <w:rFonts w:eastAsia="Palatino Linotype" w:cs="Palatino Linotype"/>
          <w:color w:val="000000"/>
          <w:lang w:eastAsia="es-MX"/>
        </w:rPr>
      </w:pPr>
    </w:p>
    <w:p w14:paraId="3E9C7905" w14:textId="210B80FA" w:rsidR="00AA474C" w:rsidRPr="000B1569" w:rsidRDefault="00B03C71" w:rsidP="00AA474C">
      <w:pPr>
        <w:numPr>
          <w:ilvl w:val="0"/>
          <w:numId w:val="35"/>
        </w:numPr>
        <w:spacing w:after="0" w:line="360" w:lineRule="auto"/>
        <w:contextualSpacing/>
        <w:rPr>
          <w:rFonts w:eastAsia="Times New Roman" w:cs="Times New Roman"/>
          <w:color w:val="auto"/>
          <w:szCs w:val="24"/>
          <w:lang w:eastAsia="es-ES"/>
        </w:rPr>
      </w:pPr>
      <w:r w:rsidRPr="000B1569">
        <w:rPr>
          <w:rFonts w:eastAsia="Times New Roman" w:cs="Times New Roman"/>
          <w:color w:val="auto"/>
          <w:szCs w:val="24"/>
          <w:lang w:eastAsia="es-ES"/>
        </w:rPr>
        <w:t>E</w:t>
      </w:r>
      <w:r w:rsidR="00837D5E" w:rsidRPr="000B1569">
        <w:rPr>
          <w:rFonts w:eastAsia="Times New Roman" w:cs="Times New Roman"/>
          <w:color w:val="auto"/>
          <w:szCs w:val="24"/>
          <w:lang w:eastAsia="es-ES"/>
        </w:rPr>
        <w:t xml:space="preserve">n su caso, en versión pública, los documentos donde </w:t>
      </w:r>
      <w:proofErr w:type="spellStart"/>
      <w:r w:rsidR="00837D5E" w:rsidRPr="000B1569">
        <w:rPr>
          <w:rFonts w:eastAsia="Times New Roman" w:cs="Times New Roman"/>
          <w:color w:val="auto"/>
          <w:szCs w:val="24"/>
          <w:lang w:eastAsia="es-ES"/>
        </w:rPr>
        <w:t>cosnte</w:t>
      </w:r>
      <w:proofErr w:type="spellEnd"/>
      <w:r w:rsidR="00837D5E" w:rsidRPr="000B1569">
        <w:rPr>
          <w:rFonts w:eastAsia="Times New Roman" w:cs="Times New Roman"/>
          <w:color w:val="auto"/>
          <w:szCs w:val="24"/>
          <w:lang w:eastAsia="es-ES"/>
        </w:rPr>
        <w:t xml:space="preserve"> el </w:t>
      </w:r>
      <w:r w:rsidRPr="000B1569">
        <w:rPr>
          <w:rFonts w:eastAsia="Times New Roman" w:cs="Times New Roman"/>
          <w:color w:val="auto"/>
          <w:szCs w:val="24"/>
          <w:lang w:eastAsia="es-ES"/>
        </w:rPr>
        <w:t>cargo y sueldo bruto y neto mensual vigente al trece de enero de dos mil veinticinco</w:t>
      </w:r>
      <w:r w:rsidR="00837D5E" w:rsidRPr="000B1569">
        <w:rPr>
          <w:rFonts w:eastAsia="Times New Roman" w:cs="Times New Roman"/>
          <w:color w:val="auto"/>
          <w:szCs w:val="24"/>
          <w:lang w:eastAsia="es-ES"/>
        </w:rPr>
        <w:t>, y</w:t>
      </w:r>
    </w:p>
    <w:p w14:paraId="68363DA0" w14:textId="77777777" w:rsidR="00AA474C" w:rsidRPr="000B1569" w:rsidRDefault="00AA474C" w:rsidP="00AA474C">
      <w:pPr>
        <w:spacing w:after="0" w:line="360" w:lineRule="auto"/>
        <w:ind w:left="720"/>
        <w:contextualSpacing/>
        <w:rPr>
          <w:rFonts w:eastAsia="Times New Roman" w:cs="Times New Roman"/>
          <w:color w:val="auto"/>
          <w:szCs w:val="24"/>
          <w:lang w:eastAsia="es-ES"/>
        </w:rPr>
      </w:pPr>
    </w:p>
    <w:p w14:paraId="2BA2C124" w14:textId="03E4683C" w:rsidR="00F80468" w:rsidRPr="000B1569" w:rsidRDefault="00AA474C" w:rsidP="00E05116">
      <w:pPr>
        <w:numPr>
          <w:ilvl w:val="0"/>
          <w:numId w:val="35"/>
        </w:numPr>
        <w:spacing w:after="0" w:line="360" w:lineRule="auto"/>
        <w:contextualSpacing/>
        <w:rPr>
          <w:rFonts w:eastAsia="Times New Roman" w:cs="Times New Roman"/>
          <w:color w:val="000000"/>
          <w:szCs w:val="24"/>
          <w:lang w:eastAsia="es-ES"/>
        </w:rPr>
      </w:pPr>
      <w:r w:rsidRPr="000B1569">
        <w:rPr>
          <w:rFonts w:cs="Tahoma"/>
          <w:color w:val="0D0D0D" w:themeColor="text1" w:themeTint="F2"/>
        </w:rPr>
        <w:lastRenderedPageBreak/>
        <w:t>El acuerdo de clasificación emitido por el Comité de Transparencia, en donde de manera fundada y motivada, confirme la clasificación, del nombre de los policías</w:t>
      </w:r>
      <w:r w:rsidR="00837D5E" w:rsidRPr="000B1569">
        <w:rPr>
          <w:rFonts w:cs="Tahoma"/>
          <w:color w:val="0D0D0D" w:themeColor="text1" w:themeTint="F2"/>
        </w:rPr>
        <w:t xml:space="preserve">; así como, los datos testados en el documento que </w:t>
      </w:r>
      <w:proofErr w:type="spellStart"/>
      <w:r w:rsidR="00837D5E" w:rsidRPr="000B1569">
        <w:rPr>
          <w:rFonts w:cs="Tahoma"/>
          <w:color w:val="0D0D0D" w:themeColor="text1" w:themeTint="F2"/>
        </w:rPr>
        <w:t>de</w:t>
      </w:r>
      <w:proofErr w:type="spellEnd"/>
      <w:r w:rsidR="00837D5E" w:rsidRPr="000B1569">
        <w:rPr>
          <w:rFonts w:cs="Tahoma"/>
          <w:color w:val="0D0D0D" w:themeColor="text1" w:themeTint="F2"/>
        </w:rPr>
        <w:t xml:space="preserve"> cuenta del numeral 1,</w:t>
      </w:r>
      <w:r w:rsidR="00837D5E" w:rsidRPr="000B1569">
        <w:t xml:space="preserve"> </w:t>
      </w:r>
      <w:r w:rsidR="00837D5E" w:rsidRPr="000B1569">
        <w:rPr>
          <w:rFonts w:cs="Tahoma"/>
          <w:color w:val="0D0D0D" w:themeColor="text1" w:themeTint="F2"/>
        </w:rPr>
        <w:t>de conformidad con los artículos 49, fracciones II y VIII y 132, fracción II de la Ley de Transparencia y Acceso a la Información Pública del Estado de México y Municipios.</w:t>
      </w:r>
    </w:p>
    <w:p w14:paraId="0F2BA4FB" w14:textId="77777777" w:rsidR="00F80468" w:rsidRPr="000B1569" w:rsidRDefault="00F80468" w:rsidP="00F80468">
      <w:pPr>
        <w:spacing w:after="0" w:line="360" w:lineRule="auto"/>
        <w:ind w:right="-91"/>
        <w:contextualSpacing/>
        <w:rPr>
          <w:rFonts w:eastAsia="Calibri" w:cs="Tahoma"/>
          <w:b/>
          <w:bCs/>
          <w:color w:val="000000"/>
          <w:lang w:eastAsia="es-MX"/>
        </w:rPr>
      </w:pPr>
    </w:p>
    <w:p w14:paraId="1864DA52" w14:textId="77777777" w:rsidR="00F80468" w:rsidRPr="000B1569" w:rsidRDefault="00F80468" w:rsidP="00F80468">
      <w:pPr>
        <w:spacing w:after="0" w:line="360" w:lineRule="auto"/>
        <w:ind w:right="-28"/>
        <w:contextualSpacing/>
        <w:rPr>
          <w:rFonts w:eastAsia="Palatino Linotype" w:cs="Tahoma"/>
          <w:b/>
          <w:iCs/>
          <w:color w:val="000000"/>
          <w:lang w:eastAsia="es-MX"/>
        </w:rPr>
      </w:pPr>
      <w:r w:rsidRPr="000B1569">
        <w:rPr>
          <w:rFonts w:eastAsia="Calibri" w:cs="Tahoma"/>
          <w:b/>
          <w:bCs/>
          <w:color w:val="000000"/>
          <w:lang w:eastAsia="es-MX"/>
        </w:rPr>
        <w:t xml:space="preserve">TERCERO. </w:t>
      </w:r>
      <w:r w:rsidRPr="000B1569">
        <w:rPr>
          <w:rFonts w:eastAsia="Palatino Linotype" w:cs="Tahoma"/>
          <w:b/>
          <w:bCs/>
          <w:iCs/>
          <w:color w:val="000000"/>
          <w:lang w:eastAsia="es-MX"/>
        </w:rPr>
        <w:t xml:space="preserve">NOTIFÍQUESE POR SAIMEX </w:t>
      </w:r>
      <w:r w:rsidRPr="000B1569">
        <w:rPr>
          <w:rFonts w:eastAsia="Palatino Linotype" w:cs="Tahoma"/>
          <w:bCs/>
          <w:iCs/>
          <w:color w:val="000000"/>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0184AE9" w14:textId="77777777" w:rsidR="00F80468" w:rsidRPr="000B1569" w:rsidRDefault="00F80468" w:rsidP="00F80468">
      <w:pPr>
        <w:spacing w:after="0" w:line="360" w:lineRule="auto"/>
        <w:ind w:right="-28"/>
        <w:contextualSpacing/>
        <w:rPr>
          <w:rFonts w:eastAsia="Calibri" w:cs="Tahoma"/>
          <w:color w:val="000000"/>
          <w:lang w:val="es-ES" w:eastAsia="es-MX"/>
        </w:rPr>
      </w:pPr>
    </w:p>
    <w:p w14:paraId="6EFEC5A7" w14:textId="77777777" w:rsidR="00F80468" w:rsidRPr="000B1569" w:rsidRDefault="00F80468" w:rsidP="00F80468">
      <w:pPr>
        <w:spacing w:after="0" w:line="360" w:lineRule="auto"/>
        <w:contextualSpacing/>
        <w:rPr>
          <w:rFonts w:eastAsia="Calibri" w:cs="Tahoma"/>
          <w:iCs/>
          <w:color w:val="000000"/>
          <w:lang w:eastAsia="es-MX"/>
        </w:rPr>
      </w:pPr>
      <w:r w:rsidRPr="000B1569">
        <w:rPr>
          <w:rFonts w:eastAsia="Calibri" w:cs="Tahoma"/>
          <w:iCs/>
          <w:color w:val="000000"/>
          <w:lang w:eastAsia="es-MX"/>
        </w:rPr>
        <w:t>De conformidad con el artículo 198 de la Ley de la materia, de considerarlo procedente, el Sujeto Obligado de manera fundada y motivada, podrá solicitar una ampliación de plazo para el cumplimiento de la presente resolución.</w:t>
      </w:r>
    </w:p>
    <w:p w14:paraId="3EF17EFF" w14:textId="77777777" w:rsidR="00F80468" w:rsidRPr="000B1569" w:rsidRDefault="00F80468" w:rsidP="00F80468">
      <w:pPr>
        <w:spacing w:after="0" w:line="360" w:lineRule="auto"/>
        <w:contextualSpacing/>
        <w:rPr>
          <w:rFonts w:eastAsia="Calibri" w:cs="Tahoma"/>
          <w:color w:val="000000"/>
          <w:lang w:val="es-ES" w:eastAsia="es-MX"/>
        </w:rPr>
      </w:pPr>
    </w:p>
    <w:p w14:paraId="51A1C2B2" w14:textId="77777777" w:rsidR="00F80468" w:rsidRPr="000B1569" w:rsidRDefault="00F80468" w:rsidP="00F80468">
      <w:pPr>
        <w:spacing w:after="0" w:line="360" w:lineRule="auto"/>
        <w:contextualSpacing/>
        <w:rPr>
          <w:rFonts w:eastAsia="Times New Roman" w:cs="Tahoma"/>
          <w:color w:val="000000"/>
          <w:lang w:eastAsia="es-ES"/>
        </w:rPr>
      </w:pPr>
      <w:r w:rsidRPr="000B1569">
        <w:rPr>
          <w:rFonts w:eastAsia="Calibri" w:cs="Tahoma"/>
          <w:b/>
          <w:color w:val="000000"/>
          <w:lang w:eastAsia="es-MX"/>
        </w:rPr>
        <w:t>CUARTO</w:t>
      </w:r>
      <w:r w:rsidRPr="000B1569">
        <w:rPr>
          <w:rFonts w:eastAsia="Calibri" w:cs="Tahoma"/>
          <w:b/>
          <w:bCs/>
          <w:color w:val="000000"/>
          <w:lang w:eastAsia="es-MX"/>
        </w:rPr>
        <w:t xml:space="preserve">. </w:t>
      </w:r>
      <w:r w:rsidRPr="000B1569">
        <w:rPr>
          <w:rFonts w:eastAsia="Palatino Linotype" w:cs="Tahoma"/>
          <w:b/>
          <w:color w:val="000000"/>
          <w:lang w:eastAsia="es-MX"/>
        </w:rPr>
        <w:t>NOTIFÍQUESE POR SAIMEX</w:t>
      </w:r>
      <w:r w:rsidRPr="000B1569">
        <w:rPr>
          <w:rFonts w:eastAsia="Palatino Linotype" w:cs="Tahoma"/>
          <w:color w:val="000000"/>
          <w:lang w:eastAsia="es-MX"/>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5B6FA22" w14:textId="77777777" w:rsidR="00F80468" w:rsidRPr="000B1569" w:rsidRDefault="00F80468" w:rsidP="00F80468">
      <w:pPr>
        <w:spacing w:after="0" w:line="360" w:lineRule="auto"/>
        <w:contextualSpacing/>
        <w:rPr>
          <w:rFonts w:eastAsia="Palatino Linotype" w:cs="Arial"/>
          <w:b/>
          <w:bCs/>
          <w:color w:val="000000"/>
          <w:lang w:eastAsia="es-MX"/>
        </w:rPr>
      </w:pPr>
    </w:p>
    <w:p w14:paraId="17A6D188" w14:textId="34A36B50" w:rsidR="00F80468" w:rsidRPr="00F80468" w:rsidRDefault="00F80468" w:rsidP="00F80468">
      <w:pPr>
        <w:spacing w:after="0" w:line="360" w:lineRule="auto"/>
        <w:contextualSpacing/>
        <w:rPr>
          <w:rFonts w:eastAsia="Palatino Linotype" w:cs="Tahoma"/>
          <w:b/>
          <w:bCs/>
          <w:color w:val="000000"/>
          <w:lang w:eastAsia="es-MX"/>
        </w:rPr>
      </w:pPr>
      <w:r w:rsidRPr="000B1569">
        <w:rPr>
          <w:rFonts w:eastAsia="Calibri" w:cs="Tahoma"/>
          <w:bCs/>
          <w:color w:val="000000"/>
          <w:lang w:eastAsia="es-MX"/>
        </w:rPr>
        <w:lastRenderedPageBreak/>
        <w:t>ASÍ LO RESUELVE, POR </w:t>
      </w:r>
      <w:r w:rsidRPr="000B1569">
        <w:rPr>
          <w:rFonts w:eastAsia="Calibri" w:cs="Tahoma"/>
          <w:b/>
          <w:bCs/>
          <w:color w:val="000000"/>
          <w:lang w:eastAsia="es-MX"/>
        </w:rPr>
        <w:t>UNANIMIDAD</w:t>
      </w:r>
      <w:r w:rsidRPr="000B1569">
        <w:rPr>
          <w:rFonts w:eastAsia="Calibri" w:cs="Tahoma"/>
          <w:bCs/>
          <w:color w:val="000000"/>
          <w:lang w:eastAsia="es-MX"/>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7775D1" w:rsidRPr="000B1569">
        <w:rPr>
          <w:rFonts w:eastAsia="Calibri" w:cs="Tahoma"/>
          <w:bCs/>
          <w:color w:val="000000"/>
          <w:lang w:eastAsia="es-MX"/>
        </w:rPr>
        <w:t xml:space="preserve"> CON VOTO PARTICULAR</w:t>
      </w:r>
      <w:r w:rsidRPr="000B1569">
        <w:rPr>
          <w:rFonts w:eastAsia="Calibri" w:cs="Tahoma"/>
          <w:bCs/>
          <w:color w:val="000000"/>
          <w:lang w:eastAsia="es-MX"/>
        </w:rPr>
        <w:t xml:space="preserve"> Y GUADALUPE RAMÍREZ PEÑA</w:t>
      </w:r>
      <w:r w:rsidR="007775D1" w:rsidRPr="000B1569">
        <w:rPr>
          <w:rFonts w:eastAsia="Calibri" w:cs="Tahoma"/>
          <w:bCs/>
          <w:color w:val="000000"/>
          <w:lang w:eastAsia="es-MX"/>
        </w:rPr>
        <w:t xml:space="preserve"> CON VOTO PARTICULAR</w:t>
      </w:r>
      <w:r w:rsidRPr="000B1569">
        <w:rPr>
          <w:rFonts w:eastAsia="Calibri" w:cs="Tahoma"/>
          <w:bCs/>
          <w:color w:val="000000"/>
          <w:lang w:eastAsia="es-MX"/>
        </w:rPr>
        <w:t xml:space="preserve">, EN LA </w:t>
      </w:r>
      <w:r w:rsidR="00AA474C" w:rsidRPr="000B1569">
        <w:rPr>
          <w:rFonts w:eastAsia="Calibri" w:cs="Tahoma"/>
          <w:bCs/>
          <w:color w:val="000000"/>
          <w:lang w:eastAsia="es-MX"/>
        </w:rPr>
        <w:t>DÉCIMA CUARTA</w:t>
      </w:r>
      <w:r w:rsidRPr="000B1569">
        <w:rPr>
          <w:rFonts w:eastAsia="Calibri" w:cs="Tahoma"/>
          <w:bCs/>
          <w:color w:val="000000"/>
          <w:lang w:eastAsia="es-MX"/>
        </w:rPr>
        <w:t xml:space="preserve"> SESIÓN ORDINARIA, CELEBRADA EL VEINTI</w:t>
      </w:r>
      <w:r w:rsidR="00AA474C" w:rsidRPr="000B1569">
        <w:rPr>
          <w:rFonts w:eastAsia="Calibri" w:cs="Tahoma"/>
          <w:bCs/>
          <w:color w:val="000000"/>
          <w:lang w:eastAsia="es-MX"/>
        </w:rPr>
        <w:t xml:space="preserve">TRÉS DE ABRIL </w:t>
      </w:r>
      <w:r w:rsidRPr="000B1569">
        <w:rPr>
          <w:rFonts w:eastAsia="Calibri" w:cs="Tahoma"/>
          <w:bCs/>
          <w:color w:val="000000"/>
          <w:lang w:eastAsia="es-MX"/>
        </w:rPr>
        <w:t>DE DOS MIL VEINTICINCO, ANTE EL SECRETARIO TÉCNICO DEL PLENO, ALEXIS TAPIA RAMÍREZ.</w:t>
      </w:r>
    </w:p>
    <w:p w14:paraId="75C10673" w14:textId="77777777" w:rsidR="00F80468" w:rsidRPr="00F80468" w:rsidRDefault="00F80468" w:rsidP="00F80468">
      <w:pPr>
        <w:spacing w:after="0" w:line="360" w:lineRule="auto"/>
        <w:rPr>
          <w:rFonts w:eastAsia="Palatino Linotype" w:cs="Palatino Linotype"/>
          <w:color w:val="000000"/>
          <w:lang w:eastAsia="es-MX"/>
        </w:rPr>
      </w:pPr>
    </w:p>
    <w:p w14:paraId="258403CC" w14:textId="77777777" w:rsidR="00B65D21" w:rsidRPr="00C821DD" w:rsidRDefault="00B65D21" w:rsidP="005032B4">
      <w:pPr>
        <w:spacing w:after="0" w:line="360" w:lineRule="auto"/>
        <w:contextualSpacing/>
        <w:rPr>
          <w:rFonts w:eastAsia="Calibri"/>
          <w:color w:val="FF0000"/>
        </w:rPr>
      </w:pPr>
    </w:p>
    <w:p w14:paraId="3EC3E9BD" w14:textId="77777777" w:rsidR="00CE7148" w:rsidRDefault="00CE7148" w:rsidP="005032B4">
      <w:pPr>
        <w:spacing w:after="0" w:line="360" w:lineRule="auto"/>
        <w:rPr>
          <w:color w:val="FF0000"/>
        </w:rPr>
      </w:pPr>
    </w:p>
    <w:p w14:paraId="4F4CCF40" w14:textId="77777777" w:rsidR="00A9056D" w:rsidRDefault="00A9056D" w:rsidP="005032B4">
      <w:pPr>
        <w:spacing w:after="0" w:line="360" w:lineRule="auto"/>
        <w:rPr>
          <w:color w:val="FF0000"/>
        </w:rPr>
      </w:pPr>
    </w:p>
    <w:p w14:paraId="30C2B0A8" w14:textId="77777777" w:rsidR="00A9056D" w:rsidRDefault="00A9056D" w:rsidP="005032B4">
      <w:pPr>
        <w:spacing w:after="0" w:line="360" w:lineRule="auto"/>
        <w:rPr>
          <w:color w:val="FF0000"/>
        </w:rPr>
      </w:pPr>
    </w:p>
    <w:p w14:paraId="70E8439B" w14:textId="77777777" w:rsidR="00A9056D" w:rsidRDefault="00A9056D" w:rsidP="005032B4">
      <w:pPr>
        <w:spacing w:after="0" w:line="360" w:lineRule="auto"/>
        <w:rPr>
          <w:color w:val="FF0000"/>
        </w:rPr>
      </w:pPr>
    </w:p>
    <w:p w14:paraId="7146A7F6" w14:textId="77777777" w:rsidR="00A9056D" w:rsidRDefault="00A9056D" w:rsidP="005032B4">
      <w:pPr>
        <w:spacing w:after="0" w:line="360" w:lineRule="auto"/>
        <w:rPr>
          <w:color w:val="FF0000"/>
        </w:rPr>
      </w:pPr>
    </w:p>
    <w:p w14:paraId="15A13D10" w14:textId="77777777" w:rsidR="00A9056D" w:rsidRDefault="00A9056D" w:rsidP="005032B4">
      <w:pPr>
        <w:spacing w:after="0" w:line="360" w:lineRule="auto"/>
        <w:rPr>
          <w:color w:val="FF0000"/>
        </w:rPr>
      </w:pPr>
    </w:p>
    <w:p w14:paraId="36F176C9" w14:textId="77777777" w:rsidR="00A9056D" w:rsidRDefault="00A9056D" w:rsidP="005032B4">
      <w:pPr>
        <w:spacing w:after="0" w:line="360" w:lineRule="auto"/>
        <w:rPr>
          <w:color w:val="FF0000"/>
        </w:rPr>
      </w:pPr>
    </w:p>
    <w:p w14:paraId="4D86D97F" w14:textId="77777777" w:rsidR="00A9056D" w:rsidRDefault="00A9056D" w:rsidP="005032B4">
      <w:pPr>
        <w:spacing w:after="0" w:line="360" w:lineRule="auto"/>
        <w:rPr>
          <w:color w:val="FF0000"/>
        </w:rPr>
      </w:pPr>
    </w:p>
    <w:p w14:paraId="06DD7401" w14:textId="77777777" w:rsidR="00A9056D" w:rsidRDefault="00A9056D" w:rsidP="005032B4">
      <w:pPr>
        <w:spacing w:after="0" w:line="360" w:lineRule="auto"/>
        <w:rPr>
          <w:color w:val="FF0000"/>
        </w:rPr>
      </w:pPr>
    </w:p>
    <w:p w14:paraId="436CEB7B" w14:textId="77777777" w:rsidR="00A9056D" w:rsidRDefault="00A9056D" w:rsidP="005032B4">
      <w:pPr>
        <w:spacing w:after="0" w:line="360" w:lineRule="auto"/>
        <w:rPr>
          <w:color w:val="FF0000"/>
        </w:rPr>
      </w:pPr>
    </w:p>
    <w:p w14:paraId="465D31F1" w14:textId="433F2AFD" w:rsidR="00AA474C" w:rsidRDefault="00AA474C">
      <w:pPr>
        <w:jc w:val="left"/>
        <w:rPr>
          <w:color w:val="FF0000"/>
        </w:rPr>
      </w:pPr>
      <w:r>
        <w:rPr>
          <w:color w:val="FF0000"/>
        </w:rPr>
        <w:br w:type="page"/>
      </w:r>
    </w:p>
    <w:p w14:paraId="696107EC" w14:textId="77777777" w:rsidR="00A9056D" w:rsidRPr="00C821DD" w:rsidRDefault="00A9056D" w:rsidP="005032B4">
      <w:pPr>
        <w:spacing w:after="0" w:line="360" w:lineRule="auto"/>
        <w:rPr>
          <w:color w:val="FF0000"/>
        </w:rPr>
      </w:pPr>
    </w:p>
    <w:sectPr w:rsidR="00A9056D" w:rsidRPr="00C821DD" w:rsidSect="00647DF2">
      <w:headerReference w:type="even" r:id="rId9"/>
      <w:headerReference w:type="default" r:id="rId10"/>
      <w:footerReference w:type="even" r:id="rId11"/>
      <w:footerReference w:type="default" r:id="rId12"/>
      <w:headerReference w:type="first" r:id="rId13"/>
      <w:footerReference w:type="first" r:id="rId14"/>
      <w:pgSz w:w="12240" w:h="15840"/>
      <w:pgMar w:top="2410"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29C07" w14:textId="77777777" w:rsidR="003A28C4" w:rsidRDefault="003A28C4" w:rsidP="00DB3DC5">
      <w:pPr>
        <w:spacing w:after="0" w:line="240" w:lineRule="auto"/>
      </w:pPr>
      <w:r>
        <w:separator/>
      </w:r>
    </w:p>
  </w:endnote>
  <w:endnote w:type="continuationSeparator" w:id="0">
    <w:p w14:paraId="33FCFB20" w14:textId="77777777" w:rsidR="003A28C4" w:rsidRDefault="003A28C4"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09180"/>
      <w:docPartObj>
        <w:docPartGallery w:val="Page Numbers (Bottom of Page)"/>
        <w:docPartUnique/>
      </w:docPartObj>
    </w:sdtPr>
    <w:sdtEndPr/>
    <w:sdtContent>
      <w:sdt>
        <w:sdtPr>
          <w:id w:val="1684393491"/>
          <w:docPartObj>
            <w:docPartGallery w:val="Page Numbers (Top of Page)"/>
            <w:docPartUnique/>
          </w:docPartObj>
        </w:sdtPr>
        <w:sdtEndPr/>
        <w:sdtContent>
          <w:p w14:paraId="271EF021" w14:textId="77777777" w:rsidR="00C800FC" w:rsidRDefault="00C800F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43734">
              <w:rPr>
                <w:b/>
                <w:bCs/>
                <w:noProof/>
              </w:rPr>
              <w:t>28</w:t>
            </w:r>
            <w:r>
              <w:rPr>
                <w:b/>
                <w:bCs/>
                <w:sz w:val="24"/>
                <w:szCs w:val="24"/>
              </w:rPr>
              <w:fldChar w:fldCharType="end"/>
            </w:r>
          </w:p>
        </w:sdtContent>
      </w:sdt>
    </w:sdtContent>
  </w:sdt>
  <w:p w14:paraId="68EED6E3" w14:textId="77777777" w:rsidR="00C800FC" w:rsidRDefault="00C800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1549"/>
      <w:docPartObj>
        <w:docPartGallery w:val="Page Numbers (Bottom of Page)"/>
        <w:docPartUnique/>
      </w:docPartObj>
    </w:sdtPr>
    <w:sdtEndPr/>
    <w:sdtContent>
      <w:sdt>
        <w:sdtPr>
          <w:id w:val="-125931169"/>
          <w:docPartObj>
            <w:docPartGallery w:val="Page Numbers (Top of Page)"/>
            <w:docPartUnique/>
          </w:docPartObj>
        </w:sdtPr>
        <w:sdtEndPr/>
        <w:sdtContent>
          <w:p w14:paraId="54AF1A6A" w14:textId="77777777" w:rsidR="00C800FC" w:rsidRDefault="00C800F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43734">
              <w:rPr>
                <w:b/>
                <w:bCs/>
                <w:noProof/>
              </w:rPr>
              <w:t>27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43734">
              <w:rPr>
                <w:b/>
                <w:bCs/>
                <w:noProof/>
              </w:rPr>
              <w:t>28</w:t>
            </w:r>
            <w:r>
              <w:rPr>
                <w:b/>
                <w:bCs/>
                <w:sz w:val="24"/>
                <w:szCs w:val="24"/>
              </w:rPr>
              <w:fldChar w:fldCharType="end"/>
            </w:r>
          </w:p>
        </w:sdtContent>
      </w:sdt>
    </w:sdtContent>
  </w:sdt>
  <w:p w14:paraId="5C9540ED" w14:textId="77777777" w:rsidR="00C800FC" w:rsidRDefault="00C800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515167"/>
      <w:docPartObj>
        <w:docPartGallery w:val="Page Numbers (Bottom of Page)"/>
        <w:docPartUnique/>
      </w:docPartObj>
    </w:sdtPr>
    <w:sdtEndPr/>
    <w:sdtContent>
      <w:sdt>
        <w:sdtPr>
          <w:id w:val="101382918"/>
          <w:docPartObj>
            <w:docPartGallery w:val="Page Numbers (Top of Page)"/>
            <w:docPartUnique/>
          </w:docPartObj>
        </w:sdtPr>
        <w:sdtEndPr/>
        <w:sdtContent>
          <w:p w14:paraId="4208A12E" w14:textId="77777777" w:rsidR="00C800FC" w:rsidRDefault="00C800F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4373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43734">
              <w:rPr>
                <w:b/>
                <w:bCs/>
                <w:noProof/>
              </w:rPr>
              <w:t>28</w:t>
            </w:r>
            <w:r>
              <w:rPr>
                <w:b/>
                <w:bCs/>
                <w:sz w:val="24"/>
                <w:szCs w:val="24"/>
              </w:rPr>
              <w:fldChar w:fldCharType="end"/>
            </w:r>
          </w:p>
        </w:sdtContent>
      </w:sdt>
    </w:sdtContent>
  </w:sdt>
  <w:p w14:paraId="601C40B8" w14:textId="77777777" w:rsidR="00C800FC" w:rsidRDefault="00C80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2AE3E" w14:textId="77777777" w:rsidR="003A28C4" w:rsidRDefault="003A28C4" w:rsidP="00DB3DC5">
      <w:pPr>
        <w:spacing w:after="0" w:line="240" w:lineRule="auto"/>
      </w:pPr>
      <w:r>
        <w:separator/>
      </w:r>
    </w:p>
  </w:footnote>
  <w:footnote w:type="continuationSeparator" w:id="0">
    <w:p w14:paraId="58B74F22" w14:textId="77777777" w:rsidR="003A28C4" w:rsidRDefault="003A28C4"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C800FC" w:rsidRPr="00E152D8" w14:paraId="04B090CA" w14:textId="77777777" w:rsidTr="00347876">
      <w:trPr>
        <w:trHeight w:val="132"/>
      </w:trPr>
      <w:tc>
        <w:tcPr>
          <w:tcW w:w="2691" w:type="dxa"/>
        </w:tcPr>
        <w:p w14:paraId="476D4D83" w14:textId="77777777" w:rsidR="00C800FC" w:rsidRPr="00E152D8" w:rsidRDefault="00C800FC"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C800FC" w:rsidRPr="00EE1572" w:rsidRDefault="00C800FC" w:rsidP="00347876">
          <w:pPr>
            <w:tabs>
              <w:tab w:val="right" w:pos="8838"/>
            </w:tabs>
            <w:ind w:left="-28" w:right="-32"/>
            <w:rPr>
              <w:rFonts w:eastAsia="Calibri" w:cs="Tahoma"/>
            </w:rPr>
          </w:pPr>
          <w:r w:rsidRPr="00EE1572">
            <w:rPr>
              <w:rFonts w:eastAsia="Calibri" w:cs="Tahoma"/>
            </w:rPr>
            <w:t>03846/INFOEM/IP/RR/2020</w:t>
          </w:r>
        </w:p>
      </w:tc>
    </w:tr>
    <w:tr w:rsidR="00C800FC" w:rsidRPr="00E152D8" w14:paraId="1A944E3B" w14:textId="77777777" w:rsidTr="00347876">
      <w:trPr>
        <w:trHeight w:val="261"/>
      </w:trPr>
      <w:tc>
        <w:tcPr>
          <w:tcW w:w="2691" w:type="dxa"/>
        </w:tcPr>
        <w:p w14:paraId="04AF3D79" w14:textId="77777777" w:rsidR="00C800FC" w:rsidRPr="00E152D8" w:rsidRDefault="00C800FC"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C800FC" w:rsidRPr="00EE1572" w:rsidRDefault="00C800FC" w:rsidP="00347876">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C800FC" w:rsidRPr="00E152D8" w14:paraId="51F43EE6" w14:textId="77777777" w:rsidTr="00347876">
      <w:trPr>
        <w:trHeight w:val="261"/>
      </w:trPr>
      <w:tc>
        <w:tcPr>
          <w:tcW w:w="2691" w:type="dxa"/>
        </w:tcPr>
        <w:p w14:paraId="4689E914" w14:textId="77777777" w:rsidR="00C800FC" w:rsidRPr="00E152D8" w:rsidRDefault="00C800FC"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C800FC" w:rsidRPr="00E152D8" w:rsidRDefault="00C800FC"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C800FC" w:rsidRDefault="003A28C4">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4EF7B" w14:textId="2348EBA9" w:rsidR="00C800FC" w:rsidRPr="00D4442D" w:rsidRDefault="00C800FC" w:rsidP="00D4442D">
    <w:pPr>
      <w:tabs>
        <w:tab w:val="left" w:pos="3913"/>
      </w:tabs>
      <w:rPr>
        <w:sz w:val="2"/>
        <w:szCs w:val="2"/>
      </w:rPr>
    </w:pPr>
    <w:r>
      <w:tab/>
    </w:r>
  </w:p>
  <w:tbl>
    <w:tblPr>
      <w:tblStyle w:val="Tablaconcuadrcula"/>
      <w:tblW w:w="6803"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C800FC" w:rsidRPr="00E152D8" w14:paraId="6AD70801" w14:textId="77777777" w:rsidTr="00FD19DD">
      <w:trPr>
        <w:trHeight w:val="138"/>
      </w:trPr>
      <w:tc>
        <w:tcPr>
          <w:tcW w:w="2551" w:type="dxa"/>
          <w:vAlign w:val="center"/>
        </w:tcPr>
        <w:p w14:paraId="4714C583" w14:textId="77777777" w:rsidR="00C800FC" w:rsidRPr="00E152D8" w:rsidRDefault="00C800FC"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2C64557D" w:rsidR="00C800FC" w:rsidRPr="00051642" w:rsidRDefault="00C800FC" w:rsidP="007125A1">
          <w:pPr>
            <w:tabs>
              <w:tab w:val="right" w:pos="8838"/>
            </w:tabs>
            <w:ind w:left="34" w:right="57" w:hanging="113"/>
            <w:rPr>
              <w:rFonts w:eastAsia="Calibri" w:cs="Tahoma"/>
            </w:rPr>
          </w:pPr>
          <w:r>
            <w:rPr>
              <w:rFonts w:eastAsia="Calibri" w:cs="Tahoma"/>
              <w:color w:val="auto"/>
            </w:rPr>
            <w:t>01881</w:t>
          </w:r>
          <w:r w:rsidRPr="00DE71A5">
            <w:rPr>
              <w:rFonts w:eastAsia="Calibri" w:cs="Tahoma"/>
              <w:color w:val="auto"/>
            </w:rPr>
            <w:t>/INFOEM/IP/RR/2025</w:t>
          </w:r>
        </w:p>
      </w:tc>
    </w:tr>
    <w:tr w:rsidR="00C800FC" w:rsidRPr="00E152D8" w14:paraId="7FF5EABC" w14:textId="77777777" w:rsidTr="00FD19DD">
      <w:trPr>
        <w:trHeight w:val="273"/>
      </w:trPr>
      <w:tc>
        <w:tcPr>
          <w:tcW w:w="2551" w:type="dxa"/>
        </w:tcPr>
        <w:p w14:paraId="565B10D1" w14:textId="77777777" w:rsidR="00C800FC" w:rsidRPr="00E152D8" w:rsidRDefault="00C800FC"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0C301EB8" w:rsidR="00C800FC" w:rsidRPr="00051642" w:rsidRDefault="00C800FC" w:rsidP="00AD6680">
          <w:pPr>
            <w:tabs>
              <w:tab w:val="left" w:pos="2728"/>
              <w:tab w:val="right" w:pos="8838"/>
            </w:tabs>
            <w:ind w:left="-113" w:right="-170"/>
            <w:rPr>
              <w:rFonts w:eastAsia="Calibri" w:cs="Tahoma"/>
              <w:lang w:val="es-MX"/>
            </w:rPr>
          </w:pPr>
          <w:r>
            <w:rPr>
              <w:bCs/>
              <w:color w:val="000000"/>
            </w:rPr>
            <w:t>Ayuntamiento de Toluca</w:t>
          </w:r>
        </w:p>
      </w:tc>
    </w:tr>
    <w:tr w:rsidR="00C800FC" w:rsidRPr="00E152D8" w14:paraId="3156BE5F" w14:textId="77777777" w:rsidTr="00FD19DD">
      <w:trPr>
        <w:trHeight w:val="273"/>
      </w:trPr>
      <w:tc>
        <w:tcPr>
          <w:tcW w:w="2551" w:type="dxa"/>
        </w:tcPr>
        <w:p w14:paraId="183B2F1A" w14:textId="77777777" w:rsidR="00C800FC" w:rsidRPr="00E152D8" w:rsidRDefault="00C800FC"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C800FC" w:rsidRPr="00E152D8" w:rsidRDefault="00C800FC"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C800FC" w:rsidRDefault="003A28C4"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8"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C800FC" w:rsidRPr="00E152D8" w14:paraId="773597DE" w14:textId="77777777" w:rsidTr="00AD6680">
      <w:trPr>
        <w:trHeight w:val="132"/>
      </w:trPr>
      <w:tc>
        <w:tcPr>
          <w:tcW w:w="2551" w:type="dxa"/>
        </w:tcPr>
        <w:p w14:paraId="4FCB3AA3" w14:textId="77777777" w:rsidR="00C800FC" w:rsidRPr="00E152D8" w:rsidRDefault="00C800FC" w:rsidP="00347876">
          <w:pPr>
            <w:tabs>
              <w:tab w:val="right" w:pos="8838"/>
            </w:tabs>
            <w:ind w:right="-105"/>
            <w:rPr>
              <w:rFonts w:eastAsia="Calibri" w:cs="Tahoma"/>
              <w:b/>
              <w:lang w:val="es-MX"/>
            </w:rPr>
          </w:pPr>
          <w:r w:rsidRPr="00E152D8">
            <w:rPr>
              <w:rFonts w:eastAsia="Calibri" w:cs="Tahoma"/>
              <w:b/>
              <w:lang w:val="es-MX"/>
            </w:rPr>
            <w:t>Recurso de Revisión:</w:t>
          </w:r>
        </w:p>
      </w:tc>
      <w:tc>
        <w:tcPr>
          <w:tcW w:w="2977" w:type="dxa"/>
        </w:tcPr>
        <w:p w14:paraId="42955DA0" w14:textId="1F9B1550" w:rsidR="00C800FC" w:rsidRPr="00051642" w:rsidRDefault="00C800FC" w:rsidP="007C68B3">
          <w:pPr>
            <w:tabs>
              <w:tab w:val="right" w:pos="8838"/>
            </w:tabs>
            <w:ind w:left="176" w:right="-32" w:hanging="283"/>
            <w:rPr>
              <w:rFonts w:eastAsia="Calibri" w:cs="Tahoma"/>
            </w:rPr>
          </w:pPr>
          <w:r>
            <w:rPr>
              <w:rFonts w:eastAsia="Calibri" w:cs="Tahoma"/>
              <w:color w:val="auto"/>
            </w:rPr>
            <w:t>01881</w:t>
          </w:r>
          <w:r w:rsidRPr="00DE71A5">
            <w:rPr>
              <w:rFonts w:eastAsia="Calibri" w:cs="Tahoma"/>
              <w:color w:val="auto"/>
            </w:rPr>
            <w:t>/INFOEM/IP/RR/2025</w:t>
          </w:r>
        </w:p>
      </w:tc>
    </w:tr>
    <w:tr w:rsidR="00C800FC" w:rsidRPr="00E152D8" w14:paraId="202FB661" w14:textId="77777777" w:rsidTr="00AD6680">
      <w:trPr>
        <w:trHeight w:val="132"/>
      </w:trPr>
      <w:tc>
        <w:tcPr>
          <w:tcW w:w="2551" w:type="dxa"/>
          <w:shd w:val="clear" w:color="auto" w:fill="auto"/>
        </w:tcPr>
        <w:p w14:paraId="5E100A32" w14:textId="77777777" w:rsidR="00C800FC" w:rsidRPr="00E152D8" w:rsidRDefault="00C800FC"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7" w:type="dxa"/>
          <w:shd w:val="clear" w:color="auto" w:fill="auto"/>
        </w:tcPr>
        <w:p w14:paraId="28640565" w14:textId="1A37CFC0" w:rsidR="00C800FC" w:rsidRPr="00E21446" w:rsidRDefault="00C800FC" w:rsidP="007F149A">
          <w:pPr>
            <w:tabs>
              <w:tab w:val="right" w:pos="8838"/>
            </w:tabs>
            <w:rPr>
              <w:rFonts w:eastAsia="Calibri" w:cs="Tahoma"/>
              <w:lang w:val="es-MX"/>
            </w:rPr>
          </w:pPr>
        </w:p>
      </w:tc>
    </w:tr>
    <w:tr w:rsidR="00C800FC" w:rsidRPr="00E152D8" w14:paraId="1BA9B09B" w14:textId="77777777" w:rsidTr="00AD6680">
      <w:trPr>
        <w:trHeight w:val="261"/>
      </w:trPr>
      <w:tc>
        <w:tcPr>
          <w:tcW w:w="2551" w:type="dxa"/>
        </w:tcPr>
        <w:p w14:paraId="6174740A" w14:textId="77777777" w:rsidR="00C800FC" w:rsidRPr="00E152D8" w:rsidRDefault="00C800FC"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7" w:type="dxa"/>
        </w:tcPr>
        <w:p w14:paraId="4B948471" w14:textId="062A511A" w:rsidR="00C800FC" w:rsidRPr="007F149A" w:rsidRDefault="00C800FC" w:rsidP="001A3A3E">
          <w:pPr>
            <w:tabs>
              <w:tab w:val="right" w:pos="8838"/>
            </w:tabs>
            <w:ind w:left="-113" w:right="-32"/>
            <w:rPr>
              <w:rFonts w:eastAsia="Calibri" w:cs="Tahoma"/>
              <w:lang w:val="es-MX"/>
            </w:rPr>
          </w:pPr>
          <w:r>
            <w:rPr>
              <w:bCs/>
              <w:color w:val="000000"/>
            </w:rPr>
            <w:t>Ayuntamiento de Toluca</w:t>
          </w:r>
        </w:p>
      </w:tc>
    </w:tr>
    <w:tr w:rsidR="00C800FC" w:rsidRPr="00E152D8" w14:paraId="3F18AACD" w14:textId="77777777" w:rsidTr="00AD6680">
      <w:trPr>
        <w:trHeight w:val="261"/>
      </w:trPr>
      <w:tc>
        <w:tcPr>
          <w:tcW w:w="2551" w:type="dxa"/>
        </w:tcPr>
        <w:p w14:paraId="57E8DDB5" w14:textId="77777777" w:rsidR="00C800FC" w:rsidRPr="00E152D8" w:rsidRDefault="00C800FC" w:rsidP="00347876">
          <w:pPr>
            <w:tabs>
              <w:tab w:val="right" w:pos="8838"/>
            </w:tabs>
            <w:ind w:right="-105"/>
            <w:rPr>
              <w:rFonts w:eastAsia="Calibri" w:cs="Tahoma"/>
              <w:b/>
              <w:lang w:val="es-MX"/>
            </w:rPr>
          </w:pPr>
          <w:r w:rsidRPr="00E152D8">
            <w:rPr>
              <w:rFonts w:eastAsia="Calibri" w:cs="Tahoma"/>
              <w:b/>
              <w:lang w:val="es-MX"/>
            </w:rPr>
            <w:t>Comisionado Ponente:</w:t>
          </w:r>
        </w:p>
      </w:tc>
      <w:tc>
        <w:tcPr>
          <w:tcW w:w="2977" w:type="dxa"/>
        </w:tcPr>
        <w:p w14:paraId="1B8E59D3" w14:textId="77777777" w:rsidR="00C800FC" w:rsidRPr="00E152D8" w:rsidRDefault="00C800FC" w:rsidP="001A3A3E">
          <w:pPr>
            <w:tabs>
              <w:tab w:val="right" w:pos="8838"/>
            </w:tabs>
            <w:ind w:left="-113" w:right="-32"/>
            <w:rPr>
              <w:rFonts w:eastAsia="Calibri" w:cs="Tahoma"/>
              <w:b/>
              <w:lang w:val="es-MX"/>
            </w:rPr>
          </w:pPr>
          <w:r w:rsidRPr="00E152D8">
            <w:rPr>
              <w:rFonts w:eastAsia="Calibri" w:cs="Tahoma"/>
              <w:lang w:val="es-MX"/>
            </w:rPr>
            <w:t>Luis Gustavo Parra Noriega</w:t>
          </w:r>
        </w:p>
      </w:tc>
    </w:tr>
  </w:tbl>
  <w:p w14:paraId="305D4853" w14:textId="77777777" w:rsidR="00C800FC" w:rsidRDefault="003A28C4"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3.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4EC"/>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C852DEF"/>
    <w:multiLevelType w:val="hybridMultilevel"/>
    <w:tmpl w:val="A5C4FB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F2B52D5"/>
    <w:multiLevelType w:val="hybridMultilevel"/>
    <w:tmpl w:val="9AB0BA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FC84ABF"/>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101247C"/>
    <w:multiLevelType w:val="hybridMultilevel"/>
    <w:tmpl w:val="BB621E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857DAF"/>
    <w:multiLevelType w:val="hybridMultilevel"/>
    <w:tmpl w:val="EC62F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786C5F"/>
    <w:multiLevelType w:val="hybridMultilevel"/>
    <w:tmpl w:val="B198A6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E4C2348"/>
    <w:multiLevelType w:val="hybridMultilevel"/>
    <w:tmpl w:val="83BE737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486277"/>
    <w:multiLevelType w:val="hybridMultilevel"/>
    <w:tmpl w:val="8D6AA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C4640A"/>
    <w:multiLevelType w:val="hybridMultilevel"/>
    <w:tmpl w:val="36AE0536"/>
    <w:lvl w:ilvl="0" w:tplc="20E07EE4">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A4D2B40"/>
    <w:multiLevelType w:val="hybridMultilevel"/>
    <w:tmpl w:val="0E4A87C2"/>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50546F58"/>
    <w:multiLevelType w:val="hybridMultilevel"/>
    <w:tmpl w:val="C28279D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B1328BC"/>
    <w:multiLevelType w:val="hybridMultilevel"/>
    <w:tmpl w:val="D4F2C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80521D"/>
    <w:multiLevelType w:val="hybridMultilevel"/>
    <w:tmpl w:val="D862A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4522D9"/>
    <w:multiLevelType w:val="hybridMultilevel"/>
    <w:tmpl w:val="41829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7B55E95"/>
    <w:multiLevelType w:val="hybridMultilevel"/>
    <w:tmpl w:val="966E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46604E"/>
    <w:multiLevelType w:val="hybridMultilevel"/>
    <w:tmpl w:val="BC4E8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0163E7"/>
    <w:multiLevelType w:val="multilevel"/>
    <w:tmpl w:val="C7047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15:restartNumberingAfterBreak="0">
    <w:nsid w:val="752B3F4D"/>
    <w:multiLevelType w:val="hybridMultilevel"/>
    <w:tmpl w:val="7C2C4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AD42B6"/>
    <w:multiLevelType w:val="hybridMultilevel"/>
    <w:tmpl w:val="4406027C"/>
    <w:lvl w:ilvl="0" w:tplc="C21A1B7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0D57D6"/>
    <w:multiLevelType w:val="hybridMultilevel"/>
    <w:tmpl w:val="705A9F68"/>
    <w:lvl w:ilvl="0" w:tplc="388EF61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C830C95"/>
    <w:multiLevelType w:val="hybridMultilevel"/>
    <w:tmpl w:val="D0443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5"/>
  </w:num>
  <w:num w:numId="4">
    <w:abstractNumId w:val="6"/>
  </w:num>
  <w:num w:numId="5">
    <w:abstractNumId w:val="12"/>
  </w:num>
  <w:num w:numId="6">
    <w:abstractNumId w:val="8"/>
  </w:num>
  <w:num w:numId="7">
    <w:abstractNumId w:val="16"/>
  </w:num>
  <w:num w:numId="8">
    <w:abstractNumId w:val="18"/>
  </w:num>
  <w:num w:numId="9">
    <w:abstractNumId w:val="14"/>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1"/>
  </w:num>
  <w:num w:numId="14">
    <w:abstractNumId w:val="34"/>
  </w:num>
  <w:num w:numId="15">
    <w:abstractNumId w:val="13"/>
  </w:num>
  <w:num w:numId="16">
    <w:abstractNumId w:val="11"/>
  </w:num>
  <w:num w:numId="17">
    <w:abstractNumId w:val="17"/>
  </w:num>
  <w:num w:numId="18">
    <w:abstractNumId w:val="0"/>
  </w:num>
  <w:num w:numId="19">
    <w:abstractNumId w:val="24"/>
  </w:num>
  <w:num w:numId="20">
    <w:abstractNumId w:val="28"/>
  </w:num>
  <w:num w:numId="21">
    <w:abstractNumId w:val="23"/>
  </w:num>
  <w:num w:numId="22">
    <w:abstractNumId w:val="26"/>
  </w:num>
  <w:num w:numId="23">
    <w:abstractNumId w:val="25"/>
  </w:num>
  <w:num w:numId="24">
    <w:abstractNumId w:val="20"/>
  </w:num>
  <w:num w:numId="25">
    <w:abstractNumId w:val="9"/>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
  </w:num>
  <w:num w:numId="30">
    <w:abstractNumId w:val="3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
  </w:num>
  <w:num w:numId="34">
    <w:abstractNumId w:val="7"/>
  </w:num>
  <w:num w:numId="35">
    <w:abstractNumId w:val="15"/>
  </w:num>
  <w:num w:numId="36">
    <w:abstractNumId w:val="30"/>
  </w:num>
  <w:num w:numId="3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2809"/>
    <w:rsid w:val="00002991"/>
    <w:rsid w:val="00003D94"/>
    <w:rsid w:val="000045A6"/>
    <w:rsid w:val="00006636"/>
    <w:rsid w:val="00013EEA"/>
    <w:rsid w:val="00031961"/>
    <w:rsid w:val="0003316E"/>
    <w:rsid w:val="000362D0"/>
    <w:rsid w:val="0004161E"/>
    <w:rsid w:val="00041844"/>
    <w:rsid w:val="00042509"/>
    <w:rsid w:val="00043734"/>
    <w:rsid w:val="00043CDA"/>
    <w:rsid w:val="00052F85"/>
    <w:rsid w:val="000539BD"/>
    <w:rsid w:val="00053BC6"/>
    <w:rsid w:val="000558EC"/>
    <w:rsid w:val="00060685"/>
    <w:rsid w:val="00060723"/>
    <w:rsid w:val="00063884"/>
    <w:rsid w:val="000716E3"/>
    <w:rsid w:val="000750F3"/>
    <w:rsid w:val="00076681"/>
    <w:rsid w:val="00080393"/>
    <w:rsid w:val="00081ABD"/>
    <w:rsid w:val="000821F8"/>
    <w:rsid w:val="00087796"/>
    <w:rsid w:val="00094584"/>
    <w:rsid w:val="000A0A70"/>
    <w:rsid w:val="000A2D13"/>
    <w:rsid w:val="000A6A91"/>
    <w:rsid w:val="000B1569"/>
    <w:rsid w:val="000B2239"/>
    <w:rsid w:val="000B24CC"/>
    <w:rsid w:val="000B70D0"/>
    <w:rsid w:val="000C1FDB"/>
    <w:rsid w:val="000D4873"/>
    <w:rsid w:val="000D49DD"/>
    <w:rsid w:val="000F5268"/>
    <w:rsid w:val="000F74C0"/>
    <w:rsid w:val="00101F16"/>
    <w:rsid w:val="00104D0A"/>
    <w:rsid w:val="00110D4D"/>
    <w:rsid w:val="001140A5"/>
    <w:rsid w:val="00123ADD"/>
    <w:rsid w:val="0013015C"/>
    <w:rsid w:val="001334D1"/>
    <w:rsid w:val="0014339D"/>
    <w:rsid w:val="00147F38"/>
    <w:rsid w:val="0015016B"/>
    <w:rsid w:val="00153932"/>
    <w:rsid w:val="00155A01"/>
    <w:rsid w:val="0015730E"/>
    <w:rsid w:val="001609BD"/>
    <w:rsid w:val="00166789"/>
    <w:rsid w:val="00174749"/>
    <w:rsid w:val="0018101A"/>
    <w:rsid w:val="0018339D"/>
    <w:rsid w:val="0018355D"/>
    <w:rsid w:val="00183736"/>
    <w:rsid w:val="00191491"/>
    <w:rsid w:val="00195CF5"/>
    <w:rsid w:val="001A0F43"/>
    <w:rsid w:val="001A2B03"/>
    <w:rsid w:val="001A3275"/>
    <w:rsid w:val="001A3A3E"/>
    <w:rsid w:val="001B2442"/>
    <w:rsid w:val="001B530A"/>
    <w:rsid w:val="001B6F42"/>
    <w:rsid w:val="001B7A83"/>
    <w:rsid w:val="001C137C"/>
    <w:rsid w:val="001C4397"/>
    <w:rsid w:val="001C7AC2"/>
    <w:rsid w:val="001D52A8"/>
    <w:rsid w:val="001E3C40"/>
    <w:rsid w:val="001E59AF"/>
    <w:rsid w:val="001E7C66"/>
    <w:rsid w:val="001F22AA"/>
    <w:rsid w:val="001F3934"/>
    <w:rsid w:val="001F5C0B"/>
    <w:rsid w:val="001F6D05"/>
    <w:rsid w:val="00200755"/>
    <w:rsid w:val="00202D93"/>
    <w:rsid w:val="00203961"/>
    <w:rsid w:val="0020547F"/>
    <w:rsid w:val="00207046"/>
    <w:rsid w:val="00213634"/>
    <w:rsid w:val="00222A22"/>
    <w:rsid w:val="00223665"/>
    <w:rsid w:val="00230BC7"/>
    <w:rsid w:val="002353CB"/>
    <w:rsid w:val="002415DE"/>
    <w:rsid w:val="00243A71"/>
    <w:rsid w:val="002470F9"/>
    <w:rsid w:val="00250655"/>
    <w:rsid w:val="0025077A"/>
    <w:rsid w:val="00251B33"/>
    <w:rsid w:val="00252709"/>
    <w:rsid w:val="00254457"/>
    <w:rsid w:val="00254F36"/>
    <w:rsid w:val="00264675"/>
    <w:rsid w:val="00267FB5"/>
    <w:rsid w:val="002705C2"/>
    <w:rsid w:val="00271E47"/>
    <w:rsid w:val="00275938"/>
    <w:rsid w:val="00293277"/>
    <w:rsid w:val="00293C56"/>
    <w:rsid w:val="00297A5A"/>
    <w:rsid w:val="002A0B3A"/>
    <w:rsid w:val="002A3F0C"/>
    <w:rsid w:val="002A40A0"/>
    <w:rsid w:val="002C19D9"/>
    <w:rsid w:val="002C3558"/>
    <w:rsid w:val="002D117D"/>
    <w:rsid w:val="002E1C5C"/>
    <w:rsid w:val="002E5730"/>
    <w:rsid w:val="002F1D02"/>
    <w:rsid w:val="002F4410"/>
    <w:rsid w:val="002F6AF8"/>
    <w:rsid w:val="0030305E"/>
    <w:rsid w:val="0030377D"/>
    <w:rsid w:val="00306FB6"/>
    <w:rsid w:val="00313596"/>
    <w:rsid w:val="003145F9"/>
    <w:rsid w:val="003175B7"/>
    <w:rsid w:val="0032289C"/>
    <w:rsid w:val="00331F46"/>
    <w:rsid w:val="0033782D"/>
    <w:rsid w:val="00344846"/>
    <w:rsid w:val="00345BB5"/>
    <w:rsid w:val="00347876"/>
    <w:rsid w:val="003556D5"/>
    <w:rsid w:val="0036051C"/>
    <w:rsid w:val="00363DED"/>
    <w:rsid w:val="00365137"/>
    <w:rsid w:val="003727BC"/>
    <w:rsid w:val="00382B56"/>
    <w:rsid w:val="003837EE"/>
    <w:rsid w:val="00387E7C"/>
    <w:rsid w:val="003905B1"/>
    <w:rsid w:val="00390BA0"/>
    <w:rsid w:val="00394286"/>
    <w:rsid w:val="00394344"/>
    <w:rsid w:val="00397810"/>
    <w:rsid w:val="003A123A"/>
    <w:rsid w:val="003A28C4"/>
    <w:rsid w:val="003B04E1"/>
    <w:rsid w:val="003B3103"/>
    <w:rsid w:val="003B3DC8"/>
    <w:rsid w:val="003B5DA8"/>
    <w:rsid w:val="003B65D9"/>
    <w:rsid w:val="003C3D81"/>
    <w:rsid w:val="003C74A7"/>
    <w:rsid w:val="003C7F30"/>
    <w:rsid w:val="003E5ADD"/>
    <w:rsid w:val="003E6429"/>
    <w:rsid w:val="003E678B"/>
    <w:rsid w:val="003F5B7E"/>
    <w:rsid w:val="003F5EB5"/>
    <w:rsid w:val="003F63DA"/>
    <w:rsid w:val="00411430"/>
    <w:rsid w:val="00415BBC"/>
    <w:rsid w:val="00415F0B"/>
    <w:rsid w:val="004327D0"/>
    <w:rsid w:val="00432E9C"/>
    <w:rsid w:val="00444157"/>
    <w:rsid w:val="004500E2"/>
    <w:rsid w:val="004552D8"/>
    <w:rsid w:val="00455DCB"/>
    <w:rsid w:val="00456B51"/>
    <w:rsid w:val="00460FFC"/>
    <w:rsid w:val="004610AE"/>
    <w:rsid w:val="0046538F"/>
    <w:rsid w:val="004714D3"/>
    <w:rsid w:val="004724CB"/>
    <w:rsid w:val="00480419"/>
    <w:rsid w:val="004908D0"/>
    <w:rsid w:val="0049737D"/>
    <w:rsid w:val="004A5AD5"/>
    <w:rsid w:val="004B4B36"/>
    <w:rsid w:val="004B52B2"/>
    <w:rsid w:val="004D1BD8"/>
    <w:rsid w:val="004E5AB1"/>
    <w:rsid w:val="004F74F5"/>
    <w:rsid w:val="005032B4"/>
    <w:rsid w:val="00505C1F"/>
    <w:rsid w:val="0050623A"/>
    <w:rsid w:val="005225BB"/>
    <w:rsid w:val="005235E8"/>
    <w:rsid w:val="00524ED6"/>
    <w:rsid w:val="00530E22"/>
    <w:rsid w:val="00537251"/>
    <w:rsid w:val="005400EE"/>
    <w:rsid w:val="00540E22"/>
    <w:rsid w:val="00550A53"/>
    <w:rsid w:val="00556FAE"/>
    <w:rsid w:val="00561B10"/>
    <w:rsid w:val="005620CE"/>
    <w:rsid w:val="005634C6"/>
    <w:rsid w:val="0057282C"/>
    <w:rsid w:val="0057545A"/>
    <w:rsid w:val="00575E8F"/>
    <w:rsid w:val="00576536"/>
    <w:rsid w:val="005811D2"/>
    <w:rsid w:val="00581D38"/>
    <w:rsid w:val="0058439E"/>
    <w:rsid w:val="00585FFB"/>
    <w:rsid w:val="00587799"/>
    <w:rsid w:val="005902EF"/>
    <w:rsid w:val="00596D1D"/>
    <w:rsid w:val="00597282"/>
    <w:rsid w:val="005A538C"/>
    <w:rsid w:val="005A6BEC"/>
    <w:rsid w:val="005A7DC1"/>
    <w:rsid w:val="005C2558"/>
    <w:rsid w:val="005C459D"/>
    <w:rsid w:val="005C53C7"/>
    <w:rsid w:val="005C6124"/>
    <w:rsid w:val="005C6199"/>
    <w:rsid w:val="005D04FC"/>
    <w:rsid w:val="005D2E38"/>
    <w:rsid w:val="005D3D54"/>
    <w:rsid w:val="005E6D9C"/>
    <w:rsid w:val="00606D94"/>
    <w:rsid w:val="00614F87"/>
    <w:rsid w:val="00623947"/>
    <w:rsid w:val="006343FA"/>
    <w:rsid w:val="00635352"/>
    <w:rsid w:val="006400F1"/>
    <w:rsid w:val="0064639F"/>
    <w:rsid w:val="00647DF2"/>
    <w:rsid w:val="006513E1"/>
    <w:rsid w:val="006519FE"/>
    <w:rsid w:val="00653139"/>
    <w:rsid w:val="00655864"/>
    <w:rsid w:val="00662953"/>
    <w:rsid w:val="006651F1"/>
    <w:rsid w:val="00667107"/>
    <w:rsid w:val="00672292"/>
    <w:rsid w:val="00673579"/>
    <w:rsid w:val="006760A0"/>
    <w:rsid w:val="006778B9"/>
    <w:rsid w:val="006828FF"/>
    <w:rsid w:val="0068386C"/>
    <w:rsid w:val="006945D2"/>
    <w:rsid w:val="006A0867"/>
    <w:rsid w:val="006A12A6"/>
    <w:rsid w:val="006A5843"/>
    <w:rsid w:val="006A5BCA"/>
    <w:rsid w:val="006B1CAC"/>
    <w:rsid w:val="006B6340"/>
    <w:rsid w:val="006C3439"/>
    <w:rsid w:val="006C725F"/>
    <w:rsid w:val="006D6FB5"/>
    <w:rsid w:val="006E26AA"/>
    <w:rsid w:val="006E5BE2"/>
    <w:rsid w:val="006E6293"/>
    <w:rsid w:val="006F52E8"/>
    <w:rsid w:val="007047F4"/>
    <w:rsid w:val="00711A43"/>
    <w:rsid w:val="007125A1"/>
    <w:rsid w:val="00714349"/>
    <w:rsid w:val="007146FE"/>
    <w:rsid w:val="007309C0"/>
    <w:rsid w:val="00734447"/>
    <w:rsid w:val="0073758B"/>
    <w:rsid w:val="00737CF6"/>
    <w:rsid w:val="00742C37"/>
    <w:rsid w:val="007449D0"/>
    <w:rsid w:val="00760E91"/>
    <w:rsid w:val="00761C2B"/>
    <w:rsid w:val="00763706"/>
    <w:rsid w:val="00767EFB"/>
    <w:rsid w:val="007719F0"/>
    <w:rsid w:val="00771B61"/>
    <w:rsid w:val="00771DFF"/>
    <w:rsid w:val="00774C50"/>
    <w:rsid w:val="007775D1"/>
    <w:rsid w:val="00780EC7"/>
    <w:rsid w:val="00784C5C"/>
    <w:rsid w:val="007850C7"/>
    <w:rsid w:val="007911D8"/>
    <w:rsid w:val="007948E1"/>
    <w:rsid w:val="00795C9D"/>
    <w:rsid w:val="007A0FD6"/>
    <w:rsid w:val="007A1EB0"/>
    <w:rsid w:val="007B1834"/>
    <w:rsid w:val="007B5D0A"/>
    <w:rsid w:val="007C11CD"/>
    <w:rsid w:val="007C35E6"/>
    <w:rsid w:val="007C5098"/>
    <w:rsid w:val="007C68B3"/>
    <w:rsid w:val="007C7903"/>
    <w:rsid w:val="007D1412"/>
    <w:rsid w:val="007E364C"/>
    <w:rsid w:val="007F08B3"/>
    <w:rsid w:val="007F149A"/>
    <w:rsid w:val="007F179C"/>
    <w:rsid w:val="007F271C"/>
    <w:rsid w:val="007F30B4"/>
    <w:rsid w:val="007F313E"/>
    <w:rsid w:val="007F316D"/>
    <w:rsid w:val="00810125"/>
    <w:rsid w:val="00811A30"/>
    <w:rsid w:val="00812FC7"/>
    <w:rsid w:val="00814335"/>
    <w:rsid w:val="00826E2F"/>
    <w:rsid w:val="00827355"/>
    <w:rsid w:val="00837B92"/>
    <w:rsid w:val="00837D5E"/>
    <w:rsid w:val="00842679"/>
    <w:rsid w:val="00852BB1"/>
    <w:rsid w:val="0085311A"/>
    <w:rsid w:val="00854F21"/>
    <w:rsid w:val="00871B37"/>
    <w:rsid w:val="00876B0D"/>
    <w:rsid w:val="0088255F"/>
    <w:rsid w:val="0088315D"/>
    <w:rsid w:val="0088326C"/>
    <w:rsid w:val="00885D3F"/>
    <w:rsid w:val="0089704B"/>
    <w:rsid w:val="008A119D"/>
    <w:rsid w:val="008A310A"/>
    <w:rsid w:val="008B092D"/>
    <w:rsid w:val="008B2C31"/>
    <w:rsid w:val="008C3E58"/>
    <w:rsid w:val="008C4392"/>
    <w:rsid w:val="008D1B96"/>
    <w:rsid w:val="008E279B"/>
    <w:rsid w:val="008E777E"/>
    <w:rsid w:val="008F42E3"/>
    <w:rsid w:val="00903956"/>
    <w:rsid w:val="0090575C"/>
    <w:rsid w:val="00906BD3"/>
    <w:rsid w:val="00914A32"/>
    <w:rsid w:val="00914B0A"/>
    <w:rsid w:val="009162A7"/>
    <w:rsid w:val="00920C0F"/>
    <w:rsid w:val="00937303"/>
    <w:rsid w:val="00940303"/>
    <w:rsid w:val="00950B98"/>
    <w:rsid w:val="0096358C"/>
    <w:rsid w:val="00963FF5"/>
    <w:rsid w:val="0097330C"/>
    <w:rsid w:val="00974A6B"/>
    <w:rsid w:val="00985A2C"/>
    <w:rsid w:val="00986D27"/>
    <w:rsid w:val="009923AC"/>
    <w:rsid w:val="00992875"/>
    <w:rsid w:val="00992B43"/>
    <w:rsid w:val="00992D49"/>
    <w:rsid w:val="00993137"/>
    <w:rsid w:val="00994337"/>
    <w:rsid w:val="009966A3"/>
    <w:rsid w:val="00997B21"/>
    <w:rsid w:val="009A3161"/>
    <w:rsid w:val="009A3569"/>
    <w:rsid w:val="009A627C"/>
    <w:rsid w:val="009B365B"/>
    <w:rsid w:val="009B51EF"/>
    <w:rsid w:val="009B6275"/>
    <w:rsid w:val="009C0D40"/>
    <w:rsid w:val="009C1C46"/>
    <w:rsid w:val="009C3492"/>
    <w:rsid w:val="009C7586"/>
    <w:rsid w:val="009E6D19"/>
    <w:rsid w:val="009F13CF"/>
    <w:rsid w:val="009F4EA5"/>
    <w:rsid w:val="00A11361"/>
    <w:rsid w:val="00A1763C"/>
    <w:rsid w:val="00A234A1"/>
    <w:rsid w:val="00A305C7"/>
    <w:rsid w:val="00A322C2"/>
    <w:rsid w:val="00A4013F"/>
    <w:rsid w:val="00A447FF"/>
    <w:rsid w:val="00A5086A"/>
    <w:rsid w:val="00A555FF"/>
    <w:rsid w:val="00A63EA5"/>
    <w:rsid w:val="00A647BC"/>
    <w:rsid w:val="00A85B94"/>
    <w:rsid w:val="00A87DB7"/>
    <w:rsid w:val="00A9056D"/>
    <w:rsid w:val="00A9339B"/>
    <w:rsid w:val="00A94AFB"/>
    <w:rsid w:val="00A94CDA"/>
    <w:rsid w:val="00AA08E2"/>
    <w:rsid w:val="00AA2962"/>
    <w:rsid w:val="00AA474C"/>
    <w:rsid w:val="00AA53B5"/>
    <w:rsid w:val="00AA7588"/>
    <w:rsid w:val="00AC0DB0"/>
    <w:rsid w:val="00AD3CF8"/>
    <w:rsid w:val="00AD526B"/>
    <w:rsid w:val="00AD6680"/>
    <w:rsid w:val="00AE1F48"/>
    <w:rsid w:val="00AE2855"/>
    <w:rsid w:val="00AE490F"/>
    <w:rsid w:val="00AE6AB4"/>
    <w:rsid w:val="00B000C5"/>
    <w:rsid w:val="00B03C71"/>
    <w:rsid w:val="00B06616"/>
    <w:rsid w:val="00B12570"/>
    <w:rsid w:val="00B17F6D"/>
    <w:rsid w:val="00B22EC9"/>
    <w:rsid w:val="00B247EA"/>
    <w:rsid w:val="00B26046"/>
    <w:rsid w:val="00B34338"/>
    <w:rsid w:val="00B417C3"/>
    <w:rsid w:val="00B456E9"/>
    <w:rsid w:val="00B46F88"/>
    <w:rsid w:val="00B557DF"/>
    <w:rsid w:val="00B60C67"/>
    <w:rsid w:val="00B60D25"/>
    <w:rsid w:val="00B6148C"/>
    <w:rsid w:val="00B65D21"/>
    <w:rsid w:val="00B67328"/>
    <w:rsid w:val="00B7094E"/>
    <w:rsid w:val="00B72749"/>
    <w:rsid w:val="00B732D1"/>
    <w:rsid w:val="00B7788B"/>
    <w:rsid w:val="00B7798E"/>
    <w:rsid w:val="00B83462"/>
    <w:rsid w:val="00B83636"/>
    <w:rsid w:val="00B841F8"/>
    <w:rsid w:val="00B86C3D"/>
    <w:rsid w:val="00BA7F47"/>
    <w:rsid w:val="00BB0202"/>
    <w:rsid w:val="00BB36D2"/>
    <w:rsid w:val="00BB54A2"/>
    <w:rsid w:val="00BC29F2"/>
    <w:rsid w:val="00BD7749"/>
    <w:rsid w:val="00BE3A60"/>
    <w:rsid w:val="00BE4762"/>
    <w:rsid w:val="00BF53E4"/>
    <w:rsid w:val="00BF54B7"/>
    <w:rsid w:val="00BF77B7"/>
    <w:rsid w:val="00C14171"/>
    <w:rsid w:val="00C14C5B"/>
    <w:rsid w:val="00C17EBF"/>
    <w:rsid w:val="00C2129B"/>
    <w:rsid w:val="00C213A5"/>
    <w:rsid w:val="00C337E5"/>
    <w:rsid w:val="00C35DF4"/>
    <w:rsid w:val="00C53CDF"/>
    <w:rsid w:val="00C54015"/>
    <w:rsid w:val="00C57B5B"/>
    <w:rsid w:val="00C66273"/>
    <w:rsid w:val="00C759D7"/>
    <w:rsid w:val="00C764ED"/>
    <w:rsid w:val="00C800FC"/>
    <w:rsid w:val="00C821DD"/>
    <w:rsid w:val="00C8279F"/>
    <w:rsid w:val="00C8608C"/>
    <w:rsid w:val="00C92204"/>
    <w:rsid w:val="00C977DC"/>
    <w:rsid w:val="00CA0F13"/>
    <w:rsid w:val="00CA13E3"/>
    <w:rsid w:val="00CB0D27"/>
    <w:rsid w:val="00CB16D3"/>
    <w:rsid w:val="00CB2FA4"/>
    <w:rsid w:val="00CC450F"/>
    <w:rsid w:val="00CC7917"/>
    <w:rsid w:val="00CD1E3A"/>
    <w:rsid w:val="00CD369E"/>
    <w:rsid w:val="00CE67CA"/>
    <w:rsid w:val="00CE7148"/>
    <w:rsid w:val="00CF039D"/>
    <w:rsid w:val="00CF76E0"/>
    <w:rsid w:val="00D0244F"/>
    <w:rsid w:val="00D03F17"/>
    <w:rsid w:val="00D07290"/>
    <w:rsid w:val="00D10B74"/>
    <w:rsid w:val="00D3439C"/>
    <w:rsid w:val="00D40673"/>
    <w:rsid w:val="00D42759"/>
    <w:rsid w:val="00D4442D"/>
    <w:rsid w:val="00D449B9"/>
    <w:rsid w:val="00D46D56"/>
    <w:rsid w:val="00D526D5"/>
    <w:rsid w:val="00D568A6"/>
    <w:rsid w:val="00D57224"/>
    <w:rsid w:val="00D60E83"/>
    <w:rsid w:val="00D71C64"/>
    <w:rsid w:val="00D74C1C"/>
    <w:rsid w:val="00D77576"/>
    <w:rsid w:val="00D91A72"/>
    <w:rsid w:val="00D9398F"/>
    <w:rsid w:val="00D95C1D"/>
    <w:rsid w:val="00D95D2D"/>
    <w:rsid w:val="00D96AF9"/>
    <w:rsid w:val="00DA7473"/>
    <w:rsid w:val="00DB3DC5"/>
    <w:rsid w:val="00DB4F13"/>
    <w:rsid w:val="00DC3EDC"/>
    <w:rsid w:val="00DC42DF"/>
    <w:rsid w:val="00DD0E44"/>
    <w:rsid w:val="00DD2397"/>
    <w:rsid w:val="00DD2E0C"/>
    <w:rsid w:val="00DD6EB5"/>
    <w:rsid w:val="00DE71A5"/>
    <w:rsid w:val="00DF083F"/>
    <w:rsid w:val="00DF096A"/>
    <w:rsid w:val="00DF1B85"/>
    <w:rsid w:val="00DF4490"/>
    <w:rsid w:val="00DF5EAA"/>
    <w:rsid w:val="00E00696"/>
    <w:rsid w:val="00E0202E"/>
    <w:rsid w:val="00E063FC"/>
    <w:rsid w:val="00E118B0"/>
    <w:rsid w:val="00E128CD"/>
    <w:rsid w:val="00E306BC"/>
    <w:rsid w:val="00E406AF"/>
    <w:rsid w:val="00E40ED9"/>
    <w:rsid w:val="00E464B9"/>
    <w:rsid w:val="00E4792C"/>
    <w:rsid w:val="00E5000A"/>
    <w:rsid w:val="00E50298"/>
    <w:rsid w:val="00E50564"/>
    <w:rsid w:val="00E558A0"/>
    <w:rsid w:val="00E70F89"/>
    <w:rsid w:val="00E73B06"/>
    <w:rsid w:val="00E75F0E"/>
    <w:rsid w:val="00E808E0"/>
    <w:rsid w:val="00E9083F"/>
    <w:rsid w:val="00E91037"/>
    <w:rsid w:val="00EA2599"/>
    <w:rsid w:val="00EA276A"/>
    <w:rsid w:val="00EA3D68"/>
    <w:rsid w:val="00EA6588"/>
    <w:rsid w:val="00EB4479"/>
    <w:rsid w:val="00EB5363"/>
    <w:rsid w:val="00EC210C"/>
    <w:rsid w:val="00EC7BE9"/>
    <w:rsid w:val="00EE0DB6"/>
    <w:rsid w:val="00EF404F"/>
    <w:rsid w:val="00EF5567"/>
    <w:rsid w:val="00EF74BA"/>
    <w:rsid w:val="00F063F0"/>
    <w:rsid w:val="00F11FC0"/>
    <w:rsid w:val="00F263CA"/>
    <w:rsid w:val="00F26F2D"/>
    <w:rsid w:val="00F3234B"/>
    <w:rsid w:val="00F444A2"/>
    <w:rsid w:val="00F467D3"/>
    <w:rsid w:val="00F532E9"/>
    <w:rsid w:val="00F6023B"/>
    <w:rsid w:val="00F61205"/>
    <w:rsid w:val="00F653FF"/>
    <w:rsid w:val="00F75544"/>
    <w:rsid w:val="00F760F9"/>
    <w:rsid w:val="00F80468"/>
    <w:rsid w:val="00F8681C"/>
    <w:rsid w:val="00F87269"/>
    <w:rsid w:val="00F87FF3"/>
    <w:rsid w:val="00F92554"/>
    <w:rsid w:val="00F938F7"/>
    <w:rsid w:val="00F94F5F"/>
    <w:rsid w:val="00FA48AE"/>
    <w:rsid w:val="00FB3AE3"/>
    <w:rsid w:val="00FB3B20"/>
    <w:rsid w:val="00FB5667"/>
    <w:rsid w:val="00FB6AB3"/>
    <w:rsid w:val="00FB750B"/>
    <w:rsid w:val="00FC3D54"/>
    <w:rsid w:val="00FD19DD"/>
    <w:rsid w:val="00FD1A74"/>
    <w:rsid w:val="00FE2A49"/>
    <w:rsid w:val="00FF6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14:ligatures w14:val="none"/>
    </w:rPr>
  </w:style>
  <w:style w:type="paragraph" w:styleId="TtulodeTDC">
    <w:name w:val="TOC Heading"/>
    <w:basedOn w:val="Ttulo1"/>
    <w:next w:val="Normal"/>
    <w:uiPriority w:val="39"/>
    <w:unhideWhenUsed/>
    <w:qFormat/>
    <w:rsid w:val="00076681"/>
    <w:pPr>
      <w:jc w:val="left"/>
      <w:outlineLvl w:val="9"/>
    </w:pPr>
    <w:rPr>
      <w:lang w:eastAsia="es-MX"/>
    </w:r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14:ligatures w14:val="none"/>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 w:type="paragraph" w:styleId="Textodeglobo">
    <w:name w:val="Balloon Text"/>
    <w:basedOn w:val="Normal"/>
    <w:link w:val="TextodegloboCar"/>
    <w:uiPriority w:val="99"/>
    <w:semiHidden/>
    <w:unhideWhenUsed/>
    <w:rsid w:val="001747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749"/>
    <w:rPr>
      <w:rFonts w:ascii="Segoe UI" w:hAnsi="Segoe UI" w:cs="Segoe UI"/>
      <w:color w:val="000000" w:themeColor="text1"/>
      <w:kern w:val="0"/>
      <w:sz w:val="18"/>
      <w:szCs w:val="18"/>
      <w14:ligatures w14:val="none"/>
    </w:rPr>
  </w:style>
  <w:style w:type="character" w:customStyle="1" w:styleId="UnresolvedMention">
    <w:name w:val="Unresolved Mention"/>
    <w:basedOn w:val="Fuentedeprrafopredeter"/>
    <w:uiPriority w:val="99"/>
    <w:semiHidden/>
    <w:unhideWhenUsed/>
    <w:rsid w:val="003C7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95">
      <w:bodyDiv w:val="1"/>
      <w:marLeft w:val="0"/>
      <w:marRight w:val="0"/>
      <w:marTop w:val="0"/>
      <w:marBottom w:val="0"/>
      <w:divBdr>
        <w:top w:val="none" w:sz="0" w:space="0" w:color="auto"/>
        <w:left w:val="none" w:sz="0" w:space="0" w:color="auto"/>
        <w:bottom w:val="none" w:sz="0" w:space="0" w:color="auto"/>
        <w:right w:val="none" w:sz="0" w:space="0" w:color="auto"/>
      </w:divBdr>
    </w:div>
    <w:div w:id="116723478">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42833462">
      <w:bodyDiv w:val="1"/>
      <w:marLeft w:val="0"/>
      <w:marRight w:val="0"/>
      <w:marTop w:val="0"/>
      <w:marBottom w:val="0"/>
      <w:divBdr>
        <w:top w:val="none" w:sz="0" w:space="0" w:color="auto"/>
        <w:left w:val="none" w:sz="0" w:space="0" w:color="auto"/>
        <w:bottom w:val="none" w:sz="0" w:space="0" w:color="auto"/>
        <w:right w:val="none" w:sz="0" w:space="0" w:color="auto"/>
      </w:divBdr>
    </w:div>
    <w:div w:id="288169345">
      <w:bodyDiv w:val="1"/>
      <w:marLeft w:val="0"/>
      <w:marRight w:val="0"/>
      <w:marTop w:val="0"/>
      <w:marBottom w:val="0"/>
      <w:divBdr>
        <w:top w:val="none" w:sz="0" w:space="0" w:color="auto"/>
        <w:left w:val="none" w:sz="0" w:space="0" w:color="auto"/>
        <w:bottom w:val="none" w:sz="0" w:space="0" w:color="auto"/>
        <w:right w:val="none" w:sz="0" w:space="0" w:color="auto"/>
      </w:divBdr>
    </w:div>
    <w:div w:id="411198982">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91359459">
      <w:bodyDiv w:val="1"/>
      <w:marLeft w:val="0"/>
      <w:marRight w:val="0"/>
      <w:marTop w:val="0"/>
      <w:marBottom w:val="0"/>
      <w:divBdr>
        <w:top w:val="none" w:sz="0" w:space="0" w:color="auto"/>
        <w:left w:val="none" w:sz="0" w:space="0" w:color="auto"/>
        <w:bottom w:val="none" w:sz="0" w:space="0" w:color="auto"/>
        <w:right w:val="none" w:sz="0" w:space="0" w:color="auto"/>
      </w:divBdr>
    </w:div>
    <w:div w:id="673267521">
      <w:bodyDiv w:val="1"/>
      <w:marLeft w:val="0"/>
      <w:marRight w:val="0"/>
      <w:marTop w:val="0"/>
      <w:marBottom w:val="0"/>
      <w:divBdr>
        <w:top w:val="none" w:sz="0" w:space="0" w:color="auto"/>
        <w:left w:val="none" w:sz="0" w:space="0" w:color="auto"/>
        <w:bottom w:val="none" w:sz="0" w:space="0" w:color="auto"/>
        <w:right w:val="none" w:sz="0" w:space="0" w:color="auto"/>
      </w:divBdr>
    </w:div>
    <w:div w:id="695236857">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932544005">
      <w:bodyDiv w:val="1"/>
      <w:marLeft w:val="0"/>
      <w:marRight w:val="0"/>
      <w:marTop w:val="0"/>
      <w:marBottom w:val="0"/>
      <w:divBdr>
        <w:top w:val="none" w:sz="0" w:space="0" w:color="auto"/>
        <w:left w:val="none" w:sz="0" w:space="0" w:color="auto"/>
        <w:bottom w:val="none" w:sz="0" w:space="0" w:color="auto"/>
        <w:right w:val="none" w:sz="0" w:space="0" w:color="auto"/>
      </w:divBdr>
    </w:div>
    <w:div w:id="960845015">
      <w:bodyDiv w:val="1"/>
      <w:marLeft w:val="0"/>
      <w:marRight w:val="0"/>
      <w:marTop w:val="0"/>
      <w:marBottom w:val="0"/>
      <w:divBdr>
        <w:top w:val="none" w:sz="0" w:space="0" w:color="auto"/>
        <w:left w:val="none" w:sz="0" w:space="0" w:color="auto"/>
        <w:bottom w:val="none" w:sz="0" w:space="0" w:color="auto"/>
        <w:right w:val="none" w:sz="0" w:space="0" w:color="auto"/>
      </w:divBdr>
    </w:div>
    <w:div w:id="1025329334">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226990992">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55113802">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73545276">
      <w:bodyDiv w:val="1"/>
      <w:marLeft w:val="0"/>
      <w:marRight w:val="0"/>
      <w:marTop w:val="0"/>
      <w:marBottom w:val="0"/>
      <w:divBdr>
        <w:top w:val="none" w:sz="0" w:space="0" w:color="auto"/>
        <w:left w:val="none" w:sz="0" w:space="0" w:color="auto"/>
        <w:bottom w:val="none" w:sz="0" w:space="0" w:color="auto"/>
        <w:right w:val="none" w:sz="0" w:space="0" w:color="auto"/>
      </w:divBdr>
    </w:div>
    <w:div w:id="159247009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44448105">
      <w:bodyDiv w:val="1"/>
      <w:marLeft w:val="0"/>
      <w:marRight w:val="0"/>
      <w:marTop w:val="0"/>
      <w:marBottom w:val="0"/>
      <w:divBdr>
        <w:top w:val="none" w:sz="0" w:space="0" w:color="auto"/>
        <w:left w:val="none" w:sz="0" w:space="0" w:color="auto"/>
        <w:bottom w:val="none" w:sz="0" w:space="0" w:color="auto"/>
        <w:right w:val="none" w:sz="0" w:space="0" w:color="auto"/>
      </w:divBdr>
    </w:div>
    <w:div w:id="1753160906">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idadmx.com/2025/01/07/alcalde-de-toluca-realiza-pase-de-lista-a-la-polici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CD3B-B54E-4D07-A483-9A60B55F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6963</Words>
  <Characters>38300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2025-04-25T18:12:00Z</cp:lastPrinted>
  <dcterms:created xsi:type="dcterms:W3CDTF">2025-04-25T18:12:00Z</dcterms:created>
  <dcterms:modified xsi:type="dcterms:W3CDTF">2025-04-25T18:12:00Z</dcterms:modified>
</cp:coreProperties>
</file>