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DA3E"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veintinueve de enero de dos mil veinticinco. </w:t>
      </w:r>
    </w:p>
    <w:p w14:paraId="22134E46" w14:textId="5347D9EF" w:rsidR="008B51B7" w:rsidRPr="00B97481" w:rsidRDefault="00520A6B">
      <w:pPr>
        <w:spacing w:before="240" w:after="240" w:line="360" w:lineRule="auto"/>
        <w:jc w:val="both"/>
        <w:rPr>
          <w:rFonts w:ascii="Palatino Linotype" w:eastAsia="Palatino Linotype" w:hAnsi="Palatino Linotype" w:cs="Palatino Linotype"/>
        </w:rPr>
      </w:pPr>
      <w:bookmarkStart w:id="0" w:name="_heading=h.2et92p0" w:colFirst="0" w:colLast="0"/>
      <w:bookmarkEnd w:id="0"/>
      <w:r w:rsidRPr="00B97481">
        <w:rPr>
          <w:rFonts w:ascii="Palatino Linotype" w:eastAsia="Palatino Linotype" w:hAnsi="Palatino Linotype" w:cs="Palatino Linotype"/>
          <w:b/>
        </w:rPr>
        <w:t>VISTO</w:t>
      </w:r>
      <w:r w:rsidRPr="00B97481">
        <w:rPr>
          <w:rFonts w:ascii="Palatino Linotype" w:eastAsia="Palatino Linotype" w:hAnsi="Palatino Linotype" w:cs="Palatino Linotype"/>
        </w:rPr>
        <w:t xml:space="preserve"> el expediente formado con motivo del recurso de revisión </w:t>
      </w:r>
      <w:r w:rsidRPr="00B97481">
        <w:rPr>
          <w:rFonts w:ascii="Palatino Linotype" w:eastAsia="Palatino Linotype" w:hAnsi="Palatino Linotype" w:cs="Palatino Linotype"/>
          <w:b/>
        </w:rPr>
        <w:t>07664/INFOEM/IP/RR/2024</w:t>
      </w:r>
      <w:r w:rsidRPr="00B97481">
        <w:rPr>
          <w:rFonts w:ascii="Palatino Linotype" w:eastAsia="Palatino Linotype" w:hAnsi="Palatino Linotype" w:cs="Palatino Linotype"/>
        </w:rPr>
        <w:t>, interpuesto por</w:t>
      </w:r>
      <w:r w:rsidRPr="00B97481">
        <w:rPr>
          <w:rFonts w:ascii="Palatino Linotype" w:eastAsia="Palatino Linotype" w:hAnsi="Palatino Linotype" w:cs="Palatino Linotype"/>
          <w:b/>
        </w:rPr>
        <w:t xml:space="preserve"> </w:t>
      </w:r>
      <w:r w:rsidR="00A15ED5" w:rsidRPr="00A15ED5">
        <w:rPr>
          <w:rFonts w:ascii="Palatino Linotype" w:eastAsia="Palatino Linotype" w:hAnsi="Palatino Linotype" w:cs="Palatino Linotype"/>
          <w:b/>
        </w:rPr>
        <w:t>XXXXXXX XXXXXX X</w:t>
      </w:r>
      <w:r w:rsidRPr="00B97481">
        <w:rPr>
          <w:rFonts w:ascii="Palatino Linotype" w:eastAsia="Palatino Linotype" w:hAnsi="Palatino Linotype" w:cs="Palatino Linotype"/>
          <w:b/>
        </w:rPr>
        <w:t>,</w:t>
      </w:r>
      <w:r w:rsidRPr="00B97481">
        <w:rPr>
          <w:rFonts w:ascii="Palatino Linotype" w:eastAsia="Palatino Linotype" w:hAnsi="Palatino Linotype" w:cs="Palatino Linotype"/>
        </w:rPr>
        <w:t xml:space="preserve"> en lo sucesivo</w:t>
      </w:r>
      <w:r w:rsidRPr="00B97481">
        <w:rPr>
          <w:rFonts w:ascii="Palatino Linotype" w:eastAsia="Palatino Linotype" w:hAnsi="Palatino Linotype" w:cs="Palatino Linotype"/>
          <w:b/>
        </w:rPr>
        <w:t xml:space="preserve"> </w:t>
      </w:r>
      <w:r w:rsidRPr="00B97481">
        <w:rPr>
          <w:rFonts w:ascii="Palatino Linotype" w:eastAsia="Palatino Linotype" w:hAnsi="Palatino Linotype" w:cs="Palatino Linotype"/>
        </w:rPr>
        <w:t xml:space="preserve">la parte </w:t>
      </w:r>
      <w:r w:rsidRPr="00B97481">
        <w:rPr>
          <w:rFonts w:ascii="Palatino Linotype" w:eastAsia="Palatino Linotype" w:hAnsi="Palatino Linotype" w:cs="Palatino Linotype"/>
          <w:b/>
        </w:rPr>
        <w:t>Recurrente,</w:t>
      </w:r>
      <w:r w:rsidRPr="00B97481">
        <w:rPr>
          <w:rFonts w:ascii="Palatino Linotype" w:eastAsia="Palatino Linotype" w:hAnsi="Palatino Linotype" w:cs="Palatino Linotype"/>
        </w:rPr>
        <w:t xml:space="preserve"> en contra de la respuesta a la solicitud de información con número de folio </w:t>
      </w:r>
      <w:r w:rsidRPr="00B97481">
        <w:rPr>
          <w:rFonts w:ascii="Palatino Linotype" w:eastAsia="Palatino Linotype" w:hAnsi="Palatino Linotype" w:cs="Palatino Linotype"/>
          <w:b/>
        </w:rPr>
        <w:t xml:space="preserve">00320/ZINACANT/IP/2024, </w:t>
      </w:r>
      <w:r w:rsidRPr="00B97481">
        <w:rPr>
          <w:rFonts w:ascii="Palatino Linotype" w:eastAsia="Palatino Linotype" w:hAnsi="Palatino Linotype" w:cs="Palatino Linotype"/>
        </w:rPr>
        <w:t xml:space="preserve">por parte del </w:t>
      </w:r>
      <w:r w:rsidRPr="00B97481">
        <w:rPr>
          <w:rFonts w:ascii="Palatino Linotype" w:eastAsia="Palatino Linotype" w:hAnsi="Palatino Linotype" w:cs="Palatino Linotype"/>
          <w:b/>
        </w:rPr>
        <w:t xml:space="preserve">Ayuntamiento de Zinacantepec, </w:t>
      </w:r>
      <w:r w:rsidRPr="00B97481">
        <w:rPr>
          <w:rFonts w:ascii="Palatino Linotype" w:eastAsia="Palatino Linotype" w:hAnsi="Palatino Linotype" w:cs="Palatino Linotype"/>
        </w:rPr>
        <w:t xml:space="preserve">en lo sucesivo el </w:t>
      </w:r>
      <w:r w:rsidRPr="00B97481">
        <w:rPr>
          <w:rFonts w:ascii="Palatino Linotype" w:eastAsia="Palatino Linotype" w:hAnsi="Palatino Linotype" w:cs="Palatino Linotype"/>
          <w:b/>
        </w:rPr>
        <w:t xml:space="preserve">Sujeto Obligado, </w:t>
      </w:r>
      <w:r w:rsidRPr="00B97481">
        <w:rPr>
          <w:rFonts w:ascii="Palatino Linotype" w:eastAsia="Palatino Linotype" w:hAnsi="Palatino Linotype" w:cs="Palatino Linotype"/>
        </w:rPr>
        <w:t xml:space="preserve">se procede a dictar la presente resolución con base en los siguientes: </w:t>
      </w:r>
    </w:p>
    <w:p w14:paraId="59AE8D6C" w14:textId="77777777" w:rsidR="008B51B7" w:rsidRPr="00B97481" w:rsidRDefault="00520A6B">
      <w:pPr>
        <w:spacing w:before="240" w:after="240" w:line="360" w:lineRule="auto"/>
        <w:jc w:val="center"/>
        <w:rPr>
          <w:rFonts w:ascii="Palatino Linotype" w:eastAsia="Palatino Linotype" w:hAnsi="Palatino Linotype" w:cs="Palatino Linotype"/>
          <w:b/>
        </w:rPr>
      </w:pPr>
      <w:r w:rsidRPr="00B97481">
        <w:rPr>
          <w:rFonts w:ascii="Palatino Linotype" w:eastAsia="Palatino Linotype" w:hAnsi="Palatino Linotype" w:cs="Palatino Linotype"/>
          <w:b/>
        </w:rPr>
        <w:t>I. A N T E C E D E N T E S</w:t>
      </w:r>
    </w:p>
    <w:p w14:paraId="187458B4"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b/>
        </w:rPr>
        <w:t>1. Solicitud de acceso a la información.</w:t>
      </w:r>
      <w:r w:rsidRPr="00B97481">
        <w:rPr>
          <w:rFonts w:ascii="Palatino Linotype" w:eastAsia="Palatino Linotype" w:hAnsi="Palatino Linotype" w:cs="Palatino Linotype"/>
        </w:rPr>
        <w:t xml:space="preserve"> El </w:t>
      </w:r>
      <w:r w:rsidRPr="00B97481">
        <w:rPr>
          <w:rFonts w:ascii="Palatino Linotype" w:eastAsia="Palatino Linotype" w:hAnsi="Palatino Linotype" w:cs="Palatino Linotype"/>
          <w:b/>
        </w:rPr>
        <w:t>veintiuno de noviembre de dos mil veinticuatro,</w:t>
      </w:r>
      <w:r w:rsidRPr="00B97481">
        <w:rPr>
          <w:rFonts w:ascii="Palatino Linotype" w:eastAsia="Palatino Linotype" w:hAnsi="Palatino Linotype" w:cs="Palatino Linotype"/>
        </w:rPr>
        <w:t xml:space="preserve"> la parte </w:t>
      </w:r>
      <w:r w:rsidRPr="00B97481">
        <w:rPr>
          <w:rFonts w:ascii="Palatino Linotype" w:eastAsia="Palatino Linotype" w:hAnsi="Palatino Linotype" w:cs="Palatino Linotype"/>
          <w:b/>
        </w:rPr>
        <w:t xml:space="preserve">Recurrente </w:t>
      </w:r>
      <w:r w:rsidRPr="00B97481">
        <w:rPr>
          <w:rFonts w:ascii="Palatino Linotype" w:eastAsia="Palatino Linotype" w:hAnsi="Palatino Linotype" w:cs="Palatino Linotype"/>
        </w:rPr>
        <w:t xml:space="preserve">presentó, a través del Sistema de Acceso a la Información Mexiquense, en lo subsecuente el </w:t>
      </w:r>
      <w:r w:rsidRPr="00B97481">
        <w:rPr>
          <w:rFonts w:ascii="Palatino Linotype" w:eastAsia="Palatino Linotype" w:hAnsi="Palatino Linotype" w:cs="Palatino Linotype"/>
          <w:b/>
        </w:rPr>
        <w:t>SAIMEX,</w:t>
      </w:r>
      <w:r w:rsidRPr="00B97481">
        <w:rPr>
          <w:rFonts w:ascii="Palatino Linotype" w:eastAsia="Palatino Linotype" w:hAnsi="Palatino Linotype" w:cs="Palatino Linotype"/>
        </w:rPr>
        <w:t xml:space="preserve"> ante el </w:t>
      </w:r>
      <w:r w:rsidRPr="00B97481">
        <w:rPr>
          <w:rFonts w:ascii="Palatino Linotype" w:eastAsia="Palatino Linotype" w:hAnsi="Palatino Linotype" w:cs="Palatino Linotype"/>
          <w:b/>
        </w:rPr>
        <w:t>Sujeto Obligado</w:t>
      </w:r>
      <w:r w:rsidRPr="00B97481">
        <w:rPr>
          <w:rFonts w:ascii="Palatino Linotype" w:eastAsia="Palatino Linotype" w:hAnsi="Palatino Linotype" w:cs="Palatino Linotype"/>
        </w:rPr>
        <w:t xml:space="preserve">, la solicitud de acceso a la información pública, mediante la cual requirió la información siguiente: </w:t>
      </w:r>
    </w:p>
    <w:p w14:paraId="427BBD85" w14:textId="77777777" w:rsidR="008B51B7" w:rsidRPr="00B97481" w:rsidRDefault="00520A6B">
      <w:pPr>
        <w:spacing w:before="120" w:after="120"/>
        <w:ind w:left="851" w:right="902"/>
        <w:jc w:val="both"/>
        <w:rPr>
          <w:rFonts w:ascii="Palatino Linotype" w:eastAsia="Palatino Linotype" w:hAnsi="Palatino Linotype" w:cs="Palatino Linotype"/>
          <w:b/>
          <w:i/>
          <w:sz w:val="22"/>
          <w:szCs w:val="22"/>
        </w:rPr>
      </w:pPr>
      <w:bookmarkStart w:id="1" w:name="_heading=h.gjdgxs" w:colFirst="0" w:colLast="0"/>
      <w:bookmarkEnd w:id="1"/>
      <w:r w:rsidRPr="00B97481">
        <w:rPr>
          <w:rFonts w:ascii="Palatino Linotype" w:eastAsia="Palatino Linotype" w:hAnsi="Palatino Linotype" w:cs="Palatino Linotype"/>
          <w:i/>
          <w:sz w:val="22"/>
          <w:szCs w:val="22"/>
        </w:rPr>
        <w:t xml:space="preserve"> “Solicito el documento firmado por parte del Presidente Municipal Manuel Vilchis Viveros en el que se mencione que le asigno a la Titular de la Unidad de Transparencia las mismas oficinas que el Titular de la UIPPE para trabajar, de no existir el documento solicitado, pido me informe el Presidente Municipal porque la </w:t>
      </w:r>
      <w:proofErr w:type="spellStart"/>
      <w:r w:rsidRPr="00B97481">
        <w:rPr>
          <w:rFonts w:ascii="Palatino Linotype" w:eastAsia="Palatino Linotype" w:hAnsi="Palatino Linotype" w:cs="Palatino Linotype"/>
          <w:i/>
          <w:sz w:val="22"/>
          <w:szCs w:val="22"/>
        </w:rPr>
        <w:t>Titutar</w:t>
      </w:r>
      <w:proofErr w:type="spellEnd"/>
      <w:r w:rsidRPr="00B97481">
        <w:rPr>
          <w:rFonts w:ascii="Palatino Linotype" w:eastAsia="Palatino Linotype" w:hAnsi="Palatino Linotype" w:cs="Palatino Linotype"/>
          <w:i/>
          <w:sz w:val="22"/>
          <w:szCs w:val="22"/>
        </w:rPr>
        <w:t xml:space="preserve"> de la Unidad de Transparencia Brenda Selene nunca se le encuentra en las oficinas que ocupa esta misma unidad y siempre está y la tienen que buscar en las oficinas de la Unidad de </w:t>
      </w:r>
      <w:proofErr w:type="spellStart"/>
      <w:r w:rsidRPr="00B97481">
        <w:rPr>
          <w:rFonts w:ascii="Palatino Linotype" w:eastAsia="Palatino Linotype" w:hAnsi="Palatino Linotype" w:cs="Palatino Linotype"/>
          <w:i/>
          <w:sz w:val="22"/>
          <w:szCs w:val="22"/>
        </w:rPr>
        <w:t>Informacion</w:t>
      </w:r>
      <w:proofErr w:type="spellEnd"/>
      <w:r w:rsidRPr="00B97481">
        <w:rPr>
          <w:rFonts w:ascii="Palatino Linotype" w:eastAsia="Palatino Linotype" w:hAnsi="Palatino Linotype" w:cs="Palatino Linotype"/>
          <w:i/>
          <w:sz w:val="22"/>
          <w:szCs w:val="22"/>
        </w:rPr>
        <w:t>, Planeación, Programación y Evaluación.</w:t>
      </w:r>
      <w:r w:rsidRPr="00B97481">
        <w:rPr>
          <w:rFonts w:ascii="Palatino Linotype" w:eastAsia="Palatino Linotype" w:hAnsi="Palatino Linotype" w:cs="Palatino Linotype"/>
          <w:b/>
          <w:i/>
          <w:sz w:val="22"/>
          <w:szCs w:val="22"/>
        </w:rPr>
        <w:t>”</w:t>
      </w:r>
      <w:r w:rsidRPr="00B97481">
        <w:rPr>
          <w:rFonts w:ascii="Palatino Linotype" w:eastAsia="Palatino Linotype" w:hAnsi="Palatino Linotype" w:cs="Palatino Linotype"/>
          <w:i/>
          <w:sz w:val="22"/>
          <w:szCs w:val="22"/>
        </w:rPr>
        <w:t xml:space="preserve"> (sic) </w:t>
      </w:r>
    </w:p>
    <w:p w14:paraId="20225FC6" w14:textId="77777777" w:rsidR="008B51B7" w:rsidRPr="00B97481" w:rsidRDefault="00520A6B">
      <w:pPr>
        <w:spacing w:before="240" w:after="240" w:line="360" w:lineRule="auto"/>
        <w:jc w:val="both"/>
        <w:rPr>
          <w:rFonts w:ascii="Palatino Linotype" w:eastAsia="Palatino Linotype" w:hAnsi="Palatino Linotype" w:cs="Palatino Linotype"/>
          <w:b/>
        </w:rPr>
      </w:pPr>
      <w:bookmarkStart w:id="2" w:name="_heading=h.3dy6vkm" w:colFirst="0" w:colLast="0"/>
      <w:bookmarkEnd w:id="2"/>
      <w:r w:rsidRPr="00B97481">
        <w:rPr>
          <w:rFonts w:ascii="Palatino Linotype" w:eastAsia="Palatino Linotype" w:hAnsi="Palatino Linotype" w:cs="Palatino Linotype"/>
          <w:b/>
        </w:rPr>
        <w:lastRenderedPageBreak/>
        <w:t>Modalidad de Entrega:</w:t>
      </w:r>
      <w:r w:rsidRPr="00B97481">
        <w:rPr>
          <w:rFonts w:ascii="Palatino Linotype" w:eastAsia="Palatino Linotype" w:hAnsi="Palatino Linotype" w:cs="Palatino Linotype"/>
        </w:rPr>
        <w:t xml:space="preserve"> a través de</w:t>
      </w:r>
      <w:r w:rsidRPr="00B97481">
        <w:rPr>
          <w:rFonts w:ascii="Palatino Linotype" w:eastAsia="Palatino Linotype" w:hAnsi="Palatino Linotype" w:cs="Palatino Linotype"/>
          <w:b/>
        </w:rPr>
        <w:t xml:space="preserve"> SAIMEX</w:t>
      </w:r>
    </w:p>
    <w:p w14:paraId="61C0FB34" w14:textId="77777777" w:rsidR="008B51B7" w:rsidRPr="00B97481" w:rsidRDefault="00520A6B">
      <w:pPr>
        <w:spacing w:before="240" w:after="240" w:line="360" w:lineRule="auto"/>
        <w:jc w:val="both"/>
        <w:rPr>
          <w:rFonts w:ascii="Palatino Linotype" w:eastAsia="Palatino Linotype" w:hAnsi="Palatino Linotype" w:cs="Palatino Linotype"/>
          <w:b/>
        </w:rPr>
      </w:pPr>
      <w:r w:rsidRPr="00B97481">
        <w:rPr>
          <w:rFonts w:ascii="Palatino Linotype" w:eastAsia="Palatino Linotype" w:hAnsi="Palatino Linotype" w:cs="Palatino Linotype"/>
          <w:b/>
        </w:rPr>
        <w:t xml:space="preserve">2. Respuesta. </w:t>
      </w:r>
      <w:r w:rsidRPr="00B97481">
        <w:rPr>
          <w:rFonts w:ascii="Palatino Linotype" w:eastAsia="Palatino Linotype" w:hAnsi="Palatino Linotype" w:cs="Palatino Linotype"/>
        </w:rPr>
        <w:t xml:space="preserve">El </w:t>
      </w:r>
      <w:r w:rsidRPr="00B97481">
        <w:rPr>
          <w:rFonts w:ascii="Palatino Linotype" w:eastAsia="Palatino Linotype" w:hAnsi="Palatino Linotype" w:cs="Palatino Linotype"/>
          <w:b/>
        </w:rPr>
        <w:t>doce de diciembre de dos mil veinticuatro</w:t>
      </w:r>
      <w:r w:rsidRPr="00B97481">
        <w:rPr>
          <w:rFonts w:ascii="Palatino Linotype" w:eastAsia="Palatino Linotype" w:hAnsi="Palatino Linotype" w:cs="Palatino Linotype"/>
        </w:rPr>
        <w:t xml:space="preserve">, el </w:t>
      </w:r>
      <w:r w:rsidRPr="00B97481">
        <w:rPr>
          <w:rFonts w:ascii="Palatino Linotype" w:eastAsia="Palatino Linotype" w:hAnsi="Palatino Linotype" w:cs="Palatino Linotype"/>
          <w:b/>
        </w:rPr>
        <w:t xml:space="preserve">Sujeto Obligado </w:t>
      </w:r>
      <w:r w:rsidRPr="00B97481">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4371F6A5" w14:textId="77777777" w:rsidR="008B51B7" w:rsidRPr="00B97481" w:rsidRDefault="00520A6B">
      <w:pPr>
        <w:spacing w:before="240" w:after="240"/>
        <w:ind w:left="851"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“…Por lo que le sugerimos replantear su solicitud o bien, identificar las áreas que puedan dar atención a sus requerimientos, de acuerdo con las facultades y atribuciones pertinentes.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otro particular, reciba un cordial saludo...” (sic)</w:t>
      </w:r>
    </w:p>
    <w:p w14:paraId="06100258" w14:textId="77777777" w:rsidR="008B51B7" w:rsidRPr="00B97481" w:rsidRDefault="00520A6B">
      <w:pPr>
        <w:spacing w:before="240" w:after="240" w:line="360" w:lineRule="auto"/>
        <w:ind w:right="49"/>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El </w:t>
      </w:r>
      <w:r w:rsidRPr="00B97481">
        <w:rPr>
          <w:rFonts w:ascii="Palatino Linotype" w:eastAsia="Palatino Linotype" w:hAnsi="Palatino Linotype" w:cs="Palatino Linotype"/>
          <w:b/>
        </w:rPr>
        <w:t>Sujeto Obligado</w:t>
      </w:r>
      <w:r w:rsidRPr="00B97481">
        <w:rPr>
          <w:rFonts w:ascii="Palatino Linotype" w:eastAsia="Palatino Linotype" w:hAnsi="Palatino Linotype" w:cs="Palatino Linotype"/>
        </w:rPr>
        <w:t xml:space="preserve"> adjuntó el escrito de fecha doce de diciembre de dos mil veinticuatro, mediante el cual la Titular de la Unidad de Transparencia, derivado del análisis de la solicitud, hizo del conocimiento de la persona solicitante que esta no cumplía con las características para que el Sujeto Obligado estuviera en aptitud de identificar la atribución, tema, materia, asunto o documento que es de su interés, al no advertirse la intención de obtener información que obre dentro del Sujeto Obligado, sino que se trata de manifestaciones o aseveraciones subjetivas que no pueden colmarse con la entrega de un documento, y por tanto, atendibles mediante una solicitud de información, motivo por el cual sugirió replantear la solicitud o bien identificar las áreas que pueden dar atención a los requerimientos de acuerdo con sus facultades y atribuciones.</w:t>
      </w:r>
    </w:p>
    <w:p w14:paraId="2F369AC0" w14:textId="77777777" w:rsidR="008B51B7" w:rsidRPr="00B97481" w:rsidRDefault="00520A6B">
      <w:pPr>
        <w:spacing w:before="240" w:after="240" w:line="360" w:lineRule="auto"/>
        <w:ind w:right="49"/>
        <w:jc w:val="both"/>
        <w:rPr>
          <w:rFonts w:ascii="Palatino Linotype" w:eastAsia="Palatino Linotype" w:hAnsi="Palatino Linotype" w:cs="Palatino Linotype"/>
        </w:rPr>
      </w:pPr>
      <w:r w:rsidRPr="00B97481">
        <w:rPr>
          <w:rFonts w:ascii="Palatino Linotype" w:eastAsia="Palatino Linotype" w:hAnsi="Palatino Linotype" w:cs="Palatino Linotype"/>
          <w:b/>
        </w:rPr>
        <w:t xml:space="preserve">3. Interposición del recurso de revisión. </w:t>
      </w:r>
      <w:r w:rsidRPr="00B97481">
        <w:rPr>
          <w:rFonts w:ascii="Palatino Linotype" w:eastAsia="Palatino Linotype" w:hAnsi="Palatino Linotype" w:cs="Palatino Linotype"/>
        </w:rPr>
        <w:t xml:space="preserve">Inconforme con los términos de la respuesta emitida por parte del </w:t>
      </w:r>
      <w:r w:rsidRPr="00B97481">
        <w:rPr>
          <w:rFonts w:ascii="Palatino Linotype" w:eastAsia="Palatino Linotype" w:hAnsi="Palatino Linotype" w:cs="Palatino Linotype"/>
          <w:b/>
        </w:rPr>
        <w:t>Sujeto Obligado</w:t>
      </w:r>
      <w:r w:rsidRPr="00B97481">
        <w:rPr>
          <w:rFonts w:ascii="Palatino Linotype" w:eastAsia="Palatino Linotype" w:hAnsi="Palatino Linotype" w:cs="Palatino Linotype"/>
        </w:rPr>
        <w:t xml:space="preserve">, el </w:t>
      </w:r>
      <w:r w:rsidRPr="00B97481">
        <w:rPr>
          <w:rFonts w:ascii="Palatino Linotype" w:eastAsia="Palatino Linotype" w:hAnsi="Palatino Linotype" w:cs="Palatino Linotype"/>
          <w:b/>
        </w:rPr>
        <w:t xml:space="preserve">trece de diciembre de dos mil </w:t>
      </w:r>
      <w:r w:rsidRPr="00B97481">
        <w:rPr>
          <w:rFonts w:ascii="Palatino Linotype" w:eastAsia="Palatino Linotype" w:hAnsi="Palatino Linotype" w:cs="Palatino Linotype"/>
          <w:b/>
        </w:rPr>
        <w:lastRenderedPageBreak/>
        <w:t>veinticuatro,</w:t>
      </w:r>
      <w:r w:rsidRPr="00B97481">
        <w:rPr>
          <w:rFonts w:ascii="Palatino Linotype" w:eastAsia="Palatino Linotype" w:hAnsi="Palatino Linotype" w:cs="Palatino Linotype"/>
        </w:rPr>
        <w:t xml:space="preserve"> la parte </w:t>
      </w:r>
      <w:r w:rsidRPr="00B97481">
        <w:rPr>
          <w:rFonts w:ascii="Palatino Linotype" w:eastAsia="Palatino Linotype" w:hAnsi="Palatino Linotype" w:cs="Palatino Linotype"/>
          <w:b/>
        </w:rPr>
        <w:t>Recurrente</w:t>
      </w:r>
      <w:r w:rsidRPr="00B97481">
        <w:rPr>
          <w:rFonts w:ascii="Palatino Linotype" w:eastAsia="Palatino Linotype" w:hAnsi="Palatino Linotype" w:cs="Palatino Linotype"/>
        </w:rPr>
        <w:t xml:space="preserve"> interpuso el recurso de revisión a través de </w:t>
      </w:r>
      <w:r w:rsidRPr="00B97481">
        <w:rPr>
          <w:rFonts w:ascii="Palatino Linotype" w:eastAsia="Palatino Linotype" w:hAnsi="Palatino Linotype" w:cs="Palatino Linotype"/>
          <w:b/>
        </w:rPr>
        <w:t xml:space="preserve">SAIMEX, </w:t>
      </w:r>
      <w:r w:rsidRPr="00B97481">
        <w:rPr>
          <w:rFonts w:ascii="Palatino Linotype" w:eastAsia="Palatino Linotype" w:hAnsi="Palatino Linotype" w:cs="Palatino Linotype"/>
        </w:rPr>
        <w:t>en donde se manifestó de la siguiente manera:</w:t>
      </w:r>
    </w:p>
    <w:p w14:paraId="5CDB74BD" w14:textId="77777777" w:rsidR="008B51B7" w:rsidRPr="00B97481" w:rsidRDefault="00520A6B">
      <w:pPr>
        <w:tabs>
          <w:tab w:val="left" w:pos="2745"/>
        </w:tabs>
        <w:spacing w:before="240" w:after="240" w:line="360" w:lineRule="auto"/>
        <w:jc w:val="both"/>
        <w:rPr>
          <w:rFonts w:ascii="Palatino Linotype" w:eastAsia="Palatino Linotype" w:hAnsi="Palatino Linotype" w:cs="Palatino Linotype"/>
          <w:b/>
        </w:rPr>
      </w:pPr>
      <w:r w:rsidRPr="00B97481">
        <w:rPr>
          <w:rFonts w:ascii="Palatino Linotype" w:eastAsia="Palatino Linotype" w:hAnsi="Palatino Linotype" w:cs="Palatino Linotype"/>
          <w:b/>
        </w:rPr>
        <w:t xml:space="preserve">Acto impugnado: </w:t>
      </w:r>
    </w:p>
    <w:p w14:paraId="6A1A7151" w14:textId="77777777" w:rsidR="008B51B7" w:rsidRPr="00B97481" w:rsidRDefault="00520A6B">
      <w:pPr>
        <w:tabs>
          <w:tab w:val="left" w:pos="2745"/>
        </w:tabs>
        <w:spacing w:before="240" w:after="240"/>
        <w:ind w:left="851" w:right="900"/>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“Solicite información por parte de la presidencia municipal y mi solicitud no fue canalizada” (sic)</w:t>
      </w:r>
    </w:p>
    <w:p w14:paraId="137A1788" w14:textId="77777777" w:rsidR="008B51B7" w:rsidRPr="00B97481" w:rsidRDefault="00520A6B">
      <w:pPr>
        <w:spacing w:line="360" w:lineRule="auto"/>
        <w:jc w:val="both"/>
        <w:rPr>
          <w:rFonts w:ascii="Palatino Linotype" w:eastAsia="Palatino Linotype" w:hAnsi="Palatino Linotype" w:cs="Palatino Linotype"/>
        </w:rPr>
      </w:pPr>
      <w:bookmarkStart w:id="3" w:name="_heading=h.30j0zll" w:colFirst="0" w:colLast="0"/>
      <w:bookmarkEnd w:id="3"/>
      <w:r w:rsidRPr="00B97481">
        <w:rPr>
          <w:rFonts w:ascii="Palatino Linotype" w:eastAsia="Palatino Linotype" w:hAnsi="Palatino Linotype" w:cs="Palatino Linotype"/>
          <w:b/>
        </w:rPr>
        <w:t>Y, Razones o motivos de inconformidad</w:t>
      </w:r>
      <w:r w:rsidRPr="00B97481">
        <w:rPr>
          <w:rFonts w:ascii="Palatino Linotype" w:eastAsia="Palatino Linotype" w:hAnsi="Palatino Linotype" w:cs="Palatino Linotype"/>
        </w:rPr>
        <w:t>:</w:t>
      </w:r>
    </w:p>
    <w:p w14:paraId="4DE56D7C" w14:textId="77777777" w:rsidR="008B51B7" w:rsidRPr="00B97481" w:rsidRDefault="00520A6B">
      <w:pPr>
        <w:tabs>
          <w:tab w:val="left" w:pos="2745"/>
        </w:tabs>
        <w:spacing w:before="240" w:after="240"/>
        <w:ind w:left="851" w:right="900"/>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“El área de presidencia no responde a mi solicitud</w:t>
      </w:r>
      <w:r w:rsidRPr="00B97481">
        <w:rPr>
          <w:rFonts w:ascii="Palatino Linotype" w:eastAsia="Palatino Linotype" w:hAnsi="Palatino Linotype" w:cs="Palatino Linotype"/>
          <w:b/>
          <w:i/>
          <w:sz w:val="22"/>
          <w:szCs w:val="22"/>
        </w:rPr>
        <w:t xml:space="preserve">” </w:t>
      </w:r>
      <w:r w:rsidRPr="00B97481">
        <w:rPr>
          <w:rFonts w:ascii="Palatino Linotype" w:eastAsia="Palatino Linotype" w:hAnsi="Palatino Linotype" w:cs="Palatino Linotype"/>
          <w:i/>
          <w:sz w:val="22"/>
          <w:szCs w:val="22"/>
        </w:rPr>
        <w:t>(sic)</w:t>
      </w:r>
    </w:p>
    <w:p w14:paraId="75A606E9" w14:textId="77777777" w:rsidR="008B51B7" w:rsidRPr="00B97481" w:rsidRDefault="00520A6B">
      <w:pPr>
        <w:spacing w:before="240" w:after="240" w:line="360" w:lineRule="auto"/>
        <w:ind w:right="51"/>
        <w:jc w:val="both"/>
        <w:rPr>
          <w:rFonts w:ascii="Palatino Linotype" w:eastAsia="Palatino Linotype" w:hAnsi="Palatino Linotype" w:cs="Palatino Linotype"/>
        </w:rPr>
      </w:pPr>
      <w:r w:rsidRPr="00B97481">
        <w:rPr>
          <w:rFonts w:ascii="Palatino Linotype" w:eastAsia="Palatino Linotype" w:hAnsi="Palatino Linotype" w:cs="Palatino Linotype"/>
          <w:b/>
        </w:rPr>
        <w:t xml:space="preserve">4. Turno. </w:t>
      </w:r>
      <w:r w:rsidRPr="00B9748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97481">
        <w:rPr>
          <w:rFonts w:ascii="Palatino Linotype" w:eastAsia="Palatino Linotype" w:hAnsi="Palatino Linotype" w:cs="Palatino Linotype"/>
          <w:b/>
        </w:rPr>
        <w:t xml:space="preserve">Guadalupe Ramírez Peña, </w:t>
      </w:r>
      <w:r w:rsidRPr="00B97481">
        <w:rPr>
          <w:rFonts w:ascii="Palatino Linotype" w:eastAsia="Palatino Linotype" w:hAnsi="Palatino Linotype" w:cs="Palatino Linotype"/>
        </w:rPr>
        <w:t xml:space="preserve">a efecto de que analizara sobre su admisión o su </w:t>
      </w:r>
      <w:proofErr w:type="spellStart"/>
      <w:r w:rsidRPr="00B97481">
        <w:rPr>
          <w:rFonts w:ascii="Palatino Linotype" w:eastAsia="Palatino Linotype" w:hAnsi="Palatino Linotype" w:cs="Palatino Linotype"/>
        </w:rPr>
        <w:t>desechamiento</w:t>
      </w:r>
      <w:proofErr w:type="spellEnd"/>
      <w:r w:rsidRPr="00B97481">
        <w:rPr>
          <w:rFonts w:ascii="Palatino Linotype" w:eastAsia="Palatino Linotype" w:hAnsi="Palatino Linotype" w:cs="Palatino Linotype"/>
        </w:rPr>
        <w:t>.</w:t>
      </w:r>
    </w:p>
    <w:p w14:paraId="7D6402D1"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b/>
        </w:rPr>
        <w:t>5. Admisión del Recurso de revisión.</w:t>
      </w:r>
      <w:r w:rsidRPr="00B97481">
        <w:rPr>
          <w:rFonts w:ascii="Palatino Linotype" w:eastAsia="Palatino Linotype" w:hAnsi="Palatino Linotype" w:cs="Palatino Linotype"/>
        </w:rPr>
        <w:t xml:space="preserve"> El </w:t>
      </w:r>
      <w:r w:rsidRPr="00B97481">
        <w:rPr>
          <w:rFonts w:ascii="Palatino Linotype" w:eastAsia="Palatino Linotype" w:hAnsi="Palatino Linotype" w:cs="Palatino Linotype"/>
          <w:b/>
        </w:rPr>
        <w:t xml:space="preserve"> dieciocho de diciembre de dos mil veinticuatro, </w:t>
      </w:r>
      <w:r w:rsidRPr="00B97481">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97481">
        <w:rPr>
          <w:rFonts w:ascii="Palatino Linotype" w:eastAsia="Palatino Linotype" w:hAnsi="Palatino Linotype" w:cs="Palatino Linotype"/>
          <w:b/>
        </w:rPr>
        <w:t xml:space="preserve">Sujeto Obligado </w:t>
      </w:r>
      <w:r w:rsidRPr="00B97481">
        <w:rPr>
          <w:rFonts w:ascii="Palatino Linotype" w:eastAsia="Palatino Linotype" w:hAnsi="Palatino Linotype" w:cs="Palatino Linotype"/>
        </w:rPr>
        <w:t>presentara su informe justificado.</w:t>
      </w:r>
    </w:p>
    <w:p w14:paraId="00CCF49B" w14:textId="77777777" w:rsidR="008B51B7" w:rsidRPr="00B97481" w:rsidRDefault="00520A6B">
      <w:pPr>
        <w:widowControl w:val="0"/>
        <w:spacing w:line="360" w:lineRule="auto"/>
        <w:ind w:right="49"/>
        <w:jc w:val="both"/>
        <w:rPr>
          <w:rFonts w:ascii="Palatino Linotype" w:eastAsia="Palatino Linotype" w:hAnsi="Palatino Linotype" w:cs="Palatino Linotype"/>
        </w:rPr>
      </w:pPr>
      <w:bookmarkStart w:id="4" w:name="_heading=h.2s8eyo1" w:colFirst="0" w:colLast="0"/>
      <w:bookmarkEnd w:id="4"/>
      <w:r w:rsidRPr="00B97481">
        <w:rPr>
          <w:rFonts w:ascii="Palatino Linotype" w:eastAsia="Palatino Linotype" w:hAnsi="Palatino Linotype" w:cs="Palatino Linotype"/>
          <w:b/>
        </w:rPr>
        <w:t>6. Manifestaciones</w:t>
      </w:r>
      <w:r w:rsidRPr="00B97481">
        <w:rPr>
          <w:rFonts w:ascii="Palatino Linotype" w:eastAsia="Palatino Linotype" w:hAnsi="Palatino Linotype" w:cs="Palatino Linotype"/>
        </w:rPr>
        <w:t xml:space="preserve">. De constancias del expediente electrónico del SAIMEX, se observa que el </w:t>
      </w:r>
      <w:r w:rsidRPr="00B97481">
        <w:rPr>
          <w:rFonts w:ascii="Palatino Linotype" w:eastAsia="Palatino Linotype" w:hAnsi="Palatino Linotype" w:cs="Palatino Linotype"/>
          <w:b/>
        </w:rPr>
        <w:t>Sujeto Obligado</w:t>
      </w:r>
      <w:r w:rsidRPr="00B97481">
        <w:rPr>
          <w:rFonts w:ascii="Palatino Linotype" w:eastAsia="Palatino Linotype" w:hAnsi="Palatino Linotype" w:cs="Palatino Linotype"/>
        </w:rPr>
        <w:t xml:space="preserve"> fue omiso en rendir su informe justificado; así </w:t>
      </w:r>
      <w:r w:rsidRPr="00B97481">
        <w:rPr>
          <w:rFonts w:ascii="Palatino Linotype" w:eastAsia="Palatino Linotype" w:hAnsi="Palatino Linotype" w:cs="Palatino Linotype"/>
        </w:rPr>
        <w:lastRenderedPageBreak/>
        <w:t xml:space="preserve">como, la parte </w:t>
      </w:r>
      <w:r w:rsidRPr="00B97481">
        <w:rPr>
          <w:rFonts w:ascii="Palatino Linotype" w:eastAsia="Palatino Linotype" w:hAnsi="Palatino Linotype" w:cs="Palatino Linotype"/>
          <w:b/>
        </w:rPr>
        <w:t xml:space="preserve">Recurrente </w:t>
      </w:r>
      <w:r w:rsidRPr="00B97481">
        <w:rPr>
          <w:rFonts w:ascii="Palatino Linotype" w:eastAsia="Palatino Linotype" w:hAnsi="Palatino Linotype" w:cs="Palatino Linotype"/>
        </w:rPr>
        <w:t>fue omisa en hacer valer manifestaciones o rendir alegatos que conforme a derecho resultaran procedentes, como se muestra:</w:t>
      </w:r>
    </w:p>
    <w:p w14:paraId="51D08858"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noProof/>
        </w:rPr>
        <w:drawing>
          <wp:inline distT="0" distB="0" distL="0" distR="0" wp14:anchorId="71BB8AD3" wp14:editId="42C9BB9C">
            <wp:extent cx="5612130" cy="156845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2130" cy="1568450"/>
                    </a:xfrm>
                    <a:prstGeom prst="rect">
                      <a:avLst/>
                    </a:prstGeom>
                    <a:ln/>
                  </pic:spPr>
                </pic:pic>
              </a:graphicData>
            </a:graphic>
          </wp:inline>
        </w:drawing>
      </w:r>
    </w:p>
    <w:p w14:paraId="480B6DFD"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b/>
        </w:rPr>
        <w:t xml:space="preserve">7. Cierre de instrucción. </w:t>
      </w:r>
      <w:r w:rsidRPr="00B97481">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B97481">
        <w:rPr>
          <w:rFonts w:ascii="Palatino Linotype" w:eastAsia="Palatino Linotype" w:hAnsi="Palatino Linotype" w:cs="Palatino Linotype"/>
          <w:b/>
        </w:rPr>
        <w:t xml:space="preserve">veinte de enero de dos mil veinticinco, </w:t>
      </w:r>
      <w:r w:rsidRPr="00B97481">
        <w:rPr>
          <w:rFonts w:ascii="Palatino Linotype" w:eastAsia="Palatino Linotype" w:hAnsi="Palatino Linotype" w:cs="Palatino Linotype"/>
        </w:rPr>
        <w:t>la Comisionada Ponente determinó el cierre de instrucción en términos de la fracción VI del artículo 185 de la Ley de Transparencia y Acceso a la Información Pública del Estado de México y Municipios</w:t>
      </w:r>
    </w:p>
    <w:p w14:paraId="798755ED"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57F86F30" w14:textId="77777777" w:rsidR="008B51B7" w:rsidRPr="00B97481" w:rsidRDefault="00520A6B">
      <w:pPr>
        <w:widowControl w:val="0"/>
        <w:spacing w:before="240" w:after="240" w:line="360" w:lineRule="auto"/>
        <w:jc w:val="center"/>
        <w:rPr>
          <w:rFonts w:ascii="Palatino Linotype" w:eastAsia="Palatino Linotype" w:hAnsi="Palatino Linotype" w:cs="Palatino Linotype"/>
          <w:b/>
        </w:rPr>
      </w:pPr>
      <w:r w:rsidRPr="00B97481">
        <w:rPr>
          <w:rFonts w:ascii="Palatino Linotype" w:eastAsia="Palatino Linotype" w:hAnsi="Palatino Linotype" w:cs="Palatino Linotype"/>
          <w:b/>
        </w:rPr>
        <w:t>II. C O N S I D E R A N D O S</w:t>
      </w:r>
    </w:p>
    <w:p w14:paraId="70CE7BA5"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b/>
        </w:rPr>
        <w:t>Primero. Competencia.</w:t>
      </w:r>
      <w:r w:rsidRPr="00B9748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w:t>
      </w:r>
      <w:r w:rsidR="0003644D" w:rsidRPr="00B97481">
        <w:rPr>
          <w:rFonts w:ascii="Palatino Linotype" w:eastAsia="Palatino Linotype" w:hAnsi="Palatino Linotype" w:cs="Palatino Linotype"/>
        </w:rPr>
        <w:t xml:space="preserve"> 6, apartado A de la </w:t>
      </w:r>
      <w:r w:rsidR="0003644D" w:rsidRPr="00B97481">
        <w:rPr>
          <w:rFonts w:ascii="Palatino Linotype" w:eastAsia="Palatino Linotype" w:hAnsi="Palatino Linotype" w:cs="Palatino Linotype"/>
        </w:rPr>
        <w:lastRenderedPageBreak/>
        <w:t>Constitución Política de los Estados Unidos Mexicanos;</w:t>
      </w:r>
      <w:r w:rsidRPr="00B97481">
        <w:rPr>
          <w:rFonts w:ascii="Palatino Linotype" w:eastAsia="Palatino Linotype" w:hAnsi="Palatino Linotype" w:cs="Palatino Linotype"/>
        </w:rPr>
        <w:t xml:space="preserve"> 5</w:t>
      </w:r>
      <w:r w:rsidR="0003644D" w:rsidRPr="00B97481">
        <w:rPr>
          <w:rFonts w:ascii="Palatino Linotype" w:eastAsia="Palatino Linotype" w:hAnsi="Palatino Linotype" w:cs="Palatino Linotype"/>
        </w:rPr>
        <w:t>,</w:t>
      </w:r>
      <w:r w:rsidRPr="00B97481">
        <w:rPr>
          <w:rFonts w:ascii="Palatino Linotype" w:eastAsia="Palatino Linotype" w:hAnsi="Palatino Linotype" w:cs="Palatino Linotype"/>
        </w:rPr>
        <w:t xml:space="preserve"> párrafos trigésimo tercero,  trigésimo cuarto y trigésimo quinto,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3C6A68C5" w14:textId="77777777" w:rsidR="008B51B7" w:rsidRPr="00B97481" w:rsidRDefault="00520A6B">
      <w:pPr>
        <w:spacing w:before="240" w:after="240" w:line="360" w:lineRule="auto"/>
        <w:jc w:val="both"/>
        <w:rPr>
          <w:rFonts w:ascii="Palatino Linotype" w:eastAsia="Palatino Linotype" w:hAnsi="Palatino Linotype" w:cs="Palatino Linotype"/>
        </w:rPr>
      </w:pPr>
      <w:bookmarkStart w:id="5" w:name="_heading=h.tyjcwt" w:colFirst="0" w:colLast="0"/>
      <w:bookmarkEnd w:id="5"/>
      <w:r w:rsidRPr="00B97481">
        <w:rPr>
          <w:rFonts w:ascii="Palatino Linotype" w:eastAsia="Palatino Linotype" w:hAnsi="Palatino Linotype" w:cs="Palatino Linotype"/>
          <w:b/>
        </w:rPr>
        <w:t>Segundo. Oportunidad y Procedibilidad del Recurso de Revisión</w:t>
      </w:r>
      <w:r w:rsidRPr="00B97481">
        <w:rPr>
          <w:rFonts w:ascii="Palatino Linotype" w:eastAsia="Palatino Linotype" w:hAnsi="Palatino Linotype" w:cs="Palatino Linotype"/>
        </w:rPr>
        <w:t>. Previo al estudio del fondo del asunto, se procede a analizar los requisitos de oportunidad y procedibilidad que debe reunir el recurso de revisión interpuesto, previstos en los artículos 178 y 180 de la Ley de Transparencia y Acceso a la Información Pública del Estado de México y Municipios.</w:t>
      </w:r>
    </w:p>
    <w:p w14:paraId="594222E9"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El recurso de revisión fue interpuesto dentro del plazo de quince días hábiles, previsto en el artículo 178 de la Ley de Transparencia y Acceso a la Información Pública del Estado de México y Municipios, toda vez que el </w:t>
      </w:r>
      <w:r w:rsidRPr="00B97481">
        <w:rPr>
          <w:rFonts w:ascii="Palatino Linotype" w:eastAsia="Palatino Linotype" w:hAnsi="Palatino Linotype" w:cs="Palatino Linotype"/>
          <w:b/>
        </w:rPr>
        <w:t xml:space="preserve">Sujeto Obligado </w:t>
      </w:r>
      <w:r w:rsidRPr="00B97481">
        <w:rPr>
          <w:rFonts w:ascii="Palatino Linotype" w:eastAsia="Palatino Linotype" w:hAnsi="Palatino Linotype" w:cs="Palatino Linotype"/>
        </w:rPr>
        <w:t xml:space="preserve">remitió la respuesta a la solicitud de información el día </w:t>
      </w:r>
      <w:r w:rsidRPr="00B97481">
        <w:rPr>
          <w:rFonts w:ascii="Palatino Linotype" w:eastAsia="Palatino Linotype" w:hAnsi="Palatino Linotype" w:cs="Palatino Linotype"/>
          <w:b/>
        </w:rPr>
        <w:t xml:space="preserve">doce de diciembre de dos mil veinticuatro, </w:t>
      </w:r>
      <w:r w:rsidRPr="00B97481">
        <w:rPr>
          <w:rFonts w:ascii="Palatino Linotype" w:eastAsia="Palatino Linotype" w:hAnsi="Palatino Linotype" w:cs="Palatino Linotype"/>
        </w:rPr>
        <w:t xml:space="preserve">mientras que el recurso de revisión interpuesto por la parte </w:t>
      </w:r>
      <w:r w:rsidRPr="00B97481">
        <w:rPr>
          <w:rFonts w:ascii="Palatino Linotype" w:eastAsia="Palatino Linotype" w:hAnsi="Palatino Linotype" w:cs="Palatino Linotype"/>
          <w:b/>
        </w:rPr>
        <w:t>Recurrente</w:t>
      </w:r>
      <w:r w:rsidRPr="00B97481">
        <w:rPr>
          <w:rFonts w:ascii="Palatino Linotype" w:eastAsia="Palatino Linotype" w:hAnsi="Palatino Linotype" w:cs="Palatino Linotype"/>
        </w:rPr>
        <w:t xml:space="preserve">, se tuvo por presentado el día </w:t>
      </w:r>
      <w:r w:rsidRPr="00B97481">
        <w:rPr>
          <w:rFonts w:ascii="Palatino Linotype" w:eastAsia="Palatino Linotype" w:hAnsi="Palatino Linotype" w:cs="Palatino Linotype"/>
          <w:b/>
        </w:rPr>
        <w:t>trece de diciembre de dos mil veinticuatro</w:t>
      </w:r>
      <w:r w:rsidRPr="00B97481">
        <w:rPr>
          <w:rFonts w:ascii="Palatino Linotype" w:eastAsia="Palatino Linotype" w:hAnsi="Palatino Linotype" w:cs="Palatino Linotype"/>
        </w:rPr>
        <w:t>, esto es al siguiente día hábil posterior a aquel en el que tuvo conocimiento de la respuesta impugnada. En este sentido, se concluye que el presente recurso de revisión se encuentra dentro de los márgenes temporales previstos en las disposiciones legales referidas.</w:t>
      </w:r>
    </w:p>
    <w:p w14:paraId="59421A36" w14:textId="77777777" w:rsidR="008B51B7" w:rsidRPr="00B97481" w:rsidRDefault="00520A6B">
      <w:pPr>
        <w:spacing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lastRenderedPageBreak/>
        <w:t>Además, por cuanto hace a la procedibilidad del recurso de revisión, es de suma importancia señalar que la parte</w:t>
      </w:r>
      <w:r w:rsidRPr="00B97481">
        <w:rPr>
          <w:rFonts w:ascii="Palatino Linotype" w:eastAsia="Palatino Linotype" w:hAnsi="Palatino Linotype" w:cs="Palatino Linotype"/>
          <w:b/>
        </w:rPr>
        <w:t xml:space="preserve"> Recurrente</w:t>
      </w:r>
      <w:r w:rsidRPr="00B97481">
        <w:rPr>
          <w:rFonts w:ascii="Palatino Linotype" w:eastAsia="Palatino Linotype" w:hAnsi="Palatino Linotype" w:cs="Palatino Linotype"/>
        </w:rPr>
        <w:t xml:space="preserve">, no señaló </w:t>
      </w:r>
      <w:r w:rsidRPr="00B97481">
        <w:rPr>
          <w:rFonts w:ascii="Palatino Linotype" w:eastAsia="Palatino Linotype" w:hAnsi="Palatino Linotype" w:cs="Palatino Linotype"/>
          <w:b/>
        </w:rPr>
        <w:t>nombre completo</w:t>
      </w:r>
      <w:r w:rsidRPr="00B97481">
        <w:rPr>
          <w:rFonts w:ascii="Palatino Linotype" w:eastAsia="Palatino Linotype" w:hAnsi="Palatino Linotype" w:cs="Palatino Linotype"/>
        </w:rPr>
        <w:t>, como se advierte en el detalle de seguimiento del SAIMEX, no obstante no proporcionar un nombre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7F47417" w14:textId="77777777" w:rsidR="008B51B7" w:rsidRPr="00B97481" w:rsidRDefault="00520A6B">
      <w:pPr>
        <w:spacing w:before="120" w:after="120"/>
        <w:ind w:left="851"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w:t>
      </w:r>
      <w:r w:rsidRPr="00B97481">
        <w:rPr>
          <w:rFonts w:ascii="Palatino Linotype" w:eastAsia="Palatino Linotype" w:hAnsi="Palatino Linotype" w:cs="Palatino Linotype"/>
          <w:b/>
          <w:i/>
          <w:sz w:val="22"/>
          <w:szCs w:val="22"/>
        </w:rPr>
        <w:t>Las solicitudes anónimas</w:t>
      </w:r>
      <w:r w:rsidRPr="00B97481">
        <w:rPr>
          <w:rFonts w:ascii="Palatino Linotype" w:eastAsia="Palatino Linotype" w:hAnsi="Palatino Linotype" w:cs="Palatino Linotype"/>
          <w:i/>
          <w:sz w:val="22"/>
          <w:szCs w:val="22"/>
        </w:rPr>
        <w:t xml:space="preserve">, con nombre incompleto o </w:t>
      </w:r>
      <w:r w:rsidRPr="00B97481">
        <w:rPr>
          <w:rFonts w:ascii="Palatino Linotype" w:eastAsia="Palatino Linotype" w:hAnsi="Palatino Linotype" w:cs="Palatino Linotype"/>
          <w:b/>
          <w:i/>
          <w:sz w:val="22"/>
          <w:szCs w:val="22"/>
        </w:rPr>
        <w:t>seudónimo</w:t>
      </w:r>
      <w:r w:rsidRPr="00B97481">
        <w:rPr>
          <w:rFonts w:ascii="Palatino Linotype" w:eastAsia="Palatino Linotype" w:hAnsi="Palatino Linotype" w:cs="Palatino Linotype"/>
          <w:i/>
          <w:sz w:val="22"/>
          <w:szCs w:val="22"/>
        </w:rPr>
        <w:t xml:space="preserve"> serán procedentes para su trámite por parte del sujeto obligado ante quien se presente. No podrá requerirse información adicional con motivo del nombre proporcionado por el solicitante."</w:t>
      </w:r>
    </w:p>
    <w:p w14:paraId="58167477" w14:textId="77777777" w:rsidR="008B51B7" w:rsidRPr="00B97481" w:rsidRDefault="00520A6B">
      <w:pPr>
        <w:spacing w:before="240" w:after="240" w:line="360" w:lineRule="auto"/>
        <w:jc w:val="both"/>
        <w:rPr>
          <w:rFonts w:ascii="Palatino Linotype" w:eastAsia="Palatino Linotype" w:hAnsi="Palatino Linotype" w:cs="Palatino Linotype"/>
          <w:b/>
        </w:rPr>
      </w:pPr>
      <w:r w:rsidRPr="00B97481">
        <w:rPr>
          <w:rFonts w:ascii="Palatino Linotype" w:eastAsia="Palatino Linotype" w:hAnsi="Palatino Linotype" w:cs="Palatino Linotype"/>
        </w:rPr>
        <w:t>De acuerdo al análisis efectuado se advierte que resulta procedente la interposición del recurso y se concluye la acreditación plena de todos y cada uno de los elementos formales exigidos por el artículo 180 de la Ley de Transparencia y Acceso a la Información Pública del Estado de México y Municipios en vigor, en atención a que fue presentado mediante el formato visible en el</w:t>
      </w:r>
      <w:r w:rsidRPr="00B97481">
        <w:rPr>
          <w:rFonts w:ascii="Palatino Linotype" w:eastAsia="Palatino Linotype" w:hAnsi="Palatino Linotype" w:cs="Palatino Linotype"/>
          <w:b/>
        </w:rPr>
        <w:t xml:space="preserve"> SAIMEX.</w:t>
      </w:r>
    </w:p>
    <w:p w14:paraId="707ED876" w14:textId="77777777" w:rsidR="008B51B7" w:rsidRPr="00B97481" w:rsidRDefault="00520A6B">
      <w:pPr>
        <w:spacing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Asimismo, se precisa que no se actualiza alguna causal de procedencia establecido en el artículo 179 de la Ley de Transparencia y Acceso a la Información Pública del Estado de México y Municipios. </w:t>
      </w:r>
    </w:p>
    <w:p w14:paraId="4D4321E6"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b/>
        </w:rPr>
        <w:t xml:space="preserve">Tercero. Análisis de las causales de sobreseimiento del recurso de revisión. </w:t>
      </w:r>
      <w:r w:rsidRPr="00B97481">
        <w:rPr>
          <w:rFonts w:ascii="Palatino Linotype" w:eastAsia="Palatino Linotype" w:hAnsi="Palatino Linotype" w:cs="Palatino Linotype"/>
        </w:rPr>
        <w:t xml:space="preserve">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w:t>
      </w:r>
      <w:r w:rsidRPr="00B97481">
        <w:rPr>
          <w:rFonts w:ascii="Palatino Linotype" w:eastAsia="Palatino Linotype" w:hAnsi="Palatino Linotype" w:cs="Palatino Linotype"/>
        </w:rPr>
        <w:lastRenderedPageBreak/>
        <w:t>Transparencia y Acceso a la Información Pública del Estado de México y Municipios, en correlación con la seguridad jurídica que debe generar lo actuado ante este Organismo Garante.</w:t>
      </w:r>
    </w:p>
    <w:p w14:paraId="23785849"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 Estudio de causales de improcedencia que no son incompatibles con el derecho de acceso a la justicia, ya que éste no se coarta por regular causas de improcedencia y sobreseimiento con tales fines.</w:t>
      </w:r>
    </w:p>
    <w:p w14:paraId="5ADFB94A" w14:textId="77777777" w:rsidR="008B51B7" w:rsidRPr="00B97481" w:rsidRDefault="00520A6B">
      <w:pPr>
        <w:spacing w:before="240" w:after="240" w:line="360" w:lineRule="auto"/>
        <w:ind w:right="51"/>
        <w:jc w:val="both"/>
        <w:rPr>
          <w:rFonts w:ascii="Palatino Linotype" w:eastAsia="Palatino Linotype" w:hAnsi="Palatino Linotype" w:cs="Palatino Linotype"/>
        </w:rPr>
      </w:pPr>
      <w:r w:rsidRPr="00B97481">
        <w:rPr>
          <w:rFonts w:ascii="Palatino Linotype" w:eastAsia="Palatino Linotype" w:hAnsi="Palatino Linotype" w:cs="Palatino Linotype"/>
        </w:rPr>
        <w:t>De manera preliminar en el caso concreto conviene analizar si se actualiza alguna de las causales de sobreseimiento del recurso de revisión.</w:t>
      </w:r>
    </w:p>
    <w:p w14:paraId="53D444BE" w14:textId="77777777" w:rsidR="008B51B7" w:rsidRPr="00B97481" w:rsidRDefault="00520A6B">
      <w:pPr>
        <w:spacing w:before="240" w:after="240" w:line="360" w:lineRule="auto"/>
        <w:ind w:right="51"/>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Ahora bien, del análisis de la solicitud de información, motivo del recurso de revisión que ahora se resuelve, se advierte que la parte </w:t>
      </w:r>
      <w:r w:rsidRPr="00B97481">
        <w:rPr>
          <w:rFonts w:ascii="Palatino Linotype" w:eastAsia="Palatino Linotype" w:hAnsi="Palatino Linotype" w:cs="Palatino Linotype"/>
          <w:b/>
        </w:rPr>
        <w:t>Recurrente</w:t>
      </w:r>
      <w:r w:rsidRPr="00B97481">
        <w:rPr>
          <w:rFonts w:ascii="Palatino Linotype" w:eastAsia="Palatino Linotype" w:hAnsi="Palatino Linotype" w:cs="Palatino Linotype"/>
        </w:rPr>
        <w:t xml:space="preserve"> requirió al </w:t>
      </w:r>
      <w:r w:rsidRPr="00B97481">
        <w:rPr>
          <w:rFonts w:ascii="Palatino Linotype" w:eastAsia="Palatino Linotype" w:hAnsi="Palatino Linotype" w:cs="Palatino Linotype"/>
          <w:b/>
        </w:rPr>
        <w:t xml:space="preserve">Sujeto Obligado </w:t>
      </w:r>
      <w:r w:rsidRPr="00B97481">
        <w:rPr>
          <w:rFonts w:ascii="Palatino Linotype" w:eastAsia="Palatino Linotype" w:hAnsi="Palatino Linotype" w:cs="Palatino Linotype"/>
        </w:rPr>
        <w:t>le proporcione, información consistente en lo siguiente:</w:t>
      </w:r>
    </w:p>
    <w:p w14:paraId="115E0657" w14:textId="77777777" w:rsidR="008B51B7" w:rsidRPr="00B97481" w:rsidRDefault="00520A6B">
      <w:pPr>
        <w:spacing w:before="240" w:after="240" w:line="360" w:lineRule="auto"/>
        <w:ind w:left="426"/>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1. Documento firmado por parte del Presidente Municipal, </w:t>
      </w:r>
      <w:r w:rsidRPr="00B97481">
        <w:rPr>
          <w:rFonts w:ascii="Palatino Linotype" w:eastAsia="Palatino Linotype" w:hAnsi="Palatino Linotype" w:cs="Palatino Linotype"/>
          <w:b/>
        </w:rPr>
        <w:t>en el que se mencione que le asigno</w:t>
      </w:r>
      <w:r w:rsidRPr="00B97481">
        <w:rPr>
          <w:rFonts w:ascii="Palatino Linotype" w:eastAsia="Palatino Linotype" w:hAnsi="Palatino Linotype" w:cs="Palatino Linotype"/>
        </w:rPr>
        <w:t xml:space="preserve"> a la Titular de la Unidad de Transparencia las mismas oficinas que el Titular de la Unidad de Información, Planeación, Programación y Evaluación, UIPPE, para trabajar.</w:t>
      </w:r>
    </w:p>
    <w:p w14:paraId="5F25FEDC"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lastRenderedPageBreak/>
        <w:t xml:space="preserve">Asimismo, manifestó que en caso de no existir el documento solicitado </w:t>
      </w:r>
      <w:r w:rsidRPr="00B97481">
        <w:rPr>
          <w:rFonts w:ascii="Palatino Linotype" w:eastAsia="Palatino Linotype" w:hAnsi="Palatino Linotype" w:cs="Palatino Linotype"/>
          <w:i/>
        </w:rPr>
        <w:t xml:space="preserve">“…pido me informe el Presidente Municipal porque la </w:t>
      </w:r>
      <w:proofErr w:type="spellStart"/>
      <w:r w:rsidRPr="00B97481">
        <w:rPr>
          <w:rFonts w:ascii="Palatino Linotype" w:eastAsia="Palatino Linotype" w:hAnsi="Palatino Linotype" w:cs="Palatino Linotype"/>
          <w:i/>
        </w:rPr>
        <w:t>Titutar</w:t>
      </w:r>
      <w:proofErr w:type="spellEnd"/>
      <w:r w:rsidRPr="00B97481">
        <w:rPr>
          <w:rFonts w:ascii="Palatino Linotype" w:eastAsia="Palatino Linotype" w:hAnsi="Palatino Linotype" w:cs="Palatino Linotype"/>
          <w:i/>
        </w:rPr>
        <w:t xml:space="preserve"> de la Unidad de Transparencia Brenda Selene nunca se le encuentra en las oficinas que ocupa esta misma unidad y siempre está y la tienen que buscar en las oficinas de la Unidad de Información, Planeación, Programación y Evaluación.</w:t>
      </w:r>
      <w:r w:rsidRPr="00B97481">
        <w:rPr>
          <w:rFonts w:ascii="Palatino Linotype" w:eastAsia="Palatino Linotype" w:hAnsi="Palatino Linotype" w:cs="Palatino Linotype"/>
        </w:rPr>
        <w:t>” (sic)</w:t>
      </w:r>
    </w:p>
    <w:p w14:paraId="4FAF3428" w14:textId="77777777" w:rsidR="008B51B7" w:rsidRPr="00B97481" w:rsidRDefault="00520A6B">
      <w:pPr>
        <w:spacing w:before="240" w:after="240" w:line="360" w:lineRule="auto"/>
        <w:ind w:right="49"/>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En respuesta, el </w:t>
      </w:r>
      <w:r w:rsidRPr="00B97481">
        <w:rPr>
          <w:rFonts w:ascii="Palatino Linotype" w:eastAsia="Palatino Linotype" w:hAnsi="Palatino Linotype" w:cs="Palatino Linotype"/>
          <w:b/>
        </w:rPr>
        <w:t>Sujeto Obligado</w:t>
      </w:r>
      <w:r w:rsidRPr="00B97481">
        <w:rPr>
          <w:rFonts w:ascii="Palatino Linotype" w:eastAsia="Palatino Linotype" w:hAnsi="Palatino Linotype" w:cs="Palatino Linotype"/>
        </w:rPr>
        <w:t xml:space="preserve"> por conducto de la Titular de la Unidad de Transparencia derivado del análisis de la solicitud, hizo del conocimiento de la persona solicitante que esta no cumplía con las características para que el Sujeto Obligado estuviera en aptitud de identificar la atribución, tema, materia, asunto o documento que es de su interés, al no advertirse la intención de obtener información que obre dentro del Sujeto Obligado, sino que se trata de manifestaciones o aseveraciones subjetivas que no pueden colmarse con la entrega de un documento, y por tanto, atendibles mediante una solicitud de información, motivo por el cual sugirió replantear la solicitud o bien identificar las áreas que pueden dar atención a los requerimientos de acuerdo con sus facultades y atribuciones.</w:t>
      </w:r>
    </w:p>
    <w:p w14:paraId="0F70D480"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Derivado de ello, la persona solicitante, al no estar conforme con los términos de la respuesta, interpuso el recurso de revisión que nos ocupa, mediante el cual manifestó que solicitó información por parte de la presidencia municipal, sin embargo, su solicitud no fue canalizada, por lo que no hubo respuesta de la presidencia.</w:t>
      </w:r>
    </w:p>
    <w:p w14:paraId="7694F08A" w14:textId="77777777" w:rsidR="008B51B7" w:rsidRPr="00B97481" w:rsidRDefault="00520A6B">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Durante la etapa de manifestaciones el </w:t>
      </w:r>
      <w:r w:rsidRPr="00B97481">
        <w:rPr>
          <w:rFonts w:ascii="Palatino Linotype" w:eastAsia="Palatino Linotype" w:hAnsi="Palatino Linotype" w:cs="Palatino Linotype"/>
          <w:b/>
        </w:rPr>
        <w:t xml:space="preserve">Sujeto Obligado </w:t>
      </w:r>
      <w:r w:rsidRPr="00B97481">
        <w:rPr>
          <w:rFonts w:ascii="Palatino Linotype" w:eastAsia="Palatino Linotype" w:hAnsi="Palatino Linotype" w:cs="Palatino Linotype"/>
        </w:rPr>
        <w:t xml:space="preserve">ratificó en lo sustancial la respuesta emitida en primera instancia, mientras que a parte </w:t>
      </w:r>
      <w:r w:rsidRPr="00B97481">
        <w:rPr>
          <w:rFonts w:ascii="Palatino Linotype" w:eastAsia="Palatino Linotype" w:hAnsi="Palatino Linotype" w:cs="Palatino Linotype"/>
          <w:b/>
        </w:rPr>
        <w:t xml:space="preserve">Recurrente </w:t>
      </w:r>
      <w:r w:rsidRPr="00B97481">
        <w:rPr>
          <w:rFonts w:ascii="Palatino Linotype" w:eastAsia="Palatino Linotype" w:hAnsi="Palatino Linotype" w:cs="Palatino Linotype"/>
        </w:rPr>
        <w:t xml:space="preserve">fue omisa </w:t>
      </w:r>
      <w:r w:rsidRPr="00B97481">
        <w:rPr>
          <w:rFonts w:ascii="Palatino Linotype" w:eastAsia="Palatino Linotype" w:hAnsi="Palatino Linotype" w:cs="Palatino Linotype"/>
        </w:rPr>
        <w:lastRenderedPageBreak/>
        <w:t xml:space="preserve">en ejercer dicha prerrogativa en el plazo establecido para tal efecto, por lo tanto se tiene por </w:t>
      </w:r>
      <w:proofErr w:type="spellStart"/>
      <w:r w:rsidRPr="00B97481">
        <w:rPr>
          <w:rFonts w:ascii="Palatino Linotype" w:eastAsia="Palatino Linotype" w:hAnsi="Palatino Linotype" w:cs="Palatino Linotype"/>
        </w:rPr>
        <w:t>precluído</w:t>
      </w:r>
      <w:proofErr w:type="spellEnd"/>
      <w:r w:rsidRPr="00B97481">
        <w:rPr>
          <w:rFonts w:ascii="Palatino Linotype" w:eastAsia="Palatino Linotype" w:hAnsi="Palatino Linotype" w:cs="Palatino Linotype"/>
        </w:rPr>
        <w:t xml:space="preserve"> su derecho.</w:t>
      </w:r>
    </w:p>
    <w:p w14:paraId="4ADCC742" w14:textId="77777777" w:rsidR="008B51B7" w:rsidRPr="00B97481" w:rsidRDefault="00520A6B">
      <w:pPr>
        <w:spacing w:before="240" w:after="240" w:line="360" w:lineRule="auto"/>
        <w:jc w:val="both"/>
        <w:rPr>
          <w:rFonts w:ascii="Palatino Linotype" w:eastAsia="Palatino Linotype" w:hAnsi="Palatino Linotype" w:cs="Palatino Linotype"/>
          <w:b/>
        </w:rPr>
      </w:pPr>
      <w:r w:rsidRPr="00B97481">
        <w:rPr>
          <w:rFonts w:ascii="Palatino Linotype" w:eastAsia="Palatino Linotype" w:hAnsi="Palatino Linotype" w:cs="Palatino Linotype"/>
        </w:rPr>
        <w:t xml:space="preserve">Dicho esto, en principio es necesario mencionar que de la lectura realizada tanto a la solicitud de información, como al Recurso de Revisión, se advirtió que esta versó en cuestionamientos que NO pueden ser atendidos a través de la vía del Derecho de Acceso a la Información Pública, debido a que la persona solicitante pretende le sea entregado un documento mediante el cual el presidente municipal hubiera asignado a la persona titular de la Unidad de Transparencia las mismas oficinas que utiliza la persona titular de la Unidad de Información, Planeación, Programación y Evaluación, UIPPE, o en su defecto le informe el motivo por el cual nunca se encuentra a la titular de la Unidad de Transparencia en las oficinas que ocupa dicha unidad, y siempre está o se le tiene que buscar en las oficinas de la UIPPE, lo cual no es atendible mediante una solicitud de acceso a la información pública, ya que se tratan de un ejercicio del derecho a la libre expresión y en todo caso a un derecho de petición de la parte </w:t>
      </w:r>
      <w:r w:rsidRPr="00B97481">
        <w:rPr>
          <w:rFonts w:ascii="Palatino Linotype" w:eastAsia="Palatino Linotype" w:hAnsi="Palatino Linotype" w:cs="Palatino Linotype"/>
          <w:b/>
        </w:rPr>
        <w:t>Recurrente.</w:t>
      </w:r>
    </w:p>
    <w:p w14:paraId="12D502D3" w14:textId="77777777" w:rsidR="008B51B7" w:rsidRPr="00B97481" w:rsidRDefault="00520A6B">
      <w:pPr>
        <w:spacing w:before="240" w:after="240" w:line="360" w:lineRule="auto"/>
        <w:jc w:val="both"/>
        <w:rPr>
          <w:rFonts w:ascii="Palatino Linotype" w:eastAsia="Palatino Linotype" w:hAnsi="Palatino Linotype" w:cs="Palatino Linotype"/>
          <w:i/>
        </w:rPr>
      </w:pPr>
      <w:r w:rsidRPr="00B97481">
        <w:rPr>
          <w:rFonts w:ascii="Palatino Linotype" w:eastAsia="Palatino Linotype" w:hAnsi="Palatino Linotype" w:cs="Palatino Linotype"/>
        </w:rPr>
        <w:t xml:space="preserve">A efecto de sustentar lo anterior, es preciso mencionar que David Cienfuegos Salgado, concibe al derecho de petición como </w:t>
      </w:r>
      <w:r w:rsidRPr="00B97481">
        <w:rPr>
          <w:rFonts w:ascii="Palatino Linotype" w:eastAsia="Palatino Linotype" w:hAnsi="Palatino Linotype" w:cs="Palatino Linotype"/>
          <w:i/>
        </w:rPr>
        <w:t>“</w:t>
      </w:r>
      <w:r w:rsidRPr="00B97481">
        <w:rPr>
          <w:rFonts w:ascii="Palatino Linotype" w:eastAsia="Palatino Linotype" w:hAnsi="Palatino Linotype" w:cs="Palatino Linotype"/>
          <w:b/>
          <w:i/>
          <w:u w:val="single"/>
        </w:rPr>
        <w:t>el derecho de toda persona a ser escuchado por quienes ejercen el poder público</w:t>
      </w:r>
      <w:r w:rsidRPr="00B97481">
        <w:rPr>
          <w:rFonts w:ascii="Palatino Linotype" w:eastAsia="Palatino Linotype" w:hAnsi="Palatino Linotype" w:cs="Palatino Linotype"/>
          <w:i/>
        </w:rPr>
        <w:t>”</w:t>
      </w:r>
    </w:p>
    <w:p w14:paraId="10DA15F2" w14:textId="77777777" w:rsidR="008B51B7" w:rsidRPr="00B97481" w:rsidRDefault="00520A6B">
      <w:pPr>
        <w:spacing w:before="240" w:after="240" w:line="360" w:lineRule="auto"/>
        <w:jc w:val="both"/>
        <w:rPr>
          <w:rFonts w:ascii="Palatino Linotype" w:eastAsia="Palatino Linotype" w:hAnsi="Palatino Linotype" w:cs="Palatino Linotype"/>
          <w:i/>
        </w:rPr>
      </w:pPr>
      <w:r w:rsidRPr="00B97481">
        <w:rPr>
          <w:rFonts w:ascii="Palatino Linotype" w:eastAsia="Palatino Linotype" w:hAnsi="Palatino Linotype" w:cs="Palatino Linotype"/>
        </w:rPr>
        <w:t xml:space="preserve">De la misma manera, Miguel Carbonell en su libro </w:t>
      </w:r>
      <w:r w:rsidRPr="00B97481">
        <w:rPr>
          <w:rFonts w:ascii="Palatino Linotype" w:eastAsia="Palatino Linotype" w:hAnsi="Palatino Linotype" w:cs="Palatino Linotype"/>
          <w:i/>
        </w:rPr>
        <w:t xml:space="preserve">“Los derechos fundamentales” </w:t>
      </w:r>
      <w:r w:rsidRPr="00B97481">
        <w:rPr>
          <w:rFonts w:ascii="Palatino Linotype" w:eastAsia="Palatino Linotype" w:hAnsi="Palatino Linotype" w:cs="Palatino Linotype"/>
        </w:rPr>
        <w:t xml:space="preserve">refiere que el derecho de petición se ha entendido de dos distintitas maneras, a saber: como un derecho fundamental de participación política ya que permite a los particulares trasladar a las autoridades sus </w:t>
      </w:r>
      <w:r w:rsidRPr="00B97481">
        <w:rPr>
          <w:rFonts w:ascii="Palatino Linotype" w:eastAsia="Palatino Linotype" w:hAnsi="Palatino Linotype" w:cs="Palatino Linotype"/>
          <w:b/>
        </w:rPr>
        <w:t>inquietudes, quejas</w:t>
      </w:r>
      <w:r w:rsidRPr="00B97481">
        <w:rPr>
          <w:rFonts w:ascii="Palatino Linotype" w:eastAsia="Palatino Linotype" w:hAnsi="Palatino Linotype" w:cs="Palatino Linotype"/>
        </w:rPr>
        <w:t xml:space="preserve">, sugerencias y </w:t>
      </w:r>
      <w:r w:rsidRPr="00B97481">
        <w:rPr>
          <w:rFonts w:ascii="Palatino Linotype" w:eastAsia="Palatino Linotype" w:hAnsi="Palatino Linotype" w:cs="Palatino Linotype"/>
        </w:rPr>
        <w:lastRenderedPageBreak/>
        <w:t xml:space="preserve">requerimientos en cualquier materia o asunto; y como una </w:t>
      </w:r>
      <w:r w:rsidRPr="00B97481">
        <w:rPr>
          <w:rFonts w:ascii="Palatino Linotype" w:eastAsia="Palatino Linotype" w:hAnsi="Palatino Linotype" w:cs="Palatino Linotype"/>
          <w:b/>
        </w:rPr>
        <w:t>forma específica de la libertad de expresión</w:t>
      </w:r>
      <w:r w:rsidRPr="00B97481">
        <w:rPr>
          <w:rFonts w:ascii="Palatino Linotype" w:eastAsia="Palatino Linotype" w:hAnsi="Palatino Linotype" w:cs="Palatino Linotype"/>
        </w:rPr>
        <w:t xml:space="preserve">, en tanto que permite expresarse frente a las autoridades. </w:t>
      </w:r>
    </w:p>
    <w:p w14:paraId="1988AEB9" w14:textId="77777777" w:rsidR="008B51B7" w:rsidRPr="00B97481" w:rsidRDefault="00520A6B">
      <w:pPr>
        <w:spacing w:before="240" w:after="240" w:line="360" w:lineRule="auto"/>
        <w:jc w:val="both"/>
        <w:rPr>
          <w:rFonts w:ascii="Palatino Linotype" w:eastAsia="Palatino Linotype" w:hAnsi="Palatino Linotype" w:cs="Palatino Linotype"/>
          <w:vertAlign w:val="superscript"/>
        </w:rPr>
      </w:pPr>
      <w:r w:rsidRPr="00B97481">
        <w:rPr>
          <w:rFonts w:ascii="Palatino Linotype" w:eastAsia="Palatino Linotype" w:hAnsi="Palatino Linotype" w:cs="Palatino Linotype"/>
        </w:rPr>
        <w:t>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p>
    <w:p w14:paraId="2BA39F76"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Por otro lado, el autor anteriormente citado, indica que el </w:t>
      </w:r>
      <w:r w:rsidRPr="00B97481">
        <w:rPr>
          <w:rFonts w:ascii="Palatino Linotype" w:eastAsia="Palatino Linotype" w:hAnsi="Palatino Linotype" w:cs="Palatino Linotype"/>
          <w:b/>
        </w:rPr>
        <w:t>derecho de acceso a la información pública</w:t>
      </w:r>
      <w:r w:rsidRPr="00B97481">
        <w:rPr>
          <w:rFonts w:ascii="Palatino Linotype" w:eastAsia="Palatino Linotype" w:hAnsi="Palatino Linotype" w:cs="Palatino Linotype"/>
        </w:rPr>
        <w:t xml:space="preserve"> es el derecho de conocer la información de carácter público que se genera o está en posesión de los órganos del poder público o de los sujetos que utilizan o se benefician con recursos provenientes del Estado, es el derecho que tienen los ciudadanos para acceder a documentos y datos que obren en el poder del gobierno.</w:t>
      </w:r>
    </w:p>
    <w:p w14:paraId="3F294ACF"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Por su parte Ernesto Villanueva define al derecho de acceso a la información pública como la prerrogativa de la persona para acceder a datos, registros y todo tipo de informaciones en poder de las entidades públicas y empresas privadas que ejercen gasto público o cumplen funciones de autoridad, con las excepciones taxativas que establezca la ley en una sociedad democrática.</w:t>
      </w:r>
    </w:p>
    <w:p w14:paraId="2E27B1FB" w14:textId="77777777" w:rsidR="008B51B7" w:rsidRPr="00B97481" w:rsidRDefault="00520A6B">
      <w:pPr>
        <w:spacing w:before="240" w:after="240" w:line="360" w:lineRule="auto"/>
        <w:ind w:right="99"/>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De lo anterior se puede concluir que la distinción entre el </w:t>
      </w:r>
      <w:r w:rsidRPr="00B97481">
        <w:rPr>
          <w:rFonts w:ascii="Palatino Linotype" w:eastAsia="Palatino Linotype" w:hAnsi="Palatino Linotype" w:cs="Palatino Linotype"/>
          <w:b/>
          <w:u w:val="single"/>
        </w:rPr>
        <w:t>derecho de petición</w:t>
      </w:r>
      <w:r w:rsidRPr="00B97481">
        <w:rPr>
          <w:rFonts w:ascii="Palatino Linotype" w:eastAsia="Palatino Linotype" w:hAnsi="Palatino Linotype" w:cs="Palatino Linotype"/>
        </w:rPr>
        <w:t xml:space="preserve"> y el derecho de acceso a la información descansa, principalmente, en que </w:t>
      </w:r>
      <w:r w:rsidRPr="00B97481">
        <w:rPr>
          <w:rFonts w:ascii="Palatino Linotype" w:eastAsia="Palatino Linotype" w:hAnsi="Palatino Linotype" w:cs="Palatino Linotype"/>
          <w:b/>
        </w:rPr>
        <w:t>la pretensión del peticionario consiste generalmente en obligar a la autoridad responsable a que actúe en el sentido de contestar lo solicitado,</w:t>
      </w:r>
      <w:r w:rsidRPr="00B97481">
        <w:rPr>
          <w:rFonts w:ascii="Palatino Linotype" w:eastAsia="Palatino Linotype" w:hAnsi="Palatino Linotype" w:cs="Palatino Linotype"/>
        </w:rPr>
        <w:t xml:space="preserve"> mientras que en el </w:t>
      </w:r>
      <w:r w:rsidRPr="00B97481">
        <w:rPr>
          <w:rFonts w:ascii="Palatino Linotype" w:eastAsia="Palatino Linotype" w:hAnsi="Palatino Linotype" w:cs="Palatino Linotype"/>
          <w:b/>
          <w:u w:val="single"/>
        </w:rPr>
        <w:t>derecho de acceso a la información pública,</w:t>
      </w:r>
      <w:r w:rsidRPr="00B97481">
        <w:rPr>
          <w:rFonts w:ascii="Palatino Linotype" w:eastAsia="Palatino Linotype" w:hAnsi="Palatino Linotype" w:cs="Palatino Linotype"/>
        </w:rPr>
        <w:t xml:space="preserve"> </w:t>
      </w:r>
      <w:r w:rsidRPr="00B97481">
        <w:rPr>
          <w:rFonts w:ascii="Palatino Linotype" w:eastAsia="Palatino Linotype" w:hAnsi="Palatino Linotype" w:cs="Palatino Linotype"/>
          <w:b/>
        </w:rPr>
        <w:t xml:space="preserve">la pretensión radica en que se permita el acceso </w:t>
      </w:r>
      <w:r w:rsidRPr="00B97481">
        <w:rPr>
          <w:rFonts w:ascii="Palatino Linotype" w:eastAsia="Palatino Linotype" w:hAnsi="Palatino Linotype" w:cs="Palatino Linotype"/>
          <w:b/>
        </w:rPr>
        <w:lastRenderedPageBreak/>
        <w:t>a datos y todo tipo de documentación que tenga el carácter de información pública, que sea generada, administrada o se encuentre en posesión de los considerados Sujetos Obligados</w:t>
      </w:r>
      <w:r w:rsidRPr="00B97481">
        <w:rPr>
          <w:rFonts w:ascii="Palatino Linotype" w:eastAsia="Palatino Linotype" w:hAnsi="Palatino Linotype" w:cs="Palatino Linotype"/>
        </w:rPr>
        <w:t xml:space="preserve"> por la Ley de la Materia.</w:t>
      </w:r>
    </w:p>
    <w:p w14:paraId="43E3A84D" w14:textId="77777777" w:rsidR="008B51B7" w:rsidRPr="00B97481" w:rsidRDefault="00520A6B">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b/>
          <w:u w:val="single"/>
        </w:rPr>
      </w:pPr>
      <w:r w:rsidRPr="00B97481">
        <w:rPr>
          <w:rFonts w:ascii="Palatino Linotype" w:eastAsia="Palatino Linotype" w:hAnsi="Palatino Linotype" w:cs="Palatino Linotype"/>
        </w:rPr>
        <w:t>Con base a lo anterior, se insiste que de la lectura del requerimiento de información no se advierte que la persona solicitante pretenda el acceso a documentos previamente generados</w:t>
      </w:r>
      <w:r w:rsidRPr="00B97481">
        <w:rPr>
          <w:rFonts w:ascii="Palatino Linotype" w:eastAsia="Palatino Linotype" w:hAnsi="Palatino Linotype" w:cs="Palatino Linotype"/>
          <w:b/>
        </w:rPr>
        <w:t>, s</w:t>
      </w:r>
      <w:r w:rsidRPr="00B97481">
        <w:rPr>
          <w:rFonts w:ascii="Palatino Linotype" w:eastAsia="Palatino Linotype" w:hAnsi="Palatino Linotype" w:cs="Palatino Linotype"/>
        </w:rPr>
        <w:t xml:space="preserve">ino más bien, </w:t>
      </w:r>
      <w:r w:rsidRPr="00B97481">
        <w:rPr>
          <w:rFonts w:ascii="Palatino Linotype" w:eastAsia="Palatino Linotype" w:hAnsi="Palatino Linotype" w:cs="Palatino Linotype"/>
          <w:b/>
          <w:u w:val="single"/>
        </w:rPr>
        <w:t>requiere un pronunciamiento específico por parte del Sujeto Obligado, a través del presidente municipal, que dé respuesta a la inquietud que plantea,</w:t>
      </w:r>
      <w:r w:rsidRPr="00B97481">
        <w:t xml:space="preserve"> </w:t>
      </w:r>
      <w:r w:rsidRPr="00B97481">
        <w:rPr>
          <w:rFonts w:ascii="Palatino Linotype" w:eastAsia="Palatino Linotype" w:hAnsi="Palatino Linotype" w:cs="Palatino Linotype"/>
        </w:rPr>
        <w:t xml:space="preserve">toda vez que </w:t>
      </w:r>
      <w:r w:rsidRPr="00B97481">
        <w:rPr>
          <w:rFonts w:ascii="Palatino Linotype" w:eastAsia="Palatino Linotype" w:hAnsi="Palatino Linotype" w:cs="Palatino Linotype"/>
          <w:b/>
          <w:u w:val="single"/>
        </w:rPr>
        <w:t>lo que cuestiona es la asignación de las mismas oficinas a las personas titulares de la Unidad de Transparencia y la UIPPE, para la realización de sus funciones, o el motivo por el cual la persona titular de la Unidad de Transparencia siempre está en las oficinas que ocupa la persona titular de la UIPPE, y no en las oficinas de la Unidad de Transparencia.</w:t>
      </w:r>
    </w:p>
    <w:p w14:paraId="0FBC5BB5" w14:textId="77777777" w:rsidR="008B51B7" w:rsidRPr="00B97481" w:rsidRDefault="00520A6B">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B97481">
        <w:rPr>
          <w:rFonts w:ascii="Palatino Linotype" w:eastAsia="Palatino Linotype" w:hAnsi="Palatino Linotype" w:cs="Palatino Linotype"/>
        </w:rPr>
        <w:t>Sin embargo, es de señalar que de las atribuciones que se le confieren al presidente municipal a través de la Constitución Política de los Estados Unidos Mexicanos, la Constitución Política del estado Libre y Soberano de México, la Ley Orgánica Municipal del Estado de México, el Bando Municipal de Zinacantepec, el Reglamento Orgánico Municipal de Zinacantepec, el Manual General de Organización de la Administración Pública Municipal, y demás normatividad aplicable, no se advierte alguna mediante la cual se le faculte para la asignación de lugares de trabajo u oficinas.</w:t>
      </w:r>
    </w:p>
    <w:p w14:paraId="4816D80A" w14:textId="77777777" w:rsidR="008B51B7" w:rsidRPr="00B97481" w:rsidRDefault="00520A6B">
      <w:pPr>
        <w:pBdr>
          <w:top w:val="nil"/>
          <w:left w:val="nil"/>
          <w:bottom w:val="nil"/>
          <w:right w:val="nil"/>
          <w:between w:val="nil"/>
        </w:pBdr>
        <w:spacing w:before="240" w:after="240" w:line="360" w:lineRule="auto"/>
        <w:ind w:right="99"/>
        <w:jc w:val="both"/>
        <w:rPr>
          <w:rFonts w:ascii="Palatino Linotype" w:eastAsia="Palatino Linotype" w:hAnsi="Palatino Linotype" w:cs="Palatino Linotype"/>
        </w:rPr>
      </w:pPr>
      <w:r w:rsidRPr="00B97481">
        <w:rPr>
          <w:rFonts w:ascii="Palatino Linotype" w:eastAsia="Palatino Linotype" w:hAnsi="Palatino Linotype" w:cs="Palatino Linotype"/>
        </w:rPr>
        <w:lastRenderedPageBreak/>
        <w:t xml:space="preserve">En esta tesitura, es de suma importancia mencionar que de conformidad con el artículo 31, fracciones XV, XVI, y XXX de la Ley Orgánica Municipal del Estado de México, </w:t>
      </w:r>
      <w:r w:rsidRPr="00B97481">
        <w:rPr>
          <w:rFonts w:ascii="Palatino Linotype" w:eastAsia="Palatino Linotype" w:hAnsi="Palatino Linotype" w:cs="Palatino Linotype"/>
          <w:b/>
        </w:rPr>
        <w:t>es competencia del ayuntamiento, como cuerpo colegiado, acordar el destino o uso de los bienes inmuebles</w:t>
      </w:r>
      <w:r w:rsidRPr="00B97481">
        <w:rPr>
          <w:rFonts w:ascii="Palatino Linotype" w:eastAsia="Palatino Linotype" w:hAnsi="Palatino Linotype" w:cs="Palatino Linotype"/>
        </w:rPr>
        <w:t>, aprobar los movimientos registrados en el libro especial de bienes muebles e inmuebles, así como cambiar el destino de los bienes inmuebles, a saber:</w:t>
      </w:r>
    </w:p>
    <w:p w14:paraId="2F6AD4B2" w14:textId="77777777" w:rsidR="008B51B7" w:rsidRPr="00B97481" w:rsidRDefault="00520A6B">
      <w:pPr>
        <w:pBdr>
          <w:top w:val="nil"/>
          <w:left w:val="nil"/>
          <w:bottom w:val="nil"/>
          <w:right w:val="nil"/>
          <w:between w:val="nil"/>
        </w:pBdr>
        <w:spacing w:before="120" w:after="120"/>
        <w:ind w:left="851"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w:t>
      </w:r>
      <w:r w:rsidRPr="00B97481">
        <w:rPr>
          <w:rFonts w:ascii="Palatino Linotype" w:eastAsia="Palatino Linotype" w:hAnsi="Palatino Linotype" w:cs="Palatino Linotype"/>
          <w:b/>
          <w:i/>
          <w:sz w:val="22"/>
          <w:szCs w:val="22"/>
        </w:rPr>
        <w:t>Artículo 31.</w:t>
      </w:r>
      <w:r w:rsidRPr="00B97481">
        <w:rPr>
          <w:rFonts w:ascii="Palatino Linotype" w:eastAsia="Palatino Linotype" w:hAnsi="Palatino Linotype" w:cs="Palatino Linotype"/>
          <w:i/>
          <w:sz w:val="22"/>
          <w:szCs w:val="22"/>
        </w:rPr>
        <w:t xml:space="preserve">- </w:t>
      </w:r>
      <w:r w:rsidRPr="00B97481">
        <w:rPr>
          <w:rFonts w:ascii="Palatino Linotype" w:eastAsia="Palatino Linotype" w:hAnsi="Palatino Linotype" w:cs="Palatino Linotype"/>
          <w:b/>
          <w:i/>
          <w:sz w:val="22"/>
          <w:szCs w:val="22"/>
          <w:u w:val="single"/>
        </w:rPr>
        <w:t>Son atribuciones de los ayuntamientos</w:t>
      </w:r>
      <w:r w:rsidRPr="00B97481">
        <w:rPr>
          <w:rFonts w:ascii="Palatino Linotype" w:eastAsia="Palatino Linotype" w:hAnsi="Palatino Linotype" w:cs="Palatino Linotype"/>
          <w:i/>
          <w:sz w:val="22"/>
          <w:szCs w:val="22"/>
        </w:rPr>
        <w:t xml:space="preserve">: </w:t>
      </w:r>
    </w:p>
    <w:p w14:paraId="306E7B12" w14:textId="77777777" w:rsidR="008B51B7" w:rsidRPr="00B97481" w:rsidRDefault="00520A6B">
      <w:pPr>
        <w:spacing w:before="120" w:after="120"/>
        <w:ind w:left="1134"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w:t>
      </w:r>
    </w:p>
    <w:p w14:paraId="1974232E" w14:textId="77777777" w:rsidR="008B51B7" w:rsidRPr="00B97481" w:rsidRDefault="00520A6B">
      <w:pPr>
        <w:spacing w:before="120" w:after="120"/>
        <w:ind w:left="1134"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b/>
          <w:i/>
          <w:sz w:val="22"/>
          <w:szCs w:val="22"/>
        </w:rPr>
        <w:t>XV</w:t>
      </w:r>
      <w:r w:rsidRPr="00B97481">
        <w:rPr>
          <w:rFonts w:ascii="Palatino Linotype" w:eastAsia="Palatino Linotype" w:hAnsi="Palatino Linotype" w:cs="Palatino Linotype"/>
          <w:i/>
          <w:sz w:val="22"/>
          <w:szCs w:val="22"/>
        </w:rPr>
        <w:t xml:space="preserve">. </w:t>
      </w:r>
      <w:r w:rsidRPr="00B97481">
        <w:rPr>
          <w:rFonts w:ascii="Palatino Linotype" w:eastAsia="Palatino Linotype" w:hAnsi="Palatino Linotype" w:cs="Palatino Linotype"/>
          <w:b/>
          <w:i/>
          <w:sz w:val="22"/>
          <w:szCs w:val="22"/>
        </w:rPr>
        <w:t>Aprobar en sesión de cabildo los movimientos registrados en el libro especial de bienes</w:t>
      </w:r>
      <w:r w:rsidRPr="00B97481">
        <w:rPr>
          <w:rFonts w:ascii="Palatino Linotype" w:eastAsia="Palatino Linotype" w:hAnsi="Palatino Linotype" w:cs="Palatino Linotype"/>
          <w:i/>
          <w:sz w:val="22"/>
          <w:szCs w:val="22"/>
        </w:rPr>
        <w:t xml:space="preserve"> muebles e </w:t>
      </w:r>
      <w:r w:rsidRPr="00B97481">
        <w:rPr>
          <w:rFonts w:ascii="Palatino Linotype" w:eastAsia="Palatino Linotype" w:hAnsi="Palatino Linotype" w:cs="Palatino Linotype"/>
          <w:b/>
          <w:i/>
          <w:sz w:val="22"/>
          <w:szCs w:val="22"/>
        </w:rPr>
        <w:t>inmuebles</w:t>
      </w:r>
      <w:r w:rsidRPr="00B97481">
        <w:rPr>
          <w:rFonts w:ascii="Palatino Linotype" w:eastAsia="Palatino Linotype" w:hAnsi="Palatino Linotype" w:cs="Palatino Linotype"/>
          <w:i/>
          <w:sz w:val="22"/>
          <w:szCs w:val="22"/>
        </w:rPr>
        <w:t>;</w:t>
      </w:r>
    </w:p>
    <w:p w14:paraId="177653AF" w14:textId="77777777" w:rsidR="008B51B7" w:rsidRPr="00B97481" w:rsidRDefault="00520A6B">
      <w:pPr>
        <w:spacing w:before="120" w:after="120"/>
        <w:ind w:left="1134"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b/>
          <w:i/>
          <w:sz w:val="22"/>
          <w:szCs w:val="22"/>
          <w:u w:val="single"/>
        </w:rPr>
        <w:t>XVI. Acordar el destino o uso de los bienes inmuebles municipales</w:t>
      </w:r>
      <w:r w:rsidRPr="00B97481">
        <w:rPr>
          <w:rFonts w:ascii="Palatino Linotype" w:eastAsia="Palatino Linotype" w:hAnsi="Palatino Linotype" w:cs="Palatino Linotype"/>
          <w:i/>
          <w:sz w:val="22"/>
          <w:szCs w:val="22"/>
        </w:rPr>
        <w:t>;</w:t>
      </w:r>
    </w:p>
    <w:p w14:paraId="31752E5A" w14:textId="77777777" w:rsidR="008B51B7" w:rsidRPr="00B97481" w:rsidRDefault="00520A6B">
      <w:pPr>
        <w:spacing w:before="120" w:after="120"/>
        <w:ind w:left="1134" w:right="902"/>
        <w:jc w:val="both"/>
        <w:rPr>
          <w:rFonts w:ascii="Palatino Linotype" w:eastAsia="Palatino Linotype" w:hAnsi="Palatino Linotype" w:cs="Palatino Linotype"/>
          <w:b/>
          <w:i/>
          <w:sz w:val="22"/>
          <w:szCs w:val="22"/>
        </w:rPr>
      </w:pPr>
      <w:r w:rsidRPr="00B97481">
        <w:rPr>
          <w:rFonts w:ascii="Palatino Linotype" w:eastAsia="Palatino Linotype" w:hAnsi="Palatino Linotype" w:cs="Palatino Linotype"/>
          <w:b/>
          <w:i/>
          <w:sz w:val="22"/>
          <w:szCs w:val="22"/>
        </w:rPr>
        <w:t>...</w:t>
      </w:r>
    </w:p>
    <w:p w14:paraId="777FFB00" w14:textId="77777777" w:rsidR="008B51B7" w:rsidRPr="00B97481" w:rsidRDefault="00520A6B">
      <w:pPr>
        <w:spacing w:before="120" w:after="120"/>
        <w:ind w:left="1134"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b/>
          <w:i/>
          <w:sz w:val="22"/>
          <w:szCs w:val="22"/>
        </w:rPr>
        <w:t>XXX</w:t>
      </w:r>
      <w:r w:rsidRPr="00B97481">
        <w:rPr>
          <w:rFonts w:ascii="Palatino Linotype" w:eastAsia="Palatino Linotype" w:hAnsi="Palatino Linotype" w:cs="Palatino Linotype"/>
          <w:i/>
          <w:sz w:val="22"/>
          <w:szCs w:val="22"/>
        </w:rPr>
        <w:t xml:space="preserve">. Desafectar del servicio público los bienes municipales o </w:t>
      </w:r>
      <w:r w:rsidRPr="00B97481">
        <w:rPr>
          <w:rFonts w:ascii="Palatino Linotype" w:eastAsia="Palatino Linotype" w:hAnsi="Palatino Linotype" w:cs="Palatino Linotype"/>
          <w:b/>
          <w:i/>
          <w:sz w:val="22"/>
          <w:szCs w:val="22"/>
        </w:rPr>
        <w:t>cambiar el destino de los bienes inmuebles dedicados a un servicio público</w:t>
      </w:r>
      <w:r w:rsidRPr="00B97481">
        <w:rPr>
          <w:rFonts w:ascii="Palatino Linotype" w:eastAsia="Palatino Linotype" w:hAnsi="Palatino Linotype" w:cs="Palatino Linotype"/>
          <w:i/>
          <w:sz w:val="22"/>
          <w:szCs w:val="22"/>
        </w:rPr>
        <w:t xml:space="preserve"> o de uso común;”</w:t>
      </w:r>
    </w:p>
    <w:p w14:paraId="03CD13B5" w14:textId="77777777" w:rsidR="008B51B7" w:rsidRPr="00B97481" w:rsidRDefault="00520A6B">
      <w:pPr>
        <w:spacing w:before="240" w:after="240" w:line="360" w:lineRule="auto"/>
        <w:ind w:right="99"/>
        <w:jc w:val="both"/>
        <w:rPr>
          <w:rFonts w:ascii="Palatino Linotype" w:eastAsia="Palatino Linotype" w:hAnsi="Palatino Linotype" w:cs="Palatino Linotype"/>
        </w:rPr>
      </w:pPr>
      <w:r w:rsidRPr="00B97481">
        <w:rPr>
          <w:rFonts w:ascii="Palatino Linotype" w:eastAsia="Palatino Linotype" w:hAnsi="Palatino Linotype" w:cs="Palatino Linotype"/>
        </w:rPr>
        <w:t>Ante ello, de conformidad con lo que establece el artículo 12 de la Ley de Transparencia y Acceso a la Información Pública del Estado de México y Municipios, los sujetos obligados no se encuentran constreñidos a entregar información que no obra en sus archivos o generarla conforme al interés de los solicitantes, asimismo, el Criterio de Interpretación, con clave de control número SO/003/2017, emitido por el Instituto Nacional de Transparencia, Acceso a la Información y Protección de Datos Personales, que por rubro y texto, dispone lo siguiente:</w:t>
      </w:r>
      <w:r w:rsidRPr="00B97481">
        <w:rPr>
          <w:rFonts w:ascii="Palatino Linotype" w:eastAsia="Palatino Linotype" w:hAnsi="Palatino Linotype" w:cs="Palatino Linotype"/>
          <w:b/>
        </w:rPr>
        <w:t xml:space="preserve"> </w:t>
      </w:r>
    </w:p>
    <w:p w14:paraId="6D79BF06" w14:textId="77777777" w:rsidR="008B51B7" w:rsidRPr="00B97481" w:rsidRDefault="00520A6B">
      <w:pPr>
        <w:spacing w:before="120" w:after="120"/>
        <w:ind w:left="1134"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w:t>
      </w:r>
      <w:r w:rsidRPr="00B97481">
        <w:rPr>
          <w:rFonts w:ascii="Palatino Linotype" w:eastAsia="Palatino Linotype" w:hAnsi="Palatino Linotype" w:cs="Palatino Linotype"/>
          <w:b/>
          <w:i/>
          <w:sz w:val="22"/>
          <w:szCs w:val="22"/>
        </w:rPr>
        <w:t>No existe obligación de elaborar documentos ad hoc para atender las solicitudes de acceso a la información.</w:t>
      </w:r>
      <w:r w:rsidRPr="00B97481">
        <w:rPr>
          <w:rFonts w:ascii="Palatino Linotype" w:eastAsia="Palatino Linotype" w:hAnsi="Palatino Linotype" w:cs="Palatino Linotype"/>
          <w:i/>
          <w:sz w:val="22"/>
          <w:szCs w:val="22"/>
        </w:rPr>
        <w:t xml:space="preserve"> Los artículos 129 de la Ley General </w:t>
      </w:r>
      <w:r w:rsidRPr="00B97481">
        <w:rPr>
          <w:rFonts w:ascii="Palatino Linotype" w:eastAsia="Palatino Linotype" w:hAnsi="Palatino Linotype" w:cs="Palatino Linotype"/>
          <w:i/>
          <w:sz w:val="22"/>
          <w:szCs w:val="22"/>
        </w:rPr>
        <w:lastRenderedPageBreak/>
        <w:t>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(Sic)</w:t>
      </w:r>
    </w:p>
    <w:p w14:paraId="72A232D3"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En ese sentido, se tiene que, la solicitud de información y lo vertido en el medio de impugnación, se relacionan con el ejercicio del derecho de petición, pues se tratan de expresiones y manifestaciones personales y particulares, de las cuales no se advierte  que se requiera acceder a un documento en posesión de la autoridad, situación que, no es factible atenderse vía acceso a la información pública. </w:t>
      </w:r>
    </w:p>
    <w:p w14:paraId="5384CD59" w14:textId="77777777" w:rsidR="008B51B7" w:rsidRPr="00B97481" w:rsidRDefault="00520A6B">
      <w:pPr>
        <w:spacing w:line="360" w:lineRule="auto"/>
        <w:ind w:right="96"/>
        <w:jc w:val="both"/>
        <w:rPr>
          <w:rFonts w:ascii="Palatino Linotype" w:eastAsia="Palatino Linotype" w:hAnsi="Palatino Linotype" w:cs="Palatino Linotype"/>
        </w:rPr>
      </w:pPr>
      <w:r w:rsidRPr="00B97481">
        <w:rPr>
          <w:rFonts w:ascii="Palatino Linotype" w:eastAsia="Palatino Linotype" w:hAnsi="Palatino Linotype" w:cs="Palatino Linotype"/>
        </w:rPr>
        <w:t>Por ello,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las causales de improcedencia contempladas en las fracciones VI del artículo 191 del ordenamiento legal en cita, los que se transcriben a continuación, para un mejor entendimiento:</w:t>
      </w:r>
    </w:p>
    <w:p w14:paraId="28C6C38C" w14:textId="77777777" w:rsidR="008B51B7" w:rsidRPr="00B97481" w:rsidRDefault="00520A6B">
      <w:pPr>
        <w:tabs>
          <w:tab w:val="left" w:pos="7938"/>
        </w:tabs>
        <w:spacing w:before="120" w:after="120"/>
        <w:ind w:left="851"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w:t>
      </w:r>
      <w:r w:rsidRPr="00B97481">
        <w:rPr>
          <w:rFonts w:ascii="Palatino Linotype" w:eastAsia="Palatino Linotype" w:hAnsi="Palatino Linotype" w:cs="Palatino Linotype"/>
          <w:b/>
          <w:i/>
          <w:sz w:val="22"/>
          <w:szCs w:val="22"/>
        </w:rPr>
        <w:t>Artículo 191</w:t>
      </w:r>
      <w:r w:rsidRPr="00B97481">
        <w:rPr>
          <w:rFonts w:ascii="Palatino Linotype" w:eastAsia="Palatino Linotype" w:hAnsi="Palatino Linotype" w:cs="Palatino Linotype"/>
          <w:i/>
          <w:sz w:val="22"/>
          <w:szCs w:val="22"/>
        </w:rPr>
        <w:t xml:space="preserve">. </w:t>
      </w:r>
      <w:r w:rsidRPr="00B97481">
        <w:rPr>
          <w:rFonts w:ascii="Palatino Linotype" w:eastAsia="Palatino Linotype" w:hAnsi="Palatino Linotype" w:cs="Palatino Linotype"/>
          <w:b/>
          <w:i/>
          <w:sz w:val="22"/>
          <w:szCs w:val="22"/>
        </w:rPr>
        <w:t>El recurso</w:t>
      </w:r>
      <w:r w:rsidRPr="00B97481">
        <w:rPr>
          <w:rFonts w:ascii="Palatino Linotype" w:eastAsia="Palatino Linotype" w:hAnsi="Palatino Linotype" w:cs="Palatino Linotype"/>
          <w:i/>
          <w:sz w:val="22"/>
          <w:szCs w:val="22"/>
        </w:rPr>
        <w:t xml:space="preserve"> </w:t>
      </w:r>
      <w:r w:rsidRPr="00B97481">
        <w:rPr>
          <w:rFonts w:ascii="Palatino Linotype" w:eastAsia="Palatino Linotype" w:hAnsi="Palatino Linotype" w:cs="Palatino Linotype"/>
          <w:b/>
          <w:i/>
          <w:sz w:val="22"/>
          <w:szCs w:val="22"/>
        </w:rPr>
        <w:t xml:space="preserve">será </w:t>
      </w:r>
      <w:r w:rsidRPr="00B97481">
        <w:rPr>
          <w:rFonts w:ascii="Palatino Linotype" w:eastAsia="Palatino Linotype" w:hAnsi="Palatino Linotype" w:cs="Palatino Linotype"/>
          <w:i/>
          <w:sz w:val="22"/>
          <w:szCs w:val="22"/>
        </w:rPr>
        <w:t xml:space="preserve">desechado por </w:t>
      </w:r>
      <w:r w:rsidRPr="00B97481">
        <w:rPr>
          <w:rFonts w:ascii="Palatino Linotype" w:eastAsia="Palatino Linotype" w:hAnsi="Palatino Linotype" w:cs="Palatino Linotype"/>
          <w:b/>
          <w:i/>
          <w:sz w:val="22"/>
          <w:szCs w:val="22"/>
        </w:rPr>
        <w:t>improcedente cuando</w:t>
      </w:r>
      <w:r w:rsidRPr="00B97481">
        <w:rPr>
          <w:rFonts w:ascii="Palatino Linotype" w:eastAsia="Palatino Linotype" w:hAnsi="Palatino Linotype" w:cs="Palatino Linotype"/>
          <w:i/>
          <w:sz w:val="22"/>
          <w:szCs w:val="22"/>
        </w:rPr>
        <w:t>:</w:t>
      </w:r>
    </w:p>
    <w:p w14:paraId="6C48A122" w14:textId="77777777" w:rsidR="008B51B7" w:rsidRPr="00B97481" w:rsidRDefault="00520A6B">
      <w:pPr>
        <w:tabs>
          <w:tab w:val="left" w:pos="7938"/>
        </w:tabs>
        <w:spacing w:before="120" w:after="120"/>
        <w:ind w:left="1134"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w:t>
      </w:r>
    </w:p>
    <w:p w14:paraId="395A75EF" w14:textId="77777777" w:rsidR="008B51B7" w:rsidRPr="00B97481" w:rsidRDefault="00520A6B">
      <w:pPr>
        <w:tabs>
          <w:tab w:val="left" w:pos="7938"/>
        </w:tabs>
        <w:spacing w:before="120" w:after="120"/>
        <w:ind w:left="1134" w:right="902"/>
        <w:jc w:val="both"/>
        <w:rPr>
          <w:rFonts w:ascii="Palatino Linotype" w:eastAsia="Palatino Linotype" w:hAnsi="Palatino Linotype" w:cs="Palatino Linotype"/>
          <w:b/>
          <w:i/>
          <w:sz w:val="22"/>
          <w:szCs w:val="22"/>
        </w:rPr>
      </w:pPr>
      <w:r w:rsidRPr="00B97481">
        <w:rPr>
          <w:rFonts w:ascii="Palatino Linotype" w:eastAsia="Palatino Linotype" w:hAnsi="Palatino Linotype" w:cs="Palatino Linotype"/>
          <w:b/>
          <w:i/>
          <w:sz w:val="22"/>
          <w:szCs w:val="22"/>
        </w:rPr>
        <w:t>VI. Se trate de una consulta</w:t>
      </w:r>
      <w:r w:rsidRPr="00B97481">
        <w:rPr>
          <w:rFonts w:ascii="Palatino Linotype" w:eastAsia="Palatino Linotype" w:hAnsi="Palatino Linotype" w:cs="Palatino Linotype"/>
          <w:i/>
          <w:sz w:val="22"/>
          <w:szCs w:val="22"/>
        </w:rPr>
        <w:t>, o trámite en específico</w:t>
      </w:r>
      <w:r w:rsidRPr="00B97481">
        <w:rPr>
          <w:rFonts w:ascii="Palatino Linotype" w:eastAsia="Palatino Linotype" w:hAnsi="Palatino Linotype" w:cs="Palatino Linotype"/>
          <w:b/>
          <w:i/>
          <w:sz w:val="22"/>
          <w:szCs w:val="22"/>
        </w:rPr>
        <w:t xml:space="preserve">; </w:t>
      </w:r>
    </w:p>
    <w:p w14:paraId="5E6B30E8" w14:textId="77777777" w:rsidR="008B51B7" w:rsidRPr="00B97481" w:rsidRDefault="00520A6B">
      <w:pPr>
        <w:tabs>
          <w:tab w:val="left" w:pos="7938"/>
        </w:tabs>
        <w:spacing w:before="120" w:after="120"/>
        <w:ind w:left="851" w:right="902"/>
        <w:jc w:val="both"/>
        <w:rPr>
          <w:rFonts w:ascii="Palatino Linotype" w:eastAsia="Palatino Linotype" w:hAnsi="Palatino Linotype" w:cs="Palatino Linotype"/>
          <w:b/>
          <w:i/>
          <w:sz w:val="22"/>
          <w:szCs w:val="22"/>
        </w:rPr>
      </w:pPr>
      <w:r w:rsidRPr="00B97481">
        <w:rPr>
          <w:rFonts w:ascii="Palatino Linotype" w:eastAsia="Palatino Linotype" w:hAnsi="Palatino Linotype" w:cs="Palatino Linotype"/>
          <w:b/>
          <w:i/>
          <w:sz w:val="22"/>
          <w:szCs w:val="22"/>
        </w:rPr>
        <w:t>…</w:t>
      </w:r>
    </w:p>
    <w:p w14:paraId="51402160" w14:textId="77777777" w:rsidR="008B51B7" w:rsidRPr="00B97481" w:rsidRDefault="00520A6B">
      <w:pPr>
        <w:tabs>
          <w:tab w:val="left" w:pos="7938"/>
        </w:tabs>
        <w:spacing w:before="120" w:after="120"/>
        <w:ind w:left="851"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b/>
          <w:i/>
          <w:sz w:val="22"/>
          <w:szCs w:val="22"/>
        </w:rPr>
        <w:lastRenderedPageBreak/>
        <w:t>Artículo 192.</w:t>
      </w:r>
      <w:r w:rsidRPr="00B97481">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244D4BB3" w14:textId="77777777" w:rsidR="008B51B7" w:rsidRPr="00B97481" w:rsidRDefault="00520A6B">
      <w:pPr>
        <w:tabs>
          <w:tab w:val="left" w:pos="7938"/>
        </w:tabs>
        <w:spacing w:before="120" w:after="120"/>
        <w:ind w:left="1134"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w:t>
      </w:r>
    </w:p>
    <w:p w14:paraId="445DD41D" w14:textId="77777777" w:rsidR="008B51B7" w:rsidRPr="00B97481" w:rsidRDefault="00520A6B">
      <w:pPr>
        <w:tabs>
          <w:tab w:val="left" w:pos="7938"/>
        </w:tabs>
        <w:spacing w:before="120" w:after="120"/>
        <w:ind w:left="1134"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b/>
          <w:i/>
          <w:sz w:val="22"/>
          <w:szCs w:val="22"/>
        </w:rPr>
        <w:t>IV</w:t>
      </w:r>
      <w:r w:rsidRPr="00B97481">
        <w:rPr>
          <w:rFonts w:ascii="Palatino Linotype" w:eastAsia="Palatino Linotype" w:hAnsi="Palatino Linotype" w:cs="Palatino Linotype"/>
          <w:i/>
          <w:sz w:val="22"/>
          <w:szCs w:val="22"/>
        </w:rPr>
        <w:t xml:space="preserve">. Admitido el recurso de revisión, </w:t>
      </w:r>
      <w:r w:rsidRPr="00B97481">
        <w:rPr>
          <w:rFonts w:ascii="Palatino Linotype" w:eastAsia="Palatino Linotype" w:hAnsi="Palatino Linotype" w:cs="Palatino Linotype"/>
          <w:b/>
          <w:i/>
          <w:sz w:val="22"/>
          <w:szCs w:val="22"/>
        </w:rPr>
        <w:t>aparezca alguna causal de improcedencia</w:t>
      </w:r>
      <w:r w:rsidRPr="00B97481">
        <w:rPr>
          <w:rFonts w:ascii="Palatino Linotype" w:eastAsia="Palatino Linotype" w:hAnsi="Palatino Linotype" w:cs="Palatino Linotype"/>
          <w:i/>
          <w:sz w:val="22"/>
          <w:szCs w:val="22"/>
        </w:rPr>
        <w:t xml:space="preserve"> en los términos de la presente Ley. “</w:t>
      </w:r>
    </w:p>
    <w:p w14:paraId="5E9F3E51"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El </w:t>
      </w:r>
      <w:r w:rsidRPr="00B97481">
        <w:rPr>
          <w:rFonts w:ascii="Palatino Linotype" w:eastAsia="Palatino Linotype" w:hAnsi="Palatino Linotype" w:cs="Palatino Linotype"/>
          <w:b/>
          <w:i/>
        </w:rPr>
        <w:t>sobreseimiento</w:t>
      </w:r>
      <w:r w:rsidRPr="00B97481">
        <w:rPr>
          <w:rFonts w:ascii="Palatino Linotype" w:eastAsia="Palatino Linotype" w:hAnsi="Palatino Linotype" w:cs="Palatino Linotype"/>
          <w:b/>
        </w:rPr>
        <w:t xml:space="preserve"> </w:t>
      </w:r>
      <w:r w:rsidRPr="00B97481">
        <w:rPr>
          <w:rFonts w:ascii="Palatino Linotype" w:eastAsia="Palatino Linotype" w:hAnsi="Palatino Linotype" w:cs="Palatino Linotype"/>
        </w:rPr>
        <w:t>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1E2684D7" w14:textId="77777777" w:rsidR="008B51B7" w:rsidRPr="00B97481" w:rsidRDefault="00520A6B">
      <w:pPr>
        <w:spacing w:before="120" w:after="120"/>
        <w:ind w:left="851" w:right="902"/>
        <w:jc w:val="both"/>
        <w:rPr>
          <w:rFonts w:ascii="Palatino Linotype" w:eastAsia="Palatino Linotype" w:hAnsi="Palatino Linotype" w:cs="Palatino Linotype"/>
          <w:b/>
          <w:i/>
          <w:sz w:val="22"/>
          <w:szCs w:val="22"/>
        </w:rPr>
      </w:pPr>
      <w:r w:rsidRPr="00B97481">
        <w:rPr>
          <w:rFonts w:ascii="Palatino Linotype" w:eastAsia="Palatino Linotype" w:hAnsi="Palatino Linotype" w:cs="Palatino Linotype"/>
          <w:i/>
          <w:sz w:val="22"/>
          <w:szCs w:val="22"/>
        </w:rPr>
        <w:t>“</w:t>
      </w:r>
      <w:r w:rsidRPr="00B97481">
        <w:rPr>
          <w:rFonts w:ascii="Palatino Linotype" w:eastAsia="Palatino Linotype" w:hAnsi="Palatino Linotype" w:cs="Palatino Linotype"/>
          <w:b/>
          <w:i/>
          <w:sz w:val="22"/>
          <w:szCs w:val="22"/>
        </w:rPr>
        <w:t xml:space="preserve">SOBRESEIMIENTO, NO PERMITE ENTRAR AL ESTUDIO DE LAS CUESTIONES DE FONDO. </w:t>
      </w:r>
      <w:r w:rsidRPr="00B97481">
        <w:rPr>
          <w:rFonts w:ascii="Palatino Linotype" w:eastAsia="Palatino Linotype" w:hAnsi="Palatino Linotype" w:cs="Palatino Linotype"/>
          <w:i/>
          <w:sz w:val="22"/>
          <w:szCs w:val="22"/>
        </w:rPr>
        <w:t xml:space="preserve">No causa agravio la sentencia que no se ocupa de los razonamientos tendientes a demostrar la inconstitucionalidad de los actos reclamados de las autoridades responsables, que constituyen el problema de fondo, si se decreta el sobreseimiento del juicio.” </w:t>
      </w:r>
    </w:p>
    <w:p w14:paraId="46C2F6A9" w14:textId="77777777" w:rsidR="008B51B7" w:rsidRPr="00B97481" w:rsidRDefault="00520A6B">
      <w:pPr>
        <w:spacing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407D80F8" w14:textId="77777777" w:rsidR="008B51B7" w:rsidRPr="00B97481" w:rsidRDefault="00520A6B">
      <w:pPr>
        <w:spacing w:before="120" w:after="120"/>
        <w:ind w:left="851" w:right="900"/>
        <w:jc w:val="both"/>
        <w:rPr>
          <w:rFonts w:ascii="Palatino Linotype" w:eastAsia="Palatino Linotype" w:hAnsi="Palatino Linotype" w:cs="Palatino Linotype"/>
          <w:b/>
          <w:i/>
          <w:sz w:val="22"/>
          <w:szCs w:val="22"/>
        </w:rPr>
      </w:pPr>
      <w:r w:rsidRPr="00B97481">
        <w:rPr>
          <w:rFonts w:ascii="Palatino Linotype" w:eastAsia="Palatino Linotype" w:hAnsi="Palatino Linotype" w:cs="Palatino Linotype"/>
          <w:b/>
          <w:i/>
          <w:sz w:val="22"/>
          <w:szCs w:val="22"/>
        </w:rPr>
        <w:t xml:space="preserve">“DESECHAMIENTO O SOBRESEIMIENTO EN EL JUICIO DE AMPARO. NO IMPLICA DENEGACIÓN DE JUSTICIA NI GENERA INSEGURIDAD JURÍDICA” </w:t>
      </w:r>
      <w:r w:rsidRPr="00B97481">
        <w:rPr>
          <w:rFonts w:ascii="Palatino Linotype" w:eastAsia="Palatino Linotype" w:hAnsi="Palatino Linotype" w:cs="Palatino Linotype"/>
          <w:i/>
          <w:sz w:val="22"/>
          <w:szCs w:val="22"/>
        </w:rPr>
        <w:t xml:space="preserve">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w:t>
      </w:r>
      <w:r w:rsidRPr="00B97481">
        <w:rPr>
          <w:rFonts w:ascii="Palatino Linotype" w:eastAsia="Palatino Linotype" w:hAnsi="Palatino Linotype" w:cs="Palatino Linotype"/>
          <w:i/>
          <w:sz w:val="22"/>
          <w:szCs w:val="22"/>
        </w:rPr>
        <w:lastRenderedPageBreak/>
        <w:t xml:space="preserve">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29C98030"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 xml:space="preserve">En mérito de lo expuesto, lo procedente es </w:t>
      </w:r>
      <w:r w:rsidRPr="00B97481">
        <w:rPr>
          <w:rFonts w:ascii="Palatino Linotype" w:eastAsia="Palatino Linotype" w:hAnsi="Palatino Linotype" w:cs="Palatino Linotype"/>
          <w:b/>
        </w:rPr>
        <w:t xml:space="preserve">Sobreseer </w:t>
      </w:r>
      <w:r w:rsidRPr="00B97481">
        <w:rPr>
          <w:rFonts w:ascii="Palatino Linotype" w:eastAsia="Palatino Linotype" w:hAnsi="Palatino Linotype" w:cs="Palatino Linotype"/>
        </w:rPr>
        <w:t>el presente recurso de revisión, de conformidad con el artículo 186, fracción I</w:t>
      </w:r>
      <w:r w:rsidRPr="00B97481">
        <w:rPr>
          <w:rFonts w:ascii="Palatino Linotype" w:eastAsia="Palatino Linotype" w:hAnsi="Palatino Linotype" w:cs="Palatino Linotype"/>
          <w:b/>
        </w:rPr>
        <w:t xml:space="preserve"> </w:t>
      </w:r>
      <w:r w:rsidRPr="00B97481">
        <w:rPr>
          <w:rFonts w:ascii="Palatino Linotype" w:eastAsia="Palatino Linotype" w:hAnsi="Palatino Linotype" w:cs="Palatino Linotype"/>
        </w:rPr>
        <w:t xml:space="preserve">de la Ley de Transparencia y Acceso a la Información Pública del Estado de México y Municipios, que es del tenor literal siguiente: </w:t>
      </w:r>
    </w:p>
    <w:p w14:paraId="32477FF7" w14:textId="77777777" w:rsidR="008B51B7" w:rsidRPr="00B97481" w:rsidRDefault="00520A6B">
      <w:pPr>
        <w:tabs>
          <w:tab w:val="left" w:pos="993"/>
        </w:tabs>
        <w:spacing w:before="120" w:after="120"/>
        <w:ind w:left="851" w:right="902"/>
        <w:jc w:val="both"/>
        <w:rPr>
          <w:rFonts w:ascii="Palatino Linotype" w:eastAsia="Palatino Linotype" w:hAnsi="Palatino Linotype" w:cs="Palatino Linotype"/>
          <w:i/>
          <w:sz w:val="22"/>
          <w:szCs w:val="22"/>
        </w:rPr>
      </w:pPr>
      <w:r w:rsidRPr="00B97481">
        <w:rPr>
          <w:rFonts w:ascii="Palatino Linotype" w:eastAsia="Palatino Linotype" w:hAnsi="Palatino Linotype" w:cs="Palatino Linotype"/>
          <w:i/>
          <w:sz w:val="22"/>
          <w:szCs w:val="22"/>
        </w:rPr>
        <w:t>“</w:t>
      </w:r>
      <w:r w:rsidRPr="00B97481">
        <w:rPr>
          <w:rFonts w:ascii="Palatino Linotype" w:eastAsia="Palatino Linotype" w:hAnsi="Palatino Linotype" w:cs="Palatino Linotype"/>
          <w:b/>
          <w:i/>
          <w:sz w:val="22"/>
          <w:szCs w:val="22"/>
        </w:rPr>
        <w:t>Artículo 186</w:t>
      </w:r>
      <w:r w:rsidRPr="00B97481">
        <w:rPr>
          <w:rFonts w:ascii="Palatino Linotype" w:eastAsia="Palatino Linotype" w:hAnsi="Palatino Linotype" w:cs="Palatino Linotype"/>
          <w:i/>
          <w:sz w:val="22"/>
          <w:szCs w:val="22"/>
        </w:rPr>
        <w:t xml:space="preserve">. Las resoluciones del Instituto podrán: </w:t>
      </w:r>
    </w:p>
    <w:p w14:paraId="7C04E7FD" w14:textId="77777777" w:rsidR="008B51B7" w:rsidRPr="00B97481" w:rsidRDefault="00520A6B">
      <w:pPr>
        <w:tabs>
          <w:tab w:val="left" w:pos="993"/>
        </w:tabs>
        <w:spacing w:before="120" w:after="120"/>
        <w:ind w:left="1134" w:right="902"/>
        <w:jc w:val="both"/>
        <w:rPr>
          <w:rFonts w:ascii="Palatino Linotype" w:eastAsia="Palatino Linotype" w:hAnsi="Palatino Linotype" w:cs="Palatino Linotype"/>
          <w:b/>
          <w:i/>
          <w:sz w:val="22"/>
          <w:szCs w:val="22"/>
          <w:u w:val="single"/>
        </w:rPr>
      </w:pPr>
      <w:r w:rsidRPr="00B97481">
        <w:rPr>
          <w:rFonts w:ascii="Palatino Linotype" w:eastAsia="Palatino Linotype" w:hAnsi="Palatino Linotype" w:cs="Palatino Linotype"/>
          <w:b/>
          <w:i/>
          <w:sz w:val="22"/>
          <w:szCs w:val="22"/>
        </w:rPr>
        <w:t>I.</w:t>
      </w:r>
      <w:r w:rsidRPr="00B97481">
        <w:rPr>
          <w:rFonts w:ascii="Palatino Linotype" w:eastAsia="Palatino Linotype" w:hAnsi="Palatino Linotype" w:cs="Palatino Linotype"/>
          <w:i/>
          <w:sz w:val="22"/>
          <w:szCs w:val="22"/>
        </w:rPr>
        <w:t xml:space="preserve"> Desechar o sobreseer el recurso;</w:t>
      </w:r>
      <w:r w:rsidRPr="00B97481">
        <w:rPr>
          <w:rFonts w:ascii="Palatino Linotype" w:eastAsia="Palatino Linotype" w:hAnsi="Palatino Linotype" w:cs="Palatino Linotype"/>
          <w:b/>
          <w:i/>
          <w:sz w:val="22"/>
          <w:szCs w:val="22"/>
        </w:rPr>
        <w:t>”</w:t>
      </w:r>
    </w:p>
    <w:p w14:paraId="6344DD21" w14:textId="77777777" w:rsidR="008B51B7" w:rsidRPr="00B97481" w:rsidRDefault="00520A6B">
      <w:pPr>
        <w:spacing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Así, con fundamento en lo prescrito en los artículos 5 párrafos trigésimo tercero, trigésimo cuarto y trigésimo quinto de la Constitución Política del Estado Libre y Soberano de México; 2, fracción II; 29, 36 fracciones I y II; 176, 178, 181, 185 y 186 fracción II de la Ley de Transparencia y Acceso a la Información Pública del Estado de México y Municipios, este Pleno:</w:t>
      </w:r>
    </w:p>
    <w:p w14:paraId="63E41D84" w14:textId="77777777" w:rsidR="008B51B7" w:rsidRPr="00B97481" w:rsidRDefault="00520A6B">
      <w:pPr>
        <w:pBdr>
          <w:top w:val="nil"/>
          <w:left w:val="nil"/>
          <w:bottom w:val="nil"/>
          <w:right w:val="nil"/>
          <w:between w:val="nil"/>
        </w:pBdr>
        <w:spacing w:before="240" w:after="240" w:line="360" w:lineRule="auto"/>
        <w:jc w:val="center"/>
        <w:rPr>
          <w:rFonts w:ascii="Palatino Linotype" w:eastAsia="Palatino Linotype" w:hAnsi="Palatino Linotype" w:cs="Palatino Linotype"/>
          <w:b/>
        </w:rPr>
      </w:pPr>
      <w:r w:rsidRPr="00B97481">
        <w:rPr>
          <w:rFonts w:ascii="Palatino Linotype" w:eastAsia="Palatino Linotype" w:hAnsi="Palatino Linotype" w:cs="Palatino Linotype"/>
          <w:b/>
        </w:rPr>
        <w:t>III. R E S U E L V E</w:t>
      </w:r>
    </w:p>
    <w:p w14:paraId="414D4BB0" w14:textId="77777777" w:rsidR="008B51B7" w:rsidRPr="00B97481" w:rsidRDefault="00520A6B">
      <w:pPr>
        <w:spacing w:line="360" w:lineRule="auto"/>
        <w:jc w:val="both"/>
        <w:rPr>
          <w:rFonts w:ascii="Palatino Linotype" w:eastAsia="Palatino Linotype" w:hAnsi="Palatino Linotype" w:cs="Palatino Linotype"/>
          <w:b/>
        </w:rPr>
      </w:pPr>
      <w:bookmarkStart w:id="6" w:name="_heading=h.26in1rg" w:colFirst="0" w:colLast="0"/>
      <w:bookmarkEnd w:id="6"/>
      <w:r w:rsidRPr="00B97481">
        <w:rPr>
          <w:rFonts w:ascii="Palatino Linotype" w:eastAsia="Palatino Linotype" w:hAnsi="Palatino Linotype" w:cs="Palatino Linotype"/>
          <w:b/>
        </w:rPr>
        <w:t xml:space="preserve">Primero. </w:t>
      </w:r>
      <w:r w:rsidRPr="00B97481">
        <w:rPr>
          <w:rFonts w:ascii="Palatino Linotype" w:eastAsia="Palatino Linotype" w:hAnsi="Palatino Linotype" w:cs="Palatino Linotype"/>
        </w:rPr>
        <w:t>Se</w:t>
      </w:r>
      <w:r w:rsidRPr="00B97481">
        <w:rPr>
          <w:rFonts w:ascii="Palatino Linotype" w:eastAsia="Palatino Linotype" w:hAnsi="Palatino Linotype" w:cs="Palatino Linotype"/>
          <w:b/>
        </w:rPr>
        <w:t xml:space="preserve"> Sobresee </w:t>
      </w:r>
      <w:r w:rsidRPr="00B97481">
        <w:rPr>
          <w:rFonts w:ascii="Palatino Linotype" w:eastAsia="Palatino Linotype" w:hAnsi="Palatino Linotype" w:cs="Palatino Linotype"/>
        </w:rPr>
        <w:t xml:space="preserve">el recurso de revisión </w:t>
      </w:r>
      <w:r w:rsidRPr="00B97481">
        <w:rPr>
          <w:rFonts w:ascii="Palatino Linotype" w:eastAsia="Palatino Linotype" w:hAnsi="Palatino Linotype" w:cs="Palatino Linotype"/>
          <w:b/>
        </w:rPr>
        <w:t xml:space="preserve">07664/INFOEM/IP/RR/2024, </w:t>
      </w:r>
      <w:r w:rsidRPr="00B97481">
        <w:rPr>
          <w:rFonts w:ascii="Palatino Linotype" w:eastAsia="Palatino Linotype" w:hAnsi="Palatino Linotype" w:cs="Palatino Linotype"/>
        </w:rPr>
        <w:t xml:space="preserve">por actualizarse la causal de improcedencia prevista en la fracción IV del artículo 192, en relación con la fracción VI del artículo 191, ambos de la Ley de Transparencia vigente en la entidad, en términos del </w:t>
      </w:r>
      <w:r w:rsidRPr="00B97481">
        <w:rPr>
          <w:rFonts w:ascii="Palatino Linotype" w:eastAsia="Palatino Linotype" w:hAnsi="Palatino Linotype" w:cs="Palatino Linotype"/>
          <w:b/>
        </w:rPr>
        <w:t>Considerando Tercero</w:t>
      </w:r>
      <w:r w:rsidRPr="00B97481">
        <w:rPr>
          <w:rFonts w:ascii="Palatino Linotype" w:eastAsia="Palatino Linotype" w:hAnsi="Palatino Linotype" w:cs="Palatino Linotype"/>
        </w:rPr>
        <w:t xml:space="preserve"> de la presente resolución.</w:t>
      </w:r>
    </w:p>
    <w:p w14:paraId="4D5D66A5"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b/>
        </w:rPr>
        <w:lastRenderedPageBreak/>
        <w:t xml:space="preserve">Segundo. Notifíquese, </w:t>
      </w:r>
      <w:r w:rsidRPr="00B97481">
        <w:rPr>
          <w:rFonts w:ascii="Palatino Linotype" w:eastAsia="Palatino Linotype" w:hAnsi="Palatino Linotype" w:cs="Palatino Linotype"/>
        </w:rPr>
        <w:t xml:space="preserve">vía </w:t>
      </w:r>
      <w:r w:rsidRPr="00B97481">
        <w:rPr>
          <w:rFonts w:ascii="Palatino Linotype" w:eastAsia="Palatino Linotype" w:hAnsi="Palatino Linotype" w:cs="Palatino Linotype"/>
          <w:b/>
        </w:rPr>
        <w:t xml:space="preserve">SAIMEX, </w:t>
      </w:r>
      <w:r w:rsidRPr="00B97481">
        <w:rPr>
          <w:rFonts w:ascii="Palatino Linotype" w:eastAsia="Palatino Linotype" w:hAnsi="Palatino Linotype" w:cs="Palatino Linotype"/>
        </w:rPr>
        <w:t xml:space="preserve">la presente resolución a la persona Titular de la Unidad de Transparencia del </w:t>
      </w:r>
      <w:r w:rsidRPr="00B97481">
        <w:rPr>
          <w:rFonts w:ascii="Palatino Linotype" w:eastAsia="Palatino Linotype" w:hAnsi="Palatino Linotype" w:cs="Palatino Linotype"/>
          <w:b/>
        </w:rPr>
        <w:t>Sujeto Obligado</w:t>
      </w:r>
      <w:r w:rsidRPr="00B97481">
        <w:rPr>
          <w:rFonts w:ascii="Palatino Linotype" w:eastAsia="Palatino Linotype" w:hAnsi="Palatino Linotype" w:cs="Palatino Linotype"/>
        </w:rPr>
        <w:t xml:space="preserve"> para su conocimiento, en términos del artículo 189 de la Ley de Transparencia y Acceso a la Información Pública del Estado de México y Municipios.</w:t>
      </w:r>
    </w:p>
    <w:p w14:paraId="13379B44" w14:textId="77777777" w:rsidR="008B51B7" w:rsidRPr="00B97481" w:rsidRDefault="00520A6B">
      <w:pPr>
        <w:spacing w:before="240" w:after="240"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b/>
        </w:rPr>
        <w:t xml:space="preserve">Tercero.  Notifíquese, </w:t>
      </w:r>
      <w:r w:rsidRPr="00B97481">
        <w:rPr>
          <w:rFonts w:ascii="Palatino Linotype" w:eastAsia="Palatino Linotype" w:hAnsi="Palatino Linotype" w:cs="Palatino Linotype"/>
        </w:rPr>
        <w:t xml:space="preserve">vía </w:t>
      </w:r>
      <w:r w:rsidRPr="00B97481">
        <w:rPr>
          <w:rFonts w:ascii="Palatino Linotype" w:eastAsia="Palatino Linotype" w:hAnsi="Palatino Linotype" w:cs="Palatino Linotype"/>
          <w:b/>
        </w:rPr>
        <w:t xml:space="preserve">SAIMEX, </w:t>
      </w:r>
      <w:r w:rsidRPr="00B97481">
        <w:rPr>
          <w:rFonts w:ascii="Palatino Linotype" w:eastAsia="Palatino Linotype" w:hAnsi="Palatino Linotype" w:cs="Palatino Linotype"/>
        </w:rPr>
        <w:t>la presente resolución a</w:t>
      </w:r>
      <w:r w:rsidRPr="00B97481">
        <w:rPr>
          <w:rFonts w:ascii="Palatino Linotype" w:eastAsia="Palatino Linotype" w:hAnsi="Palatino Linotype" w:cs="Palatino Linotype"/>
          <w:b/>
        </w:rPr>
        <w:t xml:space="preserve"> </w:t>
      </w:r>
      <w:r w:rsidRPr="00B97481">
        <w:rPr>
          <w:rFonts w:ascii="Palatino Linotype" w:eastAsia="Palatino Linotype" w:hAnsi="Palatino Linotype" w:cs="Palatino Linotype"/>
        </w:rPr>
        <w:t xml:space="preserve">la parte </w:t>
      </w:r>
      <w:r w:rsidRPr="00B97481">
        <w:rPr>
          <w:rFonts w:ascii="Palatino Linotype" w:eastAsia="Palatino Linotype" w:hAnsi="Palatino Linotype" w:cs="Palatino Linotype"/>
          <w:b/>
        </w:rPr>
        <w:t>Recurrente</w:t>
      </w:r>
      <w:r w:rsidRPr="00B97481">
        <w:rPr>
          <w:rFonts w:ascii="Palatino Linotype" w:eastAsia="Palatino Linotype" w:hAnsi="Palatino Linotype" w:cs="Palatino Linotype"/>
        </w:rPr>
        <w:t>, asimismo, se hace de su conocimiento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574C3294" w14:textId="77777777" w:rsidR="008B51B7" w:rsidRPr="00BF1950" w:rsidRDefault="00520A6B">
      <w:pPr>
        <w:spacing w:line="360" w:lineRule="auto"/>
        <w:jc w:val="both"/>
        <w:rPr>
          <w:rFonts w:ascii="Palatino Linotype" w:eastAsia="Palatino Linotype" w:hAnsi="Palatino Linotype" w:cs="Palatino Linotype"/>
        </w:rPr>
      </w:pPr>
      <w:r w:rsidRPr="00B97481">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DE ENERO DE DOS MIL VEINTICINCO, ANTE EL SECRETARIO TÉCNICO DEL PLENO ALEXIS TAPIA RAMÍREZ.</w:t>
      </w:r>
    </w:p>
    <w:p w14:paraId="213D3E6B" w14:textId="77777777" w:rsidR="008B51B7" w:rsidRPr="00BF1950" w:rsidRDefault="008B51B7">
      <w:pPr>
        <w:rPr>
          <w:rFonts w:ascii="Palatino Linotype" w:eastAsia="Palatino Linotype" w:hAnsi="Palatino Linotype" w:cs="Palatino Linotype"/>
        </w:rPr>
      </w:pPr>
    </w:p>
    <w:p w14:paraId="459062DE" w14:textId="77777777" w:rsidR="008B51B7" w:rsidRPr="00BF1950" w:rsidRDefault="008B51B7">
      <w:pPr>
        <w:rPr>
          <w:rFonts w:ascii="Palatino Linotype" w:eastAsia="Palatino Linotype" w:hAnsi="Palatino Linotype" w:cs="Palatino Linotype"/>
        </w:rPr>
      </w:pPr>
    </w:p>
    <w:p w14:paraId="4F2DA9E0" w14:textId="77777777" w:rsidR="008B51B7" w:rsidRPr="00BF1950" w:rsidRDefault="008B51B7">
      <w:pPr>
        <w:rPr>
          <w:rFonts w:ascii="Palatino Linotype" w:eastAsia="Palatino Linotype" w:hAnsi="Palatino Linotype" w:cs="Palatino Linotype"/>
        </w:rPr>
      </w:pPr>
    </w:p>
    <w:p w14:paraId="25DADE4D" w14:textId="77777777" w:rsidR="008B51B7" w:rsidRPr="00BF1950" w:rsidRDefault="008B51B7">
      <w:pPr>
        <w:rPr>
          <w:rFonts w:ascii="Palatino Linotype" w:eastAsia="Palatino Linotype" w:hAnsi="Palatino Linotype" w:cs="Palatino Linotype"/>
        </w:rPr>
      </w:pPr>
    </w:p>
    <w:p w14:paraId="588F0756" w14:textId="77777777" w:rsidR="008B51B7" w:rsidRPr="00BF1950" w:rsidRDefault="008B51B7">
      <w:pPr>
        <w:rPr>
          <w:rFonts w:ascii="Palatino Linotype" w:eastAsia="Palatino Linotype" w:hAnsi="Palatino Linotype" w:cs="Palatino Linotype"/>
        </w:rPr>
      </w:pPr>
    </w:p>
    <w:p w14:paraId="02196682" w14:textId="77777777" w:rsidR="008B51B7" w:rsidRPr="00BF1950" w:rsidRDefault="008B51B7">
      <w:pPr>
        <w:spacing w:line="360" w:lineRule="auto"/>
        <w:jc w:val="both"/>
        <w:rPr>
          <w:rFonts w:ascii="Palatino Linotype" w:eastAsia="Palatino Linotype" w:hAnsi="Palatino Linotype" w:cs="Palatino Linotype"/>
        </w:rPr>
      </w:pPr>
      <w:bookmarkStart w:id="7" w:name="_heading=h.3rdcrjn" w:colFirst="0" w:colLast="0"/>
      <w:bookmarkEnd w:id="7"/>
    </w:p>
    <w:p w14:paraId="237E2ACC" w14:textId="77777777" w:rsidR="008B51B7" w:rsidRPr="00BF1950" w:rsidRDefault="008B51B7">
      <w:pPr>
        <w:spacing w:line="360" w:lineRule="auto"/>
        <w:jc w:val="both"/>
        <w:rPr>
          <w:rFonts w:ascii="Palatino Linotype" w:eastAsia="Palatino Linotype" w:hAnsi="Palatino Linotype" w:cs="Palatino Linotype"/>
        </w:rPr>
      </w:pPr>
    </w:p>
    <w:p w14:paraId="3A3C95F9" w14:textId="77777777" w:rsidR="008B51B7" w:rsidRPr="00BF1950" w:rsidRDefault="008B51B7">
      <w:pPr>
        <w:spacing w:line="360" w:lineRule="auto"/>
        <w:jc w:val="both"/>
        <w:rPr>
          <w:rFonts w:ascii="Palatino Linotype" w:eastAsia="Palatino Linotype" w:hAnsi="Palatino Linotype" w:cs="Palatino Linotype"/>
        </w:rPr>
      </w:pPr>
    </w:p>
    <w:p w14:paraId="41525556" w14:textId="77777777" w:rsidR="008B51B7" w:rsidRPr="00BF1950" w:rsidRDefault="008B51B7">
      <w:pPr>
        <w:spacing w:line="360" w:lineRule="auto"/>
        <w:jc w:val="both"/>
        <w:rPr>
          <w:rFonts w:ascii="Palatino Linotype" w:eastAsia="Palatino Linotype" w:hAnsi="Palatino Linotype" w:cs="Palatino Linotype"/>
        </w:rPr>
      </w:pPr>
      <w:bookmarkStart w:id="8" w:name="_heading=h.1t3h5sf" w:colFirst="0" w:colLast="0"/>
      <w:bookmarkEnd w:id="8"/>
    </w:p>
    <w:p w14:paraId="0EA0A2F4" w14:textId="77777777" w:rsidR="008B51B7" w:rsidRPr="00BF1950" w:rsidRDefault="008B51B7">
      <w:pPr>
        <w:spacing w:line="360" w:lineRule="auto"/>
        <w:jc w:val="both"/>
        <w:rPr>
          <w:rFonts w:ascii="Palatino Linotype" w:eastAsia="Palatino Linotype" w:hAnsi="Palatino Linotype" w:cs="Palatino Linotype"/>
        </w:rPr>
      </w:pPr>
    </w:p>
    <w:p w14:paraId="439834E5" w14:textId="77777777" w:rsidR="008B51B7" w:rsidRPr="00BF1950" w:rsidRDefault="008B51B7">
      <w:pPr>
        <w:spacing w:line="360" w:lineRule="auto"/>
        <w:jc w:val="both"/>
        <w:rPr>
          <w:rFonts w:ascii="Palatino Linotype" w:eastAsia="Palatino Linotype" w:hAnsi="Palatino Linotype" w:cs="Palatino Linotype"/>
        </w:rPr>
      </w:pPr>
    </w:p>
    <w:p w14:paraId="41320F41" w14:textId="77777777" w:rsidR="008B51B7" w:rsidRPr="00BF1950" w:rsidRDefault="008B51B7">
      <w:pPr>
        <w:spacing w:line="360" w:lineRule="auto"/>
        <w:jc w:val="both"/>
        <w:rPr>
          <w:rFonts w:ascii="Palatino Linotype" w:eastAsia="Palatino Linotype" w:hAnsi="Palatino Linotype" w:cs="Palatino Linotype"/>
        </w:rPr>
      </w:pPr>
    </w:p>
    <w:p w14:paraId="38801731" w14:textId="77777777" w:rsidR="008B51B7" w:rsidRPr="00BF1950" w:rsidRDefault="008B51B7">
      <w:pPr>
        <w:spacing w:line="360" w:lineRule="auto"/>
        <w:jc w:val="both"/>
        <w:rPr>
          <w:rFonts w:ascii="Palatino Linotype" w:eastAsia="Palatino Linotype" w:hAnsi="Palatino Linotype" w:cs="Palatino Linotype"/>
        </w:rPr>
      </w:pPr>
    </w:p>
    <w:p w14:paraId="25067FD4" w14:textId="77777777" w:rsidR="008B51B7" w:rsidRPr="00BF1950" w:rsidRDefault="008B51B7">
      <w:pPr>
        <w:spacing w:line="360" w:lineRule="auto"/>
        <w:jc w:val="both"/>
        <w:rPr>
          <w:rFonts w:ascii="Palatino Linotype" w:eastAsia="Palatino Linotype" w:hAnsi="Palatino Linotype" w:cs="Palatino Linotype"/>
        </w:rPr>
      </w:pPr>
    </w:p>
    <w:p w14:paraId="0562B75E" w14:textId="77777777" w:rsidR="008B51B7" w:rsidRPr="00BF1950" w:rsidRDefault="008B51B7">
      <w:pPr>
        <w:spacing w:line="360" w:lineRule="auto"/>
        <w:jc w:val="both"/>
        <w:rPr>
          <w:rFonts w:ascii="Palatino Linotype" w:eastAsia="Palatino Linotype" w:hAnsi="Palatino Linotype" w:cs="Palatino Linotype"/>
        </w:rPr>
      </w:pPr>
    </w:p>
    <w:p w14:paraId="37215256" w14:textId="77777777" w:rsidR="008B51B7" w:rsidRPr="00BF1950" w:rsidRDefault="008B51B7">
      <w:pPr>
        <w:spacing w:line="360" w:lineRule="auto"/>
        <w:jc w:val="both"/>
        <w:rPr>
          <w:rFonts w:ascii="Palatino Linotype" w:eastAsia="Palatino Linotype" w:hAnsi="Palatino Linotype" w:cs="Palatino Linotype"/>
        </w:rPr>
      </w:pPr>
    </w:p>
    <w:p w14:paraId="14608822" w14:textId="77777777" w:rsidR="008B51B7" w:rsidRPr="00BF1950" w:rsidRDefault="008B51B7">
      <w:pPr>
        <w:spacing w:line="360" w:lineRule="auto"/>
        <w:jc w:val="both"/>
        <w:rPr>
          <w:rFonts w:ascii="Palatino Linotype" w:eastAsia="Palatino Linotype" w:hAnsi="Palatino Linotype" w:cs="Palatino Linotype"/>
        </w:rPr>
      </w:pPr>
    </w:p>
    <w:p w14:paraId="5653407D" w14:textId="77777777" w:rsidR="008B51B7" w:rsidRPr="00BF1950" w:rsidRDefault="008B51B7">
      <w:pPr>
        <w:spacing w:line="360" w:lineRule="auto"/>
        <w:jc w:val="both"/>
        <w:rPr>
          <w:rFonts w:ascii="Palatino Linotype" w:eastAsia="Palatino Linotype" w:hAnsi="Palatino Linotype" w:cs="Palatino Linotype"/>
        </w:rPr>
      </w:pPr>
    </w:p>
    <w:p w14:paraId="52DDE7D5" w14:textId="77777777" w:rsidR="008B51B7" w:rsidRPr="00BF1950" w:rsidRDefault="008B51B7">
      <w:pPr>
        <w:spacing w:line="360" w:lineRule="auto"/>
        <w:jc w:val="both"/>
        <w:rPr>
          <w:rFonts w:ascii="Palatino Linotype" w:eastAsia="Palatino Linotype" w:hAnsi="Palatino Linotype" w:cs="Palatino Linotype"/>
        </w:rPr>
      </w:pPr>
    </w:p>
    <w:p w14:paraId="2613A9DA" w14:textId="77777777" w:rsidR="008B51B7" w:rsidRPr="00BF1950" w:rsidRDefault="008B51B7">
      <w:pPr>
        <w:spacing w:line="360" w:lineRule="auto"/>
        <w:jc w:val="both"/>
        <w:rPr>
          <w:rFonts w:ascii="Palatino Linotype" w:eastAsia="Palatino Linotype" w:hAnsi="Palatino Linotype" w:cs="Palatino Linotype"/>
        </w:rPr>
      </w:pPr>
    </w:p>
    <w:p w14:paraId="5B67D102" w14:textId="77777777" w:rsidR="008B51B7" w:rsidRPr="00BF1950" w:rsidRDefault="008B51B7">
      <w:pPr>
        <w:spacing w:line="360" w:lineRule="auto"/>
        <w:jc w:val="both"/>
        <w:rPr>
          <w:rFonts w:ascii="Palatino Linotype" w:eastAsia="Palatino Linotype" w:hAnsi="Palatino Linotype" w:cs="Palatino Linotype"/>
        </w:rPr>
      </w:pPr>
    </w:p>
    <w:p w14:paraId="38CA1823" w14:textId="77777777" w:rsidR="008B51B7" w:rsidRPr="00BF1950" w:rsidRDefault="008B51B7">
      <w:pPr>
        <w:spacing w:line="360" w:lineRule="auto"/>
        <w:jc w:val="both"/>
        <w:rPr>
          <w:rFonts w:ascii="Palatino Linotype" w:eastAsia="Palatino Linotype" w:hAnsi="Palatino Linotype" w:cs="Palatino Linotype"/>
        </w:rPr>
      </w:pPr>
    </w:p>
    <w:p w14:paraId="3C0CCB76" w14:textId="77777777" w:rsidR="008B51B7" w:rsidRPr="00BF1950" w:rsidRDefault="008B51B7">
      <w:pPr>
        <w:spacing w:line="360" w:lineRule="auto"/>
        <w:jc w:val="both"/>
        <w:rPr>
          <w:rFonts w:ascii="Palatino Linotype" w:eastAsia="Palatino Linotype" w:hAnsi="Palatino Linotype" w:cs="Palatino Linotype"/>
        </w:rPr>
      </w:pPr>
    </w:p>
    <w:p w14:paraId="51E6320D" w14:textId="77777777" w:rsidR="008B51B7" w:rsidRPr="00BF1950" w:rsidRDefault="008B51B7">
      <w:pPr>
        <w:spacing w:line="360" w:lineRule="auto"/>
        <w:jc w:val="both"/>
        <w:rPr>
          <w:rFonts w:ascii="Palatino Linotype" w:eastAsia="Palatino Linotype" w:hAnsi="Palatino Linotype" w:cs="Palatino Linotype"/>
        </w:rPr>
      </w:pPr>
    </w:p>
    <w:p w14:paraId="071B01CE" w14:textId="77777777" w:rsidR="008B51B7" w:rsidRPr="00BF1950" w:rsidRDefault="008B51B7">
      <w:pPr>
        <w:spacing w:line="360" w:lineRule="auto"/>
        <w:jc w:val="both"/>
        <w:rPr>
          <w:rFonts w:ascii="Palatino Linotype" w:eastAsia="Palatino Linotype" w:hAnsi="Palatino Linotype" w:cs="Palatino Linotype"/>
        </w:rPr>
      </w:pPr>
    </w:p>
    <w:p w14:paraId="3220F096" w14:textId="77777777" w:rsidR="008B51B7" w:rsidRPr="00BF1950" w:rsidRDefault="008B51B7">
      <w:pPr>
        <w:spacing w:line="360" w:lineRule="auto"/>
        <w:jc w:val="both"/>
        <w:rPr>
          <w:rFonts w:ascii="Palatino Linotype" w:eastAsia="Palatino Linotype" w:hAnsi="Palatino Linotype" w:cs="Palatino Linotype"/>
        </w:rPr>
      </w:pPr>
    </w:p>
    <w:p w14:paraId="34BA7F89" w14:textId="77777777" w:rsidR="008B51B7" w:rsidRPr="00BF1950" w:rsidRDefault="008B51B7">
      <w:pPr>
        <w:spacing w:line="360" w:lineRule="auto"/>
        <w:jc w:val="both"/>
        <w:rPr>
          <w:rFonts w:ascii="Palatino Linotype" w:eastAsia="Palatino Linotype" w:hAnsi="Palatino Linotype" w:cs="Palatino Linotype"/>
        </w:rPr>
      </w:pPr>
    </w:p>
    <w:sectPr w:rsidR="008B51B7" w:rsidRPr="00BF1950">
      <w:headerReference w:type="default" r:id="rId8"/>
      <w:footerReference w:type="default" r:id="rId9"/>
      <w:headerReference w:type="first" r:id="rId10"/>
      <w:footerReference w:type="first" r:id="rId11"/>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AFB0" w14:textId="77777777" w:rsidR="006A2757" w:rsidRDefault="006A2757">
      <w:r>
        <w:separator/>
      </w:r>
    </w:p>
  </w:endnote>
  <w:endnote w:type="continuationSeparator" w:id="0">
    <w:p w14:paraId="01CC733D" w14:textId="77777777" w:rsidR="006A2757" w:rsidRDefault="006A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7E75" w14:textId="77777777" w:rsidR="008B51B7" w:rsidRDefault="00520A6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97481">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97481">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p>
  <w:p w14:paraId="06E304E8" w14:textId="77777777" w:rsidR="008B51B7" w:rsidRDefault="008B51B7">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615D" w14:textId="77777777" w:rsidR="008B51B7" w:rsidRDefault="00520A6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B97481">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B97481">
      <w:rPr>
        <w:rFonts w:ascii="Palatino Linotype" w:eastAsia="Palatino Linotype" w:hAnsi="Palatino Linotype" w:cs="Palatino Linotype"/>
        <w:b/>
        <w:noProof/>
        <w:color w:val="000000"/>
        <w:sz w:val="20"/>
        <w:szCs w:val="20"/>
      </w:rPr>
      <w:t>17</w:t>
    </w:r>
    <w:r>
      <w:rPr>
        <w:rFonts w:ascii="Palatino Linotype" w:eastAsia="Palatino Linotype" w:hAnsi="Palatino Linotype" w:cs="Palatino Linotype"/>
        <w:b/>
        <w:color w:val="000000"/>
        <w:sz w:val="20"/>
        <w:szCs w:val="20"/>
      </w:rPr>
      <w:fldChar w:fldCharType="end"/>
    </w:r>
  </w:p>
  <w:p w14:paraId="1915EE0D" w14:textId="77777777" w:rsidR="008B51B7" w:rsidRDefault="008B51B7">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9E832" w14:textId="77777777" w:rsidR="006A2757" w:rsidRDefault="006A2757">
      <w:r>
        <w:separator/>
      </w:r>
    </w:p>
  </w:footnote>
  <w:footnote w:type="continuationSeparator" w:id="0">
    <w:p w14:paraId="45858515" w14:textId="77777777" w:rsidR="006A2757" w:rsidRDefault="006A2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97220" w14:textId="77777777" w:rsidR="008B51B7" w:rsidRDefault="00520A6B">
    <w:pPr>
      <w:rPr>
        <w:rFonts w:ascii="Cambria" w:eastAsia="Cambria" w:hAnsi="Cambria" w:cs="Cambria"/>
        <w:color w:val="000000"/>
      </w:rPr>
    </w:pPr>
    <w:r>
      <w:rPr>
        <w:noProof/>
      </w:rPr>
      <w:drawing>
        <wp:anchor distT="0" distB="0" distL="0" distR="0" simplePos="0" relativeHeight="251658240" behindDoc="1" locked="0" layoutInCell="1" hidden="0" allowOverlap="1" wp14:anchorId="44E19A4B" wp14:editId="1DE9062A">
          <wp:simplePos x="0" y="0"/>
          <wp:positionH relativeFrom="column">
            <wp:posOffset>-1080106</wp:posOffset>
          </wp:positionH>
          <wp:positionV relativeFrom="paragraph">
            <wp:posOffset>-488282</wp:posOffset>
          </wp:positionV>
          <wp:extent cx="7809865" cy="10165715"/>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5"/>
      <w:tblW w:w="5953" w:type="dxa"/>
      <w:tblInd w:w="3261" w:type="dxa"/>
      <w:tblLayout w:type="fixed"/>
      <w:tblLook w:val="0400" w:firstRow="0" w:lastRow="0" w:firstColumn="0" w:lastColumn="0" w:noHBand="0" w:noVBand="1"/>
    </w:tblPr>
    <w:tblGrid>
      <w:gridCol w:w="2489"/>
      <w:gridCol w:w="3464"/>
    </w:tblGrid>
    <w:tr w:rsidR="008B51B7" w14:paraId="22E60C80" w14:textId="77777777">
      <w:tc>
        <w:tcPr>
          <w:tcW w:w="2489" w:type="dxa"/>
          <w:shd w:val="clear" w:color="auto" w:fill="auto"/>
        </w:tcPr>
        <w:p w14:paraId="0DBBD5C6" w14:textId="77777777" w:rsidR="008B51B7" w:rsidRDefault="00520A6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7A04BD7B" w14:textId="77777777" w:rsidR="008B51B7" w:rsidRDefault="00520A6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07664/INFOEM/IP/RR/2024</w:t>
          </w:r>
        </w:p>
      </w:tc>
    </w:tr>
    <w:tr w:rsidR="008B51B7" w14:paraId="1464D642" w14:textId="77777777">
      <w:trPr>
        <w:trHeight w:val="228"/>
      </w:trPr>
      <w:tc>
        <w:tcPr>
          <w:tcW w:w="2489" w:type="dxa"/>
          <w:shd w:val="clear" w:color="auto" w:fill="auto"/>
          <w:vAlign w:val="center"/>
        </w:tcPr>
        <w:p w14:paraId="6E7A44DE" w14:textId="77777777" w:rsidR="008B51B7" w:rsidRDefault="00520A6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63B0E598" w14:textId="77777777" w:rsidR="008B51B7" w:rsidRDefault="00520A6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B51B7" w14:paraId="0F4F9954" w14:textId="77777777">
      <w:tc>
        <w:tcPr>
          <w:tcW w:w="2489" w:type="dxa"/>
          <w:shd w:val="clear" w:color="auto" w:fill="auto"/>
          <w:vAlign w:val="center"/>
        </w:tcPr>
        <w:p w14:paraId="7B7C53E0" w14:textId="77777777" w:rsidR="008B51B7" w:rsidRDefault="00520A6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6BAAB787" w14:textId="77777777" w:rsidR="008B51B7" w:rsidRDefault="00520A6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7BB9D28D" w14:textId="77777777" w:rsidR="008B51B7" w:rsidRDefault="00520A6B">
    <w:pPr>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8BB0" w14:textId="77777777" w:rsidR="008B51B7" w:rsidRDefault="00520A6B">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0F9E47B6" wp14:editId="4631CB69">
          <wp:simplePos x="0" y="0"/>
          <wp:positionH relativeFrom="column">
            <wp:posOffset>-1080113</wp:posOffset>
          </wp:positionH>
          <wp:positionV relativeFrom="paragraph">
            <wp:posOffset>-262856</wp:posOffset>
          </wp:positionV>
          <wp:extent cx="7809865" cy="10165715"/>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6"/>
      <w:tblW w:w="5670" w:type="dxa"/>
      <w:tblInd w:w="3261" w:type="dxa"/>
      <w:tblLayout w:type="fixed"/>
      <w:tblLook w:val="0400" w:firstRow="0" w:lastRow="0" w:firstColumn="0" w:lastColumn="0" w:noHBand="0" w:noVBand="1"/>
    </w:tblPr>
    <w:tblGrid>
      <w:gridCol w:w="2551"/>
      <w:gridCol w:w="3119"/>
    </w:tblGrid>
    <w:tr w:rsidR="008B51B7" w14:paraId="0E274FBB" w14:textId="77777777">
      <w:tc>
        <w:tcPr>
          <w:tcW w:w="2551" w:type="dxa"/>
          <w:shd w:val="clear" w:color="auto" w:fill="auto"/>
          <w:vAlign w:val="center"/>
        </w:tcPr>
        <w:p w14:paraId="38A99569" w14:textId="77777777" w:rsidR="008B51B7" w:rsidRDefault="00520A6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5CD5B901" w14:textId="77777777" w:rsidR="008B51B7" w:rsidRDefault="00520A6B">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07664/INFOEM/IP/RR/2024</w:t>
          </w:r>
        </w:p>
      </w:tc>
    </w:tr>
    <w:tr w:rsidR="008B51B7" w14:paraId="17E4CD66" w14:textId="77777777">
      <w:trPr>
        <w:trHeight w:val="130"/>
      </w:trPr>
      <w:tc>
        <w:tcPr>
          <w:tcW w:w="2551" w:type="dxa"/>
          <w:shd w:val="clear" w:color="auto" w:fill="auto"/>
          <w:vAlign w:val="center"/>
        </w:tcPr>
        <w:p w14:paraId="152A6FC9" w14:textId="77777777" w:rsidR="008B51B7" w:rsidRDefault="00520A6B">
          <w:pPr>
            <w:rPr>
              <w:rFonts w:ascii="Palatino Linotype" w:eastAsia="Palatino Linotype" w:hAnsi="Palatino Linotype" w:cs="Palatino Linotype"/>
              <w:b/>
              <w:sz w:val="22"/>
              <w:szCs w:val="22"/>
            </w:rPr>
          </w:pPr>
          <w:bookmarkStart w:id="9" w:name="_Hlk189734147"/>
          <w:r>
            <w:rPr>
              <w:rFonts w:ascii="Palatino Linotype" w:eastAsia="Palatino Linotype" w:hAnsi="Palatino Linotype" w:cs="Palatino Linotype"/>
              <w:b/>
              <w:sz w:val="22"/>
              <w:szCs w:val="22"/>
            </w:rPr>
            <w:t>Recurrente:</w:t>
          </w:r>
        </w:p>
      </w:tc>
      <w:tc>
        <w:tcPr>
          <w:tcW w:w="3119" w:type="dxa"/>
          <w:shd w:val="clear" w:color="auto" w:fill="auto"/>
          <w:vAlign w:val="center"/>
        </w:tcPr>
        <w:p w14:paraId="180F2400" w14:textId="3D1EE217" w:rsidR="008B51B7" w:rsidRDefault="00A15ED5">
          <w:pPr>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 X</w:t>
          </w:r>
        </w:p>
      </w:tc>
    </w:tr>
    <w:bookmarkEnd w:id="9"/>
    <w:tr w:rsidR="008B51B7" w14:paraId="2F973101" w14:textId="77777777">
      <w:trPr>
        <w:trHeight w:val="228"/>
      </w:trPr>
      <w:tc>
        <w:tcPr>
          <w:tcW w:w="2551" w:type="dxa"/>
          <w:shd w:val="clear" w:color="auto" w:fill="auto"/>
          <w:vAlign w:val="center"/>
        </w:tcPr>
        <w:p w14:paraId="3FA87AC7" w14:textId="77777777" w:rsidR="008B51B7" w:rsidRDefault="00520A6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3D7AEB07" w14:textId="77777777" w:rsidR="008B51B7" w:rsidRDefault="00520A6B">
          <w:pPr>
            <w:ind w:left="-45" w:right="176"/>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Zinacantepec</w:t>
          </w:r>
        </w:p>
      </w:tc>
    </w:tr>
    <w:tr w:rsidR="008B51B7" w14:paraId="3906EF5D" w14:textId="77777777">
      <w:tc>
        <w:tcPr>
          <w:tcW w:w="2551" w:type="dxa"/>
          <w:shd w:val="clear" w:color="auto" w:fill="auto"/>
          <w:vAlign w:val="center"/>
        </w:tcPr>
        <w:p w14:paraId="563FB573" w14:textId="77777777" w:rsidR="008B51B7" w:rsidRDefault="00520A6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6520DE8F" w14:textId="77777777" w:rsidR="008B51B7" w:rsidRDefault="00520A6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A198D56" w14:textId="77777777" w:rsidR="008B51B7" w:rsidRDefault="008B51B7">
    <w:pPr>
      <w:pBdr>
        <w:top w:val="nil"/>
        <w:left w:val="nil"/>
        <w:bottom w:val="nil"/>
        <w:right w:val="nil"/>
        <w:between w:val="nil"/>
      </w:pBdr>
      <w:tabs>
        <w:tab w:val="center" w:pos="4252"/>
        <w:tab w:val="right" w:pos="8504"/>
      </w:tabs>
      <w:rPr>
        <w:rFonts w:ascii="Cambria" w:eastAsia="Cambria" w:hAnsi="Cambria" w:cs="Cambria"/>
        <w:color w:val="000000"/>
      </w:rPr>
    </w:pPr>
  </w:p>
  <w:p w14:paraId="2150122E" w14:textId="77777777" w:rsidR="008B51B7" w:rsidRDefault="008B51B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1B7"/>
    <w:rsid w:val="0003644D"/>
    <w:rsid w:val="00520A6B"/>
    <w:rsid w:val="006A2757"/>
    <w:rsid w:val="008B51B7"/>
    <w:rsid w:val="00A15ED5"/>
    <w:rsid w:val="00B97481"/>
    <w:rsid w:val="00BE0DB7"/>
    <w:rsid w:val="00BF1950"/>
    <w:rsid w:val="00CF1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C446"/>
  <w15:docId w15:val="{31D4EAC8-15B2-4DF5-96F8-A6033CD3B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0D197B"/>
    <w:pPr>
      <w:tabs>
        <w:tab w:val="center" w:pos="4419"/>
        <w:tab w:val="right" w:pos="8838"/>
      </w:tabs>
    </w:pPr>
  </w:style>
  <w:style w:type="character" w:customStyle="1" w:styleId="EncabezadoCar">
    <w:name w:val="Encabezado Car"/>
    <w:basedOn w:val="Fuentedeprrafopredeter"/>
    <w:link w:val="Encabezado"/>
    <w:uiPriority w:val="99"/>
    <w:rsid w:val="000D197B"/>
  </w:style>
  <w:style w:type="paragraph" w:styleId="Piedepgina">
    <w:name w:val="footer"/>
    <w:basedOn w:val="Normal"/>
    <w:link w:val="PiedepginaCar"/>
    <w:uiPriority w:val="99"/>
    <w:unhideWhenUsed/>
    <w:rsid w:val="000D197B"/>
    <w:pPr>
      <w:tabs>
        <w:tab w:val="center" w:pos="4419"/>
        <w:tab w:val="right" w:pos="8838"/>
      </w:tabs>
    </w:pPr>
  </w:style>
  <w:style w:type="character" w:customStyle="1" w:styleId="PiedepginaCar">
    <w:name w:val="Pie de página Car"/>
    <w:basedOn w:val="Fuentedeprrafopredeter"/>
    <w:link w:val="Piedepgina"/>
    <w:uiPriority w:val="99"/>
    <w:rsid w:val="000D197B"/>
  </w:style>
  <w:style w:type="paragraph" w:styleId="Prrafodelista">
    <w:name w:val="List Paragraph"/>
    <w:basedOn w:val="Normal"/>
    <w:uiPriority w:val="34"/>
    <w:qFormat/>
    <w:rsid w:val="00C43334"/>
    <w:pPr>
      <w:ind w:left="720"/>
      <w:contextualSpacing/>
    </w:pPr>
  </w:style>
  <w:style w:type="paragraph" w:styleId="NormalWeb">
    <w:name w:val="Normal (Web)"/>
    <w:basedOn w:val="Normal"/>
    <w:uiPriority w:val="99"/>
    <w:semiHidden/>
    <w:unhideWhenUsed/>
    <w:rsid w:val="00476335"/>
    <w:pPr>
      <w:spacing w:before="100" w:beforeAutospacing="1" w:after="100" w:afterAutospacing="1"/>
    </w:p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06B5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806B5C"/>
    <w:rPr>
      <w:rFonts w:asciiTheme="minorHAnsi" w:eastAsiaTheme="minorHAnsi" w:hAnsiTheme="minorHAnsi" w:cstheme="minorBidi"/>
      <w:sz w:val="20"/>
      <w:szCs w:val="20"/>
      <w:lang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806B5C"/>
    <w:rPr>
      <w:vertAlign w:val="superscript"/>
    </w:r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paragraph" w:customStyle="1" w:styleId="Citas">
    <w:name w:val="Citas"/>
    <w:basedOn w:val="Normal"/>
    <w:qFormat/>
    <w:rsid w:val="00746BB9"/>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b5ovpIqIuiEMh1gRvtJg2s4CdA==">CgMxLjAyCWguMmV0OTJwMDIIaC5namRneHMyCWguM2R5NnZrbTIJaC4zMGowemxsMgloLjJzOGV5bzEyCGgudHlqY3d0MgloLjI2aW4xcmcyCWguM3JkY3JqbjIJaC4xdDNoNXNmOAByITFuZEc1eG05amVUbncyaXpPZ0xfYWtJcW5sLWJXUlVYMA==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3985</Words>
  <Characters>21922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2025-01-31T19:53:00Z</cp:lastPrinted>
  <dcterms:created xsi:type="dcterms:W3CDTF">2025-02-06T17:52:00Z</dcterms:created>
  <dcterms:modified xsi:type="dcterms:W3CDTF">2025-02-06T17:52:00Z</dcterms:modified>
</cp:coreProperties>
</file>