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5EAF2" w14:textId="77777777" w:rsidR="004B4C9A" w:rsidRPr="00BA6963" w:rsidRDefault="004B4C9A" w:rsidP="00DB35AD">
      <w:pPr>
        <w:spacing w:line="360" w:lineRule="auto"/>
        <w:ind w:right="-28"/>
        <w:contextualSpacing/>
        <w:jc w:val="both"/>
        <w:rPr>
          <w:rFonts w:ascii="Palatino Linotype" w:hAnsi="Palatino Linotype" w:cs="Tahoma"/>
          <w:bCs/>
          <w:sz w:val="22"/>
          <w:szCs w:val="22"/>
        </w:rPr>
      </w:pPr>
    </w:p>
    <w:sdt>
      <w:sdtPr>
        <w:rPr>
          <w:rFonts w:ascii="Palatino Linotype" w:eastAsia="Times New Roman" w:hAnsi="Palatino Linotype" w:cs="Times New Roman"/>
          <w:b w:val="0"/>
          <w:bCs w:val="0"/>
          <w:color w:val="auto"/>
          <w:sz w:val="20"/>
          <w:szCs w:val="20"/>
          <w:lang w:val="es-ES" w:eastAsia="es-ES"/>
        </w:rPr>
        <w:id w:val="-1893807885"/>
        <w:docPartObj>
          <w:docPartGallery w:val="Table of Contents"/>
          <w:docPartUnique/>
        </w:docPartObj>
      </w:sdtPr>
      <w:sdtEndPr>
        <w:rPr>
          <w:noProof/>
          <w:lang w:val="es-MX"/>
        </w:rPr>
      </w:sdtEndPr>
      <w:sdtContent>
        <w:p w14:paraId="3032FE90" w14:textId="4DA7BF15" w:rsidR="004B4C9A" w:rsidRPr="00BE655A" w:rsidRDefault="004B4C9A" w:rsidP="00DB35AD">
          <w:pPr>
            <w:pStyle w:val="TtuloTDC"/>
            <w:spacing w:before="0" w:line="360" w:lineRule="auto"/>
            <w:contextualSpacing/>
            <w:jc w:val="center"/>
            <w:rPr>
              <w:rFonts w:ascii="Palatino Linotype" w:hAnsi="Palatino Linotype"/>
              <w:b w:val="0"/>
              <w:bCs w:val="0"/>
              <w:color w:val="000000" w:themeColor="text1"/>
              <w:sz w:val="22"/>
              <w:szCs w:val="22"/>
            </w:rPr>
          </w:pPr>
          <w:r w:rsidRPr="00BE655A">
            <w:rPr>
              <w:rFonts w:ascii="Palatino Linotype" w:hAnsi="Palatino Linotype"/>
              <w:b w:val="0"/>
              <w:bCs w:val="0"/>
              <w:color w:val="000000" w:themeColor="text1"/>
              <w:sz w:val="22"/>
              <w:szCs w:val="22"/>
              <w:lang w:val="es-ES"/>
            </w:rPr>
            <w:t xml:space="preserve">RESOLUCIÓN DEL RECURSO DE REVISIÓN </w:t>
          </w:r>
          <w:r w:rsidRPr="00BE655A">
            <w:rPr>
              <w:rFonts w:ascii="Palatino Linotype" w:hAnsi="Palatino Linotype"/>
              <w:b w:val="0"/>
              <w:bCs w:val="0"/>
              <w:color w:val="000000" w:themeColor="text1"/>
              <w:sz w:val="22"/>
              <w:szCs w:val="22"/>
            </w:rPr>
            <w:t>01056/INFOEM/IP/RR/2025 Y ACUMULADO</w:t>
          </w:r>
        </w:p>
        <w:p w14:paraId="2F5C9A14" w14:textId="77777777" w:rsidR="004B4C9A" w:rsidRPr="00BE655A" w:rsidRDefault="004B4C9A" w:rsidP="00DB35AD">
          <w:pPr>
            <w:pStyle w:val="TDC1"/>
            <w:tabs>
              <w:tab w:val="right" w:leader="dot" w:pos="9034"/>
            </w:tabs>
            <w:spacing w:before="0" w:line="360" w:lineRule="auto"/>
            <w:contextualSpacing/>
            <w:jc w:val="both"/>
            <w:rPr>
              <w:rFonts w:ascii="Palatino Linotype" w:hAnsi="Palatino Linotype"/>
              <w:b w:val="0"/>
              <w:bCs w:val="0"/>
              <w:i w:val="0"/>
              <w:iCs w:val="0"/>
              <w:noProof/>
              <w:color w:val="000000" w:themeColor="text1"/>
              <w:sz w:val="22"/>
              <w:szCs w:val="22"/>
            </w:rPr>
          </w:pPr>
          <w:r w:rsidRPr="00BE655A">
            <w:rPr>
              <w:rFonts w:ascii="Palatino Linotype" w:hAnsi="Palatino Linotype"/>
              <w:b w:val="0"/>
              <w:bCs w:val="0"/>
              <w:i w:val="0"/>
              <w:iCs w:val="0"/>
              <w:color w:val="000000" w:themeColor="text1"/>
              <w:sz w:val="22"/>
              <w:szCs w:val="22"/>
            </w:rPr>
            <w:fldChar w:fldCharType="begin"/>
          </w:r>
          <w:r w:rsidRPr="00BE655A">
            <w:rPr>
              <w:rFonts w:ascii="Palatino Linotype" w:hAnsi="Palatino Linotype"/>
              <w:b w:val="0"/>
              <w:bCs w:val="0"/>
              <w:i w:val="0"/>
              <w:iCs w:val="0"/>
              <w:color w:val="000000" w:themeColor="text1"/>
              <w:sz w:val="22"/>
              <w:szCs w:val="22"/>
            </w:rPr>
            <w:instrText>TOC \o "1-3" \h \z \u</w:instrText>
          </w:r>
          <w:r w:rsidRPr="00BE655A">
            <w:rPr>
              <w:rFonts w:ascii="Palatino Linotype" w:hAnsi="Palatino Linotype"/>
              <w:b w:val="0"/>
              <w:bCs w:val="0"/>
              <w:i w:val="0"/>
              <w:iCs w:val="0"/>
              <w:color w:val="000000" w:themeColor="text1"/>
              <w:sz w:val="22"/>
              <w:szCs w:val="22"/>
            </w:rPr>
            <w:fldChar w:fldCharType="separate"/>
          </w:r>
          <w:hyperlink w:anchor="_Toc188481291" w:history="1">
            <w:r w:rsidRPr="00BE655A">
              <w:rPr>
                <w:rStyle w:val="Hipervnculo"/>
                <w:rFonts w:ascii="Palatino Linotype" w:hAnsi="Palatino Linotype"/>
                <w:b w:val="0"/>
                <w:bCs w:val="0"/>
                <w:i w:val="0"/>
                <w:iCs w:val="0"/>
                <w:noProof/>
                <w:color w:val="000000" w:themeColor="text1"/>
                <w:sz w:val="22"/>
                <w:szCs w:val="22"/>
              </w:rPr>
              <w:t>A N T E C E D E N T E S</w:t>
            </w:r>
            <w:r w:rsidRPr="00BE655A">
              <w:rPr>
                <w:rFonts w:ascii="Palatino Linotype" w:hAnsi="Palatino Linotype"/>
                <w:b w:val="0"/>
                <w:bCs w:val="0"/>
                <w:i w:val="0"/>
                <w:iCs w:val="0"/>
                <w:noProof/>
                <w:webHidden/>
                <w:color w:val="000000" w:themeColor="text1"/>
                <w:sz w:val="22"/>
                <w:szCs w:val="22"/>
              </w:rPr>
              <w:tab/>
            </w:r>
            <w:r w:rsidRPr="00BE655A">
              <w:rPr>
                <w:rFonts w:ascii="Palatino Linotype" w:hAnsi="Palatino Linotype"/>
                <w:b w:val="0"/>
                <w:bCs w:val="0"/>
                <w:i w:val="0"/>
                <w:iCs w:val="0"/>
                <w:noProof/>
                <w:webHidden/>
                <w:color w:val="000000" w:themeColor="text1"/>
                <w:sz w:val="22"/>
                <w:szCs w:val="22"/>
              </w:rPr>
              <w:fldChar w:fldCharType="begin"/>
            </w:r>
            <w:r w:rsidRPr="00BE655A">
              <w:rPr>
                <w:rFonts w:ascii="Palatino Linotype" w:hAnsi="Palatino Linotype"/>
                <w:b w:val="0"/>
                <w:bCs w:val="0"/>
                <w:i w:val="0"/>
                <w:iCs w:val="0"/>
                <w:noProof/>
                <w:webHidden/>
                <w:color w:val="000000" w:themeColor="text1"/>
                <w:sz w:val="22"/>
                <w:szCs w:val="22"/>
              </w:rPr>
              <w:instrText xml:space="preserve"> PAGEREF _Toc188481291 \h </w:instrText>
            </w:r>
            <w:r w:rsidRPr="00BE655A">
              <w:rPr>
                <w:rFonts w:ascii="Palatino Linotype" w:hAnsi="Palatino Linotype"/>
                <w:b w:val="0"/>
                <w:bCs w:val="0"/>
                <w:i w:val="0"/>
                <w:iCs w:val="0"/>
                <w:noProof/>
                <w:webHidden/>
                <w:color w:val="000000" w:themeColor="text1"/>
                <w:sz w:val="22"/>
                <w:szCs w:val="22"/>
              </w:rPr>
            </w:r>
            <w:r w:rsidRPr="00BE655A">
              <w:rPr>
                <w:rFonts w:ascii="Palatino Linotype" w:hAnsi="Palatino Linotype"/>
                <w:b w:val="0"/>
                <w:bCs w:val="0"/>
                <w:i w:val="0"/>
                <w:iCs w:val="0"/>
                <w:noProof/>
                <w:webHidden/>
                <w:color w:val="000000" w:themeColor="text1"/>
                <w:sz w:val="22"/>
                <w:szCs w:val="22"/>
              </w:rPr>
              <w:fldChar w:fldCharType="separate"/>
            </w:r>
            <w:r w:rsidR="00B35321">
              <w:rPr>
                <w:rFonts w:ascii="Palatino Linotype" w:hAnsi="Palatino Linotype"/>
                <w:b w:val="0"/>
                <w:bCs w:val="0"/>
                <w:i w:val="0"/>
                <w:iCs w:val="0"/>
                <w:noProof/>
                <w:webHidden/>
                <w:color w:val="000000" w:themeColor="text1"/>
                <w:sz w:val="22"/>
                <w:szCs w:val="22"/>
              </w:rPr>
              <w:t>2</w:t>
            </w:r>
            <w:r w:rsidRPr="00BE655A">
              <w:rPr>
                <w:rFonts w:ascii="Palatino Linotype" w:hAnsi="Palatino Linotype"/>
                <w:b w:val="0"/>
                <w:bCs w:val="0"/>
                <w:i w:val="0"/>
                <w:iCs w:val="0"/>
                <w:noProof/>
                <w:webHidden/>
                <w:color w:val="000000" w:themeColor="text1"/>
                <w:sz w:val="22"/>
                <w:szCs w:val="22"/>
              </w:rPr>
              <w:fldChar w:fldCharType="end"/>
            </w:r>
          </w:hyperlink>
        </w:p>
        <w:p w14:paraId="0E8FBAD9" w14:textId="77777777"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292" w:history="1">
            <w:r w:rsidR="004B4C9A" w:rsidRPr="00BE655A">
              <w:rPr>
                <w:rStyle w:val="Hipervnculo"/>
                <w:rFonts w:ascii="Palatino Linotype" w:hAnsi="Palatino Linotype"/>
                <w:b w:val="0"/>
                <w:bCs w:val="0"/>
                <w:noProof/>
                <w:color w:val="000000" w:themeColor="text1"/>
              </w:rPr>
              <w:t>I. Presentación de las solicitudes de información</w:t>
            </w:r>
            <w:r w:rsidR="004B4C9A" w:rsidRPr="00BE655A">
              <w:rPr>
                <w:rFonts w:ascii="Palatino Linotype" w:hAnsi="Palatino Linotype"/>
                <w:b w:val="0"/>
                <w:bCs w:val="0"/>
                <w:noProof/>
                <w:webHidden/>
                <w:color w:val="000000" w:themeColor="text1"/>
              </w:rPr>
              <w:tab/>
            </w:r>
            <w:r w:rsidR="004B4C9A" w:rsidRPr="00BE655A">
              <w:rPr>
                <w:rFonts w:ascii="Palatino Linotype" w:hAnsi="Palatino Linotype"/>
                <w:b w:val="0"/>
                <w:bCs w:val="0"/>
                <w:noProof/>
                <w:webHidden/>
                <w:color w:val="000000" w:themeColor="text1"/>
              </w:rPr>
              <w:fldChar w:fldCharType="begin"/>
            </w:r>
            <w:r w:rsidR="004B4C9A" w:rsidRPr="00BE655A">
              <w:rPr>
                <w:rFonts w:ascii="Palatino Linotype" w:hAnsi="Palatino Linotype"/>
                <w:b w:val="0"/>
                <w:bCs w:val="0"/>
                <w:noProof/>
                <w:webHidden/>
                <w:color w:val="000000" w:themeColor="text1"/>
              </w:rPr>
              <w:instrText xml:space="preserve"> PAGEREF _Toc188481292 \h </w:instrText>
            </w:r>
            <w:r w:rsidR="004B4C9A" w:rsidRPr="00BE655A">
              <w:rPr>
                <w:rFonts w:ascii="Palatino Linotype" w:hAnsi="Palatino Linotype"/>
                <w:b w:val="0"/>
                <w:bCs w:val="0"/>
                <w:noProof/>
                <w:webHidden/>
                <w:color w:val="000000" w:themeColor="text1"/>
              </w:rPr>
            </w:r>
            <w:r w:rsidR="004B4C9A" w:rsidRPr="00BE655A">
              <w:rPr>
                <w:rFonts w:ascii="Palatino Linotype" w:hAnsi="Palatino Linotype"/>
                <w:b w:val="0"/>
                <w:bCs w:val="0"/>
                <w:noProof/>
                <w:webHidden/>
                <w:color w:val="000000" w:themeColor="text1"/>
              </w:rPr>
              <w:fldChar w:fldCharType="separate"/>
            </w:r>
            <w:r w:rsidR="00B35321">
              <w:rPr>
                <w:rFonts w:ascii="Palatino Linotype" w:hAnsi="Palatino Linotype"/>
                <w:b w:val="0"/>
                <w:bCs w:val="0"/>
                <w:noProof/>
                <w:webHidden/>
                <w:color w:val="000000" w:themeColor="text1"/>
              </w:rPr>
              <w:t>2</w:t>
            </w:r>
            <w:r w:rsidR="004B4C9A" w:rsidRPr="00BE655A">
              <w:rPr>
                <w:rFonts w:ascii="Palatino Linotype" w:hAnsi="Palatino Linotype"/>
                <w:b w:val="0"/>
                <w:bCs w:val="0"/>
                <w:noProof/>
                <w:webHidden/>
                <w:color w:val="000000" w:themeColor="text1"/>
              </w:rPr>
              <w:fldChar w:fldCharType="end"/>
            </w:r>
          </w:hyperlink>
        </w:p>
        <w:p w14:paraId="3AFFD88B" w14:textId="77777777"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293" w:history="1">
            <w:r w:rsidR="004B4C9A" w:rsidRPr="00BE655A">
              <w:rPr>
                <w:rStyle w:val="Hipervnculo"/>
                <w:rFonts w:ascii="Palatino Linotype" w:hAnsi="Palatino Linotype"/>
                <w:b w:val="0"/>
                <w:bCs w:val="0"/>
                <w:noProof/>
                <w:color w:val="000000" w:themeColor="text1"/>
              </w:rPr>
              <w:t>II. Respuestas del Sujeto Obligado</w:t>
            </w:r>
            <w:r w:rsidR="004B4C9A" w:rsidRPr="00BE655A">
              <w:rPr>
                <w:rFonts w:ascii="Palatino Linotype" w:hAnsi="Palatino Linotype"/>
                <w:b w:val="0"/>
                <w:bCs w:val="0"/>
                <w:noProof/>
                <w:webHidden/>
                <w:color w:val="000000" w:themeColor="text1"/>
              </w:rPr>
              <w:tab/>
            </w:r>
            <w:r w:rsidR="004B4C9A" w:rsidRPr="00BE655A">
              <w:rPr>
                <w:rFonts w:ascii="Palatino Linotype" w:hAnsi="Palatino Linotype"/>
                <w:b w:val="0"/>
                <w:bCs w:val="0"/>
                <w:noProof/>
                <w:webHidden/>
                <w:color w:val="000000" w:themeColor="text1"/>
              </w:rPr>
              <w:fldChar w:fldCharType="begin"/>
            </w:r>
            <w:r w:rsidR="004B4C9A" w:rsidRPr="00BE655A">
              <w:rPr>
                <w:rFonts w:ascii="Palatino Linotype" w:hAnsi="Palatino Linotype"/>
                <w:b w:val="0"/>
                <w:bCs w:val="0"/>
                <w:noProof/>
                <w:webHidden/>
                <w:color w:val="000000" w:themeColor="text1"/>
              </w:rPr>
              <w:instrText xml:space="preserve"> PAGEREF _Toc188481293 \h </w:instrText>
            </w:r>
            <w:r w:rsidR="004B4C9A" w:rsidRPr="00BE655A">
              <w:rPr>
                <w:rFonts w:ascii="Palatino Linotype" w:hAnsi="Palatino Linotype"/>
                <w:b w:val="0"/>
                <w:bCs w:val="0"/>
                <w:noProof/>
                <w:webHidden/>
                <w:color w:val="000000" w:themeColor="text1"/>
              </w:rPr>
            </w:r>
            <w:r w:rsidR="004B4C9A" w:rsidRPr="00BE655A">
              <w:rPr>
                <w:rFonts w:ascii="Palatino Linotype" w:hAnsi="Palatino Linotype"/>
                <w:b w:val="0"/>
                <w:bCs w:val="0"/>
                <w:noProof/>
                <w:webHidden/>
                <w:color w:val="000000" w:themeColor="text1"/>
              </w:rPr>
              <w:fldChar w:fldCharType="separate"/>
            </w:r>
            <w:r w:rsidR="00B35321">
              <w:rPr>
                <w:rFonts w:ascii="Palatino Linotype" w:hAnsi="Palatino Linotype"/>
                <w:b w:val="0"/>
                <w:bCs w:val="0"/>
                <w:noProof/>
                <w:webHidden/>
                <w:color w:val="000000" w:themeColor="text1"/>
              </w:rPr>
              <w:t>3</w:t>
            </w:r>
            <w:r w:rsidR="004B4C9A" w:rsidRPr="00BE655A">
              <w:rPr>
                <w:rFonts w:ascii="Palatino Linotype" w:hAnsi="Palatino Linotype"/>
                <w:b w:val="0"/>
                <w:bCs w:val="0"/>
                <w:noProof/>
                <w:webHidden/>
                <w:color w:val="000000" w:themeColor="text1"/>
              </w:rPr>
              <w:fldChar w:fldCharType="end"/>
            </w:r>
          </w:hyperlink>
        </w:p>
        <w:p w14:paraId="042331CE" w14:textId="0857A824"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294" w:history="1">
            <w:r w:rsidR="004B4C9A" w:rsidRPr="00BE655A">
              <w:rPr>
                <w:rStyle w:val="Hipervnculo"/>
                <w:rFonts w:ascii="Palatino Linotype" w:hAnsi="Palatino Linotype"/>
                <w:b w:val="0"/>
                <w:bCs w:val="0"/>
                <w:noProof/>
                <w:color w:val="000000" w:themeColor="text1"/>
              </w:rPr>
              <w:t>III. Interposición de los Recursos de Revisión</w:t>
            </w:r>
            <w:r w:rsidR="004B4C9A" w:rsidRPr="00BE655A">
              <w:rPr>
                <w:rFonts w:ascii="Palatino Linotype" w:hAnsi="Palatino Linotype"/>
                <w:b w:val="0"/>
                <w:bCs w:val="0"/>
                <w:noProof/>
                <w:webHidden/>
                <w:color w:val="000000" w:themeColor="text1"/>
              </w:rPr>
              <w:tab/>
            </w:r>
          </w:hyperlink>
          <w:r w:rsidR="00E00A57" w:rsidRPr="00BE655A">
            <w:rPr>
              <w:rFonts w:ascii="Palatino Linotype" w:hAnsi="Palatino Linotype"/>
              <w:b w:val="0"/>
              <w:bCs w:val="0"/>
              <w:noProof/>
            </w:rPr>
            <w:t>4</w:t>
          </w:r>
        </w:p>
        <w:p w14:paraId="553A4F20" w14:textId="77777777"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295" w:history="1">
            <w:r w:rsidR="004B4C9A" w:rsidRPr="00BE655A">
              <w:rPr>
                <w:rStyle w:val="Hipervnculo"/>
                <w:rFonts w:ascii="Palatino Linotype" w:hAnsi="Palatino Linotype"/>
                <w:b w:val="0"/>
                <w:bCs w:val="0"/>
                <w:noProof/>
                <w:color w:val="000000" w:themeColor="text1"/>
              </w:rPr>
              <w:t xml:space="preserve">IV. </w:t>
            </w:r>
            <w:r w:rsidR="004B4C9A" w:rsidRPr="00BE655A">
              <w:rPr>
                <w:rStyle w:val="Hipervnculo"/>
                <w:rFonts w:ascii="Palatino Linotype" w:eastAsia="Batang" w:hAnsi="Palatino Linotype"/>
                <w:b w:val="0"/>
                <w:bCs w:val="0"/>
                <w:noProof/>
                <w:color w:val="000000" w:themeColor="text1"/>
              </w:rPr>
              <w:t xml:space="preserve">Trámite del </w:t>
            </w:r>
            <w:r w:rsidR="004B4C9A" w:rsidRPr="00BE655A">
              <w:rPr>
                <w:rStyle w:val="Hipervnculo"/>
                <w:rFonts w:ascii="Palatino Linotype" w:hAnsi="Palatino Linotype"/>
                <w:b w:val="0"/>
                <w:bCs w:val="0"/>
                <w:noProof/>
                <w:color w:val="000000" w:themeColor="text1"/>
              </w:rPr>
              <w:t xml:space="preserve">Recursos de Revisión </w:t>
            </w:r>
            <w:r w:rsidR="004B4C9A" w:rsidRPr="00BE655A">
              <w:rPr>
                <w:rStyle w:val="Hipervnculo"/>
                <w:rFonts w:ascii="Palatino Linotype" w:eastAsia="Batang" w:hAnsi="Palatino Linotype"/>
                <w:b w:val="0"/>
                <w:bCs w:val="0"/>
                <w:noProof/>
                <w:color w:val="000000" w:themeColor="text1"/>
              </w:rPr>
              <w:t>ante el Instituto</w:t>
            </w:r>
            <w:r w:rsidR="004B4C9A" w:rsidRPr="00BE655A">
              <w:rPr>
                <w:rFonts w:ascii="Palatino Linotype" w:hAnsi="Palatino Linotype"/>
                <w:b w:val="0"/>
                <w:bCs w:val="0"/>
                <w:noProof/>
                <w:webHidden/>
                <w:color w:val="000000" w:themeColor="text1"/>
              </w:rPr>
              <w:tab/>
              <w:t>6</w:t>
            </w:r>
          </w:hyperlink>
        </w:p>
        <w:p w14:paraId="38FA6DAB" w14:textId="77777777" w:rsidR="004B4C9A" w:rsidRPr="00BE655A" w:rsidRDefault="00AF13DA" w:rsidP="00DB35AD">
          <w:pPr>
            <w:pStyle w:val="TDC1"/>
            <w:tabs>
              <w:tab w:val="right" w:leader="dot" w:pos="9034"/>
            </w:tabs>
            <w:spacing w:before="0" w:line="360" w:lineRule="auto"/>
            <w:contextualSpacing/>
            <w:jc w:val="both"/>
            <w:rPr>
              <w:rFonts w:ascii="Palatino Linotype" w:hAnsi="Palatino Linotype"/>
              <w:b w:val="0"/>
              <w:bCs w:val="0"/>
              <w:i w:val="0"/>
              <w:iCs w:val="0"/>
              <w:noProof/>
              <w:color w:val="000000" w:themeColor="text1"/>
              <w:sz w:val="22"/>
              <w:szCs w:val="22"/>
            </w:rPr>
          </w:pPr>
          <w:hyperlink w:anchor="_Toc188481296" w:history="1">
            <w:r w:rsidR="004B4C9A" w:rsidRPr="00BE655A">
              <w:rPr>
                <w:rStyle w:val="Hipervnculo"/>
                <w:rFonts w:ascii="Palatino Linotype" w:hAnsi="Palatino Linotype"/>
                <w:b w:val="0"/>
                <w:bCs w:val="0"/>
                <w:i w:val="0"/>
                <w:iCs w:val="0"/>
                <w:noProof/>
                <w:color w:val="000000" w:themeColor="text1"/>
                <w:sz w:val="22"/>
                <w:szCs w:val="22"/>
                <w:lang w:val="es-ES"/>
              </w:rPr>
              <w:t>C O N S I D E R A N D O S</w:t>
            </w:r>
            <w:r w:rsidR="004B4C9A" w:rsidRPr="00BE655A">
              <w:rPr>
                <w:rFonts w:ascii="Palatino Linotype" w:hAnsi="Palatino Linotype"/>
                <w:b w:val="0"/>
                <w:bCs w:val="0"/>
                <w:i w:val="0"/>
                <w:iCs w:val="0"/>
                <w:noProof/>
                <w:webHidden/>
                <w:color w:val="000000" w:themeColor="text1"/>
                <w:sz w:val="22"/>
                <w:szCs w:val="22"/>
              </w:rPr>
              <w:tab/>
              <w:t>8</w:t>
            </w:r>
          </w:hyperlink>
        </w:p>
        <w:p w14:paraId="7A4E1A4D" w14:textId="77777777"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297" w:history="1">
            <w:r w:rsidR="004B4C9A" w:rsidRPr="00BE655A">
              <w:rPr>
                <w:rStyle w:val="Hipervnculo"/>
                <w:rFonts w:ascii="Palatino Linotype" w:eastAsia="Calibri" w:hAnsi="Palatino Linotype"/>
                <w:b w:val="0"/>
                <w:bCs w:val="0"/>
                <w:noProof/>
                <w:color w:val="000000" w:themeColor="text1"/>
                <w:lang w:val="es-ES" w:eastAsia="es-MX"/>
              </w:rPr>
              <w:t xml:space="preserve">PRIMERO. </w:t>
            </w:r>
            <w:r w:rsidR="004B4C9A" w:rsidRPr="00BE655A">
              <w:rPr>
                <w:rStyle w:val="Hipervnculo"/>
                <w:rFonts w:ascii="Palatino Linotype" w:hAnsi="Palatino Linotype"/>
                <w:b w:val="0"/>
                <w:bCs w:val="0"/>
                <w:noProof/>
                <w:color w:val="000000" w:themeColor="text1"/>
                <w:lang w:val="es-ES"/>
              </w:rPr>
              <w:t>Competencia</w:t>
            </w:r>
            <w:r w:rsidR="004B4C9A" w:rsidRPr="00BE655A">
              <w:rPr>
                <w:rFonts w:ascii="Palatino Linotype" w:hAnsi="Palatino Linotype"/>
                <w:b w:val="0"/>
                <w:bCs w:val="0"/>
                <w:noProof/>
                <w:webHidden/>
                <w:color w:val="000000" w:themeColor="text1"/>
              </w:rPr>
              <w:tab/>
              <w:t>8</w:t>
            </w:r>
          </w:hyperlink>
        </w:p>
        <w:p w14:paraId="2153EC5E" w14:textId="77777777"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298" w:history="1">
            <w:r w:rsidR="004B4C9A" w:rsidRPr="00BE655A">
              <w:rPr>
                <w:rStyle w:val="Hipervnculo"/>
                <w:rFonts w:ascii="Palatino Linotype" w:eastAsia="Calibri" w:hAnsi="Palatino Linotype"/>
                <w:b w:val="0"/>
                <w:bCs w:val="0"/>
                <w:noProof/>
                <w:color w:val="000000" w:themeColor="text1"/>
                <w:lang w:val="es-ES" w:eastAsia="es-MX"/>
              </w:rPr>
              <w:t>SEGUNDO. Causales de improcedencia y sobreseimiento</w:t>
            </w:r>
            <w:r w:rsidR="004B4C9A" w:rsidRPr="00BE655A">
              <w:rPr>
                <w:rFonts w:ascii="Palatino Linotype" w:hAnsi="Palatino Linotype"/>
                <w:b w:val="0"/>
                <w:bCs w:val="0"/>
                <w:noProof/>
                <w:webHidden/>
                <w:color w:val="000000" w:themeColor="text1"/>
              </w:rPr>
              <w:tab/>
              <w:t>9</w:t>
            </w:r>
          </w:hyperlink>
        </w:p>
        <w:p w14:paraId="2B9F974F" w14:textId="77777777"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299" w:history="1">
            <w:r w:rsidR="004B4C9A" w:rsidRPr="00BE655A">
              <w:rPr>
                <w:rStyle w:val="Hipervnculo"/>
                <w:rFonts w:ascii="Palatino Linotype" w:eastAsia="Calibri" w:hAnsi="Palatino Linotype"/>
                <w:b w:val="0"/>
                <w:bCs w:val="0"/>
                <w:noProof/>
                <w:color w:val="000000" w:themeColor="text1"/>
                <w:lang w:val="es-ES" w:eastAsia="es-ES_tradnl"/>
              </w:rPr>
              <w:t>TERCERO. Determinación de la Controversia</w:t>
            </w:r>
            <w:r w:rsidR="004B4C9A" w:rsidRPr="00BE655A">
              <w:rPr>
                <w:rFonts w:ascii="Palatino Linotype" w:hAnsi="Palatino Linotype"/>
                <w:b w:val="0"/>
                <w:bCs w:val="0"/>
                <w:noProof/>
                <w:webHidden/>
                <w:color w:val="000000" w:themeColor="text1"/>
              </w:rPr>
              <w:tab/>
              <w:t>10</w:t>
            </w:r>
          </w:hyperlink>
        </w:p>
        <w:p w14:paraId="247C7E47" w14:textId="6DDFF3BA"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300" w:history="1">
            <w:r w:rsidR="004B4C9A" w:rsidRPr="00BE655A">
              <w:rPr>
                <w:rStyle w:val="Hipervnculo"/>
                <w:rFonts w:ascii="Palatino Linotype" w:hAnsi="Palatino Linotype"/>
                <w:b w:val="0"/>
                <w:bCs w:val="0"/>
                <w:noProof/>
                <w:color w:val="000000" w:themeColor="text1"/>
                <w:lang w:val="es-ES"/>
              </w:rPr>
              <w:t xml:space="preserve">CUARTO. </w:t>
            </w:r>
            <w:r w:rsidR="004B4C9A" w:rsidRPr="00BE655A">
              <w:rPr>
                <w:rStyle w:val="Hipervnculo"/>
                <w:rFonts w:ascii="Palatino Linotype" w:hAnsi="Palatino Linotype"/>
                <w:b w:val="0"/>
                <w:bCs w:val="0"/>
                <w:noProof/>
                <w:color w:val="000000" w:themeColor="text1"/>
              </w:rPr>
              <w:t>Marco normativo aplicable en materia de transparencia y acceso a la información pública</w:t>
            </w:r>
            <w:r w:rsidR="004B4C9A" w:rsidRPr="00BE655A">
              <w:rPr>
                <w:rFonts w:ascii="Palatino Linotype" w:hAnsi="Palatino Linotype"/>
                <w:b w:val="0"/>
                <w:bCs w:val="0"/>
                <w:noProof/>
                <w:webHidden/>
                <w:color w:val="000000" w:themeColor="text1"/>
              </w:rPr>
              <w:tab/>
              <w:t>1</w:t>
            </w:r>
            <w:r w:rsidR="00650C9B" w:rsidRPr="00BE655A">
              <w:rPr>
                <w:rFonts w:ascii="Palatino Linotype" w:hAnsi="Palatino Linotype"/>
                <w:b w:val="0"/>
                <w:bCs w:val="0"/>
                <w:noProof/>
                <w:webHidden/>
                <w:color w:val="000000" w:themeColor="text1"/>
              </w:rPr>
              <w:t>1</w:t>
            </w:r>
          </w:hyperlink>
        </w:p>
        <w:p w14:paraId="570535B2" w14:textId="4D21BC22"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301" w:history="1">
            <w:r w:rsidR="004B4C9A" w:rsidRPr="00BE655A">
              <w:rPr>
                <w:rStyle w:val="Hipervnculo"/>
                <w:rFonts w:ascii="Palatino Linotype" w:hAnsi="Palatino Linotype"/>
                <w:b w:val="0"/>
                <w:bCs w:val="0"/>
                <w:noProof/>
                <w:color w:val="000000" w:themeColor="text1"/>
              </w:rPr>
              <w:t>QUINTO. Estudio de Fondo</w:t>
            </w:r>
            <w:r w:rsidR="004B4C9A" w:rsidRPr="00BE655A">
              <w:rPr>
                <w:rFonts w:ascii="Palatino Linotype" w:hAnsi="Palatino Linotype"/>
                <w:b w:val="0"/>
                <w:bCs w:val="0"/>
                <w:noProof/>
                <w:webHidden/>
                <w:color w:val="000000" w:themeColor="text1"/>
              </w:rPr>
              <w:tab/>
            </w:r>
            <w:r w:rsidR="004B4C9A" w:rsidRPr="00BE655A">
              <w:rPr>
                <w:rFonts w:ascii="Palatino Linotype" w:hAnsi="Palatino Linotype"/>
                <w:b w:val="0"/>
                <w:bCs w:val="0"/>
                <w:noProof/>
                <w:webHidden/>
                <w:color w:val="000000" w:themeColor="text1"/>
              </w:rPr>
              <w:fldChar w:fldCharType="begin"/>
            </w:r>
            <w:r w:rsidR="004B4C9A" w:rsidRPr="00BE655A">
              <w:rPr>
                <w:rFonts w:ascii="Palatino Linotype" w:hAnsi="Palatino Linotype"/>
                <w:b w:val="0"/>
                <w:bCs w:val="0"/>
                <w:noProof/>
                <w:webHidden/>
                <w:color w:val="000000" w:themeColor="text1"/>
              </w:rPr>
              <w:instrText xml:space="preserve"> PAGEREF _Toc188481301 \h </w:instrText>
            </w:r>
            <w:r w:rsidR="004B4C9A" w:rsidRPr="00BE655A">
              <w:rPr>
                <w:rFonts w:ascii="Palatino Linotype" w:hAnsi="Palatino Linotype"/>
                <w:b w:val="0"/>
                <w:bCs w:val="0"/>
                <w:noProof/>
                <w:webHidden/>
                <w:color w:val="000000" w:themeColor="text1"/>
              </w:rPr>
            </w:r>
            <w:r w:rsidR="004B4C9A" w:rsidRPr="00BE655A">
              <w:rPr>
                <w:rFonts w:ascii="Palatino Linotype" w:hAnsi="Palatino Linotype"/>
                <w:b w:val="0"/>
                <w:bCs w:val="0"/>
                <w:noProof/>
                <w:webHidden/>
                <w:color w:val="000000" w:themeColor="text1"/>
              </w:rPr>
              <w:fldChar w:fldCharType="separate"/>
            </w:r>
            <w:r w:rsidR="00B35321">
              <w:rPr>
                <w:rFonts w:ascii="Palatino Linotype" w:hAnsi="Palatino Linotype"/>
                <w:b w:val="0"/>
                <w:bCs w:val="0"/>
                <w:noProof/>
                <w:webHidden/>
                <w:color w:val="000000" w:themeColor="text1"/>
              </w:rPr>
              <w:t>12</w:t>
            </w:r>
            <w:r w:rsidR="004B4C9A" w:rsidRPr="00BE655A">
              <w:rPr>
                <w:rFonts w:ascii="Palatino Linotype" w:hAnsi="Palatino Linotype"/>
                <w:b w:val="0"/>
                <w:bCs w:val="0"/>
                <w:noProof/>
                <w:webHidden/>
                <w:color w:val="000000" w:themeColor="text1"/>
              </w:rPr>
              <w:fldChar w:fldCharType="end"/>
            </w:r>
          </w:hyperlink>
        </w:p>
        <w:p w14:paraId="7DE9C793" w14:textId="1156BD6F" w:rsidR="004B4C9A" w:rsidRPr="00BE655A" w:rsidRDefault="00AF13DA" w:rsidP="00DB35AD">
          <w:pPr>
            <w:pStyle w:val="TDC2"/>
            <w:tabs>
              <w:tab w:val="right" w:leader="dot" w:pos="9034"/>
            </w:tabs>
            <w:spacing w:before="0" w:line="360" w:lineRule="auto"/>
            <w:contextualSpacing/>
            <w:jc w:val="both"/>
            <w:rPr>
              <w:rFonts w:ascii="Palatino Linotype" w:hAnsi="Palatino Linotype"/>
              <w:b w:val="0"/>
              <w:bCs w:val="0"/>
              <w:noProof/>
              <w:color w:val="000000" w:themeColor="text1"/>
            </w:rPr>
          </w:pPr>
          <w:hyperlink w:anchor="_Toc188481302" w:history="1">
            <w:r w:rsidR="004B4C9A" w:rsidRPr="00BE655A">
              <w:rPr>
                <w:rStyle w:val="Hipervnculo"/>
                <w:rFonts w:ascii="Palatino Linotype" w:hAnsi="Palatino Linotype"/>
                <w:b w:val="0"/>
                <w:bCs w:val="0"/>
                <w:noProof/>
                <w:color w:val="000000" w:themeColor="text1"/>
              </w:rPr>
              <w:t>SEXTO. Decisión</w:t>
            </w:r>
            <w:r w:rsidR="004B4C9A" w:rsidRPr="00BE655A">
              <w:rPr>
                <w:rFonts w:ascii="Palatino Linotype" w:hAnsi="Palatino Linotype"/>
                <w:b w:val="0"/>
                <w:bCs w:val="0"/>
                <w:noProof/>
                <w:webHidden/>
                <w:color w:val="000000" w:themeColor="text1"/>
              </w:rPr>
              <w:tab/>
            </w:r>
            <w:r w:rsidR="004E1667" w:rsidRPr="00BE655A">
              <w:rPr>
                <w:rFonts w:ascii="Palatino Linotype" w:hAnsi="Palatino Linotype"/>
                <w:b w:val="0"/>
                <w:bCs w:val="0"/>
                <w:noProof/>
                <w:webHidden/>
                <w:color w:val="000000" w:themeColor="text1"/>
              </w:rPr>
              <w:t>24</w:t>
            </w:r>
          </w:hyperlink>
        </w:p>
        <w:p w14:paraId="0C9A5169" w14:textId="5178AC9F" w:rsidR="004B4C9A" w:rsidRPr="00BE655A" w:rsidRDefault="00AF13DA" w:rsidP="00DB35AD">
          <w:pPr>
            <w:pStyle w:val="TDC1"/>
            <w:tabs>
              <w:tab w:val="right" w:leader="dot" w:pos="9034"/>
            </w:tabs>
            <w:spacing w:before="0" w:line="360" w:lineRule="auto"/>
            <w:contextualSpacing/>
            <w:jc w:val="both"/>
            <w:rPr>
              <w:rFonts w:ascii="Palatino Linotype" w:hAnsi="Palatino Linotype"/>
              <w:b w:val="0"/>
              <w:bCs w:val="0"/>
              <w:i w:val="0"/>
              <w:iCs w:val="0"/>
              <w:noProof/>
              <w:color w:val="000000" w:themeColor="text1"/>
              <w:sz w:val="22"/>
              <w:szCs w:val="22"/>
            </w:rPr>
          </w:pPr>
          <w:hyperlink w:anchor="_Toc188481303" w:history="1">
            <w:r w:rsidR="004B4C9A" w:rsidRPr="00BE655A">
              <w:rPr>
                <w:rStyle w:val="Hipervnculo"/>
                <w:rFonts w:ascii="Palatino Linotype" w:hAnsi="Palatino Linotype"/>
                <w:b w:val="0"/>
                <w:bCs w:val="0"/>
                <w:i w:val="0"/>
                <w:iCs w:val="0"/>
                <w:noProof/>
                <w:color w:val="000000" w:themeColor="text1"/>
                <w:sz w:val="22"/>
                <w:szCs w:val="22"/>
              </w:rPr>
              <w:t>R E S U E L V E</w:t>
            </w:r>
            <w:r w:rsidR="004B4C9A" w:rsidRPr="00BE655A">
              <w:rPr>
                <w:rFonts w:ascii="Palatino Linotype" w:hAnsi="Palatino Linotype"/>
                <w:b w:val="0"/>
                <w:bCs w:val="0"/>
                <w:i w:val="0"/>
                <w:iCs w:val="0"/>
                <w:noProof/>
                <w:webHidden/>
                <w:color w:val="000000" w:themeColor="text1"/>
                <w:sz w:val="22"/>
                <w:szCs w:val="22"/>
              </w:rPr>
              <w:tab/>
            </w:r>
            <w:r w:rsidR="004E1667" w:rsidRPr="00BE655A">
              <w:rPr>
                <w:rFonts w:ascii="Palatino Linotype" w:hAnsi="Palatino Linotype"/>
                <w:b w:val="0"/>
                <w:bCs w:val="0"/>
                <w:i w:val="0"/>
                <w:iCs w:val="0"/>
                <w:noProof/>
                <w:webHidden/>
                <w:color w:val="000000" w:themeColor="text1"/>
                <w:sz w:val="22"/>
                <w:szCs w:val="22"/>
              </w:rPr>
              <w:t>25</w:t>
            </w:r>
          </w:hyperlink>
        </w:p>
        <w:p w14:paraId="1731D821" w14:textId="77777777" w:rsidR="004B4C9A" w:rsidRPr="00BE655A" w:rsidRDefault="004B4C9A" w:rsidP="00DB35AD">
          <w:pPr>
            <w:spacing w:line="360" w:lineRule="auto"/>
            <w:contextualSpacing/>
            <w:jc w:val="both"/>
            <w:rPr>
              <w:rFonts w:ascii="Palatino Linotype" w:hAnsi="Palatino Linotype"/>
            </w:rPr>
          </w:pPr>
          <w:r w:rsidRPr="00BE655A">
            <w:rPr>
              <w:rFonts w:ascii="Palatino Linotype" w:hAnsi="Palatino Linotype"/>
              <w:noProof/>
              <w:color w:val="000000" w:themeColor="text1"/>
              <w:sz w:val="22"/>
              <w:szCs w:val="22"/>
            </w:rPr>
            <w:fldChar w:fldCharType="end"/>
          </w:r>
        </w:p>
      </w:sdtContent>
    </w:sdt>
    <w:p w14:paraId="6E3D1931" w14:textId="77777777" w:rsidR="004B4C9A" w:rsidRPr="00BE655A" w:rsidRDefault="004B4C9A" w:rsidP="00DB35AD">
      <w:pPr>
        <w:spacing w:line="360" w:lineRule="auto"/>
        <w:ind w:right="-28"/>
        <w:contextualSpacing/>
        <w:jc w:val="both"/>
        <w:rPr>
          <w:rFonts w:ascii="Palatino Linotype" w:hAnsi="Palatino Linotype" w:cs="Tahoma"/>
          <w:bCs/>
          <w:sz w:val="22"/>
          <w:szCs w:val="22"/>
        </w:rPr>
      </w:pPr>
      <w:r w:rsidRPr="00BE655A">
        <w:rPr>
          <w:rFonts w:ascii="Palatino Linotype" w:hAnsi="Palatino Linotype" w:cs="Tahoma"/>
          <w:bCs/>
          <w:sz w:val="22"/>
          <w:szCs w:val="22"/>
        </w:rPr>
        <w:br w:type="column"/>
      </w:r>
    </w:p>
    <w:p w14:paraId="38FC5746" w14:textId="153C5B3A" w:rsidR="004B4C9A" w:rsidRPr="00BE655A" w:rsidRDefault="004B4C9A" w:rsidP="00DB35AD">
      <w:pPr>
        <w:spacing w:line="360" w:lineRule="auto"/>
        <w:ind w:right="-28"/>
        <w:contextualSpacing/>
        <w:jc w:val="both"/>
        <w:rPr>
          <w:rFonts w:ascii="Palatino Linotype" w:hAnsi="Palatino Linotype" w:cs="Tahoma"/>
          <w:bCs/>
          <w:sz w:val="22"/>
          <w:szCs w:val="22"/>
        </w:rPr>
      </w:pPr>
      <w:r w:rsidRPr="00BE655A">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DB35AD" w:rsidRPr="00BE655A">
        <w:rPr>
          <w:rFonts w:ascii="Palatino Linotype" w:hAnsi="Palatino Linotype" w:cs="Tahoma"/>
          <w:bCs/>
          <w:sz w:val="22"/>
          <w:szCs w:val="22"/>
        </w:rPr>
        <w:t>dos</w:t>
      </w:r>
      <w:r w:rsidRPr="00BE655A">
        <w:rPr>
          <w:rFonts w:ascii="Palatino Linotype" w:hAnsi="Palatino Linotype" w:cs="Tahoma"/>
          <w:bCs/>
          <w:sz w:val="22"/>
          <w:szCs w:val="22"/>
        </w:rPr>
        <w:t xml:space="preserve"> de </w:t>
      </w:r>
      <w:r w:rsidR="00DB35AD" w:rsidRPr="00BE655A">
        <w:rPr>
          <w:rFonts w:ascii="Palatino Linotype" w:hAnsi="Palatino Linotype" w:cs="Tahoma"/>
          <w:bCs/>
          <w:sz w:val="22"/>
          <w:szCs w:val="22"/>
        </w:rPr>
        <w:t xml:space="preserve">abril </w:t>
      </w:r>
      <w:r w:rsidRPr="00BE655A">
        <w:rPr>
          <w:rFonts w:ascii="Palatino Linotype" w:hAnsi="Palatino Linotype" w:cs="Tahoma"/>
          <w:bCs/>
          <w:sz w:val="22"/>
          <w:szCs w:val="22"/>
        </w:rPr>
        <w:t>de dos mil veinticinco.</w:t>
      </w:r>
    </w:p>
    <w:p w14:paraId="43ACF69D" w14:textId="77777777" w:rsidR="004B4C9A" w:rsidRPr="00BE655A" w:rsidRDefault="004B4C9A" w:rsidP="00DB35AD">
      <w:pPr>
        <w:spacing w:line="360" w:lineRule="auto"/>
        <w:ind w:right="-28"/>
        <w:contextualSpacing/>
        <w:jc w:val="both"/>
        <w:rPr>
          <w:rFonts w:ascii="Palatino Linotype" w:hAnsi="Palatino Linotype"/>
          <w:noProof/>
          <w:sz w:val="22"/>
          <w:szCs w:val="22"/>
          <w:lang w:val="es-ES"/>
        </w:rPr>
      </w:pPr>
    </w:p>
    <w:p w14:paraId="5D7DCB3C" w14:textId="6B8412A5" w:rsidR="004B4C9A" w:rsidRPr="00BE655A" w:rsidRDefault="004B4C9A" w:rsidP="00DB35AD">
      <w:pPr>
        <w:spacing w:line="360" w:lineRule="auto"/>
        <w:ind w:right="-28"/>
        <w:contextualSpacing/>
        <w:jc w:val="both"/>
        <w:rPr>
          <w:rFonts w:ascii="Palatino Linotype" w:hAnsi="Palatino Linotype" w:cs="Tahoma"/>
          <w:bCs/>
          <w:sz w:val="22"/>
          <w:szCs w:val="22"/>
        </w:rPr>
      </w:pPr>
      <w:r w:rsidRPr="00BE655A">
        <w:rPr>
          <w:rFonts w:ascii="Palatino Linotype" w:hAnsi="Palatino Linotype" w:cs="Tahoma"/>
          <w:b/>
          <w:bCs/>
          <w:sz w:val="22"/>
          <w:szCs w:val="22"/>
        </w:rPr>
        <w:t xml:space="preserve">VISTO </w:t>
      </w:r>
      <w:r w:rsidRPr="00BE655A">
        <w:rPr>
          <w:rFonts w:ascii="Palatino Linotype" w:hAnsi="Palatino Linotype" w:cs="Tahoma"/>
          <w:bCs/>
          <w:sz w:val="22"/>
          <w:szCs w:val="22"/>
        </w:rPr>
        <w:t xml:space="preserve">el expediente conformado con motivo de los Recursos de Revisión </w:t>
      </w:r>
      <w:r w:rsidRPr="00BE655A">
        <w:rPr>
          <w:rFonts w:ascii="Palatino Linotype" w:hAnsi="Palatino Linotype" w:cs="Tahoma"/>
          <w:b/>
          <w:bCs/>
          <w:color w:val="0D0D0D" w:themeColor="text1" w:themeTint="F2"/>
          <w:sz w:val="22"/>
          <w:szCs w:val="22"/>
        </w:rPr>
        <w:t>01056/INFOEM/IP/RR/2025</w:t>
      </w:r>
      <w:r w:rsidRPr="00BE655A">
        <w:rPr>
          <w:rFonts w:ascii="Palatino Linotype" w:hAnsi="Palatino Linotype" w:cs="Tahoma"/>
          <w:color w:val="0D0D0D" w:themeColor="text1" w:themeTint="F2"/>
          <w:sz w:val="22"/>
          <w:szCs w:val="22"/>
        </w:rPr>
        <w:t xml:space="preserve"> y </w:t>
      </w:r>
      <w:r w:rsidRPr="00BE655A">
        <w:rPr>
          <w:rFonts w:ascii="Palatino Linotype" w:hAnsi="Palatino Linotype" w:cs="Tahoma"/>
          <w:b/>
          <w:bCs/>
          <w:color w:val="0D0D0D" w:themeColor="text1" w:themeTint="F2"/>
          <w:sz w:val="22"/>
          <w:szCs w:val="22"/>
        </w:rPr>
        <w:t>01059/INFOEM/IP/RR/2025</w:t>
      </w:r>
      <w:r w:rsidRPr="00BE655A">
        <w:rPr>
          <w:rFonts w:ascii="Palatino Linotype" w:hAnsi="Palatino Linotype" w:cs="Tahoma"/>
          <w:sz w:val="22"/>
          <w:szCs w:val="22"/>
        </w:rPr>
        <w:t xml:space="preserve">, interpuestos por </w:t>
      </w:r>
      <w:r w:rsidR="00DB3A1E">
        <w:rPr>
          <w:rFonts w:ascii="Palatino Linotype" w:hAnsi="Palatino Linotype"/>
          <w:sz w:val="22"/>
          <w:szCs w:val="22"/>
          <w:highlight w:val="black"/>
          <w:lang w:eastAsia="es-MX"/>
        </w:rPr>
        <w:t>XXXXXXXXXXX</w:t>
      </w:r>
      <w:bookmarkStart w:id="0" w:name="_GoBack"/>
      <w:bookmarkEnd w:id="0"/>
      <w:r w:rsidRPr="00BE655A">
        <w:rPr>
          <w:rFonts w:ascii="Palatino Linotype" w:hAnsi="Palatino Linotype"/>
          <w:sz w:val="22"/>
          <w:szCs w:val="22"/>
          <w:lang w:eastAsia="es-MX"/>
        </w:rPr>
        <w:t xml:space="preserve">, </w:t>
      </w:r>
      <w:r w:rsidRPr="00BE655A">
        <w:rPr>
          <w:rFonts w:ascii="Palatino Linotype" w:hAnsi="Palatino Linotype" w:cs="Tahoma"/>
          <w:sz w:val="22"/>
          <w:szCs w:val="22"/>
        </w:rPr>
        <w:t xml:space="preserve">en lo sucesivo el Recurrente o Particular, en contra de las respuestas del Sujeto Obligado, </w:t>
      </w:r>
      <w:r w:rsidRPr="00F60B61">
        <w:rPr>
          <w:rFonts w:ascii="Palatino Linotype" w:hAnsi="Palatino Linotype"/>
          <w:b/>
          <w:bCs/>
          <w:color w:val="000000"/>
          <w:sz w:val="22"/>
          <w:szCs w:val="22"/>
        </w:rPr>
        <w:t>Ayuntamiento de la Tenancingo</w:t>
      </w:r>
      <w:r w:rsidRPr="00BE655A">
        <w:rPr>
          <w:rFonts w:ascii="Palatino Linotype" w:hAnsi="Palatino Linotype" w:cs="Tahoma"/>
          <w:sz w:val="22"/>
          <w:szCs w:val="22"/>
        </w:rPr>
        <w:t>, a las solicitudes de acceso a la información pública</w:t>
      </w:r>
      <w:r w:rsidRPr="00BE655A">
        <w:rPr>
          <w:rFonts w:ascii="Palatino Linotype" w:hAnsi="Palatino Linotype" w:cs="Tahoma"/>
          <w:bCs/>
          <w:sz w:val="22"/>
          <w:szCs w:val="22"/>
        </w:rPr>
        <w:t xml:space="preserve"> con número de folio </w:t>
      </w:r>
      <w:r w:rsidRPr="00BE655A">
        <w:rPr>
          <w:rFonts w:ascii="Palatino Linotype" w:hAnsi="Palatino Linotype"/>
          <w:sz w:val="22"/>
          <w:szCs w:val="22"/>
        </w:rPr>
        <w:t>00045/TENANCIN/IP/2025 y</w:t>
      </w:r>
      <w:r w:rsidRPr="00BE655A">
        <w:rPr>
          <w:rFonts w:ascii="Palatino Linotype" w:hAnsi="Palatino Linotype"/>
          <w:color w:val="FF0000"/>
        </w:rPr>
        <w:t> </w:t>
      </w:r>
      <w:r w:rsidRPr="00BE655A">
        <w:rPr>
          <w:rFonts w:ascii="Palatino Linotype" w:hAnsi="Palatino Linotype"/>
          <w:sz w:val="22"/>
          <w:szCs w:val="22"/>
        </w:rPr>
        <w:t>00048/TENANCIN/IP/2025</w:t>
      </w:r>
      <w:r w:rsidRPr="00BE655A">
        <w:rPr>
          <w:rFonts w:ascii="Palatino Linotype" w:hAnsi="Palatino Linotype" w:cs="Tahoma"/>
          <w:bCs/>
          <w:sz w:val="22"/>
          <w:szCs w:val="22"/>
        </w:rPr>
        <w:t>, se emite la presente Resolución, con base en los Antecedentes y Considerandos que se exponen a continuación:</w:t>
      </w:r>
    </w:p>
    <w:p w14:paraId="3DEAB3B5" w14:textId="77777777" w:rsidR="004B4C9A" w:rsidRPr="00BE655A" w:rsidRDefault="004B4C9A" w:rsidP="00DB35AD">
      <w:pPr>
        <w:spacing w:line="360" w:lineRule="auto"/>
        <w:ind w:right="-28"/>
        <w:contextualSpacing/>
        <w:jc w:val="both"/>
        <w:rPr>
          <w:rFonts w:ascii="Palatino Linotype" w:hAnsi="Palatino Linotype" w:cs="Tahoma"/>
          <w:b/>
          <w:bCs/>
          <w:color w:val="0D0D0D" w:themeColor="text1" w:themeTint="F2"/>
          <w:sz w:val="22"/>
          <w:szCs w:val="22"/>
        </w:rPr>
      </w:pPr>
    </w:p>
    <w:p w14:paraId="6FFD0AB5" w14:textId="77777777" w:rsidR="004B4C9A" w:rsidRPr="00BE655A" w:rsidRDefault="004B4C9A" w:rsidP="00DB35AD">
      <w:pPr>
        <w:pStyle w:val="Ttulo1"/>
        <w:spacing w:line="360" w:lineRule="auto"/>
        <w:contextualSpacing/>
        <w:jc w:val="center"/>
        <w:rPr>
          <w:rFonts w:ascii="Palatino Linotype" w:hAnsi="Palatino Linotype"/>
          <w:b/>
          <w:bCs/>
          <w:color w:val="auto"/>
          <w:sz w:val="22"/>
          <w:szCs w:val="22"/>
        </w:rPr>
      </w:pPr>
      <w:bookmarkStart w:id="1" w:name="_Toc188481291"/>
      <w:r w:rsidRPr="00BE655A">
        <w:rPr>
          <w:rFonts w:ascii="Palatino Linotype" w:hAnsi="Palatino Linotype"/>
          <w:b/>
          <w:bCs/>
          <w:color w:val="auto"/>
          <w:sz w:val="22"/>
          <w:szCs w:val="22"/>
        </w:rPr>
        <w:t>A N T E C E D E N T E S</w:t>
      </w:r>
      <w:bookmarkEnd w:id="1"/>
    </w:p>
    <w:p w14:paraId="5990A76E" w14:textId="77777777" w:rsidR="004B4C9A" w:rsidRPr="00BE655A" w:rsidRDefault="004B4C9A" w:rsidP="00DB35AD">
      <w:pPr>
        <w:tabs>
          <w:tab w:val="center" w:pos="4522"/>
          <w:tab w:val="left" w:pos="7245"/>
          <w:tab w:val="right" w:pos="9044"/>
        </w:tabs>
        <w:spacing w:line="360" w:lineRule="auto"/>
        <w:ind w:right="-28"/>
        <w:contextualSpacing/>
        <w:rPr>
          <w:rFonts w:ascii="Palatino Linotype" w:hAnsi="Palatino Linotype" w:cs="Tahoma"/>
          <w:b/>
          <w:sz w:val="22"/>
          <w:szCs w:val="22"/>
        </w:rPr>
      </w:pPr>
    </w:p>
    <w:p w14:paraId="1D741389" w14:textId="69346FC3" w:rsidR="004B4C9A" w:rsidRPr="00BE655A" w:rsidRDefault="004B4C9A" w:rsidP="00DB35AD">
      <w:pPr>
        <w:pStyle w:val="Ttulo2"/>
        <w:spacing w:line="360" w:lineRule="auto"/>
        <w:contextualSpacing/>
        <w:rPr>
          <w:rFonts w:ascii="Palatino Linotype" w:hAnsi="Palatino Linotype"/>
          <w:b/>
          <w:bCs/>
          <w:color w:val="auto"/>
          <w:sz w:val="22"/>
          <w:szCs w:val="22"/>
        </w:rPr>
      </w:pPr>
      <w:bookmarkStart w:id="2" w:name="_Toc188481292"/>
      <w:r w:rsidRPr="00BE655A">
        <w:rPr>
          <w:rFonts w:ascii="Palatino Linotype" w:hAnsi="Palatino Linotype"/>
          <w:b/>
          <w:bCs/>
          <w:color w:val="auto"/>
          <w:sz w:val="22"/>
          <w:szCs w:val="22"/>
        </w:rPr>
        <w:t>I. Presentación de las solicitudes de información</w:t>
      </w:r>
      <w:bookmarkEnd w:id="2"/>
    </w:p>
    <w:p w14:paraId="091E29D1" w14:textId="77777777" w:rsidR="004B4C9A" w:rsidRPr="00BE655A" w:rsidRDefault="004B4C9A" w:rsidP="00DB35AD">
      <w:pPr>
        <w:pStyle w:val="Prrafodelista"/>
        <w:tabs>
          <w:tab w:val="left" w:pos="1050"/>
        </w:tabs>
        <w:spacing w:line="360" w:lineRule="auto"/>
        <w:ind w:left="0" w:right="-28"/>
        <w:jc w:val="both"/>
        <w:rPr>
          <w:rFonts w:ascii="Palatino Linotype" w:hAnsi="Palatino Linotype" w:cs="Tahoma"/>
          <w:szCs w:val="22"/>
        </w:rPr>
      </w:pPr>
    </w:p>
    <w:p w14:paraId="6536EF7F" w14:textId="767359F4" w:rsidR="004B4C9A" w:rsidRPr="00BE655A" w:rsidRDefault="004B4C9A" w:rsidP="00DB35AD">
      <w:pPr>
        <w:autoSpaceDE w:val="0"/>
        <w:autoSpaceDN w:val="0"/>
        <w:adjustRightInd w:val="0"/>
        <w:spacing w:line="360" w:lineRule="auto"/>
        <w:contextualSpacing/>
        <w:jc w:val="both"/>
        <w:rPr>
          <w:rFonts w:ascii="Palatino Linotype" w:hAnsi="Palatino Linotype" w:cs="Tahoma"/>
          <w:sz w:val="22"/>
          <w:szCs w:val="22"/>
          <w:lang w:val="es-ES"/>
        </w:rPr>
      </w:pPr>
      <w:r w:rsidRPr="00BE655A">
        <w:rPr>
          <w:rFonts w:ascii="Palatino Linotype" w:hAnsi="Palatino Linotype" w:cs="Tahoma"/>
          <w:sz w:val="22"/>
          <w:szCs w:val="22"/>
        </w:rPr>
        <w:t>Con fechas trece de enero de dos mil veinticinco, el Particular presentó dos solicitudes de acceso a la información pública, a través del Sistema de Acceso a la Información Mexiquense</w:t>
      </w:r>
      <w:r w:rsidR="001E09A1" w:rsidRPr="00BE655A">
        <w:rPr>
          <w:rFonts w:ascii="Palatino Linotype" w:hAnsi="Palatino Linotype" w:cs="Tahoma"/>
          <w:sz w:val="22"/>
          <w:szCs w:val="22"/>
        </w:rPr>
        <w:t>, en lo sucesivo</w:t>
      </w:r>
      <w:r w:rsidRPr="00BE655A">
        <w:rPr>
          <w:rFonts w:ascii="Palatino Linotype" w:hAnsi="Palatino Linotype" w:cs="Tahoma"/>
          <w:sz w:val="22"/>
          <w:szCs w:val="22"/>
        </w:rPr>
        <w:t xml:space="preserve"> </w:t>
      </w:r>
      <w:r w:rsidR="001E09A1" w:rsidRPr="00BE655A">
        <w:rPr>
          <w:rFonts w:ascii="Palatino Linotype" w:hAnsi="Palatino Linotype" w:cs="Tahoma"/>
          <w:sz w:val="22"/>
          <w:szCs w:val="22"/>
        </w:rPr>
        <w:t xml:space="preserve">al </w:t>
      </w:r>
      <w:r w:rsidRPr="00BE655A">
        <w:rPr>
          <w:rFonts w:ascii="Palatino Linotype" w:hAnsi="Palatino Linotype" w:cs="Tahoma"/>
          <w:sz w:val="22"/>
          <w:szCs w:val="22"/>
        </w:rPr>
        <w:t xml:space="preserve">SAIMEX, ante </w:t>
      </w:r>
      <w:r w:rsidRPr="00BE655A">
        <w:rPr>
          <w:rFonts w:ascii="Palatino Linotype" w:hAnsi="Palatino Linotype"/>
          <w:bCs/>
          <w:color w:val="000000"/>
          <w:sz w:val="22"/>
          <w:szCs w:val="22"/>
        </w:rPr>
        <w:t>el Ayuntamiento de Tenancingo,</w:t>
      </w:r>
      <w:r w:rsidRPr="00BE655A">
        <w:rPr>
          <w:rFonts w:ascii="Palatino Linotype" w:hAnsi="Palatino Linotype" w:cs="Tahoma"/>
          <w:b/>
          <w:bCs/>
          <w:sz w:val="22"/>
          <w:szCs w:val="22"/>
        </w:rPr>
        <w:t xml:space="preserve"> </w:t>
      </w:r>
      <w:r w:rsidRPr="00BE655A">
        <w:rPr>
          <w:rFonts w:ascii="Palatino Linotype" w:hAnsi="Palatino Linotype" w:cs="Tahoma"/>
          <w:sz w:val="22"/>
          <w:szCs w:val="22"/>
          <w:lang w:val="es-ES"/>
        </w:rPr>
        <w:t>mediante las cuales requirió lo siguiente:</w:t>
      </w:r>
    </w:p>
    <w:p w14:paraId="078EBA4D" w14:textId="77777777" w:rsidR="004B4C9A" w:rsidRPr="00BE655A" w:rsidRDefault="004B4C9A" w:rsidP="00DB35AD">
      <w:pPr>
        <w:autoSpaceDE w:val="0"/>
        <w:autoSpaceDN w:val="0"/>
        <w:adjustRightInd w:val="0"/>
        <w:spacing w:line="360" w:lineRule="auto"/>
        <w:contextualSpacing/>
        <w:jc w:val="both"/>
        <w:rPr>
          <w:rFonts w:ascii="Palatino Linotype" w:hAnsi="Palatino Linotype" w:cs="Tahoma"/>
          <w:sz w:val="22"/>
          <w:szCs w:val="22"/>
          <w:lang w:val="es-ES"/>
        </w:rPr>
      </w:pPr>
    </w:p>
    <w:p w14:paraId="28AA82C2" w14:textId="34C8B018" w:rsidR="004B4C9A" w:rsidRPr="00BE655A" w:rsidRDefault="004B4C9A" w:rsidP="00DB35AD">
      <w:pPr>
        <w:autoSpaceDE w:val="0"/>
        <w:autoSpaceDN w:val="0"/>
        <w:adjustRightInd w:val="0"/>
        <w:spacing w:line="360" w:lineRule="auto"/>
        <w:ind w:firstLine="567"/>
        <w:contextualSpacing/>
        <w:jc w:val="both"/>
        <w:rPr>
          <w:rFonts w:ascii="Palatino Linotype" w:hAnsi="Palatino Linotype"/>
          <w:b/>
          <w:i/>
          <w:iCs/>
        </w:rPr>
      </w:pPr>
      <w:r w:rsidRPr="00BE655A">
        <w:rPr>
          <w:rFonts w:ascii="Palatino Linotype" w:hAnsi="Palatino Linotype"/>
          <w:b/>
          <w:i/>
          <w:iCs/>
        </w:rPr>
        <w:t>Solicitud de información 00045/TENANCIN/IP/2025</w:t>
      </w:r>
    </w:p>
    <w:p w14:paraId="1E8A9567" w14:textId="5774E313" w:rsidR="004B4C9A" w:rsidRPr="00BE655A" w:rsidRDefault="004B4C9A" w:rsidP="00DB35AD">
      <w:pPr>
        <w:tabs>
          <w:tab w:val="left" w:pos="4667"/>
        </w:tabs>
        <w:spacing w:line="360" w:lineRule="auto"/>
        <w:ind w:left="567" w:right="567"/>
        <w:contextualSpacing/>
        <w:jc w:val="both"/>
        <w:rPr>
          <w:rFonts w:ascii="Palatino Linotype" w:hAnsi="Palatino Linotype" w:cs="Tahoma"/>
          <w:b/>
          <w:bCs/>
          <w:i/>
          <w:iCs/>
        </w:rPr>
      </w:pPr>
      <w:r w:rsidRPr="00BE655A">
        <w:rPr>
          <w:rFonts w:ascii="Palatino Linotype" w:hAnsi="Palatino Linotype" w:cs="Tahoma"/>
          <w:b/>
          <w:bCs/>
          <w:i/>
          <w:iCs/>
        </w:rPr>
        <w:t>DESCRIPCIÓN CLARA Y PRECISA DE LA INFORMACIÓN SOLICITADA</w:t>
      </w:r>
    </w:p>
    <w:p w14:paraId="459252E1" w14:textId="4A4C65AD" w:rsidR="004B4C9A" w:rsidRPr="00BE655A" w:rsidRDefault="008A23B8" w:rsidP="00DB35AD">
      <w:pPr>
        <w:spacing w:line="360" w:lineRule="auto"/>
        <w:ind w:left="567" w:right="567"/>
        <w:contextualSpacing/>
        <w:jc w:val="both"/>
        <w:rPr>
          <w:rFonts w:ascii="Palatino Linotype" w:hAnsi="Palatino Linotype" w:cs="Tahoma"/>
          <w:bCs/>
          <w:i/>
          <w:iCs/>
        </w:rPr>
      </w:pPr>
      <w:r w:rsidRPr="00BE655A">
        <w:rPr>
          <w:rFonts w:ascii="Palatino Linotype" w:hAnsi="Palatino Linotype"/>
          <w:i/>
          <w:iCs/>
          <w:color w:val="000000"/>
        </w:rPr>
        <w:t>“</w:t>
      </w:r>
      <w:r w:rsidR="004B4C9A" w:rsidRPr="00BE655A">
        <w:rPr>
          <w:rFonts w:ascii="Palatino Linotype" w:hAnsi="Palatino Linotype"/>
          <w:i/>
          <w:iCs/>
          <w:color w:val="000000"/>
        </w:rPr>
        <w:t xml:space="preserve">recibos de </w:t>
      </w:r>
      <w:proofErr w:type="spellStart"/>
      <w:r w:rsidR="004B4C9A" w:rsidRPr="00BE655A">
        <w:rPr>
          <w:rFonts w:ascii="Palatino Linotype" w:hAnsi="Palatino Linotype"/>
          <w:i/>
          <w:iCs/>
          <w:color w:val="000000"/>
        </w:rPr>
        <w:t>nomina</w:t>
      </w:r>
      <w:proofErr w:type="spellEnd"/>
      <w:r w:rsidR="004B4C9A" w:rsidRPr="00BE655A">
        <w:rPr>
          <w:rFonts w:ascii="Palatino Linotype" w:hAnsi="Palatino Linotype"/>
          <w:i/>
          <w:iCs/>
          <w:color w:val="000000"/>
        </w:rPr>
        <w:t xml:space="preserve"> de los integrantes del </w:t>
      </w:r>
      <w:proofErr w:type="spellStart"/>
      <w:r w:rsidR="004B4C9A" w:rsidRPr="00BE655A">
        <w:rPr>
          <w:rFonts w:ascii="Palatino Linotype" w:hAnsi="Palatino Linotype"/>
          <w:i/>
          <w:iCs/>
          <w:color w:val="000000"/>
        </w:rPr>
        <w:t>ayuntamineto</w:t>
      </w:r>
      <w:proofErr w:type="spellEnd"/>
      <w:r w:rsidR="004B4C9A" w:rsidRPr="00BE655A">
        <w:rPr>
          <w:rFonts w:ascii="Palatino Linotype" w:hAnsi="Palatino Linotype"/>
          <w:i/>
          <w:iCs/>
          <w:color w:val="000000"/>
        </w:rPr>
        <w:t xml:space="preserve">, presidenta, regidores, sindico, titulares de </w:t>
      </w:r>
      <w:proofErr w:type="spellStart"/>
      <w:r w:rsidR="004B4C9A" w:rsidRPr="00BE655A">
        <w:rPr>
          <w:rFonts w:ascii="Palatino Linotype" w:hAnsi="Palatino Linotype"/>
          <w:i/>
          <w:iCs/>
          <w:color w:val="000000"/>
        </w:rPr>
        <w:t>area</w:t>
      </w:r>
      <w:proofErr w:type="spellEnd"/>
      <w:r w:rsidR="004B4C9A" w:rsidRPr="00BE655A">
        <w:rPr>
          <w:rFonts w:ascii="Palatino Linotype" w:hAnsi="Palatino Linotype"/>
          <w:i/>
          <w:iCs/>
          <w:color w:val="000000"/>
        </w:rPr>
        <w:t>, directores, coordinadores, de la primer quincena de enero de 2025.</w:t>
      </w:r>
      <w:r w:rsidR="004B4C9A" w:rsidRPr="00BE655A">
        <w:rPr>
          <w:rFonts w:ascii="Palatino Linotype" w:hAnsi="Palatino Linotype" w:cs="Tahoma"/>
          <w:bCs/>
          <w:i/>
          <w:iCs/>
        </w:rPr>
        <w:t>” (Sic)</w:t>
      </w:r>
      <w:r w:rsidRPr="00BE655A">
        <w:rPr>
          <w:rFonts w:ascii="Palatino Linotype" w:hAnsi="Palatino Linotype" w:cs="Tahoma"/>
          <w:bCs/>
          <w:i/>
          <w:iCs/>
        </w:rPr>
        <w:t>.</w:t>
      </w:r>
    </w:p>
    <w:p w14:paraId="19826000" w14:textId="77777777" w:rsidR="004B4C9A" w:rsidRPr="00BE655A" w:rsidRDefault="004B4C9A" w:rsidP="00DB35AD">
      <w:pPr>
        <w:tabs>
          <w:tab w:val="left" w:pos="4667"/>
        </w:tabs>
        <w:spacing w:line="360" w:lineRule="auto"/>
        <w:ind w:right="567"/>
        <w:contextualSpacing/>
        <w:jc w:val="both"/>
        <w:rPr>
          <w:rFonts w:ascii="Palatino Linotype" w:hAnsi="Palatino Linotype" w:cs="Tahoma"/>
          <w:b/>
          <w:bCs/>
          <w:i/>
        </w:rPr>
      </w:pPr>
    </w:p>
    <w:p w14:paraId="027F8B81" w14:textId="09DE3B3C" w:rsidR="004B4C9A" w:rsidRPr="00BE655A" w:rsidRDefault="004B4C9A" w:rsidP="00DB35AD">
      <w:pPr>
        <w:autoSpaceDE w:val="0"/>
        <w:autoSpaceDN w:val="0"/>
        <w:adjustRightInd w:val="0"/>
        <w:spacing w:line="360" w:lineRule="auto"/>
        <w:ind w:firstLine="567"/>
        <w:contextualSpacing/>
        <w:jc w:val="both"/>
        <w:rPr>
          <w:rFonts w:ascii="Palatino Linotype" w:hAnsi="Palatino Linotype"/>
          <w:b/>
          <w:i/>
          <w:iCs/>
        </w:rPr>
      </w:pPr>
      <w:bookmarkStart w:id="3" w:name="_Hlk182343885"/>
      <w:r w:rsidRPr="00BE655A">
        <w:rPr>
          <w:rFonts w:ascii="Palatino Linotype" w:hAnsi="Palatino Linotype"/>
          <w:b/>
          <w:i/>
          <w:iCs/>
        </w:rPr>
        <w:lastRenderedPageBreak/>
        <w:t>Solicitud de información 00048/TENANCIN/IP/2025</w:t>
      </w:r>
    </w:p>
    <w:p w14:paraId="3C711FA0" w14:textId="6FE57416" w:rsidR="004B4C9A" w:rsidRPr="00BE655A" w:rsidRDefault="004B4C9A" w:rsidP="00DB35AD">
      <w:pPr>
        <w:tabs>
          <w:tab w:val="left" w:pos="4667"/>
        </w:tabs>
        <w:spacing w:line="360" w:lineRule="auto"/>
        <w:ind w:left="567" w:right="567"/>
        <w:contextualSpacing/>
        <w:jc w:val="both"/>
        <w:rPr>
          <w:rFonts w:ascii="Palatino Linotype" w:hAnsi="Palatino Linotype" w:cs="Tahoma"/>
          <w:b/>
          <w:bCs/>
          <w:i/>
          <w:iCs/>
        </w:rPr>
      </w:pPr>
      <w:r w:rsidRPr="00BE655A">
        <w:rPr>
          <w:rFonts w:ascii="Palatino Linotype" w:hAnsi="Palatino Linotype" w:cs="Tahoma"/>
          <w:b/>
          <w:bCs/>
          <w:i/>
          <w:iCs/>
        </w:rPr>
        <w:t>DESCRIPCIÓN CLARA Y PRECISA DE LA INFORMACIÓN SOLICITADA:</w:t>
      </w:r>
    </w:p>
    <w:p w14:paraId="5AD72174" w14:textId="72485FC1" w:rsidR="004B4C9A" w:rsidRPr="00BE655A" w:rsidRDefault="008A23B8" w:rsidP="00DB35AD">
      <w:pPr>
        <w:spacing w:line="360" w:lineRule="auto"/>
        <w:ind w:left="567" w:right="567"/>
        <w:contextualSpacing/>
        <w:jc w:val="both"/>
        <w:rPr>
          <w:rFonts w:ascii="Palatino Linotype" w:hAnsi="Palatino Linotype" w:cs="Tahoma"/>
          <w:bCs/>
          <w:i/>
          <w:iCs/>
        </w:rPr>
      </w:pPr>
      <w:r w:rsidRPr="00BE655A">
        <w:rPr>
          <w:rFonts w:ascii="Palatino Linotype" w:hAnsi="Palatino Linotype"/>
          <w:i/>
          <w:iCs/>
          <w:color w:val="000000"/>
        </w:rPr>
        <w:t>“</w:t>
      </w:r>
      <w:proofErr w:type="spellStart"/>
      <w:r w:rsidR="004B4C9A" w:rsidRPr="00BE655A">
        <w:rPr>
          <w:rFonts w:ascii="Palatino Linotype" w:hAnsi="Palatino Linotype"/>
          <w:i/>
          <w:iCs/>
          <w:color w:val="000000"/>
        </w:rPr>
        <w:t>cual</w:t>
      </w:r>
      <w:proofErr w:type="spellEnd"/>
      <w:r w:rsidR="004B4C9A" w:rsidRPr="00BE655A">
        <w:rPr>
          <w:rFonts w:ascii="Palatino Linotype" w:hAnsi="Palatino Linotype"/>
          <w:i/>
          <w:iCs/>
          <w:color w:val="000000"/>
        </w:rPr>
        <w:t xml:space="preserve"> es el sueldo de cada uno de los regidores, sindica, presidente y titulares de </w:t>
      </w:r>
      <w:proofErr w:type="spellStart"/>
      <w:r w:rsidR="004B4C9A" w:rsidRPr="00BE655A">
        <w:rPr>
          <w:rFonts w:ascii="Palatino Linotype" w:hAnsi="Palatino Linotype"/>
          <w:i/>
          <w:iCs/>
          <w:color w:val="000000"/>
        </w:rPr>
        <w:t>area</w:t>
      </w:r>
      <w:proofErr w:type="spellEnd"/>
      <w:r w:rsidR="004B4C9A" w:rsidRPr="00BE655A">
        <w:rPr>
          <w:rFonts w:ascii="Palatino Linotype" w:hAnsi="Palatino Linotype"/>
          <w:i/>
          <w:iCs/>
          <w:color w:val="000000"/>
        </w:rPr>
        <w:t xml:space="preserve">, coordinadores. cuanto es el monto que tienen los integrantes de cabildo destinado a </w:t>
      </w:r>
      <w:proofErr w:type="gramStart"/>
      <w:r w:rsidR="004B4C9A" w:rsidRPr="00BE655A">
        <w:rPr>
          <w:rFonts w:ascii="Palatino Linotype" w:hAnsi="Palatino Linotype"/>
          <w:i/>
          <w:iCs/>
          <w:color w:val="000000"/>
        </w:rPr>
        <w:t>dieta?.</w:t>
      </w:r>
      <w:proofErr w:type="gramEnd"/>
      <w:r w:rsidR="004B4C9A" w:rsidRPr="00BE655A">
        <w:rPr>
          <w:rFonts w:ascii="Palatino Linotype" w:hAnsi="Palatino Linotype" w:cs="Tahoma"/>
          <w:bCs/>
          <w:i/>
          <w:iCs/>
        </w:rPr>
        <w:t>”</w:t>
      </w:r>
      <w:r w:rsidRPr="00BE655A">
        <w:rPr>
          <w:rFonts w:ascii="Palatino Linotype" w:hAnsi="Palatino Linotype" w:cs="Tahoma"/>
          <w:bCs/>
          <w:i/>
          <w:iCs/>
        </w:rPr>
        <w:t xml:space="preserve"> </w:t>
      </w:r>
      <w:r w:rsidR="004B4C9A" w:rsidRPr="00BE655A">
        <w:rPr>
          <w:rFonts w:ascii="Palatino Linotype" w:hAnsi="Palatino Linotype" w:cs="Tahoma"/>
          <w:bCs/>
          <w:i/>
          <w:iCs/>
        </w:rPr>
        <w:t xml:space="preserve"> (Sic)</w:t>
      </w:r>
      <w:r w:rsidRPr="00BE655A">
        <w:rPr>
          <w:rFonts w:ascii="Palatino Linotype" w:hAnsi="Palatino Linotype" w:cs="Tahoma"/>
          <w:bCs/>
          <w:i/>
          <w:iCs/>
        </w:rPr>
        <w:t>.</w:t>
      </w:r>
    </w:p>
    <w:bookmarkEnd w:id="3"/>
    <w:p w14:paraId="0A2B414D" w14:textId="77777777" w:rsidR="004B4C9A" w:rsidRPr="00BE655A" w:rsidRDefault="004B4C9A" w:rsidP="00DB35AD">
      <w:pPr>
        <w:tabs>
          <w:tab w:val="left" w:pos="4667"/>
        </w:tabs>
        <w:spacing w:line="360" w:lineRule="auto"/>
        <w:ind w:left="567" w:right="567"/>
        <w:contextualSpacing/>
        <w:jc w:val="both"/>
        <w:rPr>
          <w:rFonts w:ascii="Palatino Linotype" w:hAnsi="Palatino Linotype" w:cs="Tahoma"/>
          <w:bCs/>
          <w:i/>
        </w:rPr>
      </w:pPr>
    </w:p>
    <w:p w14:paraId="75A282CF" w14:textId="3B89476B" w:rsidR="004B4C9A" w:rsidRPr="00BE655A" w:rsidRDefault="004B4C9A" w:rsidP="008A23B8">
      <w:pPr>
        <w:tabs>
          <w:tab w:val="left" w:pos="4667"/>
        </w:tabs>
        <w:spacing w:line="360" w:lineRule="auto"/>
        <w:ind w:left="567" w:right="567"/>
        <w:contextualSpacing/>
        <w:jc w:val="both"/>
        <w:rPr>
          <w:rFonts w:ascii="Palatino Linotype" w:hAnsi="Palatino Linotype" w:cs="Tahoma"/>
          <w:bCs/>
          <w:i/>
        </w:rPr>
      </w:pPr>
      <w:r w:rsidRPr="00BE655A">
        <w:rPr>
          <w:rFonts w:ascii="Palatino Linotype" w:hAnsi="Palatino Linotype" w:cs="Tahoma"/>
          <w:b/>
          <w:bCs/>
          <w:i/>
        </w:rPr>
        <w:t xml:space="preserve">Modalidad de Entrega: </w:t>
      </w:r>
      <w:r w:rsidRPr="00BE655A" w:rsidDel="006544EC">
        <w:rPr>
          <w:rFonts w:ascii="Palatino Linotype" w:hAnsi="Palatino Linotype" w:cs="Tahoma"/>
          <w:b/>
          <w:bCs/>
          <w:i/>
        </w:rPr>
        <w:t xml:space="preserve"> </w:t>
      </w:r>
      <w:r w:rsidRPr="00BE655A">
        <w:rPr>
          <w:rFonts w:ascii="Palatino Linotype" w:hAnsi="Palatino Linotype" w:cs="Tahoma"/>
          <w:bCs/>
          <w:i/>
        </w:rPr>
        <w:t>A través de SAIMEX</w:t>
      </w:r>
    </w:p>
    <w:p w14:paraId="61F8DACD" w14:textId="77777777" w:rsidR="004B4C9A" w:rsidRPr="00BE655A" w:rsidRDefault="004B4C9A" w:rsidP="00DB35AD">
      <w:pPr>
        <w:spacing w:line="360" w:lineRule="auto"/>
        <w:contextualSpacing/>
        <w:rPr>
          <w:rFonts w:ascii="Palatino Linotype" w:eastAsia="Calibri" w:hAnsi="Palatino Linotype" w:cs="Tahoma"/>
          <w:b/>
          <w:bCs/>
          <w:sz w:val="22"/>
          <w:szCs w:val="22"/>
        </w:rPr>
      </w:pPr>
      <w:bookmarkStart w:id="4" w:name="_Hlk16082333"/>
    </w:p>
    <w:p w14:paraId="1EE10FCF" w14:textId="05020D43" w:rsidR="004B4C9A" w:rsidRPr="00BE655A" w:rsidRDefault="004B4C9A" w:rsidP="00DB35AD">
      <w:pPr>
        <w:spacing w:line="360" w:lineRule="auto"/>
        <w:contextualSpacing/>
        <w:rPr>
          <w:rFonts w:ascii="Palatino Linotype" w:eastAsia="Calibri" w:hAnsi="Palatino Linotype" w:cs="Tahoma"/>
          <w:b/>
          <w:bCs/>
          <w:sz w:val="22"/>
          <w:szCs w:val="22"/>
        </w:rPr>
      </w:pPr>
      <w:r w:rsidRPr="00BE655A">
        <w:rPr>
          <w:rFonts w:ascii="Palatino Linotype" w:eastAsia="Calibri" w:hAnsi="Palatino Linotype" w:cs="Tahoma"/>
          <w:b/>
          <w:bCs/>
          <w:sz w:val="22"/>
          <w:szCs w:val="22"/>
        </w:rPr>
        <w:t>II. Prórroga para atender la solicitud de información</w:t>
      </w:r>
    </w:p>
    <w:p w14:paraId="3B284DFE" w14:textId="77777777" w:rsidR="004B4C9A" w:rsidRPr="00BE655A" w:rsidRDefault="004B4C9A" w:rsidP="00DB35AD">
      <w:pPr>
        <w:spacing w:line="360" w:lineRule="auto"/>
        <w:contextualSpacing/>
        <w:rPr>
          <w:rFonts w:ascii="Palatino Linotype" w:eastAsia="Calibri" w:hAnsi="Palatino Linotype" w:cs="Tahoma"/>
          <w:b/>
          <w:bCs/>
          <w:sz w:val="22"/>
          <w:szCs w:val="22"/>
        </w:rPr>
      </w:pPr>
      <w:r w:rsidRPr="00BE655A">
        <w:rPr>
          <w:rFonts w:ascii="Palatino Linotype" w:eastAsia="Calibri" w:hAnsi="Palatino Linotype" w:cs="Tahoma"/>
          <w:b/>
          <w:bCs/>
          <w:sz w:val="22"/>
          <w:szCs w:val="22"/>
        </w:rPr>
        <w:t xml:space="preserve"> </w:t>
      </w:r>
    </w:p>
    <w:p w14:paraId="76813702" w14:textId="38D788E3" w:rsidR="004B4C9A" w:rsidRPr="00BE655A" w:rsidRDefault="004B4C9A" w:rsidP="00DB35AD">
      <w:pPr>
        <w:spacing w:line="360" w:lineRule="auto"/>
        <w:contextualSpacing/>
        <w:jc w:val="both"/>
        <w:rPr>
          <w:rFonts w:ascii="Palatino Linotype" w:eastAsia="Calibri" w:hAnsi="Palatino Linotype" w:cs="Tahoma"/>
          <w:sz w:val="22"/>
          <w:szCs w:val="22"/>
        </w:rPr>
      </w:pPr>
      <w:r w:rsidRPr="00BE655A">
        <w:rPr>
          <w:rFonts w:ascii="Palatino Linotype" w:eastAsia="Calibri" w:hAnsi="Palatino Linotype" w:cs="Tahoma"/>
          <w:sz w:val="22"/>
          <w:szCs w:val="22"/>
        </w:rPr>
        <w:t xml:space="preserve">Con fecha treinta y uno de enero de dos mil veinticinco, el Sujeto Obligado, a través del </w:t>
      </w:r>
      <w:r w:rsidR="001E09A1" w:rsidRPr="00BE655A">
        <w:rPr>
          <w:rFonts w:ascii="Palatino Linotype" w:eastAsia="Calibri" w:hAnsi="Palatino Linotype" w:cs="Tahoma"/>
          <w:sz w:val="22"/>
          <w:szCs w:val="22"/>
        </w:rPr>
        <w:t>SAIMEX</w:t>
      </w:r>
      <w:r w:rsidRPr="00BE655A">
        <w:rPr>
          <w:rFonts w:ascii="Palatino Linotype" w:eastAsia="Calibri" w:hAnsi="Palatino Linotype" w:cs="Tahoma"/>
          <w:sz w:val="22"/>
          <w:szCs w:val="22"/>
        </w:rPr>
        <w:t xml:space="preserve">, notificó una prórroga </w:t>
      </w:r>
      <w:r w:rsidR="00E47C27" w:rsidRPr="00BE655A">
        <w:rPr>
          <w:rFonts w:ascii="Palatino Linotype" w:eastAsia="Calibri" w:hAnsi="Palatino Linotype" w:cs="Tahoma"/>
          <w:sz w:val="22"/>
          <w:szCs w:val="22"/>
        </w:rPr>
        <w:t xml:space="preserve">por el plazo de siete días hábiles </w:t>
      </w:r>
      <w:r w:rsidRPr="00BE655A">
        <w:rPr>
          <w:rFonts w:ascii="Palatino Linotype" w:eastAsia="Calibri" w:hAnsi="Palatino Linotype" w:cs="Tahoma"/>
          <w:sz w:val="22"/>
          <w:szCs w:val="22"/>
        </w:rPr>
        <w:t>para atender la</w:t>
      </w:r>
      <w:r w:rsidR="008A23B8" w:rsidRPr="00BE655A">
        <w:rPr>
          <w:rFonts w:ascii="Palatino Linotype" w:eastAsia="Calibri" w:hAnsi="Palatino Linotype" w:cs="Tahoma"/>
          <w:sz w:val="22"/>
          <w:szCs w:val="22"/>
        </w:rPr>
        <w:t>s</w:t>
      </w:r>
      <w:r w:rsidRPr="00BE655A">
        <w:rPr>
          <w:rFonts w:ascii="Palatino Linotype" w:eastAsia="Calibri" w:hAnsi="Palatino Linotype" w:cs="Tahoma"/>
          <w:sz w:val="22"/>
          <w:szCs w:val="22"/>
        </w:rPr>
        <w:t xml:space="preserve"> solicitud</w:t>
      </w:r>
      <w:r w:rsidR="008A23B8" w:rsidRPr="00BE655A">
        <w:rPr>
          <w:rFonts w:ascii="Palatino Linotype" w:eastAsia="Calibri" w:hAnsi="Palatino Linotype" w:cs="Tahoma"/>
          <w:sz w:val="22"/>
          <w:szCs w:val="22"/>
        </w:rPr>
        <w:t>es</w:t>
      </w:r>
      <w:r w:rsidRPr="00BE655A">
        <w:rPr>
          <w:rFonts w:ascii="Palatino Linotype" w:eastAsia="Calibri" w:hAnsi="Palatino Linotype" w:cs="Tahoma"/>
          <w:sz w:val="22"/>
          <w:szCs w:val="22"/>
        </w:rPr>
        <w:t xml:space="preserve"> de información</w:t>
      </w:r>
      <w:r w:rsidR="008A23B8" w:rsidRPr="00BE655A">
        <w:rPr>
          <w:rFonts w:ascii="Palatino Linotype" w:eastAsia="Calibri" w:hAnsi="Palatino Linotype" w:cs="Tahoma"/>
          <w:sz w:val="22"/>
          <w:szCs w:val="22"/>
        </w:rPr>
        <w:t xml:space="preserve"> que nos ocupan; sin embargo, el Sujeto Obligado fue omiso en adjuntar el acuerdo del Comité de Transparencia por el cual se aprobara la ampliación del plazo.</w:t>
      </w:r>
    </w:p>
    <w:p w14:paraId="257F7014" w14:textId="77777777" w:rsidR="00E47C27" w:rsidRPr="00BE655A" w:rsidRDefault="00E47C27" w:rsidP="00DB35AD">
      <w:pPr>
        <w:spacing w:line="360" w:lineRule="auto"/>
        <w:contextualSpacing/>
        <w:jc w:val="both"/>
        <w:rPr>
          <w:rFonts w:ascii="Palatino Linotype" w:eastAsia="Calibri" w:hAnsi="Palatino Linotype" w:cs="Tahoma"/>
          <w:sz w:val="22"/>
          <w:szCs w:val="22"/>
        </w:rPr>
      </w:pPr>
    </w:p>
    <w:p w14:paraId="562832A6" w14:textId="6EBE36E9" w:rsidR="004B4C9A" w:rsidRPr="00BE655A" w:rsidRDefault="004B4C9A" w:rsidP="00DB35AD">
      <w:pPr>
        <w:pStyle w:val="Ttulo2"/>
        <w:spacing w:line="360" w:lineRule="auto"/>
        <w:contextualSpacing/>
        <w:rPr>
          <w:rFonts w:ascii="Palatino Linotype" w:hAnsi="Palatino Linotype"/>
          <w:b/>
          <w:bCs/>
          <w:color w:val="auto"/>
          <w:sz w:val="22"/>
          <w:szCs w:val="22"/>
        </w:rPr>
      </w:pPr>
      <w:bookmarkStart w:id="5" w:name="_Toc188481293"/>
      <w:r w:rsidRPr="00BE655A">
        <w:rPr>
          <w:rFonts w:ascii="Palatino Linotype" w:hAnsi="Palatino Linotype"/>
          <w:b/>
          <w:bCs/>
          <w:color w:val="auto"/>
          <w:sz w:val="22"/>
          <w:szCs w:val="22"/>
        </w:rPr>
        <w:t>II</w:t>
      </w:r>
      <w:r w:rsidR="00E47C27" w:rsidRPr="00BE655A">
        <w:rPr>
          <w:rFonts w:ascii="Palatino Linotype" w:hAnsi="Palatino Linotype"/>
          <w:b/>
          <w:bCs/>
          <w:color w:val="auto"/>
          <w:sz w:val="22"/>
          <w:szCs w:val="22"/>
        </w:rPr>
        <w:t>I</w:t>
      </w:r>
      <w:r w:rsidRPr="00BE655A">
        <w:rPr>
          <w:rFonts w:ascii="Palatino Linotype" w:hAnsi="Palatino Linotype"/>
          <w:b/>
          <w:bCs/>
          <w:color w:val="auto"/>
          <w:sz w:val="22"/>
          <w:szCs w:val="22"/>
        </w:rPr>
        <w:t>. Respuestas del Sujeto Obligado</w:t>
      </w:r>
      <w:bookmarkEnd w:id="5"/>
    </w:p>
    <w:p w14:paraId="5F2BEBEF" w14:textId="77777777" w:rsidR="004B4C9A" w:rsidRPr="00BE655A" w:rsidRDefault="004B4C9A" w:rsidP="00DB35AD">
      <w:pPr>
        <w:tabs>
          <w:tab w:val="left" w:pos="4667"/>
        </w:tabs>
        <w:spacing w:line="360" w:lineRule="auto"/>
        <w:ind w:right="567"/>
        <w:contextualSpacing/>
        <w:jc w:val="both"/>
        <w:rPr>
          <w:rFonts w:ascii="Palatino Linotype" w:hAnsi="Palatino Linotype" w:cs="Tahoma"/>
          <w:b/>
          <w:bCs/>
          <w:sz w:val="22"/>
          <w:szCs w:val="24"/>
        </w:rPr>
      </w:pPr>
    </w:p>
    <w:bookmarkEnd w:id="4"/>
    <w:p w14:paraId="143A8588" w14:textId="66E2EC14" w:rsidR="004B4C9A" w:rsidRPr="00BE655A" w:rsidRDefault="004B4C9A" w:rsidP="00DB35AD">
      <w:pPr>
        <w:autoSpaceDE w:val="0"/>
        <w:autoSpaceDN w:val="0"/>
        <w:adjustRightInd w:val="0"/>
        <w:spacing w:line="360" w:lineRule="auto"/>
        <w:contextualSpacing/>
        <w:jc w:val="both"/>
        <w:rPr>
          <w:rFonts w:ascii="Palatino Linotype" w:hAnsi="Palatino Linotype" w:cs="Tahoma"/>
          <w:sz w:val="22"/>
          <w:szCs w:val="22"/>
        </w:rPr>
      </w:pPr>
      <w:r w:rsidRPr="00BE655A">
        <w:rPr>
          <w:rFonts w:ascii="Palatino Linotype" w:hAnsi="Palatino Linotype" w:cs="Tahoma"/>
          <w:bCs/>
          <w:sz w:val="22"/>
          <w:szCs w:val="22"/>
        </w:rPr>
        <w:t>Con fecha</w:t>
      </w:r>
      <w:r w:rsidR="00DB35AD" w:rsidRPr="00BE655A">
        <w:rPr>
          <w:rFonts w:ascii="Palatino Linotype" w:hAnsi="Palatino Linotype" w:cs="Tahoma"/>
          <w:bCs/>
          <w:sz w:val="22"/>
          <w:szCs w:val="22"/>
        </w:rPr>
        <w:t>s cuatro y</w:t>
      </w:r>
      <w:r w:rsidRPr="00BE655A">
        <w:rPr>
          <w:rFonts w:ascii="Palatino Linotype" w:hAnsi="Palatino Linotype" w:cs="Tahoma"/>
          <w:bCs/>
          <w:sz w:val="22"/>
          <w:szCs w:val="22"/>
        </w:rPr>
        <w:t xml:space="preserve"> </w:t>
      </w:r>
      <w:r w:rsidR="00E47C27" w:rsidRPr="00BE655A">
        <w:rPr>
          <w:rFonts w:ascii="Palatino Linotype" w:hAnsi="Palatino Linotype" w:cs="Tahoma"/>
          <w:bCs/>
          <w:sz w:val="22"/>
          <w:szCs w:val="22"/>
        </w:rPr>
        <w:t xml:space="preserve">cinco de febrero </w:t>
      </w:r>
      <w:r w:rsidRPr="00BE655A">
        <w:rPr>
          <w:rFonts w:ascii="Palatino Linotype" w:hAnsi="Palatino Linotype" w:cs="Tahoma"/>
          <w:bCs/>
          <w:sz w:val="22"/>
          <w:szCs w:val="22"/>
        </w:rPr>
        <w:t>de dos mil veinticinco, el</w:t>
      </w:r>
      <w:r w:rsidRPr="00BE655A">
        <w:rPr>
          <w:rFonts w:ascii="Palatino Linotype" w:hAnsi="Palatino Linotype" w:cs="Tahoma"/>
          <w:b/>
          <w:sz w:val="22"/>
          <w:szCs w:val="22"/>
        </w:rPr>
        <w:t xml:space="preserve"> </w:t>
      </w:r>
      <w:r w:rsidRPr="00BE655A">
        <w:rPr>
          <w:rFonts w:ascii="Palatino Linotype" w:hAnsi="Palatino Linotype" w:cs="Tahoma"/>
          <w:sz w:val="22"/>
          <w:szCs w:val="22"/>
        </w:rPr>
        <w:t xml:space="preserve">Sujeto Obligado dio respuesta a las solicitudes de acceso a la información a través del </w:t>
      </w:r>
      <w:r w:rsidR="001E09A1" w:rsidRPr="00BE655A">
        <w:rPr>
          <w:rFonts w:ascii="Palatino Linotype" w:hAnsi="Palatino Linotype" w:cs="Tahoma"/>
          <w:sz w:val="22"/>
          <w:szCs w:val="22"/>
        </w:rPr>
        <w:t>SAIMEX</w:t>
      </w:r>
      <w:r w:rsidRPr="00BE655A">
        <w:rPr>
          <w:rFonts w:ascii="Palatino Linotype" w:hAnsi="Palatino Linotype" w:cs="Tahoma"/>
          <w:sz w:val="22"/>
          <w:szCs w:val="22"/>
        </w:rPr>
        <w:t>,</w:t>
      </w:r>
      <w:r w:rsidR="00E47C27" w:rsidRPr="00BE655A">
        <w:rPr>
          <w:rFonts w:ascii="Palatino Linotype" w:hAnsi="Palatino Linotype" w:cs="Tahoma"/>
          <w:sz w:val="22"/>
          <w:szCs w:val="22"/>
        </w:rPr>
        <w:t xml:space="preserve"> en términos idénticos mediante los oficios con números</w:t>
      </w:r>
      <w:r w:rsidRPr="00BE655A">
        <w:rPr>
          <w:rFonts w:ascii="Palatino Linotype" w:hAnsi="Palatino Linotype" w:cs="Tahoma"/>
          <w:sz w:val="22"/>
          <w:szCs w:val="22"/>
        </w:rPr>
        <w:t xml:space="preserve"> </w:t>
      </w:r>
      <w:r w:rsidR="00E47C27" w:rsidRPr="00BE655A">
        <w:rPr>
          <w:rFonts w:ascii="Palatino Linotype" w:hAnsi="Palatino Linotype" w:cs="Tahoma"/>
          <w:sz w:val="22"/>
          <w:szCs w:val="22"/>
        </w:rPr>
        <w:t>MTM058/DAERH00/0191/2025, MTM058/DAERH00/0192</w:t>
      </w:r>
      <w:r w:rsidRPr="00BE655A">
        <w:rPr>
          <w:rFonts w:ascii="Palatino Linotype" w:hAnsi="Palatino Linotype" w:cs="Tahoma"/>
          <w:sz w:val="22"/>
          <w:szCs w:val="22"/>
        </w:rPr>
        <w:t>/2025,</w:t>
      </w:r>
      <w:r w:rsidR="00E47C27" w:rsidRPr="00BE655A">
        <w:rPr>
          <w:rFonts w:ascii="Palatino Linotype" w:hAnsi="Palatino Linotype" w:cs="Tahoma"/>
          <w:sz w:val="22"/>
          <w:szCs w:val="22"/>
        </w:rPr>
        <w:t xml:space="preserve"> </w:t>
      </w:r>
      <w:r w:rsidRPr="00BE655A">
        <w:rPr>
          <w:rFonts w:ascii="Palatino Linotype" w:hAnsi="Palatino Linotype" w:cs="Tahoma"/>
          <w:sz w:val="22"/>
          <w:szCs w:val="22"/>
        </w:rPr>
        <w:t xml:space="preserve">del </w:t>
      </w:r>
      <w:r w:rsidR="00E47C27" w:rsidRPr="00BE655A">
        <w:rPr>
          <w:rFonts w:ascii="Palatino Linotype" w:hAnsi="Palatino Linotype" w:cs="Tahoma"/>
          <w:sz w:val="22"/>
          <w:szCs w:val="22"/>
        </w:rPr>
        <w:t xml:space="preserve">veintinueve </w:t>
      </w:r>
      <w:r w:rsidRPr="00BE655A">
        <w:rPr>
          <w:rFonts w:ascii="Palatino Linotype" w:hAnsi="Palatino Linotype" w:cs="Tahoma"/>
          <w:sz w:val="22"/>
          <w:szCs w:val="22"/>
        </w:rPr>
        <w:t>de enero de dos mil veinticinco, suscrito</w:t>
      </w:r>
      <w:r w:rsidR="007854C3" w:rsidRPr="00BE655A">
        <w:rPr>
          <w:rFonts w:ascii="Palatino Linotype" w:hAnsi="Palatino Linotype" w:cs="Tahoma"/>
          <w:sz w:val="22"/>
          <w:szCs w:val="22"/>
        </w:rPr>
        <w:t>s</w:t>
      </w:r>
      <w:r w:rsidRPr="00BE655A">
        <w:rPr>
          <w:rFonts w:ascii="Palatino Linotype" w:hAnsi="Palatino Linotype" w:cs="Tahoma"/>
          <w:sz w:val="22"/>
          <w:szCs w:val="22"/>
        </w:rPr>
        <w:t xml:space="preserve"> por la </w:t>
      </w:r>
      <w:r w:rsidR="00E47C27" w:rsidRPr="00BE655A">
        <w:rPr>
          <w:rFonts w:ascii="Palatino Linotype" w:hAnsi="Palatino Linotype" w:cs="Tahoma"/>
          <w:sz w:val="22"/>
          <w:szCs w:val="22"/>
        </w:rPr>
        <w:t>Coordinadora de Recursos Humanos, dirigido</w:t>
      </w:r>
      <w:r w:rsidR="007854C3" w:rsidRPr="00BE655A">
        <w:rPr>
          <w:rFonts w:ascii="Palatino Linotype" w:hAnsi="Palatino Linotype" w:cs="Tahoma"/>
          <w:sz w:val="22"/>
          <w:szCs w:val="22"/>
        </w:rPr>
        <w:t>s</w:t>
      </w:r>
      <w:r w:rsidR="00E47C27" w:rsidRPr="00BE655A">
        <w:rPr>
          <w:rFonts w:ascii="Palatino Linotype" w:hAnsi="Palatino Linotype" w:cs="Tahoma"/>
          <w:sz w:val="22"/>
          <w:szCs w:val="22"/>
        </w:rPr>
        <w:t xml:space="preserve"> a la </w:t>
      </w:r>
      <w:r w:rsidRPr="00BE655A">
        <w:rPr>
          <w:rFonts w:ascii="Palatino Linotype" w:hAnsi="Palatino Linotype" w:cs="Tahoma"/>
          <w:sz w:val="22"/>
          <w:szCs w:val="22"/>
        </w:rPr>
        <w:t>Titular de la Unidad de Transparencia, a través de</w:t>
      </w:r>
      <w:r w:rsidR="007854C3" w:rsidRPr="00BE655A">
        <w:rPr>
          <w:rFonts w:ascii="Palatino Linotype" w:hAnsi="Palatino Linotype" w:cs="Tahoma"/>
          <w:sz w:val="22"/>
          <w:szCs w:val="22"/>
        </w:rPr>
        <w:t xml:space="preserve"> </w:t>
      </w:r>
      <w:r w:rsidRPr="00BE655A">
        <w:rPr>
          <w:rFonts w:ascii="Palatino Linotype" w:hAnsi="Palatino Linotype" w:cs="Tahoma"/>
          <w:sz w:val="22"/>
          <w:szCs w:val="22"/>
        </w:rPr>
        <w:t>l</w:t>
      </w:r>
      <w:r w:rsidR="007854C3" w:rsidRPr="00BE655A">
        <w:rPr>
          <w:rFonts w:ascii="Palatino Linotype" w:hAnsi="Palatino Linotype" w:cs="Tahoma"/>
          <w:sz w:val="22"/>
          <w:szCs w:val="22"/>
        </w:rPr>
        <w:t>os</w:t>
      </w:r>
      <w:r w:rsidRPr="00BE655A">
        <w:rPr>
          <w:rFonts w:ascii="Palatino Linotype" w:hAnsi="Palatino Linotype" w:cs="Tahoma"/>
          <w:sz w:val="22"/>
          <w:szCs w:val="22"/>
        </w:rPr>
        <w:t xml:space="preserve"> cual</w:t>
      </w:r>
      <w:r w:rsidR="007854C3" w:rsidRPr="00BE655A">
        <w:rPr>
          <w:rFonts w:ascii="Palatino Linotype" w:hAnsi="Palatino Linotype" w:cs="Tahoma"/>
          <w:sz w:val="22"/>
          <w:szCs w:val="22"/>
        </w:rPr>
        <w:t>es</w:t>
      </w:r>
      <w:r w:rsidRPr="00BE655A">
        <w:rPr>
          <w:rFonts w:ascii="Palatino Linotype" w:hAnsi="Palatino Linotype" w:cs="Tahoma"/>
          <w:sz w:val="22"/>
          <w:szCs w:val="22"/>
        </w:rPr>
        <w:t xml:space="preserve"> manifiesta y expone lo siguiente:</w:t>
      </w:r>
    </w:p>
    <w:p w14:paraId="24216FED" w14:textId="77777777" w:rsidR="004B4C9A" w:rsidRPr="00BE655A" w:rsidRDefault="004B4C9A" w:rsidP="00DB35AD">
      <w:pPr>
        <w:autoSpaceDE w:val="0"/>
        <w:autoSpaceDN w:val="0"/>
        <w:adjustRightInd w:val="0"/>
        <w:spacing w:line="360" w:lineRule="auto"/>
        <w:contextualSpacing/>
        <w:jc w:val="both"/>
        <w:rPr>
          <w:rFonts w:ascii="Palatino Linotype" w:hAnsi="Palatino Linotype" w:cs="Tahoma"/>
          <w:sz w:val="22"/>
          <w:szCs w:val="22"/>
        </w:rPr>
      </w:pPr>
    </w:p>
    <w:p w14:paraId="2563985B" w14:textId="1AC91DD4" w:rsidR="004B4C9A" w:rsidRPr="00BE655A" w:rsidRDefault="004B4C9A" w:rsidP="00DB35AD">
      <w:pPr>
        <w:autoSpaceDE w:val="0"/>
        <w:autoSpaceDN w:val="0"/>
        <w:adjustRightInd w:val="0"/>
        <w:spacing w:line="360" w:lineRule="auto"/>
        <w:ind w:left="567" w:right="567"/>
        <w:contextualSpacing/>
        <w:jc w:val="both"/>
        <w:rPr>
          <w:rFonts w:ascii="Palatino Linotype" w:hAnsi="Palatino Linotype" w:cs="Tahoma"/>
          <w:i/>
          <w:iCs/>
        </w:rPr>
      </w:pPr>
      <w:r w:rsidRPr="00BE655A">
        <w:rPr>
          <w:rFonts w:ascii="Palatino Linotype" w:hAnsi="Palatino Linotype" w:cs="Tahoma"/>
          <w:i/>
          <w:iCs/>
        </w:rPr>
        <w:t>“…</w:t>
      </w:r>
      <w:r w:rsidR="00E47C27" w:rsidRPr="00BE655A">
        <w:rPr>
          <w:rFonts w:ascii="Palatino Linotype" w:hAnsi="Palatino Linotype" w:cs="Tahoma"/>
          <w:i/>
          <w:iCs/>
        </w:rPr>
        <w:t>derivado de una búsqueda exhaustiva en los archivos que obran en esta coordinación de Recursos Humanos a mi cargo, no se encontró documentación</w:t>
      </w:r>
      <w:r w:rsidRPr="00BE655A">
        <w:rPr>
          <w:rFonts w:ascii="Palatino Linotype" w:hAnsi="Palatino Linotype" w:cs="Tahoma"/>
          <w:i/>
          <w:iCs/>
        </w:rPr>
        <w:t>…”</w:t>
      </w:r>
    </w:p>
    <w:p w14:paraId="387F3AEC" w14:textId="77777777" w:rsidR="00E47C27" w:rsidRPr="00BE655A" w:rsidRDefault="00E47C27" w:rsidP="00DB35AD">
      <w:pPr>
        <w:autoSpaceDE w:val="0"/>
        <w:autoSpaceDN w:val="0"/>
        <w:adjustRightInd w:val="0"/>
        <w:spacing w:line="360" w:lineRule="auto"/>
        <w:ind w:left="567" w:right="567"/>
        <w:contextualSpacing/>
        <w:jc w:val="both"/>
        <w:rPr>
          <w:rFonts w:ascii="Palatino Linotype" w:hAnsi="Palatino Linotype" w:cs="Tahoma"/>
          <w:i/>
          <w:iCs/>
        </w:rPr>
      </w:pPr>
    </w:p>
    <w:p w14:paraId="78D89F77" w14:textId="49FD8D23" w:rsidR="004B4C9A" w:rsidRPr="00BE655A" w:rsidRDefault="004B4C9A" w:rsidP="00DB35AD">
      <w:pPr>
        <w:pStyle w:val="Ttulo2"/>
        <w:spacing w:line="360" w:lineRule="auto"/>
        <w:contextualSpacing/>
        <w:rPr>
          <w:rFonts w:ascii="Palatino Linotype" w:hAnsi="Palatino Linotype"/>
          <w:b/>
          <w:bCs/>
          <w:color w:val="auto"/>
          <w:sz w:val="22"/>
          <w:szCs w:val="22"/>
        </w:rPr>
      </w:pPr>
      <w:bookmarkStart w:id="6" w:name="_Toc188481294"/>
      <w:r w:rsidRPr="00BE655A">
        <w:rPr>
          <w:rFonts w:ascii="Palatino Linotype" w:hAnsi="Palatino Linotype"/>
          <w:b/>
          <w:bCs/>
          <w:color w:val="auto"/>
          <w:sz w:val="22"/>
          <w:szCs w:val="22"/>
        </w:rPr>
        <w:lastRenderedPageBreak/>
        <w:t>I</w:t>
      </w:r>
      <w:r w:rsidR="00BA6963" w:rsidRPr="00BE655A">
        <w:rPr>
          <w:rFonts w:ascii="Palatino Linotype" w:hAnsi="Palatino Linotype"/>
          <w:b/>
          <w:bCs/>
          <w:color w:val="auto"/>
          <w:sz w:val="22"/>
          <w:szCs w:val="22"/>
        </w:rPr>
        <w:t>V</w:t>
      </w:r>
      <w:r w:rsidRPr="00BE655A">
        <w:rPr>
          <w:rFonts w:ascii="Palatino Linotype" w:hAnsi="Palatino Linotype"/>
          <w:b/>
          <w:bCs/>
          <w:color w:val="auto"/>
          <w:sz w:val="22"/>
          <w:szCs w:val="22"/>
        </w:rPr>
        <w:t>. Interposición de los Recursos de Revisión</w:t>
      </w:r>
      <w:bookmarkEnd w:id="6"/>
    </w:p>
    <w:p w14:paraId="296A9237" w14:textId="77777777" w:rsidR="004B4C9A" w:rsidRPr="00BE655A" w:rsidRDefault="004B4C9A" w:rsidP="00DB35AD">
      <w:pPr>
        <w:autoSpaceDE w:val="0"/>
        <w:autoSpaceDN w:val="0"/>
        <w:adjustRightInd w:val="0"/>
        <w:spacing w:line="360" w:lineRule="auto"/>
        <w:ind w:right="-28"/>
        <w:contextualSpacing/>
        <w:jc w:val="both"/>
        <w:rPr>
          <w:rFonts w:ascii="Palatino Linotype" w:hAnsi="Palatino Linotype" w:cs="Tahoma"/>
          <w:sz w:val="22"/>
          <w:szCs w:val="22"/>
        </w:rPr>
      </w:pPr>
    </w:p>
    <w:p w14:paraId="787816BA" w14:textId="2F8C91AE" w:rsidR="004B4C9A" w:rsidRPr="00BE655A" w:rsidRDefault="004B4C9A" w:rsidP="00DB35AD">
      <w:pPr>
        <w:spacing w:line="360" w:lineRule="auto"/>
        <w:contextualSpacing/>
        <w:jc w:val="both"/>
        <w:rPr>
          <w:rFonts w:ascii="Palatino Linotype" w:hAnsi="Palatino Linotype" w:cs="Tahoma"/>
          <w:bCs/>
          <w:sz w:val="22"/>
          <w:szCs w:val="22"/>
          <w:lang w:val="es-ES"/>
        </w:rPr>
      </w:pPr>
      <w:r w:rsidRPr="00BE655A">
        <w:rPr>
          <w:rFonts w:ascii="Palatino Linotype" w:hAnsi="Palatino Linotype" w:cs="Tahoma"/>
          <w:bCs/>
          <w:sz w:val="22"/>
          <w:szCs w:val="22"/>
          <w:lang w:val="es-ES"/>
        </w:rPr>
        <w:t xml:space="preserve">Con fecha </w:t>
      </w:r>
      <w:r w:rsidR="00DB35AD" w:rsidRPr="00BE655A">
        <w:rPr>
          <w:rFonts w:ascii="Palatino Linotype" w:hAnsi="Palatino Linotype" w:cs="Tahoma"/>
          <w:bCs/>
          <w:sz w:val="22"/>
          <w:szCs w:val="22"/>
          <w:lang w:val="es-ES"/>
        </w:rPr>
        <w:t xml:space="preserve">once </w:t>
      </w:r>
      <w:r w:rsidR="006D3C79" w:rsidRPr="00BE655A">
        <w:rPr>
          <w:rFonts w:ascii="Palatino Linotype" w:hAnsi="Palatino Linotype" w:cs="Tahoma"/>
          <w:bCs/>
          <w:sz w:val="22"/>
          <w:szCs w:val="22"/>
          <w:lang w:val="es-ES"/>
        </w:rPr>
        <w:t xml:space="preserve">de febrero </w:t>
      </w:r>
      <w:r w:rsidRPr="00BE655A">
        <w:rPr>
          <w:rFonts w:ascii="Palatino Linotype" w:hAnsi="Palatino Linotype" w:cs="Tahoma"/>
          <w:bCs/>
          <w:sz w:val="22"/>
          <w:szCs w:val="22"/>
          <w:lang w:val="es-ES"/>
        </w:rPr>
        <w:t xml:space="preserve">de dos mil veinticinco, </w:t>
      </w:r>
      <w:r w:rsidRPr="00BE655A">
        <w:rPr>
          <w:rFonts w:ascii="Palatino Linotype" w:hAnsi="Palatino Linotype" w:cs="Tahoma"/>
          <w:bCs/>
          <w:sz w:val="22"/>
          <w:szCs w:val="22"/>
        </w:rPr>
        <w:t xml:space="preserve">se recibió en este Instituto, a través del </w:t>
      </w:r>
      <w:r w:rsidR="001E09A1" w:rsidRPr="00BE655A">
        <w:rPr>
          <w:rFonts w:ascii="Palatino Linotype" w:hAnsi="Palatino Linotype" w:cs="Tahoma"/>
          <w:bCs/>
          <w:sz w:val="22"/>
          <w:szCs w:val="22"/>
          <w:lang w:val="es-ES"/>
        </w:rPr>
        <w:t>SAIMEX</w:t>
      </w:r>
      <w:r w:rsidRPr="00BE655A">
        <w:rPr>
          <w:rFonts w:ascii="Palatino Linotype" w:hAnsi="Palatino Linotype" w:cs="Tahoma"/>
          <w:bCs/>
          <w:sz w:val="22"/>
          <w:szCs w:val="22"/>
        </w:rPr>
        <w:t>, los Recursos de Revisión interpuestos por la parte Recurrente, en contra de las respuestas del Sujeto Obligado, en los siguientes términos:</w:t>
      </w:r>
    </w:p>
    <w:p w14:paraId="320CDA1A" w14:textId="77777777" w:rsidR="004B4C9A" w:rsidRPr="00BE655A" w:rsidRDefault="004B4C9A" w:rsidP="00DB35AD">
      <w:pPr>
        <w:autoSpaceDE w:val="0"/>
        <w:autoSpaceDN w:val="0"/>
        <w:adjustRightInd w:val="0"/>
        <w:spacing w:line="360" w:lineRule="auto"/>
        <w:ind w:right="-28"/>
        <w:contextualSpacing/>
        <w:jc w:val="both"/>
        <w:rPr>
          <w:rFonts w:ascii="Palatino Linotype" w:hAnsi="Palatino Linotype" w:cs="Tahoma"/>
          <w:i/>
          <w:iCs/>
          <w:lang w:val="es-ES"/>
        </w:rPr>
      </w:pPr>
    </w:p>
    <w:p w14:paraId="3217ED17" w14:textId="7C85A462" w:rsidR="004B4C9A" w:rsidRPr="00BE655A" w:rsidRDefault="004B4C9A" w:rsidP="00DB35AD">
      <w:pPr>
        <w:autoSpaceDE w:val="0"/>
        <w:autoSpaceDN w:val="0"/>
        <w:adjustRightInd w:val="0"/>
        <w:spacing w:line="360" w:lineRule="auto"/>
        <w:ind w:right="-28" w:firstLine="567"/>
        <w:contextualSpacing/>
        <w:jc w:val="both"/>
        <w:rPr>
          <w:rFonts w:ascii="Palatino Linotype" w:hAnsi="Palatino Linotype" w:cs="Tahoma"/>
          <w:b/>
          <w:bCs/>
          <w:i/>
          <w:iCs/>
          <w:color w:val="0D0D0D" w:themeColor="text1" w:themeTint="F2"/>
        </w:rPr>
      </w:pPr>
      <w:r w:rsidRPr="00BE655A">
        <w:rPr>
          <w:rFonts w:ascii="Palatino Linotype" w:hAnsi="Palatino Linotype" w:cs="Tahoma"/>
          <w:b/>
          <w:bCs/>
          <w:i/>
          <w:iCs/>
          <w:color w:val="0D0D0D" w:themeColor="text1" w:themeTint="F2"/>
        </w:rPr>
        <w:t>Recurso de Revisión 01</w:t>
      </w:r>
      <w:r w:rsidR="006D3C79" w:rsidRPr="00BE655A">
        <w:rPr>
          <w:rFonts w:ascii="Palatino Linotype" w:hAnsi="Palatino Linotype" w:cs="Tahoma"/>
          <w:b/>
          <w:bCs/>
          <w:i/>
          <w:iCs/>
          <w:color w:val="0D0D0D" w:themeColor="text1" w:themeTint="F2"/>
        </w:rPr>
        <w:t>056</w:t>
      </w:r>
      <w:r w:rsidRPr="00BE655A">
        <w:rPr>
          <w:rFonts w:ascii="Palatino Linotype" w:hAnsi="Palatino Linotype" w:cs="Tahoma"/>
          <w:b/>
          <w:bCs/>
          <w:i/>
          <w:iCs/>
          <w:color w:val="0D0D0D" w:themeColor="text1" w:themeTint="F2"/>
        </w:rPr>
        <w:t>/INFOEM/IP/RR/2025</w:t>
      </w:r>
    </w:p>
    <w:p w14:paraId="5AEF566F" w14:textId="514557EE" w:rsidR="004B4C9A" w:rsidRPr="00BE655A" w:rsidRDefault="004B4C9A" w:rsidP="00DB35AD">
      <w:pPr>
        <w:tabs>
          <w:tab w:val="left" w:pos="4667"/>
        </w:tabs>
        <w:spacing w:line="360" w:lineRule="auto"/>
        <w:ind w:left="567" w:right="567"/>
        <w:contextualSpacing/>
        <w:jc w:val="both"/>
        <w:rPr>
          <w:rFonts w:ascii="Palatino Linotype" w:hAnsi="Palatino Linotype" w:cs="Tahoma"/>
          <w:b/>
          <w:bCs/>
          <w:i/>
          <w:iCs/>
        </w:rPr>
      </w:pPr>
      <w:r w:rsidRPr="00BE655A">
        <w:rPr>
          <w:rFonts w:ascii="Palatino Linotype" w:hAnsi="Palatino Linotype" w:cs="Tahoma"/>
          <w:b/>
          <w:bCs/>
          <w:i/>
          <w:iCs/>
        </w:rPr>
        <w:t>ACTO IMPUGNADO</w:t>
      </w:r>
    </w:p>
    <w:p w14:paraId="2AD3BA51" w14:textId="3E128E6B" w:rsidR="004B4C9A" w:rsidRPr="00BE655A" w:rsidRDefault="001E09A1" w:rsidP="00DB35AD">
      <w:pPr>
        <w:spacing w:line="360" w:lineRule="auto"/>
        <w:ind w:left="567" w:right="567"/>
        <w:contextualSpacing/>
        <w:jc w:val="both"/>
        <w:rPr>
          <w:rFonts w:ascii="Palatino Linotype" w:hAnsi="Palatino Linotype" w:cs="Tahoma"/>
          <w:bCs/>
          <w:i/>
          <w:iCs/>
        </w:rPr>
      </w:pPr>
      <w:r w:rsidRPr="00BE655A">
        <w:rPr>
          <w:rFonts w:ascii="Palatino Linotype" w:hAnsi="Palatino Linotype"/>
          <w:i/>
          <w:color w:val="000000"/>
        </w:rPr>
        <w:t>“</w:t>
      </w:r>
      <w:r w:rsidR="006D3C79" w:rsidRPr="00BE655A">
        <w:rPr>
          <w:rFonts w:ascii="Palatino Linotype" w:hAnsi="Palatino Linotype"/>
          <w:i/>
          <w:color w:val="000000"/>
        </w:rPr>
        <w:t xml:space="preserve">no remite </w:t>
      </w:r>
      <w:proofErr w:type="spellStart"/>
      <w:r w:rsidR="006D3C79" w:rsidRPr="00BE655A">
        <w:rPr>
          <w:rFonts w:ascii="Palatino Linotype" w:hAnsi="Palatino Linotype"/>
          <w:i/>
          <w:color w:val="000000"/>
        </w:rPr>
        <w:t>informacion</w:t>
      </w:r>
      <w:proofErr w:type="spellEnd"/>
      <w:r w:rsidR="006D3C79" w:rsidRPr="00BE655A">
        <w:rPr>
          <w:rFonts w:ascii="Palatino Linotype" w:hAnsi="Palatino Linotype"/>
          <w:i/>
          <w:color w:val="000000"/>
        </w:rPr>
        <w:t xml:space="preserve"> solicitada, cuando es su </w:t>
      </w:r>
      <w:proofErr w:type="spellStart"/>
      <w:r w:rsidR="006D3C79" w:rsidRPr="00BE655A">
        <w:rPr>
          <w:rFonts w:ascii="Palatino Linotype" w:hAnsi="Palatino Linotype"/>
          <w:i/>
          <w:color w:val="000000"/>
        </w:rPr>
        <w:t>debre</w:t>
      </w:r>
      <w:proofErr w:type="spellEnd"/>
      <w:r w:rsidR="006D3C79" w:rsidRPr="00BE655A">
        <w:rPr>
          <w:rFonts w:ascii="Palatino Linotype" w:hAnsi="Palatino Linotype"/>
          <w:i/>
          <w:color w:val="000000"/>
        </w:rPr>
        <w:t xml:space="preserve"> por ser sujeto obligado, se </w:t>
      </w:r>
      <w:proofErr w:type="spellStart"/>
      <w:r w:rsidR="006D3C79" w:rsidRPr="00BE655A">
        <w:rPr>
          <w:rFonts w:ascii="Palatino Linotype" w:hAnsi="Palatino Linotype"/>
          <w:i/>
          <w:color w:val="000000"/>
        </w:rPr>
        <w:t>solicito</w:t>
      </w:r>
      <w:proofErr w:type="spellEnd"/>
      <w:r w:rsidR="006D3C79" w:rsidRPr="00BE655A">
        <w:rPr>
          <w:rFonts w:ascii="Palatino Linotype" w:hAnsi="Palatino Linotype"/>
          <w:i/>
          <w:color w:val="000000"/>
        </w:rPr>
        <w:t xml:space="preserve"> cual es el sueldo de cada uno de los regidores, sindica, presidente y titulares de </w:t>
      </w:r>
      <w:proofErr w:type="spellStart"/>
      <w:r w:rsidR="006D3C79" w:rsidRPr="00BE655A">
        <w:rPr>
          <w:rFonts w:ascii="Palatino Linotype" w:hAnsi="Palatino Linotype"/>
          <w:i/>
          <w:color w:val="000000"/>
        </w:rPr>
        <w:t>area</w:t>
      </w:r>
      <w:proofErr w:type="spellEnd"/>
      <w:r w:rsidR="006D3C79" w:rsidRPr="00BE655A">
        <w:rPr>
          <w:rFonts w:ascii="Palatino Linotype" w:hAnsi="Palatino Linotype"/>
          <w:i/>
          <w:color w:val="000000"/>
        </w:rPr>
        <w:t xml:space="preserve">, coordinadores. cuanto es el monto que tienen los integrantes de cabildo destinado a </w:t>
      </w:r>
      <w:proofErr w:type="gramStart"/>
      <w:r w:rsidR="006D3C79" w:rsidRPr="00BE655A">
        <w:rPr>
          <w:rFonts w:ascii="Palatino Linotype" w:hAnsi="Palatino Linotype"/>
          <w:i/>
          <w:color w:val="000000"/>
        </w:rPr>
        <w:t>dieta?</w:t>
      </w:r>
      <w:r w:rsidR="004B4C9A" w:rsidRPr="00BE655A">
        <w:rPr>
          <w:rFonts w:ascii="Palatino Linotype" w:hAnsi="Palatino Linotype"/>
          <w:i/>
          <w:color w:val="000000"/>
        </w:rPr>
        <w:t>.</w:t>
      </w:r>
      <w:proofErr w:type="gramEnd"/>
      <w:r w:rsidRPr="00BE655A">
        <w:rPr>
          <w:rFonts w:ascii="Palatino Linotype" w:hAnsi="Palatino Linotype"/>
          <w:i/>
          <w:color w:val="000000"/>
        </w:rPr>
        <w:t xml:space="preserve"> </w:t>
      </w:r>
      <w:r w:rsidR="004B4C9A" w:rsidRPr="00BE655A">
        <w:rPr>
          <w:rFonts w:ascii="Palatino Linotype" w:hAnsi="Palatino Linotype" w:cs="Tahoma"/>
          <w:bCs/>
          <w:i/>
          <w:iCs/>
        </w:rPr>
        <w:t xml:space="preserve"> (Sic)</w:t>
      </w:r>
      <w:r w:rsidRPr="00BE655A">
        <w:rPr>
          <w:rFonts w:ascii="Palatino Linotype" w:hAnsi="Palatino Linotype" w:cs="Tahoma"/>
          <w:bCs/>
          <w:i/>
          <w:iCs/>
        </w:rPr>
        <w:t>.</w:t>
      </w:r>
    </w:p>
    <w:p w14:paraId="179F6EAC" w14:textId="77777777" w:rsidR="004B4C9A" w:rsidRPr="00BE655A" w:rsidRDefault="004B4C9A" w:rsidP="00DB35AD">
      <w:pPr>
        <w:tabs>
          <w:tab w:val="left" w:pos="4667"/>
        </w:tabs>
        <w:spacing w:line="360" w:lineRule="auto"/>
        <w:ind w:right="567"/>
        <w:contextualSpacing/>
        <w:jc w:val="both"/>
        <w:rPr>
          <w:rFonts w:ascii="Palatino Linotype" w:hAnsi="Palatino Linotype" w:cs="Tahoma"/>
          <w:bCs/>
          <w:i/>
          <w:iCs/>
        </w:rPr>
      </w:pPr>
    </w:p>
    <w:p w14:paraId="5A658DA1" w14:textId="68EE8585" w:rsidR="004B4C9A" w:rsidRPr="00BE655A" w:rsidRDefault="004B4C9A" w:rsidP="00DB35AD">
      <w:pPr>
        <w:tabs>
          <w:tab w:val="left" w:pos="4667"/>
        </w:tabs>
        <w:spacing w:line="360" w:lineRule="auto"/>
        <w:ind w:left="567" w:right="567"/>
        <w:contextualSpacing/>
        <w:jc w:val="both"/>
        <w:rPr>
          <w:rFonts w:ascii="Palatino Linotype" w:hAnsi="Palatino Linotype" w:cs="Tahoma"/>
          <w:b/>
          <w:bCs/>
          <w:i/>
          <w:iCs/>
        </w:rPr>
      </w:pPr>
      <w:r w:rsidRPr="00BE655A">
        <w:rPr>
          <w:rFonts w:ascii="Palatino Linotype" w:hAnsi="Palatino Linotype" w:cs="Tahoma"/>
          <w:b/>
          <w:bCs/>
          <w:i/>
          <w:iCs/>
        </w:rPr>
        <w:t>RAZONES O MOTIVOS DE LA INCONFORMIDAD</w:t>
      </w:r>
    </w:p>
    <w:p w14:paraId="1E97DFBA" w14:textId="40CA0EA6" w:rsidR="004B4C9A" w:rsidRPr="00BE655A" w:rsidRDefault="001E09A1" w:rsidP="00DB35AD">
      <w:pPr>
        <w:spacing w:line="360" w:lineRule="auto"/>
        <w:ind w:left="567" w:right="567"/>
        <w:contextualSpacing/>
        <w:jc w:val="both"/>
        <w:rPr>
          <w:rFonts w:ascii="Palatino Linotype" w:hAnsi="Palatino Linotype" w:cs="Tahoma"/>
          <w:i/>
          <w:iCs/>
        </w:rPr>
      </w:pPr>
      <w:r w:rsidRPr="00BE655A">
        <w:rPr>
          <w:rFonts w:ascii="Palatino Linotype" w:hAnsi="Palatino Linotype"/>
          <w:i/>
          <w:color w:val="000000"/>
        </w:rPr>
        <w:t>“</w:t>
      </w:r>
      <w:r w:rsidR="006D3C79" w:rsidRPr="00BE655A">
        <w:rPr>
          <w:rFonts w:ascii="Palatino Linotype" w:hAnsi="Palatino Linotype"/>
          <w:i/>
          <w:color w:val="000000"/>
        </w:rPr>
        <w:t xml:space="preserve">no remite </w:t>
      </w:r>
      <w:proofErr w:type="spellStart"/>
      <w:r w:rsidR="006D3C79" w:rsidRPr="00BE655A">
        <w:rPr>
          <w:rFonts w:ascii="Palatino Linotype" w:hAnsi="Palatino Linotype"/>
          <w:i/>
          <w:color w:val="000000"/>
        </w:rPr>
        <w:t>informacion</w:t>
      </w:r>
      <w:proofErr w:type="spellEnd"/>
      <w:r w:rsidR="006D3C79" w:rsidRPr="00BE655A">
        <w:rPr>
          <w:rFonts w:ascii="Palatino Linotype" w:hAnsi="Palatino Linotype"/>
          <w:i/>
          <w:color w:val="000000"/>
        </w:rPr>
        <w:t xml:space="preserve"> solicitada, cuando es su </w:t>
      </w:r>
      <w:proofErr w:type="spellStart"/>
      <w:r w:rsidR="006D3C79" w:rsidRPr="00BE655A">
        <w:rPr>
          <w:rFonts w:ascii="Palatino Linotype" w:hAnsi="Palatino Linotype"/>
          <w:i/>
          <w:color w:val="000000"/>
        </w:rPr>
        <w:t>debre</w:t>
      </w:r>
      <w:proofErr w:type="spellEnd"/>
      <w:r w:rsidR="006D3C79" w:rsidRPr="00BE655A">
        <w:rPr>
          <w:rFonts w:ascii="Palatino Linotype" w:hAnsi="Palatino Linotype"/>
          <w:i/>
          <w:color w:val="000000"/>
        </w:rPr>
        <w:t xml:space="preserve"> por ser sujeto obligado, se </w:t>
      </w:r>
      <w:proofErr w:type="spellStart"/>
      <w:r w:rsidR="006D3C79" w:rsidRPr="00BE655A">
        <w:rPr>
          <w:rFonts w:ascii="Palatino Linotype" w:hAnsi="Palatino Linotype"/>
          <w:i/>
          <w:color w:val="000000"/>
        </w:rPr>
        <w:t>solicito</w:t>
      </w:r>
      <w:proofErr w:type="spellEnd"/>
      <w:r w:rsidR="006D3C79" w:rsidRPr="00BE655A">
        <w:rPr>
          <w:rFonts w:ascii="Palatino Linotype" w:hAnsi="Palatino Linotype"/>
          <w:i/>
          <w:color w:val="000000"/>
        </w:rPr>
        <w:t xml:space="preserve"> cual es el sueldo de cada uno de los regidores, sindica, presidente y titulares de </w:t>
      </w:r>
      <w:proofErr w:type="spellStart"/>
      <w:r w:rsidR="006D3C79" w:rsidRPr="00BE655A">
        <w:rPr>
          <w:rFonts w:ascii="Palatino Linotype" w:hAnsi="Palatino Linotype"/>
          <w:i/>
          <w:color w:val="000000"/>
        </w:rPr>
        <w:t>area</w:t>
      </w:r>
      <w:proofErr w:type="spellEnd"/>
      <w:r w:rsidR="006D3C79" w:rsidRPr="00BE655A">
        <w:rPr>
          <w:rFonts w:ascii="Palatino Linotype" w:hAnsi="Palatino Linotype"/>
          <w:i/>
          <w:color w:val="000000"/>
        </w:rPr>
        <w:t xml:space="preserve">, coordinadores. cuanto es el monto que tienen los integrantes de cabildo destinado a </w:t>
      </w:r>
      <w:proofErr w:type="gramStart"/>
      <w:r w:rsidR="006D3C79" w:rsidRPr="00BE655A">
        <w:rPr>
          <w:rFonts w:ascii="Palatino Linotype" w:hAnsi="Palatino Linotype"/>
          <w:i/>
          <w:color w:val="000000"/>
        </w:rPr>
        <w:t>dieta?</w:t>
      </w:r>
      <w:r w:rsidR="004B4C9A" w:rsidRPr="00BE655A">
        <w:rPr>
          <w:rFonts w:ascii="Palatino Linotype" w:hAnsi="Palatino Linotype"/>
          <w:i/>
          <w:iCs/>
          <w:color w:val="000000"/>
        </w:rPr>
        <w:t>.</w:t>
      </w:r>
      <w:proofErr w:type="gramEnd"/>
      <w:r w:rsidR="004B4C9A" w:rsidRPr="00BE655A">
        <w:rPr>
          <w:rFonts w:ascii="Palatino Linotype" w:hAnsi="Palatino Linotype" w:cs="Tahoma"/>
          <w:i/>
          <w:iCs/>
        </w:rPr>
        <w:t xml:space="preserve">” </w:t>
      </w:r>
      <w:r w:rsidRPr="00BE655A">
        <w:rPr>
          <w:rFonts w:ascii="Palatino Linotype" w:hAnsi="Palatino Linotype" w:cs="Tahoma"/>
          <w:i/>
          <w:iCs/>
        </w:rPr>
        <w:t xml:space="preserve"> </w:t>
      </w:r>
      <w:r w:rsidR="004B4C9A" w:rsidRPr="00BE655A">
        <w:rPr>
          <w:rFonts w:ascii="Palatino Linotype" w:hAnsi="Palatino Linotype" w:cs="Tahoma"/>
          <w:i/>
          <w:iCs/>
        </w:rPr>
        <w:t>(Sic)</w:t>
      </w:r>
    </w:p>
    <w:p w14:paraId="436EABB3" w14:textId="77777777" w:rsidR="004B4C9A" w:rsidRPr="00BE655A" w:rsidRDefault="004B4C9A" w:rsidP="00DB35AD">
      <w:pPr>
        <w:spacing w:line="360" w:lineRule="auto"/>
        <w:ind w:right="-28"/>
        <w:contextualSpacing/>
        <w:jc w:val="both"/>
        <w:rPr>
          <w:rFonts w:ascii="Palatino Linotype" w:hAnsi="Palatino Linotype" w:cs="Tahoma"/>
          <w:b/>
        </w:rPr>
      </w:pPr>
    </w:p>
    <w:p w14:paraId="07BDD6A9" w14:textId="3D77452D" w:rsidR="004B4C9A" w:rsidRPr="00BE655A" w:rsidRDefault="004B4C9A" w:rsidP="00DB35AD">
      <w:pPr>
        <w:autoSpaceDE w:val="0"/>
        <w:autoSpaceDN w:val="0"/>
        <w:adjustRightInd w:val="0"/>
        <w:spacing w:line="360" w:lineRule="auto"/>
        <w:ind w:right="-28" w:firstLine="567"/>
        <w:contextualSpacing/>
        <w:jc w:val="both"/>
        <w:rPr>
          <w:rFonts w:ascii="Palatino Linotype" w:hAnsi="Palatino Linotype" w:cs="Tahoma"/>
          <w:b/>
          <w:bCs/>
          <w:i/>
          <w:iCs/>
          <w:color w:val="0D0D0D" w:themeColor="text1" w:themeTint="F2"/>
        </w:rPr>
      </w:pPr>
      <w:r w:rsidRPr="00BE655A">
        <w:rPr>
          <w:rFonts w:ascii="Palatino Linotype" w:hAnsi="Palatino Linotype" w:cs="Tahoma"/>
          <w:b/>
          <w:bCs/>
          <w:i/>
          <w:iCs/>
          <w:color w:val="0D0D0D" w:themeColor="text1" w:themeTint="F2"/>
        </w:rPr>
        <w:t>Recurso de Revisión 0</w:t>
      </w:r>
      <w:r w:rsidR="00C55DCA" w:rsidRPr="00BE655A">
        <w:rPr>
          <w:rFonts w:ascii="Palatino Linotype" w:hAnsi="Palatino Linotype" w:cs="Tahoma"/>
          <w:b/>
          <w:bCs/>
          <w:i/>
          <w:iCs/>
          <w:color w:val="0D0D0D" w:themeColor="text1" w:themeTint="F2"/>
        </w:rPr>
        <w:t>1059</w:t>
      </w:r>
      <w:r w:rsidRPr="00BE655A">
        <w:rPr>
          <w:rFonts w:ascii="Palatino Linotype" w:hAnsi="Palatino Linotype" w:cs="Tahoma"/>
          <w:b/>
          <w:bCs/>
          <w:i/>
          <w:iCs/>
          <w:color w:val="0D0D0D" w:themeColor="text1" w:themeTint="F2"/>
        </w:rPr>
        <w:t>/INFOEM/IP/RR/2025</w:t>
      </w:r>
    </w:p>
    <w:p w14:paraId="019A1470" w14:textId="22A0CC2D" w:rsidR="004B4C9A" w:rsidRPr="00BE655A" w:rsidRDefault="004B4C9A" w:rsidP="00DB35AD">
      <w:pPr>
        <w:tabs>
          <w:tab w:val="left" w:pos="4667"/>
        </w:tabs>
        <w:spacing w:line="360" w:lineRule="auto"/>
        <w:ind w:left="567" w:right="567"/>
        <w:contextualSpacing/>
        <w:jc w:val="both"/>
        <w:rPr>
          <w:rFonts w:ascii="Palatino Linotype" w:hAnsi="Palatino Linotype" w:cs="Tahoma"/>
          <w:b/>
          <w:bCs/>
          <w:i/>
          <w:iCs/>
        </w:rPr>
      </w:pPr>
      <w:r w:rsidRPr="00BE655A">
        <w:rPr>
          <w:rFonts w:ascii="Palatino Linotype" w:hAnsi="Palatino Linotype" w:cs="Tahoma"/>
          <w:b/>
          <w:bCs/>
          <w:i/>
          <w:iCs/>
        </w:rPr>
        <w:t>ACTO IMPUGNADO</w:t>
      </w:r>
    </w:p>
    <w:p w14:paraId="44873614" w14:textId="1C971BD8" w:rsidR="004B4C9A" w:rsidRPr="00BE655A" w:rsidRDefault="001E09A1" w:rsidP="00DB35AD">
      <w:pPr>
        <w:spacing w:line="360" w:lineRule="auto"/>
        <w:ind w:left="567" w:right="567"/>
        <w:contextualSpacing/>
        <w:jc w:val="both"/>
        <w:rPr>
          <w:rFonts w:ascii="Palatino Linotype" w:hAnsi="Palatino Linotype" w:cs="Tahoma"/>
          <w:bCs/>
          <w:i/>
          <w:iCs/>
        </w:rPr>
      </w:pPr>
      <w:r w:rsidRPr="00BE655A">
        <w:rPr>
          <w:rFonts w:ascii="Palatino Linotype" w:hAnsi="Palatino Linotype"/>
          <w:i/>
          <w:iCs/>
          <w:lang w:eastAsia="es-MX"/>
        </w:rPr>
        <w:t>“</w:t>
      </w:r>
      <w:r w:rsidR="00C55DCA" w:rsidRPr="00BE655A">
        <w:rPr>
          <w:rFonts w:ascii="Palatino Linotype" w:hAnsi="Palatino Linotype"/>
          <w:i/>
          <w:iCs/>
          <w:lang w:eastAsia="es-MX"/>
        </w:rPr>
        <w:t xml:space="preserve">no remite la </w:t>
      </w:r>
      <w:proofErr w:type="spellStart"/>
      <w:r w:rsidR="00C55DCA" w:rsidRPr="00BE655A">
        <w:rPr>
          <w:rFonts w:ascii="Palatino Linotype" w:hAnsi="Palatino Linotype"/>
          <w:i/>
          <w:iCs/>
          <w:lang w:eastAsia="es-MX"/>
        </w:rPr>
        <w:t>informacion</w:t>
      </w:r>
      <w:proofErr w:type="spellEnd"/>
      <w:r w:rsidR="00C55DCA" w:rsidRPr="00BE655A">
        <w:rPr>
          <w:rFonts w:ascii="Palatino Linotype" w:hAnsi="Palatino Linotype"/>
          <w:i/>
          <w:iCs/>
          <w:lang w:eastAsia="es-MX"/>
        </w:rPr>
        <w:t xml:space="preserve"> solicitada, cuando es un sujeto obligado y tiene la </w:t>
      </w:r>
      <w:proofErr w:type="spellStart"/>
      <w:r w:rsidR="00C55DCA" w:rsidRPr="00BE655A">
        <w:rPr>
          <w:rFonts w:ascii="Palatino Linotype" w:hAnsi="Palatino Linotype"/>
          <w:i/>
          <w:iCs/>
          <w:lang w:eastAsia="es-MX"/>
        </w:rPr>
        <w:t>infomacion</w:t>
      </w:r>
      <w:proofErr w:type="spellEnd"/>
      <w:r w:rsidR="00C55DCA" w:rsidRPr="00BE655A">
        <w:rPr>
          <w:rFonts w:ascii="Palatino Linotype" w:hAnsi="Palatino Linotype"/>
          <w:i/>
          <w:iCs/>
          <w:lang w:eastAsia="es-MX"/>
        </w:rPr>
        <w:t xml:space="preserve"> en su poder, pues se </w:t>
      </w:r>
      <w:proofErr w:type="spellStart"/>
      <w:r w:rsidR="00C55DCA" w:rsidRPr="00BE655A">
        <w:rPr>
          <w:rFonts w:ascii="Palatino Linotype" w:hAnsi="Palatino Linotype"/>
          <w:i/>
          <w:iCs/>
          <w:lang w:eastAsia="es-MX"/>
        </w:rPr>
        <w:t>pidio</w:t>
      </w:r>
      <w:proofErr w:type="spellEnd"/>
      <w:r w:rsidR="00C55DCA" w:rsidRPr="00BE655A">
        <w:rPr>
          <w:rFonts w:ascii="Palatino Linotype" w:hAnsi="Palatino Linotype"/>
          <w:i/>
          <w:iCs/>
          <w:lang w:eastAsia="es-MX"/>
        </w:rPr>
        <w:t xml:space="preserve"> recibos de </w:t>
      </w:r>
      <w:proofErr w:type="spellStart"/>
      <w:r w:rsidR="00C55DCA" w:rsidRPr="00BE655A">
        <w:rPr>
          <w:rFonts w:ascii="Palatino Linotype" w:hAnsi="Palatino Linotype"/>
          <w:i/>
          <w:iCs/>
          <w:lang w:eastAsia="es-MX"/>
        </w:rPr>
        <w:t>nomina</w:t>
      </w:r>
      <w:proofErr w:type="spellEnd"/>
      <w:r w:rsidR="00C55DCA" w:rsidRPr="00BE655A">
        <w:rPr>
          <w:rFonts w:ascii="Palatino Linotype" w:hAnsi="Palatino Linotype"/>
          <w:i/>
          <w:iCs/>
          <w:lang w:eastAsia="es-MX"/>
        </w:rPr>
        <w:t xml:space="preserve"> de los integrantes del </w:t>
      </w:r>
      <w:proofErr w:type="spellStart"/>
      <w:r w:rsidR="00C55DCA" w:rsidRPr="00BE655A">
        <w:rPr>
          <w:rFonts w:ascii="Palatino Linotype" w:hAnsi="Palatino Linotype"/>
          <w:i/>
          <w:iCs/>
          <w:lang w:eastAsia="es-MX"/>
        </w:rPr>
        <w:t>ayuntamineto</w:t>
      </w:r>
      <w:proofErr w:type="spellEnd"/>
      <w:r w:rsidR="00C55DCA" w:rsidRPr="00BE655A">
        <w:rPr>
          <w:rFonts w:ascii="Palatino Linotype" w:hAnsi="Palatino Linotype"/>
          <w:i/>
          <w:iCs/>
          <w:lang w:eastAsia="es-MX"/>
        </w:rPr>
        <w:t xml:space="preserve">, presidenta, regidores, sindico, titulares de </w:t>
      </w:r>
      <w:proofErr w:type="spellStart"/>
      <w:r w:rsidR="00C55DCA" w:rsidRPr="00BE655A">
        <w:rPr>
          <w:rFonts w:ascii="Palatino Linotype" w:hAnsi="Palatino Linotype"/>
          <w:i/>
          <w:iCs/>
          <w:lang w:eastAsia="es-MX"/>
        </w:rPr>
        <w:t>area</w:t>
      </w:r>
      <w:proofErr w:type="spellEnd"/>
      <w:r w:rsidR="00C55DCA" w:rsidRPr="00BE655A">
        <w:rPr>
          <w:rFonts w:ascii="Palatino Linotype" w:hAnsi="Palatino Linotype"/>
          <w:i/>
          <w:iCs/>
          <w:lang w:eastAsia="es-MX"/>
        </w:rPr>
        <w:t xml:space="preserve">, directores, coordinadores, de la primer quincena de enero de 2025. </w:t>
      </w:r>
      <w:proofErr w:type="spellStart"/>
      <w:r w:rsidR="00C55DCA" w:rsidRPr="00BE655A">
        <w:rPr>
          <w:rFonts w:ascii="Palatino Linotype" w:hAnsi="Palatino Linotype"/>
          <w:i/>
          <w:iCs/>
          <w:lang w:eastAsia="es-MX"/>
        </w:rPr>
        <w:t>informacion</w:t>
      </w:r>
      <w:proofErr w:type="spellEnd"/>
      <w:r w:rsidR="00C55DCA" w:rsidRPr="00BE655A">
        <w:rPr>
          <w:rFonts w:ascii="Palatino Linotype" w:hAnsi="Palatino Linotype"/>
          <w:i/>
          <w:iCs/>
          <w:lang w:eastAsia="es-MX"/>
        </w:rPr>
        <w:t xml:space="preserve"> que </w:t>
      </w:r>
      <w:proofErr w:type="spellStart"/>
      <w:r w:rsidR="00C55DCA" w:rsidRPr="00BE655A">
        <w:rPr>
          <w:rFonts w:ascii="Palatino Linotype" w:hAnsi="Palatino Linotype"/>
          <w:i/>
          <w:iCs/>
          <w:lang w:eastAsia="es-MX"/>
        </w:rPr>
        <w:t>esta</w:t>
      </w:r>
      <w:proofErr w:type="spellEnd"/>
      <w:r w:rsidR="00C55DCA" w:rsidRPr="00BE655A">
        <w:rPr>
          <w:rFonts w:ascii="Palatino Linotype" w:hAnsi="Palatino Linotype"/>
          <w:i/>
          <w:iCs/>
          <w:lang w:eastAsia="es-MX"/>
        </w:rPr>
        <w:t xml:space="preserve"> a cargo de </w:t>
      </w:r>
      <w:proofErr w:type="spellStart"/>
      <w:r w:rsidR="00C55DCA" w:rsidRPr="00BE655A">
        <w:rPr>
          <w:rFonts w:ascii="Palatino Linotype" w:hAnsi="Palatino Linotype"/>
          <w:i/>
          <w:iCs/>
          <w:lang w:eastAsia="es-MX"/>
        </w:rPr>
        <w:t>tesoreria</w:t>
      </w:r>
      <w:proofErr w:type="spellEnd"/>
      <w:r w:rsidR="00C55DCA" w:rsidRPr="00BE655A">
        <w:rPr>
          <w:rFonts w:ascii="Palatino Linotype" w:hAnsi="Palatino Linotype"/>
          <w:i/>
          <w:iCs/>
          <w:lang w:eastAsia="es-MX"/>
        </w:rPr>
        <w:t xml:space="preserve"> y no de </w:t>
      </w:r>
      <w:proofErr w:type="spellStart"/>
      <w:r w:rsidR="00C55DCA" w:rsidRPr="00BE655A">
        <w:rPr>
          <w:rFonts w:ascii="Palatino Linotype" w:hAnsi="Palatino Linotype"/>
          <w:i/>
          <w:iCs/>
          <w:lang w:eastAsia="es-MX"/>
        </w:rPr>
        <w:t>recusos</w:t>
      </w:r>
      <w:proofErr w:type="spellEnd"/>
      <w:r w:rsidR="00C55DCA" w:rsidRPr="00BE655A">
        <w:rPr>
          <w:rFonts w:ascii="Palatino Linotype" w:hAnsi="Palatino Linotype"/>
          <w:i/>
          <w:iCs/>
          <w:lang w:eastAsia="es-MX"/>
        </w:rPr>
        <w:t xml:space="preserve"> humanos</w:t>
      </w:r>
      <w:r w:rsidR="004B4C9A" w:rsidRPr="00BE655A">
        <w:rPr>
          <w:rFonts w:ascii="Palatino Linotype" w:hAnsi="Palatino Linotype"/>
          <w:i/>
          <w:iCs/>
          <w:color w:val="000000"/>
        </w:rPr>
        <w:t>.</w:t>
      </w:r>
      <w:r w:rsidR="004B4C9A" w:rsidRPr="00BE655A">
        <w:rPr>
          <w:rFonts w:ascii="Palatino Linotype" w:hAnsi="Palatino Linotype" w:cs="Tahoma"/>
          <w:bCs/>
          <w:i/>
          <w:iCs/>
        </w:rPr>
        <w:t>” (Sic)</w:t>
      </w:r>
      <w:r w:rsidRPr="00BE655A">
        <w:rPr>
          <w:rFonts w:ascii="Palatino Linotype" w:hAnsi="Palatino Linotype" w:cs="Tahoma"/>
          <w:bCs/>
          <w:i/>
          <w:iCs/>
        </w:rPr>
        <w:t>.</w:t>
      </w:r>
    </w:p>
    <w:p w14:paraId="1232678F" w14:textId="77777777" w:rsidR="004B4C9A" w:rsidRPr="00BE655A" w:rsidRDefault="004B4C9A" w:rsidP="00DB35AD">
      <w:pPr>
        <w:tabs>
          <w:tab w:val="left" w:pos="4667"/>
        </w:tabs>
        <w:spacing w:line="360" w:lineRule="auto"/>
        <w:ind w:left="567" w:right="567"/>
        <w:contextualSpacing/>
        <w:jc w:val="both"/>
        <w:rPr>
          <w:rFonts w:ascii="Palatino Linotype" w:hAnsi="Palatino Linotype" w:cs="Tahoma"/>
          <w:bCs/>
          <w:i/>
          <w:iCs/>
        </w:rPr>
      </w:pPr>
    </w:p>
    <w:p w14:paraId="32BBA347" w14:textId="77777777" w:rsidR="004B4C9A" w:rsidRPr="00BE655A" w:rsidRDefault="004B4C9A" w:rsidP="00DB35AD">
      <w:pPr>
        <w:tabs>
          <w:tab w:val="left" w:pos="4667"/>
        </w:tabs>
        <w:spacing w:line="360" w:lineRule="auto"/>
        <w:ind w:left="567" w:right="567"/>
        <w:contextualSpacing/>
        <w:jc w:val="both"/>
        <w:rPr>
          <w:rFonts w:ascii="Palatino Linotype" w:hAnsi="Palatino Linotype" w:cs="Tahoma"/>
          <w:b/>
          <w:bCs/>
          <w:i/>
          <w:iCs/>
        </w:rPr>
      </w:pPr>
      <w:r w:rsidRPr="00BE655A">
        <w:rPr>
          <w:rFonts w:ascii="Palatino Linotype" w:hAnsi="Palatino Linotype" w:cs="Tahoma"/>
          <w:b/>
          <w:bCs/>
          <w:i/>
          <w:iCs/>
        </w:rPr>
        <w:t>“RAZONES O MOTIVOS DE LA INCONFORMIDAD</w:t>
      </w:r>
    </w:p>
    <w:p w14:paraId="1DF35ABB" w14:textId="77777777" w:rsidR="001E09A1" w:rsidRPr="00BE655A" w:rsidRDefault="00C55DCA" w:rsidP="001E09A1">
      <w:pPr>
        <w:spacing w:line="360" w:lineRule="auto"/>
        <w:ind w:left="567" w:right="567"/>
        <w:contextualSpacing/>
        <w:jc w:val="both"/>
        <w:rPr>
          <w:rFonts w:ascii="Palatino Linotype" w:hAnsi="Palatino Linotype" w:cs="Tahoma"/>
          <w:bCs/>
          <w:i/>
          <w:iCs/>
        </w:rPr>
      </w:pPr>
      <w:r w:rsidRPr="00BE655A">
        <w:rPr>
          <w:rFonts w:ascii="Palatino Linotype" w:hAnsi="Palatino Linotype"/>
          <w:i/>
          <w:iCs/>
          <w:lang w:eastAsia="es-MX"/>
        </w:rPr>
        <w:t xml:space="preserve">no remite la </w:t>
      </w:r>
      <w:proofErr w:type="spellStart"/>
      <w:r w:rsidRPr="00BE655A">
        <w:rPr>
          <w:rFonts w:ascii="Palatino Linotype" w:hAnsi="Palatino Linotype"/>
          <w:i/>
          <w:iCs/>
          <w:lang w:eastAsia="es-MX"/>
        </w:rPr>
        <w:t>informacion</w:t>
      </w:r>
      <w:proofErr w:type="spellEnd"/>
      <w:r w:rsidRPr="00BE655A">
        <w:rPr>
          <w:rFonts w:ascii="Palatino Linotype" w:hAnsi="Palatino Linotype"/>
          <w:i/>
          <w:iCs/>
          <w:lang w:eastAsia="es-MX"/>
        </w:rPr>
        <w:t xml:space="preserve"> solicitada, cuando es un sujeto obligado y tiene la </w:t>
      </w:r>
      <w:proofErr w:type="spellStart"/>
      <w:r w:rsidRPr="00BE655A">
        <w:rPr>
          <w:rFonts w:ascii="Palatino Linotype" w:hAnsi="Palatino Linotype"/>
          <w:i/>
          <w:iCs/>
          <w:lang w:eastAsia="es-MX"/>
        </w:rPr>
        <w:t>infomacion</w:t>
      </w:r>
      <w:proofErr w:type="spellEnd"/>
      <w:r w:rsidRPr="00BE655A">
        <w:rPr>
          <w:rFonts w:ascii="Palatino Linotype" w:hAnsi="Palatino Linotype"/>
          <w:i/>
          <w:iCs/>
          <w:lang w:eastAsia="es-MX"/>
        </w:rPr>
        <w:t xml:space="preserve"> en su poder, pues se </w:t>
      </w:r>
      <w:proofErr w:type="spellStart"/>
      <w:r w:rsidRPr="00BE655A">
        <w:rPr>
          <w:rFonts w:ascii="Palatino Linotype" w:hAnsi="Palatino Linotype"/>
          <w:i/>
          <w:iCs/>
          <w:lang w:eastAsia="es-MX"/>
        </w:rPr>
        <w:t>pidio</w:t>
      </w:r>
      <w:proofErr w:type="spellEnd"/>
      <w:r w:rsidRPr="00BE655A">
        <w:rPr>
          <w:rFonts w:ascii="Palatino Linotype" w:hAnsi="Palatino Linotype"/>
          <w:i/>
          <w:iCs/>
          <w:lang w:eastAsia="es-MX"/>
        </w:rPr>
        <w:t xml:space="preserve"> recibos de </w:t>
      </w:r>
      <w:proofErr w:type="spellStart"/>
      <w:r w:rsidRPr="00BE655A">
        <w:rPr>
          <w:rFonts w:ascii="Palatino Linotype" w:hAnsi="Palatino Linotype"/>
          <w:i/>
          <w:iCs/>
          <w:lang w:eastAsia="es-MX"/>
        </w:rPr>
        <w:t>nomina</w:t>
      </w:r>
      <w:proofErr w:type="spellEnd"/>
      <w:r w:rsidRPr="00BE655A">
        <w:rPr>
          <w:rFonts w:ascii="Palatino Linotype" w:hAnsi="Palatino Linotype"/>
          <w:i/>
          <w:iCs/>
          <w:lang w:eastAsia="es-MX"/>
        </w:rPr>
        <w:t xml:space="preserve"> de los integrantes del </w:t>
      </w:r>
      <w:proofErr w:type="spellStart"/>
      <w:r w:rsidRPr="00BE655A">
        <w:rPr>
          <w:rFonts w:ascii="Palatino Linotype" w:hAnsi="Palatino Linotype"/>
          <w:i/>
          <w:iCs/>
          <w:lang w:eastAsia="es-MX"/>
        </w:rPr>
        <w:t>ayuntamineto</w:t>
      </w:r>
      <w:proofErr w:type="spellEnd"/>
      <w:r w:rsidRPr="00BE655A">
        <w:rPr>
          <w:rFonts w:ascii="Palatino Linotype" w:hAnsi="Palatino Linotype"/>
          <w:i/>
          <w:iCs/>
          <w:lang w:eastAsia="es-MX"/>
        </w:rPr>
        <w:t xml:space="preserve">, presidenta, regidores, sindico, titulares de </w:t>
      </w:r>
      <w:proofErr w:type="spellStart"/>
      <w:r w:rsidRPr="00BE655A">
        <w:rPr>
          <w:rFonts w:ascii="Palatino Linotype" w:hAnsi="Palatino Linotype"/>
          <w:i/>
          <w:iCs/>
          <w:lang w:eastAsia="es-MX"/>
        </w:rPr>
        <w:t>area</w:t>
      </w:r>
      <w:proofErr w:type="spellEnd"/>
      <w:r w:rsidRPr="00BE655A">
        <w:rPr>
          <w:rFonts w:ascii="Palatino Linotype" w:hAnsi="Palatino Linotype"/>
          <w:i/>
          <w:iCs/>
          <w:lang w:eastAsia="es-MX"/>
        </w:rPr>
        <w:t xml:space="preserve">, directores, coordinadores, de la </w:t>
      </w:r>
      <w:proofErr w:type="gramStart"/>
      <w:r w:rsidRPr="00BE655A">
        <w:rPr>
          <w:rFonts w:ascii="Palatino Linotype" w:hAnsi="Palatino Linotype"/>
          <w:i/>
          <w:iCs/>
          <w:lang w:eastAsia="es-MX"/>
        </w:rPr>
        <w:t>primer quincena</w:t>
      </w:r>
      <w:proofErr w:type="gramEnd"/>
      <w:r w:rsidRPr="00BE655A">
        <w:rPr>
          <w:rFonts w:ascii="Palatino Linotype" w:hAnsi="Palatino Linotype"/>
          <w:i/>
          <w:iCs/>
          <w:lang w:eastAsia="es-MX"/>
        </w:rPr>
        <w:t xml:space="preserve"> de enero de 2025. </w:t>
      </w:r>
      <w:proofErr w:type="spellStart"/>
      <w:r w:rsidRPr="00BE655A">
        <w:rPr>
          <w:rFonts w:ascii="Palatino Linotype" w:hAnsi="Palatino Linotype"/>
          <w:i/>
          <w:iCs/>
          <w:lang w:eastAsia="es-MX"/>
        </w:rPr>
        <w:t>informacion</w:t>
      </w:r>
      <w:proofErr w:type="spellEnd"/>
      <w:r w:rsidRPr="00BE655A">
        <w:rPr>
          <w:rFonts w:ascii="Palatino Linotype" w:hAnsi="Palatino Linotype"/>
          <w:i/>
          <w:iCs/>
          <w:lang w:eastAsia="es-MX"/>
        </w:rPr>
        <w:t xml:space="preserve"> que </w:t>
      </w:r>
      <w:proofErr w:type="spellStart"/>
      <w:r w:rsidRPr="00BE655A">
        <w:rPr>
          <w:rFonts w:ascii="Palatino Linotype" w:hAnsi="Palatino Linotype"/>
          <w:i/>
          <w:iCs/>
          <w:lang w:eastAsia="es-MX"/>
        </w:rPr>
        <w:t>esta</w:t>
      </w:r>
      <w:proofErr w:type="spellEnd"/>
      <w:r w:rsidRPr="00BE655A">
        <w:rPr>
          <w:rFonts w:ascii="Palatino Linotype" w:hAnsi="Palatino Linotype"/>
          <w:i/>
          <w:iCs/>
          <w:lang w:eastAsia="es-MX"/>
        </w:rPr>
        <w:t xml:space="preserve"> a cargo de </w:t>
      </w:r>
      <w:proofErr w:type="spellStart"/>
      <w:r w:rsidRPr="00BE655A">
        <w:rPr>
          <w:rFonts w:ascii="Palatino Linotype" w:hAnsi="Palatino Linotype"/>
          <w:i/>
          <w:iCs/>
          <w:lang w:eastAsia="es-MX"/>
        </w:rPr>
        <w:t>tesoreria</w:t>
      </w:r>
      <w:proofErr w:type="spellEnd"/>
      <w:r w:rsidRPr="00BE655A">
        <w:rPr>
          <w:rFonts w:ascii="Palatino Linotype" w:hAnsi="Palatino Linotype"/>
          <w:i/>
          <w:iCs/>
          <w:lang w:eastAsia="es-MX"/>
        </w:rPr>
        <w:t xml:space="preserve"> y no de </w:t>
      </w:r>
      <w:proofErr w:type="spellStart"/>
      <w:r w:rsidRPr="00BE655A">
        <w:rPr>
          <w:rFonts w:ascii="Palatino Linotype" w:hAnsi="Palatino Linotype"/>
          <w:i/>
          <w:iCs/>
          <w:lang w:eastAsia="es-MX"/>
        </w:rPr>
        <w:t>recusos</w:t>
      </w:r>
      <w:proofErr w:type="spellEnd"/>
      <w:r w:rsidRPr="00BE655A">
        <w:rPr>
          <w:rFonts w:ascii="Palatino Linotype" w:hAnsi="Palatino Linotype"/>
          <w:i/>
          <w:iCs/>
          <w:lang w:eastAsia="es-MX"/>
        </w:rPr>
        <w:t xml:space="preserve"> humanos</w:t>
      </w:r>
      <w:r w:rsidR="004B4C9A" w:rsidRPr="00BE655A">
        <w:rPr>
          <w:rFonts w:ascii="Palatino Linotype" w:hAnsi="Palatino Linotype"/>
          <w:i/>
          <w:iCs/>
          <w:color w:val="000000"/>
        </w:rPr>
        <w:t>.</w:t>
      </w:r>
      <w:r w:rsidR="004B4C9A" w:rsidRPr="00BE655A">
        <w:rPr>
          <w:rFonts w:ascii="Palatino Linotype" w:hAnsi="Palatino Linotype" w:cs="Tahoma"/>
          <w:i/>
          <w:iCs/>
        </w:rPr>
        <w:t xml:space="preserve">” </w:t>
      </w:r>
      <w:r w:rsidR="001E09A1" w:rsidRPr="00BE655A">
        <w:rPr>
          <w:rFonts w:ascii="Palatino Linotype" w:hAnsi="Palatino Linotype" w:cs="Tahoma"/>
          <w:bCs/>
          <w:i/>
          <w:iCs/>
        </w:rPr>
        <w:t>(Sic).</w:t>
      </w:r>
    </w:p>
    <w:p w14:paraId="62B2663A" w14:textId="1F1C5168" w:rsidR="004B4C9A" w:rsidRPr="00BE655A" w:rsidRDefault="004B4C9A" w:rsidP="00DB35AD">
      <w:pPr>
        <w:pStyle w:val="Ttulo2"/>
        <w:spacing w:line="360" w:lineRule="auto"/>
        <w:contextualSpacing/>
        <w:rPr>
          <w:rFonts w:ascii="Palatino Linotype" w:eastAsia="Batang" w:hAnsi="Palatino Linotype"/>
          <w:b/>
          <w:bCs/>
          <w:color w:val="auto"/>
          <w:sz w:val="22"/>
          <w:szCs w:val="22"/>
        </w:rPr>
      </w:pPr>
      <w:bookmarkStart w:id="7" w:name="_Toc188481295"/>
      <w:r w:rsidRPr="00BE655A">
        <w:rPr>
          <w:rFonts w:ascii="Palatino Linotype" w:hAnsi="Palatino Linotype"/>
          <w:b/>
          <w:bCs/>
          <w:color w:val="auto"/>
          <w:sz w:val="22"/>
          <w:szCs w:val="22"/>
        </w:rPr>
        <w:lastRenderedPageBreak/>
        <w:t xml:space="preserve">V. </w:t>
      </w:r>
      <w:r w:rsidRPr="00BE655A">
        <w:rPr>
          <w:rFonts w:ascii="Palatino Linotype" w:eastAsia="Batang" w:hAnsi="Palatino Linotype"/>
          <w:b/>
          <w:bCs/>
          <w:color w:val="auto"/>
          <w:sz w:val="22"/>
          <w:szCs w:val="22"/>
        </w:rPr>
        <w:t xml:space="preserve">Trámite del </w:t>
      </w:r>
      <w:r w:rsidRPr="00BE655A">
        <w:rPr>
          <w:rFonts w:ascii="Palatino Linotype" w:hAnsi="Palatino Linotype"/>
          <w:b/>
          <w:bCs/>
          <w:color w:val="auto"/>
          <w:sz w:val="22"/>
          <w:szCs w:val="22"/>
        </w:rPr>
        <w:t xml:space="preserve">Recurso de Revisión </w:t>
      </w:r>
      <w:r w:rsidRPr="00BE655A">
        <w:rPr>
          <w:rFonts w:ascii="Palatino Linotype" w:eastAsia="Batang" w:hAnsi="Palatino Linotype"/>
          <w:b/>
          <w:bCs/>
          <w:color w:val="auto"/>
          <w:sz w:val="22"/>
          <w:szCs w:val="22"/>
        </w:rPr>
        <w:t>ante el Instituto</w:t>
      </w:r>
      <w:bookmarkEnd w:id="7"/>
    </w:p>
    <w:p w14:paraId="7108B860" w14:textId="77777777" w:rsidR="004B4C9A" w:rsidRPr="00BE655A" w:rsidRDefault="004B4C9A" w:rsidP="00DB35AD">
      <w:pPr>
        <w:spacing w:line="360" w:lineRule="auto"/>
        <w:ind w:right="-28"/>
        <w:contextualSpacing/>
        <w:jc w:val="both"/>
        <w:rPr>
          <w:rFonts w:ascii="Palatino Linotype" w:eastAsia="Batang" w:hAnsi="Palatino Linotype" w:cs="Tahoma"/>
          <w:b/>
          <w:bCs/>
          <w:sz w:val="22"/>
          <w:szCs w:val="22"/>
        </w:rPr>
      </w:pPr>
    </w:p>
    <w:p w14:paraId="76963DFF" w14:textId="07144135" w:rsidR="004B4C9A" w:rsidRPr="00BE655A" w:rsidRDefault="004B4C9A" w:rsidP="00DB35AD">
      <w:pPr>
        <w:spacing w:line="360" w:lineRule="auto"/>
        <w:ind w:right="-28"/>
        <w:contextualSpacing/>
        <w:jc w:val="both"/>
        <w:rPr>
          <w:rFonts w:ascii="Palatino Linotype" w:eastAsia="Calibri" w:hAnsi="Palatino Linotype" w:cs="Tahoma"/>
          <w:bCs/>
          <w:sz w:val="22"/>
          <w:szCs w:val="22"/>
          <w:lang w:eastAsia="en-US"/>
        </w:rPr>
      </w:pPr>
      <w:r w:rsidRPr="00BE655A">
        <w:rPr>
          <w:rFonts w:ascii="Palatino Linotype" w:eastAsia="Batang" w:hAnsi="Palatino Linotype" w:cs="Tahoma"/>
          <w:b/>
          <w:bCs/>
          <w:sz w:val="22"/>
          <w:szCs w:val="22"/>
        </w:rPr>
        <w:t xml:space="preserve">a) Turno del </w:t>
      </w:r>
      <w:r w:rsidRPr="00BE655A">
        <w:rPr>
          <w:rFonts w:ascii="Palatino Linotype" w:hAnsi="Palatino Linotype" w:cs="Tahoma"/>
          <w:b/>
          <w:sz w:val="22"/>
          <w:szCs w:val="22"/>
        </w:rPr>
        <w:t>Recurso de Revisión</w:t>
      </w:r>
      <w:r w:rsidRPr="00BE655A">
        <w:rPr>
          <w:rFonts w:ascii="Palatino Linotype" w:eastAsia="Batang" w:hAnsi="Palatino Linotype" w:cs="Tahoma"/>
          <w:b/>
          <w:bCs/>
          <w:sz w:val="22"/>
          <w:szCs w:val="22"/>
        </w:rPr>
        <w:t xml:space="preserve">. </w:t>
      </w:r>
      <w:r w:rsidRPr="00BE655A">
        <w:rPr>
          <w:rFonts w:ascii="Palatino Linotype" w:eastAsia="Batang" w:hAnsi="Palatino Linotype" w:cs="Tahoma"/>
          <w:bCs/>
          <w:sz w:val="22"/>
          <w:szCs w:val="22"/>
        </w:rPr>
        <w:t xml:space="preserve">El </w:t>
      </w:r>
      <w:r w:rsidR="00C55DCA" w:rsidRPr="00BE655A">
        <w:rPr>
          <w:rFonts w:ascii="Palatino Linotype" w:eastAsia="Batang" w:hAnsi="Palatino Linotype" w:cs="Tahoma"/>
          <w:bCs/>
          <w:sz w:val="22"/>
          <w:szCs w:val="22"/>
        </w:rPr>
        <w:t>doce de febrero</w:t>
      </w:r>
      <w:r w:rsidRPr="00BE655A">
        <w:rPr>
          <w:rFonts w:ascii="Palatino Linotype" w:eastAsia="Batang" w:hAnsi="Palatino Linotype" w:cs="Tahoma"/>
          <w:bCs/>
          <w:sz w:val="22"/>
          <w:szCs w:val="22"/>
        </w:rPr>
        <w:t xml:space="preserve"> de dos mil veinticinco, </w:t>
      </w:r>
      <w:r w:rsidRPr="00BE655A">
        <w:rPr>
          <w:rFonts w:ascii="Palatino Linotype" w:eastAsia="Calibri" w:hAnsi="Palatino Linotype" w:cs="Tahoma"/>
          <w:bCs/>
          <w:sz w:val="22"/>
          <w:szCs w:val="22"/>
          <w:lang w:eastAsia="en-US"/>
        </w:rPr>
        <w:t xml:space="preserve">el </w:t>
      </w:r>
      <w:r w:rsidR="001E09A1" w:rsidRPr="00BE655A">
        <w:rPr>
          <w:rFonts w:ascii="Palatino Linotype" w:eastAsia="Calibri" w:hAnsi="Palatino Linotype" w:cs="Tahoma"/>
          <w:bCs/>
          <w:sz w:val="22"/>
          <w:szCs w:val="22"/>
          <w:lang w:eastAsia="en-US"/>
        </w:rPr>
        <w:t>SAIMEX</w:t>
      </w:r>
      <w:r w:rsidRPr="00BE655A">
        <w:rPr>
          <w:rFonts w:ascii="Palatino Linotype" w:eastAsia="Calibri" w:hAnsi="Palatino Linotype" w:cs="Tahoma"/>
          <w:bCs/>
          <w:sz w:val="22"/>
          <w:szCs w:val="22"/>
          <w:lang w:eastAsia="en-US"/>
        </w:rPr>
        <w:t>, asignó l</w:t>
      </w:r>
      <w:r w:rsidR="00C55DCA" w:rsidRPr="00BE655A">
        <w:rPr>
          <w:rFonts w:ascii="Palatino Linotype" w:eastAsia="Calibri" w:hAnsi="Palatino Linotype" w:cs="Tahoma"/>
          <w:bCs/>
          <w:sz w:val="22"/>
          <w:szCs w:val="22"/>
          <w:lang w:eastAsia="en-US"/>
        </w:rPr>
        <w:t>os</w:t>
      </w:r>
      <w:r w:rsidRPr="00BE655A">
        <w:rPr>
          <w:rFonts w:ascii="Palatino Linotype" w:eastAsia="Calibri" w:hAnsi="Palatino Linotype" w:cs="Tahoma"/>
          <w:bCs/>
          <w:sz w:val="22"/>
          <w:szCs w:val="22"/>
          <w:lang w:eastAsia="en-US"/>
        </w:rPr>
        <w:t xml:space="preserve"> número</w:t>
      </w:r>
      <w:r w:rsidR="00C55DCA" w:rsidRPr="00BE655A">
        <w:rPr>
          <w:rFonts w:ascii="Palatino Linotype" w:eastAsia="Calibri" w:hAnsi="Palatino Linotype" w:cs="Tahoma"/>
          <w:bCs/>
          <w:sz w:val="22"/>
          <w:szCs w:val="22"/>
          <w:lang w:eastAsia="en-US"/>
        </w:rPr>
        <w:t>s</w:t>
      </w:r>
      <w:r w:rsidRPr="00BE655A">
        <w:rPr>
          <w:rFonts w:ascii="Palatino Linotype" w:eastAsia="Calibri" w:hAnsi="Palatino Linotype" w:cs="Tahoma"/>
          <w:bCs/>
          <w:sz w:val="22"/>
          <w:szCs w:val="22"/>
          <w:lang w:eastAsia="en-US"/>
        </w:rPr>
        <w:t xml:space="preserve"> de expediente </w:t>
      </w:r>
      <w:r w:rsidRPr="00BE655A">
        <w:rPr>
          <w:rFonts w:ascii="Palatino Linotype" w:eastAsia="Calibri" w:hAnsi="Palatino Linotype" w:cs="Tahoma"/>
          <w:b/>
          <w:bCs/>
          <w:sz w:val="22"/>
          <w:szCs w:val="22"/>
          <w:lang w:eastAsia="en-US"/>
        </w:rPr>
        <w:t>01</w:t>
      </w:r>
      <w:r w:rsidR="00C55DCA" w:rsidRPr="00BE655A">
        <w:rPr>
          <w:rFonts w:ascii="Palatino Linotype" w:eastAsia="Calibri" w:hAnsi="Palatino Linotype" w:cs="Tahoma"/>
          <w:b/>
          <w:bCs/>
          <w:sz w:val="22"/>
          <w:szCs w:val="22"/>
          <w:lang w:eastAsia="en-US"/>
        </w:rPr>
        <w:t>056</w:t>
      </w:r>
      <w:r w:rsidRPr="00BE655A">
        <w:rPr>
          <w:rFonts w:ascii="Palatino Linotype" w:eastAsia="Calibri" w:hAnsi="Palatino Linotype" w:cs="Tahoma"/>
          <w:b/>
          <w:bCs/>
          <w:sz w:val="22"/>
          <w:szCs w:val="22"/>
          <w:lang w:eastAsia="en-US"/>
        </w:rPr>
        <w:t>/INFOEM/IP/RR/2025 y 0</w:t>
      </w:r>
      <w:r w:rsidR="00C55DCA" w:rsidRPr="00BE655A">
        <w:rPr>
          <w:rFonts w:ascii="Palatino Linotype" w:eastAsia="Calibri" w:hAnsi="Palatino Linotype" w:cs="Tahoma"/>
          <w:b/>
          <w:bCs/>
          <w:sz w:val="22"/>
          <w:szCs w:val="22"/>
          <w:lang w:eastAsia="en-US"/>
        </w:rPr>
        <w:t>1059</w:t>
      </w:r>
      <w:r w:rsidRPr="00BE655A">
        <w:rPr>
          <w:rFonts w:ascii="Palatino Linotype" w:eastAsia="Calibri" w:hAnsi="Palatino Linotype" w:cs="Tahoma"/>
          <w:b/>
          <w:bCs/>
          <w:sz w:val="22"/>
          <w:szCs w:val="22"/>
          <w:lang w:eastAsia="en-US"/>
        </w:rPr>
        <w:t xml:space="preserve">/INFOEM/IP/RR/2025, </w:t>
      </w:r>
      <w:r w:rsidRPr="00BE655A">
        <w:rPr>
          <w:rFonts w:ascii="Palatino Linotype" w:eastAsia="Calibri" w:hAnsi="Palatino Linotype" w:cs="Tahoma"/>
          <w:bCs/>
          <w:sz w:val="22"/>
          <w:szCs w:val="22"/>
          <w:lang w:eastAsia="en-US"/>
        </w:rPr>
        <w:t xml:space="preserve">al Recurso de Revisión y lo turnó a los Comisionados </w:t>
      </w:r>
      <w:r w:rsidRPr="00BE655A">
        <w:rPr>
          <w:rFonts w:ascii="Palatino Linotype" w:eastAsia="Calibri" w:hAnsi="Palatino Linotype" w:cs="Tahoma"/>
          <w:b/>
          <w:bCs/>
          <w:sz w:val="22"/>
          <w:szCs w:val="22"/>
          <w:lang w:eastAsia="en-US"/>
        </w:rPr>
        <w:t xml:space="preserve">Luis Gustavo Parra Noriega y </w:t>
      </w:r>
      <w:r w:rsidR="00C55DCA" w:rsidRPr="00BE655A">
        <w:rPr>
          <w:rFonts w:ascii="Palatino Linotype" w:eastAsia="Calibri" w:hAnsi="Palatino Linotype" w:cs="Tahoma"/>
          <w:b/>
          <w:bCs/>
          <w:sz w:val="22"/>
          <w:szCs w:val="22"/>
          <w:lang w:eastAsia="en-US"/>
        </w:rPr>
        <w:t>Guadalupe Ramírez Peña</w:t>
      </w:r>
      <w:r w:rsidRPr="00BE655A">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7CD55B0A" w14:textId="77777777" w:rsidR="004B4C9A" w:rsidRPr="00BE655A" w:rsidRDefault="004B4C9A" w:rsidP="00DB35AD">
      <w:pPr>
        <w:spacing w:line="360" w:lineRule="auto"/>
        <w:ind w:right="-28"/>
        <w:contextualSpacing/>
        <w:jc w:val="both"/>
        <w:rPr>
          <w:rFonts w:ascii="Palatino Linotype" w:eastAsia="Batang" w:hAnsi="Palatino Linotype" w:cs="Tahoma"/>
          <w:b/>
          <w:bCs/>
          <w:sz w:val="22"/>
          <w:szCs w:val="22"/>
        </w:rPr>
      </w:pPr>
    </w:p>
    <w:p w14:paraId="20129522" w14:textId="0146B2BE" w:rsidR="004B4C9A" w:rsidRPr="00BE655A" w:rsidRDefault="004B4C9A" w:rsidP="00DB35AD">
      <w:pPr>
        <w:spacing w:line="360" w:lineRule="auto"/>
        <w:contextualSpacing/>
        <w:jc w:val="both"/>
        <w:rPr>
          <w:rFonts w:ascii="Palatino Linotype" w:hAnsi="Palatino Linotype" w:cs="Tahoma"/>
          <w:bCs/>
          <w:sz w:val="22"/>
          <w:szCs w:val="22"/>
        </w:rPr>
      </w:pPr>
      <w:r w:rsidRPr="00BE655A">
        <w:rPr>
          <w:rFonts w:ascii="Palatino Linotype" w:eastAsia="Batang" w:hAnsi="Palatino Linotype" w:cs="Tahoma"/>
          <w:b/>
          <w:bCs/>
          <w:sz w:val="22"/>
          <w:szCs w:val="22"/>
        </w:rPr>
        <w:t xml:space="preserve">b) Admisión del </w:t>
      </w:r>
      <w:r w:rsidRPr="00BE655A">
        <w:rPr>
          <w:rFonts w:ascii="Palatino Linotype" w:hAnsi="Palatino Linotype" w:cs="Tahoma"/>
          <w:b/>
          <w:sz w:val="22"/>
          <w:szCs w:val="22"/>
        </w:rPr>
        <w:t>Recurso de Revisión</w:t>
      </w:r>
      <w:r w:rsidRPr="00BE655A">
        <w:rPr>
          <w:rFonts w:ascii="Palatino Linotype" w:eastAsia="Batang" w:hAnsi="Palatino Linotype" w:cs="Tahoma"/>
          <w:b/>
          <w:bCs/>
          <w:sz w:val="22"/>
          <w:szCs w:val="22"/>
          <w:lang w:val="es-ES_tradnl"/>
        </w:rPr>
        <w:t xml:space="preserve">. </w:t>
      </w:r>
      <w:r w:rsidRPr="00BE655A">
        <w:rPr>
          <w:rFonts w:ascii="Palatino Linotype" w:eastAsia="Batang" w:hAnsi="Palatino Linotype" w:cs="Tahoma"/>
          <w:bCs/>
          <w:sz w:val="22"/>
          <w:szCs w:val="22"/>
          <w:lang w:val="es-ES_tradnl"/>
        </w:rPr>
        <w:t xml:space="preserve">El </w:t>
      </w:r>
      <w:r w:rsidR="00C55DCA" w:rsidRPr="00BE655A">
        <w:rPr>
          <w:rFonts w:ascii="Palatino Linotype" w:eastAsia="Batang" w:hAnsi="Palatino Linotype" w:cs="Tahoma"/>
          <w:bCs/>
          <w:sz w:val="22"/>
          <w:szCs w:val="22"/>
          <w:lang w:val="es-ES_tradnl"/>
        </w:rPr>
        <w:t>catorce</w:t>
      </w:r>
      <w:r w:rsidRPr="00BE655A">
        <w:rPr>
          <w:rFonts w:ascii="Palatino Linotype" w:eastAsia="Batang" w:hAnsi="Palatino Linotype" w:cs="Tahoma"/>
          <w:bCs/>
          <w:sz w:val="22"/>
          <w:szCs w:val="22"/>
          <w:lang w:val="es-ES_tradnl"/>
        </w:rPr>
        <w:t xml:space="preserve"> de</w:t>
      </w:r>
      <w:r w:rsidR="00C55DCA" w:rsidRPr="00BE655A">
        <w:rPr>
          <w:rFonts w:ascii="Palatino Linotype" w:eastAsia="Batang" w:hAnsi="Palatino Linotype" w:cs="Tahoma"/>
          <w:bCs/>
          <w:sz w:val="22"/>
          <w:szCs w:val="22"/>
          <w:lang w:val="es-ES_tradnl"/>
        </w:rPr>
        <w:t xml:space="preserve"> febrero de</w:t>
      </w:r>
      <w:r w:rsidRPr="00BE655A">
        <w:rPr>
          <w:rFonts w:ascii="Palatino Linotype" w:eastAsia="Batang" w:hAnsi="Palatino Linotype" w:cs="Tahoma"/>
          <w:bCs/>
          <w:sz w:val="22"/>
          <w:szCs w:val="22"/>
          <w:lang w:val="es-ES_tradnl"/>
        </w:rPr>
        <w:t xml:space="preserve"> dos mil veinticinco, se acordó la admisión de los Recursos de Revisión interpuestos por el Recurrente en contra del Sujeto Obligado, en términos del artículo 185, fracciones I y II de la Ley de Transparencia y Acceso a la Información Pública del Estado de México y Municipios, el cual fue notificado a las partes el mismo día, a través del </w:t>
      </w:r>
      <w:r w:rsidR="001E09A1" w:rsidRPr="00BE655A">
        <w:rPr>
          <w:rFonts w:ascii="Palatino Linotype" w:eastAsia="Batang" w:hAnsi="Palatino Linotype" w:cs="Tahoma"/>
          <w:bCs/>
          <w:sz w:val="22"/>
          <w:szCs w:val="22"/>
          <w:lang w:val="es-ES_tradnl"/>
        </w:rPr>
        <w:t>SAIMEX</w:t>
      </w:r>
      <w:r w:rsidRPr="00BE655A">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03EFEEA1" w14:textId="77777777" w:rsidR="004B4C9A" w:rsidRPr="00BE655A" w:rsidRDefault="004B4C9A" w:rsidP="00DB35AD">
      <w:pPr>
        <w:spacing w:line="360" w:lineRule="auto"/>
        <w:contextualSpacing/>
        <w:jc w:val="both"/>
        <w:rPr>
          <w:rFonts w:ascii="Palatino Linotype" w:hAnsi="Palatino Linotype" w:cs="Tahoma"/>
          <w:bCs/>
          <w:sz w:val="22"/>
          <w:szCs w:val="22"/>
        </w:rPr>
      </w:pPr>
    </w:p>
    <w:p w14:paraId="26A24F96" w14:textId="15A29D03" w:rsidR="004B4C9A" w:rsidRPr="00BE655A" w:rsidRDefault="004B4C9A" w:rsidP="00DB35AD">
      <w:pPr>
        <w:spacing w:line="360" w:lineRule="auto"/>
        <w:contextualSpacing/>
        <w:jc w:val="both"/>
        <w:rPr>
          <w:rFonts w:ascii="Palatino Linotype" w:eastAsia="Palatino Linotype" w:hAnsi="Palatino Linotype" w:cs="Palatino Linotype"/>
          <w:sz w:val="22"/>
          <w:szCs w:val="22"/>
        </w:rPr>
      </w:pPr>
      <w:r w:rsidRPr="00BE655A">
        <w:rPr>
          <w:rFonts w:ascii="Palatino Linotype" w:eastAsia="Palatino Linotype" w:hAnsi="Palatino Linotype" w:cs="Palatino Linotype"/>
          <w:b/>
          <w:sz w:val="22"/>
          <w:szCs w:val="22"/>
        </w:rPr>
        <w:t xml:space="preserve">c) Informe Justificado. </w:t>
      </w:r>
      <w:r w:rsidRPr="00BE655A">
        <w:rPr>
          <w:rFonts w:ascii="Palatino Linotype" w:eastAsia="Palatino Linotype" w:hAnsi="Palatino Linotype" w:cs="Palatino Linotype"/>
          <w:sz w:val="22"/>
          <w:szCs w:val="22"/>
        </w:rPr>
        <w:t xml:space="preserve">Con fecha </w:t>
      </w:r>
      <w:r w:rsidR="001E0DE9" w:rsidRPr="00BE655A">
        <w:rPr>
          <w:rFonts w:ascii="Palatino Linotype" w:eastAsia="Palatino Linotype" w:hAnsi="Palatino Linotype" w:cs="Palatino Linotype"/>
          <w:sz w:val="22"/>
          <w:szCs w:val="22"/>
        </w:rPr>
        <w:t xml:space="preserve">veinticinco de febrero </w:t>
      </w:r>
      <w:r w:rsidRPr="00BE655A">
        <w:rPr>
          <w:rFonts w:ascii="Palatino Linotype" w:eastAsia="Palatino Linotype" w:hAnsi="Palatino Linotype" w:cs="Palatino Linotype"/>
          <w:sz w:val="22"/>
          <w:szCs w:val="22"/>
        </w:rPr>
        <w:t xml:space="preserve">de dos mil veinticinco, se recibió en este Instituto, a través del </w:t>
      </w:r>
      <w:r w:rsidR="001E09A1" w:rsidRPr="00BE655A">
        <w:rPr>
          <w:rFonts w:ascii="Palatino Linotype" w:eastAsia="Palatino Linotype" w:hAnsi="Palatino Linotype" w:cs="Palatino Linotype"/>
          <w:sz w:val="22"/>
          <w:szCs w:val="22"/>
        </w:rPr>
        <w:t>SAIMEX</w:t>
      </w:r>
      <w:r w:rsidRPr="00BE655A">
        <w:rPr>
          <w:rFonts w:ascii="Palatino Linotype" w:eastAsia="Palatino Linotype" w:hAnsi="Palatino Linotype" w:cs="Palatino Linotype"/>
          <w:sz w:val="22"/>
          <w:szCs w:val="22"/>
        </w:rPr>
        <w:t>, los Informes Justificado</w:t>
      </w:r>
      <w:r w:rsidR="00DB35AD" w:rsidRPr="00BE655A">
        <w:rPr>
          <w:rFonts w:ascii="Palatino Linotype" w:eastAsia="Palatino Linotype" w:hAnsi="Palatino Linotype" w:cs="Palatino Linotype"/>
          <w:sz w:val="22"/>
          <w:szCs w:val="22"/>
        </w:rPr>
        <w:t>s</w:t>
      </w:r>
      <w:r w:rsidRPr="00BE655A">
        <w:rPr>
          <w:rFonts w:ascii="Palatino Linotype" w:eastAsia="Palatino Linotype" w:hAnsi="Palatino Linotype" w:cs="Palatino Linotype"/>
          <w:sz w:val="22"/>
          <w:szCs w:val="22"/>
        </w:rPr>
        <w:t>, por parte del Sujeto Obligado, conforme a lo siguiente:</w:t>
      </w:r>
    </w:p>
    <w:p w14:paraId="3BD3F0B4" w14:textId="77777777" w:rsidR="004B4C9A" w:rsidRPr="00BE655A" w:rsidRDefault="004B4C9A" w:rsidP="00DB35AD">
      <w:pPr>
        <w:spacing w:line="360" w:lineRule="auto"/>
        <w:contextualSpacing/>
        <w:jc w:val="both"/>
        <w:rPr>
          <w:rFonts w:ascii="Palatino Linotype" w:eastAsia="Palatino Linotype" w:hAnsi="Palatino Linotype" w:cs="Palatino Linotype"/>
          <w:sz w:val="22"/>
          <w:szCs w:val="22"/>
        </w:rPr>
      </w:pPr>
    </w:p>
    <w:p w14:paraId="0B598096" w14:textId="77777777" w:rsidR="001E0DE9" w:rsidRPr="00BE655A" w:rsidRDefault="004B4C9A" w:rsidP="00DB35AD">
      <w:pPr>
        <w:autoSpaceDE w:val="0"/>
        <w:autoSpaceDN w:val="0"/>
        <w:adjustRightInd w:val="0"/>
        <w:spacing w:line="360" w:lineRule="auto"/>
        <w:ind w:right="-28"/>
        <w:contextualSpacing/>
        <w:jc w:val="both"/>
        <w:rPr>
          <w:rFonts w:ascii="Palatino Linotype" w:hAnsi="Palatino Linotype" w:cs="Tahoma"/>
          <w:b/>
          <w:bCs/>
          <w:color w:val="0D0D0D" w:themeColor="text1" w:themeTint="F2"/>
          <w:sz w:val="22"/>
          <w:szCs w:val="22"/>
        </w:rPr>
      </w:pPr>
      <w:r w:rsidRPr="00BE655A">
        <w:rPr>
          <w:rFonts w:ascii="Palatino Linotype" w:hAnsi="Palatino Linotype" w:cs="Tahoma"/>
          <w:b/>
          <w:bCs/>
          <w:color w:val="0D0D0D" w:themeColor="text1" w:themeTint="F2"/>
          <w:sz w:val="22"/>
          <w:szCs w:val="22"/>
        </w:rPr>
        <w:t>Recurso de Revisión 01</w:t>
      </w:r>
      <w:r w:rsidR="001E0DE9" w:rsidRPr="00BE655A">
        <w:rPr>
          <w:rFonts w:ascii="Palatino Linotype" w:hAnsi="Palatino Linotype" w:cs="Tahoma"/>
          <w:b/>
          <w:bCs/>
          <w:color w:val="0D0D0D" w:themeColor="text1" w:themeTint="F2"/>
          <w:sz w:val="22"/>
          <w:szCs w:val="22"/>
        </w:rPr>
        <w:t>056</w:t>
      </w:r>
      <w:r w:rsidRPr="00BE655A">
        <w:rPr>
          <w:rFonts w:ascii="Palatino Linotype" w:hAnsi="Palatino Linotype" w:cs="Tahoma"/>
          <w:b/>
          <w:bCs/>
          <w:color w:val="0D0D0D" w:themeColor="text1" w:themeTint="F2"/>
          <w:sz w:val="22"/>
          <w:szCs w:val="22"/>
        </w:rPr>
        <w:t>/INFOEM/IP/RR/2025</w:t>
      </w:r>
    </w:p>
    <w:p w14:paraId="2A420DBA" w14:textId="77777777" w:rsidR="001E0DE9" w:rsidRPr="00BE655A" w:rsidRDefault="001E0DE9" w:rsidP="00DB35AD">
      <w:pPr>
        <w:autoSpaceDE w:val="0"/>
        <w:autoSpaceDN w:val="0"/>
        <w:adjustRightInd w:val="0"/>
        <w:spacing w:line="360" w:lineRule="auto"/>
        <w:ind w:right="-28"/>
        <w:contextualSpacing/>
        <w:jc w:val="both"/>
        <w:rPr>
          <w:rFonts w:ascii="Palatino Linotype" w:hAnsi="Palatino Linotype" w:cs="Tahoma"/>
          <w:b/>
          <w:bCs/>
          <w:color w:val="0D0D0D" w:themeColor="text1" w:themeTint="F2"/>
          <w:sz w:val="22"/>
          <w:szCs w:val="22"/>
        </w:rPr>
      </w:pPr>
    </w:p>
    <w:p w14:paraId="4A142B06" w14:textId="2DF7F38C" w:rsidR="004B4C9A" w:rsidRPr="00BE655A" w:rsidRDefault="001E0DE9" w:rsidP="00DB35AD">
      <w:pPr>
        <w:autoSpaceDE w:val="0"/>
        <w:autoSpaceDN w:val="0"/>
        <w:adjustRightInd w:val="0"/>
        <w:spacing w:line="360" w:lineRule="auto"/>
        <w:ind w:right="-28"/>
        <w:contextualSpacing/>
        <w:jc w:val="both"/>
        <w:rPr>
          <w:rFonts w:ascii="Palatino Linotype" w:hAnsi="Palatino Linotype" w:cs="Tahoma"/>
          <w:b/>
          <w:bCs/>
          <w:color w:val="0D0D0D" w:themeColor="text1" w:themeTint="F2"/>
          <w:sz w:val="22"/>
          <w:szCs w:val="22"/>
        </w:rPr>
      </w:pPr>
      <w:r w:rsidRPr="00BE655A">
        <w:rPr>
          <w:rFonts w:ascii="Palatino Linotype" w:hAnsi="Palatino Linotype" w:cs="Tahoma"/>
          <w:color w:val="0D0D0D" w:themeColor="text1" w:themeTint="F2"/>
          <w:sz w:val="22"/>
          <w:szCs w:val="22"/>
        </w:rPr>
        <w:t>i)</w:t>
      </w:r>
      <w:r w:rsidRPr="00BE655A">
        <w:rPr>
          <w:rFonts w:ascii="Palatino Linotype" w:hAnsi="Palatino Linotype" w:cs="Tahoma"/>
          <w:sz w:val="22"/>
          <w:szCs w:val="22"/>
        </w:rPr>
        <w:t xml:space="preserve"> </w:t>
      </w:r>
      <w:r w:rsidR="004B4C9A" w:rsidRPr="00BE655A">
        <w:rPr>
          <w:rFonts w:ascii="Palatino Linotype" w:hAnsi="Palatino Linotype" w:cs="Tahoma"/>
          <w:sz w:val="22"/>
          <w:szCs w:val="22"/>
        </w:rPr>
        <w:t xml:space="preserve">Oficio número </w:t>
      </w:r>
      <w:r w:rsidRPr="00BE655A">
        <w:rPr>
          <w:rFonts w:ascii="Palatino Linotype" w:hAnsi="Palatino Linotype" w:cs="Tahoma"/>
          <w:sz w:val="22"/>
          <w:szCs w:val="22"/>
        </w:rPr>
        <w:t>MTM058/DA/175</w:t>
      </w:r>
      <w:r w:rsidR="004B4C9A" w:rsidRPr="00BE655A">
        <w:rPr>
          <w:rFonts w:ascii="Palatino Linotype" w:hAnsi="Palatino Linotype" w:cs="Tahoma"/>
          <w:sz w:val="22"/>
          <w:szCs w:val="22"/>
        </w:rPr>
        <w:t>/2025</w:t>
      </w:r>
      <w:r w:rsidRPr="00BE655A">
        <w:rPr>
          <w:rFonts w:ascii="Palatino Linotype" w:hAnsi="Palatino Linotype" w:cs="Tahoma"/>
          <w:sz w:val="22"/>
          <w:szCs w:val="22"/>
        </w:rPr>
        <w:t>, de fecha de su recepción, suscrito por la Directora de Administración, dirigido a la Titular de la Unidad de Transparencia, por medio del cual manifiesta y expone esencialmente lo siguiente:</w:t>
      </w:r>
    </w:p>
    <w:p w14:paraId="6C553259" w14:textId="77777777" w:rsidR="001E0DE9" w:rsidRPr="00BE655A" w:rsidRDefault="001E0DE9" w:rsidP="00DB35AD">
      <w:pPr>
        <w:spacing w:line="360" w:lineRule="auto"/>
        <w:contextualSpacing/>
        <w:jc w:val="both"/>
        <w:rPr>
          <w:rFonts w:ascii="Palatino Linotype" w:eastAsia="Palatino Linotype" w:hAnsi="Palatino Linotype" w:cs="Palatino Linotype"/>
          <w:bCs/>
          <w:sz w:val="22"/>
          <w:szCs w:val="22"/>
        </w:rPr>
      </w:pPr>
    </w:p>
    <w:p w14:paraId="39968874" w14:textId="1C4709F1" w:rsidR="001E0DE9" w:rsidRPr="00BE655A" w:rsidRDefault="001E0DE9" w:rsidP="00DB35AD">
      <w:pPr>
        <w:spacing w:line="360" w:lineRule="auto"/>
        <w:ind w:left="567" w:right="567"/>
        <w:contextualSpacing/>
        <w:jc w:val="both"/>
        <w:rPr>
          <w:rFonts w:ascii="Palatino Linotype" w:eastAsia="Palatino Linotype" w:hAnsi="Palatino Linotype" w:cs="Palatino Linotype"/>
          <w:bCs/>
          <w:i/>
          <w:iCs/>
        </w:rPr>
      </w:pPr>
      <w:r w:rsidRPr="00BE655A">
        <w:rPr>
          <w:rFonts w:ascii="Palatino Linotype" w:eastAsia="Palatino Linotype" w:hAnsi="Palatino Linotype" w:cs="Palatino Linotype"/>
          <w:bCs/>
          <w:i/>
          <w:iCs/>
        </w:rPr>
        <w:t>“…</w:t>
      </w:r>
    </w:p>
    <w:p w14:paraId="1C175E0B" w14:textId="6A18A8B9" w:rsidR="001E0DE9" w:rsidRPr="00BE655A" w:rsidRDefault="001E0DE9" w:rsidP="00DB35AD">
      <w:pPr>
        <w:spacing w:line="360" w:lineRule="auto"/>
        <w:ind w:left="567" w:right="567"/>
        <w:contextualSpacing/>
        <w:jc w:val="both"/>
        <w:rPr>
          <w:rFonts w:ascii="Palatino Linotype" w:eastAsia="Palatino Linotype" w:hAnsi="Palatino Linotype" w:cs="Palatino Linotype"/>
          <w:bCs/>
          <w:i/>
          <w:iCs/>
        </w:rPr>
      </w:pPr>
      <w:r w:rsidRPr="00BE655A">
        <w:rPr>
          <w:rFonts w:ascii="Palatino Linotype" w:eastAsia="Palatino Linotype" w:hAnsi="Palatino Linotype" w:cs="Palatino Linotype"/>
          <w:bCs/>
          <w:i/>
          <w:iCs/>
        </w:rPr>
        <w:lastRenderedPageBreak/>
        <w:t xml:space="preserve">En relación a lo solicitado le comento a Usted, que </w:t>
      </w:r>
      <w:r w:rsidRPr="00BE655A">
        <w:rPr>
          <w:rFonts w:ascii="Palatino Linotype" w:eastAsia="Palatino Linotype" w:hAnsi="Palatino Linotype" w:cs="Palatino Linotype"/>
          <w:b/>
          <w:i/>
          <w:iCs/>
        </w:rPr>
        <w:t xml:space="preserve">la información requerida sobre sueldos se encuentra disponible en la página del Ayuntamiento de Tenancingo, en el módulo de Transparencia, </w:t>
      </w:r>
      <w:proofErr w:type="spellStart"/>
      <w:r w:rsidRPr="00BE655A">
        <w:rPr>
          <w:rFonts w:ascii="Palatino Linotype" w:eastAsia="Palatino Linotype" w:hAnsi="Palatino Linotype" w:cs="Palatino Linotype"/>
          <w:b/>
          <w:i/>
          <w:iCs/>
        </w:rPr>
        <w:t>Ipomex</w:t>
      </w:r>
      <w:proofErr w:type="spellEnd"/>
      <w:r w:rsidRPr="00BE655A">
        <w:rPr>
          <w:rFonts w:ascii="Palatino Linotype" w:eastAsia="Palatino Linotype" w:hAnsi="Palatino Linotype" w:cs="Palatino Linotype"/>
          <w:b/>
          <w:i/>
          <w:iCs/>
        </w:rPr>
        <w:t xml:space="preserve"> 4.0, con link </w:t>
      </w:r>
      <w:hyperlink r:id="rId7" w:anchor="/info-fraccion/11/179/28" w:history="1">
        <w:r w:rsidRPr="00BE655A">
          <w:rPr>
            <w:rStyle w:val="Hipervnculo"/>
            <w:rFonts w:ascii="Palatino Linotype" w:eastAsia="Palatino Linotype" w:hAnsi="Palatino Linotype" w:cs="Palatino Linotype"/>
            <w:b/>
            <w:i/>
            <w:iCs/>
            <w:color w:val="auto"/>
            <w:u w:val="none"/>
          </w:rPr>
          <w:t>https://infoem2.ipomex.org.mx/ipomex/#/info-fraccion/11/179/28</w:t>
        </w:r>
      </w:hyperlink>
      <w:r w:rsidRPr="00BE655A">
        <w:rPr>
          <w:rFonts w:ascii="Palatino Linotype" w:eastAsia="Palatino Linotype" w:hAnsi="Palatino Linotype" w:cs="Palatino Linotype"/>
          <w:bCs/>
          <w:i/>
          <w:iCs/>
        </w:rPr>
        <w:t>.</w:t>
      </w:r>
    </w:p>
    <w:p w14:paraId="78F58B26" w14:textId="6F482751" w:rsidR="001E0DE9" w:rsidRPr="00BE655A" w:rsidRDefault="001E0DE9" w:rsidP="00DB35AD">
      <w:pPr>
        <w:spacing w:line="360" w:lineRule="auto"/>
        <w:ind w:left="567" w:right="567"/>
        <w:contextualSpacing/>
        <w:jc w:val="both"/>
        <w:rPr>
          <w:rFonts w:ascii="Palatino Linotype" w:eastAsia="Palatino Linotype" w:hAnsi="Palatino Linotype" w:cs="Palatino Linotype"/>
          <w:bCs/>
          <w:i/>
          <w:iCs/>
        </w:rPr>
      </w:pPr>
      <w:r w:rsidRPr="00BE655A">
        <w:rPr>
          <w:rFonts w:ascii="Palatino Linotype" w:eastAsia="Palatino Linotype" w:hAnsi="Palatino Linotype" w:cs="Palatino Linotype"/>
          <w:bCs/>
          <w:i/>
          <w:iCs/>
        </w:rPr>
        <w:t>…”</w:t>
      </w:r>
    </w:p>
    <w:p w14:paraId="02C36CA9" w14:textId="77777777" w:rsidR="004B4C9A" w:rsidRPr="00BE655A" w:rsidRDefault="004B4C9A" w:rsidP="00DB35AD">
      <w:pPr>
        <w:spacing w:line="360" w:lineRule="auto"/>
        <w:contextualSpacing/>
        <w:jc w:val="both"/>
        <w:rPr>
          <w:rFonts w:ascii="Palatino Linotype" w:eastAsia="Palatino Linotype" w:hAnsi="Palatino Linotype" w:cs="Palatino Linotype"/>
          <w:b/>
          <w:sz w:val="22"/>
          <w:szCs w:val="22"/>
        </w:rPr>
      </w:pPr>
    </w:p>
    <w:p w14:paraId="1E2C3CF4" w14:textId="606C3A29" w:rsidR="004B4C9A" w:rsidRPr="00BE655A" w:rsidRDefault="004B4C9A" w:rsidP="00DB35AD">
      <w:pPr>
        <w:autoSpaceDE w:val="0"/>
        <w:autoSpaceDN w:val="0"/>
        <w:adjustRightInd w:val="0"/>
        <w:spacing w:line="360" w:lineRule="auto"/>
        <w:ind w:right="-28"/>
        <w:contextualSpacing/>
        <w:rPr>
          <w:rFonts w:ascii="Palatino Linotype" w:hAnsi="Palatino Linotype" w:cs="Tahoma"/>
          <w:b/>
          <w:bCs/>
          <w:color w:val="0D0D0D" w:themeColor="text1" w:themeTint="F2"/>
          <w:sz w:val="22"/>
          <w:szCs w:val="22"/>
        </w:rPr>
      </w:pPr>
      <w:r w:rsidRPr="00BE655A">
        <w:rPr>
          <w:rFonts w:ascii="Palatino Linotype" w:hAnsi="Palatino Linotype" w:cs="Tahoma"/>
          <w:b/>
          <w:bCs/>
          <w:color w:val="0D0D0D" w:themeColor="text1" w:themeTint="F2"/>
          <w:sz w:val="22"/>
          <w:szCs w:val="22"/>
        </w:rPr>
        <w:t>Recurso de Revisión 0</w:t>
      </w:r>
      <w:r w:rsidR="001E0DE9" w:rsidRPr="00BE655A">
        <w:rPr>
          <w:rFonts w:ascii="Palatino Linotype" w:hAnsi="Palatino Linotype" w:cs="Tahoma"/>
          <w:b/>
          <w:bCs/>
          <w:color w:val="0D0D0D" w:themeColor="text1" w:themeTint="F2"/>
          <w:sz w:val="22"/>
          <w:szCs w:val="22"/>
        </w:rPr>
        <w:t>10</w:t>
      </w:r>
      <w:r w:rsidRPr="00BE655A">
        <w:rPr>
          <w:rFonts w:ascii="Palatino Linotype" w:hAnsi="Palatino Linotype" w:cs="Tahoma"/>
          <w:b/>
          <w:bCs/>
          <w:color w:val="0D0D0D" w:themeColor="text1" w:themeTint="F2"/>
          <w:sz w:val="22"/>
          <w:szCs w:val="22"/>
        </w:rPr>
        <w:t>5</w:t>
      </w:r>
      <w:r w:rsidR="001E0DE9" w:rsidRPr="00BE655A">
        <w:rPr>
          <w:rFonts w:ascii="Palatino Linotype" w:hAnsi="Palatino Linotype" w:cs="Tahoma"/>
          <w:b/>
          <w:bCs/>
          <w:color w:val="0D0D0D" w:themeColor="text1" w:themeTint="F2"/>
          <w:sz w:val="22"/>
          <w:szCs w:val="22"/>
        </w:rPr>
        <w:t>9</w:t>
      </w:r>
      <w:r w:rsidRPr="00BE655A">
        <w:rPr>
          <w:rFonts w:ascii="Palatino Linotype" w:hAnsi="Palatino Linotype" w:cs="Tahoma"/>
          <w:b/>
          <w:bCs/>
          <w:color w:val="0D0D0D" w:themeColor="text1" w:themeTint="F2"/>
          <w:sz w:val="22"/>
          <w:szCs w:val="22"/>
        </w:rPr>
        <w:t>/INFOEM/IP/RR/2025</w:t>
      </w:r>
    </w:p>
    <w:p w14:paraId="222B20E8" w14:textId="77777777" w:rsidR="004B4C9A" w:rsidRPr="00BE655A" w:rsidRDefault="004B4C9A" w:rsidP="00DB35AD">
      <w:pPr>
        <w:autoSpaceDE w:val="0"/>
        <w:autoSpaceDN w:val="0"/>
        <w:adjustRightInd w:val="0"/>
        <w:spacing w:line="360" w:lineRule="auto"/>
        <w:ind w:right="-28"/>
        <w:contextualSpacing/>
        <w:rPr>
          <w:rFonts w:ascii="Palatino Linotype" w:hAnsi="Palatino Linotype" w:cs="Tahoma"/>
          <w:b/>
          <w:bCs/>
          <w:color w:val="0D0D0D" w:themeColor="text1" w:themeTint="F2"/>
          <w:sz w:val="22"/>
          <w:szCs w:val="22"/>
        </w:rPr>
      </w:pPr>
    </w:p>
    <w:p w14:paraId="6B9A1A9A" w14:textId="0FDC6D7A" w:rsidR="004B4C9A" w:rsidRPr="00BE655A" w:rsidRDefault="00260A6F" w:rsidP="00DB35AD">
      <w:pPr>
        <w:spacing w:line="360" w:lineRule="auto"/>
        <w:contextualSpacing/>
        <w:jc w:val="both"/>
        <w:rPr>
          <w:rFonts w:ascii="Palatino Linotype" w:hAnsi="Palatino Linotype" w:cs="Tahoma"/>
          <w:sz w:val="22"/>
          <w:szCs w:val="22"/>
        </w:rPr>
      </w:pPr>
      <w:r w:rsidRPr="00BE655A">
        <w:rPr>
          <w:rFonts w:ascii="Palatino Linotype" w:eastAsia="Palatino Linotype" w:hAnsi="Palatino Linotype" w:cs="Palatino Linotype"/>
          <w:sz w:val="22"/>
          <w:szCs w:val="22"/>
        </w:rPr>
        <w:t>i)</w:t>
      </w:r>
      <w:r w:rsidRPr="00BE655A">
        <w:rPr>
          <w:rFonts w:ascii="Palatino Linotype" w:hAnsi="Palatino Linotype" w:cs="Tahoma"/>
          <w:sz w:val="22"/>
          <w:szCs w:val="22"/>
        </w:rPr>
        <w:t xml:space="preserve"> Oficio número MTM058/DA/170/2025, de fecha de su recepción, suscrito por la Directora de Administración, dirigido a la Titular de la Unidad de Transparencia, por medio del cual manifiesta y expone esencialmente lo siguiente:</w:t>
      </w:r>
    </w:p>
    <w:p w14:paraId="371D15A8" w14:textId="77777777" w:rsidR="00260A6F" w:rsidRPr="00BE655A" w:rsidRDefault="00260A6F" w:rsidP="00DB35AD">
      <w:pPr>
        <w:spacing w:line="360" w:lineRule="auto"/>
        <w:contextualSpacing/>
        <w:rPr>
          <w:rFonts w:ascii="Palatino Linotype" w:hAnsi="Palatino Linotype"/>
        </w:rPr>
      </w:pPr>
    </w:p>
    <w:p w14:paraId="07C2C658" w14:textId="0F929CB5" w:rsidR="00260A6F" w:rsidRPr="00BE655A" w:rsidRDefault="00260A6F" w:rsidP="00DB35AD">
      <w:pPr>
        <w:spacing w:line="360" w:lineRule="auto"/>
        <w:ind w:left="567" w:right="567"/>
        <w:contextualSpacing/>
        <w:jc w:val="both"/>
        <w:rPr>
          <w:rFonts w:ascii="Palatino Linotype" w:hAnsi="Palatino Linotype"/>
        </w:rPr>
      </w:pPr>
      <w:r w:rsidRPr="00BE655A">
        <w:rPr>
          <w:rFonts w:ascii="Palatino Linotype" w:hAnsi="Palatino Linotype"/>
        </w:rPr>
        <w:t>“…</w:t>
      </w:r>
    </w:p>
    <w:p w14:paraId="757CC102" w14:textId="4E056E46" w:rsidR="00260A6F" w:rsidRPr="00BE655A" w:rsidRDefault="00260A6F" w:rsidP="00DB35AD">
      <w:pPr>
        <w:spacing w:line="360" w:lineRule="auto"/>
        <w:ind w:left="567" w:right="567"/>
        <w:contextualSpacing/>
        <w:jc w:val="both"/>
        <w:rPr>
          <w:rFonts w:ascii="Palatino Linotype" w:eastAsia="Palatino Linotype" w:hAnsi="Palatino Linotype" w:cs="Palatino Linotype"/>
          <w:b/>
          <w:i/>
          <w:iCs/>
        </w:rPr>
      </w:pPr>
      <w:r w:rsidRPr="00BE655A">
        <w:rPr>
          <w:rFonts w:ascii="Palatino Linotype" w:eastAsia="Palatino Linotype" w:hAnsi="Palatino Linotype" w:cs="Palatino Linotype"/>
          <w:bCs/>
          <w:i/>
          <w:iCs/>
        </w:rPr>
        <w:t xml:space="preserve">En relación a lo solicitado le comento a Usted, </w:t>
      </w:r>
      <w:r w:rsidRPr="00BE655A">
        <w:rPr>
          <w:rFonts w:ascii="Palatino Linotype" w:eastAsia="Palatino Linotype" w:hAnsi="Palatino Linotype" w:cs="Palatino Linotype"/>
          <w:b/>
          <w:i/>
          <w:iCs/>
        </w:rPr>
        <w:t xml:space="preserve">que la información requerida sobre sueldos se encuentra disponible en la página del Ayuntamiento de Tenancingo, en el módulo de Transparencia, </w:t>
      </w:r>
      <w:proofErr w:type="spellStart"/>
      <w:r w:rsidRPr="00BE655A">
        <w:rPr>
          <w:rFonts w:ascii="Palatino Linotype" w:eastAsia="Palatino Linotype" w:hAnsi="Palatino Linotype" w:cs="Palatino Linotype"/>
          <w:b/>
          <w:i/>
          <w:iCs/>
        </w:rPr>
        <w:t>Ipomex</w:t>
      </w:r>
      <w:proofErr w:type="spellEnd"/>
      <w:r w:rsidRPr="00BE655A">
        <w:rPr>
          <w:rFonts w:ascii="Palatino Linotype" w:eastAsia="Palatino Linotype" w:hAnsi="Palatino Linotype" w:cs="Palatino Linotype"/>
          <w:b/>
          <w:i/>
          <w:iCs/>
        </w:rPr>
        <w:t xml:space="preserve"> 4.0, con link </w:t>
      </w:r>
      <w:hyperlink r:id="rId8" w:anchor="/info-fraccion/11/179/28" w:history="1">
        <w:r w:rsidRPr="00BE655A">
          <w:rPr>
            <w:rStyle w:val="Hipervnculo"/>
            <w:rFonts w:ascii="Palatino Linotype" w:eastAsia="Palatino Linotype" w:hAnsi="Palatino Linotype" w:cs="Palatino Linotype"/>
            <w:b/>
            <w:i/>
            <w:iCs/>
            <w:color w:val="auto"/>
            <w:u w:val="none"/>
          </w:rPr>
          <w:t>https://infoem2.ipomex.org.mx/ipomex/#/info-fraccion/11/179/28</w:t>
        </w:r>
      </w:hyperlink>
    </w:p>
    <w:p w14:paraId="41D24C45" w14:textId="77777777" w:rsidR="00260A6F" w:rsidRPr="00BE655A" w:rsidRDefault="00260A6F" w:rsidP="00DB35AD">
      <w:pPr>
        <w:spacing w:line="360" w:lineRule="auto"/>
        <w:ind w:left="567" w:right="567"/>
        <w:contextualSpacing/>
        <w:jc w:val="both"/>
        <w:rPr>
          <w:rFonts w:ascii="Palatino Linotype" w:eastAsia="Palatino Linotype" w:hAnsi="Palatino Linotype" w:cs="Palatino Linotype"/>
          <w:bCs/>
          <w:i/>
          <w:iCs/>
        </w:rPr>
      </w:pPr>
    </w:p>
    <w:p w14:paraId="08DBA79C" w14:textId="338B9769" w:rsidR="00260A6F" w:rsidRPr="00BE655A" w:rsidRDefault="00260A6F" w:rsidP="00DB35AD">
      <w:pPr>
        <w:spacing w:line="360" w:lineRule="auto"/>
        <w:ind w:left="567" w:right="567"/>
        <w:contextualSpacing/>
        <w:jc w:val="both"/>
        <w:rPr>
          <w:rFonts w:ascii="Palatino Linotype" w:eastAsia="Palatino Linotype" w:hAnsi="Palatino Linotype" w:cs="Palatino Linotype"/>
          <w:bCs/>
          <w:i/>
          <w:iCs/>
        </w:rPr>
      </w:pPr>
      <w:r w:rsidRPr="00BE655A">
        <w:rPr>
          <w:rFonts w:ascii="Palatino Linotype" w:eastAsia="Palatino Linotype" w:hAnsi="Palatino Linotype" w:cs="Palatino Linotype"/>
          <w:bCs/>
          <w:i/>
          <w:iCs/>
        </w:rPr>
        <w:t>…</w:t>
      </w:r>
    </w:p>
    <w:p w14:paraId="5FF005F0" w14:textId="619B3436" w:rsidR="00260A6F" w:rsidRPr="00BE655A" w:rsidRDefault="00260A6F" w:rsidP="00DB35AD">
      <w:pPr>
        <w:spacing w:line="360" w:lineRule="auto"/>
        <w:ind w:left="567" w:right="567"/>
        <w:contextualSpacing/>
        <w:jc w:val="both"/>
        <w:rPr>
          <w:rFonts w:ascii="Palatino Linotype" w:eastAsia="Palatino Linotype" w:hAnsi="Palatino Linotype" w:cs="Palatino Linotype"/>
          <w:bCs/>
          <w:i/>
          <w:iCs/>
        </w:rPr>
      </w:pPr>
      <w:r w:rsidRPr="00BE655A">
        <w:rPr>
          <w:rFonts w:ascii="Palatino Linotype" w:eastAsia="Palatino Linotype" w:hAnsi="Palatino Linotype" w:cs="Palatino Linotype"/>
          <w:b/>
          <w:i/>
          <w:iCs/>
        </w:rPr>
        <w:t>El servidor público habilitado NO NIEGA LA EXISTENCIA DE LA INFORMACIÓN, pero como ya se mencionó anteriormente, nos encontramos en la imposibilidad de entregar al solicitante la información en la modalidad que este señala, por lo cual se realiza un cambio de modalidad a CONSULTA DIRECTA</w:t>
      </w:r>
      <w:r w:rsidRPr="00BE655A">
        <w:rPr>
          <w:rFonts w:ascii="Palatino Linotype" w:eastAsia="Palatino Linotype" w:hAnsi="Palatino Linotype" w:cs="Palatino Linotype"/>
          <w:bCs/>
          <w:i/>
          <w:iCs/>
        </w:rPr>
        <w:t>, ello con fundamento en lo dispuesto por el artículo 164 de la Ley de Transparencia Local…</w:t>
      </w:r>
    </w:p>
    <w:p w14:paraId="1637C7B5" w14:textId="6DA64933" w:rsidR="00260A6F" w:rsidRPr="00BE655A" w:rsidRDefault="00260A6F" w:rsidP="00DB35AD">
      <w:pPr>
        <w:spacing w:line="360" w:lineRule="auto"/>
        <w:ind w:left="567" w:right="567"/>
        <w:contextualSpacing/>
        <w:jc w:val="both"/>
        <w:rPr>
          <w:rFonts w:ascii="Palatino Linotype" w:hAnsi="Palatino Linotype"/>
        </w:rPr>
      </w:pPr>
      <w:r w:rsidRPr="00BE655A">
        <w:rPr>
          <w:rFonts w:ascii="Palatino Linotype" w:eastAsia="Palatino Linotype" w:hAnsi="Palatino Linotype" w:cs="Palatino Linotype"/>
          <w:bCs/>
          <w:i/>
          <w:iCs/>
        </w:rPr>
        <w:t>…”</w:t>
      </w:r>
    </w:p>
    <w:p w14:paraId="11FB7A3D" w14:textId="77777777" w:rsidR="004B4C9A" w:rsidRPr="00BE655A" w:rsidRDefault="004B4C9A" w:rsidP="00DB35AD">
      <w:pPr>
        <w:spacing w:line="360" w:lineRule="auto"/>
        <w:contextualSpacing/>
        <w:jc w:val="both"/>
        <w:rPr>
          <w:rFonts w:ascii="Palatino Linotype" w:hAnsi="Palatino Linotype" w:cs="Tahoma"/>
          <w:sz w:val="22"/>
          <w:szCs w:val="22"/>
        </w:rPr>
      </w:pPr>
    </w:p>
    <w:p w14:paraId="778D2609" w14:textId="131863AF" w:rsidR="004B4C9A" w:rsidRPr="00BE655A" w:rsidRDefault="004B4C9A" w:rsidP="00DB35AD">
      <w:pPr>
        <w:spacing w:line="360" w:lineRule="auto"/>
        <w:contextualSpacing/>
        <w:jc w:val="both"/>
        <w:rPr>
          <w:rFonts w:ascii="Palatino Linotype" w:eastAsia="Palatino Linotype" w:hAnsi="Palatino Linotype" w:cs="Palatino Linotype"/>
          <w:bCs/>
          <w:sz w:val="22"/>
          <w:szCs w:val="22"/>
        </w:rPr>
      </w:pPr>
      <w:r w:rsidRPr="00BE655A">
        <w:rPr>
          <w:rFonts w:ascii="Palatino Linotype" w:eastAsia="Palatino Linotype" w:hAnsi="Palatino Linotype" w:cs="Palatino Linotype"/>
          <w:b/>
          <w:sz w:val="22"/>
          <w:szCs w:val="22"/>
        </w:rPr>
        <w:t xml:space="preserve">d) </w:t>
      </w:r>
      <w:r w:rsidRPr="00BE655A">
        <w:rPr>
          <w:rFonts w:ascii="Palatino Linotype" w:eastAsia="Palatino Linotype" w:hAnsi="Palatino Linotype" w:cs="Palatino Linotype"/>
          <w:b/>
          <w:iCs/>
          <w:sz w:val="22"/>
          <w:szCs w:val="22"/>
        </w:rPr>
        <w:t>Acumulación de los asuntos.</w:t>
      </w:r>
      <w:r w:rsidRPr="00BE655A">
        <w:rPr>
          <w:rFonts w:ascii="Palatino Linotype" w:eastAsia="Palatino Linotype" w:hAnsi="Palatino Linotype" w:cs="Palatino Linotype"/>
          <w:bCs/>
          <w:iCs/>
          <w:sz w:val="22"/>
          <w:szCs w:val="22"/>
        </w:rPr>
        <w:t xml:space="preserve"> El </w:t>
      </w:r>
      <w:r w:rsidR="00260A6F" w:rsidRPr="00BE655A">
        <w:rPr>
          <w:rFonts w:ascii="Palatino Linotype" w:eastAsia="Palatino Linotype" w:hAnsi="Palatino Linotype" w:cs="Palatino Linotype"/>
          <w:bCs/>
          <w:iCs/>
          <w:sz w:val="22"/>
          <w:szCs w:val="22"/>
        </w:rPr>
        <w:t xml:space="preserve">diecinueve </w:t>
      </w:r>
      <w:r w:rsidRPr="00BE655A">
        <w:rPr>
          <w:rFonts w:ascii="Palatino Linotype" w:eastAsia="Palatino Linotype" w:hAnsi="Palatino Linotype" w:cs="Palatino Linotype"/>
          <w:bCs/>
          <w:iCs/>
          <w:sz w:val="22"/>
          <w:szCs w:val="22"/>
        </w:rPr>
        <w:t xml:space="preserve">de febrero de dos mil veinticinco, el Pleno del Instituto de Transparencia, Acceso a la Información Pública y Protección de Datos Personales del Estado de México y Municipios, durante su </w:t>
      </w:r>
      <w:r w:rsidR="00260A6F" w:rsidRPr="00BE655A">
        <w:rPr>
          <w:rFonts w:ascii="Palatino Linotype" w:eastAsia="Palatino Linotype" w:hAnsi="Palatino Linotype" w:cs="Palatino Linotype"/>
          <w:bCs/>
          <w:iCs/>
          <w:sz w:val="22"/>
          <w:szCs w:val="22"/>
        </w:rPr>
        <w:t>Sex</w:t>
      </w:r>
      <w:r w:rsidRPr="00BE655A">
        <w:rPr>
          <w:rFonts w:ascii="Palatino Linotype" w:eastAsia="Palatino Linotype" w:hAnsi="Palatino Linotype" w:cs="Palatino Linotype"/>
          <w:bCs/>
          <w:iCs/>
          <w:sz w:val="22"/>
          <w:szCs w:val="22"/>
        </w:rPr>
        <w:t xml:space="preserve">ta Sesión Ordinaria, con el propósito de </w:t>
      </w:r>
      <w:r w:rsidRPr="00BE655A">
        <w:rPr>
          <w:rFonts w:ascii="Palatino Linotype" w:eastAsia="Palatino Linotype" w:hAnsi="Palatino Linotype" w:cs="Palatino Linotype"/>
          <w:bCs/>
          <w:iCs/>
          <w:sz w:val="22"/>
          <w:szCs w:val="22"/>
        </w:rPr>
        <w:lastRenderedPageBreak/>
        <w:t xml:space="preserve">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Pr="00BE655A">
        <w:rPr>
          <w:rFonts w:ascii="Palatino Linotype" w:eastAsia="Palatino Linotype" w:hAnsi="Palatino Linotype" w:cs="Palatino Linotype"/>
          <w:b/>
          <w:sz w:val="22"/>
          <w:szCs w:val="22"/>
        </w:rPr>
        <w:t>0</w:t>
      </w:r>
      <w:r w:rsidR="00260A6F" w:rsidRPr="00BE655A">
        <w:rPr>
          <w:rFonts w:ascii="Palatino Linotype" w:eastAsia="Palatino Linotype" w:hAnsi="Palatino Linotype" w:cs="Palatino Linotype"/>
          <w:b/>
          <w:sz w:val="22"/>
          <w:szCs w:val="22"/>
        </w:rPr>
        <w:t>10</w:t>
      </w:r>
      <w:r w:rsidRPr="00BE655A">
        <w:rPr>
          <w:rFonts w:ascii="Palatino Linotype" w:eastAsia="Palatino Linotype" w:hAnsi="Palatino Linotype" w:cs="Palatino Linotype"/>
          <w:b/>
          <w:sz w:val="22"/>
          <w:szCs w:val="22"/>
        </w:rPr>
        <w:t>5</w:t>
      </w:r>
      <w:r w:rsidR="00260A6F" w:rsidRPr="00BE655A">
        <w:rPr>
          <w:rFonts w:ascii="Palatino Linotype" w:eastAsia="Palatino Linotype" w:hAnsi="Palatino Linotype" w:cs="Palatino Linotype"/>
          <w:b/>
          <w:sz w:val="22"/>
          <w:szCs w:val="22"/>
        </w:rPr>
        <w:t>9</w:t>
      </w:r>
      <w:r w:rsidRPr="00BE655A">
        <w:rPr>
          <w:rFonts w:ascii="Palatino Linotype" w:eastAsia="Palatino Linotype" w:hAnsi="Palatino Linotype" w:cs="Palatino Linotype"/>
          <w:b/>
          <w:sz w:val="22"/>
          <w:szCs w:val="22"/>
        </w:rPr>
        <w:t>/INFOEM/IP/RR/2025 al 01</w:t>
      </w:r>
      <w:r w:rsidR="00260A6F" w:rsidRPr="00BE655A">
        <w:rPr>
          <w:rFonts w:ascii="Palatino Linotype" w:eastAsia="Palatino Linotype" w:hAnsi="Palatino Linotype" w:cs="Palatino Linotype"/>
          <w:b/>
          <w:sz w:val="22"/>
          <w:szCs w:val="22"/>
        </w:rPr>
        <w:t>056</w:t>
      </w:r>
      <w:r w:rsidRPr="00BE655A">
        <w:rPr>
          <w:rFonts w:ascii="Palatino Linotype" w:eastAsia="Palatino Linotype" w:hAnsi="Palatino Linotype" w:cs="Palatino Linotype"/>
          <w:b/>
          <w:sz w:val="22"/>
          <w:szCs w:val="22"/>
        </w:rPr>
        <w:t>/INFOEM/IP/RR/2024,</w:t>
      </w:r>
      <w:r w:rsidRPr="00BE655A">
        <w:rPr>
          <w:rFonts w:ascii="Palatino Linotype" w:eastAsia="Palatino Linotype" w:hAnsi="Palatino Linotype" w:cs="Palatino Linotype"/>
          <w:bCs/>
          <w:sz w:val="22"/>
          <w:szCs w:val="22"/>
        </w:rPr>
        <w:t xml:space="preserve"> por ser este último el más antiguo, sustanciado bajo el índice de esta Ponencia, al advertir conexidad entre estos, ya que fueron promovidos por la misma persona, en los que señaló como Sujeto Obligado al </w:t>
      </w:r>
      <w:r w:rsidRPr="00BE655A">
        <w:rPr>
          <w:rFonts w:ascii="Palatino Linotype" w:eastAsia="Palatino Linotype" w:hAnsi="Palatino Linotype" w:cs="Palatino Linotype"/>
          <w:b/>
          <w:sz w:val="22"/>
          <w:szCs w:val="22"/>
        </w:rPr>
        <w:t xml:space="preserve">Ayuntamiento de </w:t>
      </w:r>
      <w:r w:rsidR="00260A6F" w:rsidRPr="00BE655A">
        <w:rPr>
          <w:rFonts w:ascii="Palatino Linotype" w:eastAsia="Palatino Linotype" w:hAnsi="Palatino Linotype" w:cs="Palatino Linotype"/>
          <w:b/>
          <w:sz w:val="22"/>
          <w:szCs w:val="22"/>
        </w:rPr>
        <w:t>Tenancingo</w:t>
      </w:r>
      <w:r w:rsidRPr="00BE655A">
        <w:rPr>
          <w:rFonts w:ascii="Palatino Linotype" w:eastAsia="Palatino Linotype" w:hAnsi="Palatino Linotype" w:cs="Palatino Linotype"/>
          <w:bCs/>
          <w:sz w:val="22"/>
          <w:szCs w:val="22"/>
        </w:rPr>
        <w:t xml:space="preserve">. </w:t>
      </w:r>
    </w:p>
    <w:p w14:paraId="7CF92A17" w14:textId="77777777" w:rsidR="004B4C9A" w:rsidRPr="00BE655A" w:rsidRDefault="004B4C9A" w:rsidP="00DB35AD">
      <w:pPr>
        <w:spacing w:line="360" w:lineRule="auto"/>
        <w:contextualSpacing/>
        <w:jc w:val="both"/>
        <w:rPr>
          <w:rFonts w:ascii="Palatino Linotype" w:eastAsia="Palatino Linotype" w:hAnsi="Palatino Linotype" w:cs="Palatino Linotype"/>
          <w:sz w:val="22"/>
          <w:szCs w:val="22"/>
        </w:rPr>
      </w:pPr>
    </w:p>
    <w:p w14:paraId="7DD0BA40" w14:textId="6B1877FE" w:rsidR="004B4C9A" w:rsidRPr="00BE655A" w:rsidRDefault="004B4C9A" w:rsidP="00DB35AD">
      <w:pPr>
        <w:spacing w:line="360" w:lineRule="auto"/>
        <w:contextualSpacing/>
        <w:jc w:val="both"/>
        <w:rPr>
          <w:rFonts w:ascii="Palatino Linotype" w:eastAsia="Palatino Linotype" w:hAnsi="Palatino Linotype" w:cs="Palatino Linotype"/>
          <w:b/>
          <w:sz w:val="22"/>
          <w:szCs w:val="22"/>
        </w:rPr>
      </w:pPr>
      <w:r w:rsidRPr="00BE655A">
        <w:rPr>
          <w:rFonts w:ascii="Palatino Linotype" w:eastAsia="Palatino Linotype" w:hAnsi="Palatino Linotype" w:cs="Palatino Linotype"/>
          <w:b/>
          <w:sz w:val="22"/>
          <w:szCs w:val="22"/>
        </w:rPr>
        <w:t xml:space="preserve">e) Vista de los Informes Justificados. </w:t>
      </w:r>
      <w:r w:rsidRPr="00BE655A">
        <w:rPr>
          <w:rFonts w:ascii="Palatino Linotype" w:eastAsia="Palatino Linotype" w:hAnsi="Palatino Linotype" w:cs="Palatino Linotype"/>
          <w:sz w:val="22"/>
          <w:szCs w:val="22"/>
        </w:rPr>
        <w:t xml:space="preserve">El </w:t>
      </w:r>
      <w:r w:rsidR="00260A6F" w:rsidRPr="00BE655A">
        <w:rPr>
          <w:rFonts w:ascii="Palatino Linotype" w:eastAsia="Palatino Linotype" w:hAnsi="Palatino Linotype" w:cs="Palatino Linotype"/>
          <w:sz w:val="22"/>
          <w:szCs w:val="22"/>
        </w:rPr>
        <w:t xml:space="preserve">veintiséis </w:t>
      </w:r>
      <w:r w:rsidRPr="00BE655A">
        <w:rPr>
          <w:rFonts w:ascii="Palatino Linotype" w:eastAsia="Palatino Linotype" w:hAnsi="Palatino Linotype" w:cs="Palatino Linotype"/>
          <w:sz w:val="22"/>
          <w:szCs w:val="22"/>
        </w:rPr>
        <w:t>de febrero de dos mil veinticinco, se notificó a través del SAIMEX, el acuerdo mediante el cual se puso a la vista del Particular los Informes Justificados, proveído por el cual se le otorgó a este último, un término de tres días hábiles contados a partir del día siguiente a la notificación, para que emitiera las manifestaciones que conforme a sus intereses mayor conviniera.</w:t>
      </w:r>
    </w:p>
    <w:p w14:paraId="4B8619DE" w14:textId="77777777" w:rsidR="004B4C9A" w:rsidRPr="00BE655A" w:rsidRDefault="004B4C9A" w:rsidP="00DB35AD">
      <w:pPr>
        <w:spacing w:line="360" w:lineRule="auto"/>
        <w:contextualSpacing/>
        <w:jc w:val="both"/>
        <w:rPr>
          <w:rFonts w:ascii="Palatino Linotype" w:eastAsia="Palatino Linotype" w:hAnsi="Palatino Linotype" w:cs="Palatino Linotype"/>
          <w:b/>
          <w:sz w:val="22"/>
          <w:szCs w:val="22"/>
        </w:rPr>
      </w:pPr>
    </w:p>
    <w:p w14:paraId="729B33C9" w14:textId="1190958E" w:rsidR="004B4C9A" w:rsidRPr="00BE655A" w:rsidRDefault="004B4C9A" w:rsidP="00DB35AD">
      <w:pPr>
        <w:spacing w:line="360" w:lineRule="auto"/>
        <w:contextualSpacing/>
        <w:jc w:val="both"/>
        <w:rPr>
          <w:rFonts w:ascii="Palatino Linotype" w:hAnsi="Palatino Linotype" w:cs="Tahoma"/>
          <w:b/>
          <w:sz w:val="22"/>
          <w:szCs w:val="22"/>
        </w:rPr>
      </w:pPr>
      <w:r w:rsidRPr="00BE655A">
        <w:rPr>
          <w:rFonts w:ascii="Palatino Linotype" w:eastAsia="Palatino Linotype" w:hAnsi="Palatino Linotype" w:cs="Palatino Linotype"/>
          <w:b/>
          <w:sz w:val="22"/>
          <w:szCs w:val="22"/>
        </w:rPr>
        <w:t>f)</w:t>
      </w:r>
      <w:r w:rsidRPr="00BE655A">
        <w:rPr>
          <w:rFonts w:ascii="Palatino Linotype" w:hAnsi="Palatino Linotype" w:cs="Tahoma"/>
          <w:b/>
          <w:sz w:val="22"/>
          <w:szCs w:val="22"/>
        </w:rPr>
        <w:t xml:space="preserve"> Cierre de instrucción. </w:t>
      </w:r>
      <w:r w:rsidRPr="00BE655A">
        <w:rPr>
          <w:rFonts w:ascii="Palatino Linotype" w:hAnsi="Palatino Linotype" w:cs="Tahoma"/>
          <w:sz w:val="22"/>
          <w:szCs w:val="22"/>
        </w:rPr>
        <w:t xml:space="preserve">El </w:t>
      </w:r>
      <w:r w:rsidR="00E00A57" w:rsidRPr="00BE655A">
        <w:rPr>
          <w:rFonts w:ascii="Palatino Linotype" w:hAnsi="Palatino Linotype" w:cs="Tahoma"/>
          <w:sz w:val="22"/>
          <w:szCs w:val="22"/>
        </w:rPr>
        <w:t>primero de abril</w:t>
      </w:r>
      <w:r w:rsidRPr="00BE655A">
        <w:rPr>
          <w:rFonts w:ascii="Palatino Linotype" w:hAnsi="Palatino Linotype" w:cs="Tahoma"/>
          <w:sz w:val="22"/>
          <w:szCs w:val="22"/>
        </w:rPr>
        <w:t xml:space="preserve"> de dos mil veinticinco, al no existir diligencias pendientes por desahogar, se emitió el acuerdo por medio del cual se declaró cerrada la instrucción y se determinó pasar los expedientes a resolución, en términos de lo dispuesto en el artículo 185, fracciones VI y VIII, de la Ley de Transparencia y Acceso a la Información Pública del Estado de México y Municipios, mismos que fueron notificados a las partes el </w:t>
      </w:r>
      <w:r w:rsidR="00E00A57" w:rsidRPr="00BE655A">
        <w:rPr>
          <w:rFonts w:ascii="Palatino Linotype" w:hAnsi="Palatino Linotype" w:cs="Tahoma"/>
          <w:sz w:val="22"/>
          <w:szCs w:val="22"/>
        </w:rPr>
        <w:t>dos de dicho mes y año</w:t>
      </w:r>
      <w:r w:rsidRPr="00BE655A">
        <w:rPr>
          <w:rFonts w:ascii="Palatino Linotype" w:hAnsi="Palatino Linotype" w:cs="Tahoma"/>
          <w:sz w:val="22"/>
          <w:szCs w:val="22"/>
        </w:rPr>
        <w:t xml:space="preserve">, a través del </w:t>
      </w:r>
      <w:r w:rsidR="001E09A1" w:rsidRPr="00BE655A">
        <w:rPr>
          <w:rFonts w:ascii="Palatino Linotype" w:hAnsi="Palatino Linotype" w:cs="Tahoma"/>
          <w:sz w:val="22"/>
          <w:szCs w:val="22"/>
          <w:lang w:val="es-ES"/>
        </w:rPr>
        <w:t>SAIMEX</w:t>
      </w:r>
      <w:r w:rsidRPr="00BE655A">
        <w:rPr>
          <w:rFonts w:ascii="Palatino Linotype" w:hAnsi="Palatino Linotype" w:cs="Tahoma"/>
          <w:sz w:val="22"/>
          <w:szCs w:val="22"/>
        </w:rPr>
        <w:t>.</w:t>
      </w:r>
    </w:p>
    <w:p w14:paraId="471E9391" w14:textId="77777777" w:rsidR="004B4C9A" w:rsidRPr="00BE655A" w:rsidRDefault="004B4C9A" w:rsidP="00DB35AD">
      <w:pPr>
        <w:spacing w:line="360" w:lineRule="auto"/>
        <w:ind w:right="-28"/>
        <w:contextualSpacing/>
        <w:jc w:val="both"/>
        <w:rPr>
          <w:rFonts w:ascii="Palatino Linotype" w:hAnsi="Palatino Linotype" w:cs="Tahoma"/>
          <w:sz w:val="22"/>
          <w:szCs w:val="22"/>
          <w:lang w:val="es-ES"/>
        </w:rPr>
      </w:pPr>
    </w:p>
    <w:p w14:paraId="7B0FEABA" w14:textId="77777777" w:rsidR="004B4C9A" w:rsidRPr="00BE655A" w:rsidRDefault="004B4C9A" w:rsidP="00DB35AD">
      <w:pPr>
        <w:spacing w:line="360" w:lineRule="auto"/>
        <w:ind w:right="-28"/>
        <w:contextualSpacing/>
        <w:jc w:val="both"/>
        <w:rPr>
          <w:rFonts w:ascii="Palatino Linotype" w:hAnsi="Palatino Linotype" w:cs="Tahoma"/>
          <w:color w:val="000000"/>
          <w:sz w:val="22"/>
          <w:szCs w:val="22"/>
        </w:rPr>
      </w:pPr>
      <w:r w:rsidRPr="00BE655A">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44B03D5F" w14:textId="77777777" w:rsidR="001E09A1" w:rsidRPr="00BE655A" w:rsidRDefault="001E09A1" w:rsidP="00DB35AD">
      <w:pPr>
        <w:pStyle w:val="Ttulo1"/>
        <w:spacing w:line="360" w:lineRule="auto"/>
        <w:contextualSpacing/>
        <w:jc w:val="center"/>
        <w:rPr>
          <w:rFonts w:ascii="Palatino Linotype" w:hAnsi="Palatino Linotype"/>
          <w:b/>
          <w:bCs/>
          <w:color w:val="auto"/>
          <w:sz w:val="22"/>
          <w:szCs w:val="22"/>
          <w:lang w:val="es-ES"/>
        </w:rPr>
      </w:pPr>
      <w:bookmarkStart w:id="8" w:name="_Toc188481296"/>
    </w:p>
    <w:p w14:paraId="2CACE598" w14:textId="1BB688F1" w:rsidR="004B4C9A" w:rsidRPr="00BE655A" w:rsidRDefault="004B4C9A" w:rsidP="00DB35AD">
      <w:pPr>
        <w:pStyle w:val="Ttulo1"/>
        <w:spacing w:line="360" w:lineRule="auto"/>
        <w:contextualSpacing/>
        <w:jc w:val="center"/>
        <w:rPr>
          <w:rFonts w:ascii="Palatino Linotype" w:hAnsi="Palatino Linotype"/>
          <w:b/>
          <w:bCs/>
          <w:color w:val="auto"/>
          <w:sz w:val="22"/>
          <w:szCs w:val="22"/>
          <w:lang w:val="es-ES"/>
        </w:rPr>
      </w:pPr>
      <w:r w:rsidRPr="00BE655A">
        <w:rPr>
          <w:rFonts w:ascii="Palatino Linotype" w:hAnsi="Palatino Linotype"/>
          <w:b/>
          <w:bCs/>
          <w:color w:val="auto"/>
          <w:sz w:val="22"/>
          <w:szCs w:val="22"/>
          <w:lang w:val="es-ES"/>
        </w:rPr>
        <w:t>C O N S I D E R A N D O S</w:t>
      </w:r>
      <w:bookmarkEnd w:id="8"/>
    </w:p>
    <w:p w14:paraId="7FF0D427" w14:textId="77777777" w:rsidR="004B4C9A" w:rsidRPr="00BE655A" w:rsidRDefault="004B4C9A" w:rsidP="00DB35AD">
      <w:pPr>
        <w:spacing w:line="360" w:lineRule="auto"/>
        <w:ind w:right="-28"/>
        <w:contextualSpacing/>
        <w:jc w:val="center"/>
        <w:rPr>
          <w:rFonts w:ascii="Palatino Linotype" w:hAnsi="Palatino Linotype" w:cs="Tahoma"/>
          <w:b/>
          <w:sz w:val="22"/>
          <w:szCs w:val="22"/>
          <w:lang w:val="es-ES"/>
        </w:rPr>
      </w:pPr>
    </w:p>
    <w:p w14:paraId="5507D780" w14:textId="77777777" w:rsidR="004B4C9A" w:rsidRPr="00BE655A" w:rsidRDefault="004B4C9A" w:rsidP="00DB35AD">
      <w:pPr>
        <w:pStyle w:val="Ttulo2"/>
        <w:spacing w:line="360" w:lineRule="auto"/>
        <w:contextualSpacing/>
        <w:rPr>
          <w:rFonts w:ascii="Palatino Linotype" w:hAnsi="Palatino Linotype"/>
          <w:b/>
          <w:bCs/>
          <w:color w:val="auto"/>
          <w:sz w:val="22"/>
          <w:szCs w:val="22"/>
          <w:lang w:val="es-ES"/>
        </w:rPr>
      </w:pPr>
      <w:bookmarkStart w:id="9" w:name="_Toc188481297"/>
      <w:r w:rsidRPr="00BE655A">
        <w:rPr>
          <w:rFonts w:ascii="Palatino Linotype" w:eastAsia="Calibri" w:hAnsi="Palatino Linotype"/>
          <w:b/>
          <w:bCs/>
          <w:color w:val="auto"/>
          <w:sz w:val="22"/>
          <w:szCs w:val="22"/>
          <w:lang w:val="es-ES" w:eastAsia="es-MX"/>
        </w:rPr>
        <w:t xml:space="preserve">PRIMERO. </w:t>
      </w:r>
      <w:r w:rsidRPr="00BE655A">
        <w:rPr>
          <w:rFonts w:ascii="Palatino Linotype" w:hAnsi="Palatino Linotype"/>
          <w:b/>
          <w:bCs/>
          <w:color w:val="auto"/>
          <w:sz w:val="22"/>
          <w:szCs w:val="22"/>
          <w:lang w:val="es-ES"/>
        </w:rPr>
        <w:t>Competencia</w:t>
      </w:r>
      <w:bookmarkEnd w:id="9"/>
    </w:p>
    <w:p w14:paraId="28E322BE" w14:textId="77777777" w:rsidR="004B4C9A" w:rsidRPr="00BE655A" w:rsidRDefault="004B4C9A" w:rsidP="00DB35AD">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718EB164" w14:textId="424CE3B0" w:rsidR="00DB35AD" w:rsidRPr="00BE655A" w:rsidRDefault="00DB35AD" w:rsidP="00DB35AD">
      <w:pPr>
        <w:spacing w:line="360" w:lineRule="auto"/>
        <w:ind w:right="-28"/>
        <w:contextualSpacing/>
        <w:jc w:val="both"/>
        <w:rPr>
          <w:rFonts w:ascii="Palatino Linotype" w:hAnsi="Palatino Linotype" w:cs="Tahoma"/>
          <w:color w:val="000000"/>
          <w:sz w:val="22"/>
          <w:szCs w:val="22"/>
        </w:rPr>
      </w:pPr>
      <w:r w:rsidRPr="00BE655A">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8968251" w14:textId="77777777" w:rsidR="00DB35AD" w:rsidRPr="00BE655A" w:rsidRDefault="00DB35AD" w:rsidP="00DB35AD">
      <w:pPr>
        <w:spacing w:line="360" w:lineRule="auto"/>
        <w:ind w:right="-28"/>
        <w:contextualSpacing/>
        <w:jc w:val="both"/>
        <w:rPr>
          <w:rFonts w:ascii="Palatino Linotype" w:hAnsi="Palatino Linotype" w:cs="Tahoma"/>
          <w:color w:val="000000"/>
          <w:sz w:val="22"/>
          <w:szCs w:val="22"/>
        </w:rPr>
      </w:pPr>
    </w:p>
    <w:p w14:paraId="308B62AE" w14:textId="77777777" w:rsidR="004B4C9A" w:rsidRPr="00BE655A" w:rsidRDefault="004B4C9A" w:rsidP="00DB35AD">
      <w:pPr>
        <w:pStyle w:val="Ttulo2"/>
        <w:spacing w:line="360" w:lineRule="auto"/>
        <w:contextualSpacing/>
        <w:rPr>
          <w:rFonts w:ascii="Palatino Linotype" w:eastAsia="Calibri" w:hAnsi="Palatino Linotype"/>
          <w:b/>
          <w:bCs/>
          <w:color w:val="auto"/>
          <w:sz w:val="22"/>
          <w:szCs w:val="22"/>
          <w:lang w:val="es-ES" w:eastAsia="es-MX"/>
        </w:rPr>
      </w:pPr>
      <w:bookmarkStart w:id="10" w:name="_Toc188481298"/>
      <w:r w:rsidRPr="00BE655A">
        <w:rPr>
          <w:rFonts w:ascii="Palatino Linotype" w:eastAsia="Calibri" w:hAnsi="Palatino Linotype"/>
          <w:b/>
          <w:bCs/>
          <w:color w:val="auto"/>
          <w:sz w:val="22"/>
          <w:szCs w:val="22"/>
          <w:lang w:val="es-ES" w:eastAsia="es-MX"/>
        </w:rPr>
        <w:t>SEGUNDO. Causales de improcedencia y sobreseimiento</w:t>
      </w:r>
      <w:bookmarkEnd w:id="10"/>
    </w:p>
    <w:p w14:paraId="6E556EC5" w14:textId="77777777" w:rsidR="004B4C9A" w:rsidRPr="00BE655A" w:rsidRDefault="004B4C9A" w:rsidP="00DB35AD">
      <w:pPr>
        <w:autoSpaceDE w:val="0"/>
        <w:autoSpaceDN w:val="0"/>
        <w:adjustRightInd w:val="0"/>
        <w:spacing w:line="360" w:lineRule="auto"/>
        <w:contextualSpacing/>
        <w:jc w:val="both"/>
        <w:rPr>
          <w:rFonts w:ascii="Palatino Linotype" w:hAnsi="Palatino Linotype" w:cs="Tahoma"/>
          <w:sz w:val="22"/>
          <w:szCs w:val="22"/>
          <w:lang w:val="es-ES"/>
        </w:rPr>
      </w:pPr>
    </w:p>
    <w:p w14:paraId="5E87794B" w14:textId="77777777" w:rsidR="004B4C9A" w:rsidRPr="00BE655A" w:rsidRDefault="004B4C9A" w:rsidP="00DB35AD">
      <w:pPr>
        <w:autoSpaceDE w:val="0"/>
        <w:autoSpaceDN w:val="0"/>
        <w:adjustRightInd w:val="0"/>
        <w:spacing w:line="360" w:lineRule="auto"/>
        <w:contextualSpacing/>
        <w:jc w:val="both"/>
        <w:rPr>
          <w:rFonts w:ascii="Palatino Linotype" w:hAnsi="Palatino Linotype" w:cs="Tahoma"/>
          <w:sz w:val="22"/>
          <w:szCs w:val="22"/>
          <w:lang w:val="es-ES"/>
        </w:rPr>
      </w:pPr>
      <w:r w:rsidRPr="00BE655A">
        <w:rPr>
          <w:rFonts w:ascii="Palatino Linotype" w:hAnsi="Palatino Linotype" w:cs="Tahoma"/>
          <w:sz w:val="22"/>
          <w:szCs w:val="22"/>
          <w:lang w:val="es-ES"/>
        </w:rPr>
        <w:t xml:space="preserve">De las constancias que forma parte del Recurso de Revisión que se analiza, se advierte que previo al estudio del fondo de la </w:t>
      </w:r>
      <w:r w:rsidRPr="00BE655A">
        <w:rPr>
          <w:rFonts w:ascii="Palatino Linotype" w:hAnsi="Palatino Linotype" w:cs="Tahoma"/>
          <w:i/>
          <w:sz w:val="22"/>
          <w:szCs w:val="22"/>
          <w:lang w:val="es-ES"/>
        </w:rPr>
        <w:t>litis</w:t>
      </w:r>
      <w:r w:rsidRPr="00BE655A">
        <w:rPr>
          <w:rFonts w:ascii="Palatino Linotype" w:hAnsi="Palatino Linotype" w:cs="Tahoma"/>
          <w:sz w:val="22"/>
          <w:szCs w:val="22"/>
          <w:lang w:val="es-ES"/>
        </w:rPr>
        <w:t>, es necesario estudiar las causales de improcedencia, para determinar lo que en Derecho proceda.</w:t>
      </w:r>
    </w:p>
    <w:p w14:paraId="5B507390" w14:textId="77777777" w:rsidR="00260A6F" w:rsidRPr="00BE655A" w:rsidRDefault="00260A6F" w:rsidP="00DB35AD">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0E8244E7" w14:textId="5C3794B3" w:rsidR="004B4C9A" w:rsidRPr="00BE655A" w:rsidRDefault="004B4C9A" w:rsidP="00DB35AD">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BE655A">
        <w:rPr>
          <w:rFonts w:ascii="Palatino Linotype" w:eastAsia="Calibri" w:hAnsi="Palatino Linotype" w:cs="Tahoma"/>
          <w:b/>
          <w:color w:val="000000"/>
          <w:sz w:val="22"/>
          <w:szCs w:val="22"/>
          <w:lang w:val="es-ES" w:eastAsia="es-MX"/>
        </w:rPr>
        <w:t>Causales de improcedencia</w:t>
      </w:r>
    </w:p>
    <w:p w14:paraId="369A0B8A" w14:textId="77777777" w:rsidR="004B4C9A" w:rsidRPr="00BE655A" w:rsidRDefault="004B4C9A" w:rsidP="00DB35A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4EB97AC2" w14:textId="77777777" w:rsidR="004B4C9A" w:rsidRPr="00BE655A" w:rsidRDefault="004B4C9A" w:rsidP="00DB35A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BE655A">
        <w:rPr>
          <w:rFonts w:ascii="Palatino Linotype" w:eastAsia="Calibri" w:hAnsi="Palatino Linotype" w:cs="Tahoma"/>
          <w:color w:val="000000"/>
          <w:sz w:val="22"/>
          <w:szCs w:val="22"/>
          <w:lang w:val="es-ES" w:eastAsia="es-MX"/>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w:t>
      </w:r>
      <w:r w:rsidRPr="00BE655A">
        <w:rPr>
          <w:rFonts w:ascii="Palatino Linotype" w:eastAsia="Calibri" w:hAnsi="Palatino Linotype" w:cs="Tahoma"/>
          <w:color w:val="000000"/>
          <w:sz w:val="22"/>
          <w:szCs w:val="22"/>
          <w:lang w:val="es-ES" w:eastAsia="es-MX"/>
        </w:rPr>
        <w:lastRenderedPageBreak/>
        <w:t>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CA74536" w14:textId="77777777" w:rsidR="004B4C9A" w:rsidRPr="00BE655A" w:rsidRDefault="004B4C9A" w:rsidP="00DB35A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7816EF32" w14:textId="77777777" w:rsidR="004B4C9A" w:rsidRPr="00BE655A" w:rsidRDefault="004B4C9A" w:rsidP="00DB35A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BE655A">
        <w:rPr>
          <w:rFonts w:ascii="Palatino Linotype" w:hAnsi="Palatino Linotype" w:cs="Tahoma"/>
          <w:sz w:val="22"/>
          <w:szCs w:val="24"/>
        </w:rPr>
        <w:t>En el presente caso, </w:t>
      </w:r>
      <w:r w:rsidRPr="00BE655A">
        <w:rPr>
          <w:rFonts w:ascii="Palatino Linotype" w:hAnsi="Palatino Linotype" w:cs="Tahoma"/>
          <w:b/>
          <w:bCs/>
          <w:sz w:val="22"/>
          <w:szCs w:val="24"/>
        </w:rPr>
        <w:t>no se actualiza ninguna de las causales de improcedencia</w:t>
      </w:r>
      <w:r w:rsidRPr="00BE655A">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BE655A">
        <w:rPr>
          <w:rFonts w:ascii="Palatino Linotype" w:hAnsi="Palatino Linotype" w:cs="Tahoma"/>
          <w:sz w:val="22"/>
          <w:szCs w:val="22"/>
          <w:lang w:val="es-ES"/>
        </w:rPr>
        <w:t xml:space="preserve">además de que </w:t>
      </w:r>
      <w:r w:rsidRPr="00BE655A">
        <w:rPr>
          <w:rFonts w:ascii="Palatino Linotype" w:eastAsia="Calibri" w:hAnsi="Palatino Linotype" w:cs="Tahoma"/>
          <w:color w:val="000000"/>
          <w:sz w:val="22"/>
          <w:szCs w:val="22"/>
          <w:lang w:val="es-ES" w:eastAsia="es-MX"/>
        </w:rPr>
        <w:t>el medio de impugnación fue presentado en tiempo.</w:t>
      </w:r>
    </w:p>
    <w:p w14:paraId="22E3556A" w14:textId="77777777" w:rsidR="004B4C9A" w:rsidRPr="00BE655A" w:rsidRDefault="004B4C9A" w:rsidP="00DB35AD">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06508DEA" w14:textId="46074F42" w:rsidR="004B4C9A" w:rsidRPr="00BE655A" w:rsidRDefault="004B4C9A" w:rsidP="00DB35AD">
      <w:pPr>
        <w:widowControl w:val="0"/>
        <w:spacing w:line="360" w:lineRule="auto"/>
        <w:contextualSpacing/>
        <w:jc w:val="both"/>
        <w:rPr>
          <w:rFonts w:ascii="Palatino Linotype" w:hAnsi="Palatino Linotype"/>
          <w:color w:val="222222"/>
        </w:rPr>
      </w:pPr>
      <w:r w:rsidRPr="00BE655A">
        <w:rPr>
          <w:rFonts w:ascii="Palatino Linotype" w:hAnsi="Palatino Linotype" w:cs="Tahoma"/>
          <w:sz w:val="22"/>
          <w:szCs w:val="22"/>
        </w:rPr>
        <w:t xml:space="preserve">Asimismo, se actualiza la causal de procedencia del Recurso de Revisión señalada en el artículo 179, fracción </w:t>
      </w:r>
      <w:r w:rsidR="0091471A" w:rsidRPr="00BE655A">
        <w:rPr>
          <w:rFonts w:ascii="Palatino Linotype" w:hAnsi="Palatino Linotype" w:cs="Tahoma"/>
          <w:sz w:val="22"/>
          <w:szCs w:val="22"/>
        </w:rPr>
        <w:t>III</w:t>
      </w:r>
      <w:r w:rsidRPr="00BE655A">
        <w:rPr>
          <w:rFonts w:ascii="Palatino Linotype" w:hAnsi="Palatino Linotype" w:cs="Tahoma"/>
          <w:sz w:val="22"/>
          <w:szCs w:val="22"/>
        </w:rPr>
        <w:t xml:space="preserve">, de la Ley en cita, </w:t>
      </w:r>
      <w:r w:rsidRPr="00BE655A">
        <w:rPr>
          <w:rFonts w:ascii="Palatino Linotype" w:eastAsia="Calibri" w:hAnsi="Palatino Linotype" w:cs="Tahoma"/>
          <w:color w:val="000000"/>
          <w:sz w:val="22"/>
          <w:szCs w:val="22"/>
          <w:lang w:eastAsia="es-MX"/>
        </w:rPr>
        <w:t xml:space="preserve">pues el Recurrente se inconformó con </w:t>
      </w:r>
      <w:r w:rsidRPr="00BE655A">
        <w:rPr>
          <w:rFonts w:ascii="Palatino Linotype" w:hAnsi="Palatino Linotype" w:cs="Tahoma"/>
          <w:sz w:val="22"/>
          <w:szCs w:val="22"/>
        </w:rPr>
        <w:t xml:space="preserve">la </w:t>
      </w:r>
      <w:r w:rsidR="0091471A" w:rsidRPr="00BE655A">
        <w:rPr>
          <w:rFonts w:ascii="Palatino Linotype" w:hAnsi="Palatino Linotype" w:cs="Tahoma"/>
          <w:sz w:val="22"/>
          <w:szCs w:val="22"/>
        </w:rPr>
        <w:t xml:space="preserve">declaración de inexistencia de la </w:t>
      </w:r>
      <w:r w:rsidRPr="00BE655A">
        <w:rPr>
          <w:rFonts w:ascii="Palatino Linotype" w:hAnsi="Palatino Linotype" w:cs="Tahoma"/>
          <w:sz w:val="22"/>
          <w:szCs w:val="22"/>
        </w:rPr>
        <w:t>información.</w:t>
      </w:r>
    </w:p>
    <w:p w14:paraId="5B610BA5" w14:textId="77777777" w:rsidR="004B4C9A" w:rsidRPr="00BE655A" w:rsidRDefault="004B4C9A" w:rsidP="00DB35AD">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35089747" w14:textId="382F4BB7" w:rsidR="004B4C9A" w:rsidRPr="00BE655A" w:rsidRDefault="004B4C9A" w:rsidP="00DB35AD">
      <w:pPr>
        <w:spacing w:line="360" w:lineRule="auto"/>
        <w:contextualSpacing/>
        <w:jc w:val="both"/>
        <w:rPr>
          <w:rFonts w:ascii="Palatino Linotype" w:hAnsi="Palatino Linotype" w:cs="Tahoma"/>
          <w:sz w:val="22"/>
          <w:szCs w:val="22"/>
        </w:rPr>
      </w:pPr>
      <w:r w:rsidRPr="00BE655A">
        <w:rPr>
          <w:rFonts w:ascii="Palatino Linotype" w:hAnsi="Palatino Linotype" w:cs="Tahoma"/>
          <w:b/>
          <w:bCs/>
          <w:sz w:val="22"/>
          <w:szCs w:val="22"/>
        </w:rPr>
        <w:t>Causales de sobreseimiento</w:t>
      </w:r>
    </w:p>
    <w:p w14:paraId="25A04C92" w14:textId="77777777" w:rsidR="004B4C9A" w:rsidRPr="00BE655A" w:rsidRDefault="004B4C9A" w:rsidP="00DB35AD">
      <w:pPr>
        <w:spacing w:line="360" w:lineRule="auto"/>
        <w:contextualSpacing/>
        <w:jc w:val="both"/>
        <w:rPr>
          <w:rFonts w:ascii="Palatino Linotype" w:hAnsi="Palatino Linotype" w:cs="Tahoma"/>
          <w:sz w:val="22"/>
          <w:szCs w:val="22"/>
        </w:rPr>
      </w:pPr>
    </w:p>
    <w:p w14:paraId="11A64559" w14:textId="77777777" w:rsidR="004B4C9A" w:rsidRPr="00BE655A" w:rsidRDefault="004B4C9A" w:rsidP="00DB35AD">
      <w:pPr>
        <w:spacing w:line="360" w:lineRule="auto"/>
        <w:contextualSpacing/>
        <w:jc w:val="both"/>
        <w:rPr>
          <w:rFonts w:ascii="Palatino Linotype" w:hAnsi="Palatino Linotype" w:cs="Tahoma"/>
          <w:sz w:val="22"/>
          <w:szCs w:val="22"/>
        </w:rPr>
      </w:pPr>
      <w:r w:rsidRPr="00BE655A">
        <w:rPr>
          <w:rFonts w:ascii="Palatino Linotype" w:hAnsi="Palatino Linotype" w:cs="Tahoma"/>
          <w:sz w:val="22"/>
          <w:szCs w:val="22"/>
        </w:rPr>
        <w:t>Por ser de previo y especial pronunciamiento, este Instituto analiza si se actualiza alguna causal de sobreseimiento.</w:t>
      </w:r>
    </w:p>
    <w:p w14:paraId="32BF25AC" w14:textId="77777777" w:rsidR="004B4C9A" w:rsidRPr="00BE655A" w:rsidRDefault="004B4C9A" w:rsidP="00DB35AD">
      <w:pPr>
        <w:spacing w:line="360" w:lineRule="auto"/>
        <w:contextualSpacing/>
        <w:jc w:val="both"/>
        <w:rPr>
          <w:rFonts w:ascii="Palatino Linotype" w:hAnsi="Palatino Linotype" w:cs="Tahoma"/>
          <w:sz w:val="22"/>
          <w:szCs w:val="22"/>
        </w:rPr>
      </w:pPr>
    </w:p>
    <w:p w14:paraId="6A15161E" w14:textId="77777777" w:rsidR="004B4C9A" w:rsidRPr="00BE655A" w:rsidRDefault="004B4C9A" w:rsidP="00DB35AD">
      <w:pPr>
        <w:spacing w:line="360" w:lineRule="auto"/>
        <w:contextualSpacing/>
        <w:jc w:val="both"/>
        <w:rPr>
          <w:rFonts w:ascii="Palatino Linotype" w:hAnsi="Palatino Linotype" w:cs="Tahoma"/>
          <w:sz w:val="22"/>
          <w:szCs w:val="22"/>
        </w:rPr>
      </w:pPr>
      <w:r w:rsidRPr="00BE655A">
        <w:rPr>
          <w:rFonts w:ascii="Palatino Linotype" w:hAnsi="Palatino Linotype" w:cs="Tahoma"/>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w:t>
      </w:r>
      <w:r w:rsidRPr="00BE655A">
        <w:rPr>
          <w:rFonts w:ascii="Palatino Linotype" w:hAnsi="Palatino Linotype" w:cs="Tahoma"/>
          <w:sz w:val="22"/>
          <w:szCs w:val="22"/>
        </w:rPr>
        <w:lastRenderedPageBreak/>
        <w:t>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45FE668C" w14:textId="77777777" w:rsidR="004B4C9A" w:rsidRPr="00BE655A" w:rsidRDefault="004B4C9A" w:rsidP="00DB35AD">
      <w:pPr>
        <w:spacing w:line="360" w:lineRule="auto"/>
        <w:contextualSpacing/>
        <w:jc w:val="both"/>
        <w:rPr>
          <w:rFonts w:ascii="Palatino Linotype" w:hAnsi="Palatino Linotype" w:cs="Tahoma"/>
          <w:sz w:val="22"/>
          <w:szCs w:val="22"/>
        </w:rPr>
      </w:pPr>
    </w:p>
    <w:p w14:paraId="5C9C7732" w14:textId="41125A42" w:rsidR="004B4C9A" w:rsidRPr="00BE655A" w:rsidRDefault="004B4C9A" w:rsidP="00DB35AD">
      <w:pPr>
        <w:tabs>
          <w:tab w:val="left" w:pos="4962"/>
        </w:tabs>
        <w:spacing w:line="360" w:lineRule="auto"/>
        <w:contextualSpacing/>
        <w:jc w:val="both"/>
        <w:rPr>
          <w:rFonts w:ascii="Palatino Linotype" w:hAnsi="Palatino Linotype" w:cs="Tahoma"/>
          <w:sz w:val="22"/>
          <w:szCs w:val="22"/>
        </w:rPr>
      </w:pPr>
      <w:r w:rsidRPr="00BE655A">
        <w:rPr>
          <w:rFonts w:ascii="Palatino Linotype" w:hAnsi="Palatino Linotype" w:cs="Tahoma"/>
          <w:bCs/>
          <w:sz w:val="22"/>
          <w:szCs w:val="22"/>
        </w:rPr>
        <w:t xml:space="preserve">Por tales motivos, </w:t>
      </w:r>
      <w:r w:rsidRPr="00BE655A">
        <w:rPr>
          <w:rFonts w:ascii="Palatino Linotype" w:hAnsi="Palatino Linotype" w:cs="Tahoma"/>
          <w:sz w:val="22"/>
          <w:szCs w:val="22"/>
        </w:rPr>
        <w:t xml:space="preserve">se considera procedente entrar al fondo del presente asunto. </w:t>
      </w:r>
      <w:bookmarkStart w:id="11" w:name="_Toc188481299"/>
    </w:p>
    <w:p w14:paraId="1A240FF3" w14:textId="77777777" w:rsidR="00DB35AD" w:rsidRPr="00BE655A" w:rsidRDefault="00DB35AD" w:rsidP="00DB35AD">
      <w:pPr>
        <w:tabs>
          <w:tab w:val="left" w:pos="4962"/>
        </w:tabs>
        <w:spacing w:line="360" w:lineRule="auto"/>
        <w:contextualSpacing/>
        <w:jc w:val="both"/>
        <w:rPr>
          <w:rFonts w:ascii="Palatino Linotype" w:hAnsi="Palatino Linotype" w:cs="Tahoma"/>
          <w:sz w:val="22"/>
          <w:szCs w:val="22"/>
        </w:rPr>
      </w:pPr>
    </w:p>
    <w:p w14:paraId="7995B012" w14:textId="77777777" w:rsidR="004B4C9A" w:rsidRPr="00BE655A" w:rsidRDefault="004B4C9A" w:rsidP="00DB35AD">
      <w:pPr>
        <w:pStyle w:val="Ttulo2"/>
        <w:spacing w:line="360" w:lineRule="auto"/>
        <w:contextualSpacing/>
        <w:rPr>
          <w:rFonts w:ascii="Palatino Linotype" w:eastAsia="Calibri" w:hAnsi="Palatino Linotype"/>
          <w:b/>
          <w:bCs/>
          <w:color w:val="auto"/>
          <w:sz w:val="22"/>
          <w:szCs w:val="22"/>
          <w:lang w:val="es-ES" w:eastAsia="es-ES_tradnl"/>
        </w:rPr>
      </w:pPr>
      <w:r w:rsidRPr="00BE655A">
        <w:rPr>
          <w:rFonts w:ascii="Palatino Linotype" w:eastAsia="Calibri" w:hAnsi="Palatino Linotype"/>
          <w:b/>
          <w:bCs/>
          <w:color w:val="auto"/>
          <w:sz w:val="22"/>
          <w:szCs w:val="22"/>
          <w:lang w:val="es-ES" w:eastAsia="es-ES_tradnl"/>
        </w:rPr>
        <w:t>TERCERO. Determinación de la Controversia</w:t>
      </w:r>
      <w:bookmarkEnd w:id="11"/>
    </w:p>
    <w:p w14:paraId="7E90ACDA" w14:textId="77777777" w:rsidR="004B4C9A" w:rsidRPr="00BE655A" w:rsidRDefault="004B4C9A" w:rsidP="00DB35AD">
      <w:pPr>
        <w:spacing w:line="360" w:lineRule="auto"/>
        <w:contextualSpacing/>
        <w:rPr>
          <w:rFonts w:ascii="Palatino Linotype" w:hAnsi="Palatino Linotype"/>
          <w:lang w:val="es-ES" w:eastAsia="es-ES_tradnl"/>
        </w:rPr>
      </w:pPr>
    </w:p>
    <w:p w14:paraId="44F31D12" w14:textId="50C63F65" w:rsidR="0091471A" w:rsidRPr="00BE655A" w:rsidRDefault="0091471A" w:rsidP="008B6D04">
      <w:pPr>
        <w:spacing w:line="360" w:lineRule="auto"/>
        <w:contextualSpacing/>
        <w:jc w:val="both"/>
        <w:rPr>
          <w:rFonts w:ascii="Palatino Linotype" w:hAnsi="Palatino Linotype" w:cs="Tahoma"/>
          <w:sz w:val="22"/>
          <w:szCs w:val="22"/>
        </w:rPr>
      </w:pPr>
      <w:r w:rsidRPr="00BE655A">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BE655A">
        <w:rPr>
          <w:rFonts w:ascii="Palatino Linotype" w:hAnsi="Palatino Linotype" w:cs="Tahoma"/>
          <w:sz w:val="22"/>
          <w:szCs w:val="22"/>
        </w:rPr>
        <w:t>que el Particular requirió los recibos de nómina, de la prime</w:t>
      </w:r>
      <w:r w:rsidR="008B6D04" w:rsidRPr="00BE655A">
        <w:rPr>
          <w:rFonts w:ascii="Palatino Linotype" w:hAnsi="Palatino Linotype" w:cs="Tahoma"/>
          <w:sz w:val="22"/>
          <w:szCs w:val="22"/>
        </w:rPr>
        <w:t>r</w:t>
      </w:r>
      <w:r w:rsidRPr="00BE655A">
        <w:rPr>
          <w:rFonts w:ascii="Palatino Linotype" w:hAnsi="Palatino Linotype" w:cs="Tahoma"/>
          <w:sz w:val="22"/>
          <w:szCs w:val="22"/>
        </w:rPr>
        <w:t>a quincena de enero de dos mil veinticinco, de l</w:t>
      </w:r>
      <w:r w:rsidR="008B6D04" w:rsidRPr="00BE655A">
        <w:rPr>
          <w:rFonts w:ascii="Palatino Linotype" w:hAnsi="Palatino Linotype" w:cs="Tahoma"/>
          <w:sz w:val="22"/>
          <w:szCs w:val="22"/>
        </w:rPr>
        <w:t xml:space="preserve">a </w:t>
      </w:r>
      <w:r w:rsidRPr="00BE655A">
        <w:rPr>
          <w:rFonts w:ascii="Palatino Linotype" w:hAnsi="Palatino Linotype" w:cs="Tahoma"/>
          <w:sz w:val="22"/>
          <w:szCs w:val="22"/>
        </w:rPr>
        <w:t>Presidenta Municipal</w:t>
      </w:r>
      <w:r w:rsidR="005005C3" w:rsidRPr="00BE655A">
        <w:rPr>
          <w:rFonts w:ascii="Palatino Linotype" w:hAnsi="Palatino Linotype" w:cs="Tahoma"/>
          <w:sz w:val="22"/>
          <w:szCs w:val="22"/>
        </w:rPr>
        <w:t>,</w:t>
      </w:r>
      <w:r w:rsidR="008B6D04" w:rsidRPr="00BE655A">
        <w:rPr>
          <w:rFonts w:ascii="Palatino Linotype" w:hAnsi="Palatino Linotype" w:cs="Tahoma"/>
          <w:sz w:val="22"/>
          <w:szCs w:val="22"/>
        </w:rPr>
        <w:t xml:space="preserve"> </w:t>
      </w:r>
      <w:r w:rsidRPr="00BE655A">
        <w:rPr>
          <w:rFonts w:ascii="Palatino Linotype" w:hAnsi="Palatino Linotype" w:cs="Tahoma"/>
          <w:sz w:val="22"/>
          <w:szCs w:val="22"/>
        </w:rPr>
        <w:t>Síndico Municipal</w:t>
      </w:r>
      <w:r w:rsidR="008B6D04" w:rsidRPr="00BE655A">
        <w:rPr>
          <w:rFonts w:ascii="Palatino Linotype" w:hAnsi="Palatino Linotype" w:cs="Tahoma"/>
          <w:sz w:val="22"/>
          <w:szCs w:val="22"/>
        </w:rPr>
        <w:t xml:space="preserve">, </w:t>
      </w:r>
      <w:r w:rsidRPr="00BE655A">
        <w:rPr>
          <w:rFonts w:ascii="Palatino Linotype" w:hAnsi="Palatino Linotype" w:cs="Tahoma"/>
          <w:sz w:val="22"/>
          <w:szCs w:val="22"/>
        </w:rPr>
        <w:t>Regidoras y Regidores</w:t>
      </w:r>
      <w:r w:rsidR="005005C3" w:rsidRPr="00BE655A">
        <w:rPr>
          <w:rFonts w:ascii="Palatino Linotype" w:hAnsi="Palatino Linotype" w:cs="Tahoma"/>
          <w:sz w:val="22"/>
          <w:szCs w:val="22"/>
        </w:rPr>
        <w:t>,</w:t>
      </w:r>
      <w:r w:rsidR="008B6D04" w:rsidRPr="00BE655A">
        <w:rPr>
          <w:rFonts w:ascii="Palatino Linotype" w:hAnsi="Palatino Linotype" w:cs="Tahoma"/>
          <w:sz w:val="22"/>
          <w:szCs w:val="22"/>
        </w:rPr>
        <w:t xml:space="preserve"> </w:t>
      </w:r>
      <w:r w:rsidRPr="00BE655A">
        <w:rPr>
          <w:rFonts w:ascii="Palatino Linotype" w:hAnsi="Palatino Linotype" w:cs="Tahoma"/>
          <w:sz w:val="22"/>
          <w:szCs w:val="22"/>
        </w:rPr>
        <w:t>y</w:t>
      </w:r>
      <w:r w:rsidR="008B6D04" w:rsidRPr="00BE655A">
        <w:rPr>
          <w:rFonts w:ascii="Palatino Linotype" w:hAnsi="Palatino Linotype" w:cs="Tahoma"/>
          <w:sz w:val="22"/>
          <w:szCs w:val="22"/>
        </w:rPr>
        <w:t xml:space="preserve"> </w:t>
      </w:r>
      <w:r w:rsidRPr="00BE655A">
        <w:rPr>
          <w:rFonts w:ascii="Palatino Linotype" w:hAnsi="Palatino Linotype" w:cs="Tahoma"/>
          <w:sz w:val="22"/>
          <w:szCs w:val="22"/>
        </w:rPr>
        <w:t>Titulares de Área (Directores y Coordinadores).</w:t>
      </w:r>
    </w:p>
    <w:p w14:paraId="3CA52BC6" w14:textId="77777777" w:rsidR="004B4C9A" w:rsidRPr="00BE655A" w:rsidRDefault="004B4C9A" w:rsidP="00DB35AD">
      <w:pPr>
        <w:autoSpaceDE w:val="0"/>
        <w:autoSpaceDN w:val="0"/>
        <w:adjustRightInd w:val="0"/>
        <w:spacing w:line="360" w:lineRule="auto"/>
        <w:contextualSpacing/>
        <w:jc w:val="both"/>
        <w:rPr>
          <w:rFonts w:ascii="Palatino Linotype" w:eastAsia="Calibri" w:hAnsi="Palatino Linotype" w:cs="Tahoma"/>
          <w:sz w:val="22"/>
          <w:szCs w:val="22"/>
          <w:lang w:val="es-ES"/>
        </w:rPr>
      </w:pPr>
    </w:p>
    <w:p w14:paraId="780E71EC" w14:textId="2A488D6A" w:rsidR="0091471A" w:rsidRPr="00BE655A" w:rsidRDefault="0091471A" w:rsidP="00DB35AD">
      <w:pPr>
        <w:autoSpaceDE w:val="0"/>
        <w:autoSpaceDN w:val="0"/>
        <w:adjustRightInd w:val="0"/>
        <w:spacing w:line="360" w:lineRule="auto"/>
        <w:contextualSpacing/>
        <w:jc w:val="both"/>
        <w:rPr>
          <w:rFonts w:ascii="Palatino Linotype" w:eastAsia="Calibri" w:hAnsi="Palatino Linotype" w:cs="Tahoma"/>
          <w:sz w:val="22"/>
          <w:szCs w:val="22"/>
        </w:rPr>
      </w:pPr>
      <w:r w:rsidRPr="00BE655A">
        <w:rPr>
          <w:rFonts w:ascii="Palatino Linotype" w:hAnsi="Palatino Linotype" w:cs="Tahoma"/>
          <w:sz w:val="22"/>
          <w:szCs w:val="22"/>
          <w:lang w:val="es-ES"/>
        </w:rPr>
        <w:t>En respuesta, el Sujeto Obligado a través de la Coordinación de Recursos Humanos, indicó que no se había localizado información sobre lo peticionado</w:t>
      </w:r>
      <w:r w:rsidR="005005C3" w:rsidRPr="00BE655A">
        <w:rPr>
          <w:rFonts w:ascii="Palatino Linotype" w:eastAsia="Calibri" w:hAnsi="Palatino Linotype" w:cs="Tahoma"/>
          <w:color w:val="000000"/>
          <w:sz w:val="22"/>
          <w:szCs w:val="22"/>
          <w:lang w:val="es-ES"/>
        </w:rPr>
        <w:t>.</w:t>
      </w:r>
      <w:r w:rsidRPr="00BE655A">
        <w:rPr>
          <w:rFonts w:ascii="Palatino Linotype" w:hAnsi="Palatino Linotype" w:cs="Tahoma"/>
          <w:sz w:val="22"/>
          <w:szCs w:val="22"/>
          <w:lang w:val="es-ES"/>
        </w:rPr>
        <w:t xml:space="preserve"> Ante dicha circunstancia, el Particular se agravió con la </w:t>
      </w:r>
      <w:r w:rsidRPr="00BE655A">
        <w:rPr>
          <w:rFonts w:ascii="Palatino Linotype" w:hAnsi="Palatino Linotype" w:cs="Tahoma"/>
          <w:sz w:val="22"/>
          <w:szCs w:val="22"/>
        </w:rPr>
        <w:t>inexistencia de información, al señalar que no le habían proporcionado los documentos que dieran cuenta de l</w:t>
      </w:r>
      <w:r w:rsidR="007854C3" w:rsidRPr="00BE655A">
        <w:rPr>
          <w:rFonts w:ascii="Palatino Linotype" w:hAnsi="Palatino Linotype" w:cs="Tahoma"/>
          <w:sz w:val="22"/>
          <w:szCs w:val="22"/>
        </w:rPr>
        <w:t>os</w:t>
      </w:r>
      <w:r w:rsidRPr="00BE655A">
        <w:rPr>
          <w:rFonts w:ascii="Palatino Linotype" w:hAnsi="Palatino Linotype" w:cs="Tahoma"/>
          <w:sz w:val="22"/>
          <w:szCs w:val="22"/>
        </w:rPr>
        <w:t xml:space="preserve"> </w:t>
      </w:r>
      <w:r w:rsidR="007854C3" w:rsidRPr="00BE655A">
        <w:rPr>
          <w:rFonts w:ascii="Palatino Linotype" w:hAnsi="Palatino Linotype" w:cs="Tahoma"/>
          <w:sz w:val="22"/>
          <w:szCs w:val="22"/>
        </w:rPr>
        <w:t>sueldos y die</w:t>
      </w:r>
      <w:r w:rsidR="005005C3" w:rsidRPr="00BE655A">
        <w:rPr>
          <w:rFonts w:ascii="Palatino Linotype" w:hAnsi="Palatino Linotype" w:cs="Tahoma"/>
          <w:sz w:val="22"/>
          <w:szCs w:val="22"/>
        </w:rPr>
        <w:t>t</w:t>
      </w:r>
      <w:r w:rsidR="007854C3" w:rsidRPr="00BE655A">
        <w:rPr>
          <w:rFonts w:ascii="Palatino Linotype" w:hAnsi="Palatino Linotype" w:cs="Tahoma"/>
          <w:sz w:val="22"/>
          <w:szCs w:val="22"/>
        </w:rPr>
        <w:t>as que pe</w:t>
      </w:r>
      <w:r w:rsidR="008B6D04" w:rsidRPr="00BE655A">
        <w:rPr>
          <w:rFonts w:ascii="Palatino Linotype" w:hAnsi="Palatino Linotype" w:cs="Tahoma"/>
          <w:sz w:val="22"/>
          <w:szCs w:val="22"/>
        </w:rPr>
        <w:t>r</w:t>
      </w:r>
      <w:r w:rsidR="007854C3" w:rsidRPr="00BE655A">
        <w:rPr>
          <w:rFonts w:ascii="Palatino Linotype" w:hAnsi="Palatino Linotype" w:cs="Tahoma"/>
          <w:sz w:val="22"/>
          <w:szCs w:val="22"/>
        </w:rPr>
        <w:t xml:space="preserve">ciben </w:t>
      </w:r>
      <w:r w:rsidRPr="00BE655A">
        <w:rPr>
          <w:rFonts w:ascii="Palatino Linotype" w:hAnsi="Palatino Linotype" w:cs="Tahoma"/>
          <w:sz w:val="22"/>
          <w:szCs w:val="22"/>
        </w:rPr>
        <w:t xml:space="preserve">los servidores públicos solicitados; </w:t>
      </w:r>
      <w:r w:rsidRPr="00BE655A">
        <w:rPr>
          <w:rFonts w:ascii="Palatino Linotype" w:hAnsi="Palatino Linotype" w:cs="Tahoma"/>
          <w:sz w:val="22"/>
          <w:szCs w:val="22"/>
          <w:lang w:val="es-ES"/>
        </w:rPr>
        <w:t xml:space="preserve">circunstancia que </w:t>
      </w:r>
      <w:r w:rsidRPr="00BE655A">
        <w:rPr>
          <w:rFonts w:ascii="Palatino Linotype" w:eastAsia="Calibri" w:hAnsi="Palatino Linotype" w:cs="Tahoma"/>
          <w:sz w:val="22"/>
          <w:szCs w:val="22"/>
        </w:rPr>
        <w:t xml:space="preserve">actualiza la causal de procedencia prevista en la fracción III, del artículo 179 de la Ley de Transparencia y Acceso a la Información Pública del Estado de México y Municipios. Así, las cosas, una vez admitido y notificado el Recurso de Revisión a las partes, el Sujeto Obligado proporcionó un enlace por el que indicó que se localizaba la información, además de precisar </w:t>
      </w:r>
      <w:r w:rsidR="008B6D04" w:rsidRPr="00BE655A">
        <w:rPr>
          <w:rFonts w:ascii="Palatino Linotype" w:eastAsia="Calibri" w:hAnsi="Palatino Linotype" w:cs="Tahoma"/>
          <w:sz w:val="22"/>
          <w:szCs w:val="22"/>
        </w:rPr>
        <w:t xml:space="preserve">en el recurso de revisión </w:t>
      </w:r>
      <w:r w:rsidR="008B6D04" w:rsidRPr="00BE655A">
        <w:rPr>
          <w:rFonts w:ascii="Palatino Linotype" w:hAnsi="Palatino Linotype" w:cs="Tahoma"/>
          <w:color w:val="0D0D0D" w:themeColor="text1" w:themeTint="F2"/>
          <w:sz w:val="22"/>
          <w:szCs w:val="22"/>
        </w:rPr>
        <w:t>01059/INFOEM/IP/RR/2025,</w:t>
      </w:r>
      <w:r w:rsidR="008B6D04" w:rsidRPr="00BE655A">
        <w:rPr>
          <w:rFonts w:ascii="Palatino Linotype" w:hAnsi="Palatino Linotype" w:cs="Tahoma"/>
          <w:b/>
          <w:bCs/>
          <w:color w:val="0D0D0D" w:themeColor="text1" w:themeTint="F2"/>
          <w:sz w:val="22"/>
          <w:szCs w:val="22"/>
        </w:rPr>
        <w:t xml:space="preserve"> </w:t>
      </w:r>
      <w:r w:rsidRPr="00BE655A">
        <w:rPr>
          <w:rFonts w:ascii="Palatino Linotype" w:eastAsia="Calibri" w:hAnsi="Palatino Linotype" w:cs="Tahoma"/>
          <w:sz w:val="22"/>
          <w:szCs w:val="22"/>
        </w:rPr>
        <w:t>que se encontraban imposibilitados a entregar la información solicitada en la modalidad solicitada, por lo que ponía</w:t>
      </w:r>
      <w:r w:rsidR="00FA3271" w:rsidRPr="00BE655A">
        <w:rPr>
          <w:rFonts w:ascii="Palatino Linotype" w:eastAsia="Calibri" w:hAnsi="Palatino Linotype" w:cs="Tahoma"/>
          <w:sz w:val="22"/>
          <w:szCs w:val="22"/>
        </w:rPr>
        <w:t xml:space="preserve"> la información requerida mediante consulta directa</w:t>
      </w:r>
      <w:r w:rsidRPr="00BE655A">
        <w:rPr>
          <w:rFonts w:ascii="Palatino Linotype" w:eastAsia="Calibri" w:hAnsi="Palatino Linotype" w:cs="Tahoma"/>
          <w:sz w:val="22"/>
          <w:szCs w:val="22"/>
        </w:rPr>
        <w:t>.</w:t>
      </w:r>
    </w:p>
    <w:p w14:paraId="7BDBF643" w14:textId="77777777" w:rsidR="004B4C9A" w:rsidRPr="00BE655A" w:rsidRDefault="004B4C9A" w:rsidP="00DB35AD">
      <w:pPr>
        <w:autoSpaceDE w:val="0"/>
        <w:autoSpaceDN w:val="0"/>
        <w:adjustRightInd w:val="0"/>
        <w:spacing w:line="360" w:lineRule="auto"/>
        <w:contextualSpacing/>
        <w:jc w:val="both"/>
        <w:rPr>
          <w:rFonts w:ascii="Palatino Linotype" w:eastAsia="Calibri" w:hAnsi="Palatino Linotype" w:cs="Tahoma"/>
          <w:iCs/>
          <w:sz w:val="22"/>
          <w:szCs w:val="22"/>
          <w:lang w:eastAsia="es-ES_tradnl"/>
        </w:rPr>
      </w:pPr>
    </w:p>
    <w:p w14:paraId="40836240" w14:textId="1AFDE70B" w:rsidR="004B4C9A" w:rsidRPr="00BE655A" w:rsidRDefault="004B4C9A" w:rsidP="00DB35AD">
      <w:pPr>
        <w:autoSpaceDE w:val="0"/>
        <w:autoSpaceDN w:val="0"/>
        <w:adjustRightInd w:val="0"/>
        <w:spacing w:line="360" w:lineRule="auto"/>
        <w:contextualSpacing/>
        <w:jc w:val="both"/>
        <w:rPr>
          <w:rFonts w:ascii="Palatino Linotype" w:hAnsi="Palatino Linotype" w:cs="Tahoma"/>
          <w:b/>
          <w:bCs/>
          <w:sz w:val="22"/>
          <w:szCs w:val="22"/>
        </w:rPr>
      </w:pPr>
      <w:r w:rsidRPr="00BE655A">
        <w:rPr>
          <w:rFonts w:ascii="Palatino Linotype" w:hAnsi="Palatino Linotype" w:cs="Tahoma"/>
          <w:iCs/>
          <w:sz w:val="22"/>
          <w:szCs w:val="22"/>
        </w:rPr>
        <w:lastRenderedPageBreak/>
        <w:t xml:space="preserve">Lo anterior, se desprende de las documentales que obran en el expediente de referencia, materia de la presente resolución, consistentes en: las solicitudes de acceso a la información; las respuestas proporcionadas por el Sujeto Obligado, los escritos </w:t>
      </w:r>
      <w:proofErr w:type="spellStart"/>
      <w:r w:rsidRPr="00BE655A">
        <w:rPr>
          <w:rFonts w:ascii="Palatino Linotype" w:hAnsi="Palatino Linotype" w:cs="Tahoma"/>
          <w:iCs/>
          <w:sz w:val="22"/>
          <w:szCs w:val="22"/>
        </w:rPr>
        <w:t>recursales</w:t>
      </w:r>
      <w:proofErr w:type="spellEnd"/>
      <w:r w:rsidRPr="00BE655A">
        <w:rPr>
          <w:rFonts w:ascii="Palatino Linotype" w:hAnsi="Palatino Linotype" w:cs="Tahoma"/>
          <w:iCs/>
          <w:sz w:val="22"/>
          <w:szCs w:val="22"/>
        </w:rPr>
        <w:t xml:space="preserve">, y los informes justificados; </w:t>
      </w:r>
      <w:r w:rsidRPr="00BE655A">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Pr="00BE655A">
        <w:rPr>
          <w:rFonts w:ascii="Palatino Linotype" w:hAnsi="Palatino Linotype" w:cs="Tahoma"/>
          <w:b/>
          <w:bCs/>
          <w:sz w:val="22"/>
          <w:szCs w:val="22"/>
        </w:rPr>
        <w:t>Cabe señalar que el Recurrente fue omiso en realizar manifestaciones y alegatos.</w:t>
      </w:r>
    </w:p>
    <w:p w14:paraId="0B5CF91C" w14:textId="77777777" w:rsidR="004B4C9A" w:rsidRPr="00BE655A" w:rsidRDefault="004B4C9A" w:rsidP="00DB35AD">
      <w:pPr>
        <w:autoSpaceDE w:val="0"/>
        <w:autoSpaceDN w:val="0"/>
        <w:adjustRightInd w:val="0"/>
        <w:spacing w:line="360" w:lineRule="auto"/>
        <w:contextualSpacing/>
        <w:jc w:val="both"/>
        <w:rPr>
          <w:rFonts w:ascii="Palatino Linotype" w:eastAsia="Calibri" w:hAnsi="Palatino Linotype" w:cs="Tahoma"/>
          <w:sz w:val="22"/>
          <w:szCs w:val="22"/>
          <w:lang w:val="es-ES"/>
        </w:rPr>
      </w:pPr>
    </w:p>
    <w:p w14:paraId="08CD6212" w14:textId="77777777" w:rsidR="004B4C9A" w:rsidRPr="00BE655A" w:rsidRDefault="004B4C9A" w:rsidP="00DB35AD">
      <w:pPr>
        <w:pStyle w:val="Ttulo2"/>
        <w:spacing w:line="360" w:lineRule="auto"/>
        <w:contextualSpacing/>
        <w:jc w:val="both"/>
        <w:rPr>
          <w:rFonts w:ascii="Palatino Linotype" w:hAnsi="Palatino Linotype"/>
          <w:b/>
          <w:bCs/>
          <w:color w:val="auto"/>
          <w:sz w:val="22"/>
          <w:szCs w:val="22"/>
        </w:rPr>
      </w:pPr>
      <w:bookmarkStart w:id="12" w:name="_Toc188481300"/>
      <w:r w:rsidRPr="00BE655A">
        <w:rPr>
          <w:rFonts w:ascii="Palatino Linotype" w:hAnsi="Palatino Linotype"/>
          <w:b/>
          <w:bCs/>
          <w:color w:val="auto"/>
          <w:sz w:val="22"/>
          <w:szCs w:val="22"/>
          <w:lang w:val="es-ES"/>
        </w:rPr>
        <w:t xml:space="preserve">CUARTO. </w:t>
      </w:r>
      <w:r w:rsidRPr="00BE655A">
        <w:rPr>
          <w:rFonts w:ascii="Palatino Linotype" w:hAnsi="Palatino Linotype"/>
          <w:b/>
          <w:bCs/>
          <w:color w:val="auto"/>
          <w:sz w:val="22"/>
          <w:szCs w:val="22"/>
        </w:rPr>
        <w:t>Marco normativo aplicable en materia de transparencia y acceso a la información pública</w:t>
      </w:r>
      <w:bookmarkEnd w:id="12"/>
    </w:p>
    <w:p w14:paraId="4A37F72C" w14:textId="77777777" w:rsidR="004B4C9A" w:rsidRPr="00BE655A" w:rsidRDefault="004B4C9A" w:rsidP="00DB35AD">
      <w:pPr>
        <w:spacing w:line="360" w:lineRule="auto"/>
        <w:ind w:right="-28"/>
        <w:contextualSpacing/>
        <w:jc w:val="both"/>
        <w:rPr>
          <w:rFonts w:ascii="Palatino Linotype" w:hAnsi="Palatino Linotype" w:cs="Tahoma"/>
          <w:bCs/>
          <w:iCs/>
          <w:sz w:val="22"/>
          <w:szCs w:val="22"/>
        </w:rPr>
      </w:pPr>
    </w:p>
    <w:p w14:paraId="3DA01BE1"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6F76295"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p>
    <w:p w14:paraId="425A62E6"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090FB6E"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p>
    <w:p w14:paraId="750A77AF"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2D9E74C7"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p>
    <w:p w14:paraId="32F2C80A"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26F107FE"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p>
    <w:p w14:paraId="07CC6562"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r w:rsidRPr="00BE655A">
        <w:rPr>
          <w:rFonts w:ascii="Palatino Linotype" w:hAnsi="Palatino Linotype" w:cs="Tahoma"/>
          <w:bCs/>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475A065E" w14:textId="77777777" w:rsidR="00181E14" w:rsidRPr="00BE655A" w:rsidRDefault="00181E14" w:rsidP="00181E14">
      <w:pPr>
        <w:spacing w:line="360" w:lineRule="auto"/>
        <w:ind w:right="-28"/>
        <w:contextualSpacing/>
        <w:jc w:val="both"/>
        <w:rPr>
          <w:rFonts w:ascii="Palatino Linotype" w:hAnsi="Palatino Linotype" w:cs="Tahoma"/>
          <w:bCs/>
          <w:iCs/>
          <w:sz w:val="22"/>
          <w:szCs w:val="22"/>
        </w:rPr>
      </w:pPr>
    </w:p>
    <w:p w14:paraId="4EA89D8E" w14:textId="63B30C9A" w:rsidR="004B4C9A" w:rsidRPr="00BE655A" w:rsidRDefault="00181E14" w:rsidP="00181E14">
      <w:pPr>
        <w:spacing w:line="360" w:lineRule="auto"/>
        <w:ind w:right="-28"/>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5B1233C" w14:textId="77777777" w:rsidR="004B4C9A" w:rsidRPr="00BE655A" w:rsidRDefault="004B4C9A" w:rsidP="00DB35AD">
      <w:pPr>
        <w:spacing w:line="360" w:lineRule="auto"/>
        <w:ind w:right="-28"/>
        <w:contextualSpacing/>
        <w:jc w:val="both"/>
        <w:rPr>
          <w:rFonts w:ascii="Palatino Linotype" w:hAnsi="Palatino Linotype" w:cs="Tahoma"/>
          <w:bCs/>
          <w:iCs/>
          <w:sz w:val="22"/>
          <w:szCs w:val="22"/>
        </w:rPr>
      </w:pPr>
    </w:p>
    <w:p w14:paraId="67A175AF" w14:textId="77777777" w:rsidR="004B4C9A" w:rsidRPr="00BE655A" w:rsidRDefault="004B4C9A" w:rsidP="00DB35AD">
      <w:pPr>
        <w:spacing w:line="360" w:lineRule="auto"/>
        <w:ind w:right="-28"/>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El artículo 92, fracción VIII, que, la información sobre las remuneraciones de todos los servidores públicos de base o de confianza, corresponde a una Obligación Común de Transparencia para los Sujetos Obligados.</w:t>
      </w:r>
    </w:p>
    <w:p w14:paraId="382C9FF4" w14:textId="77777777" w:rsidR="004B4C9A" w:rsidRPr="00BE655A" w:rsidRDefault="004B4C9A" w:rsidP="00DB35AD">
      <w:pPr>
        <w:spacing w:line="360" w:lineRule="auto"/>
        <w:ind w:right="-28"/>
        <w:contextualSpacing/>
        <w:jc w:val="both"/>
        <w:rPr>
          <w:rFonts w:ascii="Palatino Linotype" w:hAnsi="Palatino Linotype" w:cs="Tahoma"/>
          <w:b/>
          <w:sz w:val="22"/>
          <w:szCs w:val="22"/>
        </w:rPr>
      </w:pPr>
    </w:p>
    <w:p w14:paraId="23012444" w14:textId="77777777" w:rsidR="004B4C9A" w:rsidRPr="00BE655A" w:rsidRDefault="004B4C9A" w:rsidP="00DB35AD">
      <w:pPr>
        <w:pStyle w:val="Ttulo2"/>
        <w:spacing w:line="360" w:lineRule="auto"/>
        <w:contextualSpacing/>
        <w:rPr>
          <w:rFonts w:ascii="Palatino Linotype" w:hAnsi="Palatino Linotype"/>
          <w:b/>
          <w:bCs/>
          <w:color w:val="auto"/>
          <w:sz w:val="22"/>
          <w:szCs w:val="22"/>
        </w:rPr>
      </w:pPr>
      <w:bookmarkStart w:id="13" w:name="_Toc188481301"/>
      <w:r w:rsidRPr="00BE655A">
        <w:rPr>
          <w:rFonts w:ascii="Palatino Linotype" w:hAnsi="Palatino Linotype"/>
          <w:b/>
          <w:bCs/>
          <w:color w:val="auto"/>
          <w:sz w:val="22"/>
          <w:szCs w:val="22"/>
        </w:rPr>
        <w:t>QUINTO. Estudio de Fondo</w:t>
      </w:r>
      <w:bookmarkEnd w:id="13"/>
    </w:p>
    <w:p w14:paraId="7DD90942" w14:textId="77777777" w:rsidR="004B4C9A" w:rsidRPr="00BE655A" w:rsidRDefault="004B4C9A" w:rsidP="00DB35AD">
      <w:pPr>
        <w:spacing w:line="360" w:lineRule="auto"/>
        <w:ind w:right="-28"/>
        <w:contextualSpacing/>
        <w:jc w:val="both"/>
        <w:rPr>
          <w:rFonts w:ascii="Palatino Linotype" w:hAnsi="Palatino Linotype" w:cs="Tahoma"/>
          <w:b/>
          <w:sz w:val="22"/>
          <w:szCs w:val="22"/>
        </w:rPr>
      </w:pPr>
    </w:p>
    <w:p w14:paraId="474F8D7D" w14:textId="4E78CA80" w:rsidR="008A23B8" w:rsidRPr="00BE655A" w:rsidRDefault="008A23B8" w:rsidP="00DB35AD">
      <w:pPr>
        <w:tabs>
          <w:tab w:val="left" w:pos="4962"/>
        </w:tabs>
        <w:spacing w:line="360" w:lineRule="auto"/>
        <w:contextualSpacing/>
        <w:jc w:val="both"/>
        <w:rPr>
          <w:rFonts w:ascii="Palatino Linotype" w:hAnsi="Palatino Linotype" w:cs="Tahoma"/>
          <w:bCs/>
          <w:iCs/>
          <w:sz w:val="22"/>
          <w:szCs w:val="22"/>
        </w:rPr>
      </w:pPr>
      <w:bookmarkStart w:id="14" w:name="_Hlk193966765"/>
      <w:r w:rsidRPr="00BE655A">
        <w:rPr>
          <w:rFonts w:ascii="Palatino Linotype" w:hAnsi="Palatino Linotype" w:cs="Tahoma"/>
          <w:bCs/>
          <w:iCs/>
          <w:sz w:val="22"/>
          <w:szCs w:val="22"/>
        </w:rPr>
        <w:t>Previo al estudio de fondo, es de señalar que se advirtió que el Ayuntamiento no adjuntó el acuerdo del Comité por medio del cual el Comité de Transparencia aprobara la ampliación de plazo, por lo que se le insta, para que se abstenga de ampliar el plazo en la atención de solicitudes de acceso a la información sin la aprobación de su Comité de Transparencia en términos de lo establecido en el artículo 163 de la Ley de Transparencia y Acceso a la Información Pública del Estado de México y Municipios</w:t>
      </w:r>
      <w:r w:rsidR="001E09A1" w:rsidRPr="00BE655A">
        <w:rPr>
          <w:rFonts w:ascii="Palatino Linotype" w:hAnsi="Palatino Linotype" w:cs="Tahoma"/>
          <w:bCs/>
          <w:iCs/>
          <w:sz w:val="22"/>
          <w:szCs w:val="22"/>
        </w:rPr>
        <w:t>, además dicho acuerdo deberá ser  remitido al solicitante al momento de notificar la ampliación de plazo.</w:t>
      </w:r>
    </w:p>
    <w:bookmarkEnd w:id="14"/>
    <w:p w14:paraId="0EACDC69" w14:textId="77777777" w:rsidR="008A23B8" w:rsidRPr="00BE655A" w:rsidRDefault="008A23B8" w:rsidP="00DB35AD">
      <w:pPr>
        <w:tabs>
          <w:tab w:val="left" w:pos="4962"/>
        </w:tabs>
        <w:spacing w:line="360" w:lineRule="auto"/>
        <w:contextualSpacing/>
        <w:jc w:val="both"/>
        <w:rPr>
          <w:rFonts w:ascii="Palatino Linotype" w:hAnsi="Palatino Linotype" w:cs="Tahoma"/>
          <w:bCs/>
          <w:iCs/>
          <w:sz w:val="22"/>
          <w:szCs w:val="22"/>
        </w:rPr>
      </w:pPr>
    </w:p>
    <w:p w14:paraId="0A4530E6" w14:textId="550C537B" w:rsidR="004B4C9A" w:rsidRPr="00BE655A" w:rsidRDefault="00465F9B" w:rsidP="00DB35AD">
      <w:pPr>
        <w:tabs>
          <w:tab w:val="left" w:pos="4962"/>
        </w:tabs>
        <w:spacing w:line="360" w:lineRule="auto"/>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Por lo que hace al fondo del asunto, e</w:t>
      </w:r>
      <w:r w:rsidR="004B4C9A" w:rsidRPr="00BE655A">
        <w:rPr>
          <w:rFonts w:ascii="Palatino Linotype" w:hAnsi="Palatino Linotype" w:cs="Tahoma"/>
          <w:bCs/>
          <w:iCs/>
          <w:sz w:val="22"/>
          <w:szCs w:val="22"/>
        </w:rPr>
        <w:t xml:space="preserve">xpuestas las posturas de las partes, se procede a realizar el análisis de los agravios hechos valer por el ahora Recurrente, por lo que en principio resulta necesario contextualizar las solicitudes de información. </w:t>
      </w:r>
    </w:p>
    <w:p w14:paraId="7998F98E" w14:textId="77777777" w:rsidR="002F7BB6" w:rsidRPr="00BE655A" w:rsidRDefault="002F7BB6" w:rsidP="00DB35AD">
      <w:pPr>
        <w:tabs>
          <w:tab w:val="left" w:pos="4962"/>
        </w:tabs>
        <w:spacing w:line="360" w:lineRule="auto"/>
        <w:contextualSpacing/>
        <w:jc w:val="both"/>
        <w:rPr>
          <w:rFonts w:ascii="Palatino Linotype" w:hAnsi="Palatino Linotype" w:cs="Tahoma"/>
          <w:bCs/>
          <w:iCs/>
          <w:sz w:val="22"/>
          <w:szCs w:val="22"/>
        </w:rPr>
      </w:pPr>
    </w:p>
    <w:p w14:paraId="57F540C9" w14:textId="77777777" w:rsidR="002F7BB6" w:rsidRPr="00BE655A" w:rsidRDefault="002F7BB6" w:rsidP="00DB35AD">
      <w:pPr>
        <w:spacing w:line="360" w:lineRule="auto"/>
        <w:contextualSpacing/>
        <w:jc w:val="both"/>
        <w:rPr>
          <w:rFonts w:ascii="Palatino Linotype" w:eastAsia="Calibri" w:hAnsi="Palatino Linotype"/>
          <w:bCs/>
          <w:sz w:val="22"/>
          <w:szCs w:val="22"/>
          <w:lang w:val="es-ES"/>
        </w:rPr>
      </w:pPr>
    </w:p>
    <w:p w14:paraId="3BC96BC4" w14:textId="53589FF3" w:rsidR="00FA3271" w:rsidRPr="00BE655A" w:rsidRDefault="001C2E7C" w:rsidP="00DB35AD">
      <w:pPr>
        <w:spacing w:line="360" w:lineRule="auto"/>
        <w:contextualSpacing/>
        <w:jc w:val="both"/>
        <w:rPr>
          <w:rFonts w:ascii="Palatino Linotype" w:eastAsia="Calibri" w:hAnsi="Palatino Linotype"/>
          <w:bCs/>
          <w:sz w:val="22"/>
          <w:szCs w:val="22"/>
          <w:lang w:val="es-ES"/>
        </w:rPr>
      </w:pPr>
      <w:r w:rsidRPr="00BE655A">
        <w:rPr>
          <w:rFonts w:ascii="Palatino Linotype" w:eastAsia="Calibri" w:hAnsi="Palatino Linotype"/>
          <w:bCs/>
          <w:sz w:val="22"/>
          <w:szCs w:val="22"/>
          <w:lang w:val="es-ES"/>
        </w:rPr>
        <w:t>En este contexto</w:t>
      </w:r>
      <w:r w:rsidR="00FA3271" w:rsidRPr="00BE655A">
        <w:rPr>
          <w:rFonts w:ascii="Palatino Linotype" w:eastAsia="Calibri" w:hAnsi="Palatino Linotype"/>
          <w:bCs/>
          <w:sz w:val="22"/>
          <w:szCs w:val="22"/>
          <w:lang w:val="es-ES"/>
        </w:rPr>
        <w:t xml:space="preserve">, </w:t>
      </w:r>
      <w:r w:rsidR="00431015" w:rsidRPr="00BE655A">
        <w:rPr>
          <w:rFonts w:ascii="Palatino Linotype" w:eastAsia="Calibri" w:hAnsi="Palatino Linotype"/>
          <w:bCs/>
          <w:sz w:val="22"/>
          <w:szCs w:val="22"/>
          <w:lang w:val="es-ES"/>
        </w:rPr>
        <w:t>los artículos 18, 20, 21 del</w:t>
      </w:r>
      <w:r w:rsidR="00FA3271" w:rsidRPr="00BE655A">
        <w:rPr>
          <w:rFonts w:ascii="Palatino Linotype" w:eastAsia="Calibri" w:hAnsi="Palatino Linotype"/>
          <w:bCs/>
          <w:sz w:val="22"/>
          <w:szCs w:val="22"/>
          <w:lang w:val="es-ES"/>
        </w:rPr>
        <w:t xml:space="preserve"> Bando Municipal de Tenancingo dos mil veinticinco,</w:t>
      </w:r>
      <w:r w:rsidR="00431015" w:rsidRPr="00BE655A">
        <w:rPr>
          <w:rFonts w:ascii="Palatino Linotype" w:eastAsia="Calibri" w:hAnsi="Palatino Linotype"/>
          <w:bCs/>
          <w:sz w:val="22"/>
          <w:szCs w:val="22"/>
          <w:lang w:val="es-ES"/>
        </w:rPr>
        <w:t xml:space="preserve"> establece que el Gobierno del Municipio, </w:t>
      </w:r>
      <w:r w:rsidR="008B6D04" w:rsidRPr="00BE655A">
        <w:rPr>
          <w:rFonts w:ascii="Palatino Linotype" w:eastAsia="Calibri" w:hAnsi="Palatino Linotype"/>
          <w:bCs/>
          <w:sz w:val="22"/>
          <w:szCs w:val="22"/>
          <w:lang w:val="es-ES"/>
        </w:rPr>
        <w:t>está</w:t>
      </w:r>
      <w:r w:rsidR="00431015" w:rsidRPr="00BE655A">
        <w:rPr>
          <w:rFonts w:ascii="Palatino Linotype" w:eastAsia="Calibri" w:hAnsi="Palatino Linotype"/>
          <w:bCs/>
          <w:sz w:val="22"/>
          <w:szCs w:val="22"/>
          <w:lang w:val="es-ES"/>
        </w:rPr>
        <w:t xml:space="preserve"> depositado en un cuerpo colegiado y deliberante denominado Ayuntamiento, integrado por una Presidenta Municipal, un Síndico, cuatro regidoras y tres regidores, la administración pública municipal será centralizada y descentralizada. Para la consulta, estudio, planeación y despacho de los asuntos en los diversos ramos de la administración pública municipal</w:t>
      </w:r>
      <w:r w:rsidR="00AA43FE" w:rsidRPr="00BE655A">
        <w:rPr>
          <w:rFonts w:ascii="Palatino Linotype" w:eastAsia="Calibri" w:hAnsi="Palatino Linotype"/>
          <w:bCs/>
          <w:sz w:val="22"/>
          <w:szCs w:val="22"/>
          <w:lang w:val="es-ES"/>
        </w:rPr>
        <w:t>, la persona titular de la presidencia municipal se auxiliará de la Secretaría del Ayuntamiento y de la estructura centralizada siguiente:</w:t>
      </w:r>
    </w:p>
    <w:p w14:paraId="54DF69BA" w14:textId="77777777" w:rsidR="00AA43FE" w:rsidRPr="00BE655A" w:rsidRDefault="00AA43FE" w:rsidP="00DB35AD">
      <w:pPr>
        <w:spacing w:line="360" w:lineRule="auto"/>
        <w:contextualSpacing/>
        <w:jc w:val="both"/>
        <w:rPr>
          <w:rFonts w:ascii="Palatino Linotype" w:eastAsia="Calibri" w:hAnsi="Palatino Linotype"/>
          <w:bCs/>
          <w:sz w:val="22"/>
          <w:szCs w:val="22"/>
          <w:lang w:val="es-ES"/>
        </w:rPr>
      </w:pPr>
    </w:p>
    <w:p w14:paraId="360624BF" w14:textId="77777777" w:rsidR="00AA43FE" w:rsidRPr="00BE655A" w:rsidRDefault="00AA43FE"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 Oficina de Presidencia: </w:t>
      </w:r>
    </w:p>
    <w:p w14:paraId="7137D398"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1.1. Secretaría Particular; </w:t>
      </w:r>
    </w:p>
    <w:p w14:paraId="4AC70A82"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1.2. Coordinación de Transparencia; </w:t>
      </w:r>
    </w:p>
    <w:p w14:paraId="6037C2CE"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1.3. Coordinación de Protección Civil y Bomberos; </w:t>
      </w:r>
    </w:p>
    <w:p w14:paraId="6CD83751"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1.4. Coordinación de Comunicación Social; </w:t>
      </w:r>
    </w:p>
    <w:p w14:paraId="4C1F0C19"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1.5. Coordinación General de Mejora Regulatoria; </w:t>
      </w:r>
    </w:p>
    <w:p w14:paraId="34FA8426"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1.6. Unidad de Información, Planeación, Programación y Evaluación; y </w:t>
      </w:r>
    </w:p>
    <w:p w14:paraId="71125F61" w14:textId="714914E1"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1.7. Gobierno Digital;</w:t>
      </w:r>
    </w:p>
    <w:p w14:paraId="48F290B5" w14:textId="77777777" w:rsidR="00AA43FE" w:rsidRPr="00BE655A" w:rsidRDefault="00AA43FE"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 Secretaría del Ayuntamiento: </w:t>
      </w:r>
    </w:p>
    <w:p w14:paraId="32B85A03"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2.1. Coordinación de Consulta y Participación Ciudadana; </w:t>
      </w:r>
    </w:p>
    <w:p w14:paraId="7A24D1A6"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2.2. Instituto Municipal de la Juventud; </w:t>
      </w:r>
    </w:p>
    <w:p w14:paraId="1AA58DFF"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2.3. Junta Municipal de Reclutamiento del Servicio Militar Nacional; </w:t>
      </w:r>
    </w:p>
    <w:p w14:paraId="6269AC54"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2.4. Oficialía del Registro Civil; </w:t>
      </w:r>
    </w:p>
    <w:p w14:paraId="5839A1BA"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2.5. Control Patrimonial; </w:t>
      </w:r>
    </w:p>
    <w:p w14:paraId="778248E5"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2.6. Oficialía de Partes; </w:t>
      </w:r>
    </w:p>
    <w:p w14:paraId="3DADEA79"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2.7. Coordinación de Diversidad Sexual. </w:t>
      </w:r>
    </w:p>
    <w:p w14:paraId="7CB534C7"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2.8. Coordinación de Comisiones Edilicias; </w:t>
      </w:r>
    </w:p>
    <w:p w14:paraId="78286AD7" w14:textId="713E43A0"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lastRenderedPageBreak/>
        <w:t>2.9. Juzgado Cívico; y</w:t>
      </w:r>
    </w:p>
    <w:p w14:paraId="3C7DDE0A" w14:textId="4197A268"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2.10. Coordinación de Archivo Municipal.</w:t>
      </w:r>
    </w:p>
    <w:p w14:paraId="6616567B" w14:textId="77777777" w:rsidR="00AA43FE" w:rsidRPr="00BE655A" w:rsidRDefault="00AA43FE"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3. Órgano Interno de Control: </w:t>
      </w:r>
    </w:p>
    <w:p w14:paraId="6A27097C"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3.1. Autoridad Investigadora; </w:t>
      </w:r>
    </w:p>
    <w:p w14:paraId="06C4F442"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3.2. Autoridad Sustanciadora; </w:t>
      </w:r>
    </w:p>
    <w:p w14:paraId="0FB8B782"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3.3. Autoridad Resolutora; </w:t>
      </w:r>
    </w:p>
    <w:p w14:paraId="7DD1E46B" w14:textId="77777777"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3.4. Coordinación de Auditoría, Control y Evaluación; y </w:t>
      </w:r>
    </w:p>
    <w:p w14:paraId="5022934D" w14:textId="3C64B072" w:rsidR="00AA43FE" w:rsidRPr="00BE655A" w:rsidRDefault="00AA43FE"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3.5. Unidad de Asuntos Internos</w:t>
      </w:r>
    </w:p>
    <w:p w14:paraId="18F4E69F"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4. Tesorería del Ayuntamiento: </w:t>
      </w:r>
    </w:p>
    <w:p w14:paraId="67DF8443" w14:textId="77777777" w:rsidR="00842C17" w:rsidRPr="00BE655A" w:rsidRDefault="00842C17" w:rsidP="00DB35AD">
      <w:pPr>
        <w:spacing w:line="360" w:lineRule="auto"/>
        <w:ind w:left="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4.1. Coordinación de Ingresos; </w:t>
      </w:r>
    </w:p>
    <w:p w14:paraId="6CDACD12"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4.2. Coordinación de Catastro e Impuesto Predial; </w:t>
      </w:r>
    </w:p>
    <w:p w14:paraId="36EE9B0C"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4.3. Coordinación de Contabilidad y Cuenta Pública; y </w:t>
      </w:r>
    </w:p>
    <w:p w14:paraId="0CE2C7DC" w14:textId="20FA21C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4.4. Coordinación de Egresos;</w:t>
      </w:r>
    </w:p>
    <w:p w14:paraId="41896BD0"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5. Consejería Jurídica. </w:t>
      </w:r>
    </w:p>
    <w:p w14:paraId="42C45DAF"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6. Dirección de Obras Públicas: </w:t>
      </w:r>
    </w:p>
    <w:p w14:paraId="0A58DE51"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6.1. Coordinación Administrativa; </w:t>
      </w:r>
    </w:p>
    <w:p w14:paraId="00BF716C"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6.2. Coordinación Operativa; y </w:t>
      </w:r>
    </w:p>
    <w:p w14:paraId="7C29811E"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6.3. Coordinación de Supervisión y Proyectos; </w:t>
      </w:r>
    </w:p>
    <w:p w14:paraId="660586A0"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7. Dirección de Desarrollo Económico: </w:t>
      </w:r>
    </w:p>
    <w:p w14:paraId="1AA0EA71"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7.1. Coordinación de Empleo; </w:t>
      </w:r>
    </w:p>
    <w:p w14:paraId="2A9F6BF4"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7.2. Administración del Mercado “Riva Palacio”; </w:t>
      </w:r>
    </w:p>
    <w:p w14:paraId="4B24BCF7"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7.3. Administración del Mercado de las Flores “Xochiquétzal”; </w:t>
      </w:r>
    </w:p>
    <w:p w14:paraId="46BA0BD0"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7.4. Administración del Mercado Regional; </w:t>
      </w:r>
    </w:p>
    <w:p w14:paraId="1AA4EE1C"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7.5. Administración del Mercado del Ganado; y </w:t>
      </w:r>
    </w:p>
    <w:p w14:paraId="08BDAF21" w14:textId="6A640872"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7.6. Administración del Rastro.</w:t>
      </w:r>
    </w:p>
    <w:p w14:paraId="57DAE02E"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8. Dirección de Desarrollo Urbano: </w:t>
      </w:r>
    </w:p>
    <w:p w14:paraId="0D725F90"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8.1. Coordinación de Enlace con el IMEVIS; y </w:t>
      </w:r>
    </w:p>
    <w:p w14:paraId="6F4EBF93"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lastRenderedPageBreak/>
        <w:t xml:space="preserve">8.2. Coordinación Jurídica. </w:t>
      </w:r>
    </w:p>
    <w:p w14:paraId="31C19970"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9. Dirección de Ecología: </w:t>
      </w:r>
    </w:p>
    <w:p w14:paraId="7EBC40AC"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9.1. Coordinación de Preservación del Medio Ambiente. </w:t>
      </w:r>
    </w:p>
    <w:p w14:paraId="7517320C"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10. Dirección del Bienestar: </w:t>
      </w:r>
    </w:p>
    <w:p w14:paraId="7B9ACA22"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10.1. Coordinación General de Seguimiento a Programas Sociales; y </w:t>
      </w:r>
    </w:p>
    <w:p w14:paraId="281520C0" w14:textId="77777777" w:rsidR="00842C17" w:rsidRPr="00BE655A" w:rsidRDefault="00842C17" w:rsidP="00DB35AD">
      <w:pPr>
        <w:spacing w:line="360" w:lineRule="auto"/>
        <w:ind w:firstLine="708"/>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10.2. Unidad Municipal de Control y Bienestar Animal. </w:t>
      </w:r>
    </w:p>
    <w:p w14:paraId="12C59292" w14:textId="77777777" w:rsidR="00842C17" w:rsidRPr="00BE655A" w:rsidRDefault="00842C17" w:rsidP="00DB35AD">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11. Dirección de Salud: </w:t>
      </w:r>
    </w:p>
    <w:p w14:paraId="348FB490" w14:textId="4D961C39" w:rsidR="00842C17" w:rsidRPr="00BE655A" w:rsidRDefault="00842C17" w:rsidP="00DB35AD">
      <w:pPr>
        <w:spacing w:line="360" w:lineRule="auto"/>
        <w:ind w:firstLine="708"/>
        <w:contextualSpacing/>
        <w:jc w:val="both"/>
        <w:rPr>
          <w:rFonts w:ascii="Palatino Linotype" w:eastAsia="Calibri" w:hAnsi="Palatino Linotype"/>
          <w:bCs/>
          <w:sz w:val="22"/>
          <w:szCs w:val="22"/>
          <w:lang w:val="es-ES"/>
        </w:rPr>
      </w:pPr>
      <w:r w:rsidRPr="00BE655A">
        <w:rPr>
          <w:rFonts w:ascii="Palatino Linotype" w:eastAsia="Calibri" w:hAnsi="Palatino Linotype"/>
          <w:bCs/>
          <w:sz w:val="22"/>
          <w:szCs w:val="22"/>
        </w:rPr>
        <w:t>11.1. Coordinación de Salud Mental y Adicciones.</w:t>
      </w:r>
    </w:p>
    <w:p w14:paraId="78641A1C"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12. Dirección de Seguridad Pública: </w:t>
      </w:r>
    </w:p>
    <w:p w14:paraId="1F2E71D3" w14:textId="2A08B9F9" w:rsidR="00842C17" w:rsidRPr="00BE655A" w:rsidRDefault="00842C17" w:rsidP="00DB35AD">
      <w:pPr>
        <w:tabs>
          <w:tab w:val="left" w:pos="4962"/>
        </w:tabs>
        <w:spacing w:line="360" w:lineRule="auto"/>
        <w:ind w:left="737" w:right="-28"/>
        <w:contextualSpacing/>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12.1. Secretaría Técnica. </w:t>
      </w:r>
    </w:p>
    <w:p w14:paraId="6505196F" w14:textId="77777777" w:rsidR="00842C17" w:rsidRPr="00BE655A" w:rsidRDefault="00842C17" w:rsidP="00DB35AD">
      <w:pPr>
        <w:tabs>
          <w:tab w:val="left" w:pos="4962"/>
        </w:tabs>
        <w:spacing w:line="360" w:lineRule="auto"/>
        <w:ind w:left="737" w:right="-28"/>
        <w:contextualSpacing/>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12.2. Coordinación de Operación Policial: </w:t>
      </w:r>
    </w:p>
    <w:p w14:paraId="1F6ECD34" w14:textId="77777777" w:rsidR="00842C17" w:rsidRPr="00BE655A" w:rsidRDefault="00842C17" w:rsidP="00DB35AD">
      <w:pPr>
        <w:tabs>
          <w:tab w:val="left" w:pos="4962"/>
        </w:tabs>
        <w:spacing w:line="360" w:lineRule="auto"/>
        <w:ind w:left="1134" w:right="-28"/>
        <w:contextualSpacing/>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a) Jefe de Servicios de Operación Policial; </w:t>
      </w:r>
    </w:p>
    <w:p w14:paraId="7BBB952D" w14:textId="77777777" w:rsidR="00842C17" w:rsidRPr="00BE655A" w:rsidRDefault="00842C17" w:rsidP="00DB35AD">
      <w:pPr>
        <w:tabs>
          <w:tab w:val="left" w:pos="4962"/>
        </w:tabs>
        <w:spacing w:line="360" w:lineRule="auto"/>
        <w:ind w:left="1134" w:right="-28"/>
        <w:contextualSpacing/>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b) Jefe de Unidad de Control de Mando C2; y </w:t>
      </w:r>
    </w:p>
    <w:p w14:paraId="2F90144A" w14:textId="3B6A6543" w:rsidR="004B4C9A" w:rsidRPr="00BE655A" w:rsidRDefault="00842C17" w:rsidP="00DB35AD">
      <w:pPr>
        <w:tabs>
          <w:tab w:val="left" w:pos="4962"/>
        </w:tabs>
        <w:spacing w:line="360" w:lineRule="auto"/>
        <w:ind w:left="1134" w:right="-28"/>
        <w:contextualSpacing/>
        <w:rPr>
          <w:rFonts w:ascii="Palatino Linotype" w:eastAsia="Calibri" w:hAnsi="Palatino Linotype" w:cs="Tahoma"/>
          <w:bCs/>
          <w:sz w:val="22"/>
          <w:szCs w:val="22"/>
        </w:rPr>
      </w:pPr>
      <w:r w:rsidRPr="00BE655A">
        <w:rPr>
          <w:rFonts w:ascii="Palatino Linotype" w:eastAsia="Calibri" w:hAnsi="Palatino Linotype" w:cs="Tahoma"/>
          <w:bCs/>
          <w:sz w:val="22"/>
          <w:szCs w:val="22"/>
        </w:rPr>
        <w:t>c) Personal Operativo.</w:t>
      </w:r>
    </w:p>
    <w:p w14:paraId="2C91A424" w14:textId="6B60AC95"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12.3. Coordinación de Prevención del Delito.</w:t>
      </w:r>
    </w:p>
    <w:p w14:paraId="6DE8B7A5"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13. Dirección de Servicios Públicos: </w:t>
      </w:r>
    </w:p>
    <w:p w14:paraId="59169D6F"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13.1. Coordinación de Alumbrado Público; </w:t>
      </w:r>
    </w:p>
    <w:p w14:paraId="200EA913"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13.2. Coordinación de Parques Jardines y Panteones; </w:t>
      </w:r>
    </w:p>
    <w:p w14:paraId="401CE337" w14:textId="2F457F89"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13.3. Coordinación de Limpia; y Responsable de Logística y Operación de Rutas. </w:t>
      </w:r>
    </w:p>
    <w:p w14:paraId="16745810"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14. Dirección de Educación: </w:t>
      </w:r>
    </w:p>
    <w:p w14:paraId="44397B3F"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14.1. Coordinación de Enlace con Instituciones Educativas. </w:t>
      </w:r>
    </w:p>
    <w:p w14:paraId="0445A7BE"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15. Dirección del Campo: </w:t>
      </w:r>
    </w:p>
    <w:p w14:paraId="74842796"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15.1. Coordinación de Programas. </w:t>
      </w:r>
    </w:p>
    <w:p w14:paraId="5CB51D73"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16. Dirección de Administración: </w:t>
      </w:r>
    </w:p>
    <w:p w14:paraId="122B69C9"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16.1. Coordinación de Recursos Humanos; </w:t>
      </w:r>
    </w:p>
    <w:p w14:paraId="7E4EDF77"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16.2. Coordinación de Recursos Materiales; y </w:t>
      </w:r>
    </w:p>
    <w:p w14:paraId="5202FAB0"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16.3. Coordinación de Parque Vehicular. </w:t>
      </w:r>
    </w:p>
    <w:p w14:paraId="66EB4CEC"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lastRenderedPageBreak/>
        <w:t xml:space="preserve">17. Dirección de Gobernación: </w:t>
      </w:r>
    </w:p>
    <w:p w14:paraId="5F29CEDF"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17.1. Coordinación Operativa; </w:t>
      </w:r>
    </w:p>
    <w:p w14:paraId="2407C050"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17.2. Coordinación Administrativa; y </w:t>
      </w:r>
    </w:p>
    <w:p w14:paraId="402F1362" w14:textId="61F235D3"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17.3. Coordinación de Verificación.</w:t>
      </w:r>
    </w:p>
    <w:p w14:paraId="4419EE64"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18. Dirección de Turismo: </w:t>
      </w:r>
    </w:p>
    <w:p w14:paraId="447905A1"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18.1. Coordinación de Fomento Artesanal; y </w:t>
      </w:r>
    </w:p>
    <w:p w14:paraId="4CCCF681"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18.2. Coordinación de Promoción Turística. </w:t>
      </w:r>
    </w:p>
    <w:p w14:paraId="65FB1E44"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19. Dirección de Cultura: </w:t>
      </w:r>
    </w:p>
    <w:p w14:paraId="3B40A8A5"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19.1. Coordinación de Promoción y Rescate del Patrimonio Cultural. </w:t>
      </w:r>
    </w:p>
    <w:p w14:paraId="26778D6F"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19.2. Cronista Municipal; </w:t>
      </w:r>
    </w:p>
    <w:p w14:paraId="7A035928"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20. Dirección de la Mujer: </w:t>
      </w:r>
    </w:p>
    <w:p w14:paraId="702D18A0" w14:textId="77777777"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 xml:space="preserve">20.1. Unidad de Igualdad de Género y Erradicación de la Violencia; y </w:t>
      </w:r>
    </w:p>
    <w:p w14:paraId="61E0DADA" w14:textId="6D805AED" w:rsidR="00842C17" w:rsidRPr="00BE655A" w:rsidRDefault="00842C17"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20.2. Coordinación de Promoción, Impulso y Desarrollo de Liderazgo y Empoderamiento de las Mujeres.</w:t>
      </w:r>
    </w:p>
    <w:p w14:paraId="06CB6F0A" w14:textId="77777777" w:rsidR="00842C17" w:rsidRPr="00BE655A" w:rsidRDefault="00842C17" w:rsidP="00DB35AD">
      <w:pPr>
        <w:tabs>
          <w:tab w:val="left" w:pos="4962"/>
        </w:tabs>
        <w:spacing w:line="360" w:lineRule="auto"/>
        <w:ind w:right="-28"/>
        <w:contextualSpacing/>
        <w:jc w:val="both"/>
        <w:rPr>
          <w:rFonts w:ascii="Palatino Linotype" w:eastAsia="Calibri" w:hAnsi="Palatino Linotype" w:cs="Tahoma"/>
          <w:bCs/>
          <w:sz w:val="22"/>
          <w:szCs w:val="22"/>
        </w:rPr>
      </w:pPr>
    </w:p>
    <w:p w14:paraId="0EFA26E7" w14:textId="4D14F631" w:rsidR="00825A30" w:rsidRPr="00BE655A" w:rsidRDefault="00825A30" w:rsidP="00DB35AD">
      <w:pPr>
        <w:tabs>
          <w:tab w:val="left" w:pos="4962"/>
        </w:tabs>
        <w:spacing w:line="360" w:lineRule="auto"/>
        <w:ind w:right="-28"/>
        <w:contextualSpacing/>
        <w:jc w:val="both"/>
        <w:rPr>
          <w:rFonts w:ascii="Palatino Linotype" w:eastAsia="Calibri" w:hAnsi="Palatino Linotype" w:cs="Tahoma"/>
          <w:b/>
          <w:sz w:val="22"/>
          <w:szCs w:val="22"/>
        </w:rPr>
      </w:pPr>
      <w:r w:rsidRPr="00BE655A">
        <w:rPr>
          <w:rFonts w:ascii="Palatino Linotype" w:eastAsia="Calibri" w:hAnsi="Palatino Linotype" w:cs="Tahoma"/>
          <w:b/>
          <w:sz w:val="22"/>
          <w:szCs w:val="22"/>
        </w:rPr>
        <w:t xml:space="preserve">ORGANISMOS DESCENTRALIZADOS: </w:t>
      </w:r>
    </w:p>
    <w:p w14:paraId="6081A879" w14:textId="4C9A0DEC" w:rsidR="00842C17" w:rsidRPr="00BE655A" w:rsidRDefault="00825A30" w:rsidP="00DB35AD">
      <w:pPr>
        <w:tabs>
          <w:tab w:val="left" w:pos="4962"/>
        </w:tabs>
        <w:spacing w:line="360" w:lineRule="auto"/>
        <w:ind w:left="737" w:right="-28"/>
        <w:contextualSpacing/>
        <w:jc w:val="both"/>
        <w:rPr>
          <w:rFonts w:ascii="Palatino Linotype" w:eastAsia="Calibri" w:hAnsi="Palatino Linotype" w:cs="Tahoma"/>
          <w:bCs/>
          <w:sz w:val="22"/>
          <w:szCs w:val="22"/>
        </w:rPr>
      </w:pPr>
      <w:r w:rsidRPr="00BE655A">
        <w:rPr>
          <w:rFonts w:ascii="Palatino Linotype" w:eastAsia="Calibri" w:hAnsi="Palatino Linotype" w:cs="Tahoma"/>
          <w:bCs/>
          <w:sz w:val="22"/>
          <w:szCs w:val="22"/>
        </w:rPr>
        <w:t>Defensoría Municipal de los Derechos Humanos</w:t>
      </w:r>
    </w:p>
    <w:p w14:paraId="1C28C327" w14:textId="77777777" w:rsidR="004B4C9A" w:rsidRPr="00BE655A" w:rsidRDefault="004B4C9A" w:rsidP="005F1FCF">
      <w:pPr>
        <w:tabs>
          <w:tab w:val="left" w:pos="4962"/>
        </w:tabs>
        <w:spacing w:line="360" w:lineRule="auto"/>
        <w:ind w:right="-28"/>
        <w:jc w:val="both"/>
        <w:rPr>
          <w:rFonts w:ascii="Palatino Linotype" w:eastAsia="Batang" w:hAnsi="Palatino Linotype" w:cs="Tahoma"/>
          <w:bCs/>
          <w:szCs w:val="22"/>
        </w:rPr>
      </w:pPr>
    </w:p>
    <w:p w14:paraId="62D38050" w14:textId="77777777" w:rsidR="004B4C9A" w:rsidRPr="00BE655A" w:rsidRDefault="004B4C9A" w:rsidP="00DB35AD">
      <w:pPr>
        <w:spacing w:line="360" w:lineRule="auto"/>
        <w:ind w:right="-28"/>
        <w:contextualSpacing/>
        <w:jc w:val="both"/>
        <w:rPr>
          <w:rFonts w:ascii="Palatino Linotype" w:eastAsia="Batang" w:hAnsi="Palatino Linotype" w:cs="Tahoma"/>
          <w:bCs/>
          <w:szCs w:val="22"/>
        </w:rPr>
      </w:pPr>
      <w:r w:rsidRPr="00BE655A">
        <w:rPr>
          <w:rFonts w:ascii="Palatino Linotype" w:eastAsia="Batang" w:hAnsi="Palatino Linotype" w:cs="Tahoma"/>
          <w:bCs/>
          <w:sz w:val="22"/>
          <w:szCs w:val="22"/>
        </w:rPr>
        <w:t>Establecido lo anterior, resulta necesario verificar el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66EE7266" w14:textId="77777777" w:rsidR="004B4C9A" w:rsidRPr="00BE655A" w:rsidRDefault="004B4C9A" w:rsidP="00DB35AD">
      <w:pPr>
        <w:pStyle w:val="Prrafodelista"/>
        <w:spacing w:line="360" w:lineRule="auto"/>
        <w:ind w:right="-28"/>
        <w:jc w:val="both"/>
        <w:rPr>
          <w:rFonts w:ascii="Palatino Linotype" w:eastAsia="Batang" w:hAnsi="Palatino Linotype" w:cs="Tahoma"/>
          <w:bCs/>
          <w:szCs w:val="22"/>
        </w:rPr>
      </w:pPr>
    </w:p>
    <w:p w14:paraId="28860B56" w14:textId="6DA8311F" w:rsidR="00F63618" w:rsidRPr="00BE655A" w:rsidRDefault="00F63618" w:rsidP="00DB35AD">
      <w:pPr>
        <w:spacing w:line="360" w:lineRule="auto"/>
        <w:ind w:right="-28"/>
        <w:contextualSpacing/>
        <w:jc w:val="both"/>
        <w:rPr>
          <w:rFonts w:ascii="Palatino Linotype" w:eastAsia="Palatino Linotype" w:hAnsi="Palatino Linotype" w:cs="Palatino Linotype"/>
          <w:sz w:val="22"/>
          <w:szCs w:val="22"/>
        </w:rPr>
      </w:pPr>
      <w:r w:rsidRPr="00BE655A">
        <w:rPr>
          <w:rFonts w:ascii="Palatino Linotype" w:eastAsia="Palatino Linotype" w:hAnsi="Palatino Linotype" w:cs="Palatino Linotype"/>
          <w:sz w:val="22"/>
          <w:szCs w:val="22"/>
        </w:rPr>
        <w:lastRenderedPageBreak/>
        <w:t xml:space="preserve">Así, es necesario traer al </w:t>
      </w:r>
      <w:r w:rsidR="008675A1" w:rsidRPr="00BE655A">
        <w:rPr>
          <w:rFonts w:ascii="Palatino Linotype" w:eastAsia="Palatino Linotype" w:hAnsi="Palatino Linotype" w:cs="Palatino Linotype"/>
          <w:sz w:val="22"/>
          <w:szCs w:val="22"/>
        </w:rPr>
        <w:t xml:space="preserve">Manual General de Organización de la Administración Pública </w:t>
      </w:r>
      <w:r w:rsidRPr="00BE655A">
        <w:rPr>
          <w:rFonts w:ascii="Palatino Linotype" w:eastAsia="Palatino Linotype" w:hAnsi="Palatino Linotype" w:cs="Palatino Linotype"/>
          <w:sz w:val="22"/>
          <w:szCs w:val="22"/>
        </w:rPr>
        <w:t xml:space="preserve">de Tenancingo, en el que se establece que el Sujeto Obligado para el ejercicio de sus funciones contará con diversas unidades administrativas, entre otras, la Dirección de Administración, quien para el ejercicio de sus atribuciones contará con la </w:t>
      </w:r>
      <w:r w:rsidR="008675A1" w:rsidRPr="00BE655A">
        <w:rPr>
          <w:rFonts w:ascii="Palatino Linotype" w:eastAsia="Palatino Linotype" w:hAnsi="Palatino Linotype" w:cs="Palatino Linotype"/>
          <w:sz w:val="22"/>
          <w:szCs w:val="22"/>
        </w:rPr>
        <w:t>Subd</w:t>
      </w:r>
      <w:r w:rsidRPr="00BE655A">
        <w:rPr>
          <w:rFonts w:ascii="Palatino Linotype" w:eastAsia="Palatino Linotype" w:hAnsi="Palatino Linotype" w:cs="Palatino Linotype"/>
          <w:sz w:val="22"/>
          <w:szCs w:val="22"/>
        </w:rPr>
        <w:t xml:space="preserve">irección de Recursos Humanos, encargada de llevar a cabo </w:t>
      </w:r>
      <w:r w:rsidR="008675A1" w:rsidRPr="00BE655A">
        <w:rPr>
          <w:rFonts w:ascii="Palatino Linotype" w:eastAsia="Palatino Linotype" w:hAnsi="Palatino Linotype" w:cs="Palatino Linotype"/>
          <w:sz w:val="22"/>
          <w:szCs w:val="22"/>
        </w:rPr>
        <w:t>la elaboración y distribución de la nómina para el pago al personal que labora en el Ayuntamiento.</w:t>
      </w:r>
    </w:p>
    <w:p w14:paraId="3958BE8A" w14:textId="77777777" w:rsidR="00F63618" w:rsidRPr="00BE655A" w:rsidRDefault="00F63618" w:rsidP="00DB35AD">
      <w:pPr>
        <w:spacing w:line="360" w:lineRule="auto"/>
        <w:ind w:right="-28"/>
        <w:contextualSpacing/>
        <w:jc w:val="both"/>
        <w:rPr>
          <w:rFonts w:ascii="Palatino Linotype" w:eastAsia="Batang" w:hAnsi="Palatino Linotype" w:cs="Tahoma"/>
          <w:bCs/>
          <w:sz w:val="22"/>
          <w:szCs w:val="22"/>
        </w:rPr>
      </w:pPr>
    </w:p>
    <w:p w14:paraId="3B856087" w14:textId="4AD3E009" w:rsidR="004B4C9A" w:rsidRPr="00BE655A" w:rsidRDefault="004B4C9A" w:rsidP="00DB35AD">
      <w:pPr>
        <w:spacing w:line="360" w:lineRule="auto"/>
        <w:ind w:right="-28"/>
        <w:contextualSpacing/>
        <w:jc w:val="both"/>
        <w:rPr>
          <w:rFonts w:ascii="Palatino Linotype" w:eastAsia="Batang" w:hAnsi="Palatino Linotype" w:cs="Tahoma"/>
          <w:bCs/>
          <w:sz w:val="22"/>
          <w:szCs w:val="22"/>
        </w:rPr>
      </w:pPr>
      <w:r w:rsidRPr="00BE655A">
        <w:rPr>
          <w:rFonts w:ascii="Palatino Linotype" w:eastAsia="Batang" w:hAnsi="Palatino Linotype" w:cs="Tahoma"/>
          <w:bCs/>
          <w:sz w:val="22"/>
          <w:szCs w:val="22"/>
        </w:rPr>
        <w:t>De tal circunstancia, se logra colegir que el Sujeto Obligado cumplió con el procedimiento de búsqueda establecido en el artículo 162 de la Ley de Transparencia y Acceso a la Información Pública del Estado de México y Municipios, pues el Sujeto Obligado turn</w:t>
      </w:r>
      <w:r w:rsidR="00F76A7D" w:rsidRPr="00BE655A">
        <w:rPr>
          <w:rFonts w:ascii="Palatino Linotype" w:eastAsia="Batang" w:hAnsi="Palatino Linotype" w:cs="Tahoma"/>
          <w:bCs/>
          <w:sz w:val="22"/>
          <w:szCs w:val="22"/>
        </w:rPr>
        <w:t>ó</w:t>
      </w:r>
      <w:r w:rsidRPr="00BE655A">
        <w:rPr>
          <w:rFonts w:ascii="Palatino Linotype" w:eastAsia="Batang" w:hAnsi="Palatino Linotype" w:cs="Tahoma"/>
          <w:bCs/>
          <w:sz w:val="22"/>
          <w:szCs w:val="22"/>
        </w:rPr>
        <w:t xml:space="preserve"> la solicitud de información a la Dirección de Administración, unidad administrativa competente para conocer de lo peticionado. </w:t>
      </w:r>
    </w:p>
    <w:p w14:paraId="0FBC6B99" w14:textId="77777777" w:rsidR="005F1FCF" w:rsidRPr="00BE655A" w:rsidRDefault="005F1FCF" w:rsidP="00DB35AD">
      <w:pPr>
        <w:spacing w:line="360" w:lineRule="auto"/>
        <w:ind w:right="-28"/>
        <w:contextualSpacing/>
        <w:jc w:val="both"/>
        <w:rPr>
          <w:rFonts w:ascii="Palatino Linotype" w:eastAsia="Batang" w:hAnsi="Palatino Linotype" w:cs="Tahoma"/>
          <w:bCs/>
          <w:sz w:val="22"/>
          <w:szCs w:val="22"/>
        </w:rPr>
      </w:pPr>
    </w:p>
    <w:p w14:paraId="2E5A8ECA" w14:textId="77777777" w:rsidR="005F1FCF" w:rsidRPr="00BE655A" w:rsidRDefault="005F1FCF" w:rsidP="005F1FCF">
      <w:pPr>
        <w:spacing w:line="360" w:lineRule="auto"/>
        <w:ind w:right="-28"/>
        <w:contextualSpacing/>
        <w:jc w:val="both"/>
        <w:rPr>
          <w:rFonts w:ascii="Palatino Linotype" w:eastAsia="Batang" w:hAnsi="Palatino Linotype" w:cs="Tahoma"/>
          <w:b/>
          <w:bCs/>
          <w:sz w:val="22"/>
          <w:szCs w:val="22"/>
        </w:rPr>
      </w:pPr>
      <w:r w:rsidRPr="00BE655A">
        <w:rPr>
          <w:rFonts w:ascii="Palatino Linotype" w:eastAsia="Batang" w:hAnsi="Palatino Linotype" w:cs="Tahoma"/>
          <w:b/>
          <w:bCs/>
          <w:sz w:val="22"/>
          <w:szCs w:val="22"/>
        </w:rPr>
        <w:t>Recibos de Nómina</w:t>
      </w:r>
    </w:p>
    <w:p w14:paraId="6324B8F7" w14:textId="77777777" w:rsidR="005F1FCF" w:rsidRPr="00BE655A" w:rsidRDefault="005F1FCF" w:rsidP="005F1FCF">
      <w:pPr>
        <w:spacing w:line="360" w:lineRule="auto"/>
        <w:ind w:right="-28" w:firstLine="708"/>
        <w:contextualSpacing/>
        <w:jc w:val="both"/>
        <w:rPr>
          <w:rFonts w:ascii="Palatino Linotype" w:eastAsia="Batang" w:hAnsi="Palatino Linotype" w:cs="Tahoma"/>
          <w:b/>
          <w:bCs/>
          <w:sz w:val="22"/>
          <w:szCs w:val="22"/>
        </w:rPr>
      </w:pPr>
    </w:p>
    <w:p w14:paraId="12D8D6EA" w14:textId="77777777" w:rsidR="005F1FCF" w:rsidRPr="00BE655A" w:rsidRDefault="005F1FCF" w:rsidP="005F1FCF">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 xml:space="preserve">Sobre el documento solicitado, la Ley del Trabajo de los Servidores Públicos del Estado y Municipios, en su artículo 220 K, fracciones II y IV, establece los documentos que tiene la obligación de conservar el Sujeto Obligado, entre los que se encuentra los </w:t>
      </w:r>
      <w:r w:rsidRPr="00BE655A">
        <w:rPr>
          <w:rFonts w:ascii="Palatino Linotype" w:eastAsia="Calibri" w:hAnsi="Palatino Linotype"/>
          <w:b/>
          <w:bCs/>
          <w:sz w:val="22"/>
          <w:szCs w:val="22"/>
        </w:rPr>
        <w:t>recibos de pago de salarios o las</w:t>
      </w:r>
      <w:r w:rsidRPr="00BE655A">
        <w:rPr>
          <w:rFonts w:ascii="Palatino Linotype" w:eastAsia="Calibri" w:hAnsi="Palatino Linotype"/>
          <w:bCs/>
          <w:sz w:val="22"/>
          <w:szCs w:val="22"/>
        </w:rPr>
        <w:t xml:space="preserve"> </w:t>
      </w:r>
      <w:r w:rsidRPr="00BE655A">
        <w:rPr>
          <w:rFonts w:ascii="Palatino Linotype" w:eastAsia="Calibri" w:hAnsi="Palatino Linotype"/>
          <w:b/>
          <w:bCs/>
          <w:sz w:val="22"/>
          <w:szCs w:val="22"/>
        </w:rPr>
        <w:t xml:space="preserve">constancias documentales del pago de sueldos, </w:t>
      </w:r>
      <w:r w:rsidRPr="00BE655A">
        <w:rPr>
          <w:rFonts w:ascii="Palatino Linotype" w:eastAsia="Calibri" w:hAnsi="Palatino Linotype"/>
          <w:bCs/>
          <w:sz w:val="22"/>
          <w:szCs w:val="22"/>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23B99A2A" w14:textId="77777777" w:rsidR="005F1FCF" w:rsidRPr="00BE655A" w:rsidRDefault="005F1FCF" w:rsidP="005F1FCF">
      <w:pPr>
        <w:spacing w:line="360" w:lineRule="auto"/>
        <w:contextualSpacing/>
        <w:jc w:val="both"/>
        <w:rPr>
          <w:rFonts w:ascii="Palatino Linotype" w:eastAsia="Calibri" w:hAnsi="Palatino Linotype"/>
          <w:bCs/>
          <w:sz w:val="22"/>
          <w:szCs w:val="22"/>
        </w:rPr>
      </w:pPr>
    </w:p>
    <w:p w14:paraId="225BF7DB" w14:textId="77777777" w:rsidR="005F1FCF" w:rsidRPr="00BE655A" w:rsidRDefault="005F1FCF" w:rsidP="005F1FCF">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3D4041AF" w14:textId="77777777" w:rsidR="005F1FCF" w:rsidRPr="00BE655A" w:rsidRDefault="005F1FCF" w:rsidP="005F1FCF">
      <w:pPr>
        <w:spacing w:line="360" w:lineRule="auto"/>
        <w:contextualSpacing/>
        <w:jc w:val="both"/>
        <w:rPr>
          <w:rFonts w:ascii="Palatino Linotype" w:eastAsia="Calibri" w:hAnsi="Palatino Linotype"/>
          <w:bCs/>
          <w:sz w:val="22"/>
          <w:szCs w:val="22"/>
        </w:rPr>
      </w:pPr>
    </w:p>
    <w:p w14:paraId="6524A818" w14:textId="77777777" w:rsidR="005F1FCF" w:rsidRPr="00BE655A" w:rsidRDefault="005F1FCF" w:rsidP="005F1FCF">
      <w:pPr>
        <w:spacing w:line="360" w:lineRule="auto"/>
        <w:ind w:left="567" w:right="567"/>
        <w:contextualSpacing/>
        <w:jc w:val="both"/>
        <w:rPr>
          <w:rFonts w:ascii="Palatino Linotype" w:eastAsia="Calibri" w:hAnsi="Palatino Linotype"/>
          <w:bCs/>
          <w:i/>
          <w:iCs/>
          <w:lang w:val="es-ES"/>
        </w:rPr>
      </w:pPr>
      <w:r w:rsidRPr="00BE655A">
        <w:rPr>
          <w:rFonts w:ascii="Palatino Linotype" w:eastAsia="Calibri" w:hAnsi="Palatino Linotype"/>
          <w:b/>
          <w:bCs/>
          <w:i/>
          <w:iCs/>
          <w:lang w:val="es-ES"/>
        </w:rPr>
        <w:lastRenderedPageBreak/>
        <w:t>“RECIBOS DE PAGO</w:t>
      </w:r>
      <w:r w:rsidRPr="00BE655A">
        <w:rPr>
          <w:rFonts w:ascii="Palatino Linotype" w:eastAsia="Calibri" w:hAnsi="Palatino Linotype"/>
          <w:bCs/>
          <w:i/>
          <w:iCs/>
          <w:lang w:val="es-ES"/>
        </w:rPr>
        <w:t xml:space="preserve"> </w:t>
      </w:r>
      <w:r w:rsidRPr="00BE655A">
        <w:rPr>
          <w:rFonts w:ascii="Palatino Linotype" w:eastAsia="Calibri" w:hAnsi="Palatino Linotype"/>
          <w:b/>
          <w:bCs/>
          <w:i/>
          <w:iCs/>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BE655A">
        <w:rPr>
          <w:rFonts w:ascii="Palatino Linotype" w:eastAsia="Calibri" w:hAnsi="Palatino Linotype"/>
          <w:bCs/>
          <w:i/>
          <w:iCs/>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4A519289" w14:textId="77777777" w:rsidR="005F1FCF" w:rsidRPr="00BE655A" w:rsidRDefault="005F1FCF" w:rsidP="005F1FCF">
      <w:pPr>
        <w:spacing w:line="360" w:lineRule="auto"/>
        <w:contextualSpacing/>
        <w:jc w:val="both"/>
        <w:rPr>
          <w:rFonts w:ascii="Palatino Linotype" w:eastAsia="Calibri" w:hAnsi="Palatino Linotype"/>
          <w:b/>
          <w:bCs/>
          <w:i/>
          <w:iCs/>
          <w:sz w:val="22"/>
          <w:szCs w:val="22"/>
          <w:lang w:val="es-ES"/>
        </w:rPr>
      </w:pPr>
    </w:p>
    <w:p w14:paraId="366F683D" w14:textId="77777777" w:rsidR="005F1FCF" w:rsidRPr="00BE655A" w:rsidRDefault="005F1FCF" w:rsidP="005F1FCF">
      <w:pPr>
        <w:spacing w:line="360" w:lineRule="auto"/>
        <w:contextualSpacing/>
        <w:jc w:val="both"/>
        <w:rPr>
          <w:rFonts w:ascii="Palatino Linotype" w:eastAsia="Calibri" w:hAnsi="Palatino Linotype"/>
          <w:bCs/>
          <w:sz w:val="22"/>
          <w:szCs w:val="22"/>
          <w:lang w:val="es-ES"/>
        </w:rPr>
      </w:pPr>
      <w:r w:rsidRPr="00BE655A">
        <w:rPr>
          <w:rFonts w:ascii="Palatino Linotype" w:eastAsia="Calibri" w:hAnsi="Palatino Linotype"/>
          <w:bCs/>
          <w:sz w:val="22"/>
          <w:szCs w:val="22"/>
          <w:lang w:val="es-ES"/>
        </w:rPr>
        <w:t xml:space="preserve">De la tesis transcrita, se desprende que </w:t>
      </w:r>
      <w:r w:rsidRPr="00BE655A">
        <w:rPr>
          <w:rFonts w:ascii="Palatino Linotype" w:eastAsia="Calibri" w:hAnsi="Palatino Linotype"/>
          <w:b/>
          <w:bCs/>
          <w:sz w:val="22"/>
          <w:szCs w:val="22"/>
          <w:lang w:val="es-ES"/>
        </w:rPr>
        <w:t>en materia burocrática</w:t>
      </w:r>
      <w:r w:rsidRPr="00BE655A">
        <w:rPr>
          <w:rFonts w:ascii="Palatino Linotype" w:eastAsia="Calibri" w:hAnsi="Palatino Linotype"/>
          <w:bCs/>
          <w:sz w:val="22"/>
          <w:szCs w:val="22"/>
          <w:lang w:val="es-ES"/>
        </w:rPr>
        <w:t xml:space="preserve"> </w:t>
      </w:r>
      <w:r w:rsidRPr="00BE655A">
        <w:rPr>
          <w:rFonts w:ascii="Palatino Linotype" w:eastAsia="Calibri" w:hAnsi="Palatino Linotype"/>
          <w:b/>
          <w:bCs/>
          <w:sz w:val="22"/>
          <w:szCs w:val="22"/>
          <w:lang w:val="es-ES"/>
        </w:rPr>
        <w:t>los recibos de pago acreditan los conceptos y montos que en ellos se insertan</w:t>
      </w:r>
      <w:r w:rsidRPr="00BE655A">
        <w:rPr>
          <w:rFonts w:ascii="Palatino Linotype" w:eastAsia="Calibri" w:hAnsi="Palatino Linotype"/>
          <w:bCs/>
          <w:sz w:val="22"/>
          <w:szCs w:val="22"/>
          <w:lang w:val="es-ES"/>
        </w:rPr>
        <w:t xml:space="preserve"> y constituyen prueba para demostrar las percepciones y montos que reciben los servidores públicos. </w:t>
      </w:r>
    </w:p>
    <w:p w14:paraId="6AFEB729" w14:textId="77777777" w:rsidR="005F1FCF" w:rsidRPr="00BE655A" w:rsidRDefault="005F1FCF" w:rsidP="005F1FCF">
      <w:pPr>
        <w:tabs>
          <w:tab w:val="left" w:pos="4962"/>
        </w:tabs>
        <w:spacing w:line="360" w:lineRule="auto"/>
        <w:contextualSpacing/>
        <w:jc w:val="both"/>
        <w:rPr>
          <w:rFonts w:ascii="Palatino Linotype" w:hAnsi="Palatino Linotype" w:cs="Tahoma"/>
          <w:bCs/>
          <w:iCs/>
          <w:sz w:val="22"/>
          <w:szCs w:val="22"/>
        </w:rPr>
      </w:pPr>
    </w:p>
    <w:p w14:paraId="48C59947" w14:textId="77777777" w:rsidR="005F1FCF" w:rsidRPr="00BE655A" w:rsidRDefault="005F1FCF" w:rsidP="005F1FCF">
      <w:pPr>
        <w:spacing w:line="360" w:lineRule="auto"/>
        <w:ind w:right="-28"/>
        <w:contextualSpacing/>
        <w:jc w:val="both"/>
        <w:rPr>
          <w:rFonts w:ascii="Palatino Linotype" w:eastAsia="Palatino Linotype" w:hAnsi="Palatino Linotype" w:cs="Palatino Linotype"/>
          <w:b/>
          <w:sz w:val="22"/>
          <w:szCs w:val="22"/>
        </w:rPr>
      </w:pPr>
      <w:r w:rsidRPr="00BE655A">
        <w:rPr>
          <w:rFonts w:ascii="Palatino Linotype" w:eastAsia="Palatino Linotype" w:hAnsi="Palatino Linotype" w:cs="Palatino Linotype"/>
          <w:b/>
          <w:sz w:val="22"/>
          <w:szCs w:val="22"/>
        </w:rPr>
        <w:t>Sueldos y montos destinados a dieta.</w:t>
      </w:r>
    </w:p>
    <w:p w14:paraId="5F961C85" w14:textId="77777777" w:rsidR="005F1FCF" w:rsidRPr="00BE655A" w:rsidRDefault="005F1FCF" w:rsidP="005F1FCF">
      <w:pPr>
        <w:tabs>
          <w:tab w:val="left" w:pos="4962"/>
        </w:tabs>
        <w:spacing w:line="360" w:lineRule="auto"/>
        <w:contextualSpacing/>
        <w:jc w:val="both"/>
        <w:rPr>
          <w:rFonts w:ascii="Palatino Linotype" w:hAnsi="Palatino Linotype"/>
          <w:bCs/>
          <w:sz w:val="22"/>
          <w:szCs w:val="22"/>
        </w:rPr>
      </w:pPr>
    </w:p>
    <w:p w14:paraId="1CD11174" w14:textId="77777777" w:rsidR="005F1FCF" w:rsidRPr="00BE655A" w:rsidRDefault="005F1FCF" w:rsidP="005F1FCF">
      <w:pPr>
        <w:tabs>
          <w:tab w:val="left" w:pos="4962"/>
        </w:tabs>
        <w:spacing w:line="360" w:lineRule="auto"/>
        <w:contextualSpacing/>
        <w:jc w:val="both"/>
        <w:rPr>
          <w:rFonts w:ascii="Palatino Linotype" w:hAnsi="Palatino Linotype"/>
          <w:bCs/>
          <w:sz w:val="22"/>
          <w:szCs w:val="22"/>
        </w:rPr>
      </w:pPr>
      <w:r w:rsidRPr="00BE655A">
        <w:rPr>
          <w:rFonts w:ascii="Palatino Linotype" w:hAnsi="Palatino Linotype"/>
          <w:bCs/>
          <w:sz w:val="22"/>
          <w:szCs w:val="22"/>
        </w:rPr>
        <w:t>Al respecto, es necesario traer a colación el artículo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w:t>
      </w:r>
    </w:p>
    <w:p w14:paraId="1B9761A4" w14:textId="77777777" w:rsidR="005F1FCF" w:rsidRPr="00BE655A" w:rsidRDefault="005F1FCF" w:rsidP="005F1FCF">
      <w:pPr>
        <w:tabs>
          <w:tab w:val="left" w:pos="4962"/>
        </w:tabs>
        <w:spacing w:line="360" w:lineRule="auto"/>
        <w:contextualSpacing/>
        <w:jc w:val="both"/>
        <w:rPr>
          <w:rFonts w:ascii="Palatino Linotype" w:eastAsia="Calibri" w:hAnsi="Palatino Linotype" w:cs="Tahoma"/>
          <w:bCs/>
          <w:sz w:val="22"/>
          <w:szCs w:val="22"/>
        </w:rPr>
      </w:pPr>
    </w:p>
    <w:p w14:paraId="19898388" w14:textId="77777777" w:rsidR="005F1FCF" w:rsidRPr="00BE655A" w:rsidRDefault="005F1FCF" w:rsidP="005F1FCF">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B87BFAA" w14:textId="77777777" w:rsidR="005F1FCF" w:rsidRPr="00BE655A" w:rsidRDefault="005F1FCF" w:rsidP="005F1FCF">
      <w:pPr>
        <w:spacing w:line="360" w:lineRule="auto"/>
        <w:contextualSpacing/>
        <w:jc w:val="both"/>
        <w:rPr>
          <w:rFonts w:ascii="Palatino Linotype" w:eastAsia="Calibri" w:hAnsi="Palatino Linotype"/>
          <w:bCs/>
          <w:sz w:val="22"/>
          <w:szCs w:val="22"/>
        </w:rPr>
      </w:pPr>
    </w:p>
    <w:p w14:paraId="31D0ACA2" w14:textId="77777777" w:rsidR="005F1FCF" w:rsidRPr="00BE655A" w:rsidRDefault="005F1FCF" w:rsidP="005F1FCF">
      <w:pPr>
        <w:spacing w:line="360" w:lineRule="auto"/>
        <w:contextualSpacing/>
        <w:jc w:val="both"/>
        <w:rPr>
          <w:rFonts w:ascii="Palatino Linotype" w:eastAsia="Calibri" w:hAnsi="Palatino Linotype"/>
          <w:bCs/>
          <w:sz w:val="22"/>
          <w:szCs w:val="22"/>
        </w:rPr>
      </w:pPr>
      <w:r w:rsidRPr="00BE655A">
        <w:rPr>
          <w:rFonts w:ascii="Palatino Linotype" w:eastAsia="Calibri" w:hAnsi="Palatino Linotype"/>
          <w:bCs/>
          <w:sz w:val="22"/>
          <w:szCs w:val="22"/>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2D7B8E75" w14:textId="77777777" w:rsidR="005F1FCF" w:rsidRPr="00BE655A" w:rsidRDefault="005F1FCF" w:rsidP="005F1FCF">
      <w:pPr>
        <w:spacing w:line="360" w:lineRule="auto"/>
        <w:contextualSpacing/>
        <w:jc w:val="both"/>
        <w:rPr>
          <w:rFonts w:ascii="Palatino Linotype" w:eastAsia="Calibri" w:hAnsi="Palatino Linotype"/>
          <w:bCs/>
          <w:sz w:val="22"/>
          <w:szCs w:val="22"/>
        </w:rPr>
      </w:pPr>
    </w:p>
    <w:p w14:paraId="7814DC8B" w14:textId="77777777" w:rsidR="005F1FCF" w:rsidRPr="00BE655A" w:rsidRDefault="005F1FCF" w:rsidP="005F1FCF">
      <w:pPr>
        <w:spacing w:line="360" w:lineRule="auto"/>
        <w:contextualSpacing/>
        <w:jc w:val="both"/>
        <w:rPr>
          <w:rFonts w:ascii="Palatino Linotype" w:eastAsia="Calibri" w:hAnsi="Palatino Linotype"/>
          <w:bCs/>
          <w:iCs/>
          <w:sz w:val="22"/>
          <w:szCs w:val="22"/>
          <w:lang w:val="es-ES"/>
        </w:rPr>
      </w:pPr>
      <w:r w:rsidRPr="00BE655A">
        <w:rPr>
          <w:rFonts w:ascii="Palatino Linotype" w:eastAsia="Calibri" w:hAnsi="Palatino Linotype"/>
          <w:bCs/>
          <w:iCs/>
          <w:sz w:val="22"/>
          <w:szCs w:val="22"/>
          <w:lang w:val="es-ES"/>
        </w:rPr>
        <w:t xml:space="preserve">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w:t>
      </w:r>
      <w:r w:rsidRPr="00BE655A">
        <w:rPr>
          <w:rFonts w:ascii="Palatino Linotype" w:eastAsia="Calibri" w:hAnsi="Palatino Linotype"/>
          <w:b/>
          <w:bCs/>
          <w:iCs/>
          <w:sz w:val="22"/>
          <w:szCs w:val="22"/>
          <w:lang w:val="es-ES"/>
        </w:rPr>
        <w:t>dietas</w:t>
      </w:r>
      <w:r w:rsidRPr="00BE655A">
        <w:rPr>
          <w:rFonts w:ascii="Palatino Linotype" w:eastAsia="Calibri" w:hAnsi="Palatino Linotype"/>
          <w:bCs/>
          <w:iCs/>
          <w:sz w:val="22"/>
          <w:szCs w:val="22"/>
          <w:lang w:val="es-ES"/>
        </w:rPr>
        <w:t>, bonos, estímulos, ingresos, entre otros.</w:t>
      </w:r>
    </w:p>
    <w:p w14:paraId="535DA99F" w14:textId="77777777" w:rsidR="005F1FCF" w:rsidRPr="00BE655A" w:rsidRDefault="005F1FCF" w:rsidP="005F1FCF">
      <w:pPr>
        <w:spacing w:line="360" w:lineRule="auto"/>
        <w:contextualSpacing/>
        <w:jc w:val="both"/>
        <w:rPr>
          <w:rFonts w:ascii="Palatino Linotype" w:eastAsia="Calibri" w:hAnsi="Palatino Linotype"/>
          <w:bCs/>
          <w:sz w:val="22"/>
          <w:szCs w:val="22"/>
        </w:rPr>
      </w:pPr>
    </w:p>
    <w:p w14:paraId="198D79F7" w14:textId="2A0FD863" w:rsidR="005F1FCF" w:rsidRPr="00BE655A" w:rsidRDefault="005F1FCF" w:rsidP="005F1FCF">
      <w:pPr>
        <w:spacing w:line="360" w:lineRule="auto"/>
        <w:contextualSpacing/>
        <w:jc w:val="both"/>
        <w:rPr>
          <w:rFonts w:ascii="Palatino Linotype" w:eastAsia="Calibri" w:hAnsi="Palatino Linotype"/>
          <w:b/>
          <w:bCs/>
          <w:iCs/>
          <w:sz w:val="22"/>
          <w:szCs w:val="22"/>
          <w:lang w:val="es-ES"/>
        </w:rPr>
      </w:pPr>
      <w:r w:rsidRPr="00BE655A">
        <w:rPr>
          <w:rFonts w:ascii="Palatino Linotype" w:eastAsia="Calibri" w:hAnsi="Palatino Linotype"/>
          <w:bCs/>
          <w:iCs/>
          <w:sz w:val="22"/>
          <w:szCs w:val="22"/>
          <w:lang w:val="es-ES"/>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BE655A">
        <w:rPr>
          <w:rFonts w:ascii="Palatino Linotype" w:eastAsia="Calibri" w:hAnsi="Palatino Linotype"/>
          <w:b/>
          <w:bCs/>
          <w:iCs/>
          <w:sz w:val="22"/>
          <w:szCs w:val="22"/>
          <w:lang w:val="es-ES"/>
        </w:rPr>
        <w:t>1000 Servicios Personales</w:t>
      </w:r>
      <w:r w:rsidRPr="00BE655A">
        <w:rPr>
          <w:rFonts w:ascii="Palatino Linotype" w:eastAsia="Calibri" w:hAnsi="Palatino Linotype"/>
          <w:bCs/>
          <w:iCs/>
          <w:sz w:val="22"/>
          <w:szCs w:val="22"/>
          <w:lang w:val="es-ES"/>
        </w:rPr>
        <w:t>,</w:t>
      </w:r>
      <w:r w:rsidRPr="00BE655A">
        <w:rPr>
          <w:rFonts w:ascii="Palatino Linotype" w:eastAsia="Calibri" w:hAnsi="Palatino Linotype"/>
          <w:b/>
          <w:bCs/>
          <w:iCs/>
          <w:sz w:val="22"/>
          <w:szCs w:val="22"/>
          <w:lang w:val="es-ES"/>
        </w:rPr>
        <w:t xml:space="preserve"> que agrupa las remuneraciones del personal al servicio de los entes públicos, tales como el sueldo, salarios, dietas, honorarios, prestaciones, obligaciones laborales, entre otras.</w:t>
      </w:r>
    </w:p>
    <w:p w14:paraId="149B7B0D" w14:textId="77777777" w:rsidR="005F1FCF" w:rsidRPr="00BE655A" w:rsidRDefault="005F1FCF" w:rsidP="00DB35AD">
      <w:pPr>
        <w:spacing w:line="360" w:lineRule="auto"/>
        <w:ind w:right="-28"/>
        <w:contextualSpacing/>
        <w:jc w:val="both"/>
        <w:rPr>
          <w:rFonts w:ascii="Palatino Linotype" w:eastAsia="Batang" w:hAnsi="Palatino Linotype" w:cs="Tahoma"/>
          <w:bCs/>
          <w:sz w:val="22"/>
          <w:szCs w:val="22"/>
        </w:rPr>
      </w:pPr>
    </w:p>
    <w:p w14:paraId="4A7880BB" w14:textId="3D381B75" w:rsidR="005F1FCF" w:rsidRPr="00BE655A" w:rsidRDefault="005F1FCF" w:rsidP="00DB35AD">
      <w:pPr>
        <w:spacing w:line="360" w:lineRule="auto"/>
        <w:ind w:right="-28"/>
        <w:contextualSpacing/>
        <w:jc w:val="both"/>
        <w:rPr>
          <w:rFonts w:ascii="Palatino Linotype" w:eastAsia="Batang" w:hAnsi="Palatino Linotype" w:cs="Tahoma"/>
          <w:bCs/>
          <w:sz w:val="22"/>
          <w:szCs w:val="22"/>
        </w:rPr>
      </w:pPr>
      <w:r w:rsidRPr="00BE655A">
        <w:rPr>
          <w:rFonts w:ascii="Palatino Linotype" w:eastAsia="Batang" w:hAnsi="Palatino Linotype" w:cs="Tahoma"/>
          <w:bCs/>
          <w:sz w:val="22"/>
          <w:szCs w:val="22"/>
        </w:rPr>
        <w:lastRenderedPageBreak/>
        <w:t xml:space="preserve">En este contexto se advierte que, cualquier información sobre los sueldos y cualquier ingreso que perciban los servidores públicos con cargo al </w:t>
      </w:r>
      <w:r w:rsidR="00F76D25" w:rsidRPr="00BE655A">
        <w:rPr>
          <w:rFonts w:ascii="Palatino Linotype" w:eastAsia="Batang" w:hAnsi="Palatino Linotype" w:cs="Tahoma"/>
          <w:bCs/>
          <w:sz w:val="22"/>
          <w:szCs w:val="22"/>
        </w:rPr>
        <w:t xml:space="preserve">ejercicio del </w:t>
      </w:r>
      <w:r w:rsidRPr="00BE655A">
        <w:rPr>
          <w:rFonts w:ascii="Palatino Linotype" w:eastAsia="Batang" w:hAnsi="Palatino Linotype" w:cs="Tahoma"/>
          <w:bCs/>
          <w:sz w:val="22"/>
          <w:szCs w:val="22"/>
        </w:rPr>
        <w:t>presupuesto municipal es</w:t>
      </w:r>
      <w:r w:rsidR="00F76D25" w:rsidRPr="00BE655A">
        <w:rPr>
          <w:rFonts w:ascii="Palatino Linotype" w:eastAsia="Batang" w:hAnsi="Palatino Linotype" w:cs="Tahoma"/>
          <w:bCs/>
          <w:sz w:val="22"/>
          <w:szCs w:val="22"/>
        </w:rPr>
        <w:t xml:space="preserve"> de acceso </w:t>
      </w:r>
      <w:r w:rsidRPr="00BE655A">
        <w:rPr>
          <w:rFonts w:ascii="Palatino Linotype" w:eastAsia="Batang" w:hAnsi="Palatino Linotype" w:cs="Tahoma"/>
          <w:bCs/>
          <w:sz w:val="22"/>
          <w:szCs w:val="22"/>
        </w:rPr>
        <w:t>públic</w:t>
      </w:r>
      <w:r w:rsidR="00F76D25" w:rsidRPr="00BE655A">
        <w:rPr>
          <w:rFonts w:ascii="Palatino Linotype" w:eastAsia="Batang" w:hAnsi="Palatino Linotype" w:cs="Tahoma"/>
          <w:bCs/>
          <w:sz w:val="22"/>
          <w:szCs w:val="22"/>
        </w:rPr>
        <w:t>o.</w:t>
      </w:r>
    </w:p>
    <w:p w14:paraId="59A7225F" w14:textId="77777777" w:rsidR="00F76A7D" w:rsidRPr="00BE655A" w:rsidRDefault="00F76A7D" w:rsidP="00DB35AD">
      <w:pPr>
        <w:spacing w:line="360" w:lineRule="auto"/>
        <w:ind w:right="-28"/>
        <w:contextualSpacing/>
        <w:jc w:val="both"/>
        <w:rPr>
          <w:rFonts w:ascii="Palatino Linotype" w:eastAsia="Batang" w:hAnsi="Palatino Linotype" w:cs="Tahoma"/>
          <w:bCs/>
          <w:sz w:val="22"/>
          <w:szCs w:val="22"/>
        </w:rPr>
      </w:pPr>
    </w:p>
    <w:p w14:paraId="251E86D5" w14:textId="127892D5" w:rsidR="003927B3" w:rsidRPr="00BE655A" w:rsidRDefault="00675C9D" w:rsidP="00DB35AD">
      <w:pPr>
        <w:spacing w:line="360" w:lineRule="auto"/>
        <w:ind w:right="-28"/>
        <w:contextualSpacing/>
        <w:jc w:val="both"/>
        <w:rPr>
          <w:rFonts w:ascii="Palatino Linotype" w:eastAsia="Batang" w:hAnsi="Palatino Linotype" w:cs="Tahoma"/>
          <w:b/>
          <w:bCs/>
          <w:sz w:val="22"/>
          <w:szCs w:val="22"/>
        </w:rPr>
      </w:pPr>
      <w:r w:rsidRPr="00BE655A">
        <w:rPr>
          <w:rFonts w:ascii="Palatino Linotype" w:eastAsia="Batang" w:hAnsi="Palatino Linotype" w:cs="Tahoma"/>
          <w:b/>
          <w:bCs/>
          <w:sz w:val="22"/>
          <w:szCs w:val="22"/>
        </w:rPr>
        <w:t>S</w:t>
      </w:r>
      <w:r w:rsidR="003927B3" w:rsidRPr="00BE655A">
        <w:rPr>
          <w:rFonts w:ascii="Palatino Linotype" w:eastAsia="Batang" w:hAnsi="Palatino Linotype" w:cs="Tahoma"/>
          <w:b/>
          <w:bCs/>
          <w:sz w:val="22"/>
          <w:szCs w:val="22"/>
        </w:rPr>
        <w:t xml:space="preserve">olicitud de información </w:t>
      </w:r>
      <w:r w:rsidR="003927B3" w:rsidRPr="00BE655A">
        <w:rPr>
          <w:rFonts w:ascii="Palatino Linotype" w:hAnsi="Palatino Linotype"/>
          <w:b/>
          <w:sz w:val="22"/>
          <w:szCs w:val="22"/>
        </w:rPr>
        <w:t>00045/TENANCIN/IP/2025</w:t>
      </w:r>
      <w:r w:rsidRPr="00BE655A">
        <w:rPr>
          <w:rFonts w:ascii="Palatino Linotype" w:hAnsi="Palatino Linotype"/>
          <w:b/>
          <w:sz w:val="22"/>
          <w:szCs w:val="22"/>
        </w:rPr>
        <w:t xml:space="preserve"> relacionado con el Recurso de revisión </w:t>
      </w:r>
      <w:r w:rsidRPr="00BE655A">
        <w:rPr>
          <w:rFonts w:ascii="Palatino Linotype" w:eastAsia="Calibri" w:hAnsi="Palatino Linotype" w:cs="Tahoma"/>
          <w:b/>
          <w:bCs/>
          <w:sz w:val="22"/>
          <w:szCs w:val="22"/>
          <w:lang w:eastAsia="en-US"/>
        </w:rPr>
        <w:t>01059/INFOEM/IP/RR/2025</w:t>
      </w:r>
      <w:r w:rsidRPr="00BE655A">
        <w:rPr>
          <w:rFonts w:ascii="Palatino Linotype" w:hAnsi="Palatino Linotype"/>
          <w:b/>
          <w:sz w:val="22"/>
          <w:szCs w:val="22"/>
        </w:rPr>
        <w:t xml:space="preserve"> </w:t>
      </w:r>
    </w:p>
    <w:p w14:paraId="397C1E8C" w14:textId="77777777" w:rsidR="003927B3" w:rsidRPr="00BE655A" w:rsidRDefault="003927B3" w:rsidP="00DB35AD">
      <w:pPr>
        <w:spacing w:line="360" w:lineRule="auto"/>
        <w:ind w:right="-28"/>
        <w:contextualSpacing/>
        <w:jc w:val="both"/>
        <w:rPr>
          <w:rFonts w:ascii="Palatino Linotype" w:eastAsia="Batang" w:hAnsi="Palatino Linotype" w:cs="Tahoma"/>
          <w:b/>
          <w:bCs/>
          <w:sz w:val="22"/>
          <w:szCs w:val="22"/>
        </w:rPr>
      </w:pPr>
    </w:p>
    <w:p w14:paraId="6309EE03" w14:textId="71210EB3" w:rsidR="001C2E7C" w:rsidRPr="00BE655A" w:rsidRDefault="002F7BB6" w:rsidP="003927B3">
      <w:pPr>
        <w:spacing w:line="360" w:lineRule="auto"/>
        <w:contextualSpacing/>
        <w:jc w:val="both"/>
        <w:rPr>
          <w:rFonts w:ascii="Palatino Linotype" w:eastAsia="Calibri" w:hAnsi="Palatino Linotype"/>
          <w:b/>
          <w:bCs/>
          <w:sz w:val="22"/>
          <w:szCs w:val="22"/>
          <w:lang w:val="es-ES"/>
        </w:rPr>
      </w:pPr>
      <w:r w:rsidRPr="00BE655A">
        <w:rPr>
          <w:rFonts w:ascii="Palatino Linotype" w:eastAsia="Calibri" w:hAnsi="Palatino Linotype"/>
          <w:b/>
          <w:bCs/>
          <w:sz w:val="22"/>
          <w:szCs w:val="22"/>
          <w:lang w:val="es-ES"/>
        </w:rPr>
        <w:t>Recibos de Nómina</w:t>
      </w:r>
    </w:p>
    <w:p w14:paraId="2C822DAC" w14:textId="77777777" w:rsidR="00F76D25" w:rsidRPr="00BE655A" w:rsidRDefault="00F76D25" w:rsidP="003927B3">
      <w:pPr>
        <w:spacing w:line="360" w:lineRule="auto"/>
        <w:contextualSpacing/>
        <w:jc w:val="both"/>
        <w:rPr>
          <w:rFonts w:ascii="Palatino Linotype" w:eastAsia="Calibri" w:hAnsi="Palatino Linotype"/>
          <w:b/>
          <w:bCs/>
          <w:sz w:val="22"/>
          <w:szCs w:val="22"/>
          <w:lang w:val="es-ES"/>
        </w:rPr>
      </w:pPr>
    </w:p>
    <w:p w14:paraId="191EF4FB" w14:textId="7E623186" w:rsidR="00F76D25" w:rsidRPr="00BE655A" w:rsidRDefault="00F76D25" w:rsidP="003927B3">
      <w:pPr>
        <w:spacing w:line="360" w:lineRule="auto"/>
        <w:contextualSpacing/>
        <w:jc w:val="both"/>
        <w:rPr>
          <w:rFonts w:ascii="Palatino Linotype" w:eastAsia="Calibri" w:hAnsi="Palatino Linotype"/>
          <w:bCs/>
          <w:sz w:val="22"/>
          <w:szCs w:val="22"/>
          <w:lang w:val="es-ES"/>
        </w:rPr>
      </w:pPr>
      <w:r w:rsidRPr="00BE655A">
        <w:rPr>
          <w:rFonts w:ascii="Palatino Linotype" w:eastAsia="Calibri" w:hAnsi="Palatino Linotype"/>
          <w:bCs/>
          <w:sz w:val="22"/>
          <w:szCs w:val="22"/>
          <w:lang w:val="es-ES"/>
        </w:rPr>
        <w:t>Al respecto, de la solicitud se desprende que el Particular</w:t>
      </w:r>
      <w:r w:rsidR="00A5795A" w:rsidRPr="00BE655A">
        <w:rPr>
          <w:rFonts w:ascii="Palatino Linotype" w:eastAsia="Calibri" w:hAnsi="Palatino Linotype"/>
          <w:bCs/>
          <w:sz w:val="22"/>
          <w:szCs w:val="22"/>
          <w:lang w:val="es-ES"/>
        </w:rPr>
        <w:t xml:space="preserve"> por una parte</w:t>
      </w:r>
      <w:r w:rsidRPr="00BE655A">
        <w:rPr>
          <w:rFonts w:ascii="Palatino Linotype" w:eastAsia="Calibri" w:hAnsi="Palatino Linotype"/>
          <w:bCs/>
          <w:sz w:val="22"/>
          <w:szCs w:val="22"/>
          <w:lang w:val="es-ES"/>
        </w:rPr>
        <w:t xml:space="preserve"> requirió, la nómina de la primera quincena</w:t>
      </w:r>
      <w:r w:rsidR="00A5795A" w:rsidRPr="00BE655A">
        <w:rPr>
          <w:rFonts w:ascii="Palatino Linotype" w:eastAsia="Calibri" w:hAnsi="Palatino Linotype"/>
          <w:bCs/>
          <w:sz w:val="22"/>
          <w:szCs w:val="22"/>
          <w:lang w:val="es-ES"/>
        </w:rPr>
        <w:t xml:space="preserve"> de enero de dos mil veinticinco, y, por otra parte, que presentó la solicitud</w:t>
      </w:r>
      <w:r w:rsidRPr="00BE655A">
        <w:rPr>
          <w:rFonts w:ascii="Palatino Linotype" w:eastAsia="Calibri" w:hAnsi="Palatino Linotype"/>
          <w:bCs/>
          <w:sz w:val="22"/>
          <w:szCs w:val="22"/>
          <w:lang w:val="es-ES"/>
        </w:rPr>
        <w:t xml:space="preserve"> </w:t>
      </w:r>
      <w:r w:rsidR="00A5795A" w:rsidRPr="00BE655A">
        <w:rPr>
          <w:rFonts w:ascii="Palatino Linotype" w:eastAsia="Calibri" w:hAnsi="Palatino Linotype"/>
          <w:bCs/>
          <w:sz w:val="22"/>
          <w:szCs w:val="22"/>
          <w:lang w:val="es-ES"/>
        </w:rPr>
        <w:t>e</w:t>
      </w:r>
      <w:r w:rsidRPr="00BE655A">
        <w:rPr>
          <w:rFonts w:ascii="Palatino Linotype" w:eastAsia="Calibri" w:hAnsi="Palatino Linotype"/>
          <w:bCs/>
          <w:sz w:val="22"/>
          <w:szCs w:val="22"/>
          <w:lang w:val="es-ES"/>
        </w:rPr>
        <w:t xml:space="preserve">l trece </w:t>
      </w:r>
      <w:r w:rsidR="00A5795A" w:rsidRPr="00BE655A">
        <w:rPr>
          <w:rFonts w:ascii="Palatino Linotype" w:eastAsia="Calibri" w:hAnsi="Palatino Linotype"/>
          <w:bCs/>
          <w:sz w:val="22"/>
          <w:szCs w:val="22"/>
          <w:lang w:val="es-ES"/>
        </w:rPr>
        <w:t>de dicho mes y año</w:t>
      </w:r>
      <w:r w:rsidRPr="00BE655A">
        <w:rPr>
          <w:rFonts w:ascii="Palatino Linotype" w:eastAsia="Calibri" w:hAnsi="Palatino Linotype"/>
          <w:bCs/>
          <w:sz w:val="22"/>
          <w:szCs w:val="22"/>
          <w:lang w:val="es-ES"/>
        </w:rPr>
        <w:t xml:space="preserve">, la cual no se había </w:t>
      </w:r>
      <w:r w:rsidR="00A5795A" w:rsidRPr="00BE655A">
        <w:rPr>
          <w:rFonts w:ascii="Palatino Linotype" w:eastAsia="Calibri" w:hAnsi="Palatino Linotype"/>
          <w:bCs/>
          <w:sz w:val="22"/>
          <w:szCs w:val="22"/>
          <w:lang w:val="es-ES"/>
        </w:rPr>
        <w:t>pagado en dicha fecha,</w:t>
      </w:r>
      <w:r w:rsidRPr="00BE655A">
        <w:rPr>
          <w:rFonts w:ascii="Palatino Linotype" w:eastAsia="Calibri" w:hAnsi="Palatino Linotype"/>
          <w:bCs/>
          <w:sz w:val="22"/>
          <w:szCs w:val="22"/>
          <w:lang w:val="es-ES"/>
        </w:rPr>
        <w:t xml:space="preserve"> toda vez que esta se genera del primero al quince, </w:t>
      </w:r>
      <w:r w:rsidR="00A5795A" w:rsidRPr="00BE655A">
        <w:rPr>
          <w:rFonts w:ascii="Palatino Linotype" w:eastAsia="Calibri" w:hAnsi="Palatino Linotype"/>
          <w:bCs/>
          <w:sz w:val="22"/>
          <w:szCs w:val="22"/>
          <w:lang w:val="es-ES"/>
        </w:rPr>
        <w:t>es decir, de manera quincenal.</w:t>
      </w:r>
    </w:p>
    <w:p w14:paraId="21DE4D02" w14:textId="77777777" w:rsidR="00F76D25" w:rsidRPr="00BE655A" w:rsidRDefault="00F76D25" w:rsidP="003927B3">
      <w:pPr>
        <w:spacing w:line="360" w:lineRule="auto"/>
        <w:contextualSpacing/>
        <w:jc w:val="both"/>
        <w:rPr>
          <w:rFonts w:ascii="Palatino Linotype" w:eastAsia="Calibri" w:hAnsi="Palatino Linotype"/>
          <w:bCs/>
          <w:sz w:val="22"/>
          <w:szCs w:val="22"/>
          <w:lang w:val="es-ES"/>
        </w:rPr>
      </w:pPr>
    </w:p>
    <w:p w14:paraId="4ED89C06" w14:textId="3C9F0CEC" w:rsidR="00A5795A" w:rsidRPr="00BE655A" w:rsidRDefault="00A5795A" w:rsidP="003927B3">
      <w:pPr>
        <w:spacing w:line="360" w:lineRule="auto"/>
        <w:contextualSpacing/>
        <w:jc w:val="both"/>
        <w:rPr>
          <w:rFonts w:ascii="Palatino Linotype" w:eastAsia="Calibri" w:hAnsi="Palatino Linotype"/>
          <w:bCs/>
          <w:sz w:val="22"/>
          <w:szCs w:val="22"/>
          <w:lang w:val="es-ES"/>
        </w:rPr>
      </w:pPr>
      <w:r w:rsidRPr="00BE655A">
        <w:rPr>
          <w:rFonts w:ascii="Palatino Linotype" w:eastAsia="Calibri" w:hAnsi="Palatino Linotype"/>
          <w:bCs/>
          <w:sz w:val="22"/>
          <w:szCs w:val="22"/>
          <w:lang w:val="es-ES"/>
        </w:rPr>
        <w:t xml:space="preserve">En ese contexto, </w:t>
      </w:r>
      <w:r w:rsidR="00F76D25" w:rsidRPr="00BE655A">
        <w:rPr>
          <w:rFonts w:ascii="Palatino Linotype" w:eastAsia="Calibri" w:hAnsi="Palatino Linotype"/>
          <w:bCs/>
          <w:sz w:val="22"/>
          <w:szCs w:val="22"/>
          <w:lang w:val="es-ES"/>
        </w:rPr>
        <w:t xml:space="preserve">en respuesta, el Sujeto Obligado indicó que después de realizar la búsqueda exhaustiva y razonable </w:t>
      </w:r>
      <w:r w:rsidR="00D148CE" w:rsidRPr="00BE655A">
        <w:rPr>
          <w:rFonts w:ascii="Palatino Linotype" w:eastAsia="Calibri" w:hAnsi="Palatino Linotype"/>
          <w:bCs/>
          <w:sz w:val="22"/>
          <w:szCs w:val="22"/>
          <w:lang w:val="es-ES"/>
        </w:rPr>
        <w:t>d</w:t>
      </w:r>
      <w:r w:rsidR="007E2C1F" w:rsidRPr="00BE655A">
        <w:rPr>
          <w:rFonts w:ascii="Palatino Linotype" w:eastAsia="Calibri" w:hAnsi="Palatino Linotype"/>
          <w:bCs/>
          <w:sz w:val="22"/>
          <w:szCs w:val="22"/>
          <w:lang w:val="es-ES"/>
        </w:rPr>
        <w:t>e la información</w:t>
      </w:r>
      <w:r w:rsidR="00D148CE" w:rsidRPr="00BE655A">
        <w:rPr>
          <w:rFonts w:ascii="Palatino Linotype" w:eastAsia="Calibri" w:hAnsi="Palatino Linotype"/>
          <w:bCs/>
          <w:sz w:val="22"/>
          <w:szCs w:val="22"/>
          <w:lang w:val="es-ES"/>
        </w:rPr>
        <w:t xml:space="preserve"> no se había localizado, </w:t>
      </w:r>
      <w:r w:rsidRPr="00BE655A">
        <w:rPr>
          <w:rFonts w:ascii="Palatino Linotype" w:eastAsia="Calibri" w:hAnsi="Palatino Linotype"/>
          <w:bCs/>
          <w:sz w:val="22"/>
          <w:szCs w:val="22"/>
          <w:lang w:val="es-ES"/>
        </w:rPr>
        <w:t>es decir, aludió a que era inexistente, lo cual toma sentido, pues como se refirió en el párrafo anterior, la nómina se paga de manera quincenal, por lo que, en el presente caso, al haber presentado la persona Recurrente, la solicitud el trece de dicho mes y año, se logra vislumbrar que la razón por la cual no contaba con lo peticionado, era porque no había concluido la quincena.</w:t>
      </w:r>
    </w:p>
    <w:p w14:paraId="32ADB7C3" w14:textId="77777777" w:rsidR="00A5795A" w:rsidRPr="00BE655A" w:rsidRDefault="00A5795A" w:rsidP="003927B3">
      <w:pPr>
        <w:spacing w:line="360" w:lineRule="auto"/>
        <w:contextualSpacing/>
        <w:jc w:val="both"/>
        <w:rPr>
          <w:rFonts w:ascii="Palatino Linotype" w:eastAsia="Calibri" w:hAnsi="Palatino Linotype"/>
          <w:bCs/>
          <w:sz w:val="22"/>
          <w:szCs w:val="22"/>
          <w:lang w:val="es-ES"/>
        </w:rPr>
      </w:pPr>
    </w:p>
    <w:p w14:paraId="5F1DF091" w14:textId="77777777" w:rsidR="00A5795A" w:rsidRPr="00BE655A" w:rsidRDefault="00A5795A" w:rsidP="00A5795A">
      <w:pPr>
        <w:spacing w:line="360" w:lineRule="auto"/>
        <w:contextualSpacing/>
        <w:jc w:val="both"/>
        <w:rPr>
          <w:rFonts w:ascii="Palatino Linotype" w:eastAsia="Calibri" w:hAnsi="Palatino Linotype"/>
          <w:bCs/>
          <w:sz w:val="22"/>
          <w:szCs w:val="22"/>
          <w:lang w:val="es-ES"/>
        </w:rPr>
      </w:pPr>
      <w:r w:rsidRPr="00BE655A">
        <w:rPr>
          <w:rFonts w:ascii="Palatino Linotype" w:eastAsia="Palatino Linotype" w:hAnsi="Palatino Linotype" w:cs="Palatino Linotype"/>
          <w:sz w:val="22"/>
          <w:szCs w:val="22"/>
        </w:rPr>
        <w:t xml:space="preserve">Conforme a lo anterior, se considera procedente validar la respuesta, en el sentido de que a la fecha de la solicitud el Sujeto Obligado no contaba con la obligación de generar la nómina solicitada, por lo que se considera que el agravio es </w:t>
      </w:r>
      <w:r w:rsidRPr="00BE655A">
        <w:rPr>
          <w:rFonts w:ascii="Palatino Linotype" w:eastAsia="Palatino Linotype" w:hAnsi="Palatino Linotype" w:cs="Palatino Linotype"/>
          <w:b/>
          <w:sz w:val="22"/>
          <w:szCs w:val="22"/>
        </w:rPr>
        <w:t>INFUNDADO.</w:t>
      </w:r>
    </w:p>
    <w:p w14:paraId="29972E30" w14:textId="77777777" w:rsidR="00A5795A" w:rsidRPr="00BE655A" w:rsidRDefault="00A5795A" w:rsidP="003927B3">
      <w:pPr>
        <w:spacing w:line="360" w:lineRule="auto"/>
        <w:contextualSpacing/>
        <w:jc w:val="both"/>
        <w:rPr>
          <w:rFonts w:ascii="Palatino Linotype" w:eastAsia="Calibri" w:hAnsi="Palatino Linotype"/>
          <w:bCs/>
          <w:sz w:val="22"/>
          <w:szCs w:val="22"/>
          <w:lang w:val="es-ES"/>
        </w:rPr>
      </w:pPr>
    </w:p>
    <w:p w14:paraId="14E39334" w14:textId="39A019FC" w:rsidR="007E2C1F" w:rsidRPr="00BE655A" w:rsidRDefault="00A5795A" w:rsidP="00D148CE">
      <w:pPr>
        <w:spacing w:line="360" w:lineRule="auto"/>
        <w:ind w:right="-28"/>
        <w:contextualSpacing/>
        <w:jc w:val="both"/>
        <w:rPr>
          <w:rFonts w:ascii="Palatino Linotype" w:eastAsia="Palatino Linotype" w:hAnsi="Palatino Linotype" w:cs="Palatino Linotype"/>
          <w:sz w:val="22"/>
          <w:szCs w:val="22"/>
        </w:rPr>
      </w:pPr>
      <w:r w:rsidRPr="00BE655A">
        <w:rPr>
          <w:rFonts w:ascii="Palatino Linotype" w:eastAsia="Calibri" w:hAnsi="Palatino Linotype"/>
          <w:bCs/>
          <w:sz w:val="22"/>
          <w:szCs w:val="22"/>
          <w:lang w:val="es-ES"/>
        </w:rPr>
        <w:t>Ahora bien, sin menoscabar lo anterior,</w:t>
      </w:r>
      <w:r w:rsidR="00D148CE" w:rsidRPr="00BE655A">
        <w:rPr>
          <w:rFonts w:ascii="Palatino Linotype" w:eastAsia="Calibri" w:hAnsi="Palatino Linotype"/>
          <w:bCs/>
          <w:sz w:val="22"/>
          <w:szCs w:val="22"/>
          <w:lang w:val="es-ES"/>
        </w:rPr>
        <w:t xml:space="preserve"> el Ente Recurrido durante </w:t>
      </w:r>
      <w:r w:rsidR="00D148CE" w:rsidRPr="00BE655A">
        <w:rPr>
          <w:rFonts w:ascii="Palatino Linotype" w:eastAsia="Palatino Linotype" w:hAnsi="Palatino Linotype" w:cs="Palatino Linotype"/>
          <w:sz w:val="22"/>
          <w:szCs w:val="22"/>
        </w:rPr>
        <w:t xml:space="preserve">durante la sustanciación del Medio de Impugnación, el área competente proporcionó un enlace por medio del cual se </w:t>
      </w:r>
      <w:r w:rsidR="00D148CE" w:rsidRPr="00BE655A">
        <w:rPr>
          <w:rFonts w:ascii="Palatino Linotype" w:eastAsia="Palatino Linotype" w:hAnsi="Palatino Linotype" w:cs="Palatino Linotype"/>
          <w:sz w:val="22"/>
          <w:szCs w:val="22"/>
        </w:rPr>
        <w:lastRenderedPageBreak/>
        <w:t>indicó que se localizaban los recibos de nómina de los fu</w:t>
      </w:r>
      <w:r w:rsidR="007E2C1F" w:rsidRPr="00BE655A">
        <w:rPr>
          <w:rFonts w:ascii="Palatino Linotype" w:eastAsia="Palatino Linotype" w:hAnsi="Palatino Linotype" w:cs="Palatino Linotype"/>
          <w:sz w:val="22"/>
          <w:szCs w:val="22"/>
        </w:rPr>
        <w:t>ncionarios públicos solicitados en formato cerrado que no daba cuenta de la información, toda vez que dichos documentos no forman parte de las obligaciones de transparencia de los Sujetos Obligados por lo que el enlace proporcionado no daba cuenta de lo peticionado. Además, ofreció la entrega de la información mediante consulta directa, lo cual implicaba un cambio de modalidad sin justificar que la información sobrepasaba las capacidades técnicas del SAIMEX</w:t>
      </w:r>
      <w:r w:rsidRPr="00BE655A">
        <w:rPr>
          <w:rFonts w:ascii="Palatino Linotype" w:eastAsia="Palatino Linotype" w:hAnsi="Palatino Linotype" w:cs="Palatino Linotype"/>
          <w:sz w:val="22"/>
          <w:szCs w:val="22"/>
        </w:rPr>
        <w:t>; sin embargo, toda vez que a la fecha de la solicitud, no contaba con la información solicitada, al no haberse generado</w:t>
      </w:r>
      <w:r w:rsidR="002C0F12" w:rsidRPr="00BE655A">
        <w:rPr>
          <w:rFonts w:ascii="Palatino Linotype" w:eastAsia="Palatino Linotype" w:hAnsi="Palatino Linotype" w:cs="Palatino Linotype"/>
          <w:sz w:val="22"/>
          <w:szCs w:val="22"/>
        </w:rPr>
        <w:t>, se considera que desde respuesta, el Ente Recurrido, cumplió con lo establecido en el artículo 19, párrafo segundo, de la Ley de la materia.</w:t>
      </w:r>
    </w:p>
    <w:p w14:paraId="2AFAA631" w14:textId="77777777" w:rsidR="007E2C1F" w:rsidRPr="00BE655A" w:rsidRDefault="007E2C1F" w:rsidP="00D148CE">
      <w:pPr>
        <w:spacing w:line="360" w:lineRule="auto"/>
        <w:ind w:right="-28"/>
        <w:contextualSpacing/>
        <w:jc w:val="both"/>
        <w:rPr>
          <w:rFonts w:ascii="Palatino Linotype" w:eastAsia="Palatino Linotype" w:hAnsi="Palatino Linotype" w:cs="Palatino Linotype"/>
          <w:sz w:val="22"/>
          <w:szCs w:val="22"/>
        </w:rPr>
      </w:pPr>
    </w:p>
    <w:p w14:paraId="5ED3CA21" w14:textId="415CD1FB" w:rsidR="001C2E7C" w:rsidRPr="00BE655A" w:rsidRDefault="001C2E7C" w:rsidP="001C2E7C">
      <w:pPr>
        <w:spacing w:line="360" w:lineRule="auto"/>
        <w:ind w:right="-28"/>
        <w:contextualSpacing/>
        <w:jc w:val="both"/>
        <w:rPr>
          <w:rFonts w:ascii="Palatino Linotype" w:eastAsia="Batang" w:hAnsi="Palatino Linotype" w:cs="Tahoma"/>
          <w:b/>
          <w:bCs/>
          <w:sz w:val="22"/>
          <w:szCs w:val="22"/>
        </w:rPr>
      </w:pPr>
      <w:r w:rsidRPr="00BE655A">
        <w:rPr>
          <w:rFonts w:ascii="Palatino Linotype" w:eastAsia="Batang" w:hAnsi="Palatino Linotype" w:cs="Tahoma"/>
          <w:b/>
          <w:bCs/>
          <w:sz w:val="22"/>
          <w:szCs w:val="22"/>
        </w:rPr>
        <w:t xml:space="preserve">Solicitud de información </w:t>
      </w:r>
      <w:r w:rsidRPr="00BE655A">
        <w:rPr>
          <w:rFonts w:ascii="Palatino Linotype" w:hAnsi="Palatino Linotype"/>
          <w:b/>
          <w:sz w:val="22"/>
          <w:szCs w:val="22"/>
        </w:rPr>
        <w:t xml:space="preserve">00048/TENANCIN/IP/2025 relacionado con el Recurso de revisión </w:t>
      </w:r>
      <w:r w:rsidRPr="00BE655A">
        <w:rPr>
          <w:rFonts w:ascii="Palatino Linotype" w:eastAsia="Calibri" w:hAnsi="Palatino Linotype" w:cs="Tahoma"/>
          <w:b/>
          <w:bCs/>
          <w:sz w:val="22"/>
          <w:szCs w:val="22"/>
          <w:lang w:eastAsia="en-US"/>
        </w:rPr>
        <w:t>01056/INFOEM/IP/RR/2025</w:t>
      </w:r>
      <w:r w:rsidRPr="00BE655A">
        <w:rPr>
          <w:rFonts w:ascii="Palatino Linotype" w:hAnsi="Palatino Linotype"/>
          <w:b/>
          <w:sz w:val="22"/>
          <w:szCs w:val="22"/>
        </w:rPr>
        <w:t xml:space="preserve"> </w:t>
      </w:r>
    </w:p>
    <w:p w14:paraId="20557A2C" w14:textId="77777777" w:rsidR="003927B3" w:rsidRPr="00BE655A" w:rsidRDefault="003927B3" w:rsidP="00DB35AD">
      <w:pPr>
        <w:spacing w:line="360" w:lineRule="auto"/>
        <w:ind w:right="-28"/>
        <w:contextualSpacing/>
        <w:jc w:val="both"/>
        <w:rPr>
          <w:rFonts w:ascii="Palatino Linotype" w:eastAsia="Palatino Linotype" w:hAnsi="Palatino Linotype" w:cs="Palatino Linotype"/>
          <w:sz w:val="22"/>
          <w:szCs w:val="22"/>
        </w:rPr>
      </w:pPr>
    </w:p>
    <w:p w14:paraId="1CADF074" w14:textId="308B7536" w:rsidR="003A1DAB" w:rsidRPr="00BE655A" w:rsidRDefault="002F7BB6" w:rsidP="002F7BB6">
      <w:pPr>
        <w:spacing w:line="360" w:lineRule="auto"/>
        <w:ind w:right="-28"/>
        <w:contextualSpacing/>
        <w:jc w:val="both"/>
        <w:rPr>
          <w:rFonts w:ascii="Palatino Linotype" w:eastAsia="Palatino Linotype" w:hAnsi="Palatino Linotype" w:cs="Palatino Linotype"/>
          <w:b/>
          <w:sz w:val="22"/>
          <w:szCs w:val="22"/>
        </w:rPr>
      </w:pPr>
      <w:r w:rsidRPr="00BE655A">
        <w:rPr>
          <w:rFonts w:ascii="Palatino Linotype" w:eastAsia="Palatino Linotype" w:hAnsi="Palatino Linotype" w:cs="Palatino Linotype"/>
          <w:b/>
          <w:sz w:val="22"/>
          <w:szCs w:val="22"/>
        </w:rPr>
        <w:t>Sueldos de los</w:t>
      </w:r>
      <w:r w:rsidR="003A1DAB" w:rsidRPr="00BE655A">
        <w:rPr>
          <w:rFonts w:ascii="Palatino Linotype" w:eastAsia="Palatino Linotype" w:hAnsi="Palatino Linotype" w:cs="Palatino Linotype"/>
          <w:b/>
          <w:sz w:val="22"/>
          <w:szCs w:val="22"/>
        </w:rPr>
        <w:t xml:space="preserve"> titulares de área, y montos destinados a dieta de los </w:t>
      </w:r>
      <w:r w:rsidRPr="00BE655A">
        <w:rPr>
          <w:rFonts w:ascii="Palatino Linotype" w:eastAsia="Palatino Linotype" w:hAnsi="Palatino Linotype" w:cs="Palatino Linotype"/>
          <w:b/>
          <w:sz w:val="22"/>
          <w:szCs w:val="22"/>
        </w:rPr>
        <w:t>miembros de cabildo Pr</w:t>
      </w:r>
      <w:r w:rsidR="003A1DAB" w:rsidRPr="00BE655A">
        <w:rPr>
          <w:rFonts w:ascii="Palatino Linotype" w:eastAsia="Palatino Linotype" w:hAnsi="Palatino Linotype" w:cs="Palatino Linotype"/>
          <w:b/>
          <w:sz w:val="22"/>
          <w:szCs w:val="22"/>
        </w:rPr>
        <w:t>esidenta, síndico y regidores</w:t>
      </w:r>
      <w:r w:rsidRPr="00BE655A">
        <w:rPr>
          <w:rFonts w:ascii="Palatino Linotype" w:eastAsia="Palatino Linotype" w:hAnsi="Palatino Linotype" w:cs="Palatino Linotype"/>
          <w:b/>
          <w:sz w:val="22"/>
          <w:szCs w:val="22"/>
        </w:rPr>
        <w:t>.</w:t>
      </w:r>
    </w:p>
    <w:p w14:paraId="38B69620" w14:textId="77777777" w:rsidR="003F6436" w:rsidRPr="00BE655A" w:rsidRDefault="003F6436" w:rsidP="003F6436">
      <w:pPr>
        <w:spacing w:line="360" w:lineRule="auto"/>
        <w:ind w:right="-28"/>
        <w:contextualSpacing/>
        <w:jc w:val="both"/>
        <w:rPr>
          <w:rFonts w:ascii="Palatino Linotype" w:hAnsi="Palatino Linotype" w:cs="Tahoma"/>
          <w:bCs/>
          <w:iCs/>
          <w:sz w:val="22"/>
          <w:szCs w:val="22"/>
        </w:rPr>
      </w:pPr>
    </w:p>
    <w:p w14:paraId="1122BB02" w14:textId="67EC67CE" w:rsidR="003A1DAB" w:rsidRPr="00BE655A" w:rsidRDefault="003A1DAB" w:rsidP="003A1DAB">
      <w:pPr>
        <w:spacing w:line="360" w:lineRule="auto"/>
        <w:ind w:right="-28"/>
        <w:contextualSpacing/>
        <w:jc w:val="both"/>
        <w:rPr>
          <w:rFonts w:ascii="Palatino Linotype" w:eastAsia="Palatino Linotype" w:hAnsi="Palatino Linotype" w:cs="Palatino Linotype"/>
          <w:sz w:val="22"/>
          <w:szCs w:val="22"/>
        </w:rPr>
      </w:pPr>
      <w:r w:rsidRPr="00BE655A">
        <w:rPr>
          <w:rFonts w:ascii="Palatino Linotype" w:hAnsi="Palatino Linotype" w:cs="Tahoma"/>
          <w:bCs/>
          <w:iCs/>
          <w:sz w:val="22"/>
          <w:szCs w:val="22"/>
        </w:rPr>
        <w:t xml:space="preserve">En respuesta, el área competente indicó que no había localizado la información que diera cuenta de lo peticionado. </w:t>
      </w:r>
      <w:r w:rsidRPr="00BE655A">
        <w:rPr>
          <w:rFonts w:ascii="Palatino Linotype" w:eastAsia="Palatino Linotype" w:hAnsi="Palatino Linotype" w:cs="Palatino Linotype"/>
          <w:sz w:val="22"/>
          <w:szCs w:val="22"/>
        </w:rPr>
        <w:t xml:space="preserve">No obstante, durante la sustanciación del Medio de Impugnación, el área competente proporcionó un enlace por el que indicó que se localizaban los sueldos de los funcionarios públicos solicitados. </w:t>
      </w:r>
    </w:p>
    <w:p w14:paraId="7DE7441B" w14:textId="77777777" w:rsidR="003A1DAB" w:rsidRPr="00BE655A" w:rsidRDefault="003A1DAB" w:rsidP="003A1DAB">
      <w:pPr>
        <w:spacing w:line="360" w:lineRule="auto"/>
        <w:ind w:right="-28"/>
        <w:contextualSpacing/>
        <w:jc w:val="both"/>
        <w:rPr>
          <w:rFonts w:ascii="Palatino Linotype" w:eastAsia="Palatino Linotype" w:hAnsi="Palatino Linotype" w:cs="Palatino Linotype"/>
          <w:sz w:val="22"/>
          <w:szCs w:val="22"/>
        </w:rPr>
      </w:pPr>
    </w:p>
    <w:p w14:paraId="40961732" w14:textId="7357343B" w:rsidR="003A1DAB" w:rsidRPr="00BE655A" w:rsidRDefault="003A1DAB" w:rsidP="003A1DAB">
      <w:pPr>
        <w:spacing w:line="360" w:lineRule="auto"/>
        <w:ind w:right="-28"/>
        <w:contextualSpacing/>
        <w:jc w:val="both"/>
        <w:rPr>
          <w:rFonts w:ascii="Palatino Linotype" w:eastAsia="Palatino Linotype" w:hAnsi="Palatino Linotype" w:cs="Palatino Linotype"/>
          <w:sz w:val="22"/>
          <w:szCs w:val="22"/>
        </w:rPr>
      </w:pPr>
      <w:r w:rsidRPr="00BE655A">
        <w:rPr>
          <w:rFonts w:ascii="Palatino Linotype" w:eastAsia="Palatino Linotype" w:hAnsi="Palatino Linotype" w:cs="Palatino Linotype"/>
          <w:sz w:val="22"/>
          <w:szCs w:val="22"/>
        </w:rPr>
        <w:t xml:space="preserve">Así, de la revisión de dicho enlace </w:t>
      </w:r>
      <w:r w:rsidRPr="00BE655A">
        <w:rPr>
          <w:rFonts w:ascii="Palatino Linotype" w:hAnsi="Palatino Linotype" w:cs="Tahoma"/>
          <w:bCs/>
          <w:iCs/>
          <w:color w:val="0D0D0D" w:themeColor="text1" w:themeTint="F2"/>
          <w:sz w:val="22"/>
          <w:szCs w:val="22"/>
        </w:rPr>
        <w:t xml:space="preserve">se logró advertir que se encuentran en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w:t>
      </w:r>
      <w:r w:rsidRPr="00BE655A">
        <w:rPr>
          <w:rFonts w:ascii="Palatino Linotype" w:hAnsi="Palatino Linotype" w:cs="Tahoma"/>
          <w:bCs/>
          <w:iCs/>
          <w:color w:val="0D0D0D" w:themeColor="text1" w:themeTint="F2"/>
          <w:sz w:val="22"/>
          <w:szCs w:val="22"/>
        </w:rPr>
        <w:lastRenderedPageBreak/>
        <w:t>información contenga datos en formatos y estándares abiertos para su reproducción y reutilización electrónica de manera libre y sin ninguna restricción.</w:t>
      </w:r>
    </w:p>
    <w:p w14:paraId="5904BD31"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r w:rsidRPr="00BE655A">
        <w:rPr>
          <w:rFonts w:ascii="Palatino Linotype" w:hAnsi="Palatino Linotype" w:cs="Tahoma"/>
          <w:bCs/>
          <w:iCs/>
          <w:color w:val="0D0D0D" w:themeColor="text1" w:themeTint="F2"/>
          <w:sz w:val="22"/>
          <w:szCs w:val="22"/>
        </w:rPr>
        <w:t xml:space="preserve"> </w:t>
      </w:r>
    </w:p>
    <w:p w14:paraId="25DAED73"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r w:rsidRPr="00BE655A">
        <w:rPr>
          <w:rFonts w:ascii="Palatino Linotype" w:hAnsi="Palatino Linotype" w:cs="Tahoma"/>
          <w:bCs/>
          <w:iCs/>
          <w:color w:val="0D0D0D" w:themeColor="text1" w:themeTint="F2"/>
          <w:sz w:val="22"/>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AD416CA"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r w:rsidRPr="00BE655A">
        <w:rPr>
          <w:rFonts w:ascii="Palatino Linotype" w:hAnsi="Palatino Linotype" w:cs="Tahoma"/>
          <w:bCs/>
          <w:iCs/>
          <w:color w:val="0D0D0D" w:themeColor="text1" w:themeTint="F2"/>
          <w:sz w:val="22"/>
          <w:szCs w:val="22"/>
        </w:rPr>
        <w:t xml:space="preserve"> </w:t>
      </w:r>
    </w:p>
    <w:p w14:paraId="157B1E33"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r w:rsidRPr="00BE655A">
        <w:rPr>
          <w:rFonts w:ascii="Palatino Linotype" w:hAnsi="Palatino Linotype" w:cs="Tahoma"/>
          <w:bCs/>
          <w:iCs/>
          <w:color w:val="0D0D0D" w:themeColor="text1" w:themeTint="F2"/>
          <w:sz w:val="22"/>
          <w:szCs w:val="22"/>
        </w:rPr>
        <w:t>En ese contexto, el artículo 3°, fracciones VIII y XVI de la Ley de Transparencia y Acceso a la Información Pública del Estado de México y Municipios, precisan lo siguiente:</w:t>
      </w:r>
    </w:p>
    <w:p w14:paraId="2F4243B3"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p>
    <w:p w14:paraId="1C2BF435" w14:textId="77777777" w:rsidR="003A1DAB" w:rsidRPr="00BE655A" w:rsidRDefault="003A1DAB" w:rsidP="003A1DAB">
      <w:pPr>
        <w:numPr>
          <w:ilvl w:val="0"/>
          <w:numId w:val="34"/>
        </w:numPr>
        <w:spacing w:line="360" w:lineRule="auto"/>
        <w:ind w:right="-28"/>
        <w:contextualSpacing/>
        <w:jc w:val="both"/>
        <w:rPr>
          <w:rFonts w:ascii="Palatino Linotype" w:hAnsi="Palatino Linotype" w:cs="Tahoma"/>
          <w:b/>
          <w:iCs/>
          <w:color w:val="0D0D0D" w:themeColor="text1" w:themeTint="F2"/>
          <w:sz w:val="22"/>
          <w:szCs w:val="22"/>
        </w:rPr>
      </w:pPr>
      <w:r w:rsidRPr="00BE655A">
        <w:rPr>
          <w:rFonts w:ascii="Palatino Linotype" w:hAnsi="Palatino Linotype" w:cs="Tahoma"/>
          <w:b/>
          <w:iCs/>
          <w:color w:val="0D0D0D" w:themeColor="text1" w:themeTint="F2"/>
          <w:sz w:val="22"/>
          <w:szCs w:val="22"/>
        </w:rPr>
        <w:t xml:space="preserve">Dato abierto: </w:t>
      </w:r>
      <w:r w:rsidRPr="00BE655A">
        <w:rPr>
          <w:rFonts w:ascii="Palatino Linotype" w:hAnsi="Palatino Linotype" w:cs="Tahoma"/>
          <w:bCs/>
          <w:iCs/>
          <w:color w:val="0D0D0D" w:themeColor="text1" w:themeTint="F2"/>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D446859" w14:textId="77777777" w:rsidR="003A1DAB" w:rsidRPr="00BE655A" w:rsidRDefault="003A1DAB" w:rsidP="003A1DAB">
      <w:pPr>
        <w:spacing w:line="360" w:lineRule="auto"/>
        <w:ind w:right="-28"/>
        <w:contextualSpacing/>
        <w:jc w:val="both"/>
        <w:rPr>
          <w:rFonts w:ascii="Palatino Linotype" w:hAnsi="Palatino Linotype" w:cs="Tahoma"/>
          <w:b/>
          <w:iCs/>
          <w:color w:val="0D0D0D" w:themeColor="text1" w:themeTint="F2"/>
          <w:sz w:val="22"/>
          <w:szCs w:val="22"/>
        </w:rPr>
      </w:pPr>
      <w:r w:rsidRPr="00BE655A">
        <w:rPr>
          <w:rFonts w:ascii="Palatino Linotype" w:hAnsi="Palatino Linotype" w:cs="Tahoma"/>
          <w:b/>
          <w:iCs/>
          <w:color w:val="0D0D0D" w:themeColor="text1" w:themeTint="F2"/>
          <w:sz w:val="22"/>
          <w:szCs w:val="22"/>
        </w:rPr>
        <w:t xml:space="preserve"> </w:t>
      </w:r>
    </w:p>
    <w:p w14:paraId="24640908" w14:textId="77777777" w:rsidR="003A1DAB" w:rsidRPr="00BE655A" w:rsidRDefault="003A1DAB" w:rsidP="003A1DAB">
      <w:pPr>
        <w:numPr>
          <w:ilvl w:val="0"/>
          <w:numId w:val="34"/>
        </w:numPr>
        <w:spacing w:line="360" w:lineRule="auto"/>
        <w:ind w:right="-28"/>
        <w:contextualSpacing/>
        <w:jc w:val="both"/>
        <w:rPr>
          <w:rFonts w:ascii="Palatino Linotype" w:hAnsi="Palatino Linotype" w:cs="Tahoma"/>
          <w:b/>
          <w:iCs/>
          <w:color w:val="0D0D0D" w:themeColor="text1" w:themeTint="F2"/>
          <w:sz w:val="22"/>
          <w:szCs w:val="22"/>
        </w:rPr>
      </w:pPr>
      <w:r w:rsidRPr="00BE655A">
        <w:rPr>
          <w:rFonts w:ascii="Palatino Linotype" w:hAnsi="Palatino Linotype" w:cs="Tahoma"/>
          <w:b/>
          <w:iCs/>
          <w:color w:val="0D0D0D" w:themeColor="text1" w:themeTint="F2"/>
          <w:sz w:val="22"/>
          <w:szCs w:val="22"/>
        </w:rPr>
        <w:t xml:space="preserve">Formato accesible: </w:t>
      </w:r>
      <w:r w:rsidRPr="00BE655A">
        <w:rPr>
          <w:rFonts w:ascii="Palatino Linotype" w:hAnsi="Palatino Linotype" w:cs="Tahoma"/>
          <w:bCs/>
          <w:iCs/>
          <w:color w:val="0D0D0D" w:themeColor="text1" w:themeTint="F2"/>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CBB448F"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r w:rsidRPr="00BE655A">
        <w:rPr>
          <w:rFonts w:ascii="Palatino Linotype" w:hAnsi="Palatino Linotype" w:cs="Tahoma"/>
          <w:bCs/>
          <w:iCs/>
          <w:color w:val="0D0D0D" w:themeColor="text1" w:themeTint="F2"/>
          <w:sz w:val="22"/>
          <w:szCs w:val="22"/>
        </w:rPr>
        <w:t xml:space="preserve"> </w:t>
      </w:r>
    </w:p>
    <w:p w14:paraId="2741F4D2"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r w:rsidRPr="00BE655A">
        <w:rPr>
          <w:rFonts w:ascii="Palatino Linotype" w:hAnsi="Palatino Linotype" w:cs="Tahoma"/>
          <w:bCs/>
          <w:iCs/>
          <w:color w:val="0D0D0D" w:themeColor="text1" w:themeTint="F2"/>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2859F215" w14:textId="77777777" w:rsidR="003A1DAB" w:rsidRPr="00BE655A" w:rsidRDefault="003A1DAB" w:rsidP="003A1DAB">
      <w:pPr>
        <w:spacing w:line="360" w:lineRule="auto"/>
        <w:ind w:right="-28"/>
        <w:contextualSpacing/>
        <w:jc w:val="both"/>
        <w:rPr>
          <w:rFonts w:ascii="Palatino Linotype" w:hAnsi="Palatino Linotype" w:cs="Tahoma"/>
          <w:bCs/>
          <w:iCs/>
          <w:color w:val="0D0D0D" w:themeColor="text1" w:themeTint="F2"/>
          <w:sz w:val="22"/>
          <w:szCs w:val="22"/>
        </w:rPr>
      </w:pPr>
      <w:r w:rsidRPr="00BE655A">
        <w:rPr>
          <w:rFonts w:ascii="Palatino Linotype" w:hAnsi="Palatino Linotype" w:cs="Tahoma"/>
          <w:bCs/>
          <w:iCs/>
          <w:color w:val="0D0D0D" w:themeColor="text1" w:themeTint="F2"/>
          <w:sz w:val="22"/>
          <w:szCs w:val="22"/>
        </w:rPr>
        <w:t xml:space="preserve"> </w:t>
      </w:r>
    </w:p>
    <w:p w14:paraId="1DA8E8A5" w14:textId="77777777" w:rsidR="003A1DAB" w:rsidRPr="00BE655A" w:rsidRDefault="003A1DAB" w:rsidP="003A1DAB">
      <w:pPr>
        <w:spacing w:line="360" w:lineRule="auto"/>
        <w:ind w:right="-28"/>
        <w:contextualSpacing/>
        <w:jc w:val="both"/>
        <w:rPr>
          <w:rFonts w:ascii="Palatino Linotype" w:hAnsi="Palatino Linotype" w:cs="Tahoma"/>
          <w:bCs/>
          <w:color w:val="0D0D0D" w:themeColor="text1" w:themeTint="F2"/>
          <w:sz w:val="22"/>
          <w:szCs w:val="22"/>
        </w:rPr>
      </w:pPr>
      <w:r w:rsidRPr="00BE655A">
        <w:rPr>
          <w:rFonts w:ascii="Palatino Linotype" w:hAnsi="Palatino Linotype" w:cs="Tahoma"/>
          <w:bCs/>
          <w:color w:val="0D0D0D" w:themeColor="text1" w:themeTint="F2"/>
          <w:sz w:val="22"/>
          <w:szCs w:val="22"/>
        </w:rPr>
        <w:lastRenderedPageBreak/>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73F1D3AF" w14:textId="77777777" w:rsidR="003A1DAB" w:rsidRPr="00BE655A" w:rsidRDefault="003A1DAB" w:rsidP="003A1DAB">
      <w:pPr>
        <w:spacing w:line="360" w:lineRule="auto"/>
        <w:ind w:right="-28"/>
        <w:contextualSpacing/>
        <w:jc w:val="both"/>
        <w:rPr>
          <w:rFonts w:ascii="Palatino Linotype" w:eastAsia="Palatino Linotype" w:hAnsi="Palatino Linotype" w:cs="Palatino Linotype"/>
          <w:sz w:val="22"/>
          <w:szCs w:val="22"/>
        </w:rPr>
      </w:pPr>
    </w:p>
    <w:p w14:paraId="616E3BE4" w14:textId="22DD317B" w:rsidR="00132F5F" w:rsidRPr="00BE655A" w:rsidRDefault="003A1DAB" w:rsidP="00DB35AD">
      <w:pPr>
        <w:spacing w:line="360" w:lineRule="auto"/>
        <w:ind w:right="-28"/>
        <w:contextualSpacing/>
        <w:jc w:val="both"/>
        <w:rPr>
          <w:rFonts w:ascii="Palatino Linotype" w:eastAsia="Palatino Linotype" w:hAnsi="Palatino Linotype" w:cs="Palatino Linotype"/>
          <w:sz w:val="22"/>
          <w:szCs w:val="22"/>
        </w:rPr>
      </w:pPr>
      <w:r w:rsidRPr="00BE655A">
        <w:rPr>
          <w:rFonts w:ascii="Palatino Linotype" w:hAnsi="Palatino Linotype" w:cs="Tahoma"/>
          <w:bCs/>
          <w:color w:val="0D0D0D" w:themeColor="text1" w:themeTint="F2"/>
          <w:sz w:val="22"/>
          <w:szCs w:val="22"/>
        </w:rPr>
        <w:t xml:space="preserve">Así, el Sujeto Obligado si bien proporcionó un enlace de página electrónica, lo cierto es que omitió proporcionarla en formato abierto, lo cual implica la dificultad de acceder a la misma, pues se traduce </w:t>
      </w:r>
      <w:r w:rsidRPr="00BE655A">
        <w:rPr>
          <w:rFonts w:ascii="Palatino Linotype" w:hAnsi="Palatino Linotype" w:cs="Tahoma"/>
          <w:bCs/>
          <w:iCs/>
          <w:color w:val="0D0D0D" w:themeColor="text1" w:themeTint="F2"/>
          <w:sz w:val="22"/>
          <w:szCs w:val="22"/>
        </w:rPr>
        <w:t xml:space="preserve">al hecho de que el Particular tendría que colocar cada dígito alfanumérico, y cuya equivocación implicaría no acceder a la información contenida en las mismas, por lo que, se considera que no se atendió </w:t>
      </w:r>
      <w:r w:rsidRPr="00BE655A">
        <w:rPr>
          <w:rFonts w:ascii="Palatino Linotype" w:hAnsi="Palatino Linotype" w:cs="Tahoma"/>
          <w:bCs/>
          <w:color w:val="0D0D0D" w:themeColor="text1" w:themeTint="F2"/>
          <w:sz w:val="22"/>
          <w:szCs w:val="22"/>
        </w:rPr>
        <w:t xml:space="preserve">lo establecido en el artículo 161 de la Ley de Transparencia y Acceso a la Información Pública del Estado de México y Municipios, por lo que, no se puede validar la respuesta. </w:t>
      </w:r>
      <w:r w:rsidRPr="00BE655A">
        <w:rPr>
          <w:rFonts w:ascii="Palatino Linotype" w:eastAsia="Palatino Linotype" w:hAnsi="Palatino Linotype" w:cs="Palatino Linotype"/>
          <w:sz w:val="22"/>
          <w:szCs w:val="22"/>
        </w:rPr>
        <w:t xml:space="preserve"> </w:t>
      </w:r>
    </w:p>
    <w:p w14:paraId="737BB8F0" w14:textId="77777777" w:rsidR="003A1DAB" w:rsidRPr="00BE655A" w:rsidRDefault="003A1DAB" w:rsidP="00DB35AD">
      <w:pPr>
        <w:spacing w:line="360" w:lineRule="auto"/>
        <w:ind w:right="-28"/>
        <w:contextualSpacing/>
        <w:jc w:val="both"/>
        <w:rPr>
          <w:rFonts w:ascii="Palatino Linotype" w:eastAsia="Palatino Linotype" w:hAnsi="Palatino Linotype" w:cs="Palatino Linotype"/>
          <w:sz w:val="22"/>
          <w:szCs w:val="22"/>
        </w:rPr>
      </w:pPr>
    </w:p>
    <w:p w14:paraId="6C72B29D" w14:textId="1F039643" w:rsidR="003A1DAB" w:rsidRPr="00BE655A" w:rsidRDefault="003A1DAB" w:rsidP="00DB35AD">
      <w:pPr>
        <w:spacing w:line="360" w:lineRule="auto"/>
        <w:ind w:right="-28"/>
        <w:contextualSpacing/>
        <w:jc w:val="both"/>
        <w:rPr>
          <w:rFonts w:ascii="Palatino Linotype" w:hAnsi="Palatino Linotype" w:cs="Tahoma"/>
          <w:bCs/>
          <w:iCs/>
          <w:sz w:val="22"/>
          <w:szCs w:val="22"/>
        </w:rPr>
      </w:pPr>
      <w:r w:rsidRPr="00BE655A">
        <w:rPr>
          <w:rFonts w:ascii="Palatino Linotype" w:eastAsia="Palatino Linotype" w:hAnsi="Palatino Linotype" w:cs="Palatino Linotype"/>
          <w:sz w:val="22"/>
          <w:szCs w:val="22"/>
        </w:rPr>
        <w:t xml:space="preserve">Sobre lo peticionado, resulta oportuno señalar que la información requerida corresponde a obligaciones de transparencia comunes establecidas en el </w:t>
      </w:r>
      <w:r w:rsidRPr="00BE655A">
        <w:rPr>
          <w:rFonts w:ascii="Palatino Linotype" w:hAnsi="Palatino Linotype" w:cs="Tahoma"/>
          <w:bCs/>
          <w:iCs/>
          <w:sz w:val="22"/>
          <w:szCs w:val="22"/>
        </w:rPr>
        <w:t>artículo 92, fracción VIII, que, la información sobre las remuneraciones de todos los servidores públicos, corresponde a una Obligación Común de Transparencia para los Sujetos Obligados, por lo que deberá proporcionar dicha información.</w:t>
      </w:r>
    </w:p>
    <w:p w14:paraId="252E4C39" w14:textId="77777777" w:rsidR="00AB5866" w:rsidRPr="00BE655A" w:rsidRDefault="00AB5866" w:rsidP="00DB35AD">
      <w:pPr>
        <w:tabs>
          <w:tab w:val="left" w:pos="4962"/>
        </w:tabs>
        <w:spacing w:line="360" w:lineRule="auto"/>
        <w:ind w:right="-28"/>
        <w:contextualSpacing/>
        <w:jc w:val="both"/>
        <w:rPr>
          <w:rFonts w:ascii="Palatino Linotype" w:eastAsia="Batang" w:hAnsi="Palatino Linotype" w:cs="Tahoma"/>
          <w:bCs/>
          <w:sz w:val="22"/>
          <w:szCs w:val="22"/>
        </w:rPr>
      </w:pPr>
    </w:p>
    <w:p w14:paraId="74943CF7" w14:textId="65C9F890" w:rsidR="00650C9B" w:rsidRPr="00BE655A" w:rsidRDefault="00354613" w:rsidP="00DB35AD">
      <w:pPr>
        <w:spacing w:line="360" w:lineRule="auto"/>
        <w:ind w:right="-28"/>
        <w:contextualSpacing/>
        <w:jc w:val="both"/>
        <w:rPr>
          <w:rFonts w:ascii="Palatino Linotype" w:hAnsi="Palatino Linotype" w:cs="Tahoma"/>
          <w:iCs/>
          <w:sz w:val="22"/>
          <w:szCs w:val="22"/>
        </w:rPr>
      </w:pPr>
      <w:r w:rsidRPr="00BE655A">
        <w:rPr>
          <w:rFonts w:ascii="Palatino Linotype" w:eastAsia="Calibri" w:hAnsi="Palatino Linotype" w:cs="Tahoma"/>
          <w:bCs/>
          <w:color w:val="000000"/>
          <w:sz w:val="22"/>
          <w:szCs w:val="22"/>
          <w:lang w:val="es-ES"/>
        </w:rPr>
        <w:t>Conforme a lo anterior, el Ayuntamiento de Tenancingo</w:t>
      </w:r>
      <w:r w:rsidRPr="00BE655A">
        <w:rPr>
          <w:rFonts w:ascii="Palatino Linotype" w:hAnsi="Palatino Linotype" w:cs="Tahoma"/>
          <w:iCs/>
          <w:sz w:val="22"/>
          <w:szCs w:val="22"/>
        </w:rPr>
        <w:t xml:space="preserve">, </w:t>
      </w:r>
      <w:r w:rsidR="003A1DAB" w:rsidRPr="00BE655A">
        <w:rPr>
          <w:rFonts w:ascii="Palatino Linotype" w:hAnsi="Palatino Linotype" w:cs="Tahoma"/>
          <w:iCs/>
          <w:sz w:val="22"/>
          <w:szCs w:val="22"/>
        </w:rPr>
        <w:t xml:space="preserve">si bien en </w:t>
      </w:r>
      <w:r w:rsidR="004E1667" w:rsidRPr="00BE655A">
        <w:rPr>
          <w:rFonts w:ascii="Palatino Linotype" w:hAnsi="Palatino Linotype" w:cs="Tahoma"/>
          <w:iCs/>
          <w:sz w:val="22"/>
          <w:szCs w:val="22"/>
        </w:rPr>
        <w:t xml:space="preserve">respuesta indicó que no había localizado la información, lo cierto es que mediante la sustanciación del medio de impugnación remitió la liga que podría dar cuenta de lo peticionado, sin embargo la proporcionó en formato cerrado,  por lo que </w:t>
      </w:r>
      <w:r w:rsidRPr="00BE655A">
        <w:rPr>
          <w:rFonts w:ascii="Palatino Linotype" w:hAnsi="Palatino Linotype" w:cs="Tahoma"/>
          <w:iCs/>
          <w:sz w:val="22"/>
          <w:szCs w:val="22"/>
        </w:rPr>
        <w:t>no</w:t>
      </w:r>
      <w:r w:rsidR="004E1667" w:rsidRPr="00BE655A">
        <w:rPr>
          <w:rFonts w:ascii="Palatino Linotype" w:hAnsi="Palatino Linotype" w:cs="Tahoma"/>
          <w:iCs/>
          <w:sz w:val="22"/>
          <w:szCs w:val="22"/>
        </w:rPr>
        <w:t xml:space="preserve"> se puede validar</w:t>
      </w:r>
      <w:r w:rsidRPr="00BE655A">
        <w:rPr>
          <w:rFonts w:ascii="Palatino Linotype" w:hAnsi="Palatino Linotype" w:cs="Tahoma"/>
          <w:iCs/>
          <w:sz w:val="22"/>
          <w:szCs w:val="22"/>
        </w:rPr>
        <w:t xml:space="preserve">, lo cual da como resultado que el agravio resulte </w:t>
      </w:r>
      <w:r w:rsidRPr="00BE655A">
        <w:rPr>
          <w:rFonts w:ascii="Palatino Linotype" w:hAnsi="Palatino Linotype" w:cs="Tahoma"/>
          <w:b/>
          <w:bCs/>
          <w:iCs/>
          <w:sz w:val="22"/>
          <w:szCs w:val="22"/>
        </w:rPr>
        <w:t>FUNDADO</w:t>
      </w:r>
      <w:r w:rsidRPr="00BE655A">
        <w:rPr>
          <w:rFonts w:ascii="Palatino Linotype" w:hAnsi="Palatino Linotype" w:cs="Tahoma"/>
          <w:iCs/>
          <w:sz w:val="22"/>
          <w:szCs w:val="22"/>
        </w:rPr>
        <w:t>.</w:t>
      </w:r>
      <w:r w:rsidR="001C4352" w:rsidRPr="00BE655A">
        <w:rPr>
          <w:rFonts w:ascii="Palatino Linotype" w:hAnsi="Palatino Linotype" w:cs="Tahoma"/>
          <w:iCs/>
          <w:sz w:val="22"/>
          <w:szCs w:val="22"/>
        </w:rPr>
        <w:t xml:space="preserve"> </w:t>
      </w:r>
    </w:p>
    <w:p w14:paraId="22385B22" w14:textId="77777777" w:rsidR="00650C9B" w:rsidRPr="00BE655A" w:rsidRDefault="00650C9B" w:rsidP="00DB35AD">
      <w:pPr>
        <w:spacing w:line="360" w:lineRule="auto"/>
        <w:ind w:right="-28"/>
        <w:contextualSpacing/>
        <w:jc w:val="both"/>
        <w:rPr>
          <w:rFonts w:ascii="Palatino Linotype" w:hAnsi="Palatino Linotype" w:cs="Tahoma"/>
          <w:iCs/>
          <w:sz w:val="22"/>
          <w:szCs w:val="22"/>
        </w:rPr>
      </w:pPr>
    </w:p>
    <w:p w14:paraId="672ED798" w14:textId="77777777" w:rsidR="004E1667" w:rsidRPr="00BE655A" w:rsidRDefault="00650C9B" w:rsidP="004E1667">
      <w:pPr>
        <w:spacing w:line="360" w:lineRule="auto"/>
        <w:ind w:right="-28"/>
        <w:contextualSpacing/>
        <w:jc w:val="both"/>
        <w:rPr>
          <w:rFonts w:ascii="Palatino Linotype" w:eastAsia="Calibri" w:hAnsi="Palatino Linotype" w:cs="Tahoma"/>
          <w:bCs/>
          <w:color w:val="000000"/>
          <w:sz w:val="22"/>
          <w:szCs w:val="24"/>
          <w:lang w:eastAsia="es-MX"/>
        </w:rPr>
      </w:pPr>
      <w:r w:rsidRPr="00BE655A">
        <w:rPr>
          <w:rFonts w:ascii="Palatino Linotype" w:hAnsi="Palatino Linotype" w:cs="Tahoma"/>
          <w:iCs/>
          <w:sz w:val="22"/>
          <w:szCs w:val="22"/>
        </w:rPr>
        <w:lastRenderedPageBreak/>
        <w:t xml:space="preserve">Así, </w:t>
      </w:r>
      <w:r w:rsidRPr="00BE655A">
        <w:rPr>
          <w:rFonts w:ascii="Palatino Linotype" w:eastAsia="Calibri" w:hAnsi="Palatino Linotype" w:cs="Tahoma"/>
          <w:iCs/>
          <w:sz w:val="22"/>
          <w:szCs w:val="22"/>
          <w:lang w:eastAsia="es-ES_tradnl"/>
        </w:rPr>
        <w:t>se considera que</w:t>
      </w:r>
      <w:r w:rsidR="004B4C9A" w:rsidRPr="00BE655A">
        <w:rPr>
          <w:rFonts w:ascii="Palatino Linotype" w:hAnsi="Palatino Linotype" w:cs="Arial"/>
          <w:sz w:val="22"/>
          <w:szCs w:val="22"/>
        </w:rPr>
        <w:t xml:space="preserve">, para atender el requerimiento de información, el Sujeto Obligado, deberá </w:t>
      </w:r>
      <w:r w:rsidR="004B4C9A" w:rsidRPr="00BE655A">
        <w:rPr>
          <w:rFonts w:ascii="Palatino Linotype" w:eastAsia="Palatino Linotype" w:hAnsi="Palatino Linotype" w:cs="Palatino Linotype"/>
          <w:color w:val="000000"/>
          <w:sz w:val="22"/>
          <w:szCs w:val="22"/>
          <w:lang w:eastAsia="es-MX"/>
        </w:rPr>
        <w:t xml:space="preserve">realizar una búsqueda exhaustiva y razonable, en términos del artículo 162 de la Ley de Transparencia y Acceso a la Información Pública del Estado de México y Municipios, en la </w:t>
      </w:r>
      <w:r w:rsidR="004B4C9A" w:rsidRPr="00BE655A">
        <w:rPr>
          <w:rFonts w:ascii="Palatino Linotype" w:eastAsia="Calibri" w:hAnsi="Palatino Linotype" w:cs="Tahoma"/>
          <w:bCs/>
          <w:color w:val="000000"/>
          <w:sz w:val="22"/>
          <w:szCs w:val="24"/>
          <w:lang w:eastAsia="es-MX"/>
        </w:rPr>
        <w:t xml:space="preserve">Dirección de Administración, </w:t>
      </w:r>
      <w:r w:rsidR="004E1667" w:rsidRPr="00BE655A">
        <w:rPr>
          <w:rFonts w:ascii="Palatino Linotype" w:eastAsia="Calibri" w:hAnsi="Palatino Linotype" w:cs="Tahoma"/>
          <w:bCs/>
          <w:color w:val="000000"/>
          <w:sz w:val="22"/>
          <w:szCs w:val="24"/>
          <w:lang w:eastAsia="es-MX"/>
        </w:rPr>
        <w:t xml:space="preserve">a efecto de que proporcione los documentos  que den cuenta del pago de sueldos de los </w:t>
      </w:r>
      <w:r w:rsidR="001C4352" w:rsidRPr="00BE655A">
        <w:rPr>
          <w:rFonts w:ascii="Palatino Linotype" w:eastAsia="Batang" w:hAnsi="Palatino Linotype" w:cs="Tahoma"/>
          <w:bCs/>
          <w:sz w:val="22"/>
          <w:szCs w:val="22"/>
        </w:rPr>
        <w:t>titulares de las áreas del Ayuntamiento (Directores, Subdirectores, Coordinadores y Jefes de Departamento),</w:t>
      </w:r>
      <w:r w:rsidR="004E1667" w:rsidRPr="00BE655A">
        <w:rPr>
          <w:rFonts w:ascii="Palatino Linotype" w:eastAsia="Batang" w:hAnsi="Palatino Linotype" w:cs="Tahoma"/>
          <w:bCs/>
          <w:sz w:val="22"/>
          <w:szCs w:val="22"/>
        </w:rPr>
        <w:t xml:space="preserve"> </w:t>
      </w:r>
      <w:r w:rsidR="004E1667" w:rsidRPr="00BE655A">
        <w:rPr>
          <w:rFonts w:ascii="Palatino Linotype" w:eastAsia="Calibri" w:hAnsi="Palatino Linotype" w:cs="Tahoma"/>
          <w:bCs/>
          <w:color w:val="000000"/>
          <w:sz w:val="22"/>
          <w:szCs w:val="24"/>
          <w:lang w:eastAsia="es-MX"/>
        </w:rPr>
        <w:t xml:space="preserve">y de los montos destinados a dietas de </w:t>
      </w:r>
      <w:r w:rsidR="004E1667" w:rsidRPr="00BE655A">
        <w:rPr>
          <w:rFonts w:ascii="Palatino Linotype" w:eastAsia="Batang" w:hAnsi="Palatino Linotype" w:cs="Tahoma"/>
          <w:bCs/>
          <w:sz w:val="22"/>
          <w:szCs w:val="22"/>
        </w:rPr>
        <w:t>los integrantes del Cabildo (Presidenta Municipal, Síndico, y Regidores), y</w:t>
      </w:r>
      <w:r w:rsidR="001C4352" w:rsidRPr="00BE655A">
        <w:rPr>
          <w:rFonts w:ascii="Palatino Linotype" w:eastAsia="Batang" w:hAnsi="Palatino Linotype" w:cs="Tahoma"/>
          <w:bCs/>
          <w:sz w:val="22"/>
          <w:szCs w:val="22"/>
        </w:rPr>
        <w:t xml:space="preserve"> de la primera quincena de enero de dos mil veinticinco</w:t>
      </w:r>
      <w:r w:rsidR="004B4C9A" w:rsidRPr="00BE655A">
        <w:rPr>
          <w:rFonts w:ascii="Palatino Linotype" w:eastAsia="Calibri" w:hAnsi="Palatino Linotype" w:cs="Tahoma"/>
          <w:bCs/>
          <w:color w:val="000000"/>
          <w:sz w:val="22"/>
          <w:szCs w:val="24"/>
          <w:lang w:eastAsia="es-MX"/>
        </w:rPr>
        <w:t>.</w:t>
      </w:r>
      <w:bookmarkStart w:id="15" w:name="_Toc188481302"/>
    </w:p>
    <w:p w14:paraId="478A0205" w14:textId="77777777" w:rsidR="004E1667" w:rsidRPr="00BE655A" w:rsidRDefault="004E1667" w:rsidP="004E1667">
      <w:pPr>
        <w:spacing w:line="360" w:lineRule="auto"/>
        <w:ind w:right="-28"/>
        <w:contextualSpacing/>
        <w:jc w:val="both"/>
        <w:rPr>
          <w:rFonts w:ascii="Palatino Linotype" w:eastAsia="Calibri" w:hAnsi="Palatino Linotype" w:cs="Tahoma"/>
          <w:bCs/>
          <w:color w:val="000000"/>
          <w:sz w:val="22"/>
          <w:szCs w:val="24"/>
          <w:lang w:eastAsia="es-MX"/>
        </w:rPr>
      </w:pPr>
    </w:p>
    <w:p w14:paraId="4373A8AB" w14:textId="0B11DE4E" w:rsidR="004B4C9A" w:rsidRPr="00BE655A" w:rsidRDefault="004B4C9A" w:rsidP="004E1667">
      <w:pPr>
        <w:spacing w:line="360" w:lineRule="auto"/>
        <w:ind w:right="-28"/>
        <w:contextualSpacing/>
        <w:jc w:val="both"/>
        <w:rPr>
          <w:rFonts w:ascii="Palatino Linotype" w:hAnsi="Palatino Linotype" w:cs="Tahoma"/>
          <w:iCs/>
          <w:sz w:val="22"/>
          <w:szCs w:val="22"/>
        </w:rPr>
      </w:pPr>
      <w:r w:rsidRPr="00BE655A">
        <w:rPr>
          <w:rFonts w:ascii="Palatino Linotype" w:hAnsi="Palatino Linotype"/>
          <w:b/>
          <w:bCs/>
          <w:sz w:val="22"/>
          <w:szCs w:val="22"/>
        </w:rPr>
        <w:t>SEXTO. Decisión</w:t>
      </w:r>
      <w:bookmarkEnd w:id="15"/>
    </w:p>
    <w:p w14:paraId="471A75AC" w14:textId="77777777" w:rsidR="004B4C9A" w:rsidRPr="00BE655A" w:rsidRDefault="004B4C9A" w:rsidP="00DB35AD">
      <w:pPr>
        <w:spacing w:line="360" w:lineRule="auto"/>
        <w:contextualSpacing/>
        <w:jc w:val="both"/>
        <w:rPr>
          <w:rFonts w:ascii="Palatino Linotype" w:hAnsi="Palatino Linotype" w:cs="Tahoma"/>
          <w:b/>
          <w:sz w:val="22"/>
          <w:szCs w:val="22"/>
        </w:rPr>
      </w:pPr>
      <w:r w:rsidRPr="00BE655A">
        <w:rPr>
          <w:rFonts w:ascii="Palatino Linotype" w:hAnsi="Palatino Linotype" w:cs="Tahoma"/>
          <w:b/>
          <w:sz w:val="22"/>
          <w:szCs w:val="22"/>
        </w:rPr>
        <w:t xml:space="preserve"> </w:t>
      </w:r>
    </w:p>
    <w:p w14:paraId="78189426" w14:textId="147C4FB0" w:rsidR="004B4C9A" w:rsidRPr="00BE655A" w:rsidRDefault="004B4C9A" w:rsidP="00DB35AD">
      <w:pPr>
        <w:spacing w:line="360" w:lineRule="auto"/>
        <w:contextualSpacing/>
        <w:jc w:val="both"/>
        <w:rPr>
          <w:rFonts w:ascii="Palatino Linotype" w:hAnsi="Palatino Linotype" w:cs="Tahoma"/>
          <w:bCs/>
          <w:iCs/>
          <w:sz w:val="22"/>
          <w:szCs w:val="22"/>
        </w:rPr>
      </w:pPr>
      <w:r w:rsidRPr="00BE655A">
        <w:rPr>
          <w:rFonts w:ascii="Palatino Linotype" w:hAnsi="Palatino Linotype" w:cs="Arial"/>
          <w:sz w:val="22"/>
          <w:szCs w:val="22"/>
        </w:rPr>
        <w:t xml:space="preserve">Con </w:t>
      </w:r>
      <w:r w:rsidRPr="00BE655A">
        <w:rPr>
          <w:rFonts w:ascii="Palatino Linotype" w:hAnsi="Palatino Linotype" w:cs="Tahoma"/>
          <w:sz w:val="22"/>
          <w:szCs w:val="22"/>
        </w:rPr>
        <w:t>fundamento en el artículo 186, fracción III, de la Ley de Transparencia y Acceso a la Información Pública del Estado de México y Municipios, este Instituto considera procedente</w:t>
      </w:r>
      <w:r w:rsidR="001C4352" w:rsidRPr="00BE655A">
        <w:rPr>
          <w:rFonts w:ascii="Palatino Linotype" w:hAnsi="Palatino Linotype" w:cs="Tahoma"/>
          <w:sz w:val="22"/>
          <w:szCs w:val="22"/>
        </w:rPr>
        <w:t xml:space="preserve"> </w:t>
      </w:r>
      <w:r w:rsidR="00001E3C" w:rsidRPr="00BE655A">
        <w:rPr>
          <w:rFonts w:ascii="Palatino Linotype" w:hAnsi="Palatino Linotype" w:cs="Tahoma"/>
          <w:sz w:val="22"/>
          <w:szCs w:val="22"/>
        </w:rPr>
        <w:t>confirma</w:t>
      </w:r>
      <w:r w:rsidR="004E1667" w:rsidRPr="00BE655A">
        <w:rPr>
          <w:rFonts w:ascii="Palatino Linotype" w:hAnsi="Palatino Linotype" w:cs="Tahoma"/>
          <w:sz w:val="22"/>
          <w:szCs w:val="22"/>
        </w:rPr>
        <w:t>r</w:t>
      </w:r>
      <w:r w:rsidR="00001E3C" w:rsidRPr="00BE655A">
        <w:rPr>
          <w:rFonts w:ascii="Palatino Linotype" w:hAnsi="Palatino Linotype" w:cs="Tahoma"/>
          <w:sz w:val="22"/>
          <w:szCs w:val="22"/>
        </w:rPr>
        <w:t xml:space="preserve"> la respuesta a la solicitud </w:t>
      </w:r>
      <w:r w:rsidR="00001E3C" w:rsidRPr="00BE655A">
        <w:rPr>
          <w:rFonts w:ascii="Palatino Linotype" w:hAnsi="Palatino Linotype"/>
          <w:sz w:val="22"/>
          <w:szCs w:val="22"/>
        </w:rPr>
        <w:t xml:space="preserve">00045/TENANCIN/IP/2025 y </w:t>
      </w:r>
      <w:r w:rsidR="00001E3C" w:rsidRPr="00BE655A">
        <w:rPr>
          <w:rFonts w:ascii="Palatino Linotype" w:hAnsi="Palatino Linotype" w:cs="Tahoma"/>
          <w:bCs/>
          <w:sz w:val="22"/>
          <w:szCs w:val="22"/>
        </w:rPr>
        <w:t>revocar</w:t>
      </w:r>
      <w:r w:rsidRPr="00BE655A">
        <w:rPr>
          <w:rFonts w:ascii="Palatino Linotype" w:hAnsi="Palatino Linotype" w:cs="Tahoma"/>
          <w:sz w:val="22"/>
          <w:szCs w:val="22"/>
        </w:rPr>
        <w:t xml:space="preserve"> la respuesta otorgada a la solicitud de información </w:t>
      </w:r>
      <w:r w:rsidR="001C4352" w:rsidRPr="00BE655A">
        <w:rPr>
          <w:rFonts w:ascii="Palatino Linotype" w:hAnsi="Palatino Linotype"/>
          <w:sz w:val="22"/>
          <w:szCs w:val="22"/>
        </w:rPr>
        <w:t>00048/TENANCIN/IP/2025</w:t>
      </w:r>
      <w:r w:rsidRPr="00BE655A">
        <w:rPr>
          <w:rFonts w:ascii="Palatino Linotype" w:hAnsi="Palatino Linotype" w:cs="Tahoma"/>
          <w:bCs/>
          <w:sz w:val="22"/>
          <w:szCs w:val="22"/>
        </w:rPr>
        <w:t xml:space="preserve">, a efecto de que previa búsqueda exhaustiva y razonable </w:t>
      </w:r>
      <w:r w:rsidRPr="00BE655A">
        <w:rPr>
          <w:rFonts w:ascii="Palatino Linotype" w:hAnsi="Palatino Linotype" w:cs="Tahoma"/>
          <w:sz w:val="22"/>
          <w:szCs w:val="22"/>
        </w:rPr>
        <w:t>en los archivos del</w:t>
      </w:r>
      <w:r w:rsidRPr="00BE655A">
        <w:rPr>
          <w:rFonts w:ascii="Palatino Linotype" w:hAnsi="Palatino Linotype" w:cs="Tahoma"/>
          <w:sz w:val="22"/>
          <w:szCs w:val="22"/>
          <w:lang w:val="es-ES"/>
        </w:rPr>
        <w:t xml:space="preserve"> Sujeto Obligado</w:t>
      </w:r>
      <w:r w:rsidRPr="00BE655A">
        <w:rPr>
          <w:rFonts w:ascii="Palatino Linotype" w:hAnsi="Palatino Linotype" w:cs="Tahoma"/>
          <w:bCs/>
          <w:sz w:val="22"/>
          <w:szCs w:val="22"/>
        </w:rPr>
        <w:t xml:space="preserve">, entregue </w:t>
      </w:r>
      <w:r w:rsidR="00001E3C" w:rsidRPr="00BE655A">
        <w:rPr>
          <w:rFonts w:ascii="Palatino Linotype" w:hAnsi="Palatino Linotype" w:cs="Tahoma"/>
          <w:bCs/>
          <w:sz w:val="22"/>
          <w:szCs w:val="22"/>
        </w:rPr>
        <w:t xml:space="preserve">los salarios de todos </w:t>
      </w:r>
      <w:proofErr w:type="spellStart"/>
      <w:r w:rsidR="00001E3C" w:rsidRPr="00BE655A">
        <w:rPr>
          <w:rFonts w:ascii="Palatino Linotype" w:hAnsi="Palatino Linotype" w:cs="Tahoma"/>
          <w:bCs/>
          <w:sz w:val="22"/>
          <w:szCs w:val="22"/>
        </w:rPr>
        <w:t>lo</w:t>
      </w:r>
      <w:proofErr w:type="spellEnd"/>
      <w:r w:rsidR="00001E3C" w:rsidRPr="00BE655A">
        <w:rPr>
          <w:rFonts w:ascii="Palatino Linotype" w:hAnsi="Palatino Linotype" w:cs="Tahoma"/>
          <w:bCs/>
          <w:sz w:val="22"/>
          <w:szCs w:val="22"/>
        </w:rPr>
        <w:t xml:space="preserve"> servidores públicos de mandos medios y superiores incluido el Cabildo</w:t>
      </w:r>
      <w:r w:rsidRPr="00BE655A">
        <w:rPr>
          <w:rFonts w:ascii="Palatino Linotype" w:hAnsi="Palatino Linotype" w:cs="Tahoma"/>
          <w:bCs/>
          <w:sz w:val="22"/>
          <w:szCs w:val="22"/>
        </w:rPr>
        <w:t>.</w:t>
      </w:r>
    </w:p>
    <w:p w14:paraId="61F86A04" w14:textId="77777777" w:rsidR="004B4C9A" w:rsidRPr="00BE655A" w:rsidRDefault="004B4C9A" w:rsidP="00DB35AD">
      <w:pPr>
        <w:pStyle w:val="Prrafodelista"/>
        <w:spacing w:line="360" w:lineRule="auto"/>
        <w:jc w:val="both"/>
        <w:rPr>
          <w:rFonts w:ascii="Palatino Linotype" w:hAnsi="Palatino Linotype" w:cs="Tahoma"/>
          <w:bCs/>
          <w:iCs/>
          <w:szCs w:val="22"/>
        </w:rPr>
      </w:pPr>
    </w:p>
    <w:p w14:paraId="5A875FCF" w14:textId="77777777" w:rsidR="004B4C9A" w:rsidRPr="00BE655A" w:rsidRDefault="004B4C9A" w:rsidP="00DB35AD">
      <w:pPr>
        <w:spacing w:line="360" w:lineRule="auto"/>
        <w:contextualSpacing/>
        <w:jc w:val="both"/>
        <w:rPr>
          <w:rFonts w:ascii="Palatino Linotype" w:hAnsi="Palatino Linotype" w:cs="Tahoma"/>
          <w:b/>
          <w:bCs/>
          <w:sz w:val="22"/>
          <w:szCs w:val="22"/>
        </w:rPr>
      </w:pPr>
      <w:r w:rsidRPr="00BE655A">
        <w:rPr>
          <w:rFonts w:ascii="Palatino Linotype" w:hAnsi="Palatino Linotype" w:cs="Tahoma"/>
          <w:b/>
          <w:bCs/>
          <w:sz w:val="22"/>
          <w:szCs w:val="22"/>
        </w:rPr>
        <w:t>Términos de la Resolución para conocimiento del Particular</w:t>
      </w:r>
    </w:p>
    <w:p w14:paraId="16736317" w14:textId="77777777" w:rsidR="004B4C9A" w:rsidRPr="00BE655A" w:rsidRDefault="004B4C9A" w:rsidP="00DB35AD">
      <w:pPr>
        <w:spacing w:line="360" w:lineRule="auto"/>
        <w:contextualSpacing/>
        <w:jc w:val="both"/>
        <w:rPr>
          <w:rFonts w:ascii="Palatino Linotype" w:hAnsi="Palatino Linotype" w:cs="Tahoma"/>
          <w:b/>
          <w:bCs/>
          <w:sz w:val="22"/>
          <w:szCs w:val="22"/>
        </w:rPr>
      </w:pPr>
      <w:r w:rsidRPr="00BE655A">
        <w:rPr>
          <w:rFonts w:ascii="Palatino Linotype" w:hAnsi="Palatino Linotype" w:cs="Tahoma"/>
          <w:b/>
          <w:bCs/>
          <w:sz w:val="22"/>
          <w:szCs w:val="22"/>
        </w:rPr>
        <w:t xml:space="preserve"> </w:t>
      </w:r>
    </w:p>
    <w:p w14:paraId="08D35139" w14:textId="0B627BBC" w:rsidR="00001E3C" w:rsidRPr="00BE655A" w:rsidRDefault="004B4C9A" w:rsidP="00DB35AD">
      <w:pPr>
        <w:widowControl w:val="0"/>
        <w:spacing w:line="360" w:lineRule="auto"/>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 xml:space="preserve">Se le hace del conocimiento al Particular, que, en el presente caso, se le concede la razón, </w:t>
      </w:r>
      <w:r w:rsidR="00001E3C" w:rsidRPr="00BE655A">
        <w:rPr>
          <w:rFonts w:ascii="Palatino Linotype" w:hAnsi="Palatino Linotype" w:cs="Tahoma"/>
          <w:bCs/>
          <w:iCs/>
          <w:sz w:val="22"/>
          <w:szCs w:val="22"/>
        </w:rPr>
        <w:t>por lo que hace a la falta de entrega de información de los salarios de los servidores públicos de mandos medios y superiores, por lo que se le deberá entregar esa información que puede ser en un documento o con la remisión a la liga de Internet en donde se encuentre publicada la información.</w:t>
      </w:r>
    </w:p>
    <w:p w14:paraId="746751CA" w14:textId="77777777" w:rsidR="00001E3C" w:rsidRPr="00BE655A" w:rsidRDefault="00001E3C" w:rsidP="00DB35AD">
      <w:pPr>
        <w:widowControl w:val="0"/>
        <w:spacing w:line="360" w:lineRule="auto"/>
        <w:contextualSpacing/>
        <w:jc w:val="both"/>
        <w:rPr>
          <w:rFonts w:ascii="Palatino Linotype" w:hAnsi="Palatino Linotype" w:cs="Tahoma"/>
          <w:bCs/>
          <w:iCs/>
          <w:sz w:val="22"/>
          <w:szCs w:val="22"/>
        </w:rPr>
      </w:pPr>
    </w:p>
    <w:p w14:paraId="5F7058A2" w14:textId="02A18324" w:rsidR="004B4C9A" w:rsidRPr="00BE655A" w:rsidRDefault="00001E3C" w:rsidP="00DB35AD">
      <w:pPr>
        <w:widowControl w:val="0"/>
        <w:spacing w:line="360" w:lineRule="auto"/>
        <w:contextualSpacing/>
        <w:jc w:val="both"/>
        <w:rPr>
          <w:rFonts w:ascii="Palatino Linotype" w:hAnsi="Palatino Linotype" w:cs="Tahoma"/>
          <w:bCs/>
          <w:iCs/>
          <w:sz w:val="22"/>
          <w:szCs w:val="22"/>
        </w:rPr>
      </w:pPr>
      <w:r w:rsidRPr="00BE655A">
        <w:rPr>
          <w:rFonts w:ascii="Palatino Linotype" w:hAnsi="Palatino Linotype" w:cs="Tahoma"/>
          <w:bCs/>
          <w:iCs/>
          <w:sz w:val="22"/>
          <w:szCs w:val="22"/>
        </w:rPr>
        <w:t xml:space="preserve">Por lo que hace a los recibos de nómina, se debe informar que sí es información que se deba </w:t>
      </w:r>
      <w:r w:rsidRPr="00BE655A">
        <w:rPr>
          <w:rFonts w:ascii="Palatino Linotype" w:hAnsi="Palatino Linotype" w:cs="Tahoma"/>
          <w:bCs/>
          <w:iCs/>
          <w:sz w:val="22"/>
          <w:szCs w:val="22"/>
        </w:rPr>
        <w:lastRenderedPageBreak/>
        <w:t>generar pero una vez concluida la quincena y a la fecha de solicitud todavía no se había generado la nómina de la primer quincena de enero, po</w:t>
      </w:r>
      <w:r w:rsidR="004E1667" w:rsidRPr="00BE655A">
        <w:rPr>
          <w:rFonts w:ascii="Palatino Linotype" w:hAnsi="Palatino Linotype" w:cs="Tahoma"/>
          <w:bCs/>
          <w:iCs/>
          <w:sz w:val="22"/>
          <w:szCs w:val="22"/>
        </w:rPr>
        <w:t xml:space="preserve">r lo que no procede su entrega. </w:t>
      </w:r>
      <w:r w:rsidR="00650C9B" w:rsidRPr="00BE655A">
        <w:rPr>
          <w:rFonts w:ascii="Palatino Linotype" w:eastAsia="Calibri" w:hAnsi="Palatino Linotype" w:cs="Tahoma"/>
          <w:bCs/>
          <w:iCs/>
          <w:sz w:val="22"/>
          <w:szCs w:val="22"/>
          <w:lang w:eastAsia="en-US"/>
        </w:rPr>
        <w:t>L</w:t>
      </w:r>
      <w:r w:rsidR="004B4C9A" w:rsidRPr="00BE655A">
        <w:rPr>
          <w:rFonts w:ascii="Palatino Linotype" w:eastAsia="Calibri" w:hAnsi="Palatino Linotype" w:cs="Tahoma"/>
          <w:bCs/>
          <w:iCs/>
          <w:sz w:val="22"/>
          <w:szCs w:val="22"/>
          <w:lang w:eastAsia="en-US"/>
        </w:rPr>
        <w:t>a labor del Instituto de Transparencia, es apoyar a la población a acceder a la información pública y garantizar la protección de sus datos personales.</w:t>
      </w:r>
    </w:p>
    <w:p w14:paraId="74052606" w14:textId="77777777" w:rsidR="004B4C9A" w:rsidRPr="00BE655A" w:rsidRDefault="004B4C9A" w:rsidP="00DB35AD">
      <w:pPr>
        <w:spacing w:line="360" w:lineRule="auto"/>
        <w:contextualSpacing/>
        <w:jc w:val="both"/>
        <w:rPr>
          <w:rFonts w:ascii="Palatino Linotype" w:hAnsi="Palatino Linotype"/>
          <w:sz w:val="22"/>
          <w:szCs w:val="22"/>
        </w:rPr>
      </w:pPr>
    </w:p>
    <w:p w14:paraId="1CA3153F" w14:textId="2A6E14DC" w:rsidR="001C4352" w:rsidRPr="00BE655A" w:rsidRDefault="004B4C9A" w:rsidP="00DB35AD">
      <w:pPr>
        <w:spacing w:line="360" w:lineRule="auto"/>
        <w:contextualSpacing/>
        <w:jc w:val="both"/>
        <w:rPr>
          <w:rFonts w:ascii="Palatino Linotype" w:hAnsi="Palatino Linotype"/>
          <w:sz w:val="22"/>
          <w:szCs w:val="22"/>
        </w:rPr>
      </w:pPr>
      <w:r w:rsidRPr="00BE655A">
        <w:rPr>
          <w:rFonts w:ascii="Palatino Linotype" w:hAnsi="Palatino Linotype"/>
          <w:sz w:val="22"/>
          <w:szCs w:val="22"/>
        </w:rPr>
        <w:t>Por lo expuesto y fundado, este Pleno:</w:t>
      </w:r>
    </w:p>
    <w:p w14:paraId="0683C327" w14:textId="77777777" w:rsidR="004B4C9A" w:rsidRPr="00BE655A" w:rsidRDefault="004B4C9A" w:rsidP="00DB35AD">
      <w:pPr>
        <w:pStyle w:val="Ttulo1"/>
        <w:spacing w:line="360" w:lineRule="auto"/>
        <w:contextualSpacing/>
        <w:jc w:val="center"/>
        <w:rPr>
          <w:rFonts w:ascii="Palatino Linotype" w:hAnsi="Palatino Linotype"/>
          <w:b/>
          <w:bCs/>
          <w:color w:val="auto"/>
          <w:sz w:val="22"/>
          <w:szCs w:val="22"/>
        </w:rPr>
      </w:pPr>
      <w:bookmarkStart w:id="16" w:name="_Toc188481303"/>
      <w:r w:rsidRPr="00BE655A">
        <w:rPr>
          <w:rFonts w:ascii="Palatino Linotype" w:hAnsi="Palatino Linotype"/>
          <w:b/>
          <w:bCs/>
          <w:color w:val="auto"/>
          <w:sz w:val="22"/>
          <w:szCs w:val="22"/>
        </w:rPr>
        <w:t>R E S U E L V E</w:t>
      </w:r>
      <w:bookmarkEnd w:id="16"/>
    </w:p>
    <w:p w14:paraId="07E26DE3" w14:textId="77777777" w:rsidR="004B4C9A" w:rsidRPr="00BE655A" w:rsidRDefault="004B4C9A" w:rsidP="00DB35AD">
      <w:pPr>
        <w:spacing w:line="360" w:lineRule="auto"/>
        <w:contextualSpacing/>
        <w:jc w:val="both"/>
        <w:rPr>
          <w:rFonts w:ascii="Palatino Linotype" w:hAnsi="Palatino Linotype"/>
          <w:sz w:val="22"/>
          <w:szCs w:val="22"/>
        </w:rPr>
      </w:pPr>
      <w:r w:rsidRPr="00BE655A">
        <w:rPr>
          <w:rFonts w:ascii="Palatino Linotype" w:hAnsi="Palatino Linotype"/>
          <w:sz w:val="22"/>
          <w:szCs w:val="22"/>
        </w:rPr>
        <w:t xml:space="preserve"> </w:t>
      </w:r>
    </w:p>
    <w:p w14:paraId="149E5238" w14:textId="5BDE9D4A" w:rsidR="004B4C9A" w:rsidRPr="00BE655A" w:rsidRDefault="004B4C9A" w:rsidP="00DB35AD">
      <w:pPr>
        <w:spacing w:line="360" w:lineRule="auto"/>
        <w:contextualSpacing/>
        <w:jc w:val="both"/>
        <w:rPr>
          <w:rFonts w:ascii="Palatino Linotype" w:hAnsi="Palatino Linotype"/>
          <w:sz w:val="22"/>
          <w:szCs w:val="22"/>
        </w:rPr>
      </w:pPr>
      <w:r w:rsidRPr="00BE655A">
        <w:rPr>
          <w:rFonts w:ascii="Palatino Linotype" w:hAnsi="Palatino Linotype"/>
          <w:b/>
          <w:bCs/>
          <w:sz w:val="22"/>
          <w:szCs w:val="22"/>
        </w:rPr>
        <w:t xml:space="preserve">PRIMERO. </w:t>
      </w:r>
      <w:r w:rsidRPr="00BE655A">
        <w:rPr>
          <w:rFonts w:ascii="Palatino Linotype" w:hAnsi="Palatino Linotype"/>
          <w:sz w:val="22"/>
          <w:szCs w:val="22"/>
        </w:rPr>
        <w:t xml:space="preserve">Se </w:t>
      </w:r>
      <w:r w:rsidR="00001821" w:rsidRPr="00BE655A">
        <w:rPr>
          <w:rFonts w:ascii="Palatino Linotype" w:hAnsi="Palatino Linotype"/>
          <w:b/>
          <w:bCs/>
          <w:sz w:val="22"/>
          <w:szCs w:val="22"/>
        </w:rPr>
        <w:t>CONFIRMA</w:t>
      </w:r>
      <w:r w:rsidRPr="00BE655A">
        <w:rPr>
          <w:rFonts w:ascii="Palatino Linotype" w:hAnsi="Palatino Linotype"/>
          <w:b/>
          <w:bCs/>
          <w:sz w:val="22"/>
          <w:szCs w:val="22"/>
        </w:rPr>
        <w:t xml:space="preserve"> </w:t>
      </w:r>
      <w:r w:rsidRPr="00BE655A">
        <w:rPr>
          <w:rFonts w:ascii="Palatino Linotype" w:hAnsi="Palatino Linotype"/>
          <w:bCs/>
          <w:sz w:val="22"/>
          <w:szCs w:val="22"/>
        </w:rPr>
        <w:t>la</w:t>
      </w:r>
      <w:r w:rsidRPr="00BE655A">
        <w:rPr>
          <w:rFonts w:ascii="Palatino Linotype" w:hAnsi="Palatino Linotype"/>
          <w:b/>
          <w:bCs/>
          <w:sz w:val="22"/>
          <w:szCs w:val="22"/>
        </w:rPr>
        <w:t xml:space="preserve"> </w:t>
      </w:r>
      <w:r w:rsidRPr="00BE655A">
        <w:rPr>
          <w:rFonts w:ascii="Palatino Linotype" w:hAnsi="Palatino Linotype"/>
          <w:sz w:val="22"/>
          <w:szCs w:val="22"/>
        </w:rPr>
        <w:t xml:space="preserve">respuesta entregada por el Ayuntamiento de </w:t>
      </w:r>
      <w:r w:rsidR="001C4352" w:rsidRPr="00BE655A">
        <w:rPr>
          <w:rFonts w:ascii="Palatino Linotype" w:hAnsi="Palatino Linotype"/>
          <w:sz w:val="22"/>
          <w:szCs w:val="22"/>
        </w:rPr>
        <w:t>Tenancingo</w:t>
      </w:r>
      <w:r w:rsidRPr="00BE655A">
        <w:rPr>
          <w:rFonts w:ascii="Palatino Linotype" w:hAnsi="Palatino Linotype"/>
          <w:sz w:val="22"/>
          <w:szCs w:val="22"/>
        </w:rPr>
        <w:t>, a la solicitud de información</w:t>
      </w:r>
      <w:r w:rsidRPr="00BE655A">
        <w:rPr>
          <w:rFonts w:ascii="Palatino Linotype" w:hAnsi="Palatino Linotype"/>
          <w:b/>
          <w:bCs/>
          <w:sz w:val="22"/>
          <w:szCs w:val="22"/>
        </w:rPr>
        <w:t xml:space="preserve"> </w:t>
      </w:r>
      <w:r w:rsidR="001C4352" w:rsidRPr="00BE655A">
        <w:rPr>
          <w:rFonts w:ascii="Palatino Linotype" w:hAnsi="Palatino Linotype"/>
          <w:sz w:val="22"/>
          <w:szCs w:val="22"/>
        </w:rPr>
        <w:t xml:space="preserve">00045/TENANCIN/IP/2025 </w:t>
      </w:r>
      <w:r w:rsidRPr="00BE655A">
        <w:rPr>
          <w:rFonts w:ascii="Palatino Linotype" w:hAnsi="Palatino Linotype"/>
          <w:sz w:val="22"/>
          <w:szCs w:val="22"/>
        </w:rPr>
        <w:t xml:space="preserve">por resultar </w:t>
      </w:r>
      <w:r w:rsidR="00001821" w:rsidRPr="00BE655A">
        <w:rPr>
          <w:rFonts w:ascii="Palatino Linotype" w:hAnsi="Palatino Linotype"/>
          <w:b/>
          <w:bCs/>
          <w:caps/>
          <w:sz w:val="22"/>
          <w:szCs w:val="22"/>
        </w:rPr>
        <w:t>in</w:t>
      </w:r>
      <w:r w:rsidRPr="00BE655A">
        <w:rPr>
          <w:rFonts w:ascii="Palatino Linotype" w:hAnsi="Palatino Linotype"/>
          <w:b/>
          <w:bCs/>
          <w:sz w:val="22"/>
          <w:szCs w:val="22"/>
        </w:rPr>
        <w:t>FUNDADAS</w:t>
      </w:r>
      <w:r w:rsidRPr="00BE655A">
        <w:rPr>
          <w:rFonts w:ascii="Palatino Linotype" w:hAnsi="Palatino Linotype"/>
          <w:sz w:val="22"/>
          <w:szCs w:val="22"/>
        </w:rPr>
        <w:t xml:space="preserve"> las razones o motivos de inconformidad </w:t>
      </w:r>
      <w:r w:rsidR="00001821" w:rsidRPr="00BE655A">
        <w:rPr>
          <w:rFonts w:ascii="Palatino Linotype" w:hAnsi="Palatino Linotype"/>
          <w:sz w:val="22"/>
          <w:szCs w:val="22"/>
        </w:rPr>
        <w:t xml:space="preserve">y </w:t>
      </w:r>
      <w:r w:rsidR="00001821" w:rsidRPr="00BE655A">
        <w:rPr>
          <w:rFonts w:ascii="Palatino Linotype" w:hAnsi="Palatino Linotype"/>
          <w:b/>
          <w:bCs/>
          <w:sz w:val="22"/>
          <w:szCs w:val="22"/>
        </w:rPr>
        <w:t xml:space="preserve">REVOCA </w:t>
      </w:r>
      <w:r w:rsidR="00001821" w:rsidRPr="00BE655A">
        <w:rPr>
          <w:rFonts w:ascii="Palatino Linotype" w:hAnsi="Palatino Linotype"/>
          <w:bCs/>
          <w:sz w:val="22"/>
          <w:szCs w:val="22"/>
        </w:rPr>
        <w:t>la</w:t>
      </w:r>
      <w:r w:rsidR="00001821" w:rsidRPr="00BE655A">
        <w:rPr>
          <w:rFonts w:ascii="Palatino Linotype" w:hAnsi="Palatino Linotype"/>
          <w:b/>
          <w:bCs/>
          <w:sz w:val="22"/>
          <w:szCs w:val="22"/>
        </w:rPr>
        <w:t xml:space="preserve"> </w:t>
      </w:r>
      <w:r w:rsidR="00001821" w:rsidRPr="00BE655A">
        <w:rPr>
          <w:rFonts w:ascii="Palatino Linotype" w:hAnsi="Palatino Linotype"/>
          <w:sz w:val="22"/>
          <w:szCs w:val="22"/>
        </w:rPr>
        <w:t>respuesta entregada en las solicitud de información</w:t>
      </w:r>
      <w:r w:rsidR="00001821" w:rsidRPr="00BE655A">
        <w:rPr>
          <w:rFonts w:ascii="Palatino Linotype" w:hAnsi="Palatino Linotype"/>
          <w:b/>
          <w:bCs/>
          <w:sz w:val="22"/>
          <w:szCs w:val="22"/>
        </w:rPr>
        <w:t xml:space="preserve"> </w:t>
      </w:r>
      <w:r w:rsidR="00001821" w:rsidRPr="00BE655A">
        <w:rPr>
          <w:rFonts w:ascii="Palatino Linotype" w:hAnsi="Palatino Linotype"/>
          <w:sz w:val="22"/>
          <w:szCs w:val="22"/>
        </w:rPr>
        <w:t xml:space="preserve">00048/TENANCIN/IP/2025, por resultar </w:t>
      </w:r>
      <w:r w:rsidR="00001821" w:rsidRPr="00BE655A">
        <w:rPr>
          <w:rFonts w:ascii="Palatino Linotype" w:hAnsi="Palatino Linotype"/>
          <w:b/>
          <w:bCs/>
          <w:sz w:val="22"/>
          <w:szCs w:val="22"/>
        </w:rPr>
        <w:t xml:space="preserve">FUNDADAS </w:t>
      </w:r>
      <w:r w:rsidR="00001821" w:rsidRPr="00BE655A">
        <w:rPr>
          <w:rFonts w:ascii="Palatino Linotype" w:hAnsi="Palatino Linotype"/>
          <w:sz w:val="22"/>
          <w:szCs w:val="22"/>
        </w:rPr>
        <w:t xml:space="preserve">las razones o motivos de inconformidad hechos valer por la persona Recurrente, </w:t>
      </w:r>
      <w:r w:rsidRPr="00BE655A">
        <w:rPr>
          <w:rFonts w:ascii="Palatino Linotype" w:hAnsi="Palatino Linotype"/>
          <w:sz w:val="22"/>
          <w:szCs w:val="22"/>
        </w:rPr>
        <w:t>en términos de los considerandos QUINTO y SEXTO de la presente Resolución.</w:t>
      </w:r>
    </w:p>
    <w:p w14:paraId="18C4DD07" w14:textId="77777777" w:rsidR="004B4C9A" w:rsidRPr="00BE655A" w:rsidRDefault="004B4C9A" w:rsidP="00DB35AD">
      <w:pPr>
        <w:spacing w:line="360" w:lineRule="auto"/>
        <w:contextualSpacing/>
        <w:jc w:val="both"/>
        <w:rPr>
          <w:rFonts w:ascii="Palatino Linotype" w:hAnsi="Palatino Linotype"/>
          <w:sz w:val="22"/>
          <w:szCs w:val="22"/>
        </w:rPr>
      </w:pPr>
    </w:p>
    <w:p w14:paraId="3AF65187" w14:textId="24F9208A" w:rsidR="004B4C9A" w:rsidRPr="00BE655A" w:rsidRDefault="00FC66E8" w:rsidP="00001821">
      <w:pPr>
        <w:spacing w:line="360" w:lineRule="auto"/>
        <w:contextualSpacing/>
        <w:jc w:val="both"/>
        <w:rPr>
          <w:rFonts w:ascii="Palatino Linotype" w:hAnsi="Palatino Linotype"/>
          <w:sz w:val="22"/>
          <w:szCs w:val="22"/>
        </w:rPr>
      </w:pPr>
      <w:r w:rsidRPr="00BE655A">
        <w:rPr>
          <w:rFonts w:ascii="Palatino Linotype" w:hAnsi="Palatino Linotype"/>
          <w:b/>
          <w:bCs/>
          <w:sz w:val="22"/>
          <w:szCs w:val="22"/>
        </w:rPr>
        <w:t>SEGUNDO:</w:t>
      </w:r>
      <w:r w:rsidRPr="00BE655A">
        <w:rPr>
          <w:rFonts w:ascii="Palatino Linotype" w:hAnsi="Palatino Linotype"/>
          <w:sz w:val="22"/>
          <w:szCs w:val="22"/>
        </w:rPr>
        <w:t xml:space="preserve"> </w:t>
      </w:r>
      <w:r w:rsidR="004B4C9A" w:rsidRPr="00BE655A">
        <w:rPr>
          <w:rFonts w:ascii="Palatino Linotype" w:hAnsi="Palatino Linotype"/>
          <w:sz w:val="22"/>
          <w:szCs w:val="22"/>
        </w:rPr>
        <w:t xml:space="preserve">Se </w:t>
      </w:r>
      <w:r w:rsidR="004B4C9A" w:rsidRPr="00BE655A">
        <w:rPr>
          <w:rFonts w:ascii="Palatino Linotype" w:hAnsi="Palatino Linotype"/>
          <w:b/>
          <w:bCs/>
          <w:sz w:val="22"/>
          <w:szCs w:val="22"/>
        </w:rPr>
        <w:t>ORDENA</w:t>
      </w:r>
      <w:r w:rsidR="004B4C9A" w:rsidRPr="00BE655A">
        <w:rPr>
          <w:rFonts w:ascii="Palatino Linotype" w:hAnsi="Palatino Linotype"/>
          <w:sz w:val="22"/>
          <w:szCs w:val="22"/>
        </w:rPr>
        <w:t xml:space="preserve"> al Sujeto Obligado, a efecto de que previa búsqueda exhaustiva y razonable en todas las unidades administrativas competentes, entregue a través del </w:t>
      </w:r>
      <w:r w:rsidR="001E09A1" w:rsidRPr="00BE655A">
        <w:rPr>
          <w:rFonts w:ascii="Palatino Linotype" w:hAnsi="Palatino Linotype"/>
          <w:sz w:val="22"/>
          <w:szCs w:val="22"/>
        </w:rPr>
        <w:t>SAIMEX</w:t>
      </w:r>
      <w:r w:rsidR="004B4C9A" w:rsidRPr="00BE655A">
        <w:rPr>
          <w:rFonts w:ascii="Palatino Linotype" w:hAnsi="Palatino Linotype"/>
          <w:sz w:val="22"/>
          <w:szCs w:val="22"/>
        </w:rPr>
        <w:t>, en</w:t>
      </w:r>
      <w:r w:rsidR="00001821" w:rsidRPr="00BE655A">
        <w:rPr>
          <w:rFonts w:ascii="Palatino Linotype" w:hAnsi="Palatino Linotype"/>
          <w:sz w:val="22"/>
          <w:szCs w:val="22"/>
        </w:rPr>
        <w:t xml:space="preserve"> su caso en</w:t>
      </w:r>
      <w:r w:rsidR="004B4C9A" w:rsidRPr="00BE655A">
        <w:rPr>
          <w:rFonts w:ascii="Palatino Linotype" w:hAnsi="Palatino Linotype"/>
          <w:sz w:val="22"/>
          <w:szCs w:val="22"/>
        </w:rPr>
        <w:t xml:space="preserve"> versión pública</w:t>
      </w:r>
      <w:r w:rsidR="00001821" w:rsidRPr="00BE655A">
        <w:rPr>
          <w:rFonts w:ascii="Palatino Linotype" w:hAnsi="Palatino Linotype"/>
          <w:sz w:val="22"/>
          <w:szCs w:val="22"/>
        </w:rPr>
        <w:t xml:space="preserve"> los documentos que den cuenta del </w:t>
      </w:r>
      <w:r w:rsidR="00001821" w:rsidRPr="00BE655A">
        <w:rPr>
          <w:rFonts w:ascii="Palatino Linotype" w:hAnsi="Palatino Linotype"/>
          <w:b/>
          <w:bCs/>
          <w:sz w:val="22"/>
          <w:szCs w:val="22"/>
        </w:rPr>
        <w:t>sueldo o dieta bruto y neto mensual de cada uno de los integrantes del Cabildo</w:t>
      </w:r>
      <w:r w:rsidR="00001821" w:rsidRPr="00BE655A">
        <w:rPr>
          <w:rFonts w:ascii="Palatino Linotype" w:hAnsi="Palatino Linotype"/>
          <w:sz w:val="22"/>
          <w:szCs w:val="22"/>
        </w:rPr>
        <w:t xml:space="preserve">, así como el </w:t>
      </w:r>
      <w:r w:rsidR="00001821" w:rsidRPr="00BE655A">
        <w:rPr>
          <w:rFonts w:ascii="Palatino Linotype" w:hAnsi="Palatino Linotype"/>
          <w:b/>
          <w:bCs/>
          <w:sz w:val="22"/>
          <w:szCs w:val="22"/>
        </w:rPr>
        <w:t xml:space="preserve">salario bruto y neto mensual de todos los </w:t>
      </w:r>
      <w:r w:rsidR="00001821" w:rsidRPr="00BE655A">
        <w:rPr>
          <w:rFonts w:ascii="Palatino Linotype" w:eastAsia="Batang" w:hAnsi="Palatino Linotype" w:cs="Tahoma"/>
          <w:b/>
          <w:bCs/>
          <w:sz w:val="22"/>
          <w:szCs w:val="22"/>
        </w:rPr>
        <w:t>mandos medios y superiores</w:t>
      </w:r>
      <w:r w:rsidR="001C4352" w:rsidRPr="00BE655A">
        <w:rPr>
          <w:rFonts w:ascii="Palatino Linotype" w:eastAsia="Batang" w:hAnsi="Palatino Linotype" w:cs="Tahoma"/>
          <w:b/>
          <w:bCs/>
          <w:sz w:val="22"/>
          <w:szCs w:val="22"/>
        </w:rPr>
        <w:t xml:space="preserve"> de las áreas del Ayuntamiento (Directores, Subdirectores, Coordinadores y Jefes de Departamento)</w:t>
      </w:r>
      <w:r w:rsidR="001C4352" w:rsidRPr="00BE655A">
        <w:rPr>
          <w:rFonts w:ascii="Palatino Linotype" w:eastAsia="Batang" w:hAnsi="Palatino Linotype" w:cs="Tahoma"/>
          <w:bCs/>
          <w:sz w:val="22"/>
          <w:szCs w:val="22"/>
        </w:rPr>
        <w:t xml:space="preserve">, </w:t>
      </w:r>
      <w:r w:rsidR="00001821" w:rsidRPr="00BE655A">
        <w:rPr>
          <w:rFonts w:ascii="Palatino Linotype" w:eastAsia="Batang" w:hAnsi="Palatino Linotype" w:cs="Tahoma"/>
          <w:bCs/>
          <w:sz w:val="22"/>
          <w:szCs w:val="22"/>
        </w:rPr>
        <w:t>vigente al</w:t>
      </w:r>
      <w:r w:rsidR="001C4352" w:rsidRPr="00BE655A">
        <w:rPr>
          <w:rFonts w:ascii="Palatino Linotype" w:eastAsia="Batang" w:hAnsi="Palatino Linotype" w:cs="Tahoma"/>
          <w:bCs/>
          <w:sz w:val="22"/>
          <w:szCs w:val="22"/>
        </w:rPr>
        <w:t xml:space="preserve"> </w:t>
      </w:r>
      <w:r w:rsidR="00001821" w:rsidRPr="00BE655A">
        <w:rPr>
          <w:rFonts w:ascii="Palatino Linotype" w:eastAsia="Batang" w:hAnsi="Palatino Linotype" w:cs="Tahoma"/>
          <w:bCs/>
          <w:sz w:val="22"/>
          <w:szCs w:val="22"/>
        </w:rPr>
        <w:t>trece</w:t>
      </w:r>
      <w:r w:rsidR="001C4352" w:rsidRPr="00BE655A">
        <w:rPr>
          <w:rFonts w:ascii="Palatino Linotype" w:eastAsia="Batang" w:hAnsi="Palatino Linotype" w:cs="Tahoma"/>
          <w:bCs/>
          <w:sz w:val="22"/>
          <w:szCs w:val="22"/>
        </w:rPr>
        <w:t xml:space="preserve"> de enero de dos mil veinticinco</w:t>
      </w:r>
      <w:r w:rsidR="001C4352" w:rsidRPr="00BE655A">
        <w:rPr>
          <w:rFonts w:ascii="Palatino Linotype" w:eastAsia="Calibri" w:hAnsi="Palatino Linotype" w:cs="Tahoma"/>
          <w:bCs/>
          <w:color w:val="000000"/>
          <w:sz w:val="22"/>
          <w:szCs w:val="24"/>
          <w:lang w:eastAsia="es-MX"/>
        </w:rPr>
        <w:t>.</w:t>
      </w:r>
    </w:p>
    <w:p w14:paraId="30977AD3" w14:textId="77777777" w:rsidR="001C4352" w:rsidRPr="00BE655A" w:rsidRDefault="001C4352" w:rsidP="00DB35AD">
      <w:pPr>
        <w:pStyle w:val="Prrafodelista"/>
        <w:spacing w:line="360" w:lineRule="auto"/>
        <w:jc w:val="both"/>
        <w:rPr>
          <w:rFonts w:ascii="Palatino Linotype" w:hAnsi="Palatino Linotype"/>
          <w:szCs w:val="22"/>
        </w:rPr>
      </w:pPr>
    </w:p>
    <w:p w14:paraId="16A28269" w14:textId="4DD0A3BA" w:rsidR="004B4C9A" w:rsidRPr="00BE655A" w:rsidRDefault="004B4C9A" w:rsidP="00DB35AD">
      <w:pPr>
        <w:spacing w:line="360" w:lineRule="auto"/>
        <w:contextualSpacing/>
        <w:jc w:val="both"/>
        <w:rPr>
          <w:rFonts w:ascii="Palatino Linotype" w:hAnsi="Palatino Linotype"/>
          <w:bCs/>
          <w:iCs/>
          <w:color w:val="000000"/>
          <w:sz w:val="22"/>
          <w:szCs w:val="22"/>
        </w:rPr>
      </w:pPr>
      <w:r w:rsidRPr="00BE655A">
        <w:rPr>
          <w:rFonts w:ascii="Palatino Linotype" w:hAnsi="Palatino Linotype"/>
          <w:bCs/>
          <w:iCs/>
          <w:color w:val="000000"/>
          <w:sz w:val="22"/>
          <w:szCs w:val="22"/>
        </w:rPr>
        <w:t xml:space="preserve">Además, </w:t>
      </w:r>
      <w:r w:rsidR="00001821" w:rsidRPr="00BE655A">
        <w:rPr>
          <w:rFonts w:ascii="Palatino Linotype" w:hAnsi="Palatino Linotype"/>
          <w:bCs/>
          <w:iCs/>
          <w:color w:val="000000"/>
          <w:sz w:val="22"/>
          <w:szCs w:val="22"/>
        </w:rPr>
        <w:t xml:space="preserve">de ser necesario </w:t>
      </w:r>
      <w:r w:rsidRPr="00BE655A">
        <w:rPr>
          <w:rFonts w:ascii="Palatino Linotype" w:hAnsi="Palatino Linotype"/>
          <w:bCs/>
          <w:iCs/>
          <w:color w:val="000000"/>
          <w:sz w:val="22"/>
          <w:szCs w:val="22"/>
        </w:rPr>
        <w:t xml:space="preserve">deberá proporcionar el Acuerdo de Clasificación donde el Comité de Transparencia, confirme la eliminación de los datos, en la versión pública o la clasificación </w:t>
      </w:r>
      <w:r w:rsidRPr="00BE655A">
        <w:rPr>
          <w:rFonts w:ascii="Palatino Linotype" w:hAnsi="Palatino Linotype"/>
          <w:bCs/>
          <w:iCs/>
          <w:color w:val="000000"/>
          <w:sz w:val="22"/>
          <w:szCs w:val="22"/>
        </w:rPr>
        <w:lastRenderedPageBreak/>
        <w:t>en su totalidad, de conformidad con los artículos 49, fracciones II y VIII y 132, fracción II, de la Ley de Transparencia y Acceso a la Información Pública del Estado de México y Municipios.</w:t>
      </w:r>
    </w:p>
    <w:p w14:paraId="7371ABDE" w14:textId="77777777" w:rsidR="004B4C9A" w:rsidRPr="00BE655A" w:rsidRDefault="004B4C9A" w:rsidP="00DB35AD">
      <w:pPr>
        <w:spacing w:line="360" w:lineRule="auto"/>
        <w:contextualSpacing/>
        <w:jc w:val="both"/>
        <w:rPr>
          <w:rFonts w:ascii="Palatino Linotype" w:hAnsi="Palatino Linotype"/>
          <w:szCs w:val="22"/>
        </w:rPr>
      </w:pPr>
    </w:p>
    <w:p w14:paraId="00E2DDBB" w14:textId="77777777" w:rsidR="00FC66E8" w:rsidRPr="00BE655A" w:rsidRDefault="00FC66E8" w:rsidP="00DB35AD">
      <w:pPr>
        <w:spacing w:line="360" w:lineRule="auto"/>
        <w:ind w:right="-28"/>
        <w:contextualSpacing/>
        <w:jc w:val="both"/>
        <w:rPr>
          <w:rFonts w:ascii="Palatino Linotype" w:eastAsia="Palatino Linotype" w:hAnsi="Palatino Linotype" w:cs="Palatino Linotype"/>
          <w:b/>
          <w:sz w:val="22"/>
          <w:szCs w:val="22"/>
          <w:lang w:eastAsia="en-US"/>
        </w:rPr>
      </w:pPr>
      <w:r w:rsidRPr="00BE655A">
        <w:rPr>
          <w:rFonts w:ascii="Palatino Linotype" w:hAnsi="Palatino Linotype" w:cs="Tahoma"/>
          <w:b/>
          <w:bCs/>
          <w:iCs/>
          <w:sz w:val="22"/>
          <w:szCs w:val="22"/>
          <w:lang w:val="es-ES"/>
        </w:rPr>
        <w:t>TERCERO</w:t>
      </w:r>
      <w:r w:rsidRPr="00BE655A">
        <w:rPr>
          <w:rFonts w:ascii="Palatino Linotype" w:hAnsi="Palatino Linotype" w:cs="Tahoma"/>
          <w:b/>
          <w:bCs/>
          <w:iCs/>
          <w:sz w:val="22"/>
          <w:szCs w:val="22"/>
        </w:rPr>
        <w:t xml:space="preserve">. </w:t>
      </w:r>
      <w:r w:rsidRPr="00BE655A">
        <w:rPr>
          <w:rFonts w:ascii="Palatino Linotype" w:eastAsia="Palatino Linotype" w:hAnsi="Palatino Linotype" w:cs="Palatino Linotype"/>
          <w:b/>
          <w:sz w:val="22"/>
          <w:szCs w:val="22"/>
          <w:lang w:eastAsia="en-US"/>
        </w:rPr>
        <w:t xml:space="preserve">NOTIFÍQUESE POR SAIMEX </w:t>
      </w:r>
      <w:r w:rsidRPr="00BE655A">
        <w:rPr>
          <w:rFonts w:ascii="Palatino Linotype" w:eastAsia="Palatino Linotype" w:hAnsi="Palatino Linotype" w:cs="Palatino Linotype"/>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A60FE84" w14:textId="77777777" w:rsidR="00FC66E8" w:rsidRPr="00BE655A" w:rsidRDefault="00FC66E8" w:rsidP="00DB35AD">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1610CE8C" w14:textId="77777777" w:rsidR="00FC66E8" w:rsidRPr="00BE655A" w:rsidRDefault="00FC66E8" w:rsidP="00DB35AD">
      <w:pPr>
        <w:spacing w:line="360" w:lineRule="auto"/>
        <w:contextualSpacing/>
        <w:jc w:val="both"/>
        <w:rPr>
          <w:rFonts w:ascii="Palatino Linotype" w:eastAsia="Palatino Linotype" w:hAnsi="Palatino Linotype" w:cs="Palatino Linotype"/>
          <w:color w:val="000000"/>
          <w:sz w:val="22"/>
          <w:szCs w:val="22"/>
          <w:lang w:eastAsia="en-US"/>
        </w:rPr>
      </w:pPr>
      <w:r w:rsidRPr="00BE655A">
        <w:rPr>
          <w:rFonts w:ascii="Palatino Linotype" w:eastAsia="Palatino Linotype" w:hAnsi="Palatino Linotype" w:cs="Palatino Linotype"/>
          <w:color w:val="000000"/>
          <w:sz w:val="22"/>
          <w:szCs w:val="22"/>
          <w:lang w:eastAsia="en-US"/>
        </w:rPr>
        <w:t xml:space="preserve">De conformidad con el artículo 198 de la </w:t>
      </w:r>
      <w:r w:rsidRPr="00BE655A">
        <w:rPr>
          <w:rFonts w:ascii="Palatino Linotype" w:eastAsia="Palatino Linotype" w:hAnsi="Palatino Linotype" w:cs="Palatino Linotype"/>
          <w:sz w:val="22"/>
          <w:szCs w:val="22"/>
          <w:lang w:eastAsia="en-US"/>
        </w:rPr>
        <w:t>Ley de Transparencia y Acceso a la Información Pública del Estado de México y Municipios</w:t>
      </w:r>
      <w:r w:rsidRPr="00BE655A">
        <w:rPr>
          <w:rFonts w:ascii="Palatino Linotype" w:eastAsia="Palatino Linotype" w:hAnsi="Palatino Linotype" w:cs="Palatino Linotype"/>
          <w:color w:val="000000"/>
          <w:sz w:val="22"/>
          <w:szCs w:val="22"/>
          <w:lang w:eastAsia="en-US"/>
        </w:rPr>
        <w:t>, de considerarlo procedente, el Sujeto Obligado de manera fundada y motivada, podrá solicitar una ampliación de plazo para el cumplimiento de la presente resolución.</w:t>
      </w:r>
    </w:p>
    <w:p w14:paraId="1DD07F81" w14:textId="77777777" w:rsidR="00FC66E8" w:rsidRPr="00BE655A" w:rsidRDefault="00FC66E8" w:rsidP="00DB35AD">
      <w:pPr>
        <w:spacing w:line="360" w:lineRule="auto"/>
        <w:ind w:right="-28"/>
        <w:contextualSpacing/>
        <w:jc w:val="both"/>
        <w:rPr>
          <w:rFonts w:ascii="Palatino Linotype" w:eastAsia="Palatino Linotype" w:hAnsi="Palatino Linotype" w:cs="Palatino Linotype"/>
          <w:b/>
          <w:sz w:val="22"/>
          <w:szCs w:val="22"/>
          <w:lang w:val="es-ES_tradnl" w:eastAsia="en-US"/>
        </w:rPr>
      </w:pPr>
    </w:p>
    <w:p w14:paraId="62B84141" w14:textId="77777777" w:rsidR="00FC66E8" w:rsidRPr="00BE655A" w:rsidRDefault="00FC66E8" w:rsidP="00DB35AD">
      <w:pPr>
        <w:spacing w:line="360" w:lineRule="auto"/>
        <w:contextualSpacing/>
        <w:jc w:val="both"/>
        <w:rPr>
          <w:rFonts w:ascii="Palatino Linotype" w:eastAsia="Palatino Linotype" w:hAnsi="Palatino Linotype" w:cs="Palatino Linotype"/>
          <w:sz w:val="22"/>
          <w:szCs w:val="22"/>
          <w:lang w:eastAsia="en-US"/>
        </w:rPr>
      </w:pPr>
      <w:r w:rsidRPr="00BE655A">
        <w:rPr>
          <w:rFonts w:ascii="Palatino Linotype" w:eastAsia="Palatino Linotype" w:hAnsi="Palatino Linotype" w:cs="Palatino Linotype"/>
          <w:b/>
          <w:sz w:val="22"/>
          <w:szCs w:val="22"/>
          <w:lang w:eastAsia="en-US"/>
        </w:rPr>
        <w:t>CUARTO. NOTIFÍQUESE POR SAIMEX</w:t>
      </w:r>
      <w:r w:rsidRPr="00BE655A">
        <w:rPr>
          <w:rFonts w:ascii="Palatino Linotype" w:eastAsia="Palatino Linotype" w:hAnsi="Palatino Linotype" w:cs="Palatino Linotype"/>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1AC4473" w14:textId="77777777" w:rsidR="00FC66E8" w:rsidRPr="00BE655A" w:rsidRDefault="00FC66E8" w:rsidP="00DB35AD">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58CACC3D" w14:textId="368C6CBE" w:rsidR="00FC66E8" w:rsidRPr="00BA6963" w:rsidRDefault="00FC66E8" w:rsidP="00DB35AD">
      <w:pPr>
        <w:spacing w:line="360" w:lineRule="auto"/>
        <w:contextualSpacing/>
        <w:jc w:val="both"/>
        <w:rPr>
          <w:rFonts w:ascii="Palatino Linotype" w:hAnsi="Palatino Linotype"/>
          <w:sz w:val="22"/>
          <w:szCs w:val="22"/>
        </w:rPr>
      </w:pPr>
      <w:r w:rsidRPr="00BE655A">
        <w:rPr>
          <w:rFonts w:ascii="Palatino Linotype" w:eastAsia="Calibri" w:hAnsi="Palatino Linotype"/>
          <w:sz w:val="22"/>
          <w:szCs w:val="22"/>
        </w:rPr>
        <w:t xml:space="preserve">ASÍ LO RESUELVE, POR </w:t>
      </w:r>
      <w:r w:rsidRPr="00BE655A">
        <w:rPr>
          <w:rFonts w:ascii="Palatino Linotype" w:eastAsia="Calibri" w:hAnsi="Palatino Linotype"/>
          <w:b/>
          <w:bCs/>
          <w:sz w:val="22"/>
          <w:szCs w:val="22"/>
        </w:rPr>
        <w:t>UNANIMIDAD</w:t>
      </w:r>
      <w:r w:rsidRPr="00BE655A">
        <w:rPr>
          <w:rFonts w:ascii="Palatino Linotype" w:eastAsia="Calibri"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w:t>
      </w:r>
      <w:r w:rsidRPr="00BE655A">
        <w:rPr>
          <w:rFonts w:ascii="Palatino Linotype" w:eastAsia="Calibri" w:hAnsi="Palatino Linotype"/>
          <w:sz w:val="22"/>
          <w:szCs w:val="22"/>
        </w:rPr>
        <w:lastRenderedPageBreak/>
        <w:t xml:space="preserve">SHARON CRISTINA MORALES MARTÍNEZ, LUIS GUSTAVO PARRA NORIEGA Y GUADALUPE RAMÍREZ PEÑA, EN LA </w:t>
      </w:r>
      <w:r w:rsidR="00C100BB" w:rsidRPr="00BE655A">
        <w:rPr>
          <w:rFonts w:ascii="Palatino Linotype" w:eastAsia="Calibri" w:hAnsi="Palatino Linotype"/>
          <w:sz w:val="22"/>
          <w:szCs w:val="22"/>
        </w:rPr>
        <w:t xml:space="preserve">DÉCIMA SEGUNDA </w:t>
      </w:r>
      <w:r w:rsidRPr="00BE655A">
        <w:rPr>
          <w:rFonts w:ascii="Palatino Linotype" w:eastAsia="Calibri" w:hAnsi="Palatino Linotype"/>
          <w:sz w:val="22"/>
          <w:szCs w:val="22"/>
        </w:rPr>
        <w:t xml:space="preserve">SESIÓN ORDINARIA, CELEBRADA EL </w:t>
      </w:r>
      <w:r w:rsidR="00C100BB" w:rsidRPr="00BE655A">
        <w:rPr>
          <w:rFonts w:ascii="Palatino Linotype" w:eastAsia="Calibri" w:hAnsi="Palatino Linotype"/>
          <w:sz w:val="22"/>
          <w:szCs w:val="22"/>
        </w:rPr>
        <w:t xml:space="preserve">DOS DE ABRIL </w:t>
      </w:r>
      <w:r w:rsidRPr="00BE655A">
        <w:rPr>
          <w:rFonts w:ascii="Palatino Linotype" w:eastAsia="Calibri" w:hAnsi="Palatino Linotype"/>
          <w:sz w:val="22"/>
          <w:szCs w:val="22"/>
        </w:rPr>
        <w:t>DE DOS MIL VEINTICINCO, ANTE EL SECRETARIO TÉCNICO DEL PLENO, ALEXIS TAPIA RAMÍREZ.</w:t>
      </w:r>
    </w:p>
    <w:p w14:paraId="4CD12509" w14:textId="77777777" w:rsidR="004B4C9A" w:rsidRPr="00BA6963" w:rsidRDefault="004B4C9A" w:rsidP="00DB35AD">
      <w:pPr>
        <w:spacing w:line="360" w:lineRule="auto"/>
        <w:contextualSpacing/>
        <w:rPr>
          <w:rFonts w:ascii="Palatino Linotype" w:hAnsi="Palatino Linotype"/>
        </w:rPr>
      </w:pPr>
    </w:p>
    <w:p w14:paraId="0E86B605" w14:textId="77777777" w:rsidR="004B4C9A" w:rsidRPr="00BA6963" w:rsidRDefault="004B4C9A" w:rsidP="00DB35AD">
      <w:pPr>
        <w:spacing w:line="360" w:lineRule="auto"/>
        <w:contextualSpacing/>
        <w:rPr>
          <w:rFonts w:ascii="Palatino Linotype" w:hAnsi="Palatino Linotype"/>
        </w:rPr>
      </w:pPr>
    </w:p>
    <w:p w14:paraId="610198EF" w14:textId="77777777" w:rsidR="004B4C9A" w:rsidRPr="00BA6963" w:rsidRDefault="004B4C9A" w:rsidP="00DB35AD">
      <w:pPr>
        <w:spacing w:line="360" w:lineRule="auto"/>
        <w:contextualSpacing/>
        <w:rPr>
          <w:rFonts w:ascii="Palatino Linotype" w:hAnsi="Palatino Linotype"/>
        </w:rPr>
      </w:pPr>
    </w:p>
    <w:p w14:paraId="1554EEBB" w14:textId="77777777" w:rsidR="004B4C9A" w:rsidRPr="00BA6963" w:rsidRDefault="004B4C9A" w:rsidP="00DB35AD">
      <w:pPr>
        <w:spacing w:line="360" w:lineRule="auto"/>
        <w:contextualSpacing/>
        <w:rPr>
          <w:rFonts w:ascii="Palatino Linotype" w:hAnsi="Palatino Linotype"/>
        </w:rPr>
      </w:pPr>
    </w:p>
    <w:p w14:paraId="7657309B" w14:textId="77777777" w:rsidR="004B4C9A" w:rsidRPr="00BA6963" w:rsidRDefault="004B4C9A" w:rsidP="00DB35AD">
      <w:pPr>
        <w:spacing w:line="360" w:lineRule="auto"/>
        <w:contextualSpacing/>
        <w:rPr>
          <w:rFonts w:ascii="Palatino Linotype" w:hAnsi="Palatino Linotype"/>
        </w:rPr>
      </w:pPr>
    </w:p>
    <w:p w14:paraId="3F9A93EA" w14:textId="77777777" w:rsidR="00B01980" w:rsidRPr="00BA6963" w:rsidRDefault="00B01980" w:rsidP="00DB35AD">
      <w:pPr>
        <w:spacing w:line="360" w:lineRule="auto"/>
        <w:contextualSpacing/>
        <w:rPr>
          <w:rFonts w:ascii="Palatino Linotype" w:hAnsi="Palatino Linotype"/>
        </w:rPr>
      </w:pPr>
    </w:p>
    <w:p w14:paraId="59EC0DE1" w14:textId="77777777" w:rsidR="00650C9B" w:rsidRPr="00BA6963" w:rsidRDefault="00650C9B" w:rsidP="00DB35AD">
      <w:pPr>
        <w:spacing w:line="360" w:lineRule="auto"/>
        <w:contextualSpacing/>
        <w:rPr>
          <w:rFonts w:ascii="Palatino Linotype" w:hAnsi="Palatino Linotype"/>
        </w:rPr>
      </w:pPr>
    </w:p>
    <w:p w14:paraId="7A65A033" w14:textId="77777777" w:rsidR="00650C9B" w:rsidRPr="00BA6963" w:rsidRDefault="00650C9B" w:rsidP="00DB35AD">
      <w:pPr>
        <w:spacing w:line="360" w:lineRule="auto"/>
        <w:contextualSpacing/>
        <w:rPr>
          <w:rFonts w:ascii="Palatino Linotype" w:hAnsi="Palatino Linotype"/>
        </w:rPr>
      </w:pPr>
    </w:p>
    <w:p w14:paraId="7F5BD4C0" w14:textId="77777777" w:rsidR="00650C9B" w:rsidRPr="00BA6963" w:rsidRDefault="00650C9B" w:rsidP="00DB35AD">
      <w:pPr>
        <w:spacing w:line="360" w:lineRule="auto"/>
        <w:contextualSpacing/>
        <w:rPr>
          <w:rFonts w:ascii="Palatino Linotype" w:hAnsi="Palatino Linotype"/>
        </w:rPr>
      </w:pPr>
    </w:p>
    <w:p w14:paraId="1FCCAEE9" w14:textId="77777777" w:rsidR="00650C9B" w:rsidRPr="00BA6963" w:rsidRDefault="00650C9B" w:rsidP="00DB35AD">
      <w:pPr>
        <w:spacing w:line="360" w:lineRule="auto"/>
        <w:contextualSpacing/>
        <w:rPr>
          <w:rFonts w:ascii="Palatino Linotype" w:hAnsi="Palatino Linotype"/>
        </w:rPr>
      </w:pPr>
    </w:p>
    <w:p w14:paraId="73A61ECD" w14:textId="77777777" w:rsidR="00650C9B" w:rsidRPr="00BA6963" w:rsidRDefault="00650C9B" w:rsidP="00DB35AD">
      <w:pPr>
        <w:spacing w:line="360" w:lineRule="auto"/>
        <w:contextualSpacing/>
        <w:rPr>
          <w:rFonts w:ascii="Palatino Linotype" w:hAnsi="Palatino Linotype"/>
        </w:rPr>
      </w:pPr>
    </w:p>
    <w:p w14:paraId="4B1B926C" w14:textId="77777777" w:rsidR="00650C9B" w:rsidRPr="00BA6963" w:rsidRDefault="00650C9B" w:rsidP="00DB35AD">
      <w:pPr>
        <w:spacing w:line="360" w:lineRule="auto"/>
        <w:contextualSpacing/>
        <w:rPr>
          <w:rFonts w:ascii="Palatino Linotype" w:hAnsi="Palatino Linotype"/>
        </w:rPr>
      </w:pPr>
    </w:p>
    <w:p w14:paraId="0724DD46" w14:textId="77777777" w:rsidR="00650C9B" w:rsidRPr="00BA6963" w:rsidRDefault="00650C9B" w:rsidP="00DB35AD">
      <w:pPr>
        <w:spacing w:line="360" w:lineRule="auto"/>
        <w:contextualSpacing/>
        <w:rPr>
          <w:rFonts w:ascii="Palatino Linotype" w:hAnsi="Palatino Linotype"/>
        </w:rPr>
      </w:pPr>
    </w:p>
    <w:p w14:paraId="1A8E82AE" w14:textId="77777777" w:rsidR="00650C9B" w:rsidRPr="00BA6963" w:rsidRDefault="00650C9B" w:rsidP="00DB35AD">
      <w:pPr>
        <w:spacing w:line="360" w:lineRule="auto"/>
        <w:contextualSpacing/>
        <w:rPr>
          <w:rFonts w:ascii="Palatino Linotype" w:hAnsi="Palatino Linotype"/>
        </w:rPr>
      </w:pPr>
    </w:p>
    <w:p w14:paraId="4825EA1C" w14:textId="77777777" w:rsidR="00650C9B" w:rsidRPr="00BA6963" w:rsidRDefault="00650C9B" w:rsidP="00DB35AD">
      <w:pPr>
        <w:spacing w:line="360" w:lineRule="auto"/>
        <w:contextualSpacing/>
        <w:rPr>
          <w:rFonts w:ascii="Palatino Linotype" w:hAnsi="Palatino Linotype"/>
        </w:rPr>
      </w:pPr>
    </w:p>
    <w:p w14:paraId="3028EACD" w14:textId="77777777" w:rsidR="00650C9B" w:rsidRPr="00BA6963" w:rsidRDefault="00650C9B" w:rsidP="00DB35AD">
      <w:pPr>
        <w:spacing w:line="360" w:lineRule="auto"/>
        <w:contextualSpacing/>
        <w:rPr>
          <w:rFonts w:ascii="Palatino Linotype" w:hAnsi="Palatino Linotype"/>
        </w:rPr>
      </w:pPr>
    </w:p>
    <w:p w14:paraId="0886C043" w14:textId="77777777" w:rsidR="00650C9B" w:rsidRPr="00BA6963" w:rsidRDefault="00650C9B" w:rsidP="00DB35AD">
      <w:pPr>
        <w:spacing w:line="360" w:lineRule="auto"/>
        <w:contextualSpacing/>
        <w:rPr>
          <w:rFonts w:ascii="Palatino Linotype" w:hAnsi="Palatino Linotype"/>
        </w:rPr>
      </w:pPr>
    </w:p>
    <w:p w14:paraId="3EE459CA" w14:textId="77777777" w:rsidR="00650C9B" w:rsidRPr="00BA6963" w:rsidRDefault="00650C9B" w:rsidP="00DB35AD">
      <w:pPr>
        <w:spacing w:line="360" w:lineRule="auto"/>
        <w:contextualSpacing/>
        <w:rPr>
          <w:rFonts w:ascii="Palatino Linotype" w:hAnsi="Palatino Linotype"/>
        </w:rPr>
      </w:pPr>
    </w:p>
    <w:p w14:paraId="3E080400" w14:textId="77777777" w:rsidR="00650C9B" w:rsidRPr="00BA6963" w:rsidRDefault="00650C9B" w:rsidP="00DB35AD">
      <w:pPr>
        <w:spacing w:line="360" w:lineRule="auto"/>
        <w:contextualSpacing/>
        <w:rPr>
          <w:rFonts w:ascii="Palatino Linotype" w:hAnsi="Palatino Linotype"/>
        </w:rPr>
      </w:pPr>
    </w:p>
    <w:p w14:paraId="72474309" w14:textId="77777777" w:rsidR="00650C9B" w:rsidRPr="00BA6963" w:rsidRDefault="00650C9B" w:rsidP="00DB35AD">
      <w:pPr>
        <w:spacing w:line="360" w:lineRule="auto"/>
        <w:contextualSpacing/>
        <w:rPr>
          <w:rFonts w:ascii="Palatino Linotype" w:hAnsi="Palatino Linotype"/>
        </w:rPr>
      </w:pPr>
    </w:p>
    <w:p w14:paraId="5F611878" w14:textId="77777777" w:rsidR="00650C9B" w:rsidRPr="00BA6963" w:rsidRDefault="00650C9B" w:rsidP="00DB35AD">
      <w:pPr>
        <w:spacing w:line="360" w:lineRule="auto"/>
        <w:contextualSpacing/>
        <w:rPr>
          <w:rFonts w:ascii="Palatino Linotype" w:hAnsi="Palatino Linotype"/>
        </w:rPr>
      </w:pPr>
    </w:p>
    <w:p w14:paraId="02DFCD21" w14:textId="77777777" w:rsidR="00650C9B" w:rsidRPr="00BA6963" w:rsidRDefault="00650C9B" w:rsidP="00DB35AD">
      <w:pPr>
        <w:spacing w:line="360" w:lineRule="auto"/>
        <w:contextualSpacing/>
        <w:rPr>
          <w:rFonts w:ascii="Palatino Linotype" w:hAnsi="Palatino Linotype"/>
        </w:rPr>
      </w:pPr>
    </w:p>
    <w:p w14:paraId="7EA36690" w14:textId="77777777" w:rsidR="00650C9B" w:rsidRDefault="00650C9B" w:rsidP="00DB35AD">
      <w:pPr>
        <w:spacing w:line="360" w:lineRule="auto"/>
        <w:contextualSpacing/>
        <w:rPr>
          <w:rFonts w:ascii="Palatino Linotype" w:hAnsi="Palatino Linotype"/>
        </w:rPr>
      </w:pPr>
    </w:p>
    <w:p w14:paraId="0930A9F5" w14:textId="77777777" w:rsidR="004E1667" w:rsidRDefault="004E1667" w:rsidP="00DB35AD">
      <w:pPr>
        <w:spacing w:line="360" w:lineRule="auto"/>
        <w:contextualSpacing/>
        <w:rPr>
          <w:rFonts w:ascii="Palatino Linotype" w:hAnsi="Palatino Linotype"/>
        </w:rPr>
      </w:pPr>
    </w:p>
    <w:p w14:paraId="2AF4CDEE" w14:textId="77777777" w:rsidR="004E1667" w:rsidRDefault="004E1667" w:rsidP="00DB35AD">
      <w:pPr>
        <w:spacing w:line="360" w:lineRule="auto"/>
        <w:contextualSpacing/>
        <w:rPr>
          <w:rFonts w:ascii="Palatino Linotype" w:hAnsi="Palatino Linotype"/>
        </w:rPr>
      </w:pPr>
    </w:p>
    <w:p w14:paraId="0C8CE509" w14:textId="77777777" w:rsidR="004E1667" w:rsidRDefault="004E1667" w:rsidP="00DB35AD">
      <w:pPr>
        <w:spacing w:line="360" w:lineRule="auto"/>
        <w:contextualSpacing/>
        <w:rPr>
          <w:rFonts w:ascii="Palatino Linotype" w:hAnsi="Palatino Linotype"/>
        </w:rPr>
      </w:pPr>
    </w:p>
    <w:p w14:paraId="143B4A86" w14:textId="77777777" w:rsidR="004E1667" w:rsidRDefault="004E1667" w:rsidP="00DB35AD">
      <w:pPr>
        <w:spacing w:line="360" w:lineRule="auto"/>
        <w:contextualSpacing/>
        <w:rPr>
          <w:rFonts w:ascii="Palatino Linotype" w:hAnsi="Palatino Linotype"/>
        </w:rPr>
      </w:pPr>
    </w:p>
    <w:p w14:paraId="41A6B402" w14:textId="77777777" w:rsidR="004E1667" w:rsidRDefault="004E1667" w:rsidP="00DB35AD">
      <w:pPr>
        <w:spacing w:line="360" w:lineRule="auto"/>
        <w:contextualSpacing/>
        <w:rPr>
          <w:rFonts w:ascii="Palatino Linotype" w:hAnsi="Palatino Linotype"/>
        </w:rPr>
      </w:pPr>
    </w:p>
    <w:p w14:paraId="33549133" w14:textId="77777777" w:rsidR="004E1667" w:rsidRPr="00BA6963" w:rsidRDefault="004E1667" w:rsidP="00DB35AD">
      <w:pPr>
        <w:spacing w:line="360" w:lineRule="auto"/>
        <w:contextualSpacing/>
        <w:rPr>
          <w:rFonts w:ascii="Palatino Linotype" w:hAnsi="Palatino Linotype"/>
        </w:rPr>
      </w:pPr>
    </w:p>
    <w:sectPr w:rsidR="004E1667" w:rsidRPr="00BA6963" w:rsidSect="004B4C9A">
      <w:headerReference w:type="even" r:id="rId9"/>
      <w:headerReference w:type="default" r:id="rId10"/>
      <w:footerReference w:type="default" r:id="rId11"/>
      <w:headerReference w:type="first" r:id="rId12"/>
      <w:footerReference w:type="first" r:id="rId13"/>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E1B4" w14:textId="77777777" w:rsidR="00AF13DA" w:rsidRDefault="00AF13DA" w:rsidP="004B4C9A">
      <w:r>
        <w:separator/>
      </w:r>
    </w:p>
  </w:endnote>
  <w:endnote w:type="continuationSeparator" w:id="0">
    <w:p w14:paraId="45C0BC10" w14:textId="77777777" w:rsidR="00AF13DA" w:rsidRDefault="00AF13DA" w:rsidP="004B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45690795" w14:textId="77777777" w:rsidR="003A1DAB" w:rsidRPr="00C13895" w:rsidRDefault="003A1DAB">
            <w:pPr>
              <w:pStyle w:val="Piedepgina"/>
              <w:jc w:val="right"/>
              <w:rPr>
                <w:sz w:val="26"/>
                <w:szCs w:val="26"/>
              </w:rPr>
            </w:pPr>
          </w:p>
          <w:p w14:paraId="6954C63A" w14:textId="77777777" w:rsidR="003A1DAB" w:rsidRDefault="003A1D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5321">
              <w:rPr>
                <w:b/>
                <w:bCs/>
                <w:noProof/>
              </w:rPr>
              <w:t>27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5321">
              <w:rPr>
                <w:b/>
                <w:bCs/>
                <w:noProof/>
              </w:rPr>
              <w:t>28</w:t>
            </w:r>
            <w:r>
              <w:rPr>
                <w:b/>
                <w:bCs/>
                <w:sz w:val="24"/>
                <w:szCs w:val="24"/>
              </w:rPr>
              <w:fldChar w:fldCharType="end"/>
            </w:r>
          </w:p>
        </w:sdtContent>
      </w:sdt>
    </w:sdtContent>
  </w:sdt>
  <w:p w14:paraId="74459CDF" w14:textId="77777777" w:rsidR="003A1DAB" w:rsidRDefault="003A1D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7BD7AB55" w14:textId="77777777" w:rsidR="003A1DAB" w:rsidRDefault="003A1DAB">
            <w:pPr>
              <w:pStyle w:val="Piedepgina"/>
              <w:jc w:val="right"/>
            </w:pPr>
          </w:p>
          <w:p w14:paraId="1BD4DEEE" w14:textId="77777777" w:rsidR="003A1DAB" w:rsidRDefault="003A1DAB">
            <w:pPr>
              <w:pStyle w:val="Piedepgina"/>
              <w:jc w:val="right"/>
            </w:pPr>
          </w:p>
          <w:p w14:paraId="50791E76" w14:textId="77777777" w:rsidR="003A1DAB" w:rsidRDefault="003A1DAB">
            <w:pPr>
              <w:pStyle w:val="Piedepgina"/>
              <w:jc w:val="right"/>
            </w:pPr>
          </w:p>
          <w:p w14:paraId="51927214" w14:textId="77777777" w:rsidR="003A1DAB" w:rsidRDefault="003A1D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532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5321">
              <w:rPr>
                <w:b/>
                <w:bCs/>
                <w:noProof/>
              </w:rPr>
              <w:t>28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B438" w14:textId="77777777" w:rsidR="00AF13DA" w:rsidRDefault="00AF13DA" w:rsidP="004B4C9A">
      <w:r>
        <w:separator/>
      </w:r>
    </w:p>
  </w:footnote>
  <w:footnote w:type="continuationSeparator" w:id="0">
    <w:p w14:paraId="4F367354" w14:textId="77777777" w:rsidR="00AF13DA" w:rsidRDefault="00AF13DA" w:rsidP="004B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F0B4" w14:textId="77777777" w:rsidR="003A1DAB" w:rsidRDefault="00AF13DA">
    <w:pPr>
      <w:pStyle w:val="Encabezado"/>
    </w:pPr>
    <w:r>
      <w:rPr>
        <w:noProof/>
        <w:lang w:eastAsia="es-MX"/>
      </w:rPr>
      <w:pict w14:anchorId="32DED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E45F" w14:textId="77777777" w:rsidR="003A1DAB" w:rsidRPr="009E6858" w:rsidRDefault="00AF13DA" w:rsidP="003927B3">
    <w:pPr>
      <w:tabs>
        <w:tab w:val="left" w:pos="3416"/>
      </w:tabs>
      <w:rPr>
        <w:sz w:val="22"/>
        <w:szCs w:val="22"/>
      </w:rPr>
    </w:pPr>
    <w:r>
      <w:rPr>
        <w:noProof/>
        <w:sz w:val="14"/>
        <w:lang w:eastAsia="es-MX"/>
      </w:rPr>
      <w:pict w14:anchorId="29E70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781" w:type="dxa"/>
      <w:tblLayout w:type="fixed"/>
      <w:tblLook w:val="04A0" w:firstRow="1" w:lastRow="0" w:firstColumn="1" w:lastColumn="0" w:noHBand="0" w:noVBand="1"/>
    </w:tblPr>
    <w:tblGrid>
      <w:gridCol w:w="1134"/>
      <w:gridCol w:w="8647"/>
    </w:tblGrid>
    <w:tr w:rsidR="003A1DAB" w:rsidRPr="005C106F" w14:paraId="21D43DAA" w14:textId="77777777" w:rsidTr="003927B3">
      <w:trPr>
        <w:trHeight w:val="70"/>
      </w:trPr>
      <w:tc>
        <w:tcPr>
          <w:tcW w:w="1134" w:type="dxa"/>
          <w:shd w:val="clear" w:color="auto" w:fill="auto"/>
        </w:tcPr>
        <w:p w14:paraId="6410FECE" w14:textId="77777777" w:rsidR="003A1DAB" w:rsidRPr="005C106F" w:rsidRDefault="003A1DAB" w:rsidP="003927B3">
          <w:pPr>
            <w:tabs>
              <w:tab w:val="right" w:pos="4273"/>
            </w:tabs>
            <w:rPr>
              <w:rFonts w:ascii="Garamond" w:eastAsia="Calibri" w:hAnsi="Garamond"/>
              <w:sz w:val="16"/>
              <w:szCs w:val="16"/>
            </w:rPr>
          </w:pPr>
        </w:p>
      </w:tc>
      <w:tc>
        <w:tcPr>
          <w:tcW w:w="8647" w:type="dxa"/>
          <w:shd w:val="clear" w:color="auto" w:fill="auto"/>
        </w:tcPr>
        <w:tbl>
          <w:tblPr>
            <w:tblStyle w:val="Tablaconcuadrcula"/>
            <w:tblW w:w="7969" w:type="dxa"/>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4425"/>
          </w:tblGrid>
          <w:tr w:rsidR="003A1DAB" w14:paraId="6627A6DC" w14:textId="77777777" w:rsidTr="004B4C9A">
            <w:trPr>
              <w:trHeight w:val="128"/>
            </w:trPr>
            <w:tc>
              <w:tcPr>
                <w:tcW w:w="3544" w:type="dxa"/>
                <w:vAlign w:val="bottom"/>
              </w:tcPr>
              <w:p w14:paraId="7B0C0D0F" w14:textId="77D5B775" w:rsidR="003A1DAB" w:rsidRPr="008B41A2" w:rsidRDefault="003A1DAB" w:rsidP="003927B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425" w:type="dxa"/>
              </w:tcPr>
              <w:p w14:paraId="185DEBB1" w14:textId="659F6329" w:rsidR="003A1DAB" w:rsidRPr="00651A13" w:rsidRDefault="003A1DAB" w:rsidP="003927B3">
                <w:pPr>
                  <w:tabs>
                    <w:tab w:val="right" w:pos="8838"/>
                  </w:tabs>
                  <w:ind w:left="-28"/>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1056/INFOEM/IP/RR/2025 y acumulado</w:t>
                </w:r>
              </w:p>
            </w:tc>
          </w:tr>
          <w:tr w:rsidR="003A1DAB" w14:paraId="705E959B" w14:textId="77777777" w:rsidTr="004B4C9A">
            <w:trPr>
              <w:trHeight w:val="251"/>
            </w:trPr>
            <w:tc>
              <w:tcPr>
                <w:tcW w:w="3544" w:type="dxa"/>
              </w:tcPr>
              <w:p w14:paraId="1A3943A7" w14:textId="5AB6A0FD" w:rsidR="003A1DAB" w:rsidRPr="008B41A2" w:rsidRDefault="003A1DAB" w:rsidP="003927B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425" w:type="dxa"/>
              </w:tcPr>
              <w:p w14:paraId="21E52F91" w14:textId="02316B19" w:rsidR="003A1DAB" w:rsidRPr="008B41A2" w:rsidRDefault="003A1DAB" w:rsidP="003927B3">
                <w:pPr>
                  <w:tabs>
                    <w:tab w:val="right" w:pos="8838"/>
                  </w:tabs>
                  <w:ind w:right="1008"/>
                  <w:jc w:val="both"/>
                  <w:rPr>
                    <w:rFonts w:ascii="Palatino Linotype" w:eastAsia="Calibri" w:hAnsi="Palatino Linotype" w:cs="Tahoma"/>
                    <w:sz w:val="22"/>
                    <w:szCs w:val="22"/>
                    <w:lang w:val="es-MX"/>
                  </w:rPr>
                </w:pPr>
                <w:r>
                  <w:rPr>
                    <w:rFonts w:ascii="Palatino Linotype" w:hAnsi="Palatino Linotype"/>
                    <w:bCs/>
                    <w:color w:val="000000"/>
                    <w:sz w:val="22"/>
                    <w:szCs w:val="22"/>
                  </w:rPr>
                  <w:t>Ayuntamiento de Tenancingo</w:t>
                </w:r>
              </w:p>
            </w:tc>
          </w:tr>
          <w:tr w:rsidR="003A1DAB" w14:paraId="2875A0AA" w14:textId="77777777" w:rsidTr="004B4C9A">
            <w:trPr>
              <w:trHeight w:val="251"/>
            </w:trPr>
            <w:tc>
              <w:tcPr>
                <w:tcW w:w="3544" w:type="dxa"/>
              </w:tcPr>
              <w:p w14:paraId="779E4388" w14:textId="10E4BD97" w:rsidR="003A1DAB" w:rsidRPr="008B41A2" w:rsidRDefault="003A1DAB" w:rsidP="003927B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425" w:type="dxa"/>
              </w:tcPr>
              <w:p w14:paraId="0D91ABB9" w14:textId="77777777" w:rsidR="003A1DAB" w:rsidRPr="008B41A2" w:rsidRDefault="003A1DAB" w:rsidP="003927B3">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43A16609" w14:textId="77777777" w:rsidR="003A1DAB" w:rsidRPr="005C106F" w:rsidRDefault="003A1DAB" w:rsidP="003927B3">
          <w:pPr>
            <w:tabs>
              <w:tab w:val="right" w:pos="8838"/>
            </w:tabs>
            <w:ind w:left="-28"/>
            <w:rPr>
              <w:rFonts w:ascii="Arial" w:eastAsia="Calibri" w:hAnsi="Arial" w:cs="Arial"/>
              <w:b/>
            </w:rPr>
          </w:pPr>
        </w:p>
      </w:tc>
    </w:tr>
  </w:tbl>
  <w:p w14:paraId="664E66CA" w14:textId="77777777" w:rsidR="003A1DAB" w:rsidRDefault="003A1DAB" w:rsidP="003927B3">
    <w:pPr>
      <w:pStyle w:val="Encabezado"/>
      <w:rPr>
        <w:sz w:val="14"/>
      </w:rPr>
    </w:pPr>
  </w:p>
  <w:p w14:paraId="68CA50E3" w14:textId="77777777" w:rsidR="003A1DAB" w:rsidRPr="00443C6B" w:rsidRDefault="003A1DAB" w:rsidP="003927B3">
    <w:pPr>
      <w:pStyle w:val="Encabezado"/>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686"/>
      <w:gridCol w:w="3260"/>
    </w:tblGrid>
    <w:tr w:rsidR="003A1DAB" w:rsidRPr="00264223" w14:paraId="347268F8" w14:textId="77777777" w:rsidTr="004B4C9A">
      <w:trPr>
        <w:trHeight w:val="302"/>
      </w:trPr>
      <w:tc>
        <w:tcPr>
          <w:tcW w:w="3686" w:type="dxa"/>
        </w:tcPr>
        <w:p w14:paraId="71820C7B" w14:textId="5CC6F1BA" w:rsidR="003A1DAB" w:rsidRPr="00D3618F" w:rsidRDefault="003A1DAB" w:rsidP="003927B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260" w:type="dxa"/>
        </w:tcPr>
        <w:p w14:paraId="2525C139" w14:textId="3623FD64" w:rsidR="003A1DAB" w:rsidRPr="00651A13" w:rsidRDefault="003A1DAB" w:rsidP="003927B3">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1056</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 y acumulado</w:t>
          </w:r>
        </w:p>
      </w:tc>
    </w:tr>
    <w:tr w:rsidR="003A1DAB" w:rsidRPr="00264223" w14:paraId="6E3C60D3" w14:textId="77777777" w:rsidTr="004B4C9A">
      <w:trPr>
        <w:trHeight w:val="110"/>
      </w:trPr>
      <w:tc>
        <w:tcPr>
          <w:tcW w:w="3686" w:type="dxa"/>
        </w:tcPr>
        <w:p w14:paraId="2431D3F4" w14:textId="052B2DA3" w:rsidR="003A1DAB" w:rsidRPr="00D3618F" w:rsidRDefault="003A1DAB" w:rsidP="003927B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260" w:type="dxa"/>
        </w:tcPr>
        <w:p w14:paraId="269CF3A9" w14:textId="2CB16BBA" w:rsidR="003A1DAB" w:rsidRPr="00E22A9C" w:rsidRDefault="00DB3A1E" w:rsidP="003927B3">
          <w:pPr>
            <w:jc w:val="both"/>
            <w:rPr>
              <w:rFonts w:ascii="Palatino Linotype" w:hAnsi="Palatino Linotype"/>
              <w:sz w:val="22"/>
              <w:szCs w:val="22"/>
              <w:lang w:eastAsia="es-MX"/>
            </w:rPr>
          </w:pPr>
          <w:r>
            <w:rPr>
              <w:rFonts w:ascii="Palatino Linotype" w:hAnsi="Palatino Linotype"/>
              <w:sz w:val="22"/>
              <w:szCs w:val="22"/>
              <w:highlight w:val="black"/>
              <w:lang w:eastAsia="es-MX"/>
            </w:rPr>
            <w:t>XXXXXXXXXXX</w:t>
          </w:r>
        </w:p>
      </w:tc>
    </w:tr>
    <w:tr w:rsidR="003A1DAB" w:rsidRPr="00264223" w14:paraId="7F6C1C1F" w14:textId="77777777" w:rsidTr="004B4C9A">
      <w:trPr>
        <w:trHeight w:val="248"/>
      </w:trPr>
      <w:tc>
        <w:tcPr>
          <w:tcW w:w="3686" w:type="dxa"/>
        </w:tcPr>
        <w:p w14:paraId="1D5B74F7" w14:textId="6FC5148A" w:rsidR="003A1DAB" w:rsidRPr="00D3618F" w:rsidRDefault="003A1DAB" w:rsidP="003927B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260" w:type="dxa"/>
        </w:tcPr>
        <w:p w14:paraId="58A2FA60" w14:textId="1D0F0D77" w:rsidR="003A1DAB" w:rsidRPr="008B44A7" w:rsidRDefault="003A1DAB" w:rsidP="003927B3">
          <w:pPr>
            <w:tabs>
              <w:tab w:val="right" w:pos="8838"/>
            </w:tabs>
            <w:jc w:val="both"/>
            <w:rPr>
              <w:rFonts w:ascii="Palatino Linotype" w:eastAsia="Calibri" w:hAnsi="Palatino Linotype" w:cs="Tahoma"/>
              <w:sz w:val="22"/>
              <w:szCs w:val="22"/>
              <w:lang w:val="es-MX" w:eastAsia="en-US"/>
            </w:rPr>
          </w:pPr>
          <w:r>
            <w:rPr>
              <w:rFonts w:ascii="Palatino Linotype" w:hAnsi="Palatino Linotype"/>
              <w:bCs/>
              <w:color w:val="000000"/>
              <w:sz w:val="22"/>
              <w:szCs w:val="22"/>
            </w:rPr>
            <w:t>Ayuntamiento de Tenancingo</w:t>
          </w:r>
        </w:p>
      </w:tc>
    </w:tr>
    <w:tr w:rsidR="003A1DAB" w:rsidRPr="00264223" w14:paraId="41FC716A" w14:textId="77777777" w:rsidTr="004B4C9A">
      <w:trPr>
        <w:trHeight w:val="248"/>
      </w:trPr>
      <w:tc>
        <w:tcPr>
          <w:tcW w:w="3686" w:type="dxa"/>
        </w:tcPr>
        <w:p w14:paraId="717FDD00" w14:textId="1F2BD9D6" w:rsidR="003A1DAB" w:rsidRPr="00D3618F" w:rsidRDefault="003A1DAB" w:rsidP="003927B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260" w:type="dxa"/>
        </w:tcPr>
        <w:p w14:paraId="514E400F" w14:textId="77777777" w:rsidR="003A1DAB" w:rsidRPr="00D3618F" w:rsidRDefault="003A1DAB" w:rsidP="003927B3">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0C97D3EA" w14:textId="77777777" w:rsidR="003A1DAB" w:rsidRDefault="00AF13DA" w:rsidP="003927B3">
    <w:pPr>
      <w:ind w:right="-312"/>
    </w:pPr>
    <w:r>
      <w:rPr>
        <w:noProof/>
        <w:lang w:eastAsia="es-MX"/>
      </w:rPr>
      <w:pict w14:anchorId="1F663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94E"/>
    <w:multiLevelType w:val="multilevel"/>
    <w:tmpl w:val="F7A06B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93763"/>
    <w:multiLevelType w:val="hybridMultilevel"/>
    <w:tmpl w:val="01E04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4A70A6"/>
    <w:multiLevelType w:val="multilevel"/>
    <w:tmpl w:val="D56E99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D2AEC"/>
    <w:multiLevelType w:val="hybridMultilevel"/>
    <w:tmpl w:val="96523934"/>
    <w:lvl w:ilvl="0" w:tplc="A37C35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D6AAE"/>
    <w:multiLevelType w:val="hybridMultilevel"/>
    <w:tmpl w:val="EAB6FEE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98356C"/>
    <w:multiLevelType w:val="hybridMultilevel"/>
    <w:tmpl w:val="B0B80D58"/>
    <w:lvl w:ilvl="0" w:tplc="E8140ED0">
      <w:start w:val="1"/>
      <w:numFmt w:val="lowerRoman"/>
      <w:lvlText w:val="%1)"/>
      <w:lvlJc w:val="left"/>
      <w:pPr>
        <w:ind w:left="1080" w:hanging="720"/>
      </w:pPr>
      <w:rPr>
        <w:rFonts w:eastAsia="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670D4C"/>
    <w:multiLevelType w:val="multilevel"/>
    <w:tmpl w:val="9D08B2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16515717"/>
    <w:multiLevelType w:val="hybridMultilevel"/>
    <w:tmpl w:val="6B2C074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182A2DCD"/>
    <w:multiLevelType w:val="multilevel"/>
    <w:tmpl w:val="95488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FB6CE6"/>
    <w:multiLevelType w:val="hybridMultilevel"/>
    <w:tmpl w:val="E812805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60B1FE2"/>
    <w:multiLevelType w:val="hybridMultilevel"/>
    <w:tmpl w:val="E2E888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3863B2"/>
    <w:multiLevelType w:val="hybridMultilevel"/>
    <w:tmpl w:val="3D7C30C8"/>
    <w:lvl w:ilvl="0" w:tplc="AB126202">
      <w:start w:val="1"/>
      <w:numFmt w:val="lowerRoman"/>
      <w:lvlText w:val="%1)"/>
      <w:lvlJc w:val="left"/>
      <w:pPr>
        <w:ind w:left="1080" w:hanging="72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ED5AB6"/>
    <w:multiLevelType w:val="multilevel"/>
    <w:tmpl w:val="A5765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F75A27"/>
    <w:multiLevelType w:val="multilevel"/>
    <w:tmpl w:val="C7CC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01625B"/>
    <w:multiLevelType w:val="hybridMultilevel"/>
    <w:tmpl w:val="468CBDE8"/>
    <w:lvl w:ilvl="0" w:tplc="A5F4FD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D16425"/>
    <w:multiLevelType w:val="hybridMultilevel"/>
    <w:tmpl w:val="55DC4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8D06FA"/>
    <w:multiLevelType w:val="hybridMultilevel"/>
    <w:tmpl w:val="180E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D342F1"/>
    <w:multiLevelType w:val="hybridMultilevel"/>
    <w:tmpl w:val="CEC61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6F50B3"/>
    <w:multiLevelType w:val="hybridMultilevel"/>
    <w:tmpl w:val="B39E308E"/>
    <w:lvl w:ilvl="0" w:tplc="954E5A2C">
      <w:start w:val="1"/>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705A7F"/>
    <w:multiLevelType w:val="hybridMultilevel"/>
    <w:tmpl w:val="F2A2E048"/>
    <w:lvl w:ilvl="0" w:tplc="E9E6D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2" w15:restartNumberingAfterBreak="0">
    <w:nsid w:val="52F36B14"/>
    <w:multiLevelType w:val="hybridMultilevel"/>
    <w:tmpl w:val="E620D8AE"/>
    <w:lvl w:ilvl="0" w:tplc="D9A40E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F820D8"/>
    <w:multiLevelType w:val="hybridMultilevel"/>
    <w:tmpl w:val="4F0ACA1A"/>
    <w:lvl w:ilvl="0" w:tplc="7EE6CBF0">
      <w:start w:val="1"/>
      <w:numFmt w:val="lowerRoman"/>
      <w:lvlText w:val="%1)"/>
      <w:lvlJc w:val="left"/>
      <w:pPr>
        <w:ind w:left="1080" w:hanging="72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31121D"/>
    <w:multiLevelType w:val="hybridMultilevel"/>
    <w:tmpl w:val="3D044A1A"/>
    <w:lvl w:ilvl="0" w:tplc="F47843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09419D"/>
    <w:multiLevelType w:val="hybridMultilevel"/>
    <w:tmpl w:val="980A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A556FD"/>
    <w:multiLevelType w:val="hybridMultilevel"/>
    <w:tmpl w:val="E4E82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254EE2"/>
    <w:multiLevelType w:val="hybridMultilevel"/>
    <w:tmpl w:val="FEE2DEA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19F4176"/>
    <w:multiLevelType w:val="hybridMultilevel"/>
    <w:tmpl w:val="12E07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AD331C"/>
    <w:multiLevelType w:val="multilevel"/>
    <w:tmpl w:val="02CCA3F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FD0BE6"/>
    <w:multiLevelType w:val="hybridMultilevel"/>
    <w:tmpl w:val="324E5336"/>
    <w:lvl w:ilvl="0" w:tplc="38D24422">
      <w:start w:val="5"/>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56D2AF2"/>
    <w:multiLevelType w:val="hybridMultilevel"/>
    <w:tmpl w:val="41CA73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A62839"/>
    <w:multiLevelType w:val="hybridMultilevel"/>
    <w:tmpl w:val="B6DC8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6670BC"/>
    <w:multiLevelType w:val="hybridMultilevel"/>
    <w:tmpl w:val="3DF2E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7A560C6C"/>
    <w:multiLevelType w:val="multilevel"/>
    <w:tmpl w:val="0D3AD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071915"/>
    <w:multiLevelType w:val="hybridMultilevel"/>
    <w:tmpl w:val="4FFE58B4"/>
    <w:lvl w:ilvl="0" w:tplc="1D3ABF4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27"/>
  </w:num>
  <w:num w:numId="5">
    <w:abstractNumId w:val="10"/>
  </w:num>
  <w:num w:numId="6">
    <w:abstractNumId w:val="21"/>
  </w:num>
  <w:num w:numId="7">
    <w:abstractNumId w:val="26"/>
  </w:num>
  <w:num w:numId="8">
    <w:abstractNumId w:val="25"/>
  </w:num>
  <w:num w:numId="9">
    <w:abstractNumId w:val="30"/>
  </w:num>
  <w:num w:numId="10">
    <w:abstractNumId w:val="16"/>
  </w:num>
  <w:num w:numId="11">
    <w:abstractNumId w:val="22"/>
  </w:num>
  <w:num w:numId="12">
    <w:abstractNumId w:val="3"/>
  </w:num>
  <w:num w:numId="13">
    <w:abstractNumId w:val="5"/>
  </w:num>
  <w:num w:numId="14">
    <w:abstractNumId w:val="31"/>
  </w:num>
  <w:num w:numId="15">
    <w:abstractNumId w:val="19"/>
  </w:num>
  <w:num w:numId="16">
    <w:abstractNumId w:val="4"/>
  </w:num>
  <w:num w:numId="17">
    <w:abstractNumId w:val="6"/>
  </w:num>
  <w:num w:numId="18">
    <w:abstractNumId w:val="0"/>
  </w:num>
  <w:num w:numId="19">
    <w:abstractNumId w:val="9"/>
  </w:num>
  <w:num w:numId="20">
    <w:abstractNumId w:val="29"/>
  </w:num>
  <w:num w:numId="21">
    <w:abstractNumId w:val="13"/>
  </w:num>
  <w:num w:numId="22">
    <w:abstractNumId w:val="2"/>
  </w:num>
  <w:num w:numId="23">
    <w:abstractNumId w:val="7"/>
  </w:num>
  <w:num w:numId="24">
    <w:abstractNumId w:val="1"/>
  </w:num>
  <w:num w:numId="25">
    <w:abstractNumId w:val="32"/>
  </w:num>
  <w:num w:numId="26">
    <w:abstractNumId w:val="33"/>
  </w:num>
  <w:num w:numId="27">
    <w:abstractNumId w:val="28"/>
  </w:num>
  <w:num w:numId="28">
    <w:abstractNumId w:val="15"/>
  </w:num>
  <w:num w:numId="29">
    <w:abstractNumId w:val="12"/>
  </w:num>
  <w:num w:numId="30">
    <w:abstractNumId w:val="24"/>
  </w:num>
  <w:num w:numId="31">
    <w:abstractNumId w:val="20"/>
  </w:num>
  <w:num w:numId="32">
    <w:abstractNumId w:val="23"/>
  </w:num>
  <w:num w:numId="33">
    <w:abstractNumId w:val="36"/>
  </w:num>
  <w:num w:numId="34">
    <w:abstractNumId w:val="14"/>
  </w:num>
  <w:num w:numId="35">
    <w:abstractNumId w:val="34"/>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9A"/>
    <w:rsid w:val="00001821"/>
    <w:rsid w:val="00001E3C"/>
    <w:rsid w:val="00132F5F"/>
    <w:rsid w:val="00181E14"/>
    <w:rsid w:val="00183EE3"/>
    <w:rsid w:val="001C2E7C"/>
    <w:rsid w:val="001C4352"/>
    <w:rsid w:val="001E09A1"/>
    <w:rsid w:val="001E0DE9"/>
    <w:rsid w:val="00240DBA"/>
    <w:rsid w:val="00260A6F"/>
    <w:rsid w:val="002659F3"/>
    <w:rsid w:val="002C0F12"/>
    <w:rsid w:val="002F7BB6"/>
    <w:rsid w:val="00354613"/>
    <w:rsid w:val="003927B3"/>
    <w:rsid w:val="003A1DAB"/>
    <w:rsid w:val="003F6436"/>
    <w:rsid w:val="00431015"/>
    <w:rsid w:val="00465F9B"/>
    <w:rsid w:val="0047720E"/>
    <w:rsid w:val="004B4C9A"/>
    <w:rsid w:val="004C7F44"/>
    <w:rsid w:val="004E1667"/>
    <w:rsid w:val="005005C3"/>
    <w:rsid w:val="00543563"/>
    <w:rsid w:val="0059244A"/>
    <w:rsid w:val="005F1FCF"/>
    <w:rsid w:val="00650C9B"/>
    <w:rsid w:val="00675C9D"/>
    <w:rsid w:val="006A4407"/>
    <w:rsid w:val="006D3C79"/>
    <w:rsid w:val="006D5FED"/>
    <w:rsid w:val="00714CC2"/>
    <w:rsid w:val="007854C3"/>
    <w:rsid w:val="007E2C1F"/>
    <w:rsid w:val="00825A30"/>
    <w:rsid w:val="00840D64"/>
    <w:rsid w:val="00842C17"/>
    <w:rsid w:val="008675A1"/>
    <w:rsid w:val="008A23B8"/>
    <w:rsid w:val="008B6D04"/>
    <w:rsid w:val="008D3119"/>
    <w:rsid w:val="0091471A"/>
    <w:rsid w:val="009422B2"/>
    <w:rsid w:val="00963D1E"/>
    <w:rsid w:val="00964B99"/>
    <w:rsid w:val="00982F73"/>
    <w:rsid w:val="009B09B5"/>
    <w:rsid w:val="00A52BCA"/>
    <w:rsid w:val="00A5795A"/>
    <w:rsid w:val="00AA43FE"/>
    <w:rsid w:val="00AB5553"/>
    <w:rsid w:val="00AB5866"/>
    <w:rsid w:val="00AF13DA"/>
    <w:rsid w:val="00B01980"/>
    <w:rsid w:val="00B35321"/>
    <w:rsid w:val="00BA6963"/>
    <w:rsid w:val="00BE655A"/>
    <w:rsid w:val="00BE7282"/>
    <w:rsid w:val="00C100BB"/>
    <w:rsid w:val="00C55DCA"/>
    <w:rsid w:val="00C75034"/>
    <w:rsid w:val="00D148CE"/>
    <w:rsid w:val="00DB35AD"/>
    <w:rsid w:val="00DB3A1E"/>
    <w:rsid w:val="00E00A57"/>
    <w:rsid w:val="00E47192"/>
    <w:rsid w:val="00E47C27"/>
    <w:rsid w:val="00E95CAB"/>
    <w:rsid w:val="00EE40A2"/>
    <w:rsid w:val="00F60B61"/>
    <w:rsid w:val="00F63618"/>
    <w:rsid w:val="00F76A7D"/>
    <w:rsid w:val="00F76D25"/>
    <w:rsid w:val="00FA3271"/>
    <w:rsid w:val="00FC6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931D5"/>
  <w15:chartTrackingRefBased/>
  <w15:docId w15:val="{6EBEF90A-1E5C-43F5-95BD-A7C3CA93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C9A"/>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4B4C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4B4C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4C9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4C9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4C9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4C9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4C9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4C9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4C9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4C9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4B4C9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4C9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4C9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4C9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4C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4C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4C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4C9A"/>
    <w:rPr>
      <w:rFonts w:eastAsiaTheme="majorEastAsia" w:cstheme="majorBidi"/>
      <w:color w:val="272727" w:themeColor="text1" w:themeTint="D8"/>
    </w:rPr>
  </w:style>
  <w:style w:type="paragraph" w:styleId="Ttulo">
    <w:name w:val="Title"/>
    <w:basedOn w:val="Normal"/>
    <w:next w:val="Normal"/>
    <w:link w:val="TtuloCar"/>
    <w:uiPriority w:val="10"/>
    <w:qFormat/>
    <w:rsid w:val="004B4C9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4C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4C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4C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4C9A"/>
    <w:pPr>
      <w:spacing w:before="160"/>
      <w:jc w:val="center"/>
    </w:pPr>
    <w:rPr>
      <w:i/>
      <w:iCs/>
      <w:color w:val="404040" w:themeColor="text1" w:themeTint="BF"/>
    </w:rPr>
  </w:style>
  <w:style w:type="character" w:customStyle="1" w:styleId="CitaCar">
    <w:name w:val="Cita Car"/>
    <w:basedOn w:val="Fuentedeprrafopredeter"/>
    <w:link w:val="Cita"/>
    <w:uiPriority w:val="29"/>
    <w:rsid w:val="004B4C9A"/>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B4C9A"/>
    <w:pPr>
      <w:ind w:left="720"/>
      <w:contextualSpacing/>
    </w:pPr>
  </w:style>
  <w:style w:type="character" w:styleId="nfasisintenso">
    <w:name w:val="Intense Emphasis"/>
    <w:basedOn w:val="Fuentedeprrafopredeter"/>
    <w:uiPriority w:val="21"/>
    <w:qFormat/>
    <w:rsid w:val="004B4C9A"/>
    <w:rPr>
      <w:i/>
      <w:iCs/>
      <w:color w:val="2F5496" w:themeColor="accent1" w:themeShade="BF"/>
    </w:rPr>
  </w:style>
  <w:style w:type="paragraph" w:styleId="Citadestacada">
    <w:name w:val="Intense Quote"/>
    <w:basedOn w:val="Normal"/>
    <w:next w:val="Normal"/>
    <w:link w:val="CitadestacadaCar"/>
    <w:uiPriority w:val="30"/>
    <w:qFormat/>
    <w:rsid w:val="004B4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4C9A"/>
    <w:rPr>
      <w:i/>
      <w:iCs/>
      <w:color w:val="2F5496" w:themeColor="accent1" w:themeShade="BF"/>
    </w:rPr>
  </w:style>
  <w:style w:type="character" w:styleId="Referenciaintensa">
    <w:name w:val="Intense Reference"/>
    <w:basedOn w:val="Fuentedeprrafopredeter"/>
    <w:uiPriority w:val="32"/>
    <w:qFormat/>
    <w:rsid w:val="004B4C9A"/>
    <w:rPr>
      <w:b/>
      <w:bCs/>
      <w:smallCaps/>
      <w:color w:val="2F5496" w:themeColor="accent1" w:themeShade="BF"/>
      <w:spacing w:val="5"/>
    </w:rPr>
  </w:style>
  <w:style w:type="paragraph" w:styleId="Encabezado">
    <w:name w:val="header"/>
    <w:basedOn w:val="Normal"/>
    <w:link w:val="EncabezadoCar"/>
    <w:uiPriority w:val="99"/>
    <w:unhideWhenUsed/>
    <w:rsid w:val="004B4C9A"/>
    <w:pPr>
      <w:tabs>
        <w:tab w:val="center" w:pos="4419"/>
        <w:tab w:val="right" w:pos="8838"/>
      </w:tabs>
    </w:pPr>
  </w:style>
  <w:style w:type="character" w:customStyle="1" w:styleId="EncabezadoCar">
    <w:name w:val="Encabezado Car"/>
    <w:basedOn w:val="Fuentedeprrafopredeter"/>
    <w:link w:val="Encabezado"/>
    <w:uiPriority w:val="99"/>
    <w:rsid w:val="004B4C9A"/>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4B4C9A"/>
    <w:pPr>
      <w:tabs>
        <w:tab w:val="center" w:pos="4419"/>
        <w:tab w:val="right" w:pos="8838"/>
      </w:tabs>
    </w:pPr>
  </w:style>
  <w:style w:type="character" w:customStyle="1" w:styleId="PiedepginaCar">
    <w:name w:val="Pie de página Car"/>
    <w:basedOn w:val="Fuentedeprrafopredeter"/>
    <w:link w:val="Piedepgina"/>
    <w:uiPriority w:val="99"/>
    <w:rsid w:val="004B4C9A"/>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4B4C9A"/>
  </w:style>
  <w:style w:type="table" w:styleId="Tablaconcuadrcula">
    <w:name w:val="Table Grid"/>
    <w:basedOn w:val="Tablanormal"/>
    <w:uiPriority w:val="39"/>
    <w:rsid w:val="004B4C9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4C9A"/>
    <w:rPr>
      <w:color w:val="0563C1" w:themeColor="hyperlink"/>
      <w:u w:val="single"/>
    </w:rPr>
  </w:style>
  <w:style w:type="paragraph" w:styleId="TtuloTDC">
    <w:name w:val="TOC Heading"/>
    <w:basedOn w:val="Ttulo1"/>
    <w:next w:val="Normal"/>
    <w:uiPriority w:val="39"/>
    <w:unhideWhenUsed/>
    <w:qFormat/>
    <w:rsid w:val="004B4C9A"/>
    <w:pPr>
      <w:spacing w:before="480" w:after="0" w:line="276" w:lineRule="auto"/>
      <w:outlineLvl w:val="9"/>
    </w:pPr>
    <w:rPr>
      <w:b/>
      <w:bCs/>
      <w:sz w:val="28"/>
      <w:szCs w:val="28"/>
      <w:lang w:eastAsia="es-MX"/>
    </w:rPr>
  </w:style>
  <w:style w:type="paragraph" w:styleId="TDC1">
    <w:name w:val="toc 1"/>
    <w:basedOn w:val="Normal"/>
    <w:next w:val="Normal"/>
    <w:autoRedefine/>
    <w:uiPriority w:val="39"/>
    <w:unhideWhenUsed/>
    <w:rsid w:val="004B4C9A"/>
    <w:pPr>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4B4C9A"/>
    <w:pPr>
      <w:spacing w:before="120"/>
      <w:ind w:left="200"/>
    </w:pPr>
    <w:rPr>
      <w:rFonts w:asciiTheme="minorHAnsi" w:hAnsiTheme="minorHAnsi" w:cstheme="minorHAnsi"/>
      <w:b/>
      <w:bCs/>
      <w:sz w:val="22"/>
      <w:szCs w:val="22"/>
    </w:rPr>
  </w:style>
  <w:style w:type="character" w:customStyle="1" w:styleId="Mencinsinresolver1">
    <w:name w:val="Mención sin resolver1"/>
    <w:basedOn w:val="Fuentedeprrafopredeter"/>
    <w:uiPriority w:val="99"/>
    <w:semiHidden/>
    <w:unhideWhenUsed/>
    <w:rsid w:val="004B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99610">
      <w:bodyDiv w:val="1"/>
      <w:marLeft w:val="0"/>
      <w:marRight w:val="0"/>
      <w:marTop w:val="0"/>
      <w:marBottom w:val="0"/>
      <w:divBdr>
        <w:top w:val="none" w:sz="0" w:space="0" w:color="auto"/>
        <w:left w:val="none" w:sz="0" w:space="0" w:color="auto"/>
        <w:bottom w:val="none" w:sz="0" w:space="0" w:color="auto"/>
        <w:right w:val="none" w:sz="0" w:space="0" w:color="auto"/>
      </w:divBdr>
    </w:div>
    <w:div w:id="17881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nfoem2.ipomex.org.mx/ipome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6448</Words>
  <Characters>35470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HECTOR FABIAN ORDOÑEZ GARCIA</cp:lastModifiedBy>
  <cp:revision>2</cp:revision>
  <cp:lastPrinted>2025-04-04T15:09:00Z</cp:lastPrinted>
  <dcterms:created xsi:type="dcterms:W3CDTF">2025-04-28T20:28:00Z</dcterms:created>
  <dcterms:modified xsi:type="dcterms:W3CDTF">2025-04-28T20:28:00Z</dcterms:modified>
</cp:coreProperties>
</file>