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950B2B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4024F">
        <w:rPr>
          <w:rFonts w:eastAsia="Palatino Linotype" w:cs="Palatino Linotype"/>
          <w:color w:val="000000"/>
          <w:szCs w:val="24"/>
        </w:rPr>
        <w:t xml:space="preserve">México, a </w:t>
      </w:r>
      <w:r w:rsidR="00DC3E75" w:rsidRPr="0084024F">
        <w:rPr>
          <w:rFonts w:eastAsia="Palatino Linotype" w:cs="Palatino Linotype"/>
          <w:color w:val="000000"/>
          <w:szCs w:val="24"/>
        </w:rPr>
        <w:t>veintiuno de mayo de dos mil veinticinco</w:t>
      </w:r>
      <w:r w:rsidRPr="0084024F">
        <w:rPr>
          <w:rFonts w:eastAsia="Palatino Linotype" w:cs="Palatino Linotype"/>
          <w:color w:val="000000"/>
          <w:szCs w:val="24"/>
        </w:rPr>
        <w:t>.</w:t>
      </w:r>
    </w:p>
    <w:p w14:paraId="60399B74"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3E94691"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b/>
          <w:color w:val="000000"/>
          <w:szCs w:val="24"/>
        </w:rPr>
        <w:t>VISTO</w:t>
      </w:r>
      <w:r w:rsidRPr="0084024F">
        <w:rPr>
          <w:rFonts w:eastAsia="Palatino Linotype" w:cs="Palatino Linotype"/>
          <w:color w:val="000000"/>
          <w:szCs w:val="24"/>
        </w:rPr>
        <w:t xml:space="preserve"> el expediente electrónico formado con motivo del recurso de revisión número </w:t>
      </w:r>
      <w:r w:rsidR="00DC3E75" w:rsidRPr="0084024F">
        <w:rPr>
          <w:rFonts w:eastAsia="Palatino Linotype" w:cs="Palatino Linotype"/>
          <w:b/>
          <w:color w:val="000000"/>
          <w:szCs w:val="24"/>
        </w:rPr>
        <w:t>03845/INFOEM/IP/RR/2025</w:t>
      </w:r>
      <w:r w:rsidR="00B54BC7" w:rsidRPr="0084024F">
        <w:rPr>
          <w:rFonts w:eastAsia="Palatino Linotype" w:cs="Palatino Linotype"/>
          <w:color w:val="000000"/>
          <w:szCs w:val="24"/>
        </w:rPr>
        <w:t xml:space="preserve">, </w:t>
      </w:r>
      <w:r w:rsidR="005C4D70" w:rsidRPr="0084024F">
        <w:rPr>
          <w:rFonts w:cs="Arial"/>
        </w:rPr>
        <w:t>interpuesto por</w:t>
      </w:r>
      <w:r w:rsidR="00DC3E75" w:rsidRPr="0084024F">
        <w:rPr>
          <w:rFonts w:cs="Arial"/>
        </w:rPr>
        <w:t xml:space="preserve"> el C. </w:t>
      </w:r>
      <w:r w:rsidR="00665962" w:rsidRPr="0084024F">
        <w:rPr>
          <w:rFonts w:cs="Arial"/>
          <w:b/>
          <w:bCs/>
        </w:rPr>
        <w:t>XXXXXXXXXX</w:t>
      </w:r>
      <w:r w:rsidR="005C4D70" w:rsidRPr="0084024F">
        <w:rPr>
          <w:rFonts w:cs="Arial"/>
        </w:rPr>
        <w:t xml:space="preserve">, en lo sucesivo se le denominará el </w:t>
      </w:r>
      <w:r w:rsidR="005C4D70" w:rsidRPr="0084024F">
        <w:rPr>
          <w:rFonts w:cs="Arial"/>
          <w:b/>
          <w:bCs/>
        </w:rPr>
        <w:t>Recurrente</w:t>
      </w:r>
      <w:r w:rsidRPr="0084024F">
        <w:rPr>
          <w:rFonts w:eastAsia="Palatino Linotype" w:cs="Palatino Linotype"/>
          <w:color w:val="000000"/>
          <w:szCs w:val="24"/>
        </w:rPr>
        <w:t>, en contra de la respuesta de</w:t>
      </w:r>
      <w:r w:rsidR="00B54BC7" w:rsidRPr="0084024F">
        <w:rPr>
          <w:rFonts w:eastAsia="Palatino Linotype" w:cs="Palatino Linotype"/>
          <w:color w:val="000000"/>
          <w:szCs w:val="24"/>
        </w:rPr>
        <w:t>l</w:t>
      </w:r>
      <w:r w:rsidRPr="0084024F">
        <w:rPr>
          <w:rFonts w:eastAsia="Palatino Linotype" w:cs="Palatino Linotype"/>
          <w:color w:val="000000"/>
          <w:szCs w:val="24"/>
        </w:rPr>
        <w:t xml:space="preserve"> </w:t>
      </w:r>
      <w:r w:rsidR="00DC3E75" w:rsidRPr="0084024F">
        <w:rPr>
          <w:rFonts w:eastAsia="Palatino Linotype" w:cs="Palatino Linotype"/>
          <w:b/>
          <w:color w:val="000000"/>
          <w:szCs w:val="24"/>
        </w:rPr>
        <w:t>Ayuntamiento de Teoloyucan</w:t>
      </w:r>
      <w:r w:rsidR="0051074E" w:rsidRPr="0084024F">
        <w:rPr>
          <w:rFonts w:eastAsia="Palatino Linotype" w:cs="Palatino Linotype"/>
          <w:color w:val="000000"/>
          <w:szCs w:val="24"/>
        </w:rPr>
        <w:t xml:space="preserve">, </w:t>
      </w:r>
      <w:r w:rsidRPr="0084024F">
        <w:rPr>
          <w:rFonts w:eastAsia="Palatino Linotype" w:cs="Palatino Linotype"/>
          <w:color w:val="000000"/>
          <w:szCs w:val="24"/>
        </w:rPr>
        <w:t>en lo subsecuente</w:t>
      </w:r>
      <w:r w:rsidRPr="0084024F">
        <w:rPr>
          <w:rFonts w:eastAsia="Palatino Linotype" w:cs="Palatino Linotype"/>
          <w:b/>
          <w:color w:val="000000"/>
          <w:szCs w:val="24"/>
        </w:rPr>
        <w:t xml:space="preserve"> </w:t>
      </w:r>
      <w:r w:rsidRPr="0084024F">
        <w:rPr>
          <w:rFonts w:eastAsia="Palatino Linotype" w:cs="Palatino Linotype"/>
          <w:color w:val="000000"/>
          <w:szCs w:val="24"/>
        </w:rPr>
        <w:t>el</w:t>
      </w:r>
      <w:r w:rsidRPr="0084024F">
        <w:rPr>
          <w:rFonts w:eastAsia="Palatino Linotype" w:cs="Palatino Linotype"/>
          <w:b/>
          <w:color w:val="000000"/>
          <w:szCs w:val="24"/>
        </w:rPr>
        <w:t xml:space="preserve"> Sujeto Obligado, </w:t>
      </w:r>
      <w:r w:rsidRPr="0084024F">
        <w:rPr>
          <w:rFonts w:eastAsia="Palatino Linotype" w:cs="Palatino Linotype"/>
          <w:color w:val="000000"/>
          <w:szCs w:val="24"/>
        </w:rPr>
        <w:t>se procede a dictar la presente resolución.</w:t>
      </w:r>
    </w:p>
    <w:p w14:paraId="2E2053C2"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84024F" w:rsidRDefault="00A970D5" w:rsidP="006922F5">
      <w:pPr>
        <w:pStyle w:val="Ttulo1"/>
        <w:rPr>
          <w:rFonts w:eastAsia="Palatino Linotype"/>
          <w:lang w:val="es-ES_tradnl"/>
        </w:rPr>
      </w:pPr>
      <w:r w:rsidRPr="0084024F">
        <w:rPr>
          <w:rFonts w:eastAsia="Palatino Linotype"/>
          <w:lang w:val="es-ES_tradnl"/>
        </w:rPr>
        <w:t>A N T E C E D E N T E S</w:t>
      </w:r>
    </w:p>
    <w:p w14:paraId="32F88820"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84024F" w:rsidRDefault="00A970D5" w:rsidP="006922F5">
      <w:pPr>
        <w:pStyle w:val="Ttulo2"/>
        <w:rPr>
          <w:rFonts w:eastAsia="Palatino Linotype"/>
        </w:rPr>
      </w:pPr>
      <w:r w:rsidRPr="0084024F">
        <w:rPr>
          <w:rFonts w:eastAsia="Palatino Linotype"/>
        </w:rPr>
        <w:t>PRIMERO. De la Solicitud de Información.</w:t>
      </w:r>
    </w:p>
    <w:p w14:paraId="0870C154" w14:textId="15D956C0" w:rsidR="00A970D5" w:rsidRPr="0084024F" w:rsidRDefault="00B36B86"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 xml:space="preserve">Con fecha </w:t>
      </w:r>
      <w:r w:rsidR="00DC3E75" w:rsidRPr="0084024F">
        <w:rPr>
          <w:rFonts w:eastAsia="Palatino Linotype" w:cs="Palatino Linotype"/>
          <w:color w:val="000000"/>
          <w:szCs w:val="24"/>
        </w:rPr>
        <w:t>veinticuatro de marzo</w:t>
      </w:r>
      <w:r w:rsidR="005C4D70" w:rsidRPr="0084024F">
        <w:rPr>
          <w:rFonts w:eastAsia="Palatino Linotype" w:cs="Palatino Linotype"/>
          <w:color w:val="000000"/>
          <w:szCs w:val="24"/>
        </w:rPr>
        <w:t xml:space="preserve"> de dos mil veinti</w:t>
      </w:r>
      <w:r w:rsidR="00DC3E75" w:rsidRPr="0084024F">
        <w:rPr>
          <w:rFonts w:eastAsia="Palatino Linotype" w:cs="Palatino Linotype"/>
          <w:color w:val="000000"/>
          <w:szCs w:val="24"/>
        </w:rPr>
        <w:t>cinco</w:t>
      </w:r>
      <w:r w:rsidR="00B54BC7" w:rsidRPr="0084024F">
        <w:rPr>
          <w:rFonts w:eastAsia="Palatino Linotype" w:cs="Palatino Linotype"/>
          <w:color w:val="000000"/>
          <w:szCs w:val="24"/>
        </w:rPr>
        <w:t xml:space="preserve">, </w:t>
      </w:r>
      <w:r w:rsidR="008708AA" w:rsidRPr="0084024F">
        <w:rPr>
          <w:rFonts w:eastAsia="Palatino Linotype" w:cs="Palatino Linotype"/>
          <w:color w:val="000000"/>
          <w:szCs w:val="24"/>
        </w:rPr>
        <w:t>el</w:t>
      </w:r>
      <w:r w:rsidR="00A970D5" w:rsidRPr="0084024F">
        <w:rPr>
          <w:rFonts w:eastAsia="Palatino Linotype" w:cs="Palatino Linotype"/>
          <w:color w:val="000000"/>
          <w:szCs w:val="24"/>
        </w:rPr>
        <w:t xml:space="preserve"> </w:t>
      </w:r>
      <w:r w:rsidR="00A970D5" w:rsidRPr="0084024F">
        <w:rPr>
          <w:rFonts w:eastAsia="Palatino Linotype" w:cs="Palatino Linotype"/>
          <w:b/>
          <w:color w:val="000000"/>
          <w:szCs w:val="24"/>
        </w:rPr>
        <w:t xml:space="preserve">Recurrente </w:t>
      </w:r>
      <w:r w:rsidR="005B03AE" w:rsidRPr="0084024F">
        <w:rPr>
          <w:rFonts w:eastAsiaTheme="minorHAnsi" w:cs="Arial"/>
          <w:lang w:val="es-MX" w:eastAsia="en-US"/>
        </w:rPr>
        <w:t xml:space="preserve">presentó a través del Sistema de Acceso a la Información Mexiquense </w:t>
      </w:r>
      <w:r w:rsidR="005B03AE" w:rsidRPr="0084024F">
        <w:rPr>
          <w:rFonts w:eastAsiaTheme="minorHAnsi" w:cs="Arial"/>
          <w:b/>
          <w:lang w:val="es-MX" w:eastAsia="en-US"/>
        </w:rPr>
        <w:t>(SAIMEX),</w:t>
      </w:r>
      <w:r w:rsidR="005B03AE" w:rsidRPr="0084024F">
        <w:rPr>
          <w:rFonts w:eastAsiaTheme="minorHAnsi" w:cs="Arial"/>
          <w:lang w:val="es-MX" w:eastAsia="en-US"/>
        </w:rPr>
        <w:t xml:space="preserve"> ante el </w:t>
      </w:r>
      <w:r w:rsidR="005B03AE" w:rsidRPr="0084024F">
        <w:rPr>
          <w:rFonts w:eastAsiaTheme="minorHAnsi" w:cs="Arial"/>
          <w:b/>
          <w:lang w:val="es-MX" w:eastAsia="en-US"/>
        </w:rPr>
        <w:t>Sujeto Obligado</w:t>
      </w:r>
      <w:r w:rsidR="005B03AE" w:rsidRPr="0084024F">
        <w:rPr>
          <w:rFonts w:eastAsiaTheme="minorHAnsi" w:cs="Arial"/>
          <w:lang w:val="es-MX" w:eastAsia="en-US"/>
        </w:rPr>
        <w:t xml:space="preserve">, la solicitud de acceso a la información pública, a la que se le asignó el número de expediente </w:t>
      </w:r>
      <w:r w:rsidR="00DC3E75" w:rsidRPr="0084024F">
        <w:rPr>
          <w:rFonts w:eastAsiaTheme="minorHAnsi" w:cs="Arial"/>
          <w:b/>
          <w:lang w:val="es-MX" w:eastAsia="en-US"/>
        </w:rPr>
        <w:t>00239/TEOLOYU/IP/2025</w:t>
      </w:r>
      <w:r w:rsidR="00A970D5" w:rsidRPr="0084024F">
        <w:rPr>
          <w:rFonts w:eastAsia="Palatino Linotype" w:cs="Palatino Linotype"/>
          <w:color w:val="000000"/>
          <w:szCs w:val="24"/>
        </w:rPr>
        <w:t>,</w:t>
      </w:r>
      <w:r w:rsidR="00A970D5" w:rsidRPr="0084024F">
        <w:rPr>
          <w:rFonts w:eastAsia="Palatino Linotype" w:cs="Palatino Linotype"/>
          <w:b/>
          <w:color w:val="000000"/>
          <w:szCs w:val="24"/>
        </w:rPr>
        <w:t xml:space="preserve"> </w:t>
      </w:r>
      <w:r w:rsidR="00A970D5" w:rsidRPr="0084024F">
        <w:rPr>
          <w:rFonts w:eastAsia="Palatino Linotype" w:cs="Palatino Linotype"/>
          <w:color w:val="000000"/>
          <w:szCs w:val="24"/>
        </w:rPr>
        <w:t>mediante la cual solicitó información en el tenor siguiente:</w:t>
      </w:r>
    </w:p>
    <w:p w14:paraId="68B56D82"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38802C32" w:rsidR="00A970D5" w:rsidRPr="0084024F" w:rsidRDefault="00A970D5" w:rsidP="006922F5">
      <w:pPr>
        <w:pStyle w:val="Fundamentos"/>
      </w:pPr>
      <w:r w:rsidRPr="0084024F">
        <w:t>“</w:t>
      </w:r>
      <w:proofErr w:type="spellStart"/>
      <w:r w:rsidR="00DC3E75" w:rsidRPr="0084024F">
        <w:t>cual</w:t>
      </w:r>
      <w:proofErr w:type="spellEnd"/>
      <w:r w:rsidR="00DC3E75" w:rsidRPr="0084024F">
        <w:t xml:space="preserve"> es el plan de obras para el 2025 en todo el ayuntamiento</w:t>
      </w:r>
      <w:r w:rsidRPr="0084024F">
        <w:t xml:space="preserve">” </w:t>
      </w:r>
      <w:r w:rsidR="00D7260C" w:rsidRPr="0084024F">
        <w:t>(</w:t>
      </w:r>
      <w:r w:rsidRPr="0084024F">
        <w:t>Sic</w:t>
      </w:r>
      <w:r w:rsidR="00D7260C" w:rsidRPr="0084024F">
        <w:t>)</w:t>
      </w:r>
    </w:p>
    <w:p w14:paraId="40BBECCB"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 w:val="21"/>
          <w:szCs w:val="21"/>
        </w:rPr>
      </w:pPr>
    </w:p>
    <w:p w14:paraId="0477F035" w14:textId="77777777" w:rsidR="00A970D5" w:rsidRPr="0084024F" w:rsidRDefault="00A970D5" w:rsidP="006922F5">
      <w:pPr>
        <w:pBdr>
          <w:top w:val="nil"/>
          <w:left w:val="nil"/>
          <w:bottom w:val="nil"/>
          <w:right w:val="nil"/>
          <w:between w:val="nil"/>
        </w:pBdr>
        <w:contextualSpacing/>
        <w:rPr>
          <w:rFonts w:eastAsia="Palatino Linotype" w:cs="Palatino Linotype"/>
          <w:b/>
          <w:color w:val="000000"/>
          <w:szCs w:val="24"/>
        </w:rPr>
      </w:pPr>
      <w:r w:rsidRPr="0084024F">
        <w:rPr>
          <w:rFonts w:eastAsia="Palatino Linotype" w:cs="Palatino Linotype"/>
          <w:color w:val="000000"/>
          <w:szCs w:val="24"/>
        </w:rPr>
        <w:t xml:space="preserve">Modalidad de entrega: </w:t>
      </w:r>
      <w:r w:rsidRPr="0084024F">
        <w:rPr>
          <w:rFonts w:eastAsia="Palatino Linotype" w:cs="Palatino Linotype"/>
          <w:b/>
          <w:color w:val="000000"/>
          <w:szCs w:val="24"/>
        </w:rPr>
        <w:t>A través del SAIMEX</w:t>
      </w:r>
      <w:r w:rsidRPr="0084024F">
        <w:rPr>
          <w:rFonts w:eastAsia="Palatino Linotype" w:cs="Palatino Linotype"/>
          <w:color w:val="000000"/>
          <w:szCs w:val="24"/>
        </w:rPr>
        <w:t>.</w:t>
      </w:r>
    </w:p>
    <w:p w14:paraId="035FB8D4" w14:textId="77777777" w:rsidR="003938ED" w:rsidRPr="0084024F"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84024F" w:rsidRDefault="002D2F64" w:rsidP="006922F5">
      <w:pPr>
        <w:pStyle w:val="Ttulo2"/>
        <w:rPr>
          <w:rFonts w:eastAsia="Palatino Linotype"/>
        </w:rPr>
      </w:pPr>
      <w:r w:rsidRPr="0084024F">
        <w:rPr>
          <w:rFonts w:eastAsia="Palatino Linotype"/>
        </w:rPr>
        <w:lastRenderedPageBreak/>
        <w:t>SEGUNDO</w:t>
      </w:r>
      <w:r w:rsidR="00A970D5" w:rsidRPr="0084024F">
        <w:rPr>
          <w:rFonts w:eastAsia="Palatino Linotype"/>
        </w:rPr>
        <w:t>. De la respuesta del Sujeto Obligado.</w:t>
      </w:r>
    </w:p>
    <w:p w14:paraId="2EE6F294" w14:textId="7B0B62B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De las constancias que obran en el expediente electrónico, se observa qu</w:t>
      </w:r>
      <w:r w:rsidR="00614724" w:rsidRPr="0084024F">
        <w:rPr>
          <w:rFonts w:eastAsia="Palatino Linotype" w:cs="Palatino Linotype"/>
          <w:color w:val="000000"/>
          <w:szCs w:val="24"/>
        </w:rPr>
        <w:t xml:space="preserve">e el día </w:t>
      </w:r>
      <w:r w:rsidR="00DC3E75" w:rsidRPr="0084024F">
        <w:rPr>
          <w:rFonts w:eastAsia="Palatino Linotype" w:cs="Palatino Linotype"/>
          <w:color w:val="000000"/>
          <w:szCs w:val="24"/>
        </w:rPr>
        <w:t>primero de abril de dos mil veinticinco</w:t>
      </w:r>
      <w:r w:rsidRPr="0084024F">
        <w:rPr>
          <w:rFonts w:eastAsia="Palatino Linotype" w:cs="Palatino Linotype"/>
          <w:color w:val="000000"/>
          <w:szCs w:val="24"/>
        </w:rPr>
        <w:t xml:space="preserve">, el </w:t>
      </w:r>
      <w:r w:rsidRPr="0084024F">
        <w:rPr>
          <w:rFonts w:eastAsia="Palatino Linotype" w:cs="Palatino Linotype"/>
          <w:b/>
          <w:color w:val="000000"/>
          <w:szCs w:val="24"/>
        </w:rPr>
        <w:t>Sujeto Obligado</w:t>
      </w:r>
      <w:r w:rsidRPr="0084024F">
        <w:rPr>
          <w:rFonts w:eastAsia="Palatino Linotype" w:cs="Palatino Linotype"/>
          <w:color w:val="000000"/>
          <w:szCs w:val="24"/>
        </w:rPr>
        <w:t xml:space="preserve"> dio respuest</w:t>
      </w:r>
      <w:r w:rsidR="009F4FF4" w:rsidRPr="0084024F">
        <w:rPr>
          <w:rFonts w:eastAsia="Palatino Linotype" w:cs="Palatino Linotype"/>
          <w:color w:val="000000"/>
          <w:szCs w:val="24"/>
        </w:rPr>
        <w:t>a a la solicitud de información</w:t>
      </w:r>
      <w:r w:rsidRPr="0084024F">
        <w:rPr>
          <w:rFonts w:eastAsia="Palatino Linotype" w:cs="Palatino Linotype"/>
          <w:color w:val="000000"/>
          <w:szCs w:val="24"/>
        </w:rPr>
        <w:t xml:space="preserve"> manifestando lo siguiente:</w:t>
      </w:r>
    </w:p>
    <w:p w14:paraId="6CF4EC0F"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2C51CA0F" w14:textId="77777777" w:rsidR="00DC3E75" w:rsidRPr="0084024F" w:rsidRDefault="00A970D5" w:rsidP="00DC3E75">
      <w:pPr>
        <w:pStyle w:val="Fundamentos"/>
        <w:jc w:val="right"/>
      </w:pPr>
      <w:r w:rsidRPr="0084024F">
        <w:t>“</w:t>
      </w:r>
      <w:r w:rsidR="00DC3E75" w:rsidRPr="0084024F">
        <w:t xml:space="preserve">Folio de la solicitud: </w:t>
      </w:r>
      <w:r w:rsidR="00DC3E75" w:rsidRPr="0084024F">
        <w:rPr>
          <w:b/>
          <w:bCs/>
          <w:u w:val="single"/>
        </w:rPr>
        <w:t>00239/TEOLOYU/IP/2025</w:t>
      </w:r>
    </w:p>
    <w:p w14:paraId="24B148A4" w14:textId="77777777" w:rsidR="00DC3E75" w:rsidRPr="0084024F" w:rsidRDefault="00DC3E75" w:rsidP="00DC3E75">
      <w:pPr>
        <w:pStyle w:val="Fundamentos"/>
      </w:pPr>
    </w:p>
    <w:p w14:paraId="58C16329" w14:textId="16D5D74C" w:rsidR="00DC3E75" w:rsidRPr="0084024F" w:rsidRDefault="00DC3E75" w:rsidP="00DC3E75">
      <w:pPr>
        <w:pStyle w:val="Fundamentos"/>
      </w:pPr>
      <w:r w:rsidRPr="0084024F">
        <w:t>En respuesta a la solicitud recibida, nos permitimos hacer de su conocimiento que con fundamento en el artículo 53, Fracciones: II, V y VI de la Ley de Transparencia y Acceso a la Información Pública del Estado de México y Municipios, le contestamos que:</w:t>
      </w:r>
    </w:p>
    <w:p w14:paraId="090246CE" w14:textId="77777777" w:rsidR="00DC3E75" w:rsidRPr="0084024F" w:rsidRDefault="00DC3E75" w:rsidP="00DC3E75">
      <w:pPr>
        <w:pStyle w:val="Fundamentos"/>
      </w:pPr>
    </w:p>
    <w:p w14:paraId="0E060133" w14:textId="77777777" w:rsidR="00DC3E75" w:rsidRPr="0084024F" w:rsidRDefault="00DC3E75" w:rsidP="00DC3E75">
      <w:pPr>
        <w:pStyle w:val="Fundamentos"/>
      </w:pPr>
      <w:proofErr w:type="gramStart"/>
      <w:r w:rsidRPr="0084024F">
        <w:t>se</w:t>
      </w:r>
      <w:proofErr w:type="gramEnd"/>
      <w:r w:rsidRPr="0084024F">
        <w:t xml:space="preserve"> remite oficio del área encargada de generar la información</w:t>
      </w:r>
    </w:p>
    <w:p w14:paraId="6C239F3C" w14:textId="77777777" w:rsidR="00DC3E75" w:rsidRPr="0084024F" w:rsidRDefault="00DC3E75" w:rsidP="00DC3E75">
      <w:pPr>
        <w:pStyle w:val="Fundamentos"/>
      </w:pPr>
    </w:p>
    <w:p w14:paraId="1768CB2F" w14:textId="403C80BD" w:rsidR="00DC3E75" w:rsidRPr="0084024F" w:rsidRDefault="00DC3E75" w:rsidP="00DC3E75">
      <w:pPr>
        <w:pStyle w:val="Fundamentos"/>
      </w:pPr>
      <w:r w:rsidRPr="0084024F">
        <w:t>ATENTAMENTE</w:t>
      </w:r>
    </w:p>
    <w:p w14:paraId="3FE4A9EF" w14:textId="2A4792C2" w:rsidR="00A970D5" w:rsidRPr="0084024F" w:rsidRDefault="00DC3E75" w:rsidP="00DC3E75">
      <w:pPr>
        <w:pStyle w:val="Fundamentos"/>
      </w:pPr>
      <w:r w:rsidRPr="0084024F">
        <w:t>Lic. Ana Beatriz Romero Oceguera</w:t>
      </w:r>
      <w:r w:rsidR="00A970D5" w:rsidRPr="0084024F">
        <w:t>” (Sic)</w:t>
      </w:r>
    </w:p>
    <w:p w14:paraId="4E8ED7CF" w14:textId="77777777" w:rsidR="00A970D5" w:rsidRPr="0084024F" w:rsidRDefault="00A970D5" w:rsidP="00DC3E75">
      <w:pPr>
        <w:pBdr>
          <w:top w:val="nil"/>
          <w:left w:val="nil"/>
          <w:bottom w:val="nil"/>
          <w:right w:val="nil"/>
          <w:between w:val="nil"/>
        </w:pBdr>
        <w:contextualSpacing/>
        <w:rPr>
          <w:rFonts w:eastAsia="Palatino Linotype" w:cs="Palatino Linotype"/>
          <w:color w:val="000000"/>
          <w:szCs w:val="24"/>
        </w:rPr>
      </w:pPr>
    </w:p>
    <w:p w14:paraId="4EB4C948" w14:textId="53CD74F3" w:rsidR="001107C4" w:rsidRPr="0084024F" w:rsidRDefault="001107C4"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 xml:space="preserve">El Sujeto Obligado </w:t>
      </w:r>
      <w:r w:rsidR="00663B72" w:rsidRPr="0084024F">
        <w:rPr>
          <w:rFonts w:eastAsia="Palatino Linotype" w:cs="Palatino Linotype"/>
          <w:color w:val="000000"/>
          <w:szCs w:val="24"/>
        </w:rPr>
        <w:t xml:space="preserve">anexó a la respuesta </w:t>
      </w:r>
      <w:r w:rsidR="00145715" w:rsidRPr="0084024F">
        <w:rPr>
          <w:rFonts w:eastAsia="Palatino Linotype" w:cs="Palatino Linotype"/>
          <w:color w:val="000000"/>
          <w:szCs w:val="24"/>
        </w:rPr>
        <w:t>el</w:t>
      </w:r>
      <w:r w:rsidR="00663B72" w:rsidRPr="0084024F">
        <w:rPr>
          <w:rFonts w:eastAsia="Palatino Linotype" w:cs="Palatino Linotype"/>
          <w:color w:val="000000"/>
          <w:szCs w:val="24"/>
        </w:rPr>
        <w:t xml:space="preserve"> documento denominado</w:t>
      </w:r>
      <w:r w:rsidR="00C5042D" w:rsidRPr="0084024F">
        <w:rPr>
          <w:rFonts w:eastAsia="Palatino Linotype" w:cs="Palatino Linotype"/>
          <w:b/>
          <w:bCs/>
          <w:color w:val="000000"/>
          <w:szCs w:val="24"/>
        </w:rPr>
        <w:t xml:space="preserve"> </w:t>
      </w:r>
      <w:r w:rsidR="00EA1F76" w:rsidRPr="0084024F">
        <w:rPr>
          <w:rFonts w:eastAsia="Palatino Linotype" w:cs="Palatino Linotype"/>
          <w:b/>
          <w:bCs/>
          <w:color w:val="000000"/>
          <w:szCs w:val="24"/>
        </w:rPr>
        <w:t>“</w:t>
      </w:r>
      <w:r w:rsidR="00DC3E75" w:rsidRPr="0084024F">
        <w:rPr>
          <w:rFonts w:eastAsia="Palatino Linotype" w:cs="Palatino Linotype"/>
          <w:b/>
          <w:bCs/>
          <w:color w:val="000000"/>
          <w:szCs w:val="24"/>
        </w:rPr>
        <w:t>respuesta sol. 239</w:t>
      </w:r>
      <w:proofErr w:type="gramStart"/>
      <w:r w:rsidR="00DC3E75" w:rsidRPr="0084024F">
        <w:rPr>
          <w:rFonts w:eastAsia="Palatino Linotype" w:cs="Palatino Linotype"/>
          <w:b/>
          <w:bCs/>
          <w:color w:val="000000"/>
          <w:szCs w:val="24"/>
        </w:rPr>
        <w:t>.pdf</w:t>
      </w:r>
      <w:proofErr w:type="gramEnd"/>
      <w:r w:rsidR="00614724" w:rsidRPr="0084024F">
        <w:rPr>
          <w:rFonts w:eastAsia="Palatino Linotype" w:cs="Palatino Linotype"/>
          <w:b/>
          <w:bCs/>
          <w:color w:val="000000"/>
          <w:szCs w:val="24"/>
        </w:rPr>
        <w:t>”</w:t>
      </w:r>
      <w:r w:rsidR="008C004B" w:rsidRPr="0084024F">
        <w:rPr>
          <w:rFonts w:eastAsia="Palatino Linotype" w:cs="Palatino Linotype"/>
          <w:color w:val="000000"/>
          <w:szCs w:val="24"/>
        </w:rPr>
        <w:t xml:space="preserve">, </w:t>
      </w:r>
      <w:r w:rsidR="00145715" w:rsidRPr="0084024F">
        <w:rPr>
          <w:rFonts w:eastAsia="Palatino Linotype" w:cs="Palatino Linotype"/>
          <w:color w:val="000000"/>
          <w:szCs w:val="24"/>
        </w:rPr>
        <w:t>el</w:t>
      </w:r>
      <w:r w:rsidR="00831867" w:rsidRPr="0084024F">
        <w:rPr>
          <w:rFonts w:eastAsia="Palatino Linotype" w:cs="Palatino Linotype"/>
          <w:color w:val="000000"/>
          <w:szCs w:val="24"/>
        </w:rPr>
        <w:t xml:space="preserve"> cual</w:t>
      </w:r>
      <w:r w:rsidR="008C004B" w:rsidRPr="0084024F">
        <w:rPr>
          <w:rFonts w:eastAsia="Palatino Linotype" w:cs="Palatino Linotype"/>
          <w:color w:val="000000"/>
          <w:szCs w:val="24"/>
        </w:rPr>
        <w:t xml:space="preserve"> no se reproduce por ser del conocimiento de las partes; no obstante, se hará </w:t>
      </w:r>
      <w:r w:rsidR="007A414E" w:rsidRPr="0084024F">
        <w:rPr>
          <w:rFonts w:eastAsia="Palatino Linotype" w:cs="Palatino Linotype"/>
          <w:color w:val="000000"/>
          <w:szCs w:val="24"/>
        </w:rPr>
        <w:t>el análisis de su contenido en el estudio correspondiente</w:t>
      </w:r>
      <w:r w:rsidR="00E75DEB" w:rsidRPr="0084024F">
        <w:rPr>
          <w:rFonts w:eastAsia="Palatino Linotype" w:cs="Palatino Linotype"/>
          <w:color w:val="000000"/>
          <w:szCs w:val="24"/>
        </w:rPr>
        <w:t>.</w:t>
      </w:r>
    </w:p>
    <w:p w14:paraId="7DFE8599" w14:textId="77777777" w:rsidR="00475720" w:rsidRPr="0084024F"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84024F" w:rsidRDefault="00475720" w:rsidP="00475720">
      <w:pPr>
        <w:rPr>
          <w:rFonts w:eastAsiaTheme="minorHAnsi" w:cs="Arial"/>
          <w:b/>
          <w:sz w:val="26"/>
          <w:szCs w:val="26"/>
          <w:lang w:val="es-MX" w:eastAsia="en-US"/>
        </w:rPr>
      </w:pPr>
      <w:r w:rsidRPr="0084024F">
        <w:rPr>
          <w:rFonts w:eastAsiaTheme="minorHAnsi" w:cs="Arial"/>
          <w:b/>
          <w:sz w:val="26"/>
          <w:szCs w:val="26"/>
          <w:lang w:val="es-MX" w:eastAsia="en-US"/>
        </w:rPr>
        <w:t>TERCERO. Del recurso de revisión.</w:t>
      </w:r>
    </w:p>
    <w:p w14:paraId="21898AC9" w14:textId="019ED0B8" w:rsidR="00475720" w:rsidRPr="0084024F" w:rsidRDefault="00475720" w:rsidP="00475720">
      <w:pPr>
        <w:rPr>
          <w:rFonts w:eastAsiaTheme="minorHAnsi" w:cs="Arial"/>
          <w:lang w:val="es-MX" w:eastAsia="en-US"/>
        </w:rPr>
      </w:pPr>
      <w:r w:rsidRPr="0084024F">
        <w:rPr>
          <w:rFonts w:eastAsiaTheme="minorHAnsi" w:cs="Arial"/>
          <w:lang w:val="es-MX" w:eastAsia="en-US"/>
        </w:rPr>
        <w:t xml:space="preserve">Inconforme con la respuesta por parte del </w:t>
      </w:r>
      <w:r w:rsidRPr="0084024F">
        <w:rPr>
          <w:rFonts w:eastAsiaTheme="minorHAnsi" w:cs="Arial"/>
          <w:b/>
          <w:lang w:val="es-MX" w:eastAsia="en-US"/>
        </w:rPr>
        <w:t>Sujeto Obligado</w:t>
      </w:r>
      <w:r w:rsidRPr="0084024F">
        <w:rPr>
          <w:rFonts w:eastAsiaTheme="minorHAnsi" w:cs="Arial"/>
          <w:lang w:val="es-MX" w:eastAsia="en-US"/>
        </w:rPr>
        <w:t xml:space="preserve">, el ahora </w:t>
      </w:r>
      <w:r w:rsidRPr="0084024F">
        <w:rPr>
          <w:rFonts w:eastAsiaTheme="minorHAnsi" w:cs="Arial"/>
          <w:b/>
          <w:lang w:val="es-MX" w:eastAsia="en-US"/>
        </w:rPr>
        <w:t>Recurrente</w:t>
      </w:r>
      <w:r w:rsidRPr="0084024F">
        <w:rPr>
          <w:rFonts w:eastAsiaTheme="minorHAnsi" w:cs="Arial"/>
          <w:lang w:val="es-MX" w:eastAsia="en-US"/>
        </w:rPr>
        <w:t xml:space="preserve"> interpuso el presente recurso de revisión en fecha </w:t>
      </w:r>
      <w:r w:rsidR="00DC3E75" w:rsidRPr="0084024F">
        <w:rPr>
          <w:rFonts w:eastAsiaTheme="minorHAnsi" w:cs="Arial"/>
          <w:lang w:val="es-MX" w:eastAsia="en-US"/>
        </w:rPr>
        <w:t>dos de abril de dos mil veinticinco</w:t>
      </w:r>
      <w:r w:rsidRPr="0084024F">
        <w:rPr>
          <w:rFonts w:eastAsiaTheme="minorHAnsi" w:cs="Arial"/>
          <w:lang w:val="es-MX" w:eastAsia="en-US"/>
        </w:rPr>
        <w:t>, el cual fue registrado</w:t>
      </w:r>
      <w:r w:rsidRPr="0084024F">
        <w:rPr>
          <w:rFonts w:eastAsiaTheme="minorHAnsi" w:cs="Arial"/>
          <w:b/>
          <w:lang w:val="es-MX" w:eastAsia="en-US"/>
        </w:rPr>
        <w:t xml:space="preserve"> </w:t>
      </w:r>
      <w:r w:rsidRPr="0084024F">
        <w:rPr>
          <w:rFonts w:eastAsiaTheme="minorHAnsi" w:cs="Arial"/>
          <w:lang w:val="es-MX" w:eastAsia="en-US"/>
        </w:rPr>
        <w:t xml:space="preserve">en el sistema electrónico con el expediente número </w:t>
      </w:r>
      <w:r w:rsidR="00DC3E75" w:rsidRPr="0084024F">
        <w:rPr>
          <w:rFonts w:eastAsiaTheme="minorHAnsi" w:cs="Arial"/>
          <w:b/>
          <w:bCs/>
          <w:lang w:val="es-MX"/>
        </w:rPr>
        <w:t>03845/INFOEM/IP/RR/2025</w:t>
      </w:r>
      <w:r w:rsidRPr="0084024F">
        <w:rPr>
          <w:rFonts w:eastAsiaTheme="minorHAnsi" w:cs="Arial"/>
          <w:lang w:val="es-MX" w:eastAsia="en-US"/>
        </w:rPr>
        <w:t>, en el cual aduce, las siguientes manifestaciones:</w:t>
      </w:r>
    </w:p>
    <w:p w14:paraId="1A3BE0A3" w14:textId="77777777" w:rsidR="00475720" w:rsidRPr="0084024F" w:rsidRDefault="00475720" w:rsidP="00475720">
      <w:pPr>
        <w:rPr>
          <w:rFonts w:eastAsiaTheme="minorHAnsi" w:cs="Arial"/>
          <w:lang w:val="es-MX" w:eastAsia="en-US"/>
        </w:rPr>
      </w:pPr>
    </w:p>
    <w:p w14:paraId="2C6B8A48" w14:textId="77777777" w:rsidR="00475720" w:rsidRPr="0084024F" w:rsidRDefault="00475720" w:rsidP="00475720">
      <w:pPr>
        <w:rPr>
          <w:sz w:val="8"/>
          <w:lang w:val="es-MX"/>
        </w:rPr>
      </w:pPr>
    </w:p>
    <w:p w14:paraId="34A4BD14" w14:textId="77777777" w:rsidR="00475720" w:rsidRPr="0084024F" w:rsidRDefault="00475720" w:rsidP="00BA5930">
      <w:pPr>
        <w:numPr>
          <w:ilvl w:val="0"/>
          <w:numId w:val="14"/>
        </w:numPr>
        <w:spacing w:line="259" w:lineRule="auto"/>
        <w:ind w:left="567" w:right="567"/>
        <w:rPr>
          <w:rFonts w:cs="Arial"/>
          <w:b/>
          <w:sz w:val="26"/>
          <w:szCs w:val="26"/>
        </w:rPr>
      </w:pPr>
      <w:r w:rsidRPr="0084024F">
        <w:rPr>
          <w:rFonts w:cs="Arial"/>
          <w:b/>
          <w:sz w:val="26"/>
          <w:szCs w:val="26"/>
        </w:rPr>
        <w:t>Acto Impugnado:</w:t>
      </w:r>
    </w:p>
    <w:p w14:paraId="6B19B1B1" w14:textId="5F756A29" w:rsidR="00475720" w:rsidRPr="0084024F" w:rsidRDefault="00475720" w:rsidP="00A163F4">
      <w:pPr>
        <w:spacing w:line="276" w:lineRule="auto"/>
        <w:ind w:left="567" w:right="567"/>
        <w:rPr>
          <w:rFonts w:eastAsiaTheme="minorHAnsi" w:cstheme="minorBidi"/>
          <w:i/>
          <w:color w:val="000000"/>
          <w:sz w:val="22"/>
          <w:lang w:val="es-MX" w:eastAsia="en-US"/>
        </w:rPr>
      </w:pPr>
      <w:r w:rsidRPr="0084024F">
        <w:rPr>
          <w:rFonts w:eastAsiaTheme="minorHAnsi" w:cstheme="minorBidi"/>
          <w:i/>
          <w:color w:val="000000"/>
          <w:sz w:val="22"/>
          <w:lang w:val="es-MX" w:eastAsia="en-US"/>
        </w:rPr>
        <w:t>“</w:t>
      </w:r>
      <w:r w:rsidR="00DC3E75" w:rsidRPr="0084024F">
        <w:rPr>
          <w:rFonts w:eastAsiaTheme="minorHAnsi" w:cstheme="minorBidi"/>
          <w:i/>
          <w:color w:val="000000"/>
          <w:sz w:val="22"/>
          <w:lang w:val="es-MX" w:eastAsia="en-US"/>
        </w:rPr>
        <w:t>respuesta</w:t>
      </w:r>
      <w:r w:rsidRPr="0084024F">
        <w:rPr>
          <w:rFonts w:eastAsiaTheme="minorHAnsi" w:cstheme="minorBidi"/>
          <w:i/>
          <w:color w:val="000000"/>
          <w:sz w:val="22"/>
          <w:lang w:val="es-MX" w:eastAsia="en-US"/>
        </w:rPr>
        <w:t>” (Sic).</w:t>
      </w:r>
    </w:p>
    <w:p w14:paraId="34C80974" w14:textId="77777777" w:rsidR="00475720" w:rsidRPr="0084024F" w:rsidRDefault="00475720" w:rsidP="00BA5930">
      <w:pPr>
        <w:pStyle w:val="Prrafodelista"/>
        <w:numPr>
          <w:ilvl w:val="0"/>
          <w:numId w:val="14"/>
        </w:numPr>
        <w:spacing w:line="240" w:lineRule="auto"/>
        <w:ind w:left="567" w:right="567"/>
        <w:rPr>
          <w:i/>
          <w:sz w:val="26"/>
          <w:szCs w:val="26"/>
          <w:lang w:val="es-MX" w:eastAsia="es-MX"/>
        </w:rPr>
      </w:pPr>
      <w:r w:rsidRPr="0084024F">
        <w:rPr>
          <w:rFonts w:cs="Arial"/>
          <w:b/>
          <w:sz w:val="26"/>
          <w:szCs w:val="26"/>
        </w:rPr>
        <w:lastRenderedPageBreak/>
        <w:t>Razones o Motivos de Inconformidad</w:t>
      </w:r>
      <w:r w:rsidRPr="0084024F">
        <w:rPr>
          <w:rFonts w:cs="Arial"/>
          <w:sz w:val="26"/>
          <w:szCs w:val="26"/>
        </w:rPr>
        <w:t xml:space="preserve">: </w:t>
      </w:r>
    </w:p>
    <w:p w14:paraId="062596E0" w14:textId="62C8208C" w:rsidR="00475720" w:rsidRPr="0084024F" w:rsidRDefault="00475720" w:rsidP="00475720">
      <w:pPr>
        <w:spacing w:line="276" w:lineRule="auto"/>
        <w:ind w:left="567" w:right="567"/>
        <w:rPr>
          <w:i/>
          <w:sz w:val="22"/>
          <w:lang w:val="es-MX"/>
        </w:rPr>
      </w:pPr>
      <w:r w:rsidRPr="0084024F">
        <w:rPr>
          <w:rFonts w:eastAsiaTheme="minorHAnsi" w:cs="Arial"/>
          <w:i/>
          <w:sz w:val="22"/>
          <w:lang w:val="es-MX" w:eastAsia="en-US"/>
        </w:rPr>
        <w:t>“</w:t>
      </w:r>
      <w:r w:rsidR="00DC3E75" w:rsidRPr="0084024F">
        <w:rPr>
          <w:rFonts w:eastAsiaTheme="minorHAnsi" w:cstheme="minorBidi"/>
          <w:i/>
          <w:color w:val="000000"/>
          <w:sz w:val="22"/>
          <w:lang w:val="es-MX" w:eastAsia="en-US"/>
        </w:rPr>
        <w:t>no abre el link</w:t>
      </w:r>
      <w:r w:rsidRPr="0084024F">
        <w:rPr>
          <w:rFonts w:eastAsiaTheme="minorHAnsi" w:cstheme="minorBidi"/>
          <w:i/>
          <w:color w:val="000000"/>
          <w:sz w:val="22"/>
          <w:lang w:val="es-MX" w:eastAsia="en-US"/>
        </w:rPr>
        <w:t>” (Sic)</w:t>
      </w:r>
    </w:p>
    <w:p w14:paraId="7FF632BF" w14:textId="77777777" w:rsidR="00145715" w:rsidRPr="0084024F" w:rsidRDefault="00145715" w:rsidP="00475720">
      <w:pPr>
        <w:rPr>
          <w:rFonts w:eastAsiaTheme="minorHAnsi" w:cs="Arial"/>
          <w:b/>
          <w:sz w:val="26"/>
          <w:szCs w:val="26"/>
          <w:lang w:val="es-MX" w:eastAsia="en-US"/>
        </w:rPr>
      </w:pPr>
    </w:p>
    <w:p w14:paraId="46176C36" w14:textId="6A775B4B" w:rsidR="00475720" w:rsidRPr="0084024F" w:rsidRDefault="00475720" w:rsidP="00475720">
      <w:pPr>
        <w:rPr>
          <w:rFonts w:eastAsiaTheme="minorHAnsi" w:cs="Arial"/>
          <w:b/>
          <w:sz w:val="26"/>
          <w:szCs w:val="26"/>
          <w:lang w:val="es-MX" w:eastAsia="en-US"/>
        </w:rPr>
      </w:pPr>
      <w:r w:rsidRPr="0084024F">
        <w:rPr>
          <w:rFonts w:eastAsiaTheme="minorHAnsi" w:cs="Arial"/>
          <w:b/>
          <w:sz w:val="26"/>
          <w:szCs w:val="26"/>
          <w:lang w:val="es-MX" w:eastAsia="en-US"/>
        </w:rPr>
        <w:t>CUARTO. Del turno del recurso de revisión.</w:t>
      </w:r>
    </w:p>
    <w:p w14:paraId="76C79A58" w14:textId="6517E3F2" w:rsidR="00475720" w:rsidRPr="0084024F" w:rsidRDefault="00475720" w:rsidP="00475720">
      <w:pPr>
        <w:rPr>
          <w:rFonts w:eastAsiaTheme="minorHAnsi" w:cs="Arial"/>
          <w:lang w:val="es-MX" w:eastAsia="en-US"/>
        </w:rPr>
      </w:pPr>
      <w:r w:rsidRPr="0084024F">
        <w:rPr>
          <w:rFonts w:eastAsiaTheme="minorHAnsi" w:cs="Arial"/>
          <w:lang w:val="es-MX" w:eastAsia="en-US"/>
        </w:rPr>
        <w:t xml:space="preserve">Medio de impugnación que le fue turnado al Comisionado </w:t>
      </w:r>
      <w:r w:rsidRPr="0084024F">
        <w:rPr>
          <w:rFonts w:eastAsiaTheme="minorHAnsi" w:cs="Arial"/>
          <w:b/>
          <w:bCs/>
          <w:lang w:val="es-MX" w:eastAsia="en-US"/>
        </w:rPr>
        <w:t>Presidente J</w:t>
      </w:r>
      <w:r w:rsidRPr="0084024F">
        <w:rPr>
          <w:rFonts w:eastAsiaTheme="minorHAnsi" w:cs="Arial"/>
          <w:b/>
          <w:lang w:val="es-MX" w:eastAsia="en-US"/>
        </w:rPr>
        <w:t>osé Martínez Vilchis</w:t>
      </w:r>
      <w:r w:rsidRPr="0084024F">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163F4" w:rsidRPr="0084024F">
        <w:rPr>
          <w:rFonts w:eastAsiaTheme="minorHAnsi" w:cs="Arial"/>
          <w:lang w:val="es-MX" w:eastAsia="en-US"/>
        </w:rPr>
        <w:t>siete de abril de dos mil veinticinco</w:t>
      </w:r>
      <w:r w:rsidRPr="0084024F">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84024F" w:rsidRDefault="00475720" w:rsidP="00475720">
      <w:pPr>
        <w:rPr>
          <w:rFonts w:eastAsiaTheme="minorHAnsi" w:cs="Arial"/>
          <w:lang w:val="es-MX" w:eastAsia="en-US"/>
        </w:rPr>
      </w:pPr>
    </w:p>
    <w:p w14:paraId="627909BE" w14:textId="54B096B4" w:rsidR="00475720" w:rsidRPr="0084024F" w:rsidRDefault="00475720" w:rsidP="00475720">
      <w:pPr>
        <w:rPr>
          <w:rFonts w:eastAsiaTheme="minorHAnsi" w:cs="Arial"/>
          <w:b/>
          <w:sz w:val="26"/>
          <w:szCs w:val="26"/>
          <w:lang w:val="es-MX" w:eastAsia="en-US"/>
        </w:rPr>
      </w:pPr>
      <w:r w:rsidRPr="0084024F">
        <w:rPr>
          <w:rFonts w:eastAsiaTheme="minorHAnsi" w:cs="Arial"/>
          <w:b/>
          <w:sz w:val="26"/>
          <w:szCs w:val="26"/>
          <w:lang w:val="es-MX" w:eastAsia="en-US"/>
        </w:rPr>
        <w:t>QUINTO. De la etapa de manifestaciones y/o alegatos.</w:t>
      </w:r>
    </w:p>
    <w:p w14:paraId="24F5976D" w14:textId="595F4F96" w:rsidR="00281804" w:rsidRPr="0084024F" w:rsidRDefault="00A163F4" w:rsidP="00281804">
      <w:pPr>
        <w:rPr>
          <w:rFonts w:eastAsia="Times New Roman" w:cs="Arial"/>
          <w:lang w:val="es-ES"/>
        </w:rPr>
      </w:pPr>
      <w:r w:rsidRPr="0084024F">
        <w:rPr>
          <w:rFonts w:cs="Arial"/>
        </w:rPr>
        <w:t xml:space="preserve">Así, una vez abierta la etapa de instrucción, en el sumario se observa que </w:t>
      </w:r>
      <w:r w:rsidRPr="0084024F">
        <w:rPr>
          <w:rFonts w:cs="Arial"/>
          <w:b/>
        </w:rPr>
        <w:t>El Sujeto Obligado</w:t>
      </w:r>
      <w:r w:rsidRPr="0084024F">
        <w:rPr>
          <w:rFonts w:cs="Arial"/>
        </w:rPr>
        <w:t xml:space="preserve"> en fecha ocho de abril de dos mil veinticinco, presentó su informe justificado, mismo que fue puesto a la vista del Recurrente el día ocho de mayo de dos mil veinticinco, para que en un término de tres días </w:t>
      </w:r>
      <w:r w:rsidRPr="0084024F">
        <w:rPr>
          <w:rFonts w:cs="Arial"/>
          <w:b/>
        </w:rPr>
        <w:t>El Recurrente</w:t>
      </w:r>
      <w:r w:rsidRPr="0084024F">
        <w:rPr>
          <w:rFonts w:cs="Arial"/>
        </w:rPr>
        <w:t xml:space="preserve"> adujera manifestaciones; asimismo, </w:t>
      </w:r>
      <w:r w:rsidRPr="0084024F">
        <w:t xml:space="preserve">se hace constar que </w:t>
      </w:r>
      <w:r w:rsidRPr="0084024F">
        <w:rPr>
          <w:b/>
        </w:rPr>
        <w:t xml:space="preserve">El </w:t>
      </w:r>
      <w:r w:rsidRPr="0084024F">
        <w:t>R</w:t>
      </w:r>
      <w:r w:rsidRPr="0084024F">
        <w:rPr>
          <w:b/>
        </w:rPr>
        <w:t>ecurrente</w:t>
      </w:r>
      <w:r w:rsidRPr="0084024F">
        <w:t xml:space="preserve"> fue omiso en presentar sus manifestaciones respecto al informe justificado remitido por el </w:t>
      </w:r>
      <w:r w:rsidRPr="0084024F">
        <w:rPr>
          <w:b/>
        </w:rPr>
        <w:t>Sujeto Obligado</w:t>
      </w:r>
      <w:r w:rsidRPr="0084024F">
        <w:t>; finalmente se advierte de las constancias que integran el presente expediente, que no existe prueba alguna que deba desahogarse.</w:t>
      </w:r>
    </w:p>
    <w:p w14:paraId="3E58605B" w14:textId="77777777" w:rsidR="00A163F4" w:rsidRPr="0084024F" w:rsidRDefault="00A163F4" w:rsidP="00475720">
      <w:pPr>
        <w:tabs>
          <w:tab w:val="left" w:pos="3206"/>
        </w:tabs>
        <w:rPr>
          <w:b/>
          <w:sz w:val="28"/>
          <w:szCs w:val="26"/>
        </w:rPr>
      </w:pPr>
    </w:p>
    <w:p w14:paraId="36E8A29D" w14:textId="19D0B94A" w:rsidR="00475720" w:rsidRPr="0084024F" w:rsidRDefault="00475720" w:rsidP="00475720">
      <w:pPr>
        <w:tabs>
          <w:tab w:val="left" w:pos="3206"/>
        </w:tabs>
        <w:rPr>
          <w:rFonts w:eastAsiaTheme="minorHAnsi" w:cs="Arial"/>
          <w:b/>
          <w:sz w:val="26"/>
          <w:szCs w:val="26"/>
          <w:lang w:val="es-MX" w:eastAsia="en-US"/>
        </w:rPr>
      </w:pPr>
      <w:r w:rsidRPr="0084024F">
        <w:rPr>
          <w:b/>
          <w:sz w:val="26"/>
          <w:szCs w:val="26"/>
        </w:rPr>
        <w:t>SEXTO</w:t>
      </w:r>
      <w:r w:rsidRPr="0084024F">
        <w:rPr>
          <w:rFonts w:eastAsiaTheme="minorHAnsi" w:cs="Arial"/>
          <w:b/>
          <w:sz w:val="26"/>
          <w:szCs w:val="26"/>
          <w:lang w:val="es-MX" w:eastAsia="en-US"/>
        </w:rPr>
        <w:t>. Del cierre de instrucción.</w:t>
      </w:r>
      <w:r w:rsidRPr="0084024F">
        <w:rPr>
          <w:rFonts w:eastAsiaTheme="minorHAnsi" w:cs="Arial"/>
          <w:b/>
          <w:sz w:val="26"/>
          <w:szCs w:val="26"/>
          <w:lang w:val="es-MX" w:eastAsia="en-US"/>
        </w:rPr>
        <w:tab/>
      </w:r>
    </w:p>
    <w:p w14:paraId="15B32765" w14:textId="76C804A7" w:rsidR="00475720" w:rsidRPr="0084024F" w:rsidRDefault="00475720" w:rsidP="00475720">
      <w:pPr>
        <w:rPr>
          <w:rFonts w:eastAsiaTheme="minorHAnsi" w:cs="Arial"/>
          <w:lang w:val="es-MX" w:eastAsia="en-US"/>
        </w:rPr>
      </w:pPr>
      <w:r w:rsidRPr="0084024F">
        <w:rPr>
          <w:rFonts w:eastAsiaTheme="minorHAnsi" w:cs="Arial"/>
          <w:lang w:val="es-MX" w:eastAsia="en-US"/>
        </w:rPr>
        <w:t xml:space="preserve">Así, una vez transcurrido el término legal, permitió decretarse el cierre de instrucción en fecha </w:t>
      </w:r>
      <w:r w:rsidR="00A163F4" w:rsidRPr="0084024F">
        <w:rPr>
          <w:rFonts w:eastAsiaTheme="minorHAnsi" w:cs="Arial"/>
          <w:lang w:val="es-MX" w:eastAsia="en-US"/>
        </w:rPr>
        <w:t>catorce de mayo</w:t>
      </w:r>
      <w:r w:rsidRPr="0084024F">
        <w:rPr>
          <w:rFonts w:eastAsiaTheme="minorHAnsi" w:cs="Arial"/>
          <w:lang w:val="es-MX" w:eastAsia="en-US"/>
        </w:rPr>
        <w:t xml:space="preserve"> del año en curso, en términos del artículo 185, Fracción VI, de la </w:t>
      </w:r>
      <w:r w:rsidRPr="0084024F">
        <w:rPr>
          <w:rFonts w:eastAsiaTheme="minorHAnsi" w:cs="Arial"/>
          <w:lang w:val="es-MX" w:eastAsia="en-US"/>
        </w:rPr>
        <w:lastRenderedPageBreak/>
        <w:t>Ley de Transparencia y Acceso a la Información Pública del Estado de México y Municipios, iniciando el término legal para dictar resolución definitiva del asunto.</w:t>
      </w:r>
    </w:p>
    <w:p w14:paraId="426859BB" w14:textId="77777777" w:rsidR="00A914F3" w:rsidRPr="0084024F"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84024F"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84024F" w:rsidRDefault="00A970D5" w:rsidP="006922F5">
      <w:pPr>
        <w:pStyle w:val="Ttulo1"/>
        <w:rPr>
          <w:rFonts w:eastAsia="Palatino Linotype"/>
          <w:lang w:val="es-ES_tradnl"/>
        </w:rPr>
      </w:pPr>
      <w:r w:rsidRPr="0084024F">
        <w:rPr>
          <w:rFonts w:eastAsia="Palatino Linotype"/>
          <w:lang w:val="es-ES_tradnl"/>
        </w:rPr>
        <w:t>C O N S I D E R A N D O</w:t>
      </w:r>
    </w:p>
    <w:p w14:paraId="32546275"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84024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84024F">
        <w:rPr>
          <w:rFonts w:eastAsia="Palatino Linotype" w:cs="Palatino Linotype"/>
          <w:b/>
          <w:color w:val="000000"/>
          <w:sz w:val="26"/>
          <w:szCs w:val="26"/>
          <w:lang w:val="es-MX"/>
        </w:rPr>
        <w:t>PRIMERO. De la competencia.</w:t>
      </w:r>
    </w:p>
    <w:p w14:paraId="318AB77F" w14:textId="12AF2060" w:rsidR="00281804" w:rsidRPr="0084024F" w:rsidRDefault="00A163F4" w:rsidP="00281804">
      <w:pPr>
        <w:pBdr>
          <w:top w:val="nil"/>
          <w:left w:val="nil"/>
          <w:bottom w:val="nil"/>
          <w:right w:val="nil"/>
          <w:between w:val="nil"/>
        </w:pBdr>
        <w:contextualSpacing/>
        <w:rPr>
          <w:rFonts w:eastAsia="Palatino Linotype" w:cs="Palatino Linotype"/>
          <w:color w:val="000000"/>
        </w:rPr>
      </w:pPr>
      <w:r w:rsidRPr="0084024F">
        <w:rPr>
          <w:rFonts w:eastAsia="Palatino Linotype" w:cs="Palatino Linotype"/>
          <w:color w:val="000000"/>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30CE18F" w14:textId="77777777" w:rsidR="00A163F4" w:rsidRPr="0084024F" w:rsidRDefault="00A163F4" w:rsidP="00281804">
      <w:pPr>
        <w:pBdr>
          <w:top w:val="nil"/>
          <w:left w:val="nil"/>
          <w:bottom w:val="nil"/>
          <w:right w:val="nil"/>
          <w:between w:val="nil"/>
        </w:pBdr>
        <w:contextualSpacing/>
        <w:rPr>
          <w:rFonts w:eastAsia="Palatino Linotype" w:cs="Palatino Linotype"/>
          <w:color w:val="000000"/>
          <w:szCs w:val="24"/>
          <w:lang w:val="es-MX"/>
        </w:rPr>
      </w:pPr>
    </w:p>
    <w:p w14:paraId="31AE3F61" w14:textId="77777777" w:rsidR="00281804" w:rsidRPr="0084024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84024F">
        <w:rPr>
          <w:rFonts w:eastAsia="Palatino Linotype" w:cs="Palatino Linotype"/>
          <w:b/>
          <w:color w:val="000000"/>
          <w:sz w:val="26"/>
          <w:szCs w:val="26"/>
          <w:lang w:val="es-MX"/>
        </w:rPr>
        <w:t xml:space="preserve">SEGUNDO. Sobre los alcances del recurso de revisión. </w:t>
      </w:r>
    </w:p>
    <w:p w14:paraId="04C24794"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024F">
        <w:rPr>
          <w:rFonts w:eastAsia="Palatino Linotype" w:cs="Palatino Linotype"/>
          <w:color w:val="000000"/>
          <w:szCs w:val="24"/>
          <w:lang w:val="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84024F">
        <w:rPr>
          <w:rFonts w:eastAsia="Palatino Linotype" w:cs="Palatino Linotype"/>
          <w:color w:val="000000"/>
          <w:szCs w:val="24"/>
          <w:lang w:val="es-MX"/>
        </w:rPr>
        <w:lastRenderedPageBreak/>
        <w:t>electrónico, con la finalidad de reparar cualquier posible afectación al derecho de acceso a la información pública y garantizando el principio rector de máxima publicidad.</w:t>
      </w:r>
    </w:p>
    <w:p w14:paraId="30F05F1F" w14:textId="77777777" w:rsidR="00281804" w:rsidRPr="0084024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p>
    <w:p w14:paraId="107E00E8" w14:textId="020DFAD0" w:rsidR="00281804" w:rsidRPr="0084024F" w:rsidRDefault="00A163F4" w:rsidP="00281804">
      <w:pPr>
        <w:pBdr>
          <w:top w:val="nil"/>
          <w:left w:val="nil"/>
          <w:bottom w:val="nil"/>
          <w:right w:val="nil"/>
          <w:between w:val="nil"/>
        </w:pBdr>
        <w:contextualSpacing/>
        <w:rPr>
          <w:rFonts w:eastAsia="Palatino Linotype" w:cs="Palatino Linotype"/>
          <w:b/>
          <w:color w:val="000000"/>
          <w:sz w:val="26"/>
          <w:szCs w:val="26"/>
          <w:lang w:val="es-MX"/>
        </w:rPr>
      </w:pPr>
      <w:r w:rsidRPr="0084024F">
        <w:rPr>
          <w:rFonts w:eastAsia="Palatino Linotype" w:cs="Palatino Linotype"/>
          <w:b/>
          <w:color w:val="000000"/>
          <w:sz w:val="26"/>
          <w:szCs w:val="26"/>
          <w:lang w:val="es-MX"/>
        </w:rPr>
        <w:t>TERCERO</w:t>
      </w:r>
      <w:r w:rsidR="00281804" w:rsidRPr="0084024F">
        <w:rPr>
          <w:rFonts w:eastAsia="Palatino Linotype" w:cs="Palatino Linotype"/>
          <w:b/>
          <w:color w:val="000000"/>
          <w:sz w:val="26"/>
          <w:szCs w:val="26"/>
          <w:lang w:val="es-MX"/>
        </w:rPr>
        <w:t>. De las causas de improcedencia.</w:t>
      </w:r>
    </w:p>
    <w:p w14:paraId="4CF57330"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024F">
        <w:rPr>
          <w:rFonts w:eastAsia="Palatino Linotype" w:cs="Palatino Linotype"/>
          <w:color w:val="000000"/>
          <w:szCs w:val="24"/>
          <w:lang w:val="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0C709"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58F092DD"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024F">
        <w:rPr>
          <w:rFonts w:eastAsia="Palatino Linotype" w:cs="Palatino Linotype"/>
          <w:color w:val="000000"/>
          <w:szCs w:val="24"/>
          <w:lang w:val="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4024F">
        <w:rPr>
          <w:rFonts w:eastAsia="Palatino Linotype" w:cs="Palatino Linotype"/>
          <w:color w:val="000000"/>
          <w:szCs w:val="24"/>
          <w:vertAlign w:val="superscript"/>
          <w:lang w:val="es-MX"/>
        </w:rPr>
        <w:footnoteReference w:id="2"/>
      </w:r>
      <w:r w:rsidRPr="0084024F">
        <w:rPr>
          <w:rFonts w:eastAsia="Palatino Linotype" w:cs="Palatino Linotype"/>
          <w:color w:val="000000"/>
          <w:szCs w:val="24"/>
          <w:lang w:val="es-MX"/>
        </w:rPr>
        <w:t xml:space="preserve">, la cual permite dilucidar alguna </w:t>
      </w:r>
      <w:r w:rsidRPr="0084024F">
        <w:rPr>
          <w:rFonts w:eastAsia="Palatino Linotype" w:cs="Palatino Linotype"/>
          <w:color w:val="000000"/>
          <w:szCs w:val="24"/>
          <w:lang w:val="es-MX"/>
        </w:rPr>
        <w:lastRenderedPageBreak/>
        <w:t>causal que impida el estudio y resolución, cuando una vez admitido el recurso de revisión se advierta una causa de improcedencia que permita sobreseerlo, sin estudiar el fondo del asunto.</w:t>
      </w:r>
    </w:p>
    <w:p w14:paraId="203F0606"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2CD6D093"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024F">
        <w:rPr>
          <w:rFonts w:eastAsia="Palatino Linotype" w:cs="Palatino Linotype"/>
          <w:color w:val="000000"/>
          <w:szCs w:val="24"/>
          <w:lang w:val="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80C5A50"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1CF190C5" w14:textId="653E3331" w:rsidR="00281804" w:rsidRPr="0084024F" w:rsidRDefault="00A163F4" w:rsidP="00281804">
      <w:pPr>
        <w:pBdr>
          <w:top w:val="nil"/>
          <w:left w:val="nil"/>
          <w:bottom w:val="nil"/>
          <w:right w:val="nil"/>
          <w:between w:val="nil"/>
        </w:pBdr>
        <w:contextualSpacing/>
        <w:rPr>
          <w:rFonts w:eastAsia="Palatino Linotype" w:cs="Palatino Linotype"/>
          <w:color w:val="000000"/>
          <w:sz w:val="26"/>
          <w:szCs w:val="26"/>
          <w:lang w:val="es-MX"/>
        </w:rPr>
      </w:pPr>
      <w:r w:rsidRPr="0084024F">
        <w:rPr>
          <w:rFonts w:eastAsia="Palatino Linotype" w:cs="Palatino Linotype"/>
          <w:b/>
          <w:color w:val="000000"/>
          <w:sz w:val="26"/>
          <w:szCs w:val="26"/>
          <w:lang w:val="es-MX"/>
        </w:rPr>
        <w:t>CUARTO</w:t>
      </w:r>
      <w:r w:rsidR="00281804" w:rsidRPr="0084024F">
        <w:rPr>
          <w:rFonts w:eastAsia="Palatino Linotype" w:cs="Palatino Linotype"/>
          <w:b/>
          <w:color w:val="000000"/>
          <w:sz w:val="26"/>
          <w:szCs w:val="26"/>
          <w:lang w:val="es-MX"/>
        </w:rPr>
        <w:t>. Estudio y resolución del asunto.</w:t>
      </w:r>
    </w:p>
    <w:p w14:paraId="7A4BAA02" w14:textId="77777777" w:rsidR="00281804" w:rsidRPr="0084024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024F">
        <w:rPr>
          <w:rFonts w:eastAsia="Palatino Linotype" w:cs="Palatino Linotype"/>
          <w:color w:val="000000"/>
          <w:szCs w:val="24"/>
          <w:lang w:val="es-MX"/>
        </w:rPr>
        <w:t xml:space="preserve">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w:t>
      </w:r>
      <w:r w:rsidRPr="0084024F">
        <w:rPr>
          <w:rFonts w:eastAsia="Palatino Linotype" w:cs="Palatino Linotype"/>
          <w:color w:val="000000"/>
          <w:szCs w:val="24"/>
          <w:lang w:val="es-MX"/>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0824906D" w14:textId="77777777" w:rsidR="001B01D7" w:rsidRPr="0084024F" w:rsidRDefault="001B01D7" w:rsidP="001B01D7">
      <w:pPr>
        <w:autoSpaceDE w:val="0"/>
        <w:autoSpaceDN w:val="0"/>
        <w:adjustRightInd w:val="0"/>
        <w:rPr>
          <w:rFonts w:eastAsiaTheme="minorHAnsi" w:cs="Arial"/>
          <w:lang w:val="es-MX" w:eastAsia="en-US"/>
        </w:rPr>
      </w:pPr>
    </w:p>
    <w:p w14:paraId="7DC566EF" w14:textId="370A6464" w:rsidR="001B01D7" w:rsidRPr="0084024F" w:rsidRDefault="001B01D7" w:rsidP="001B01D7">
      <w:pPr>
        <w:ind w:right="141"/>
        <w:rPr>
          <w:rFonts w:eastAsiaTheme="minorHAnsi" w:cstheme="minorBidi"/>
          <w:lang w:val="es-MX"/>
        </w:rPr>
      </w:pPr>
      <w:r w:rsidRPr="0084024F">
        <w:rPr>
          <w:rFonts w:eastAsiaTheme="minorHAnsi" w:cstheme="minorBidi"/>
          <w:lang w:val="es-MX"/>
        </w:rPr>
        <w:t>En este sentido nuestro estudio versará en determinar si la información remitida mediante respuesta</w:t>
      </w:r>
      <w:r w:rsidR="00A163F4" w:rsidRPr="0084024F">
        <w:rPr>
          <w:rFonts w:eastAsiaTheme="minorHAnsi" w:cstheme="minorBidi"/>
          <w:lang w:val="es-MX"/>
        </w:rPr>
        <w:t xml:space="preserve"> e informe justificado</w:t>
      </w:r>
      <w:r w:rsidRPr="0084024F">
        <w:rPr>
          <w:rFonts w:eastAsiaTheme="minorHAnsi" w:cstheme="minorBidi"/>
          <w:lang w:val="es-MX"/>
        </w:rPr>
        <w:t>, colma el derecho de acceso a la información solicitado por la</w:t>
      </w:r>
      <w:r w:rsidRPr="0084024F">
        <w:rPr>
          <w:rFonts w:eastAsiaTheme="minorHAnsi" w:cstheme="minorBidi"/>
          <w:b/>
          <w:lang w:val="es-MX"/>
        </w:rPr>
        <w:t xml:space="preserve"> </w:t>
      </w:r>
      <w:r w:rsidRPr="0084024F">
        <w:rPr>
          <w:rFonts w:eastAsiaTheme="minorHAnsi" w:cstheme="minorBidi"/>
          <w:lang w:val="es-MX"/>
        </w:rPr>
        <w:t>parte</w:t>
      </w:r>
      <w:r w:rsidRPr="0084024F">
        <w:rPr>
          <w:rFonts w:eastAsiaTheme="minorHAnsi" w:cstheme="minorBidi"/>
          <w:b/>
          <w:lang w:val="es-MX"/>
        </w:rPr>
        <w:t xml:space="preserve"> Recurrente</w:t>
      </w:r>
      <w:r w:rsidRPr="0084024F">
        <w:rPr>
          <w:rFonts w:eastAsiaTheme="minorHAnsi" w:cstheme="minorBidi"/>
          <w:lang w:val="es-MX"/>
        </w:rPr>
        <w:t>, para ello analizaremos lo solicitado y la información proporcionada.</w:t>
      </w:r>
    </w:p>
    <w:p w14:paraId="421B2938"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1A485851" w:rsidR="00A970D5" w:rsidRPr="0084024F" w:rsidRDefault="0083063D"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 xml:space="preserve">Una vez </w:t>
      </w:r>
      <w:r w:rsidR="008F2C42" w:rsidRPr="0084024F">
        <w:rPr>
          <w:rFonts w:eastAsia="Palatino Linotype" w:cs="Palatino Linotype"/>
          <w:color w:val="000000"/>
          <w:szCs w:val="24"/>
        </w:rPr>
        <w:t>establecido</w:t>
      </w:r>
      <w:r w:rsidRPr="0084024F">
        <w:rPr>
          <w:rFonts w:eastAsia="Palatino Linotype" w:cs="Palatino Linotype"/>
          <w:color w:val="000000"/>
          <w:szCs w:val="24"/>
        </w:rPr>
        <w:t xml:space="preserve"> lo anterior</w:t>
      </w:r>
      <w:r w:rsidR="007F3F9F" w:rsidRPr="0084024F">
        <w:rPr>
          <w:rFonts w:eastAsia="Palatino Linotype" w:cs="Palatino Linotype"/>
          <w:color w:val="000000"/>
          <w:szCs w:val="24"/>
        </w:rPr>
        <w:t xml:space="preserve">, es conveniente recordar que </w:t>
      </w:r>
      <w:r w:rsidR="00FD57A1" w:rsidRPr="0084024F">
        <w:rPr>
          <w:rFonts w:eastAsia="Palatino Linotype" w:cs="Palatino Linotype"/>
          <w:color w:val="000000"/>
          <w:szCs w:val="24"/>
        </w:rPr>
        <w:t>el</w:t>
      </w:r>
      <w:r w:rsidR="00A970D5" w:rsidRPr="0084024F">
        <w:rPr>
          <w:rFonts w:eastAsia="Palatino Linotype" w:cs="Palatino Linotype"/>
          <w:color w:val="000000"/>
          <w:szCs w:val="24"/>
        </w:rPr>
        <w:t xml:space="preserve"> hoy </w:t>
      </w:r>
      <w:r w:rsidR="00A970D5" w:rsidRPr="0084024F">
        <w:rPr>
          <w:rFonts w:eastAsia="Palatino Linotype" w:cs="Palatino Linotype"/>
          <w:b/>
          <w:bCs/>
          <w:color w:val="000000"/>
          <w:szCs w:val="24"/>
        </w:rPr>
        <w:t>Recurrente</w:t>
      </w:r>
      <w:r w:rsidR="00A970D5" w:rsidRPr="0084024F">
        <w:rPr>
          <w:rFonts w:eastAsia="Palatino Linotype" w:cs="Palatino Linotype"/>
          <w:color w:val="000000"/>
          <w:szCs w:val="24"/>
        </w:rPr>
        <w:t xml:space="preserve"> </w:t>
      </w:r>
      <w:r w:rsidR="001A51C8" w:rsidRPr="0084024F">
        <w:rPr>
          <w:rFonts w:eastAsia="Palatino Linotype" w:cs="Palatino Linotype"/>
          <w:color w:val="000000"/>
          <w:szCs w:val="24"/>
        </w:rPr>
        <w:t xml:space="preserve">requirió </w:t>
      </w:r>
      <w:r w:rsidR="00F709AB" w:rsidRPr="0084024F">
        <w:rPr>
          <w:rFonts w:eastAsia="Palatino Linotype" w:cs="Palatino Linotype"/>
          <w:color w:val="000000"/>
          <w:szCs w:val="24"/>
        </w:rPr>
        <w:t>del Sujeto Obligado</w:t>
      </w:r>
      <w:r w:rsidR="00281804" w:rsidRPr="0084024F">
        <w:rPr>
          <w:rFonts w:eastAsia="Palatino Linotype" w:cs="Palatino Linotype"/>
          <w:color w:val="000000"/>
          <w:szCs w:val="24"/>
        </w:rPr>
        <w:t>, medularmente</w:t>
      </w:r>
      <w:r w:rsidR="00F709AB" w:rsidRPr="0084024F">
        <w:rPr>
          <w:rFonts w:eastAsia="Palatino Linotype" w:cs="Palatino Linotype"/>
          <w:color w:val="000000"/>
          <w:szCs w:val="24"/>
        </w:rPr>
        <w:t xml:space="preserve"> lo siguiente:</w:t>
      </w:r>
    </w:p>
    <w:p w14:paraId="4A03D0E1" w14:textId="77777777" w:rsidR="0083063D" w:rsidRPr="0084024F" w:rsidRDefault="0083063D" w:rsidP="006922F5">
      <w:pPr>
        <w:pBdr>
          <w:top w:val="nil"/>
          <w:left w:val="nil"/>
          <w:bottom w:val="nil"/>
          <w:right w:val="nil"/>
          <w:between w:val="nil"/>
        </w:pBdr>
        <w:contextualSpacing/>
        <w:rPr>
          <w:rFonts w:eastAsia="Palatino Linotype" w:cs="Palatino Linotype"/>
          <w:color w:val="000000"/>
          <w:szCs w:val="24"/>
        </w:rPr>
      </w:pPr>
    </w:p>
    <w:p w14:paraId="0F711B10" w14:textId="58F904E3" w:rsidR="0083063D" w:rsidRPr="0084024F" w:rsidRDefault="00A163F4" w:rsidP="00BA5930">
      <w:pPr>
        <w:pStyle w:val="Prrafodelista"/>
        <w:numPr>
          <w:ilvl w:val="0"/>
          <w:numId w:val="13"/>
        </w:numPr>
        <w:pBdr>
          <w:top w:val="nil"/>
          <w:left w:val="nil"/>
          <w:bottom w:val="nil"/>
          <w:right w:val="nil"/>
          <w:between w:val="nil"/>
        </w:pBdr>
        <w:contextualSpacing/>
        <w:rPr>
          <w:rFonts w:eastAsia="Palatino Linotype" w:cs="Palatino Linotype"/>
          <w:color w:val="000000"/>
        </w:rPr>
      </w:pPr>
      <w:r w:rsidRPr="0084024F">
        <w:rPr>
          <w:rFonts w:eastAsia="Palatino Linotype" w:cs="Palatino Linotype"/>
          <w:color w:val="000000"/>
        </w:rPr>
        <w:t>Plan de obras para el 2025 en el Ayuntamiento de Teoloyucan.</w:t>
      </w:r>
    </w:p>
    <w:p w14:paraId="72F03196" w14:textId="77777777" w:rsidR="0083063D" w:rsidRPr="0084024F" w:rsidRDefault="0083063D" w:rsidP="006922F5">
      <w:pPr>
        <w:pBdr>
          <w:top w:val="nil"/>
          <w:left w:val="nil"/>
          <w:bottom w:val="nil"/>
          <w:right w:val="nil"/>
          <w:between w:val="nil"/>
        </w:pBdr>
        <w:contextualSpacing/>
        <w:rPr>
          <w:rFonts w:eastAsia="Palatino Linotype" w:cs="Palatino Linotype"/>
          <w:color w:val="000000"/>
          <w:szCs w:val="24"/>
        </w:rPr>
      </w:pPr>
    </w:p>
    <w:p w14:paraId="5C0A1F09" w14:textId="26B7E342" w:rsidR="0083063D" w:rsidRPr="0084024F" w:rsidRDefault="0083063D" w:rsidP="0083063D">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 xml:space="preserve">A dicha solicitud, el </w:t>
      </w:r>
      <w:r w:rsidRPr="0084024F">
        <w:rPr>
          <w:rFonts w:eastAsia="Palatino Linotype" w:cs="Palatino Linotype"/>
          <w:b/>
          <w:bCs/>
          <w:color w:val="000000"/>
          <w:szCs w:val="24"/>
        </w:rPr>
        <w:t>Sujeto Obligado</w:t>
      </w:r>
      <w:r w:rsidRPr="0084024F">
        <w:rPr>
          <w:rFonts w:eastAsia="Palatino Linotype" w:cs="Palatino Linotype"/>
          <w:color w:val="000000"/>
          <w:szCs w:val="24"/>
        </w:rPr>
        <w:t xml:space="preserve"> respondió mediante la entrega</w:t>
      </w:r>
      <w:r w:rsidR="00773CB1" w:rsidRPr="0084024F">
        <w:rPr>
          <w:rFonts w:eastAsia="Palatino Linotype" w:cs="Palatino Linotype"/>
          <w:color w:val="000000"/>
          <w:szCs w:val="24"/>
        </w:rPr>
        <w:t xml:space="preserve"> del documento electrónico denominado “</w:t>
      </w:r>
      <w:r w:rsidR="00A163F4" w:rsidRPr="0084024F">
        <w:rPr>
          <w:rFonts w:eastAsia="Palatino Linotype" w:cs="Palatino Linotype"/>
          <w:b/>
          <w:bCs/>
          <w:color w:val="000000"/>
          <w:szCs w:val="24"/>
        </w:rPr>
        <w:t>respuesta sol. 239</w:t>
      </w:r>
      <w:proofErr w:type="gramStart"/>
      <w:r w:rsidR="00A163F4" w:rsidRPr="0084024F">
        <w:rPr>
          <w:rFonts w:eastAsia="Palatino Linotype" w:cs="Palatino Linotype"/>
          <w:b/>
          <w:bCs/>
          <w:color w:val="000000"/>
          <w:szCs w:val="24"/>
        </w:rPr>
        <w:t>.pdf</w:t>
      </w:r>
      <w:proofErr w:type="gramEnd"/>
      <w:r w:rsidR="00773CB1" w:rsidRPr="0084024F">
        <w:rPr>
          <w:rFonts w:eastAsia="Palatino Linotype" w:cs="Palatino Linotype"/>
          <w:color w:val="000000"/>
          <w:szCs w:val="24"/>
        </w:rPr>
        <w:t>”</w:t>
      </w:r>
      <w:r w:rsidRPr="0084024F">
        <w:rPr>
          <w:rFonts w:eastAsia="Palatino Linotype" w:cs="Palatino Linotype"/>
          <w:color w:val="000000"/>
          <w:szCs w:val="24"/>
        </w:rPr>
        <w:t xml:space="preserve"> de</w:t>
      </w:r>
      <w:r w:rsidR="00773CB1" w:rsidRPr="0084024F">
        <w:rPr>
          <w:rFonts w:eastAsia="Palatino Linotype" w:cs="Palatino Linotype"/>
          <w:color w:val="000000"/>
          <w:szCs w:val="24"/>
        </w:rPr>
        <w:t>l que se desprenden</w:t>
      </w:r>
      <w:r w:rsidRPr="0084024F">
        <w:rPr>
          <w:rFonts w:eastAsia="Palatino Linotype" w:cs="Palatino Linotype"/>
          <w:color w:val="000000"/>
          <w:szCs w:val="24"/>
        </w:rPr>
        <w:t xml:space="preserve"> </w:t>
      </w:r>
      <w:r w:rsidR="00281804" w:rsidRPr="0084024F">
        <w:rPr>
          <w:rFonts w:eastAsia="Palatino Linotype" w:cs="Palatino Linotype"/>
          <w:color w:val="000000"/>
          <w:szCs w:val="24"/>
        </w:rPr>
        <w:t>el</w:t>
      </w:r>
      <w:r w:rsidRPr="0084024F">
        <w:rPr>
          <w:rFonts w:eastAsia="Palatino Linotype" w:cs="Palatino Linotype"/>
          <w:color w:val="000000"/>
          <w:szCs w:val="24"/>
        </w:rPr>
        <w:t xml:space="preserve"> </w:t>
      </w:r>
      <w:r w:rsidR="00A163F4" w:rsidRPr="0084024F">
        <w:rPr>
          <w:rFonts w:eastAsia="Palatino Linotype" w:cs="Palatino Linotype"/>
          <w:color w:val="000000"/>
          <w:szCs w:val="24"/>
        </w:rPr>
        <w:t>contenido siguiente</w:t>
      </w:r>
      <w:r w:rsidRPr="0084024F">
        <w:rPr>
          <w:rFonts w:eastAsia="Palatino Linotype" w:cs="Palatino Linotype"/>
          <w:color w:val="000000"/>
          <w:szCs w:val="24"/>
        </w:rPr>
        <w:t>:</w:t>
      </w:r>
    </w:p>
    <w:p w14:paraId="6EF23BF8" w14:textId="77777777" w:rsidR="00F709AB" w:rsidRPr="0084024F" w:rsidRDefault="00F709AB" w:rsidP="006922F5">
      <w:pPr>
        <w:pBdr>
          <w:top w:val="nil"/>
          <w:left w:val="nil"/>
          <w:bottom w:val="nil"/>
          <w:right w:val="nil"/>
          <w:between w:val="nil"/>
        </w:pBdr>
        <w:contextualSpacing/>
        <w:rPr>
          <w:rFonts w:eastAsia="Palatino Linotype" w:cs="Palatino Linotype"/>
          <w:color w:val="000000"/>
          <w:szCs w:val="24"/>
        </w:rPr>
      </w:pPr>
    </w:p>
    <w:p w14:paraId="0D361915" w14:textId="776BC0F0" w:rsidR="00773CB1" w:rsidRPr="0084024F" w:rsidRDefault="00773CB1" w:rsidP="00C04CB6">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84024F">
        <w:rPr>
          <w:rFonts w:eastAsia="Palatino Linotype" w:cs="Palatino Linotype"/>
          <w:color w:val="000000"/>
          <w:lang w:val="es-MX"/>
        </w:rPr>
        <w:t>“</w:t>
      </w:r>
      <w:r w:rsidR="00A163F4" w:rsidRPr="0084024F">
        <w:rPr>
          <w:rFonts w:eastAsia="Palatino Linotype" w:cs="Palatino Linotype"/>
          <w:b/>
          <w:bCs/>
          <w:color w:val="000000"/>
          <w:lang w:val="es-MX"/>
        </w:rPr>
        <w:t>respuesta sol. 239</w:t>
      </w:r>
      <w:proofErr w:type="gramStart"/>
      <w:r w:rsidR="00A163F4" w:rsidRPr="0084024F">
        <w:rPr>
          <w:rFonts w:eastAsia="Palatino Linotype" w:cs="Palatino Linotype"/>
          <w:b/>
          <w:bCs/>
          <w:color w:val="000000"/>
          <w:lang w:val="es-MX"/>
        </w:rPr>
        <w:t>.pdf</w:t>
      </w:r>
      <w:proofErr w:type="gramEnd"/>
      <w:r w:rsidRPr="0084024F">
        <w:rPr>
          <w:rFonts w:eastAsia="Palatino Linotype" w:cs="Palatino Linotype"/>
          <w:color w:val="000000"/>
          <w:lang w:val="es-MX"/>
        </w:rPr>
        <w:t xml:space="preserve">”: </w:t>
      </w:r>
      <w:r w:rsidR="003540F6" w:rsidRPr="0084024F">
        <w:rPr>
          <w:rFonts w:eastAsia="Palatino Linotype" w:cs="Palatino Linotype"/>
          <w:color w:val="000000"/>
          <w:lang w:val="es-MX"/>
        </w:rPr>
        <w:t xml:space="preserve">Oficio número </w:t>
      </w:r>
      <w:r w:rsidR="00C95C7E" w:rsidRPr="0084024F">
        <w:rPr>
          <w:rFonts w:eastAsia="Palatino Linotype" w:cs="Palatino Linotype"/>
          <w:color w:val="000000"/>
          <w:lang w:val="es-MX"/>
        </w:rPr>
        <w:t>DOP/JRRA/192-2025</w:t>
      </w:r>
      <w:r w:rsidR="003540F6" w:rsidRPr="0084024F">
        <w:rPr>
          <w:rFonts w:eastAsia="Palatino Linotype" w:cs="Palatino Linotype"/>
          <w:color w:val="000000"/>
          <w:lang w:val="es-MX"/>
        </w:rPr>
        <w:t xml:space="preserve">, a través del cual el </w:t>
      </w:r>
      <w:r w:rsidR="00C95C7E" w:rsidRPr="0084024F">
        <w:rPr>
          <w:rFonts w:eastAsia="Palatino Linotype" w:cs="Palatino Linotype"/>
          <w:color w:val="000000"/>
          <w:lang w:val="es-MX"/>
        </w:rPr>
        <w:t>Director de Obras Públicas</w:t>
      </w:r>
      <w:r w:rsidR="003540F6" w:rsidRPr="0084024F">
        <w:rPr>
          <w:rFonts w:eastAsia="Palatino Linotype" w:cs="Palatino Linotype"/>
          <w:color w:val="000000"/>
          <w:lang w:val="es-MX"/>
        </w:rPr>
        <w:t xml:space="preserve">, informa a la </w:t>
      </w:r>
      <w:r w:rsidR="00C95C7E" w:rsidRPr="0084024F">
        <w:rPr>
          <w:rFonts w:eastAsia="Palatino Linotype" w:cs="Palatino Linotype"/>
          <w:color w:val="000000"/>
          <w:lang w:val="es-MX"/>
        </w:rPr>
        <w:t>Directora</w:t>
      </w:r>
      <w:r w:rsidR="003540F6" w:rsidRPr="0084024F">
        <w:rPr>
          <w:rFonts w:eastAsia="Palatino Linotype" w:cs="Palatino Linotype"/>
          <w:color w:val="000000"/>
          <w:lang w:val="es-MX"/>
        </w:rPr>
        <w:t xml:space="preserve"> de la Unidad de Transparencia que</w:t>
      </w:r>
      <w:r w:rsidR="00C95C7E" w:rsidRPr="0084024F">
        <w:rPr>
          <w:rFonts w:eastAsia="Palatino Linotype" w:cs="Palatino Linotype"/>
          <w:color w:val="000000"/>
          <w:lang w:val="es-MX"/>
        </w:rPr>
        <w:t>,</w:t>
      </w:r>
      <w:r w:rsidR="003540F6" w:rsidRPr="0084024F">
        <w:rPr>
          <w:rFonts w:eastAsia="Palatino Linotype" w:cs="Palatino Linotype"/>
          <w:color w:val="000000"/>
          <w:lang w:val="es-MX"/>
        </w:rPr>
        <w:t xml:space="preserve"> </w:t>
      </w:r>
      <w:r w:rsidR="00C95C7E" w:rsidRPr="0084024F">
        <w:rPr>
          <w:rFonts w:eastAsia="Palatino Linotype" w:cs="Palatino Linotype"/>
          <w:color w:val="000000"/>
          <w:lang w:val="es-MX"/>
        </w:rPr>
        <w:t>comparte la información solicitada para su consulta en formato digital del Programa Anual de Obra, ejercicio fiscal 2025</w:t>
      </w:r>
      <w:r w:rsidR="003540F6" w:rsidRPr="0084024F">
        <w:rPr>
          <w:rFonts w:eastAsia="Palatino Linotype" w:cs="Palatino Linotype"/>
          <w:color w:val="000000"/>
          <w:lang w:val="es-MX"/>
        </w:rPr>
        <w:t xml:space="preserve">, proporcionando para tal efecto, un link de consulta de la información, </w:t>
      </w:r>
      <w:r w:rsidR="00C95C7E" w:rsidRPr="0084024F">
        <w:rPr>
          <w:rFonts w:eastAsia="Palatino Linotype" w:cs="Palatino Linotype"/>
          <w:color w:val="000000"/>
          <w:lang w:val="es-MX"/>
        </w:rPr>
        <w:t xml:space="preserve">del cual no escapa a la óptica de este Órgano Garante, el hecho de que fue remitido en formato cerrado. </w:t>
      </w:r>
    </w:p>
    <w:p w14:paraId="6128DFF4" w14:textId="3A94F48D" w:rsidR="00A970D5" w:rsidRPr="0084024F" w:rsidRDefault="007E0B5E"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lastRenderedPageBreak/>
        <w:t>Ante la</w:t>
      </w:r>
      <w:r w:rsidR="00A970D5" w:rsidRPr="0084024F">
        <w:rPr>
          <w:rFonts w:eastAsia="Palatino Linotype" w:cs="Palatino Linotype"/>
          <w:color w:val="000000"/>
          <w:szCs w:val="24"/>
        </w:rPr>
        <w:t xml:space="preserve"> respuesta</w:t>
      </w:r>
      <w:r w:rsidRPr="0084024F">
        <w:rPr>
          <w:rFonts w:eastAsia="Palatino Linotype" w:cs="Palatino Linotype"/>
          <w:color w:val="000000"/>
          <w:szCs w:val="24"/>
        </w:rPr>
        <w:t xml:space="preserve"> emitida</w:t>
      </w:r>
      <w:r w:rsidR="00E41D06" w:rsidRPr="0084024F">
        <w:rPr>
          <w:rFonts w:eastAsia="Palatino Linotype" w:cs="Palatino Linotype"/>
          <w:color w:val="000000"/>
          <w:szCs w:val="24"/>
        </w:rPr>
        <w:t xml:space="preserve"> </w:t>
      </w:r>
      <w:r w:rsidR="00B32535" w:rsidRPr="0084024F">
        <w:rPr>
          <w:rFonts w:eastAsia="Palatino Linotype" w:cs="Palatino Linotype"/>
          <w:color w:val="000000"/>
          <w:szCs w:val="24"/>
        </w:rPr>
        <w:t xml:space="preserve">por el </w:t>
      </w:r>
      <w:r w:rsidR="00B32535" w:rsidRPr="0084024F">
        <w:rPr>
          <w:rFonts w:eastAsia="Palatino Linotype" w:cs="Palatino Linotype"/>
          <w:b/>
          <w:bCs/>
          <w:color w:val="000000"/>
          <w:szCs w:val="24"/>
        </w:rPr>
        <w:t>Sujeto Obligado,</w:t>
      </w:r>
      <w:r w:rsidRPr="0084024F">
        <w:rPr>
          <w:rFonts w:eastAsia="Palatino Linotype" w:cs="Palatino Linotype"/>
          <w:b/>
          <w:bCs/>
          <w:color w:val="000000"/>
          <w:szCs w:val="24"/>
        </w:rPr>
        <w:t xml:space="preserve"> </w:t>
      </w:r>
      <w:r w:rsidR="007E0FE3" w:rsidRPr="0084024F">
        <w:rPr>
          <w:rFonts w:eastAsia="Palatino Linotype" w:cs="Palatino Linotype"/>
          <w:b/>
          <w:bCs/>
          <w:color w:val="000000"/>
          <w:szCs w:val="24"/>
        </w:rPr>
        <w:t>el</w:t>
      </w:r>
      <w:r w:rsidR="00A970D5" w:rsidRPr="0084024F">
        <w:rPr>
          <w:rFonts w:eastAsia="Palatino Linotype" w:cs="Palatino Linotype"/>
          <w:b/>
          <w:bCs/>
          <w:color w:val="000000"/>
          <w:szCs w:val="24"/>
        </w:rPr>
        <w:t xml:space="preserve"> Recurr</w:t>
      </w:r>
      <w:r w:rsidR="00640056" w:rsidRPr="0084024F">
        <w:rPr>
          <w:rFonts w:eastAsia="Palatino Linotype" w:cs="Palatino Linotype"/>
          <w:b/>
          <w:bCs/>
          <w:color w:val="000000"/>
          <w:szCs w:val="24"/>
        </w:rPr>
        <w:t>e</w:t>
      </w:r>
      <w:r w:rsidR="00A970D5" w:rsidRPr="0084024F">
        <w:rPr>
          <w:rFonts w:eastAsia="Palatino Linotype" w:cs="Palatino Linotype"/>
          <w:b/>
          <w:bCs/>
          <w:color w:val="000000"/>
          <w:szCs w:val="24"/>
        </w:rPr>
        <w:t>nte</w:t>
      </w:r>
      <w:r w:rsidR="00A970D5" w:rsidRPr="0084024F">
        <w:rPr>
          <w:rFonts w:eastAsia="Palatino Linotype" w:cs="Palatino Linotype"/>
          <w:color w:val="000000"/>
          <w:szCs w:val="24"/>
        </w:rPr>
        <w:t xml:space="preserve"> consideró que su derecho a la información pública había sido conculcado, por lo que interpuso el recurso de revisión al rubro citado, señalando como acto impugnado</w:t>
      </w:r>
      <w:r w:rsidR="00985600" w:rsidRPr="0084024F">
        <w:rPr>
          <w:rFonts w:eastAsia="Palatino Linotype" w:cs="Palatino Linotype"/>
          <w:color w:val="000000"/>
          <w:szCs w:val="24"/>
        </w:rPr>
        <w:t xml:space="preserve"> “</w:t>
      </w:r>
      <w:r w:rsidR="00C95C7E" w:rsidRPr="0084024F">
        <w:rPr>
          <w:rFonts w:eastAsia="Palatino Linotype" w:cs="Palatino Linotype"/>
          <w:b/>
          <w:bCs/>
          <w:i/>
          <w:iCs/>
          <w:color w:val="000000"/>
          <w:szCs w:val="24"/>
        </w:rPr>
        <w:t>respuesta</w:t>
      </w:r>
      <w:r w:rsidR="00985600" w:rsidRPr="0084024F">
        <w:rPr>
          <w:rFonts w:eastAsia="Palatino Linotype" w:cs="Palatino Linotype"/>
          <w:color w:val="000000"/>
          <w:szCs w:val="24"/>
        </w:rPr>
        <w:t>”</w:t>
      </w:r>
      <w:r w:rsidR="003B5C2D" w:rsidRPr="0084024F">
        <w:rPr>
          <w:rFonts w:eastAsia="Palatino Linotype" w:cs="Palatino Linotype"/>
          <w:color w:val="000000"/>
          <w:szCs w:val="24"/>
        </w:rPr>
        <w:t xml:space="preserve"> y </w:t>
      </w:r>
      <w:r w:rsidR="00985600" w:rsidRPr="0084024F">
        <w:rPr>
          <w:rFonts w:eastAsia="Palatino Linotype" w:cs="Palatino Linotype"/>
          <w:color w:val="000000"/>
          <w:szCs w:val="24"/>
        </w:rPr>
        <w:t xml:space="preserve">como </w:t>
      </w:r>
      <w:r w:rsidR="003B5C2D" w:rsidRPr="0084024F">
        <w:rPr>
          <w:rFonts w:eastAsia="Palatino Linotype" w:cs="Palatino Linotype"/>
          <w:color w:val="000000"/>
          <w:szCs w:val="24"/>
        </w:rPr>
        <w:t>razones o motivos de inconformidad que</w:t>
      </w:r>
      <w:r w:rsidR="00985600" w:rsidRPr="0084024F">
        <w:rPr>
          <w:rFonts w:eastAsia="Palatino Linotype" w:cs="Palatino Linotype"/>
          <w:color w:val="000000"/>
          <w:szCs w:val="24"/>
        </w:rPr>
        <w:t>:</w:t>
      </w:r>
    </w:p>
    <w:p w14:paraId="5CA361EF" w14:textId="77777777" w:rsidR="00985600" w:rsidRPr="0084024F" w:rsidRDefault="00985600" w:rsidP="006922F5">
      <w:pPr>
        <w:pBdr>
          <w:top w:val="nil"/>
          <w:left w:val="nil"/>
          <w:bottom w:val="nil"/>
          <w:right w:val="nil"/>
          <w:between w:val="nil"/>
        </w:pBdr>
        <w:contextualSpacing/>
        <w:rPr>
          <w:rFonts w:eastAsia="Palatino Linotype" w:cs="Palatino Linotype"/>
          <w:color w:val="000000"/>
          <w:szCs w:val="24"/>
        </w:rPr>
      </w:pPr>
    </w:p>
    <w:p w14:paraId="183E7A5A" w14:textId="7C2BB1B9" w:rsidR="00985600" w:rsidRPr="0084024F" w:rsidRDefault="00985600" w:rsidP="00985600">
      <w:pPr>
        <w:spacing w:line="276" w:lineRule="auto"/>
        <w:ind w:left="567" w:right="567"/>
        <w:rPr>
          <w:i/>
          <w:sz w:val="22"/>
          <w:lang w:val="es-MX"/>
        </w:rPr>
      </w:pPr>
      <w:r w:rsidRPr="0084024F">
        <w:rPr>
          <w:rFonts w:eastAsiaTheme="minorHAnsi" w:cs="Arial"/>
          <w:i/>
          <w:sz w:val="22"/>
          <w:lang w:val="es-MX" w:eastAsia="en-US"/>
        </w:rPr>
        <w:t>“</w:t>
      </w:r>
      <w:r w:rsidR="00C95C7E" w:rsidRPr="0084024F">
        <w:rPr>
          <w:rFonts w:eastAsiaTheme="minorHAnsi" w:cstheme="minorBidi"/>
          <w:i/>
          <w:color w:val="000000"/>
          <w:sz w:val="22"/>
          <w:lang w:val="es-MX" w:eastAsia="en-US"/>
        </w:rPr>
        <w:t>no abre el link</w:t>
      </w:r>
      <w:r w:rsidRPr="0084024F">
        <w:rPr>
          <w:rFonts w:eastAsiaTheme="minorHAnsi" w:cstheme="minorBidi"/>
          <w:i/>
          <w:color w:val="000000"/>
          <w:sz w:val="22"/>
          <w:lang w:val="es-MX" w:eastAsia="en-US"/>
        </w:rPr>
        <w:t>” (Sic)</w:t>
      </w:r>
    </w:p>
    <w:p w14:paraId="564987EB" w14:textId="77777777" w:rsidR="00EF5FF8" w:rsidRPr="0084024F" w:rsidRDefault="00EF5FF8" w:rsidP="006922F5">
      <w:pPr>
        <w:pBdr>
          <w:top w:val="nil"/>
          <w:left w:val="nil"/>
          <w:bottom w:val="nil"/>
          <w:right w:val="nil"/>
          <w:between w:val="nil"/>
        </w:pBdr>
        <w:contextualSpacing/>
        <w:rPr>
          <w:rFonts w:eastAsia="Palatino Linotype" w:cs="Palatino Linotype"/>
          <w:color w:val="000000"/>
          <w:szCs w:val="24"/>
        </w:rPr>
      </w:pPr>
    </w:p>
    <w:p w14:paraId="6746D846" w14:textId="19E195B4" w:rsidR="00C95C7E" w:rsidRPr="0084024F" w:rsidRDefault="00C95C7E" w:rsidP="00C95C7E">
      <w:pPr>
        <w:tabs>
          <w:tab w:val="left" w:pos="709"/>
        </w:tabs>
        <w:rPr>
          <w:rFonts w:eastAsiaTheme="minorEastAsia" w:cs="Arial"/>
          <w:szCs w:val="24"/>
          <w:lang w:eastAsia="es-ES"/>
        </w:rPr>
      </w:pPr>
      <w:r w:rsidRPr="0084024F">
        <w:rPr>
          <w:rFonts w:eastAsiaTheme="minorEastAsia" w:cs="Arial"/>
          <w:szCs w:val="24"/>
          <w:lang w:eastAsia="es-ES"/>
        </w:rPr>
        <w:t xml:space="preserve">Por otro lado, mediante informe justificado rendido por </w:t>
      </w:r>
      <w:r w:rsidRPr="0084024F">
        <w:rPr>
          <w:rFonts w:eastAsiaTheme="minorEastAsia" w:cs="Arial"/>
          <w:b/>
          <w:szCs w:val="24"/>
          <w:lang w:eastAsia="es-ES"/>
        </w:rPr>
        <w:t>El Sujeto Obligado</w:t>
      </w:r>
      <w:r w:rsidRPr="0084024F">
        <w:rPr>
          <w:rFonts w:eastAsiaTheme="minorEastAsia" w:cs="Arial"/>
          <w:szCs w:val="24"/>
          <w:lang w:eastAsia="es-ES"/>
        </w:rPr>
        <w:t xml:space="preserve"> en fecha dieciocho de marzo de dos mil veintitrés, de los documentos que obran en el expediente electrónico, se advierte que </w:t>
      </w:r>
      <w:r w:rsidRPr="0084024F">
        <w:rPr>
          <w:rFonts w:eastAsiaTheme="minorEastAsia" w:cs="Arial"/>
          <w:b/>
          <w:szCs w:val="24"/>
          <w:lang w:eastAsia="es-ES"/>
        </w:rPr>
        <w:t xml:space="preserve">El Sujeto Obligado </w:t>
      </w:r>
      <w:r w:rsidRPr="0084024F">
        <w:rPr>
          <w:rFonts w:eastAsiaTheme="minorEastAsia" w:cs="Arial"/>
          <w:bCs/>
          <w:szCs w:val="24"/>
          <w:lang w:eastAsia="es-ES"/>
        </w:rPr>
        <w:t>remitió</w:t>
      </w:r>
      <w:r w:rsidRPr="0084024F">
        <w:rPr>
          <w:rFonts w:eastAsiaTheme="minorEastAsia" w:cs="Arial"/>
          <w:szCs w:val="24"/>
          <w:lang w:eastAsia="es-ES"/>
        </w:rPr>
        <w:t xml:space="preserve"> través del Sistema de Acceso a la Información Mexiquense (</w:t>
      </w:r>
      <w:r w:rsidRPr="0084024F">
        <w:rPr>
          <w:rFonts w:eastAsiaTheme="minorEastAsia" w:cs="Arial"/>
          <w:b/>
          <w:szCs w:val="24"/>
          <w:lang w:eastAsia="es-ES"/>
        </w:rPr>
        <w:t xml:space="preserve">SAIMEX) </w:t>
      </w:r>
      <w:r w:rsidRPr="0084024F">
        <w:rPr>
          <w:rFonts w:eastAsiaTheme="minorEastAsia" w:cs="Arial"/>
          <w:szCs w:val="24"/>
          <w:lang w:eastAsia="es-ES"/>
        </w:rPr>
        <w:t xml:space="preserve">el archivo denominado, </w:t>
      </w:r>
      <w:r w:rsidRPr="0084024F">
        <w:rPr>
          <w:rFonts w:eastAsiaTheme="minorEastAsia" w:cs="Arial"/>
          <w:i/>
          <w:szCs w:val="24"/>
          <w:lang w:eastAsia="es-ES"/>
        </w:rPr>
        <w:t>“</w:t>
      </w:r>
      <w:r w:rsidRPr="0084024F">
        <w:rPr>
          <w:rFonts w:eastAsiaTheme="minorEastAsia" w:cs="Arial"/>
          <w:b/>
          <w:bCs/>
          <w:i/>
          <w:szCs w:val="24"/>
          <w:lang w:eastAsia="es-ES"/>
        </w:rPr>
        <w:t xml:space="preserve">manifestaciones </w:t>
      </w:r>
      <w:proofErr w:type="spellStart"/>
      <w:r w:rsidRPr="0084024F">
        <w:rPr>
          <w:rFonts w:eastAsiaTheme="minorEastAsia" w:cs="Arial"/>
          <w:b/>
          <w:bCs/>
          <w:i/>
          <w:szCs w:val="24"/>
          <w:lang w:eastAsia="es-ES"/>
        </w:rPr>
        <w:t>rr.</w:t>
      </w:r>
      <w:proofErr w:type="spellEnd"/>
      <w:r w:rsidRPr="0084024F">
        <w:rPr>
          <w:rFonts w:eastAsiaTheme="minorEastAsia" w:cs="Arial"/>
          <w:b/>
          <w:bCs/>
          <w:i/>
          <w:szCs w:val="24"/>
          <w:lang w:eastAsia="es-ES"/>
        </w:rPr>
        <w:t xml:space="preserve"> 03845.pdf</w:t>
      </w:r>
      <w:r w:rsidRPr="0084024F">
        <w:rPr>
          <w:rFonts w:eastAsiaTheme="minorEastAsia" w:cs="Arial"/>
          <w:i/>
          <w:szCs w:val="24"/>
          <w:lang w:eastAsia="es-ES"/>
        </w:rPr>
        <w:t xml:space="preserve">”, </w:t>
      </w:r>
      <w:r w:rsidRPr="0084024F">
        <w:rPr>
          <w:rFonts w:eastAsiaTheme="minorEastAsia" w:cs="Arial"/>
          <w:iCs/>
          <w:szCs w:val="24"/>
          <w:lang w:eastAsia="es-ES"/>
        </w:rPr>
        <w:t>que contiene el oficio número DOP/JRRA/209-2025 a través</w:t>
      </w:r>
      <w:r w:rsidRPr="0084024F">
        <w:rPr>
          <w:rFonts w:eastAsiaTheme="minorEastAsia" w:cs="Arial"/>
          <w:szCs w:val="24"/>
          <w:lang w:eastAsia="es-ES"/>
        </w:rPr>
        <w:t xml:space="preserve"> del cual, el Director de Obras Públicas, informa</w:t>
      </w:r>
      <w:r w:rsidRPr="0084024F">
        <w:t xml:space="preserve"> </w:t>
      </w:r>
      <w:r w:rsidRPr="0084024F">
        <w:rPr>
          <w:rFonts w:eastAsiaTheme="minorEastAsia" w:cs="Arial"/>
          <w:szCs w:val="24"/>
          <w:lang w:eastAsia="es-ES"/>
        </w:rPr>
        <w:t xml:space="preserve">a la Directora de la Unidad de Transparencia, que adjunta en formato impreso, el </w:t>
      </w:r>
      <w:r w:rsidRPr="0084024F">
        <w:rPr>
          <w:rFonts w:eastAsiaTheme="minorEastAsia" w:cs="Arial"/>
          <w:b/>
          <w:bCs/>
          <w:szCs w:val="24"/>
          <w:u w:val="single"/>
          <w:lang w:eastAsia="es-ES"/>
        </w:rPr>
        <w:t xml:space="preserve">presupuesto autorizado </w:t>
      </w:r>
      <w:r w:rsidR="002B2AD6" w:rsidRPr="0084024F">
        <w:rPr>
          <w:rFonts w:eastAsiaTheme="minorEastAsia" w:cs="Arial"/>
          <w:b/>
          <w:bCs/>
          <w:szCs w:val="24"/>
          <w:u w:val="single"/>
          <w:lang w:eastAsia="es-ES"/>
        </w:rPr>
        <w:t>del Programa Anual de Obra correspondiente al ejercicio fiscal 2025</w:t>
      </w:r>
      <w:r w:rsidR="002B2AD6" w:rsidRPr="0084024F">
        <w:rPr>
          <w:rFonts w:eastAsiaTheme="minorEastAsia" w:cs="Arial"/>
          <w:szCs w:val="24"/>
          <w:lang w:eastAsia="es-ES"/>
        </w:rPr>
        <w:t xml:space="preserve">, remitiendo dicho documento. </w:t>
      </w:r>
    </w:p>
    <w:p w14:paraId="6C5DD87B" w14:textId="77777777" w:rsidR="00C95C7E" w:rsidRPr="0084024F" w:rsidRDefault="00C95C7E" w:rsidP="006922F5">
      <w:pPr>
        <w:pBdr>
          <w:top w:val="nil"/>
          <w:left w:val="nil"/>
          <w:bottom w:val="nil"/>
          <w:right w:val="nil"/>
          <w:between w:val="nil"/>
        </w:pBdr>
        <w:contextualSpacing/>
        <w:rPr>
          <w:rFonts w:eastAsia="Palatino Linotype" w:cs="Palatino Linotype"/>
          <w:color w:val="000000"/>
          <w:szCs w:val="24"/>
        </w:rPr>
      </w:pPr>
    </w:p>
    <w:p w14:paraId="64B9BA8A" w14:textId="3C4634A1"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del Recurrente, así como calificar los motivos de inconformidad de</w:t>
      </w:r>
      <w:r w:rsidR="00C82268" w:rsidRPr="0084024F">
        <w:rPr>
          <w:rFonts w:eastAsia="Palatino Linotype" w:cs="Palatino Linotype"/>
          <w:color w:val="000000"/>
          <w:szCs w:val="24"/>
        </w:rPr>
        <w:t xml:space="preserve">l </w:t>
      </w:r>
      <w:r w:rsidRPr="0084024F">
        <w:rPr>
          <w:rFonts w:eastAsia="Palatino Linotype" w:cs="Palatino Linotype"/>
          <w:color w:val="000000"/>
          <w:szCs w:val="24"/>
        </w:rPr>
        <w:t xml:space="preserve">particular. </w:t>
      </w:r>
    </w:p>
    <w:p w14:paraId="443631F3"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4937FC80"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b/>
          <w:i/>
          <w:color w:val="000000"/>
          <w:sz w:val="22"/>
        </w:rPr>
        <w:lastRenderedPageBreak/>
        <w:t>Artículo 6o.</w:t>
      </w:r>
      <w:r w:rsidRPr="0084024F">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4024F">
        <w:rPr>
          <w:rFonts w:eastAsia="Palatino Linotype" w:cs="Palatino Linotype"/>
          <w:b/>
          <w:i/>
          <w:color w:val="000000"/>
          <w:sz w:val="22"/>
        </w:rPr>
        <w:t>El derecho a la información será garantizado por el Estado.</w:t>
      </w:r>
      <w:r w:rsidRPr="0084024F">
        <w:rPr>
          <w:rFonts w:eastAsia="Palatino Linotype" w:cs="Palatino Linotype"/>
          <w:i/>
          <w:color w:val="000000"/>
          <w:sz w:val="22"/>
        </w:rPr>
        <w:t xml:space="preserve"> </w:t>
      </w:r>
    </w:p>
    <w:p w14:paraId="03DEA8E0"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0013BD8"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A61963A"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CCCF0DC"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w:t>
      </w:r>
    </w:p>
    <w:p w14:paraId="4D40EDD4"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EF0C9E9"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Para efectos de lo dispuesto en el presente artículo se observará lo siguiente:</w:t>
      </w:r>
    </w:p>
    <w:p w14:paraId="067EDF11"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C404679"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A. Para el ejercicio del derecho de acceso a la información, la Federación, los Estados y el Distrito Federal, en el ámbito de sus respectivas competencias, se regirán por los siguientes principios y bases:</w:t>
      </w:r>
    </w:p>
    <w:p w14:paraId="58DC6BBE"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B1E456C"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b/>
          <w:i/>
          <w:color w:val="000000"/>
          <w:sz w:val="22"/>
        </w:rPr>
        <w:t>I. Toda la información en posesión de</w:t>
      </w:r>
      <w:r w:rsidRPr="0084024F">
        <w:rPr>
          <w:rFonts w:eastAsia="Palatino Linotype" w:cs="Palatino Linotype"/>
          <w:i/>
          <w:color w:val="000000"/>
          <w:sz w:val="22"/>
        </w:rPr>
        <w:t xml:space="preserve"> </w:t>
      </w:r>
      <w:r w:rsidRPr="0084024F">
        <w:rPr>
          <w:rFonts w:eastAsia="Palatino Linotype" w:cs="Palatino Linotype"/>
          <w:b/>
          <w:i/>
          <w:color w:val="000000"/>
          <w:sz w:val="22"/>
        </w:rPr>
        <w:t>cualquier autoridad</w:t>
      </w:r>
      <w:r w:rsidRPr="0084024F">
        <w:rPr>
          <w:rFonts w:eastAsia="Palatino Linotype" w:cs="Palatino Linotype"/>
          <w:i/>
          <w:color w:val="000000"/>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4024F">
        <w:rPr>
          <w:rFonts w:eastAsia="Palatino Linotype" w:cs="Palatino Linotype"/>
          <w:b/>
          <w:i/>
          <w:color w:val="000000"/>
          <w:sz w:val="22"/>
        </w:rPr>
        <w:t>en el ámbito federal, estatal y municipal, es pública</w:t>
      </w:r>
      <w:r w:rsidRPr="0084024F">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84024F">
        <w:rPr>
          <w:rFonts w:eastAsia="Palatino Linotype" w:cs="Palatino Linotype"/>
          <w:b/>
          <w:i/>
          <w:color w:val="000000"/>
          <w:sz w:val="22"/>
        </w:rPr>
        <w:t>Los sujetos obligados deberán documentar todo acto que derive del ejercicio de sus facultades, competencias o funciones</w:t>
      </w:r>
      <w:r w:rsidRPr="0084024F">
        <w:rPr>
          <w:rFonts w:eastAsia="Palatino Linotype" w:cs="Palatino Linotype"/>
          <w:i/>
          <w:color w:val="000000"/>
          <w:sz w:val="22"/>
        </w:rPr>
        <w:t>, la ley determinará los supuestos específicos bajo los cuales procederá la declaración de inexistencia de la información.</w:t>
      </w:r>
    </w:p>
    <w:p w14:paraId="7359FB33"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5E06D1DB"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6ADA1FD"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IV.   Se establecerán mecanismos de acceso a la información pública y procedimientos de revisión expeditos que se sustanciarán ante las instancias competentes en los términos que fija esta Constitución y las leyes.</w:t>
      </w:r>
    </w:p>
    <w:p w14:paraId="0E2C422D"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b/>
          <w:i/>
          <w:color w:val="000000"/>
          <w:sz w:val="22"/>
        </w:rPr>
        <w:t>V. Los sujetos obligados deberán preservar sus documentos en archivos administrativos actualizados y publicarán, a través de los medios electrónicos disponibles</w:t>
      </w:r>
      <w:r w:rsidRPr="0084024F">
        <w:rPr>
          <w:rFonts w:eastAsia="Palatino Linotype" w:cs="Palatino Linotype"/>
          <w:i/>
          <w:color w:val="000000"/>
          <w:sz w:val="22"/>
        </w:rPr>
        <w:t xml:space="preserve">, </w:t>
      </w:r>
      <w:r w:rsidRPr="0084024F">
        <w:rPr>
          <w:rFonts w:eastAsia="Palatino Linotype" w:cs="Palatino Linotype"/>
          <w:b/>
          <w:i/>
          <w:color w:val="000000"/>
          <w:sz w:val="22"/>
        </w:rPr>
        <w:t xml:space="preserve">la información completa y actualizada sobre el ejercicio de los recursos </w:t>
      </w:r>
      <w:r w:rsidRPr="0084024F">
        <w:rPr>
          <w:rFonts w:eastAsia="Palatino Linotype" w:cs="Palatino Linotype"/>
          <w:b/>
          <w:i/>
          <w:color w:val="000000"/>
          <w:sz w:val="22"/>
        </w:rPr>
        <w:lastRenderedPageBreak/>
        <w:t xml:space="preserve">públicos </w:t>
      </w:r>
      <w:r w:rsidRPr="0084024F">
        <w:rPr>
          <w:rFonts w:eastAsia="Palatino Linotype" w:cs="Palatino Linotype"/>
          <w:i/>
          <w:color w:val="000000"/>
          <w:sz w:val="22"/>
        </w:rPr>
        <w:t>y los indicadores que permitan rendir cuenta del cumplimiento de sus objetivos y de los resultados obtenidos.</w:t>
      </w:r>
    </w:p>
    <w:p w14:paraId="52F374F7"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60DAFF8B"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VII. La inobservancia a las disposiciones en materia de acceso a la información pública será sancionada en los términos que dispongan las leyes.</w:t>
      </w:r>
    </w:p>
    <w:p w14:paraId="4C8A7334"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76726775" w14:textId="77777777"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w:t>
      </w:r>
    </w:p>
    <w:p w14:paraId="490B9E01" w14:textId="2BC66719" w:rsidR="00C95C7E" w:rsidRPr="0084024F" w:rsidRDefault="00C95C7E" w:rsidP="00C95C7E">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84024F">
        <w:rPr>
          <w:rFonts w:eastAsia="Palatino Linotype" w:cs="Palatino Linotype"/>
          <w:i/>
          <w:color w:val="000000"/>
          <w:sz w:val="22"/>
        </w:rPr>
        <w:t>La ley establecerá aquella información que se considere reservada o confidencial.</w:t>
      </w:r>
    </w:p>
    <w:p w14:paraId="5DB97290" w14:textId="77777777" w:rsidR="00C95C7E" w:rsidRPr="0084024F" w:rsidRDefault="00C95C7E" w:rsidP="00C95C7E">
      <w:pPr>
        <w:pBdr>
          <w:top w:val="nil"/>
          <w:left w:val="nil"/>
          <w:bottom w:val="nil"/>
          <w:right w:val="nil"/>
          <w:between w:val="nil"/>
        </w:pBdr>
        <w:contextualSpacing/>
        <w:rPr>
          <w:rFonts w:eastAsia="Palatino Linotype" w:cs="Palatino Linotype"/>
          <w:color w:val="000000"/>
        </w:rPr>
      </w:pPr>
      <w:r w:rsidRPr="0084024F">
        <w:rPr>
          <w:rFonts w:eastAsia="Palatino Linotype" w:cs="Palatino Linotype"/>
          <w:color w:val="000000"/>
        </w:rPr>
        <w:t>Por su parte, la Constitución Política del Estado Libre y Soberano de México, en su artículo 5°, dispone en su parte conducente, lo siguiente:</w:t>
      </w:r>
    </w:p>
    <w:p w14:paraId="5F80485D"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84024F" w:rsidRDefault="00A970D5" w:rsidP="006922F5">
      <w:pPr>
        <w:pStyle w:val="Fundamentos"/>
      </w:pPr>
      <w:r w:rsidRPr="0084024F">
        <w:rPr>
          <w:b/>
          <w:bCs/>
        </w:rPr>
        <w:t>Artículo 5.</w:t>
      </w:r>
      <w:r w:rsidRPr="0084024F">
        <w:t xml:space="preserve"> </w:t>
      </w:r>
      <w:r w:rsidR="0047369A" w:rsidRPr="0084024F">
        <w:t>(</w:t>
      </w:r>
      <w:r w:rsidRPr="0084024F">
        <w:t>…</w:t>
      </w:r>
      <w:r w:rsidR="0047369A" w:rsidRPr="0084024F">
        <w:t>)</w:t>
      </w:r>
      <w:r w:rsidRPr="0084024F">
        <w:t xml:space="preserve"> </w:t>
      </w:r>
    </w:p>
    <w:p w14:paraId="5956991C" w14:textId="77777777" w:rsidR="00A970D5" w:rsidRPr="0084024F" w:rsidRDefault="00A970D5" w:rsidP="006922F5">
      <w:pPr>
        <w:pStyle w:val="Fundamentos"/>
      </w:pPr>
      <w:r w:rsidRPr="0084024F">
        <w:t xml:space="preserve">El derecho a la información será garantizado por el Estado. La ley establecerá las previsiones que permitan asegurar la protección, el respeto y la difusión de este derecho. </w:t>
      </w:r>
    </w:p>
    <w:p w14:paraId="6A3CBAB6" w14:textId="77777777" w:rsidR="00A970D5" w:rsidRPr="0084024F" w:rsidRDefault="00A970D5" w:rsidP="006922F5">
      <w:pPr>
        <w:pStyle w:val="Fundamentos"/>
      </w:pPr>
    </w:p>
    <w:p w14:paraId="36D3B567" w14:textId="77777777" w:rsidR="00A970D5" w:rsidRPr="0084024F" w:rsidRDefault="00A970D5" w:rsidP="006922F5">
      <w:pPr>
        <w:pStyle w:val="Fundamentos"/>
      </w:pPr>
      <w:r w:rsidRPr="0084024F">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84024F" w:rsidRDefault="00A970D5" w:rsidP="006922F5">
      <w:pPr>
        <w:pStyle w:val="Fundamentos"/>
      </w:pPr>
    </w:p>
    <w:p w14:paraId="0BDF2E36" w14:textId="77777777" w:rsidR="00A970D5" w:rsidRPr="0084024F" w:rsidRDefault="00A970D5" w:rsidP="006922F5">
      <w:pPr>
        <w:pStyle w:val="Fundamentos"/>
      </w:pPr>
      <w:r w:rsidRPr="0084024F">
        <w:t>Este derecho se regirá por los principios y bases siguientes:</w:t>
      </w:r>
    </w:p>
    <w:p w14:paraId="0BFC86CA" w14:textId="77777777" w:rsidR="00A970D5" w:rsidRPr="0084024F" w:rsidRDefault="00A970D5" w:rsidP="006922F5">
      <w:pPr>
        <w:pStyle w:val="Fundamentos"/>
      </w:pPr>
    </w:p>
    <w:p w14:paraId="71CBBD8F" w14:textId="77777777" w:rsidR="00A970D5" w:rsidRPr="0084024F" w:rsidRDefault="00A970D5" w:rsidP="006922F5">
      <w:pPr>
        <w:pStyle w:val="Fundamentos"/>
      </w:pPr>
      <w:r w:rsidRPr="0084024F">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w:t>
      </w:r>
      <w:r w:rsidRPr="0084024F">
        <w:lastRenderedPageBreak/>
        <w:t>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84024F" w:rsidRDefault="00A970D5" w:rsidP="006922F5">
      <w:pPr>
        <w:pStyle w:val="Fundamentos"/>
      </w:pPr>
      <w:r w:rsidRPr="0084024F">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84024F" w:rsidRDefault="00A970D5" w:rsidP="006922F5">
      <w:pPr>
        <w:pStyle w:val="Fundamentos"/>
      </w:pPr>
      <w:r w:rsidRPr="0084024F">
        <w:t>III. Toda persona, sin necesidad de acreditar interés alguno o justificar su utilización, tendrá acceso gratuito a la información pública, a sus datos personales o a la rectificación de éstos.</w:t>
      </w:r>
    </w:p>
    <w:p w14:paraId="682D2B34" w14:textId="77777777" w:rsidR="00A970D5" w:rsidRPr="0084024F" w:rsidRDefault="00A970D5" w:rsidP="006922F5">
      <w:pPr>
        <w:pStyle w:val="Fundamentos"/>
      </w:pPr>
      <w:r w:rsidRPr="0084024F">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84024F" w:rsidRDefault="00A970D5" w:rsidP="006922F5">
      <w:pPr>
        <w:pStyle w:val="Fundamentos"/>
      </w:pPr>
      <w:r w:rsidRPr="0084024F">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84024F" w:rsidRDefault="00A970D5" w:rsidP="006922F5">
      <w:pPr>
        <w:pStyle w:val="Fundamentos"/>
      </w:pPr>
      <w:r w:rsidRPr="0084024F">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84024F" w:rsidRDefault="00A970D5" w:rsidP="006922F5">
      <w:pPr>
        <w:pStyle w:val="Fundamentos"/>
      </w:pPr>
      <w:r w:rsidRPr="0084024F">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84024F" w:rsidRDefault="00C82268" w:rsidP="006922F5">
      <w:pPr>
        <w:rPr>
          <w:rFonts w:eastAsia="Palatino Linotype" w:cs="Palatino Linotype"/>
          <w:szCs w:val="24"/>
        </w:rPr>
      </w:pPr>
      <w:r w:rsidRPr="0084024F">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84024F">
        <w:rPr>
          <w:rFonts w:eastAsia="Palatino Linotype" w:cs="Palatino Linotype"/>
          <w:szCs w:val="24"/>
        </w:rPr>
        <w:t>I</w:t>
      </w:r>
      <w:r w:rsidR="001530E5" w:rsidRPr="0084024F">
        <w:rPr>
          <w:rFonts w:eastAsia="Palatino Linotype" w:cs="Palatino Linotype"/>
          <w:szCs w:val="24"/>
        </w:rPr>
        <w:t>V</w:t>
      </w:r>
      <w:r w:rsidRPr="0084024F">
        <w:rPr>
          <w:rFonts w:eastAsia="Palatino Linotype" w:cs="Palatino Linotype"/>
          <w:szCs w:val="24"/>
        </w:rPr>
        <w:t>, lo siguiente:</w:t>
      </w:r>
    </w:p>
    <w:p w14:paraId="34BB49C7" w14:textId="77777777" w:rsidR="00C82268" w:rsidRPr="0084024F" w:rsidRDefault="00C82268" w:rsidP="006922F5">
      <w:pPr>
        <w:rPr>
          <w:rFonts w:eastAsia="Palatino Linotype" w:cs="Palatino Linotype"/>
          <w:szCs w:val="24"/>
        </w:rPr>
      </w:pPr>
    </w:p>
    <w:p w14:paraId="100A2479" w14:textId="77777777" w:rsidR="00C82268" w:rsidRPr="0084024F" w:rsidRDefault="00C82268" w:rsidP="006922F5">
      <w:pPr>
        <w:pStyle w:val="Fundamentos"/>
      </w:pPr>
      <w:r w:rsidRPr="0084024F">
        <w:rPr>
          <w:b/>
        </w:rPr>
        <w:t>Artículo 23.</w:t>
      </w:r>
      <w:r w:rsidRPr="0084024F">
        <w:t xml:space="preserve"> Son sujetos obligados a transparentar y permitir el acceso a su información y proteger los datos personales que obren en su poder:</w:t>
      </w:r>
    </w:p>
    <w:p w14:paraId="7025ECE0" w14:textId="0F47465B" w:rsidR="00C82268" w:rsidRPr="0084024F" w:rsidRDefault="001530E5" w:rsidP="006922F5">
      <w:pPr>
        <w:pStyle w:val="Fundamentos"/>
      </w:pPr>
      <w:r w:rsidRPr="0084024F">
        <w:t>(…)</w:t>
      </w:r>
    </w:p>
    <w:p w14:paraId="79FD530B" w14:textId="5429547D" w:rsidR="00C82268" w:rsidRPr="0084024F" w:rsidRDefault="00C82268" w:rsidP="006922F5">
      <w:pPr>
        <w:pStyle w:val="Fundamentos"/>
      </w:pPr>
      <w:r w:rsidRPr="0084024F">
        <w:rPr>
          <w:b/>
          <w:bCs/>
        </w:rPr>
        <w:t>I</w:t>
      </w:r>
      <w:r w:rsidR="001530E5" w:rsidRPr="0084024F">
        <w:rPr>
          <w:b/>
          <w:bCs/>
        </w:rPr>
        <w:t>V</w:t>
      </w:r>
      <w:r w:rsidRPr="0084024F">
        <w:rPr>
          <w:b/>
          <w:bCs/>
        </w:rPr>
        <w:t>.</w:t>
      </w:r>
      <w:r w:rsidRPr="0084024F">
        <w:t xml:space="preserve"> </w:t>
      </w:r>
      <w:r w:rsidR="001530E5" w:rsidRPr="0084024F">
        <w:t xml:space="preserve">Los </w:t>
      </w:r>
      <w:r w:rsidR="00754A30" w:rsidRPr="0084024F">
        <w:t>ayuntamientos y las dependencias, organismos, órganos y entidades de la administración municipal;</w:t>
      </w:r>
    </w:p>
    <w:p w14:paraId="0667CF00" w14:textId="77777777" w:rsidR="00C82268" w:rsidRPr="0084024F" w:rsidRDefault="00C82268" w:rsidP="006922F5">
      <w:pPr>
        <w:pStyle w:val="Fundamentos"/>
      </w:pPr>
      <w:r w:rsidRPr="0084024F">
        <w:t>(…)</w:t>
      </w:r>
    </w:p>
    <w:p w14:paraId="458B21C5" w14:textId="77777777"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84024F" w:rsidRDefault="00A970D5" w:rsidP="006922F5">
      <w:pPr>
        <w:pBdr>
          <w:top w:val="nil"/>
          <w:left w:val="nil"/>
          <w:bottom w:val="nil"/>
          <w:right w:val="nil"/>
          <w:between w:val="nil"/>
        </w:pBdr>
        <w:contextualSpacing/>
        <w:rPr>
          <w:rFonts w:eastAsia="Palatino Linotype" w:cs="Palatino Linotype"/>
          <w:color w:val="000000"/>
          <w:szCs w:val="24"/>
        </w:rPr>
      </w:pPr>
      <w:r w:rsidRPr="0084024F">
        <w:rPr>
          <w:rFonts w:eastAsia="Palatino Linotype" w:cs="Palatino Linotype"/>
          <w:color w:val="000000"/>
          <w:szCs w:val="24"/>
        </w:rPr>
        <w:lastRenderedPageBreak/>
        <w:t xml:space="preserve">Es así </w:t>
      </w:r>
      <w:r w:rsidR="00D574A2" w:rsidRPr="0084024F">
        <w:rPr>
          <w:rFonts w:eastAsia="Palatino Linotype" w:cs="Palatino Linotype"/>
          <w:color w:val="000000"/>
          <w:szCs w:val="24"/>
        </w:rPr>
        <w:t>como</w:t>
      </w:r>
      <w:r w:rsidRPr="0084024F">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647A517" w14:textId="77777777" w:rsidR="00985600" w:rsidRPr="0084024F" w:rsidRDefault="00985600" w:rsidP="00985600">
      <w:pPr>
        <w:rPr>
          <w:rFonts w:cs="Arial"/>
        </w:rPr>
      </w:pPr>
    </w:p>
    <w:p w14:paraId="5595242B" w14:textId="4089A614" w:rsidR="00985600" w:rsidRPr="0084024F" w:rsidRDefault="00985600" w:rsidP="00985600">
      <w:pPr>
        <w:rPr>
          <w:rFonts w:cs="Arial"/>
          <w:lang w:val="es-MX" w:eastAsia="en-US"/>
        </w:rPr>
      </w:pPr>
      <w:r w:rsidRPr="0084024F">
        <w:rPr>
          <w:rFonts w:cs="Arial"/>
          <w:lang w:val="es-MX" w:eastAsia="en-US"/>
        </w:rPr>
        <w:t xml:space="preserve">Expuesto lo anterior, se procede al análisis de la totalidad de las constancias que integran el expediente electrónico del </w:t>
      </w:r>
      <w:r w:rsidRPr="0084024F">
        <w:rPr>
          <w:rFonts w:cs="Arial"/>
          <w:b/>
          <w:lang w:val="es-MX" w:eastAsia="en-US"/>
        </w:rPr>
        <w:t>SAIMEX</w:t>
      </w:r>
      <w:r w:rsidRPr="0084024F">
        <w:rPr>
          <w:rFonts w:cs="Arial"/>
          <w:lang w:val="es-MX" w:eastAsia="en-US"/>
        </w:rPr>
        <w:t xml:space="preserve">, a efecto de determinar si con la información remitida por </w:t>
      </w:r>
      <w:r w:rsidRPr="0084024F">
        <w:rPr>
          <w:rFonts w:cs="Arial"/>
          <w:b/>
          <w:lang w:val="es-MX" w:eastAsia="en-US"/>
        </w:rPr>
        <w:t>el Sujeto Obligado</w:t>
      </w:r>
      <w:r w:rsidRPr="0084024F">
        <w:rPr>
          <w:rFonts w:cs="Arial"/>
          <w:lang w:val="es-MX" w:eastAsia="en-US"/>
        </w:rPr>
        <w:t xml:space="preserve"> mediante respuesta primigenia</w:t>
      </w:r>
      <w:r w:rsidR="002B2AD6" w:rsidRPr="0084024F">
        <w:rPr>
          <w:rFonts w:cs="Arial"/>
          <w:lang w:val="es-MX" w:eastAsia="en-US"/>
        </w:rPr>
        <w:t xml:space="preserve"> e informe justificado</w:t>
      </w:r>
      <w:r w:rsidRPr="0084024F">
        <w:rPr>
          <w:rFonts w:cs="Arial"/>
          <w:lang w:val="es-MX" w:eastAsia="en-US"/>
        </w:rPr>
        <w:t>, se colma lo requerido 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84024F" w:rsidRDefault="00985600" w:rsidP="00985600">
      <w:pPr>
        <w:rPr>
          <w:rFonts w:cs="Arial"/>
          <w:lang w:val="es-MX" w:eastAsia="en-US"/>
        </w:rPr>
      </w:pPr>
    </w:p>
    <w:p w14:paraId="0917898B" w14:textId="6027F610" w:rsidR="002B2AD6" w:rsidRPr="0084024F" w:rsidRDefault="002B2AD6" w:rsidP="002B2AD6">
      <w:pPr>
        <w:rPr>
          <w:rFonts w:eastAsia="Palatino Linotype" w:cs="Palatino Linotype"/>
          <w:szCs w:val="24"/>
        </w:rPr>
      </w:pPr>
      <w:r w:rsidRPr="0084024F">
        <w:rPr>
          <w:rFonts w:cs="Arial"/>
          <w:lang w:val="es-MX" w:eastAsia="en-US"/>
        </w:rPr>
        <w:t>Ahora bien, respecto a la información requerida</w:t>
      </w:r>
      <w:r w:rsidRPr="0084024F">
        <w:rPr>
          <w:rFonts w:eastAsia="Palatino Linotype" w:cs="Palatino Linotype"/>
          <w:szCs w:val="24"/>
        </w:rPr>
        <w:t xml:space="preserve">, es de precisar que, el </w:t>
      </w:r>
      <w:r w:rsidRPr="0084024F">
        <w:rPr>
          <w:rFonts w:eastAsia="Palatino Linotype" w:cs="Palatino Linotype"/>
          <w:b/>
          <w:bCs/>
          <w:szCs w:val="24"/>
        </w:rPr>
        <w:t>Sujeto Obligado</w:t>
      </w:r>
      <w:r w:rsidRPr="0084024F">
        <w:rPr>
          <w:rFonts w:eastAsia="Palatino Linotype" w:cs="Palatino Linotype"/>
          <w:szCs w:val="24"/>
        </w:rPr>
        <w:t xml:space="preserve"> hizo entrega de una dirección electrónica, manifestando que en ella se encontraba en formato digital del Programa Anual de Obra, ejercicio fiscal 2025, como se advierte de la imagen que se inserta a continuación: </w:t>
      </w:r>
    </w:p>
    <w:p w14:paraId="67044B79" w14:textId="1DA286B5" w:rsidR="002B2AD6" w:rsidRPr="0084024F" w:rsidRDefault="002B2AD6" w:rsidP="002B2AD6">
      <w:pPr>
        <w:rPr>
          <w:rFonts w:eastAsia="Palatino Linotype" w:cs="Palatino Linotype"/>
          <w:szCs w:val="24"/>
        </w:rPr>
      </w:pPr>
      <w:r w:rsidRPr="0084024F">
        <w:rPr>
          <w:rFonts w:eastAsia="Palatino Linotype" w:cs="Palatino Linotype"/>
          <w:noProof/>
          <w:szCs w:val="24"/>
          <w:lang w:val="es-MX"/>
        </w:rPr>
        <mc:AlternateContent>
          <mc:Choice Requires="wps">
            <w:drawing>
              <wp:anchor distT="0" distB="0" distL="114300" distR="114300" simplePos="0" relativeHeight="251659264" behindDoc="0" locked="0" layoutInCell="1" allowOverlap="1" wp14:anchorId="7F169681" wp14:editId="738E4D70">
                <wp:simplePos x="0" y="0"/>
                <wp:positionH relativeFrom="column">
                  <wp:posOffset>36548</wp:posOffset>
                </wp:positionH>
                <wp:positionV relativeFrom="paragraph">
                  <wp:posOffset>107191</wp:posOffset>
                </wp:positionV>
                <wp:extent cx="5777713" cy="1383738"/>
                <wp:effectExtent l="0" t="0" r="71120" b="83185"/>
                <wp:wrapNone/>
                <wp:docPr id="903025074" name="Conector recto de flecha 1"/>
                <wp:cNvGraphicFramePr/>
                <a:graphic xmlns:a="http://schemas.openxmlformats.org/drawingml/2006/main">
                  <a:graphicData uri="http://schemas.microsoft.com/office/word/2010/wordprocessingShape">
                    <wps:wsp>
                      <wps:cNvCnPr/>
                      <wps:spPr>
                        <a:xfrm>
                          <a:off x="0" y="0"/>
                          <a:ext cx="5777713" cy="1383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89E311A" id="_x0000_t32" coordsize="21600,21600" o:spt="32" o:oned="t" path="m,l21600,21600e" filled="f">
                <v:path arrowok="t" fillok="f" o:connecttype="none"/>
                <o:lock v:ext="edit" shapetype="t"/>
              </v:shapetype>
              <v:shape id="Conector recto de flecha 1" o:spid="_x0000_s1026" type="#_x0000_t32" style="position:absolute;margin-left:2.9pt;margin-top:8.45pt;width:454.95pt;height:108.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" strokecolor="#5b9bd5 [3204]" strokeweight=".5pt">
                <v:stroke endarrow="block" joinstyle="miter"/>
              </v:shape>
            </w:pict>
          </mc:Fallback>
        </mc:AlternateContent>
      </w:r>
    </w:p>
    <w:p w14:paraId="2AD040B8" w14:textId="5C9EC858" w:rsidR="002B2AD6" w:rsidRPr="0084024F" w:rsidRDefault="002B2AD6" w:rsidP="002B2AD6">
      <w:pPr>
        <w:jc w:val="center"/>
        <w:rPr>
          <w:rFonts w:eastAsia="Palatino Linotype" w:cs="Palatino Linotype"/>
          <w:szCs w:val="24"/>
        </w:rPr>
      </w:pPr>
    </w:p>
    <w:p w14:paraId="1DF3719D" w14:textId="57E69639" w:rsidR="002B2AD6" w:rsidRPr="0084024F" w:rsidRDefault="002B2AD6" w:rsidP="002B2AD6">
      <w:pPr>
        <w:jc w:val="center"/>
        <w:rPr>
          <w:rFonts w:eastAsia="Palatino Linotype" w:cs="Palatino Linotype"/>
          <w:szCs w:val="24"/>
        </w:rPr>
      </w:pPr>
      <w:r w:rsidRPr="0084024F">
        <w:rPr>
          <w:rFonts w:eastAsia="Palatino Linotype" w:cs="Palatino Linotype"/>
          <w:noProof/>
          <w:szCs w:val="24"/>
          <w:lang w:val="es-MX"/>
        </w:rPr>
        <w:lastRenderedPageBreak/>
        <w:drawing>
          <wp:inline distT="0" distB="0" distL="0" distR="0" wp14:anchorId="441DEDC9" wp14:editId="27C2B8A8">
            <wp:extent cx="5611489" cy="1867475"/>
            <wp:effectExtent l="190500" t="190500" r="180340" b="190500"/>
            <wp:docPr id="2145265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65422" name=""/>
                    <pic:cNvPicPr/>
                  </pic:nvPicPr>
                  <pic:blipFill>
                    <a:blip r:embed="rId8"/>
                    <a:stretch>
                      <a:fillRect/>
                    </a:stretch>
                  </pic:blipFill>
                  <pic:spPr>
                    <a:xfrm>
                      <a:off x="0" y="0"/>
                      <a:ext cx="5626948" cy="1872620"/>
                    </a:xfrm>
                    <a:prstGeom prst="rect">
                      <a:avLst/>
                    </a:prstGeom>
                    <a:effectLst>
                      <a:outerShdw blurRad="190500" algn="ctr" rotWithShape="0">
                        <a:prstClr val="black">
                          <a:alpha val="70000"/>
                        </a:prstClr>
                      </a:outerShdw>
                    </a:effectLst>
                  </pic:spPr>
                </pic:pic>
              </a:graphicData>
            </a:graphic>
          </wp:inline>
        </w:drawing>
      </w:r>
    </w:p>
    <w:p w14:paraId="124F8B91" w14:textId="77777777" w:rsidR="002B2AD6" w:rsidRPr="0084024F" w:rsidRDefault="002B2AD6" w:rsidP="002B2AD6">
      <w:pPr>
        <w:rPr>
          <w:rFonts w:eastAsia="Palatino Linotype" w:cs="Palatino Linotype"/>
          <w:szCs w:val="24"/>
        </w:rPr>
      </w:pPr>
    </w:p>
    <w:p w14:paraId="79820AD4" w14:textId="50EA1AF5" w:rsidR="004570FA" w:rsidRPr="0084024F" w:rsidRDefault="002B2AD6" w:rsidP="00D354EA">
      <w:pPr>
        <w:rPr>
          <w:rFonts w:eastAsia="Palatino Linotype" w:cs="Palatino Linotype"/>
          <w:szCs w:val="24"/>
        </w:rPr>
      </w:pPr>
      <w:r w:rsidRPr="0084024F">
        <w:rPr>
          <w:rFonts w:eastAsia="Palatino Linotype" w:cs="Palatino Linotype"/>
          <w:szCs w:val="24"/>
        </w:rPr>
        <w:t xml:space="preserve">De la imagen referida con anterioridad, podemos advertir que, </w:t>
      </w:r>
      <w:r w:rsidRPr="0084024F">
        <w:rPr>
          <w:rFonts w:eastAsia="Palatino Linotype" w:cs="Palatino Linotype"/>
          <w:b/>
          <w:bCs/>
          <w:szCs w:val="24"/>
        </w:rPr>
        <w:t>El Sujeto Obligado</w:t>
      </w:r>
      <w:r w:rsidRPr="0084024F">
        <w:rPr>
          <w:rFonts w:eastAsia="Palatino Linotype" w:cs="Palatino Linotype"/>
          <w:szCs w:val="24"/>
        </w:rPr>
        <w:t xml:space="preserve"> remitió una liga de acceso directo en formato cerrado, que para su reproducción sería necesario el transcribir cada uno de los caracteres, ante ello, los artículos 3° fracción VIII, XVI, 24, fracción V, 41 y 160 de la Ley de Transparencia y Acceso a la Información Pública del Estado de México y Municipios, establecen que los Sujetos Obligados deben velar por la generación y entrega de la información a los particulares en formatos abiertos, con los efectos de facilitar la reutilización de la información, por lo que se le exhorta al </w:t>
      </w:r>
      <w:r w:rsidRPr="0084024F">
        <w:rPr>
          <w:rFonts w:eastAsia="Palatino Linotype" w:cs="Palatino Linotype"/>
          <w:b/>
          <w:bCs/>
          <w:szCs w:val="24"/>
        </w:rPr>
        <w:t>Sujeto Obligado</w:t>
      </w:r>
      <w:r w:rsidRPr="0084024F">
        <w:rPr>
          <w:rFonts w:eastAsia="Palatino Linotype" w:cs="Palatino Linotype"/>
          <w:szCs w:val="24"/>
        </w:rPr>
        <w:t xml:space="preserve"> que, cuando realice la entrega de la información a través de links o enlaces electrónicos, estos permitan el acceso directo y no en formato cerrado, que permita al usuario a cometer un error humano en la misma digitación de la información.</w:t>
      </w:r>
    </w:p>
    <w:p w14:paraId="7833A88F" w14:textId="77777777" w:rsidR="002B2AD6" w:rsidRPr="0084024F" w:rsidRDefault="002B2AD6" w:rsidP="00D354EA">
      <w:pPr>
        <w:rPr>
          <w:rFonts w:eastAsia="Palatino Linotype" w:cs="Palatino Linotype"/>
          <w:szCs w:val="24"/>
        </w:rPr>
      </w:pPr>
    </w:p>
    <w:p w14:paraId="6DF58E1F" w14:textId="51AED528" w:rsidR="002B2AD6" w:rsidRPr="0084024F" w:rsidRDefault="002B2AD6" w:rsidP="00D354EA">
      <w:pPr>
        <w:rPr>
          <w:rFonts w:eastAsia="Palatino Linotype" w:cs="Palatino Linotype"/>
          <w:szCs w:val="24"/>
        </w:rPr>
      </w:pPr>
      <w:r w:rsidRPr="0084024F">
        <w:rPr>
          <w:rFonts w:eastAsia="Palatino Linotype" w:cs="Palatino Linotype"/>
          <w:szCs w:val="24"/>
        </w:rPr>
        <w:t>Por otra parte, mediante la presentación de informe justificado, el Sujeto Obligado remitió un documento que en donde se advierte el presupuesto autorizado del Programa Anual de Obra</w:t>
      </w:r>
      <w:r w:rsidRPr="0084024F">
        <w:t xml:space="preserve"> del </w:t>
      </w:r>
      <w:r w:rsidRPr="0084024F">
        <w:rPr>
          <w:rFonts w:eastAsia="Palatino Linotype" w:cs="Palatino Linotype"/>
          <w:szCs w:val="24"/>
        </w:rPr>
        <w:t xml:space="preserve">Ayuntamiento de Teoloyucan correspondiente al ejercicio fiscal 2025, como se puede apreciar de la imagen que se inserta a modo de ejemplo a continuación: </w:t>
      </w:r>
    </w:p>
    <w:p w14:paraId="615B1736" w14:textId="411E35E4" w:rsidR="002B2AD6" w:rsidRPr="0084024F" w:rsidRDefault="002B2AD6" w:rsidP="00D354EA">
      <w:pPr>
        <w:rPr>
          <w:rFonts w:eastAsia="Palatino Linotype" w:cs="Palatino Linotype"/>
          <w:szCs w:val="24"/>
        </w:rPr>
      </w:pPr>
      <w:r w:rsidRPr="0084024F">
        <w:rPr>
          <w:rFonts w:eastAsia="Palatino Linotype" w:cs="Palatino Linotype"/>
          <w:noProof/>
          <w:szCs w:val="24"/>
          <w:lang w:val="es-MX"/>
        </w:rPr>
        <w:lastRenderedPageBreak/>
        <w:drawing>
          <wp:inline distT="0" distB="0" distL="0" distR="0" wp14:anchorId="3F063AF4" wp14:editId="753510BE">
            <wp:extent cx="5384912" cy="5011296"/>
            <wp:effectExtent l="190500" t="190500" r="196850" b="189865"/>
            <wp:docPr id="1046392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92036" name=""/>
                    <pic:cNvPicPr/>
                  </pic:nvPicPr>
                  <pic:blipFill>
                    <a:blip r:embed="rId9"/>
                    <a:stretch>
                      <a:fillRect/>
                    </a:stretch>
                  </pic:blipFill>
                  <pic:spPr>
                    <a:xfrm>
                      <a:off x="0" y="0"/>
                      <a:ext cx="5391892" cy="5017792"/>
                    </a:xfrm>
                    <a:prstGeom prst="rect">
                      <a:avLst/>
                    </a:prstGeom>
                    <a:effectLst>
                      <a:outerShdw blurRad="190500" algn="ctr" rotWithShape="0">
                        <a:prstClr val="black">
                          <a:alpha val="70000"/>
                        </a:prstClr>
                      </a:outerShdw>
                    </a:effectLst>
                  </pic:spPr>
                </pic:pic>
              </a:graphicData>
            </a:graphic>
          </wp:inline>
        </w:drawing>
      </w:r>
    </w:p>
    <w:p w14:paraId="3DF6769B" w14:textId="77777777" w:rsidR="002B2AD6" w:rsidRPr="0084024F" w:rsidRDefault="002B2AD6" w:rsidP="00D354EA">
      <w:pPr>
        <w:rPr>
          <w:rFonts w:eastAsia="Palatino Linotype" w:cs="Palatino Linotype"/>
          <w:szCs w:val="24"/>
        </w:rPr>
      </w:pPr>
    </w:p>
    <w:p w14:paraId="5477EACB" w14:textId="19959AF9" w:rsidR="00897350" w:rsidRPr="0084024F" w:rsidRDefault="002B2AD6" w:rsidP="00D354EA">
      <w:pPr>
        <w:rPr>
          <w:rFonts w:eastAsia="Palatino Linotype" w:cs="Palatino Linotype"/>
          <w:color w:val="000000"/>
          <w:lang w:val="es-MX"/>
        </w:rPr>
      </w:pPr>
      <w:r w:rsidRPr="0084024F">
        <w:rPr>
          <w:rFonts w:eastAsia="Palatino Linotype" w:cs="Palatino Linotype"/>
          <w:szCs w:val="24"/>
        </w:rPr>
        <w:t>De la imagen referida con anterioridad</w:t>
      </w:r>
      <w:r w:rsidR="00004063" w:rsidRPr="0084024F">
        <w:rPr>
          <w:rFonts w:eastAsia="Palatino Linotype" w:cs="Palatino Linotype"/>
          <w:szCs w:val="24"/>
        </w:rPr>
        <w:t>, se destaca que la información remitida</w:t>
      </w:r>
      <w:r w:rsidRPr="0084024F">
        <w:rPr>
          <w:rFonts w:eastAsia="Palatino Linotype" w:cs="Palatino Linotype"/>
          <w:szCs w:val="24"/>
        </w:rPr>
        <w:t xml:space="preserve"> por el </w:t>
      </w:r>
      <w:r w:rsidRPr="0084024F">
        <w:rPr>
          <w:rFonts w:eastAsia="Palatino Linotype" w:cs="Palatino Linotype"/>
          <w:b/>
          <w:bCs/>
          <w:szCs w:val="24"/>
        </w:rPr>
        <w:t>Sujeto Obligado</w:t>
      </w:r>
      <w:r w:rsidRPr="0084024F">
        <w:rPr>
          <w:rFonts w:eastAsia="Palatino Linotype" w:cs="Palatino Linotype"/>
          <w:szCs w:val="24"/>
        </w:rPr>
        <w:t>,</w:t>
      </w:r>
      <w:r w:rsidR="00004063" w:rsidRPr="0084024F">
        <w:rPr>
          <w:rFonts w:eastAsia="Palatino Linotype" w:cs="Palatino Linotype"/>
          <w:szCs w:val="24"/>
        </w:rPr>
        <w:t xml:space="preserve"> no corresponde a </w:t>
      </w:r>
      <w:r w:rsidRPr="0084024F">
        <w:rPr>
          <w:rFonts w:eastAsia="Palatino Linotype" w:cs="Palatino Linotype"/>
          <w:szCs w:val="24"/>
        </w:rPr>
        <w:t>lo solicitado</w:t>
      </w:r>
      <w:r w:rsidR="00004063" w:rsidRPr="0084024F">
        <w:rPr>
          <w:rFonts w:eastAsia="Palatino Linotype" w:cs="Palatino Linotype"/>
          <w:szCs w:val="24"/>
        </w:rPr>
        <w:t xml:space="preserve"> por el ahora </w:t>
      </w:r>
      <w:r w:rsidR="00004063" w:rsidRPr="0084024F">
        <w:rPr>
          <w:rFonts w:eastAsia="Palatino Linotype" w:cs="Palatino Linotype"/>
          <w:b/>
          <w:bCs/>
          <w:szCs w:val="24"/>
        </w:rPr>
        <w:t>Recurrente</w:t>
      </w:r>
      <w:r w:rsidR="00004063" w:rsidRPr="0084024F">
        <w:rPr>
          <w:rFonts w:eastAsia="Palatino Linotype" w:cs="Palatino Linotype"/>
          <w:szCs w:val="24"/>
        </w:rPr>
        <w:t xml:space="preserve">, ya que de la solicitud de acceso a la información, se desprende que </w:t>
      </w:r>
      <w:r w:rsidRPr="0084024F">
        <w:rPr>
          <w:rFonts w:eastAsia="Palatino Linotype" w:cs="Palatino Linotype"/>
          <w:szCs w:val="24"/>
        </w:rPr>
        <w:t>se requirió</w:t>
      </w:r>
      <w:r w:rsidR="00004063" w:rsidRPr="0084024F">
        <w:rPr>
          <w:rFonts w:eastAsia="Palatino Linotype" w:cs="Palatino Linotype"/>
          <w:szCs w:val="24"/>
        </w:rPr>
        <w:t xml:space="preserve"> </w:t>
      </w:r>
      <w:r w:rsidRPr="0084024F">
        <w:rPr>
          <w:rFonts w:eastAsia="Palatino Linotype" w:cs="Palatino Linotype"/>
          <w:szCs w:val="24"/>
        </w:rPr>
        <w:t xml:space="preserve">el </w:t>
      </w:r>
      <w:r w:rsidRPr="0084024F">
        <w:rPr>
          <w:rFonts w:eastAsia="Palatino Linotype" w:cs="Palatino Linotype"/>
          <w:szCs w:val="24"/>
          <w:u w:val="single"/>
        </w:rPr>
        <w:t>Programa Anual de Obra 2025</w:t>
      </w:r>
      <w:r w:rsidRPr="0084024F">
        <w:rPr>
          <w:rFonts w:eastAsia="Palatino Linotype" w:cs="Palatino Linotype"/>
          <w:szCs w:val="24"/>
        </w:rPr>
        <w:t xml:space="preserve">; sin embargo, el </w:t>
      </w:r>
      <w:r w:rsidRPr="0084024F">
        <w:rPr>
          <w:rFonts w:eastAsia="Palatino Linotype" w:cs="Palatino Linotype"/>
          <w:b/>
          <w:bCs/>
          <w:szCs w:val="24"/>
        </w:rPr>
        <w:t>Sujeto Obligado</w:t>
      </w:r>
      <w:r w:rsidRPr="0084024F">
        <w:rPr>
          <w:rFonts w:eastAsia="Palatino Linotype" w:cs="Palatino Linotype"/>
          <w:szCs w:val="24"/>
        </w:rPr>
        <w:t xml:space="preserve"> entregó información relacionada al</w:t>
      </w:r>
      <w:r w:rsidRPr="0084024F">
        <w:t xml:space="preserve"> </w:t>
      </w:r>
      <w:r w:rsidRPr="0084024F">
        <w:rPr>
          <w:rFonts w:eastAsia="Palatino Linotype" w:cs="Palatino Linotype"/>
          <w:szCs w:val="24"/>
          <w:u w:val="single"/>
        </w:rPr>
        <w:t>presupuesto autorizado</w:t>
      </w:r>
      <w:r w:rsidR="00EB6D1C" w:rsidRPr="0084024F">
        <w:rPr>
          <w:rFonts w:eastAsia="Palatino Linotype" w:cs="Palatino Linotype"/>
          <w:szCs w:val="24"/>
          <w:u w:val="single"/>
        </w:rPr>
        <w:t xml:space="preserve"> a la partida 6000</w:t>
      </w:r>
      <w:r w:rsidRPr="0084024F">
        <w:rPr>
          <w:rFonts w:eastAsia="Palatino Linotype" w:cs="Palatino Linotype"/>
          <w:szCs w:val="24"/>
          <w:u w:val="single"/>
        </w:rPr>
        <w:t xml:space="preserve"> del Programa Anual de Obra</w:t>
      </w:r>
      <w:r w:rsidRPr="0084024F">
        <w:rPr>
          <w:rFonts w:eastAsia="Palatino Linotype" w:cs="Palatino Linotype"/>
          <w:szCs w:val="24"/>
        </w:rPr>
        <w:t xml:space="preserve"> del Ayuntamiento </w:t>
      </w:r>
      <w:r w:rsidRPr="0084024F">
        <w:rPr>
          <w:rFonts w:eastAsia="Palatino Linotype" w:cs="Palatino Linotype"/>
          <w:szCs w:val="24"/>
        </w:rPr>
        <w:lastRenderedPageBreak/>
        <w:t>de Teoloyucan correspondiente al ejercicio fiscal 2025</w:t>
      </w:r>
      <w:r w:rsidR="00EB6D1C" w:rsidRPr="0084024F">
        <w:rPr>
          <w:rFonts w:eastAsia="Palatino Linotype" w:cs="Palatino Linotype"/>
          <w:szCs w:val="24"/>
        </w:rPr>
        <w:t xml:space="preserve">; por tal motivo, </w:t>
      </w:r>
      <w:r w:rsidRPr="0084024F">
        <w:rPr>
          <w:rFonts w:eastAsia="Palatino Linotype" w:cs="Palatino Linotype"/>
          <w:szCs w:val="24"/>
        </w:rPr>
        <w:t xml:space="preserve"> </w:t>
      </w:r>
      <w:r w:rsidR="00897350" w:rsidRPr="0084024F">
        <w:rPr>
          <w:rFonts w:eastAsia="Palatino Linotype" w:cs="Palatino Linotype"/>
          <w:color w:val="000000"/>
          <w:lang w:val="es-MX"/>
        </w:rPr>
        <w:t xml:space="preserve">no se puede tener por colmada la </w:t>
      </w:r>
      <w:r w:rsidR="00185402" w:rsidRPr="0084024F">
        <w:rPr>
          <w:rFonts w:eastAsia="Palatino Linotype" w:cs="Palatino Linotype"/>
          <w:color w:val="000000"/>
          <w:lang w:val="es-MX"/>
        </w:rPr>
        <w:t>pretensión del particular.</w:t>
      </w:r>
    </w:p>
    <w:p w14:paraId="0BC4930D" w14:textId="77777777" w:rsidR="00013ED7" w:rsidRPr="0084024F" w:rsidRDefault="00013ED7" w:rsidP="00013ED7">
      <w:pPr>
        <w:rPr>
          <w:rFonts w:eastAsia="Times New Roman" w:cs="Arial"/>
          <w:szCs w:val="24"/>
          <w:lang w:val="es-419"/>
        </w:rPr>
      </w:pPr>
    </w:p>
    <w:p w14:paraId="3C47A467" w14:textId="3622417D" w:rsidR="00EB6D1C" w:rsidRPr="0084024F" w:rsidRDefault="00004063" w:rsidP="00EB6D1C">
      <w:pPr>
        <w:rPr>
          <w:rFonts w:eastAsia="Palatino Linotype" w:cs="Palatino Linotype"/>
          <w:color w:val="000000"/>
          <w:lang w:val="es-MX"/>
        </w:rPr>
      </w:pPr>
      <w:r w:rsidRPr="0084024F">
        <w:rPr>
          <w:rFonts w:eastAsia="Times New Roman" w:cs="Arial"/>
          <w:szCs w:val="24"/>
          <w:lang w:val="es-MX"/>
        </w:rPr>
        <w:t>En ese contexto</w:t>
      </w:r>
      <w:r w:rsidR="00185402" w:rsidRPr="0084024F">
        <w:rPr>
          <w:rFonts w:eastAsia="Palatino Linotype" w:cs="Palatino Linotype"/>
          <w:color w:val="000000"/>
          <w:lang w:val="es-MX"/>
        </w:rPr>
        <w:t>, el documento</w:t>
      </w:r>
      <w:r w:rsidRPr="0084024F">
        <w:rPr>
          <w:rFonts w:eastAsia="Palatino Linotype" w:cs="Palatino Linotype"/>
          <w:color w:val="000000"/>
          <w:lang w:val="es-MX"/>
        </w:rPr>
        <w:t xml:space="preserve"> idóneo para colmar las pretensiones del Recurrente, es el</w:t>
      </w:r>
      <w:r w:rsidR="00185402" w:rsidRPr="0084024F">
        <w:rPr>
          <w:rFonts w:eastAsia="Palatino Linotype" w:cs="Palatino Linotype"/>
          <w:color w:val="000000"/>
          <w:lang w:val="es-MX"/>
        </w:rPr>
        <w:t xml:space="preserve"> denominado </w:t>
      </w:r>
      <w:r w:rsidR="00EB6D1C" w:rsidRPr="0084024F">
        <w:rPr>
          <w:rFonts w:eastAsia="Palatino Linotype" w:cs="Palatino Linotype"/>
          <w:b/>
          <w:bCs/>
          <w:color w:val="000000"/>
          <w:lang w:val="es-MX"/>
        </w:rPr>
        <w:t xml:space="preserve">Programa Anual de Obra del ejercicio fiscal 2025 </w:t>
      </w:r>
      <w:r w:rsidR="00EB6D1C" w:rsidRPr="0084024F">
        <w:rPr>
          <w:rFonts w:eastAsia="Palatino Linotype" w:cs="Palatino Linotype"/>
          <w:color w:val="000000"/>
          <w:lang w:val="es-MX"/>
        </w:rPr>
        <w:t>referido mediante respuesta por el</w:t>
      </w:r>
      <w:r w:rsidR="00EB6D1C" w:rsidRPr="0084024F">
        <w:rPr>
          <w:rFonts w:eastAsia="Palatino Linotype" w:cs="Palatino Linotype"/>
          <w:b/>
          <w:bCs/>
          <w:color w:val="000000"/>
          <w:lang w:val="es-MX"/>
        </w:rPr>
        <w:t xml:space="preserve"> Sujeto Obligado</w:t>
      </w:r>
      <w:r w:rsidRPr="0084024F">
        <w:rPr>
          <w:rFonts w:eastAsia="Palatino Linotype" w:cs="Palatino Linotype"/>
          <w:b/>
          <w:bCs/>
          <w:color w:val="000000"/>
          <w:lang w:val="es-MX"/>
        </w:rPr>
        <w:t xml:space="preserve">, </w:t>
      </w:r>
      <w:r w:rsidRPr="0084024F">
        <w:rPr>
          <w:rFonts w:eastAsia="Palatino Linotype" w:cs="Palatino Linotype"/>
          <w:color w:val="000000"/>
          <w:lang w:val="es-MX"/>
        </w:rPr>
        <w:t>que</w:t>
      </w:r>
      <w:r w:rsidR="00185402" w:rsidRPr="0084024F">
        <w:rPr>
          <w:rFonts w:eastAsia="Palatino Linotype" w:cs="Palatino Linotype"/>
          <w:color w:val="000000"/>
          <w:lang w:val="es-MX"/>
        </w:rPr>
        <w:t xml:space="preserve"> </w:t>
      </w:r>
      <w:r w:rsidR="00EB6D1C" w:rsidRPr="0084024F">
        <w:rPr>
          <w:rFonts w:cs="Arial"/>
          <w:lang w:val="es-MX"/>
        </w:rPr>
        <w:t xml:space="preserve">debe obrar en los archivos del </w:t>
      </w:r>
      <w:r w:rsidR="00EB6D1C" w:rsidRPr="0084024F">
        <w:rPr>
          <w:rFonts w:cs="Arial"/>
          <w:b/>
          <w:bCs/>
          <w:lang w:val="es-MX"/>
        </w:rPr>
        <w:t>Sujeto Obligado</w:t>
      </w:r>
      <w:r w:rsidR="00EB6D1C" w:rsidRPr="0084024F">
        <w:rPr>
          <w:rFonts w:cs="Arial"/>
          <w:lang w:val="es-MX"/>
        </w:rPr>
        <w:t xml:space="preserve">, conforme a </w:t>
      </w:r>
      <w:r w:rsidR="00EB6D1C" w:rsidRPr="0084024F">
        <w:rPr>
          <w:rFonts w:cs="Arial"/>
        </w:rPr>
        <w:t xml:space="preserve">lo dispuesto en el Libro Décimo Segundo del Código Administrativo del Estado de México, el cual refiere: </w:t>
      </w:r>
    </w:p>
    <w:p w14:paraId="237AC639" w14:textId="77777777" w:rsidR="00EB6D1C" w:rsidRPr="0084024F" w:rsidRDefault="00EB6D1C" w:rsidP="00EB6D1C">
      <w:pPr>
        <w:tabs>
          <w:tab w:val="left" w:pos="8647"/>
        </w:tabs>
        <w:ind w:right="51"/>
        <w:rPr>
          <w:rFonts w:cs="Arial"/>
        </w:rPr>
      </w:pPr>
    </w:p>
    <w:p w14:paraId="38132D62" w14:textId="77777777" w:rsidR="00EB6D1C" w:rsidRPr="0084024F" w:rsidRDefault="00EB6D1C" w:rsidP="009E0EDF">
      <w:pPr>
        <w:spacing w:line="240" w:lineRule="auto"/>
        <w:ind w:left="851" w:right="901"/>
        <w:rPr>
          <w:i/>
          <w:sz w:val="22"/>
        </w:rPr>
      </w:pPr>
      <w:r w:rsidRPr="0084024F">
        <w:rPr>
          <w:i/>
          <w:sz w:val="22"/>
        </w:rPr>
        <w:t>“</w:t>
      </w:r>
      <w:r w:rsidRPr="0084024F">
        <w:rPr>
          <w:b/>
          <w:bCs/>
          <w:i/>
          <w:sz w:val="22"/>
        </w:rPr>
        <w:t>Artículo 12.1</w:t>
      </w:r>
      <w:r w:rsidRPr="0084024F">
        <w:rPr>
          <w:i/>
          <w:sz w:val="22"/>
        </w:rPr>
        <w:t xml:space="preserve">.- </w:t>
      </w:r>
      <w:r w:rsidRPr="0084024F">
        <w:rPr>
          <w:b/>
          <w:i/>
          <w:sz w:val="22"/>
        </w:rPr>
        <w:t>Este Libro tiene por objeto regular los actos relativos a la planeación, programación, presupuestación, adjudicación, contratación, ejecución y control de la obra pública, así como los servicios relacionados con la misma que, por sí o por conducto de terceros, realicen</w:t>
      </w:r>
      <w:r w:rsidRPr="0084024F">
        <w:rPr>
          <w:i/>
          <w:sz w:val="22"/>
        </w:rPr>
        <w:t xml:space="preserve">: </w:t>
      </w:r>
    </w:p>
    <w:p w14:paraId="52C0D6AD" w14:textId="77777777" w:rsidR="00EB6D1C" w:rsidRPr="0084024F" w:rsidRDefault="00EB6D1C" w:rsidP="009E0EDF">
      <w:pPr>
        <w:spacing w:line="240" w:lineRule="auto"/>
        <w:ind w:left="851" w:right="901"/>
        <w:rPr>
          <w:i/>
          <w:sz w:val="22"/>
        </w:rPr>
      </w:pPr>
      <w:r w:rsidRPr="0084024F">
        <w:rPr>
          <w:i/>
          <w:sz w:val="22"/>
        </w:rPr>
        <w:t>(…)</w:t>
      </w:r>
    </w:p>
    <w:p w14:paraId="4AF88F07" w14:textId="77777777" w:rsidR="00EB6D1C" w:rsidRPr="0084024F" w:rsidRDefault="00EB6D1C" w:rsidP="009E0EDF">
      <w:pPr>
        <w:spacing w:line="240" w:lineRule="auto"/>
        <w:ind w:left="851" w:right="901"/>
        <w:rPr>
          <w:i/>
          <w:sz w:val="22"/>
        </w:rPr>
      </w:pPr>
      <w:r w:rsidRPr="0084024F">
        <w:rPr>
          <w:i/>
          <w:sz w:val="22"/>
        </w:rPr>
        <w:t xml:space="preserve">III. </w:t>
      </w:r>
      <w:r w:rsidRPr="0084024F">
        <w:rPr>
          <w:b/>
          <w:i/>
          <w:sz w:val="22"/>
        </w:rPr>
        <w:t>Los ayuntamientos de los municipios del Estado</w:t>
      </w:r>
      <w:r w:rsidRPr="0084024F">
        <w:rPr>
          <w:i/>
          <w:sz w:val="22"/>
        </w:rPr>
        <w:t xml:space="preserve">; </w:t>
      </w:r>
    </w:p>
    <w:p w14:paraId="3C93D3C3" w14:textId="77777777" w:rsidR="00EB6D1C" w:rsidRPr="0084024F" w:rsidRDefault="00EB6D1C" w:rsidP="009E0EDF">
      <w:pPr>
        <w:spacing w:line="240" w:lineRule="auto"/>
        <w:ind w:left="851" w:right="901"/>
        <w:rPr>
          <w:i/>
          <w:sz w:val="22"/>
        </w:rPr>
      </w:pPr>
      <w:r w:rsidRPr="0084024F">
        <w:rPr>
          <w:i/>
          <w:sz w:val="22"/>
        </w:rPr>
        <w:t>(…)</w:t>
      </w:r>
    </w:p>
    <w:p w14:paraId="0E2FBFFA" w14:textId="77777777" w:rsidR="00EB6D1C" w:rsidRPr="0084024F" w:rsidRDefault="00EB6D1C" w:rsidP="009E0EDF">
      <w:pPr>
        <w:spacing w:line="240" w:lineRule="auto"/>
        <w:ind w:left="851" w:right="901"/>
        <w:rPr>
          <w:i/>
          <w:sz w:val="22"/>
        </w:rPr>
      </w:pPr>
      <w:r w:rsidRPr="0084024F">
        <w:rPr>
          <w:b/>
          <w:i/>
          <w:sz w:val="22"/>
        </w:rPr>
        <w:t xml:space="preserve">Artículo 12.4.- Se considera obra pública todo trabajo que tenga por objeto principal </w:t>
      </w:r>
      <w:r w:rsidRPr="0084024F">
        <w:rPr>
          <w:b/>
          <w:bCs/>
          <w:i/>
          <w:sz w:val="22"/>
        </w:rPr>
        <w:t>construir, instalar</w:t>
      </w:r>
      <w:r w:rsidRPr="0084024F">
        <w:rPr>
          <w:i/>
          <w:sz w:val="22"/>
        </w:rPr>
        <w:t xml:space="preserve">, </w:t>
      </w:r>
      <w:r w:rsidRPr="0084024F">
        <w:rPr>
          <w:b/>
          <w:i/>
          <w:sz w:val="22"/>
        </w:rPr>
        <w:t>ampliar, adecuar, remodelar, restaurar</w:t>
      </w:r>
      <w:r w:rsidRPr="0084024F">
        <w:rPr>
          <w:i/>
          <w:sz w:val="22"/>
        </w:rPr>
        <w:t xml:space="preserve">, conservar, mantener, </w:t>
      </w:r>
      <w:r w:rsidRPr="0084024F">
        <w:rPr>
          <w:b/>
          <w:i/>
          <w:sz w:val="22"/>
        </w:rPr>
        <w:t>modificar o demoler bienes inmuebles propiedad del Estado, de sus dependencias y entidades y de los municipios</w:t>
      </w:r>
      <w:r w:rsidRPr="0084024F">
        <w:rPr>
          <w:i/>
          <w:sz w:val="22"/>
        </w:rPr>
        <w:t xml:space="preserve"> y sus organismos con cargo </w:t>
      </w:r>
      <w:r w:rsidRPr="0084024F">
        <w:rPr>
          <w:b/>
          <w:i/>
          <w:sz w:val="22"/>
        </w:rPr>
        <w:t>a recursos públicos estatales o municipales.</w:t>
      </w:r>
      <w:r w:rsidRPr="0084024F">
        <w:rPr>
          <w:i/>
          <w:sz w:val="22"/>
        </w:rPr>
        <w:t xml:space="preserve"> </w:t>
      </w:r>
    </w:p>
    <w:p w14:paraId="58E48F05" w14:textId="77777777" w:rsidR="00EB6D1C" w:rsidRPr="0084024F" w:rsidRDefault="00EB6D1C" w:rsidP="009E0EDF">
      <w:pPr>
        <w:spacing w:line="240" w:lineRule="auto"/>
        <w:ind w:left="851" w:right="901"/>
        <w:rPr>
          <w:i/>
          <w:sz w:val="22"/>
        </w:rPr>
      </w:pPr>
    </w:p>
    <w:p w14:paraId="534F8B4E" w14:textId="77777777" w:rsidR="00EB6D1C" w:rsidRPr="0084024F" w:rsidRDefault="00EB6D1C" w:rsidP="009E0EDF">
      <w:pPr>
        <w:spacing w:line="240" w:lineRule="auto"/>
        <w:ind w:left="851" w:right="899"/>
        <w:rPr>
          <w:b/>
          <w:i/>
          <w:sz w:val="22"/>
          <w:lang w:val="es-MX"/>
        </w:rPr>
      </w:pPr>
      <w:r w:rsidRPr="0084024F">
        <w:rPr>
          <w:b/>
          <w:i/>
          <w:sz w:val="22"/>
          <w:lang w:val="es-MX"/>
        </w:rPr>
        <w:t>Artículo 12.8.-</w:t>
      </w:r>
      <w:r w:rsidRPr="0084024F">
        <w:rPr>
          <w:i/>
          <w:sz w:val="22"/>
          <w:lang w:val="es-MX"/>
        </w:rPr>
        <w:t xml:space="preserve"> </w:t>
      </w:r>
      <w:r w:rsidRPr="0084024F">
        <w:rPr>
          <w:b/>
          <w:i/>
          <w:sz w:val="22"/>
          <w:lang w:val="es-MX"/>
        </w:rPr>
        <w:t>Corresponde</w:t>
      </w:r>
      <w:r w:rsidRPr="0084024F">
        <w:rPr>
          <w:i/>
          <w:sz w:val="22"/>
          <w:lang w:val="es-MX"/>
        </w:rPr>
        <w:t xml:space="preserve"> a la Secretaría del Ramo y </w:t>
      </w:r>
      <w:r w:rsidRPr="0084024F">
        <w:rPr>
          <w:b/>
          <w:i/>
          <w:sz w:val="22"/>
          <w:lang w:val="es-MX"/>
        </w:rPr>
        <w:t>a los ayuntamientos</w:t>
      </w:r>
      <w:r w:rsidRPr="0084024F">
        <w:rPr>
          <w:i/>
          <w:sz w:val="22"/>
          <w:lang w:val="es-MX"/>
        </w:rPr>
        <w:t xml:space="preserve">, en el ámbito de sus respectivas competencias, </w:t>
      </w:r>
      <w:r w:rsidRPr="0084024F">
        <w:rPr>
          <w:b/>
          <w:bCs/>
          <w:i/>
          <w:sz w:val="22"/>
          <w:lang w:val="es-MX"/>
        </w:rPr>
        <w:t>ejecutar la obra pública</w:t>
      </w:r>
      <w:r w:rsidRPr="0084024F">
        <w:rPr>
          <w:i/>
          <w:sz w:val="22"/>
          <w:lang w:val="es-MX"/>
        </w:rPr>
        <w:t xml:space="preserve">, </w:t>
      </w:r>
      <w:r w:rsidRPr="0084024F">
        <w:rPr>
          <w:b/>
          <w:i/>
          <w:sz w:val="22"/>
          <w:lang w:val="es-MX"/>
        </w:rPr>
        <w:t>mediante contrato con terceros o por administración directa</w:t>
      </w:r>
      <w:r w:rsidRPr="0084024F">
        <w:rPr>
          <w:i/>
          <w:sz w:val="22"/>
          <w:lang w:val="es-MX"/>
        </w:rPr>
        <w:t>.</w:t>
      </w:r>
    </w:p>
    <w:p w14:paraId="2DA01D08" w14:textId="77777777" w:rsidR="00EB6D1C" w:rsidRPr="0084024F" w:rsidRDefault="00EB6D1C" w:rsidP="009E0EDF">
      <w:pPr>
        <w:spacing w:line="240" w:lineRule="auto"/>
        <w:ind w:left="851" w:right="899"/>
        <w:rPr>
          <w:i/>
          <w:sz w:val="22"/>
          <w:lang w:val="es-MX"/>
        </w:rPr>
      </w:pPr>
      <w:r w:rsidRPr="0084024F">
        <w:rPr>
          <w:b/>
          <w:bCs/>
          <w:i/>
          <w:sz w:val="22"/>
          <w:lang w:val="es-MX"/>
        </w:rPr>
        <w:t>La Secretaría del Ramo podrá autorizar a las dependencias y entidades estatales, a ejecutar obras, por contrato o por administración directa, cuando a su juicio éstas cuenten con elementos propios y organización necesarios</w:t>
      </w:r>
      <w:r w:rsidRPr="0084024F">
        <w:rPr>
          <w:i/>
          <w:sz w:val="22"/>
          <w:lang w:val="es-MX"/>
        </w:rPr>
        <w:t>. El acuerdo de autorización deberá publicarse en la Gaceta del Gobierno.</w:t>
      </w:r>
    </w:p>
    <w:p w14:paraId="728692BF" w14:textId="77777777" w:rsidR="00EB6D1C" w:rsidRPr="0084024F" w:rsidRDefault="00EB6D1C" w:rsidP="009E0EDF">
      <w:pPr>
        <w:spacing w:line="240" w:lineRule="auto"/>
        <w:ind w:left="851" w:right="899"/>
        <w:rPr>
          <w:i/>
          <w:sz w:val="22"/>
          <w:lang w:val="es-MX"/>
        </w:rPr>
      </w:pPr>
    </w:p>
    <w:p w14:paraId="2FB8973C" w14:textId="77777777" w:rsidR="00EB6D1C" w:rsidRPr="0084024F" w:rsidRDefault="00EB6D1C" w:rsidP="009E0EDF">
      <w:pPr>
        <w:spacing w:line="240" w:lineRule="auto"/>
        <w:ind w:left="851" w:right="899"/>
        <w:rPr>
          <w:b/>
          <w:i/>
          <w:sz w:val="22"/>
          <w:lang w:val="es-MX"/>
        </w:rPr>
      </w:pPr>
      <w:r w:rsidRPr="0084024F">
        <w:rPr>
          <w:bCs/>
          <w:i/>
          <w:sz w:val="22"/>
          <w:lang w:val="es-MX"/>
        </w:rPr>
        <w:t>Lo dispuesto en el párrafo anterior será aplicable a los ayuntamientos, tratándose de la realización de obras con cargo a fondos estatales total o parcialmente</w:t>
      </w:r>
      <w:r w:rsidRPr="0084024F">
        <w:rPr>
          <w:b/>
          <w:i/>
          <w:sz w:val="22"/>
          <w:lang w:val="es-MX"/>
        </w:rPr>
        <w:t>.</w:t>
      </w:r>
    </w:p>
    <w:p w14:paraId="578E975C" w14:textId="77777777" w:rsidR="00EB6D1C" w:rsidRPr="0084024F" w:rsidRDefault="00EB6D1C" w:rsidP="009E0EDF">
      <w:pPr>
        <w:spacing w:line="240" w:lineRule="auto"/>
        <w:ind w:left="851" w:right="899"/>
        <w:rPr>
          <w:i/>
          <w:sz w:val="22"/>
          <w:lang w:val="es-MX"/>
        </w:rPr>
      </w:pPr>
    </w:p>
    <w:p w14:paraId="145197F7" w14:textId="77777777" w:rsidR="00EB6D1C" w:rsidRPr="0084024F" w:rsidRDefault="00EB6D1C" w:rsidP="009E0EDF">
      <w:pPr>
        <w:spacing w:line="240" w:lineRule="auto"/>
        <w:ind w:left="851" w:right="899"/>
        <w:rPr>
          <w:b/>
          <w:bCs/>
          <w:i/>
          <w:sz w:val="22"/>
          <w:lang w:val="es-MX"/>
        </w:rPr>
      </w:pPr>
      <w:r w:rsidRPr="0084024F">
        <w:rPr>
          <w:b/>
          <w:bCs/>
          <w:i/>
          <w:sz w:val="22"/>
          <w:lang w:val="es-MX"/>
        </w:rPr>
        <w:lastRenderedPageBreak/>
        <w:t>Para la mejor planeación de la obra pública en el Estado, las dependencias, entidades y ayuntamientos que ejecuten obra, deberán dar aviso a la Secretaría del Ramo, de sus proyectos y programación de ejecución, independientemente del origen de los recursos.</w:t>
      </w:r>
    </w:p>
    <w:p w14:paraId="193F95A8" w14:textId="77777777" w:rsidR="00EB6D1C" w:rsidRPr="0084024F" w:rsidRDefault="00EB6D1C" w:rsidP="009E0EDF">
      <w:pPr>
        <w:spacing w:line="240" w:lineRule="auto"/>
        <w:ind w:left="851" w:right="899"/>
        <w:rPr>
          <w:b/>
          <w:i/>
          <w:sz w:val="22"/>
          <w:lang w:val="es-MX"/>
        </w:rPr>
      </w:pPr>
    </w:p>
    <w:p w14:paraId="375D06FA" w14:textId="77777777" w:rsidR="00EB6D1C" w:rsidRPr="0084024F" w:rsidRDefault="00EB6D1C" w:rsidP="009E0EDF">
      <w:pPr>
        <w:spacing w:line="240" w:lineRule="auto"/>
        <w:ind w:left="851" w:right="899"/>
        <w:rPr>
          <w:i/>
          <w:sz w:val="22"/>
          <w:lang w:val="es-MX"/>
        </w:rPr>
      </w:pPr>
      <w:r w:rsidRPr="0084024F">
        <w:rPr>
          <w:b/>
          <w:i/>
          <w:sz w:val="22"/>
          <w:lang w:val="es-MX"/>
        </w:rPr>
        <w:t>Artículo 12.20.-</w:t>
      </w:r>
      <w:r w:rsidRPr="0084024F">
        <w:rPr>
          <w:i/>
          <w:sz w:val="22"/>
          <w:lang w:val="es-MX"/>
        </w:rPr>
        <w:t xml:space="preserve"> </w:t>
      </w:r>
      <w:r w:rsidRPr="0084024F">
        <w:rPr>
          <w:b/>
          <w:i/>
          <w:sz w:val="22"/>
          <w:lang w:val="es-MX"/>
        </w:rPr>
        <w:t>Los contratos a que se refiere este Libro, se adjudicarán a través de licitaciones públicas</w:t>
      </w:r>
      <w:r w:rsidRPr="0084024F">
        <w:rPr>
          <w:i/>
          <w:sz w:val="22"/>
          <w:lang w:val="es-MX"/>
        </w:rPr>
        <w:t>, mediante convocatoria pública.</w:t>
      </w:r>
    </w:p>
    <w:p w14:paraId="06E18076" w14:textId="77777777" w:rsidR="00EB6D1C" w:rsidRPr="0084024F" w:rsidRDefault="00EB6D1C" w:rsidP="009E0EDF">
      <w:pPr>
        <w:spacing w:line="240" w:lineRule="auto"/>
        <w:ind w:left="851" w:right="899"/>
        <w:rPr>
          <w:b/>
          <w:i/>
          <w:sz w:val="22"/>
          <w:lang w:val="es-MX"/>
        </w:rPr>
      </w:pPr>
    </w:p>
    <w:p w14:paraId="1409E7F7" w14:textId="77777777" w:rsidR="00EB6D1C" w:rsidRPr="0084024F" w:rsidRDefault="00EB6D1C" w:rsidP="009E0EDF">
      <w:pPr>
        <w:spacing w:line="240" w:lineRule="auto"/>
        <w:ind w:left="851" w:right="899"/>
        <w:rPr>
          <w:b/>
          <w:i/>
          <w:sz w:val="22"/>
          <w:lang w:val="es-MX"/>
        </w:rPr>
      </w:pPr>
      <w:r w:rsidRPr="0084024F">
        <w:rPr>
          <w:b/>
          <w:i/>
          <w:sz w:val="22"/>
          <w:lang w:val="es-MX"/>
        </w:rPr>
        <w:t>Artículo 12.21.-</w:t>
      </w:r>
      <w:r w:rsidRPr="0084024F">
        <w:rPr>
          <w:i/>
          <w:sz w:val="22"/>
          <w:lang w:val="es-MX"/>
        </w:rPr>
        <w:t xml:space="preserve"> Las dependencias, entidades y </w:t>
      </w:r>
      <w:r w:rsidRPr="0084024F">
        <w:rPr>
          <w:b/>
          <w:i/>
          <w:sz w:val="22"/>
          <w:lang w:val="es-MX"/>
        </w:rPr>
        <w:t>ayuntamientos podrán adjudicar contratos para la ejecución de obra pública o servicios</w:t>
      </w:r>
      <w:r w:rsidRPr="0084024F">
        <w:rPr>
          <w:i/>
          <w:sz w:val="22"/>
          <w:lang w:val="es-MX"/>
        </w:rPr>
        <w:t xml:space="preserve"> </w:t>
      </w:r>
      <w:r w:rsidRPr="0084024F">
        <w:rPr>
          <w:b/>
          <w:bCs/>
          <w:i/>
          <w:sz w:val="22"/>
          <w:lang w:val="es-MX"/>
        </w:rPr>
        <w:t>relacionados con la misma</w:t>
      </w:r>
      <w:r w:rsidRPr="0084024F">
        <w:rPr>
          <w:i/>
          <w:sz w:val="22"/>
          <w:lang w:val="es-MX"/>
        </w:rPr>
        <w:t xml:space="preserve"> mediante las excepciones al procedimiento de licitación siguientes</w:t>
      </w:r>
      <w:r w:rsidRPr="0084024F">
        <w:rPr>
          <w:b/>
          <w:i/>
          <w:sz w:val="22"/>
          <w:lang w:val="es-MX"/>
        </w:rPr>
        <w:t>:</w:t>
      </w:r>
    </w:p>
    <w:p w14:paraId="5B14B1F1" w14:textId="77777777" w:rsidR="00EB6D1C" w:rsidRPr="0084024F" w:rsidRDefault="00EB6D1C" w:rsidP="009E0EDF">
      <w:pPr>
        <w:spacing w:line="240" w:lineRule="auto"/>
        <w:ind w:left="851" w:right="899"/>
        <w:rPr>
          <w:i/>
          <w:sz w:val="22"/>
          <w:lang w:val="es-MX"/>
        </w:rPr>
      </w:pPr>
      <w:r w:rsidRPr="0084024F">
        <w:rPr>
          <w:b/>
          <w:i/>
          <w:sz w:val="22"/>
          <w:lang w:val="es-MX"/>
        </w:rPr>
        <w:t>I. Invitación restringida</w:t>
      </w:r>
      <w:r w:rsidRPr="0084024F">
        <w:rPr>
          <w:i/>
          <w:sz w:val="22"/>
          <w:lang w:val="es-MX"/>
        </w:rPr>
        <w:t>;</w:t>
      </w:r>
    </w:p>
    <w:p w14:paraId="43FB41C4" w14:textId="77777777" w:rsidR="00EB6D1C" w:rsidRPr="0084024F" w:rsidRDefault="00EB6D1C" w:rsidP="009E0EDF">
      <w:pPr>
        <w:spacing w:line="240" w:lineRule="auto"/>
        <w:ind w:left="851" w:right="899"/>
        <w:rPr>
          <w:i/>
          <w:sz w:val="22"/>
          <w:lang w:val="es-MX"/>
        </w:rPr>
      </w:pPr>
      <w:r w:rsidRPr="0084024F">
        <w:rPr>
          <w:b/>
          <w:i/>
          <w:sz w:val="22"/>
          <w:lang w:val="es-MX"/>
        </w:rPr>
        <w:t>II. Adjudicación directa</w:t>
      </w:r>
      <w:r w:rsidRPr="0084024F">
        <w:rPr>
          <w:i/>
          <w:sz w:val="22"/>
          <w:lang w:val="es-MX"/>
        </w:rPr>
        <w:t>.</w:t>
      </w:r>
    </w:p>
    <w:p w14:paraId="1916E687" w14:textId="77777777" w:rsidR="00EB6D1C" w:rsidRPr="0084024F" w:rsidRDefault="00EB6D1C" w:rsidP="009E0EDF">
      <w:pPr>
        <w:spacing w:line="240" w:lineRule="auto"/>
        <w:ind w:left="851" w:right="899"/>
        <w:rPr>
          <w:b/>
          <w:i/>
          <w:sz w:val="22"/>
          <w:lang w:val="es-MX"/>
        </w:rPr>
      </w:pPr>
    </w:p>
    <w:p w14:paraId="1E969938" w14:textId="77777777" w:rsidR="00EB6D1C" w:rsidRPr="0084024F" w:rsidRDefault="00EB6D1C" w:rsidP="009E0EDF">
      <w:pPr>
        <w:spacing w:line="240" w:lineRule="auto"/>
        <w:ind w:left="851" w:right="899"/>
        <w:rPr>
          <w:b/>
          <w:i/>
          <w:sz w:val="22"/>
          <w:lang w:val="es-MX"/>
        </w:rPr>
      </w:pPr>
      <w:r w:rsidRPr="0084024F">
        <w:rPr>
          <w:b/>
          <w:i/>
          <w:sz w:val="22"/>
          <w:lang w:val="es-MX"/>
        </w:rPr>
        <w:t>Artículo 12.38.-</w:t>
      </w:r>
      <w:r w:rsidRPr="0084024F">
        <w:rPr>
          <w:i/>
          <w:sz w:val="22"/>
          <w:lang w:val="es-MX"/>
        </w:rPr>
        <w:t xml:space="preserve"> </w:t>
      </w:r>
      <w:r w:rsidRPr="0084024F">
        <w:rPr>
          <w:b/>
          <w:i/>
          <w:sz w:val="22"/>
          <w:lang w:val="es-MX"/>
        </w:rPr>
        <w:t>La adjudicación de la obra</w:t>
      </w:r>
      <w:r w:rsidRPr="0084024F">
        <w:rPr>
          <w:i/>
          <w:sz w:val="22"/>
          <w:lang w:val="es-MX"/>
        </w:rPr>
        <w:t xml:space="preserve"> o servicios relacionados con la misma </w:t>
      </w:r>
      <w:r w:rsidRPr="0084024F">
        <w:rPr>
          <w:b/>
          <w:i/>
          <w:sz w:val="22"/>
          <w:lang w:val="es-MX"/>
        </w:rPr>
        <w:t>obligará a</w:t>
      </w:r>
      <w:r w:rsidRPr="0084024F">
        <w:rPr>
          <w:i/>
          <w:sz w:val="22"/>
          <w:lang w:val="es-MX"/>
        </w:rPr>
        <w:t xml:space="preserve"> la dependencia, entidad o </w:t>
      </w:r>
      <w:r w:rsidRPr="0084024F">
        <w:rPr>
          <w:b/>
          <w:i/>
          <w:sz w:val="22"/>
          <w:lang w:val="es-MX"/>
        </w:rPr>
        <w:t>ayuntamiento y a la persona en que hubiere recaído, a suscribir el contrato respectivo dentro de los diez días hábiles siguientes al de la notificación del fallo.</w:t>
      </w:r>
    </w:p>
    <w:p w14:paraId="1280BA76" w14:textId="77777777" w:rsidR="00EB6D1C" w:rsidRPr="0084024F" w:rsidRDefault="00EB6D1C" w:rsidP="009E0EDF">
      <w:pPr>
        <w:spacing w:line="240" w:lineRule="auto"/>
        <w:ind w:left="851" w:right="899"/>
        <w:rPr>
          <w:i/>
          <w:sz w:val="22"/>
          <w:lang w:val="es-MX"/>
        </w:rPr>
      </w:pPr>
      <w:r w:rsidRPr="0084024F">
        <w:rPr>
          <w:i/>
          <w:sz w:val="22"/>
          <w:lang w:val="es-MX"/>
        </w:rPr>
        <w:t>Si la dependencia, entidad o ayuntamiento no firmare el contrato dentro del plazo a que se refiere el párrafo anterior, el licitante ganador podrá exigir que se le cubran los gastos que realizo en preparar y elaborar su propuesta.</w:t>
      </w:r>
    </w:p>
    <w:p w14:paraId="6F7DEE6C" w14:textId="77777777" w:rsidR="00EB6D1C" w:rsidRPr="0084024F" w:rsidRDefault="00EB6D1C" w:rsidP="009E0EDF">
      <w:pPr>
        <w:spacing w:line="240" w:lineRule="auto"/>
        <w:ind w:left="851" w:right="899"/>
        <w:rPr>
          <w:b/>
          <w:i/>
          <w:sz w:val="22"/>
          <w:lang w:val="es-MX"/>
        </w:rPr>
      </w:pPr>
    </w:p>
    <w:p w14:paraId="4D308FDB" w14:textId="77777777" w:rsidR="00EB6D1C" w:rsidRPr="0084024F" w:rsidRDefault="00EB6D1C" w:rsidP="009E0EDF">
      <w:pPr>
        <w:spacing w:line="240" w:lineRule="auto"/>
        <w:ind w:left="851" w:right="899"/>
        <w:rPr>
          <w:i/>
          <w:sz w:val="22"/>
          <w:lang w:val="es-MX"/>
        </w:rPr>
      </w:pPr>
      <w:r w:rsidRPr="0084024F">
        <w:rPr>
          <w:b/>
          <w:i/>
          <w:sz w:val="22"/>
          <w:lang w:val="es-MX"/>
        </w:rPr>
        <w:t>Artículo 12.60.-</w:t>
      </w:r>
      <w:r w:rsidRPr="0084024F">
        <w:rPr>
          <w:i/>
          <w:sz w:val="22"/>
          <w:lang w:val="es-MX"/>
        </w:rPr>
        <w:t xml:space="preserve"> Las dependencias, entidades y </w:t>
      </w:r>
      <w:r w:rsidRPr="0084024F">
        <w:rPr>
          <w:b/>
          <w:i/>
          <w:sz w:val="22"/>
          <w:lang w:val="es-MX"/>
        </w:rPr>
        <w:t>ayuntamientos podrán realizar obras por administración directa, siempre que posean la capacidad técnica y los elementos necesarios, consistentes en: maquinaria y equipo de construcción, personal técnico, trabajadores y materiales y podrán</w:t>
      </w:r>
      <w:r w:rsidRPr="0084024F">
        <w:rPr>
          <w:i/>
          <w:sz w:val="22"/>
          <w:lang w:val="es-MX"/>
        </w:rPr>
        <w:t>:</w:t>
      </w:r>
    </w:p>
    <w:p w14:paraId="5B0BB0AE" w14:textId="77777777" w:rsidR="00EB6D1C" w:rsidRPr="0084024F" w:rsidRDefault="00EB6D1C" w:rsidP="009E0EDF">
      <w:pPr>
        <w:tabs>
          <w:tab w:val="left" w:pos="1134"/>
        </w:tabs>
        <w:spacing w:line="240" w:lineRule="auto"/>
        <w:ind w:left="851" w:right="899"/>
        <w:rPr>
          <w:i/>
          <w:sz w:val="22"/>
          <w:lang w:val="es-MX"/>
        </w:rPr>
      </w:pPr>
      <w:r w:rsidRPr="0084024F">
        <w:rPr>
          <w:i/>
          <w:sz w:val="22"/>
          <w:lang w:val="es-MX"/>
        </w:rPr>
        <w:t>I.</w:t>
      </w:r>
      <w:r w:rsidRPr="0084024F">
        <w:rPr>
          <w:i/>
          <w:sz w:val="22"/>
          <w:lang w:val="es-MX"/>
        </w:rPr>
        <w:tab/>
        <w:t xml:space="preserve">Utilizar mano de obra local complementaria, la que necesariamente deberá contratarse por obra determinada; </w:t>
      </w:r>
    </w:p>
    <w:p w14:paraId="6A85E12B" w14:textId="77777777" w:rsidR="00EB6D1C" w:rsidRPr="0084024F" w:rsidRDefault="00EB6D1C" w:rsidP="009E0EDF">
      <w:pPr>
        <w:tabs>
          <w:tab w:val="left" w:pos="1134"/>
        </w:tabs>
        <w:spacing w:line="240" w:lineRule="auto"/>
        <w:ind w:left="851" w:right="899"/>
        <w:rPr>
          <w:i/>
          <w:sz w:val="22"/>
          <w:lang w:val="es-MX"/>
        </w:rPr>
      </w:pPr>
      <w:r w:rsidRPr="0084024F">
        <w:rPr>
          <w:i/>
          <w:sz w:val="22"/>
          <w:lang w:val="es-MX"/>
        </w:rPr>
        <w:t>II.</w:t>
      </w:r>
      <w:r w:rsidRPr="0084024F">
        <w:rPr>
          <w:i/>
          <w:sz w:val="22"/>
          <w:lang w:val="es-MX"/>
        </w:rPr>
        <w:tab/>
        <w:t>Alquilar equipo y maquinaria de construcción complementaria;</w:t>
      </w:r>
    </w:p>
    <w:p w14:paraId="2D1C2648" w14:textId="77777777" w:rsidR="00EB6D1C" w:rsidRPr="0084024F" w:rsidRDefault="00EB6D1C" w:rsidP="009E0EDF">
      <w:pPr>
        <w:tabs>
          <w:tab w:val="left" w:pos="1134"/>
        </w:tabs>
        <w:spacing w:line="240" w:lineRule="auto"/>
        <w:ind w:left="851" w:right="899"/>
        <w:rPr>
          <w:i/>
          <w:sz w:val="22"/>
          <w:lang w:val="es-MX"/>
        </w:rPr>
      </w:pPr>
      <w:r w:rsidRPr="0084024F">
        <w:rPr>
          <w:i/>
          <w:sz w:val="22"/>
          <w:lang w:val="es-MX"/>
        </w:rPr>
        <w:t>III.</w:t>
      </w:r>
      <w:r w:rsidRPr="0084024F">
        <w:rPr>
          <w:i/>
          <w:sz w:val="22"/>
          <w:lang w:val="es-MX"/>
        </w:rPr>
        <w:tab/>
        <w:t>Utilizar preferentemente los materiales de la región;</w:t>
      </w:r>
    </w:p>
    <w:p w14:paraId="2BF57512" w14:textId="77777777" w:rsidR="00EB6D1C" w:rsidRPr="0084024F" w:rsidRDefault="00EB6D1C" w:rsidP="009E0EDF">
      <w:pPr>
        <w:tabs>
          <w:tab w:val="left" w:pos="1134"/>
        </w:tabs>
        <w:spacing w:line="240" w:lineRule="auto"/>
        <w:ind w:left="851" w:right="899"/>
        <w:rPr>
          <w:i/>
          <w:sz w:val="22"/>
          <w:lang w:val="es-MX"/>
        </w:rPr>
      </w:pPr>
      <w:r w:rsidRPr="0084024F">
        <w:rPr>
          <w:i/>
          <w:sz w:val="22"/>
          <w:lang w:val="es-MX"/>
        </w:rPr>
        <w:t>IV.</w:t>
      </w:r>
      <w:r w:rsidRPr="0084024F">
        <w:rPr>
          <w:i/>
          <w:sz w:val="22"/>
          <w:lang w:val="es-MX"/>
        </w:rPr>
        <w:tab/>
        <w:t>Contratar equipos, instrumentos, elementos prefabricados terminados y materiales u otros bienes que deban ser instalados, montados, colocados o aplicados;</w:t>
      </w:r>
    </w:p>
    <w:p w14:paraId="0298F003" w14:textId="77777777" w:rsidR="00EB6D1C" w:rsidRPr="0084024F" w:rsidRDefault="00EB6D1C" w:rsidP="009E0EDF">
      <w:pPr>
        <w:tabs>
          <w:tab w:val="left" w:pos="1134"/>
        </w:tabs>
        <w:spacing w:line="240" w:lineRule="auto"/>
        <w:ind w:left="851" w:right="899"/>
        <w:rPr>
          <w:i/>
          <w:sz w:val="22"/>
          <w:lang w:val="es-MX"/>
        </w:rPr>
      </w:pPr>
      <w:r w:rsidRPr="0084024F">
        <w:rPr>
          <w:i/>
          <w:sz w:val="22"/>
          <w:lang w:val="es-MX"/>
        </w:rPr>
        <w:t>V.</w:t>
      </w:r>
      <w:r w:rsidRPr="0084024F">
        <w:rPr>
          <w:i/>
          <w:sz w:val="22"/>
          <w:lang w:val="es-MX"/>
        </w:rPr>
        <w:tab/>
        <w:t>Utilizar servicios de fletes y acarreos complementarios.</w:t>
      </w:r>
    </w:p>
    <w:p w14:paraId="403C469B" w14:textId="77777777" w:rsidR="00EB6D1C" w:rsidRPr="0084024F" w:rsidRDefault="00EB6D1C" w:rsidP="009E0EDF">
      <w:pPr>
        <w:spacing w:line="240" w:lineRule="auto"/>
        <w:ind w:left="851" w:right="899"/>
        <w:rPr>
          <w:i/>
          <w:sz w:val="22"/>
          <w:lang w:val="es-MX"/>
        </w:rPr>
      </w:pPr>
      <w:r w:rsidRPr="0084024F">
        <w:rPr>
          <w:rFonts w:cs="Arial"/>
          <w:i/>
          <w:sz w:val="22"/>
          <w:lang w:val="es-MX"/>
        </w:rPr>
        <w:t>[…]</w:t>
      </w:r>
    </w:p>
    <w:p w14:paraId="636D85E5" w14:textId="77777777" w:rsidR="00EB6D1C" w:rsidRPr="0084024F" w:rsidRDefault="00EB6D1C" w:rsidP="009E0EDF">
      <w:pPr>
        <w:spacing w:line="240" w:lineRule="auto"/>
        <w:ind w:left="851" w:right="899"/>
        <w:rPr>
          <w:b/>
          <w:i/>
          <w:sz w:val="22"/>
          <w:lang w:val="es-MX"/>
        </w:rPr>
      </w:pPr>
      <w:r w:rsidRPr="0084024F">
        <w:rPr>
          <w:b/>
          <w:i/>
          <w:sz w:val="22"/>
          <w:lang w:val="es-MX"/>
        </w:rPr>
        <w:t>Artículo 12.64.-</w:t>
      </w:r>
      <w:r w:rsidRPr="0084024F">
        <w:rPr>
          <w:i/>
          <w:sz w:val="22"/>
          <w:lang w:val="es-MX"/>
        </w:rPr>
        <w:t xml:space="preserve"> Las dependencias, entidades y </w:t>
      </w:r>
      <w:r w:rsidRPr="0084024F">
        <w:rPr>
          <w:b/>
          <w:i/>
          <w:sz w:val="22"/>
          <w:lang w:val="es-MX"/>
        </w:rPr>
        <w:t>ayuntamientos conservarán, archivando en forma ordenada la documentación comprobatoria de los actos y contratos materia de este Libro, cuando menos por el lapso de cinco años, contados a partir de la fecha de la recepción de los trabajos</w:t>
      </w:r>
      <w:r w:rsidRPr="0084024F">
        <w:rPr>
          <w:i/>
          <w:sz w:val="22"/>
          <w:lang w:val="es-MX"/>
        </w:rPr>
        <w:t>.</w:t>
      </w:r>
    </w:p>
    <w:p w14:paraId="7BB68E03" w14:textId="77777777" w:rsidR="00EB6D1C" w:rsidRPr="0084024F" w:rsidRDefault="00EB6D1C" w:rsidP="009E0EDF">
      <w:pPr>
        <w:spacing w:line="240" w:lineRule="auto"/>
        <w:ind w:left="851" w:right="899"/>
        <w:rPr>
          <w:rFonts w:cs="Arial"/>
          <w:sz w:val="22"/>
          <w:lang w:val="es-MX"/>
        </w:rPr>
      </w:pPr>
    </w:p>
    <w:p w14:paraId="2572F18B" w14:textId="77777777" w:rsidR="00EB6D1C" w:rsidRPr="0084024F" w:rsidRDefault="00EB6D1C" w:rsidP="009E0EDF">
      <w:pPr>
        <w:spacing w:line="240" w:lineRule="auto"/>
        <w:ind w:left="851" w:right="899"/>
        <w:rPr>
          <w:i/>
          <w:sz w:val="22"/>
          <w:lang w:val="es-MX"/>
        </w:rPr>
      </w:pPr>
      <w:r w:rsidRPr="0084024F">
        <w:rPr>
          <w:i/>
          <w:sz w:val="22"/>
          <w:lang w:val="es-MX"/>
        </w:rPr>
        <w:lastRenderedPageBreak/>
        <w:t>(Énfasis añadido)</w:t>
      </w:r>
    </w:p>
    <w:p w14:paraId="45A91D10" w14:textId="77777777" w:rsidR="00EB6D1C" w:rsidRPr="0084024F" w:rsidRDefault="00EB6D1C" w:rsidP="00EB6D1C">
      <w:pPr>
        <w:ind w:left="851" w:right="901"/>
        <w:rPr>
          <w:i/>
          <w:sz w:val="22"/>
        </w:rPr>
      </w:pPr>
    </w:p>
    <w:p w14:paraId="03CCD82A" w14:textId="77777777" w:rsidR="00EB6D1C" w:rsidRPr="0084024F" w:rsidRDefault="00EB6D1C" w:rsidP="00EB6D1C">
      <w:pPr>
        <w:ind w:right="899"/>
        <w:rPr>
          <w:b/>
          <w:i/>
          <w:sz w:val="22"/>
          <w:lang w:val="es-MX"/>
        </w:rPr>
      </w:pPr>
    </w:p>
    <w:p w14:paraId="648D8591"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t xml:space="preserve">De los preceptos referidos, advertimos que se considera obra pública todo trabajo que tenga por objeto principal construir, instalar, ampliar, adecuar, remodelar, restaurar, conservar, mantener, modificar o demoler bienes inmuebles propiedad del Estado, de sus dependencias y entidades y de los municipios. </w:t>
      </w:r>
    </w:p>
    <w:p w14:paraId="244A025D" w14:textId="77777777" w:rsidR="00EB6D1C" w:rsidRPr="0084024F" w:rsidRDefault="00EB6D1C" w:rsidP="00EB6D1C">
      <w:pPr>
        <w:autoSpaceDE w:val="0"/>
        <w:autoSpaceDN w:val="0"/>
        <w:adjustRightInd w:val="0"/>
        <w:rPr>
          <w:rFonts w:cs="Arial"/>
          <w:lang w:val="es-MX" w:eastAsia="en-US"/>
        </w:rPr>
      </w:pPr>
    </w:p>
    <w:p w14:paraId="464978D6"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t xml:space="preserve">En ese orden de ideas y como se ha demostrado en párrafos que preceden, </w:t>
      </w:r>
      <w:r w:rsidRPr="0084024F">
        <w:rPr>
          <w:rFonts w:cs="Arial"/>
          <w:b/>
          <w:lang w:val="es-MX" w:eastAsia="en-US"/>
        </w:rPr>
        <w:t>El Sujeto Obligado</w:t>
      </w:r>
      <w:r w:rsidRPr="0084024F">
        <w:rPr>
          <w:rFonts w:cs="Arial"/>
          <w:lang w:val="es-MX" w:eastAsia="en-US"/>
        </w:rPr>
        <w:t xml:space="preserve"> debe administrar la ejecución y control de las obras públicas municipales, mismas que deben estar contempladas en su presupuesto en la asignación de recursos para gastos e inversiones.</w:t>
      </w:r>
    </w:p>
    <w:p w14:paraId="0BAD756C" w14:textId="77777777" w:rsidR="00EB6D1C" w:rsidRPr="0084024F" w:rsidRDefault="00EB6D1C" w:rsidP="00EB6D1C">
      <w:pPr>
        <w:autoSpaceDE w:val="0"/>
        <w:autoSpaceDN w:val="0"/>
        <w:adjustRightInd w:val="0"/>
        <w:rPr>
          <w:rFonts w:cs="Arial"/>
          <w:lang w:val="es-MX" w:eastAsia="en-US"/>
        </w:rPr>
      </w:pPr>
    </w:p>
    <w:p w14:paraId="187E753F" w14:textId="77777777" w:rsidR="00EB6D1C" w:rsidRPr="0084024F" w:rsidRDefault="00EB6D1C" w:rsidP="00EB6D1C">
      <w:pPr>
        <w:autoSpaceDE w:val="0"/>
        <w:autoSpaceDN w:val="0"/>
        <w:adjustRightInd w:val="0"/>
        <w:rPr>
          <w:rFonts w:cs="Arial"/>
          <w:b/>
          <w:bCs/>
          <w:lang w:val="es-MX" w:eastAsia="en-US"/>
        </w:rPr>
      </w:pPr>
      <w:r w:rsidRPr="0084024F">
        <w:rPr>
          <w:rFonts w:cs="Arial"/>
          <w:lang w:val="es-MX" w:eastAsia="en-US"/>
        </w:rPr>
        <w:t xml:space="preserve">Continuando con el análisis de los preceptos referidos, podemos advertir que le corresponde a los Ayuntamientos el ejecutar la obra pública mediante contrato por terceros o por administración directa, para lo cual, en ambos casos los ayuntamientos que ejecuten obras públicas, deberán dar aviso a la Secretaría de Obra Pública, de sus proyectos y programación de ejecución, </w:t>
      </w:r>
      <w:r w:rsidRPr="0084024F">
        <w:rPr>
          <w:rFonts w:cs="Arial"/>
          <w:b/>
          <w:bCs/>
          <w:lang w:val="es-MX" w:eastAsia="en-US"/>
        </w:rPr>
        <w:t>independientemente del origen de los recursos.</w:t>
      </w:r>
    </w:p>
    <w:p w14:paraId="4664B087" w14:textId="77777777" w:rsidR="00EB6D1C" w:rsidRPr="0084024F" w:rsidRDefault="00EB6D1C" w:rsidP="00EB6D1C">
      <w:pPr>
        <w:autoSpaceDE w:val="0"/>
        <w:autoSpaceDN w:val="0"/>
        <w:adjustRightInd w:val="0"/>
        <w:rPr>
          <w:rFonts w:cs="Arial"/>
          <w:b/>
          <w:bCs/>
          <w:lang w:val="es-MX" w:eastAsia="en-US"/>
        </w:rPr>
      </w:pPr>
    </w:p>
    <w:p w14:paraId="1FD4FF31"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t>Asimismo, se establece que, para el caso de la ejecución de obra pública mediante contrato, estas se adjudicarán a través de licitación públicas, mediante convocatoria pública, o en su caso, mediante las excepciones al procedimiento de licitación, siendo estas, la invitación restringida y adjudicación directa.</w:t>
      </w:r>
    </w:p>
    <w:p w14:paraId="494EAD9A" w14:textId="77777777" w:rsidR="00EB6D1C" w:rsidRPr="0084024F" w:rsidRDefault="00EB6D1C" w:rsidP="00EB6D1C">
      <w:pPr>
        <w:autoSpaceDE w:val="0"/>
        <w:autoSpaceDN w:val="0"/>
        <w:adjustRightInd w:val="0"/>
        <w:rPr>
          <w:rFonts w:cs="Arial"/>
          <w:lang w:val="es-MX" w:eastAsia="en-US"/>
        </w:rPr>
      </w:pPr>
    </w:p>
    <w:p w14:paraId="6A66CCA0"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lastRenderedPageBreak/>
        <w:t>De igual forma, estipula que las dependencias, entidades y ayuntamientos podrán realizar obras por administración directa, siempre que posean la capacidad técnica y los elementos necesarios, consistentes en: maquinaria y equipo de construcción, personal técnico, trabajadores y materiales.</w:t>
      </w:r>
    </w:p>
    <w:p w14:paraId="04C5149C" w14:textId="77777777" w:rsidR="00EB6D1C" w:rsidRPr="0084024F" w:rsidRDefault="00EB6D1C" w:rsidP="00EB6D1C">
      <w:pPr>
        <w:autoSpaceDE w:val="0"/>
        <w:autoSpaceDN w:val="0"/>
        <w:adjustRightInd w:val="0"/>
        <w:rPr>
          <w:rFonts w:cs="Arial"/>
          <w:lang w:val="es-MX" w:eastAsia="en-US"/>
        </w:rPr>
      </w:pPr>
    </w:p>
    <w:p w14:paraId="17B4492A"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t>Así, para cualquiera de las modalidades descritas con anterioridad, el Ayuntamiento tiene la obligación de conservar el archivo de forma ordenada, de la documentación comprobatoria de los actos y contratos de la ejecución de obras, cuando menos por el lapso de cinco años, contados a partir de la fecha de la recepción de los trabajos.</w:t>
      </w:r>
    </w:p>
    <w:p w14:paraId="7A679557" w14:textId="77777777" w:rsidR="00EB6D1C" w:rsidRPr="0084024F" w:rsidRDefault="00EB6D1C" w:rsidP="00EB6D1C">
      <w:pPr>
        <w:autoSpaceDE w:val="0"/>
        <w:autoSpaceDN w:val="0"/>
        <w:adjustRightInd w:val="0"/>
        <w:rPr>
          <w:rFonts w:cs="Arial"/>
          <w:lang w:val="es-MX" w:eastAsia="en-US"/>
        </w:rPr>
      </w:pPr>
    </w:p>
    <w:p w14:paraId="72D91693" w14:textId="77777777" w:rsidR="00EB6D1C" w:rsidRPr="0084024F" w:rsidRDefault="00EB6D1C" w:rsidP="00EB6D1C">
      <w:pPr>
        <w:autoSpaceDE w:val="0"/>
        <w:autoSpaceDN w:val="0"/>
        <w:adjustRightInd w:val="0"/>
        <w:rPr>
          <w:rFonts w:cs="Arial"/>
          <w:lang w:val="es-MX" w:eastAsia="en-US"/>
        </w:rPr>
      </w:pPr>
      <w:r w:rsidRPr="0084024F">
        <w:rPr>
          <w:rFonts w:cs="Arial"/>
          <w:lang w:val="es-MX" w:eastAsia="en-US"/>
        </w:rPr>
        <w:t xml:space="preserve">En ese orden de ideas, advertimos que para ejecución de obras públicas, estas pudieron realizarse a través de </w:t>
      </w:r>
      <w:r w:rsidRPr="0084024F">
        <w:rPr>
          <w:rFonts w:cs="Arial"/>
          <w:u w:val="single"/>
          <w:lang w:val="es-MX" w:eastAsia="en-US"/>
        </w:rPr>
        <w:t>invitación restringida, adjudicación directa o administración directa</w:t>
      </w:r>
      <w:r w:rsidRPr="0084024F">
        <w:rPr>
          <w:rFonts w:cs="Arial"/>
          <w:lang w:val="es-MX" w:eastAsia="en-US"/>
        </w:rPr>
        <w:t>, y por ende, cuenta con la atribución de autorizar la entrega de recursos públicos municipales, además contar con los registros contables, financieros y administrativos, que pudieran soportar la ejecución de la obra en referencia.</w:t>
      </w:r>
    </w:p>
    <w:p w14:paraId="0D43FBDE" w14:textId="77777777" w:rsidR="00EB6D1C" w:rsidRPr="0084024F" w:rsidRDefault="00EB6D1C" w:rsidP="00EB6D1C">
      <w:pPr>
        <w:autoSpaceDE w:val="0"/>
        <w:autoSpaceDN w:val="0"/>
        <w:adjustRightInd w:val="0"/>
        <w:rPr>
          <w:rFonts w:cs="Arial"/>
          <w:lang w:val="es-MX" w:eastAsia="en-US"/>
        </w:rPr>
      </w:pPr>
    </w:p>
    <w:p w14:paraId="04222DDF" w14:textId="5543D097" w:rsidR="00EB6D1C" w:rsidRPr="0084024F" w:rsidRDefault="00EB6D1C" w:rsidP="00EB6D1C">
      <w:pPr>
        <w:rPr>
          <w:rFonts w:eastAsia="Palatino Linotype" w:cs="Palatino Linotype"/>
        </w:rPr>
      </w:pPr>
      <w:r w:rsidRPr="0084024F">
        <w:rPr>
          <w:rFonts w:eastAsia="Palatino Linotype" w:cs="Palatino Linotype"/>
        </w:rPr>
        <w:t>Aunado a lo antes señalado, el Manual para la Planeación, Programación y Presupuesto de Egresos Municipal para el Ejercicio Fiscal 202</w:t>
      </w:r>
      <w:r w:rsidR="009E0EDF" w:rsidRPr="0084024F">
        <w:rPr>
          <w:rFonts w:eastAsia="Palatino Linotype" w:cs="Palatino Linotype"/>
        </w:rPr>
        <w:t>5</w:t>
      </w:r>
      <w:r w:rsidRPr="0084024F">
        <w:rPr>
          <w:rFonts w:eastAsia="Palatino Linotype" w:cs="Palatino Linotype"/>
        </w:rPr>
        <w:t>, se establece lo siguiente:</w:t>
      </w:r>
    </w:p>
    <w:p w14:paraId="2E467CA9" w14:textId="77777777" w:rsidR="00EB6D1C" w:rsidRPr="0084024F" w:rsidRDefault="00EB6D1C" w:rsidP="00EB6D1C">
      <w:pPr>
        <w:rPr>
          <w:rFonts w:eastAsia="Palatino Linotype" w:cs="Palatino Linotype"/>
        </w:rPr>
      </w:pPr>
    </w:p>
    <w:p w14:paraId="61291F28" w14:textId="77777777" w:rsidR="00EB6D1C" w:rsidRPr="0084024F" w:rsidRDefault="00EB6D1C" w:rsidP="00EB6D1C">
      <w:pPr>
        <w:ind w:left="567" w:right="567"/>
        <w:rPr>
          <w:rFonts w:eastAsia="Palatino Linotype"/>
          <w:b/>
          <w:bCs/>
          <w:i/>
          <w:sz w:val="22"/>
        </w:rPr>
      </w:pPr>
      <w:r w:rsidRPr="0084024F">
        <w:rPr>
          <w:rFonts w:eastAsia="Palatino Linotype"/>
          <w:b/>
          <w:bCs/>
          <w:i/>
          <w:sz w:val="22"/>
        </w:rPr>
        <w:t>Capítulo 6000 Inversión Pública:</w:t>
      </w:r>
    </w:p>
    <w:p w14:paraId="019D317A" w14:textId="77777777" w:rsidR="00EB6D1C" w:rsidRPr="0084024F" w:rsidRDefault="00EB6D1C" w:rsidP="00EB6D1C">
      <w:pPr>
        <w:ind w:left="567" w:right="567"/>
        <w:rPr>
          <w:rFonts w:eastAsia="Palatino Linotype"/>
          <w:i/>
          <w:sz w:val="22"/>
        </w:rPr>
      </w:pPr>
    </w:p>
    <w:p w14:paraId="067FD709" w14:textId="5FDACAC6" w:rsidR="00EB6D1C" w:rsidRPr="0084024F" w:rsidRDefault="009E0EDF" w:rsidP="00EB6D1C">
      <w:pPr>
        <w:ind w:left="567" w:right="567"/>
        <w:rPr>
          <w:rFonts w:eastAsia="Palatino Linotype"/>
          <w:i/>
          <w:sz w:val="22"/>
        </w:rPr>
      </w:pPr>
      <w:r w:rsidRPr="0084024F">
        <w:rPr>
          <w:rFonts w:eastAsia="Palatino Linotype"/>
          <w:b/>
          <w:bCs/>
          <w:i/>
          <w:sz w:val="22"/>
        </w:rPr>
        <w:t xml:space="preserve">Los recursos de inversión para obra pública serán asignados a las unidades responsables de la ejecución de obras y/o servicios que conforman el gobierno municipal, quienes lo programarán para un ejercicio con estricto apego a la </w:t>
      </w:r>
      <w:r w:rsidRPr="0084024F">
        <w:rPr>
          <w:rFonts w:eastAsia="Palatino Linotype"/>
          <w:b/>
          <w:bCs/>
          <w:i/>
          <w:sz w:val="22"/>
        </w:rPr>
        <w:lastRenderedPageBreak/>
        <w:t>normatividad en la materia; para ello,</w:t>
      </w:r>
      <w:r w:rsidRPr="0084024F">
        <w:rPr>
          <w:rFonts w:eastAsia="Palatino Linotype"/>
          <w:b/>
          <w:bCs/>
          <w:i/>
          <w:sz w:val="22"/>
          <w:u w:val="single"/>
        </w:rPr>
        <w:t xml:space="preserve"> elaborarán un Programa Anual de Obras </w:t>
      </w:r>
      <w:r w:rsidRPr="0084024F">
        <w:rPr>
          <w:rFonts w:eastAsia="Palatino Linotype"/>
          <w:i/>
          <w:sz w:val="22"/>
        </w:rPr>
        <w:t>específico, alineado al Plan de Desarrollo Municipal. En el caso de que se presupueste la ejecución de obras públicas mediante convenios con otros sectores públicos y privados, se deberá identificar el estimado de recursos que se aportarán por cada uno de los sectores.</w:t>
      </w:r>
    </w:p>
    <w:p w14:paraId="7116AC73" w14:textId="77777777" w:rsidR="009E0EDF" w:rsidRPr="0084024F" w:rsidRDefault="009E0EDF" w:rsidP="00EB6D1C">
      <w:pPr>
        <w:ind w:left="567" w:right="567"/>
        <w:rPr>
          <w:rFonts w:eastAsia="Palatino Linotype"/>
          <w:i/>
          <w:sz w:val="22"/>
        </w:rPr>
      </w:pPr>
    </w:p>
    <w:p w14:paraId="0CF6AB69" w14:textId="77777777" w:rsidR="009E0EDF" w:rsidRPr="0084024F" w:rsidRDefault="009E0EDF" w:rsidP="00EB6D1C">
      <w:pPr>
        <w:ind w:left="567" w:right="567"/>
        <w:rPr>
          <w:rFonts w:eastAsia="Palatino Linotype"/>
          <w:i/>
          <w:sz w:val="22"/>
        </w:rPr>
      </w:pPr>
      <w:r w:rsidRPr="0084024F">
        <w:rPr>
          <w:rFonts w:eastAsia="Palatino Linotype"/>
          <w:i/>
          <w:sz w:val="22"/>
        </w:rPr>
        <w:t xml:space="preserve">Los recursos de inversión que se autoricen se destinarán principalmente a: </w:t>
      </w:r>
    </w:p>
    <w:p w14:paraId="5CEBAEA8" w14:textId="77777777" w:rsidR="009E0EDF" w:rsidRPr="0084024F" w:rsidRDefault="009E0EDF" w:rsidP="00EB6D1C">
      <w:pPr>
        <w:ind w:left="567" w:right="567"/>
        <w:rPr>
          <w:rFonts w:eastAsia="Palatino Linotype"/>
          <w:i/>
          <w:sz w:val="22"/>
        </w:rPr>
      </w:pPr>
    </w:p>
    <w:p w14:paraId="672F9CF8" w14:textId="28A5CA02" w:rsidR="009E0EDF" w:rsidRPr="0084024F" w:rsidRDefault="009E0EDF" w:rsidP="009E0EDF">
      <w:pPr>
        <w:ind w:left="567" w:right="567"/>
        <w:rPr>
          <w:rFonts w:eastAsia="Palatino Linotype"/>
          <w:i/>
          <w:sz w:val="22"/>
        </w:rPr>
      </w:pPr>
      <w:r w:rsidRPr="0084024F">
        <w:rPr>
          <w:rFonts w:eastAsia="Palatino Linotype"/>
          <w:i/>
          <w:sz w:val="22"/>
        </w:rPr>
        <w:t xml:space="preserve">• La terminación de las obras públicas en proceso. </w:t>
      </w:r>
    </w:p>
    <w:p w14:paraId="0B1AC43B" w14:textId="77777777" w:rsidR="009E0EDF" w:rsidRPr="0084024F" w:rsidRDefault="009E0EDF" w:rsidP="00EB6D1C">
      <w:pPr>
        <w:ind w:left="567" w:right="567"/>
        <w:rPr>
          <w:rFonts w:eastAsia="Palatino Linotype"/>
          <w:i/>
          <w:sz w:val="22"/>
        </w:rPr>
      </w:pPr>
      <w:r w:rsidRPr="0084024F">
        <w:rPr>
          <w:rFonts w:eastAsia="Palatino Linotype"/>
          <w:i/>
          <w:sz w:val="22"/>
        </w:rPr>
        <w:t xml:space="preserve">• La asignación de recursos a nuevos proyectos se fundamentará en criterios que garanticen el cumplimiento de las demandas de la sociedad establecidas en el Plan de Desarrollo Municipal, o bien, por nuevos requerimientos que apruebe el Ayuntamiento. </w:t>
      </w:r>
    </w:p>
    <w:p w14:paraId="3780D55C" w14:textId="77777777" w:rsidR="009E0EDF" w:rsidRPr="0084024F" w:rsidRDefault="009E0EDF" w:rsidP="009E0EDF">
      <w:pPr>
        <w:ind w:left="567" w:right="567"/>
        <w:rPr>
          <w:rFonts w:eastAsia="Palatino Linotype"/>
          <w:i/>
          <w:sz w:val="22"/>
        </w:rPr>
      </w:pPr>
      <w:r w:rsidRPr="0084024F">
        <w:rPr>
          <w:rFonts w:eastAsia="Palatino Linotype"/>
          <w:i/>
          <w:sz w:val="22"/>
        </w:rPr>
        <w:t>• Los proyectos de obra pública deberán ser evaluados social y económicamente para identificar la relación costo-beneficio de los mismos y señalar posibles fuentes financieras de acuerdo a sus características, así como la justificación de su prioridad.</w:t>
      </w:r>
    </w:p>
    <w:p w14:paraId="039DB8AE" w14:textId="77777777" w:rsidR="009E0EDF" w:rsidRPr="0084024F" w:rsidRDefault="009E0EDF" w:rsidP="009E0EDF">
      <w:pPr>
        <w:ind w:left="567" w:right="567"/>
        <w:rPr>
          <w:rFonts w:eastAsia="Palatino Linotype"/>
          <w:i/>
          <w:sz w:val="22"/>
        </w:rPr>
      </w:pPr>
    </w:p>
    <w:p w14:paraId="0899B532" w14:textId="54C2A5CE" w:rsidR="00EB6D1C" w:rsidRPr="0084024F" w:rsidRDefault="009E0EDF" w:rsidP="009E0EDF">
      <w:pPr>
        <w:ind w:left="567" w:right="567"/>
        <w:rPr>
          <w:rFonts w:eastAsia="Palatino Linotype"/>
          <w:i/>
          <w:sz w:val="22"/>
        </w:rPr>
      </w:pPr>
      <w:r w:rsidRPr="0084024F">
        <w:rPr>
          <w:rFonts w:eastAsia="Palatino Linotype"/>
          <w:i/>
          <w:sz w:val="22"/>
        </w:rPr>
        <w:t>Cuando existan obras cuya ejecución requiera varios ejercicios presupuestarios, las dependencias deberán presentar a la Tesorería, el programa de ejecución de la obra en donde se establezcan claramente los plazos para su ejecución, identificando la fase a realizar en el presente año. Dicho documento, servirá para integrar el expediente técnico.</w:t>
      </w:r>
    </w:p>
    <w:p w14:paraId="0BC8F69D" w14:textId="77777777" w:rsidR="00EB6D1C" w:rsidRPr="0084024F" w:rsidRDefault="00EB6D1C" w:rsidP="00EB6D1C">
      <w:pPr>
        <w:rPr>
          <w:rFonts w:eastAsia="Palatino Linotype" w:cs="Palatino Linotype"/>
        </w:rPr>
      </w:pPr>
    </w:p>
    <w:p w14:paraId="533C60AC" w14:textId="29EEB0B6" w:rsidR="009E0EDF" w:rsidRPr="0084024F" w:rsidRDefault="00EB6D1C" w:rsidP="00EB6D1C">
      <w:pPr>
        <w:rPr>
          <w:rFonts w:eastAsia="Palatino Linotype" w:cs="Palatino Linotype"/>
        </w:rPr>
      </w:pPr>
      <w:r w:rsidRPr="0084024F">
        <w:rPr>
          <w:rFonts w:eastAsia="Palatino Linotype" w:cs="Palatino Linotype"/>
        </w:rPr>
        <w:t xml:space="preserve">Asimismo, se estipuló que para la presentación del Presupuesto de Egresos Municipal ante el Órgano Superior de Fiscalización del Estado de México (OSFEM), se deberá contar con diversa información impresa, entre la que se encuentra el </w:t>
      </w:r>
      <w:r w:rsidRPr="0084024F">
        <w:rPr>
          <w:rFonts w:eastAsia="Palatino Linotype" w:cs="Palatino Linotype"/>
          <w:b/>
          <w:bCs/>
        </w:rPr>
        <w:t>Programa Anual de Obra PbRM-07a</w:t>
      </w:r>
      <w:r w:rsidRPr="0084024F">
        <w:rPr>
          <w:rFonts w:eastAsia="Palatino Linotype" w:cs="Palatino Linotype"/>
        </w:rPr>
        <w:t xml:space="preserve"> y el </w:t>
      </w:r>
      <w:r w:rsidRPr="0084024F">
        <w:rPr>
          <w:rFonts w:eastAsia="Palatino Linotype" w:cs="Palatino Linotype"/>
          <w:b/>
          <w:bCs/>
        </w:rPr>
        <w:t>Programa Anual de Obras (Reparaciones y Mantenimiento) PbRM-07b</w:t>
      </w:r>
      <w:r w:rsidRPr="0084024F">
        <w:rPr>
          <w:rFonts w:eastAsia="Palatino Linotype" w:cs="Palatino Linotype"/>
        </w:rPr>
        <w:t>, los cuales deberán contener los siguientes elementos:</w:t>
      </w:r>
    </w:p>
    <w:p w14:paraId="4961B18F" w14:textId="40514DFD" w:rsidR="009E0EDF" w:rsidRPr="0084024F" w:rsidRDefault="009E0EDF" w:rsidP="009E0EDF">
      <w:pPr>
        <w:jc w:val="center"/>
        <w:rPr>
          <w:rFonts w:eastAsia="Palatino Linotype" w:cs="Palatino Linotype"/>
        </w:rPr>
      </w:pPr>
      <w:r w:rsidRPr="0084024F">
        <w:rPr>
          <w:rFonts w:cs="Arial"/>
          <w:noProof/>
          <w:lang w:val="es-MX"/>
        </w:rPr>
        <w:lastRenderedPageBreak/>
        <mc:AlternateContent>
          <mc:Choice Requires="wps">
            <w:drawing>
              <wp:anchor distT="0" distB="0" distL="114300" distR="114300" simplePos="0" relativeHeight="251665408" behindDoc="0" locked="0" layoutInCell="1" allowOverlap="1" wp14:anchorId="4DECD251" wp14:editId="2E5C1661">
                <wp:simplePos x="0" y="0"/>
                <wp:positionH relativeFrom="margin">
                  <wp:align>center</wp:align>
                </wp:positionH>
                <wp:positionV relativeFrom="paragraph">
                  <wp:posOffset>4311206</wp:posOffset>
                </wp:positionV>
                <wp:extent cx="2459917" cy="264171"/>
                <wp:effectExtent l="19050" t="19050" r="17145" b="21590"/>
                <wp:wrapNone/>
                <wp:docPr id="1896390371" name="Rectángulo 1896390371"/>
                <wp:cNvGraphicFramePr/>
                <a:graphic xmlns:a="http://schemas.openxmlformats.org/drawingml/2006/main">
                  <a:graphicData uri="http://schemas.microsoft.com/office/word/2010/wordprocessingShape">
                    <wps:wsp>
                      <wps:cNvSpPr/>
                      <wps:spPr>
                        <a:xfrm>
                          <a:off x="0" y="0"/>
                          <a:ext cx="2459917" cy="264171"/>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CF783A3" id="Rectángulo 1896390371" o:spid="_x0000_s1026" style="position:absolute;margin-left:0;margin-top:339.45pt;width:193.7pt;height:20.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" filled="f" strokecolor="red" strokeweight="3pt">
                <w10:wrap anchorx="margin"/>
              </v:rect>
            </w:pict>
          </mc:Fallback>
        </mc:AlternateContent>
      </w:r>
      <w:r w:rsidRPr="0084024F">
        <w:rPr>
          <w:rFonts w:cs="Arial"/>
          <w:noProof/>
          <w:lang w:val="es-MX"/>
        </w:rPr>
        <mc:AlternateContent>
          <mc:Choice Requires="wps">
            <w:drawing>
              <wp:anchor distT="0" distB="0" distL="114300" distR="114300" simplePos="0" relativeHeight="251663360" behindDoc="0" locked="0" layoutInCell="1" allowOverlap="1" wp14:anchorId="3FD5042A" wp14:editId="08953D3A">
                <wp:simplePos x="0" y="0"/>
                <wp:positionH relativeFrom="margin">
                  <wp:posOffset>2394197</wp:posOffset>
                </wp:positionH>
                <wp:positionV relativeFrom="paragraph">
                  <wp:posOffset>248768</wp:posOffset>
                </wp:positionV>
                <wp:extent cx="1081467" cy="320816"/>
                <wp:effectExtent l="19050" t="19050" r="23495" b="22225"/>
                <wp:wrapNone/>
                <wp:docPr id="1751670523" name="Rectángulo 1751670523"/>
                <wp:cNvGraphicFramePr/>
                <a:graphic xmlns:a="http://schemas.openxmlformats.org/drawingml/2006/main">
                  <a:graphicData uri="http://schemas.microsoft.com/office/word/2010/wordprocessingShape">
                    <wps:wsp>
                      <wps:cNvSpPr/>
                      <wps:spPr>
                        <a:xfrm>
                          <a:off x="0" y="0"/>
                          <a:ext cx="1081467" cy="320816"/>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504AD6B" id="Rectángulo 1751670523" o:spid="_x0000_s1026" style="position:absolute;margin-left:188.5pt;margin-top:19.6pt;width:85.15pt;height:2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" filled="f" strokecolor="red" strokeweight="3pt">
                <w10:wrap anchorx="margin"/>
              </v:rect>
            </w:pict>
          </mc:Fallback>
        </mc:AlternateContent>
      </w:r>
      <w:r w:rsidRPr="0084024F">
        <w:rPr>
          <w:rFonts w:eastAsia="Palatino Linotype" w:cs="Palatino Linotype"/>
          <w:noProof/>
          <w:lang w:val="es-MX"/>
        </w:rPr>
        <w:drawing>
          <wp:inline distT="0" distB="0" distL="0" distR="0" wp14:anchorId="0956816E" wp14:editId="6C6762B1">
            <wp:extent cx="5097400" cy="3645125"/>
            <wp:effectExtent l="190500" t="190500" r="198755" b="184150"/>
            <wp:docPr id="12808878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87850" name=""/>
                    <pic:cNvPicPr/>
                  </pic:nvPicPr>
                  <pic:blipFill>
                    <a:blip r:embed="rId10"/>
                    <a:stretch>
                      <a:fillRect/>
                    </a:stretch>
                  </pic:blipFill>
                  <pic:spPr>
                    <a:xfrm>
                      <a:off x="0" y="0"/>
                      <a:ext cx="5148287" cy="3681514"/>
                    </a:xfrm>
                    <a:prstGeom prst="rect">
                      <a:avLst/>
                    </a:prstGeom>
                    <a:ln>
                      <a:noFill/>
                    </a:ln>
                    <a:effectLst>
                      <a:outerShdw blurRad="190500" algn="tl" rotWithShape="0">
                        <a:srgbClr val="000000">
                          <a:alpha val="70000"/>
                        </a:srgbClr>
                      </a:outerShdw>
                    </a:effectLst>
                  </pic:spPr>
                </pic:pic>
              </a:graphicData>
            </a:graphic>
          </wp:inline>
        </w:drawing>
      </w:r>
      <w:r w:rsidRPr="0084024F">
        <w:rPr>
          <w:rFonts w:eastAsia="Palatino Linotype" w:cs="Palatino Linotype"/>
          <w:noProof/>
          <w:lang w:val="es-MX"/>
        </w:rPr>
        <w:drawing>
          <wp:inline distT="0" distB="0" distL="0" distR="0" wp14:anchorId="169F18F9" wp14:editId="561DF310">
            <wp:extent cx="5020770" cy="2842635"/>
            <wp:effectExtent l="190500" t="190500" r="199390" b="186690"/>
            <wp:docPr id="1546212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12230" name=""/>
                    <pic:cNvPicPr/>
                  </pic:nvPicPr>
                  <pic:blipFill>
                    <a:blip r:embed="rId11"/>
                    <a:stretch>
                      <a:fillRect/>
                    </a:stretch>
                  </pic:blipFill>
                  <pic:spPr>
                    <a:xfrm>
                      <a:off x="0" y="0"/>
                      <a:ext cx="5043600" cy="2855561"/>
                    </a:xfrm>
                    <a:prstGeom prst="rect">
                      <a:avLst/>
                    </a:prstGeom>
                    <a:ln>
                      <a:noFill/>
                    </a:ln>
                    <a:effectLst>
                      <a:outerShdw blurRad="190500" algn="tl" rotWithShape="0">
                        <a:srgbClr val="000000">
                          <a:alpha val="70000"/>
                        </a:srgbClr>
                      </a:outerShdw>
                    </a:effectLst>
                  </pic:spPr>
                </pic:pic>
              </a:graphicData>
            </a:graphic>
          </wp:inline>
        </w:drawing>
      </w:r>
    </w:p>
    <w:p w14:paraId="6AA2B38C" w14:textId="45761742" w:rsidR="00EB6D1C" w:rsidRPr="0084024F" w:rsidRDefault="00EB6D1C" w:rsidP="00EB6D1C">
      <w:pPr>
        <w:rPr>
          <w:rFonts w:eastAsia="Palatino Linotype" w:cs="Palatino Linotype"/>
        </w:rPr>
      </w:pPr>
    </w:p>
    <w:p w14:paraId="7ECEF925" w14:textId="02E8D3B8" w:rsidR="00EB6D1C" w:rsidRPr="0084024F" w:rsidRDefault="00EB6D1C" w:rsidP="00EB6D1C">
      <w:pPr>
        <w:rPr>
          <w:rFonts w:eastAsia="Palatino Linotype" w:cs="Palatino Linotype"/>
        </w:rPr>
      </w:pPr>
      <w:r w:rsidRPr="0084024F">
        <w:rPr>
          <w:rFonts w:eastAsia="Palatino Linotype" w:cs="Palatino Linotype"/>
        </w:rPr>
        <w:t xml:space="preserve">Como se puede observar, en el formato </w:t>
      </w:r>
      <w:r w:rsidRPr="0084024F">
        <w:rPr>
          <w:rFonts w:eastAsia="Palatino Linotype" w:cs="Palatino Linotype"/>
          <w:b/>
        </w:rPr>
        <w:t>PbRM 07a</w:t>
      </w:r>
      <w:r w:rsidRPr="0084024F">
        <w:rPr>
          <w:rFonts w:eastAsia="Palatino Linotype" w:cs="Palatino Linotype"/>
        </w:rPr>
        <w:t xml:space="preserve"> </w:t>
      </w:r>
      <w:r w:rsidRPr="0084024F">
        <w:rPr>
          <w:rFonts w:eastAsia="Palatino Linotype" w:cs="Palatino Linotype"/>
          <w:i/>
        </w:rPr>
        <w:t>“Programa Anual de Obras”</w:t>
      </w:r>
      <w:r w:rsidRPr="0084024F">
        <w:rPr>
          <w:rFonts w:eastAsia="Palatino Linotype" w:cs="Palatino Linotype"/>
        </w:rPr>
        <w:t xml:space="preserve">, las entidades fiscalizables deben colocar la información el periodo en el que se llevarán a cabo las obras a nivel proyecto de la Clasificación Funcional Programática Municipal vigente; la calendarización mensual </w:t>
      </w:r>
      <w:r w:rsidRPr="0084024F">
        <w:rPr>
          <w:rFonts w:eastAsia="Palatino Linotype" w:cs="Palatino Linotype"/>
          <w:i/>
        </w:rPr>
        <w:t>(ene-dic)</w:t>
      </w:r>
      <w:r w:rsidRPr="0084024F">
        <w:rPr>
          <w:rFonts w:eastAsia="Palatino Linotype" w:cs="Palatino Linotype"/>
        </w:rPr>
        <w:t>, en las que se anotará de manera calendarizada el recurso que para la ejecución de la obra pública ejercerá, anotando dichos recursos en el mes o los meses en los que se pretenda llevar a cabo dicha obra;</w:t>
      </w:r>
      <w:r w:rsidR="00DB4A0A" w:rsidRPr="0084024F">
        <w:rPr>
          <w:rFonts w:eastAsia="Palatino Linotype" w:cs="Palatino Linotype"/>
        </w:rPr>
        <w:t xml:space="preserve"> tipo de obra; ubicación; </w:t>
      </w:r>
      <w:r w:rsidRPr="0084024F">
        <w:rPr>
          <w:rFonts w:eastAsia="Palatino Linotype" w:cs="Palatino Linotype"/>
          <w:b/>
          <w:bCs/>
          <w:u w:val="single"/>
        </w:rPr>
        <w:t>población beneficiada, que se refiere al número de habitantes de la comunidad, localidad o municipio que se vean beneficiados con la ejecución de la obra pública; la justificación de la ejecución de la obra que se llevara a cabo; y el presupuesto anual autorizado</w:t>
      </w:r>
      <w:r w:rsidRPr="0084024F">
        <w:rPr>
          <w:rFonts w:eastAsia="Palatino Linotype" w:cs="Palatino Linotype"/>
        </w:rPr>
        <w:t>, en el que se anotará el recurso anual autorizado para la ejecución de la obra pública. Así, entre los rubros del formato, se encuentra el periodo para la ejecución de la obra y el nombre de ésta</w:t>
      </w:r>
      <w:r w:rsidR="00DB4A0A" w:rsidRPr="0084024F">
        <w:rPr>
          <w:rFonts w:eastAsia="Palatino Linotype" w:cs="Palatino Linotype"/>
        </w:rPr>
        <w:t>.</w:t>
      </w:r>
    </w:p>
    <w:p w14:paraId="6538F7E0" w14:textId="77777777" w:rsidR="00EB6D1C" w:rsidRPr="0084024F" w:rsidRDefault="00EB6D1C" w:rsidP="00EB6D1C">
      <w:pPr>
        <w:rPr>
          <w:rFonts w:eastAsia="Palatino Linotype" w:cs="Palatino Linotype"/>
        </w:rPr>
      </w:pPr>
    </w:p>
    <w:p w14:paraId="558A3AE5" w14:textId="32C42E1C" w:rsidR="00EB6D1C" w:rsidRPr="0084024F" w:rsidRDefault="00EB6D1C" w:rsidP="00EB6D1C">
      <w:pPr>
        <w:rPr>
          <w:rFonts w:eastAsia="Palatino Linotype" w:cs="Palatino Linotype"/>
        </w:rPr>
      </w:pPr>
      <w:r w:rsidRPr="0084024F">
        <w:rPr>
          <w:rFonts w:eastAsia="Palatino Linotype" w:cs="Palatino Linotype"/>
        </w:rPr>
        <w:t xml:space="preserve">Mientras que el Programa Anual de Obra </w:t>
      </w:r>
      <w:r w:rsidRPr="0084024F">
        <w:rPr>
          <w:rFonts w:eastAsia="Palatino Linotype" w:cs="Palatino Linotype"/>
          <w:i/>
        </w:rPr>
        <w:t>(Reparaciones y Mantenimiento)</w:t>
      </w:r>
      <w:r w:rsidRPr="0084024F">
        <w:rPr>
          <w:rFonts w:eastAsia="Palatino Linotype" w:cs="Palatino Linotype"/>
        </w:rPr>
        <w:t xml:space="preserve"> permite observar de manera precisa el periodo de ejecución y presupuesto que destina el ayuntamiento por concepto de reparaciones y mantenimiento</w:t>
      </w:r>
      <w:r w:rsidR="00DB4A0A" w:rsidRPr="0084024F">
        <w:rPr>
          <w:rFonts w:eastAsia="Palatino Linotype" w:cs="Palatino Linotype"/>
        </w:rPr>
        <w:t>.</w:t>
      </w:r>
    </w:p>
    <w:p w14:paraId="02ACDA84" w14:textId="77777777" w:rsidR="00EB6D1C" w:rsidRPr="0084024F" w:rsidRDefault="00EB6D1C" w:rsidP="00E13E37">
      <w:pPr>
        <w:contextualSpacing/>
        <w:rPr>
          <w:rFonts w:eastAsia="Palatino Linotype" w:cs="Palatino Linotype"/>
          <w:color w:val="000000"/>
          <w:lang w:val="es-MX"/>
        </w:rPr>
      </w:pPr>
    </w:p>
    <w:p w14:paraId="2CC4A67A" w14:textId="4204532E" w:rsidR="00D52DD1" w:rsidRPr="0084024F" w:rsidRDefault="00D52DD1" w:rsidP="00E13E37">
      <w:pPr>
        <w:contextualSpacing/>
        <w:rPr>
          <w:rFonts w:eastAsia="Palatino Linotype" w:cs="Palatino Linotype"/>
          <w:szCs w:val="24"/>
        </w:rPr>
      </w:pPr>
      <w:r w:rsidRPr="0084024F">
        <w:rPr>
          <w:rFonts w:eastAsia="Palatino Linotype" w:cs="Palatino Linotype"/>
          <w:szCs w:val="24"/>
        </w:rPr>
        <w:t xml:space="preserve">En esa tesitura, se advierte que el documento remitido por </w:t>
      </w:r>
      <w:r w:rsidR="00013ED7" w:rsidRPr="0084024F">
        <w:rPr>
          <w:rFonts w:eastAsia="Palatino Linotype" w:cs="Palatino Linotype"/>
          <w:szCs w:val="24"/>
        </w:rPr>
        <w:t>e</w:t>
      </w:r>
      <w:r w:rsidRPr="0084024F">
        <w:rPr>
          <w:rFonts w:eastAsia="Palatino Linotype" w:cs="Palatino Linotype"/>
          <w:szCs w:val="24"/>
        </w:rPr>
        <w:t xml:space="preserve">l Sujeto Obligado </w:t>
      </w:r>
      <w:r w:rsidRPr="0084024F">
        <w:rPr>
          <w:rFonts w:eastAsia="Palatino Linotype" w:cs="Palatino Linotype"/>
          <w:bCs/>
          <w:szCs w:val="24"/>
        </w:rPr>
        <w:t>no es el requerido por el particular</w:t>
      </w:r>
      <w:r w:rsidRPr="0084024F">
        <w:rPr>
          <w:rFonts w:eastAsia="Palatino Linotype" w:cs="Palatino Linotype"/>
          <w:szCs w:val="24"/>
        </w:rPr>
        <w:t xml:space="preserve">, </w:t>
      </w:r>
      <w:r w:rsidR="00DB4A0A" w:rsidRPr="0084024F">
        <w:rPr>
          <w:rFonts w:eastAsia="Palatino Linotype" w:cs="Palatino Linotype"/>
          <w:szCs w:val="24"/>
        </w:rPr>
        <w:t>ya que el entregado mediante informe justificado, únicamente refiere el presupuesto autorizado a la partida 6000 del Programa Anual de Obra</w:t>
      </w:r>
      <w:r w:rsidRPr="0084024F">
        <w:rPr>
          <w:rFonts w:eastAsia="Palatino Linotype" w:cs="Palatino Linotype"/>
          <w:szCs w:val="24"/>
        </w:rPr>
        <w:t xml:space="preserve">, </w:t>
      </w:r>
      <w:r w:rsidR="00DB4A0A" w:rsidRPr="0084024F">
        <w:rPr>
          <w:rFonts w:eastAsia="Palatino Linotype" w:cs="Palatino Linotype"/>
          <w:szCs w:val="24"/>
        </w:rPr>
        <w:t xml:space="preserve">mismo que </w:t>
      </w:r>
      <w:r w:rsidR="00004063" w:rsidRPr="0084024F">
        <w:rPr>
          <w:rFonts w:eastAsia="Palatino Linotype" w:cs="Palatino Linotype"/>
          <w:szCs w:val="24"/>
        </w:rPr>
        <w:t xml:space="preserve">no corresponde </w:t>
      </w:r>
      <w:r w:rsidR="00DB4A0A" w:rsidRPr="0084024F">
        <w:rPr>
          <w:rFonts w:eastAsia="Palatino Linotype" w:cs="Palatino Linotype"/>
          <w:szCs w:val="24"/>
        </w:rPr>
        <w:t>al Programa Anual de Obra para el ejercicio fiscal 2025</w:t>
      </w:r>
      <w:r w:rsidR="00E13E37" w:rsidRPr="0084024F">
        <w:rPr>
          <w:rFonts w:eastAsia="Palatino Linotype" w:cs="Palatino Linotype"/>
          <w:szCs w:val="24"/>
        </w:rPr>
        <w:t xml:space="preserve">, ante ello, conforme al Instructivo de llenado previamente referido, se advierte la atribución del </w:t>
      </w:r>
      <w:r w:rsidR="00E13E37" w:rsidRPr="0084024F">
        <w:rPr>
          <w:rFonts w:eastAsia="Palatino Linotype" w:cs="Palatino Linotype"/>
          <w:szCs w:val="24"/>
        </w:rPr>
        <w:lastRenderedPageBreak/>
        <w:t>Sujeto Obligado de generar el documento</w:t>
      </w:r>
      <w:r w:rsidRPr="0084024F">
        <w:rPr>
          <w:rFonts w:eastAsia="Palatino Linotype" w:cs="Palatino Linotype"/>
          <w:szCs w:val="24"/>
        </w:rPr>
        <w:t xml:space="preserve"> </w:t>
      </w:r>
      <w:r w:rsidR="00DB4A0A" w:rsidRPr="0084024F">
        <w:rPr>
          <w:rFonts w:eastAsia="Palatino Linotype" w:cs="Palatino Linotype"/>
          <w:szCs w:val="24"/>
        </w:rPr>
        <w:t>Programa Anual de Obra</w:t>
      </w:r>
      <w:r w:rsidRPr="0084024F">
        <w:rPr>
          <w:rFonts w:eastAsia="Palatino Linotype" w:cs="Palatino Linotype"/>
          <w:szCs w:val="24"/>
        </w:rPr>
        <w:t xml:space="preserve">, </w:t>
      </w:r>
      <w:r w:rsidR="00E13E37" w:rsidRPr="0084024F">
        <w:rPr>
          <w:rFonts w:eastAsia="Palatino Linotype" w:cs="Palatino Linotype"/>
          <w:szCs w:val="24"/>
        </w:rPr>
        <w:t xml:space="preserve">mismo que </w:t>
      </w:r>
      <w:r w:rsidR="00013ED7" w:rsidRPr="0084024F">
        <w:rPr>
          <w:rFonts w:eastAsia="Palatino Linotype" w:cs="Palatino Linotype"/>
          <w:szCs w:val="24"/>
        </w:rPr>
        <w:t>contiene la información a la que pretende acceder el ahora Recurrente</w:t>
      </w:r>
      <w:r w:rsidR="00E13E37" w:rsidRPr="0084024F">
        <w:rPr>
          <w:rFonts w:eastAsia="Palatino Linotype" w:cs="Palatino Linotype"/>
          <w:szCs w:val="24"/>
        </w:rPr>
        <w:t>.</w:t>
      </w:r>
    </w:p>
    <w:p w14:paraId="74B99ACB" w14:textId="77777777" w:rsidR="002512CD" w:rsidRPr="0084024F" w:rsidRDefault="002512CD" w:rsidP="006922F5">
      <w:pPr>
        <w:contextualSpacing/>
        <w:rPr>
          <w:rFonts w:eastAsia="Palatino Linotype" w:cs="Palatino Linotype"/>
          <w:szCs w:val="24"/>
        </w:rPr>
      </w:pPr>
    </w:p>
    <w:p w14:paraId="7C81B966" w14:textId="7B90153B" w:rsidR="002512CD" w:rsidRPr="0084024F" w:rsidRDefault="002512CD" w:rsidP="006922F5">
      <w:pPr>
        <w:contextualSpacing/>
        <w:rPr>
          <w:rFonts w:eastAsia="Palatino Linotype" w:cs="Palatino Linotype"/>
          <w:szCs w:val="24"/>
        </w:rPr>
      </w:pPr>
      <w:r w:rsidRPr="0084024F">
        <w:rPr>
          <w:rFonts w:eastAsia="Palatino Linotype" w:cs="Palatino Linotype"/>
          <w:szCs w:val="24"/>
        </w:rPr>
        <w:t xml:space="preserve">Consecuentemente, toda vez que ha quedado establecido que existe una fuente obligacional que constriñe al Sujeto Obligado a generar el documento solicitado y que éste no fue entregado al </w:t>
      </w:r>
      <w:r w:rsidRPr="0084024F">
        <w:rPr>
          <w:rFonts w:eastAsia="Palatino Linotype" w:cs="Palatino Linotype"/>
          <w:b/>
          <w:bCs/>
          <w:szCs w:val="24"/>
        </w:rPr>
        <w:t>Recurrente</w:t>
      </w:r>
      <w:r w:rsidRPr="0084024F">
        <w:rPr>
          <w:rFonts w:eastAsia="Palatino Linotype" w:cs="Palatino Linotype"/>
          <w:szCs w:val="24"/>
        </w:rPr>
        <w:t>, es procedente ordenar la entrega de</w:t>
      </w:r>
      <w:r w:rsidR="00DB4A0A" w:rsidRPr="0084024F">
        <w:rPr>
          <w:rFonts w:eastAsia="Palatino Linotype" w:cs="Palatino Linotype"/>
          <w:szCs w:val="24"/>
        </w:rPr>
        <w:t>l</w:t>
      </w:r>
      <w:r w:rsidR="009B4100" w:rsidRPr="0084024F">
        <w:rPr>
          <w:rFonts w:eastAsia="Palatino Linotype" w:cs="Palatino Linotype"/>
          <w:szCs w:val="24"/>
        </w:rPr>
        <w:t xml:space="preserve"> </w:t>
      </w:r>
      <w:r w:rsidR="00DB4A0A" w:rsidRPr="0084024F">
        <w:rPr>
          <w:rFonts w:eastAsia="Palatino Linotype" w:cs="Palatino Linotype"/>
          <w:b/>
          <w:bCs/>
          <w:szCs w:val="24"/>
        </w:rPr>
        <w:t>Programa Anual de Obra</w:t>
      </w:r>
      <w:r w:rsidR="00DB4A0A" w:rsidRPr="0084024F">
        <w:rPr>
          <w:b/>
          <w:bCs/>
        </w:rPr>
        <w:t xml:space="preserve"> del </w:t>
      </w:r>
      <w:r w:rsidR="00DB4A0A" w:rsidRPr="0084024F">
        <w:rPr>
          <w:rFonts w:eastAsia="Palatino Linotype" w:cs="Palatino Linotype"/>
          <w:b/>
          <w:bCs/>
          <w:szCs w:val="24"/>
        </w:rPr>
        <w:t>Ayuntamiento de Teoloyucan para el ejercicio fiscal 2025</w:t>
      </w:r>
      <w:r w:rsidRPr="0084024F">
        <w:rPr>
          <w:rFonts w:eastAsia="Palatino Linotype" w:cs="Palatino Linotype"/>
          <w:szCs w:val="24"/>
        </w:rPr>
        <w:t>.</w:t>
      </w:r>
    </w:p>
    <w:p w14:paraId="4879F667" w14:textId="09EE9A86" w:rsidR="00196AF7" w:rsidRPr="0084024F" w:rsidRDefault="00196AF7" w:rsidP="006922F5">
      <w:pPr>
        <w:rPr>
          <w:szCs w:val="24"/>
        </w:rPr>
      </w:pPr>
    </w:p>
    <w:p w14:paraId="03CC3610" w14:textId="3AAD1800" w:rsidR="00196AF7" w:rsidRPr="0084024F" w:rsidRDefault="00E84DC7" w:rsidP="006922F5">
      <w:pPr>
        <w:rPr>
          <w:szCs w:val="24"/>
        </w:rPr>
      </w:pPr>
      <w:r w:rsidRPr="0084024F">
        <w:rPr>
          <w:szCs w:val="24"/>
        </w:rPr>
        <w:t>En conclusión</w:t>
      </w:r>
      <w:r w:rsidR="00196AF7" w:rsidRPr="0084024F">
        <w:rPr>
          <w:szCs w:val="24"/>
        </w:rPr>
        <w:t xml:space="preserve">, por lo argumentado anteriormente, </w:t>
      </w:r>
      <w:r w:rsidR="00196AF7" w:rsidRPr="0084024F">
        <w:t xml:space="preserve">este Instituto considera que las razones o motivos de inconformidad del </w:t>
      </w:r>
      <w:r w:rsidR="00196AF7" w:rsidRPr="0084024F">
        <w:rPr>
          <w:b/>
          <w:bCs/>
        </w:rPr>
        <w:t>Recurrente</w:t>
      </w:r>
      <w:r w:rsidR="00196AF7" w:rsidRPr="0084024F">
        <w:t xml:space="preserve"> </w:t>
      </w:r>
      <w:r w:rsidRPr="0084024F">
        <w:t xml:space="preserve">devienen </w:t>
      </w:r>
      <w:r w:rsidR="00196AF7" w:rsidRPr="0084024F">
        <w:t xml:space="preserve">fundados, por lo que es procedente </w:t>
      </w:r>
      <w:r w:rsidR="00004063" w:rsidRPr="0084024F">
        <w:t>revocar</w:t>
      </w:r>
      <w:r w:rsidR="00196AF7" w:rsidRPr="0084024F">
        <w:t xml:space="preserve"> la respuesta del Sujeto Obligado y ordenar que se haga entrega </w:t>
      </w:r>
      <w:r w:rsidR="00DB4A0A" w:rsidRPr="0084024F">
        <w:t xml:space="preserve">de los formatos precisados con anterioridad, de los cuales no se advierte información que pudiera recibir un tratamiento de clasificación, por lo que se deberá entregar en versión íntegra. </w:t>
      </w:r>
    </w:p>
    <w:p w14:paraId="5C5FC6F1" w14:textId="77777777" w:rsidR="00B32BAD" w:rsidRPr="0084024F" w:rsidRDefault="00B32BAD" w:rsidP="00E84DC7">
      <w:pPr>
        <w:rPr>
          <w:szCs w:val="24"/>
          <w:lang w:val="es-MX"/>
        </w:rPr>
      </w:pPr>
    </w:p>
    <w:p w14:paraId="0DE994EA" w14:textId="6F6492CE" w:rsidR="00B32BAD" w:rsidRPr="0084024F" w:rsidRDefault="00B32BAD" w:rsidP="00E84DC7">
      <w:pPr>
        <w:rPr>
          <w:szCs w:val="24"/>
          <w:lang w:val="es-MX"/>
        </w:rPr>
      </w:pPr>
      <w:r w:rsidRPr="0084024F">
        <w:rPr>
          <w:szCs w:val="24"/>
          <w:lang w:val="es-MX"/>
        </w:rPr>
        <w:t xml:space="preserve">En mérito de lo expuesto en líneas anteriores, este Instituto considera que los motivos de inconformidad planteados por el </w:t>
      </w:r>
      <w:r w:rsidRPr="0084024F">
        <w:rPr>
          <w:b/>
          <w:bCs/>
          <w:szCs w:val="24"/>
          <w:lang w:val="es-MX"/>
        </w:rPr>
        <w:t>Recurrente</w:t>
      </w:r>
      <w:r w:rsidRPr="0084024F">
        <w:rPr>
          <w:szCs w:val="24"/>
          <w:lang w:val="es-MX"/>
        </w:rPr>
        <w:t xml:space="preserve"> en el recurso de revisión que es materia de esta resolución</w:t>
      </w:r>
      <w:r w:rsidRPr="0084024F">
        <w:t xml:space="preserve"> </w:t>
      </w:r>
      <w:r w:rsidRPr="0084024F">
        <w:rPr>
          <w:szCs w:val="24"/>
          <w:lang w:val="es-MX"/>
        </w:rPr>
        <w:t xml:space="preserve">resultan fundados; por ello con fundamento en la </w:t>
      </w:r>
      <w:r w:rsidR="002B5E01" w:rsidRPr="0084024F">
        <w:rPr>
          <w:b/>
          <w:bCs/>
          <w:szCs w:val="24"/>
          <w:lang w:val="es-MX"/>
        </w:rPr>
        <w:t>primera</w:t>
      </w:r>
      <w:r w:rsidRPr="0084024F">
        <w:rPr>
          <w:b/>
          <w:bCs/>
          <w:szCs w:val="24"/>
          <w:lang w:val="es-MX"/>
        </w:rPr>
        <w:t xml:space="preserve"> hipótesis</w:t>
      </w:r>
      <w:r w:rsidRPr="0084024F">
        <w:rPr>
          <w:szCs w:val="24"/>
          <w:lang w:val="es-MX"/>
        </w:rPr>
        <w:t xml:space="preserve"> de la fracción III del artículo 186 de la Ley de Transparencia y Acceso a la Información Pública del Estado de México y Municipios, se </w:t>
      </w:r>
      <w:r w:rsidR="002B5E01" w:rsidRPr="0084024F">
        <w:rPr>
          <w:b/>
          <w:bCs/>
          <w:szCs w:val="24"/>
          <w:lang w:val="es-MX"/>
        </w:rPr>
        <w:t>REVOCA</w:t>
      </w:r>
      <w:r w:rsidRPr="0084024F">
        <w:rPr>
          <w:szCs w:val="24"/>
          <w:lang w:val="es-MX"/>
        </w:rPr>
        <w:t xml:space="preserve"> la respuesta a la solicitud de información número </w:t>
      </w:r>
      <w:r w:rsidR="00C870E1" w:rsidRPr="0084024F">
        <w:rPr>
          <w:b/>
          <w:bCs/>
          <w:szCs w:val="24"/>
          <w:lang w:val="es-MX"/>
        </w:rPr>
        <w:t>00239/TEOLOYU/IP/2025</w:t>
      </w:r>
      <w:r w:rsidRPr="0084024F">
        <w:rPr>
          <w:szCs w:val="24"/>
          <w:lang w:val="es-MX"/>
        </w:rPr>
        <w:t>, que ha sido materia del presente estudio</w:t>
      </w:r>
    </w:p>
    <w:p w14:paraId="1296B75A" w14:textId="77777777" w:rsidR="00B32BAD" w:rsidRPr="0084024F" w:rsidRDefault="00B32BAD" w:rsidP="006922F5">
      <w:pPr>
        <w:pStyle w:val="Textoindependiente"/>
        <w:rPr>
          <w:rFonts w:eastAsia="Palatino Linotype"/>
        </w:rPr>
      </w:pPr>
    </w:p>
    <w:p w14:paraId="3EFE5754" w14:textId="237582B1" w:rsidR="00196AF7" w:rsidRPr="0084024F" w:rsidRDefault="00196AF7" w:rsidP="006922F5">
      <w:pPr>
        <w:pStyle w:val="Textoindependiente"/>
        <w:rPr>
          <w:rFonts w:eastAsia="Palatino Linotype"/>
        </w:rPr>
      </w:pPr>
      <w:r w:rsidRPr="0084024F">
        <w:rPr>
          <w:rFonts w:eastAsia="Palatino Linotype"/>
        </w:rPr>
        <w:t>Por lo antes expuesto y fundado es de resolverse y,</w:t>
      </w:r>
    </w:p>
    <w:p w14:paraId="29E5E40D" w14:textId="77777777" w:rsidR="00196AF7" w:rsidRPr="0084024F"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84024F" w:rsidRDefault="00B32BAD" w:rsidP="00B32BAD">
      <w:pPr>
        <w:pBdr>
          <w:top w:val="nil"/>
          <w:left w:val="nil"/>
          <w:bottom w:val="nil"/>
          <w:right w:val="nil"/>
          <w:between w:val="nil"/>
        </w:pBdr>
        <w:jc w:val="center"/>
        <w:rPr>
          <w:rFonts w:eastAsia="Palatino Linotype" w:cs="Palatino Linotype"/>
          <w:b/>
          <w:color w:val="000000"/>
          <w:sz w:val="28"/>
          <w:szCs w:val="28"/>
        </w:rPr>
      </w:pPr>
      <w:r w:rsidRPr="0084024F">
        <w:rPr>
          <w:rFonts w:eastAsia="Palatino Linotype" w:cs="Palatino Linotype"/>
          <w:b/>
          <w:color w:val="000000"/>
          <w:sz w:val="28"/>
          <w:szCs w:val="28"/>
        </w:rPr>
        <w:lastRenderedPageBreak/>
        <w:t>S E    R E S U E L V E</w:t>
      </w:r>
    </w:p>
    <w:p w14:paraId="689E4803" w14:textId="77777777" w:rsidR="00B32BAD" w:rsidRPr="0084024F" w:rsidRDefault="00B32BAD" w:rsidP="006922F5">
      <w:pPr>
        <w:pBdr>
          <w:top w:val="nil"/>
          <w:left w:val="nil"/>
          <w:bottom w:val="nil"/>
          <w:right w:val="nil"/>
          <w:between w:val="nil"/>
        </w:pBdr>
        <w:rPr>
          <w:rFonts w:eastAsia="Palatino Linotype" w:cs="Palatino Linotype"/>
          <w:b/>
          <w:color w:val="000000"/>
          <w:szCs w:val="24"/>
        </w:rPr>
      </w:pPr>
    </w:p>
    <w:p w14:paraId="736A9060" w14:textId="17C69582" w:rsidR="00196AF7" w:rsidRPr="0084024F" w:rsidRDefault="00196AF7" w:rsidP="006922F5">
      <w:pPr>
        <w:pBdr>
          <w:top w:val="nil"/>
          <w:left w:val="nil"/>
          <w:bottom w:val="nil"/>
          <w:right w:val="nil"/>
          <w:between w:val="nil"/>
        </w:pBdr>
        <w:rPr>
          <w:rFonts w:eastAsia="Palatino Linotype" w:cs="Palatino Linotype"/>
          <w:color w:val="000000"/>
          <w:szCs w:val="24"/>
        </w:rPr>
      </w:pPr>
      <w:r w:rsidRPr="0084024F">
        <w:rPr>
          <w:rFonts w:eastAsia="Palatino Linotype" w:cs="Palatino Linotype"/>
          <w:b/>
          <w:color w:val="000000"/>
          <w:szCs w:val="24"/>
        </w:rPr>
        <w:t>PRIMERO.</w:t>
      </w:r>
      <w:r w:rsidRPr="0084024F">
        <w:rPr>
          <w:rFonts w:eastAsia="Palatino Linotype" w:cs="Palatino Linotype"/>
          <w:color w:val="000000"/>
          <w:szCs w:val="24"/>
        </w:rPr>
        <w:t xml:space="preserve"> Se </w:t>
      </w:r>
      <w:r w:rsidR="002B5E01" w:rsidRPr="0084024F">
        <w:rPr>
          <w:rFonts w:eastAsia="Palatino Linotype" w:cs="Palatino Linotype"/>
          <w:b/>
          <w:color w:val="000000"/>
          <w:szCs w:val="24"/>
        </w:rPr>
        <w:t>REVOCA</w:t>
      </w:r>
      <w:r w:rsidRPr="0084024F">
        <w:rPr>
          <w:rFonts w:eastAsia="Palatino Linotype" w:cs="Palatino Linotype"/>
          <w:color w:val="000000"/>
          <w:szCs w:val="24"/>
        </w:rPr>
        <w:t xml:space="preserve"> la respuesta entregada por el Sujeto Obligado</w:t>
      </w:r>
      <w:r w:rsidRPr="0084024F">
        <w:rPr>
          <w:rFonts w:eastAsia="Palatino Linotype" w:cs="Palatino Linotype"/>
          <w:b/>
          <w:color w:val="000000"/>
          <w:szCs w:val="24"/>
        </w:rPr>
        <w:t xml:space="preserve"> </w:t>
      </w:r>
      <w:r w:rsidRPr="0084024F">
        <w:rPr>
          <w:rFonts w:eastAsia="Palatino Linotype" w:cs="Palatino Linotype"/>
          <w:color w:val="000000"/>
          <w:szCs w:val="24"/>
        </w:rPr>
        <w:t xml:space="preserve">a la solicitud de información número </w:t>
      </w:r>
      <w:r w:rsidR="00C870E1" w:rsidRPr="0084024F">
        <w:rPr>
          <w:rFonts w:eastAsia="Palatino Linotype"/>
          <w:b/>
          <w:bCs/>
        </w:rPr>
        <w:t>00239/TEOLOYU/IP/2025</w:t>
      </w:r>
      <w:r w:rsidR="00E84DC7" w:rsidRPr="0084024F">
        <w:rPr>
          <w:rFonts w:eastAsia="Palatino Linotype" w:cs="Palatino Linotype"/>
          <w:color w:val="000000"/>
          <w:szCs w:val="24"/>
        </w:rPr>
        <w:t>, por resultar</w:t>
      </w:r>
      <w:r w:rsidR="00482D0F" w:rsidRPr="0084024F">
        <w:rPr>
          <w:rFonts w:eastAsia="Palatino Linotype" w:cs="Palatino Linotype"/>
          <w:color w:val="000000"/>
          <w:szCs w:val="24"/>
        </w:rPr>
        <w:t xml:space="preserve"> </w:t>
      </w:r>
      <w:r w:rsidRPr="0084024F">
        <w:rPr>
          <w:rFonts w:eastAsia="Palatino Linotype" w:cs="Palatino Linotype"/>
          <w:color w:val="000000"/>
          <w:szCs w:val="24"/>
        </w:rPr>
        <w:t xml:space="preserve">fundados los motivos de inconformidad argüidos por el </w:t>
      </w:r>
      <w:r w:rsidRPr="0084024F">
        <w:rPr>
          <w:rFonts w:eastAsia="Palatino Linotype" w:cs="Palatino Linotype"/>
          <w:b/>
          <w:bCs/>
          <w:color w:val="000000"/>
          <w:szCs w:val="24"/>
        </w:rPr>
        <w:t>Recurrente</w:t>
      </w:r>
      <w:r w:rsidRPr="0084024F">
        <w:rPr>
          <w:rFonts w:eastAsia="Palatino Linotype" w:cs="Palatino Linotype"/>
          <w:color w:val="000000"/>
          <w:szCs w:val="24"/>
        </w:rPr>
        <w:t>, en términos del</w:t>
      </w:r>
      <w:r w:rsidRPr="0084024F">
        <w:rPr>
          <w:rFonts w:eastAsia="Palatino Linotype" w:cs="Palatino Linotype"/>
          <w:b/>
          <w:color w:val="000000"/>
          <w:szCs w:val="24"/>
        </w:rPr>
        <w:t xml:space="preserve"> Considerando </w:t>
      </w:r>
      <w:r w:rsidR="00A163F4" w:rsidRPr="0084024F">
        <w:rPr>
          <w:rFonts w:eastAsia="Palatino Linotype" w:cs="Palatino Linotype"/>
          <w:b/>
          <w:color w:val="000000"/>
          <w:szCs w:val="24"/>
        </w:rPr>
        <w:t>CUARTO</w:t>
      </w:r>
      <w:r w:rsidRPr="0084024F">
        <w:rPr>
          <w:rFonts w:eastAsia="Palatino Linotype" w:cs="Palatino Linotype"/>
          <w:b/>
          <w:color w:val="000000"/>
          <w:szCs w:val="24"/>
        </w:rPr>
        <w:t xml:space="preserve"> </w:t>
      </w:r>
      <w:r w:rsidRPr="0084024F">
        <w:rPr>
          <w:rFonts w:eastAsia="Palatino Linotype" w:cs="Palatino Linotype"/>
          <w:color w:val="000000"/>
          <w:szCs w:val="24"/>
        </w:rPr>
        <w:t xml:space="preserve">de la presente resolución. </w:t>
      </w:r>
    </w:p>
    <w:p w14:paraId="5A31A1EB" w14:textId="77777777" w:rsidR="00196AF7" w:rsidRPr="0084024F" w:rsidRDefault="00196AF7" w:rsidP="006922F5">
      <w:pPr>
        <w:pBdr>
          <w:top w:val="nil"/>
          <w:left w:val="nil"/>
          <w:bottom w:val="nil"/>
          <w:right w:val="nil"/>
          <w:between w:val="nil"/>
        </w:pBdr>
        <w:rPr>
          <w:rFonts w:eastAsia="Palatino Linotype" w:cs="Palatino Linotype"/>
          <w:color w:val="000000"/>
          <w:szCs w:val="24"/>
        </w:rPr>
      </w:pPr>
    </w:p>
    <w:p w14:paraId="3D1D95B4" w14:textId="386255FF" w:rsidR="00196AF7" w:rsidRPr="0084024F" w:rsidRDefault="00196AF7" w:rsidP="006922F5">
      <w:pPr>
        <w:pBdr>
          <w:top w:val="nil"/>
          <w:left w:val="nil"/>
          <w:bottom w:val="nil"/>
          <w:right w:val="nil"/>
          <w:between w:val="nil"/>
        </w:pBdr>
        <w:rPr>
          <w:rFonts w:eastAsia="Palatino Linotype" w:cs="Palatino Linotype"/>
          <w:color w:val="000000"/>
          <w:szCs w:val="24"/>
        </w:rPr>
      </w:pPr>
      <w:r w:rsidRPr="0084024F">
        <w:rPr>
          <w:rFonts w:eastAsia="Palatino Linotype" w:cs="Palatino Linotype"/>
          <w:b/>
          <w:color w:val="000000"/>
          <w:szCs w:val="24"/>
        </w:rPr>
        <w:t>SEGUNDO.</w:t>
      </w:r>
      <w:r w:rsidRPr="0084024F">
        <w:rPr>
          <w:rFonts w:eastAsia="Palatino Linotype" w:cs="Palatino Linotype"/>
          <w:color w:val="000000"/>
          <w:szCs w:val="24"/>
        </w:rPr>
        <w:t xml:space="preserve"> Se </w:t>
      </w:r>
      <w:r w:rsidRPr="0084024F">
        <w:rPr>
          <w:rFonts w:eastAsia="Palatino Linotype" w:cs="Palatino Linotype"/>
          <w:b/>
          <w:color w:val="000000"/>
          <w:szCs w:val="24"/>
        </w:rPr>
        <w:t>ORDENA</w:t>
      </w:r>
      <w:r w:rsidRPr="0084024F">
        <w:rPr>
          <w:rFonts w:eastAsia="Palatino Linotype" w:cs="Palatino Linotype"/>
          <w:color w:val="000000"/>
          <w:szCs w:val="24"/>
        </w:rPr>
        <w:t xml:space="preserve"> al Sujeto Obligado que </w:t>
      </w:r>
      <w:r w:rsidR="00F43528" w:rsidRPr="0084024F">
        <w:rPr>
          <w:rFonts w:eastAsia="Palatino Linotype" w:cs="Palatino Linotype"/>
          <w:color w:val="000000"/>
          <w:szCs w:val="24"/>
        </w:rPr>
        <w:t xml:space="preserve">haga </w:t>
      </w:r>
      <w:r w:rsidRPr="0084024F">
        <w:rPr>
          <w:rFonts w:eastAsia="Palatino Linotype" w:cs="Palatino Linotype"/>
          <w:color w:val="000000"/>
          <w:szCs w:val="24"/>
        </w:rPr>
        <w:t xml:space="preserve">entrega al </w:t>
      </w:r>
      <w:r w:rsidRPr="0084024F">
        <w:rPr>
          <w:rFonts w:eastAsia="Palatino Linotype" w:cs="Palatino Linotype"/>
          <w:b/>
          <w:bCs/>
          <w:color w:val="000000"/>
          <w:szCs w:val="24"/>
        </w:rPr>
        <w:t>Recurrente</w:t>
      </w:r>
      <w:r w:rsidRPr="0084024F">
        <w:rPr>
          <w:rFonts w:eastAsia="Palatino Linotype" w:cs="Palatino Linotype"/>
          <w:color w:val="000000"/>
          <w:szCs w:val="24"/>
        </w:rPr>
        <w:t xml:space="preserve"> mediante el Sistema de Acceso a la I</w:t>
      </w:r>
      <w:r w:rsidR="00E84DC7" w:rsidRPr="0084024F">
        <w:rPr>
          <w:rFonts w:eastAsia="Palatino Linotype" w:cs="Palatino Linotype"/>
          <w:color w:val="000000"/>
          <w:szCs w:val="24"/>
        </w:rPr>
        <w:t>nformación Mexiquense (</w:t>
      </w:r>
      <w:r w:rsidR="00E84DC7" w:rsidRPr="0084024F">
        <w:rPr>
          <w:rFonts w:eastAsia="Palatino Linotype" w:cs="Palatino Linotype"/>
          <w:b/>
          <w:bCs/>
          <w:color w:val="000000"/>
          <w:szCs w:val="24"/>
        </w:rPr>
        <w:t>SAIMEX</w:t>
      </w:r>
      <w:r w:rsidR="00E84DC7" w:rsidRPr="0084024F">
        <w:rPr>
          <w:rFonts w:eastAsia="Palatino Linotype" w:cs="Palatino Linotype"/>
          <w:color w:val="000000"/>
          <w:szCs w:val="24"/>
        </w:rPr>
        <w:t>),</w:t>
      </w:r>
      <w:r w:rsidRPr="0084024F">
        <w:rPr>
          <w:rFonts w:eastAsia="Palatino Linotype" w:cs="Palatino Linotype"/>
          <w:color w:val="000000"/>
          <w:szCs w:val="24"/>
        </w:rPr>
        <w:t xml:space="preserve"> en términos del </w:t>
      </w:r>
      <w:r w:rsidRPr="0084024F">
        <w:rPr>
          <w:rFonts w:eastAsia="Palatino Linotype" w:cs="Palatino Linotype"/>
          <w:b/>
          <w:color w:val="000000"/>
          <w:szCs w:val="24"/>
        </w:rPr>
        <w:t xml:space="preserve">Considerando </w:t>
      </w:r>
      <w:r w:rsidR="00A163F4" w:rsidRPr="0084024F">
        <w:rPr>
          <w:rFonts w:eastAsia="Palatino Linotype" w:cs="Palatino Linotype"/>
          <w:b/>
          <w:color w:val="000000"/>
          <w:szCs w:val="24"/>
        </w:rPr>
        <w:t>CUARTO</w:t>
      </w:r>
      <w:r w:rsidR="00B32BAD" w:rsidRPr="0084024F">
        <w:rPr>
          <w:rFonts w:eastAsia="Palatino Linotype" w:cs="Palatino Linotype"/>
          <w:color w:val="000000"/>
          <w:szCs w:val="24"/>
        </w:rPr>
        <w:t>,</w:t>
      </w:r>
      <w:r w:rsidR="005C0894" w:rsidRPr="0084024F">
        <w:rPr>
          <w:rFonts w:eastAsia="Palatino Linotype" w:cs="Palatino Linotype"/>
          <w:color w:val="000000"/>
          <w:szCs w:val="24"/>
        </w:rPr>
        <w:t xml:space="preserve"> </w:t>
      </w:r>
      <w:r w:rsidRPr="0084024F">
        <w:rPr>
          <w:rFonts w:eastAsia="Palatino Linotype" w:cs="Palatino Linotype"/>
          <w:color w:val="000000"/>
          <w:szCs w:val="24"/>
        </w:rPr>
        <w:t xml:space="preserve">de lo siguiente: </w:t>
      </w:r>
    </w:p>
    <w:p w14:paraId="7D43054F" w14:textId="30F74DE9" w:rsidR="00F43528" w:rsidRPr="0084024F"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84024F"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5CD5F062" w14:textId="63312A18" w:rsidR="00BC76CB" w:rsidRPr="0084024F" w:rsidRDefault="00C870E1" w:rsidP="00BA5930">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84024F">
        <w:rPr>
          <w:rFonts w:eastAsia="Palatino Linotype" w:cs="Palatino Linotype"/>
          <w:i/>
          <w:color w:val="000000"/>
          <w:szCs w:val="24"/>
        </w:rPr>
        <w:t>Programa Anual de Obra del Ayuntamiento de Teoloyucan para el ejercicio fiscal 2025</w:t>
      </w:r>
      <w:r w:rsidR="00F5387C" w:rsidRPr="0084024F">
        <w:rPr>
          <w:rFonts w:eastAsia="Palatino Linotype" w:cs="Palatino Linotype"/>
          <w:i/>
          <w:color w:val="000000"/>
          <w:szCs w:val="24"/>
        </w:rPr>
        <w:t>.</w:t>
      </w:r>
    </w:p>
    <w:p w14:paraId="15694648" w14:textId="77777777" w:rsidR="00BC76CB" w:rsidRPr="0084024F" w:rsidRDefault="00BC76CB" w:rsidP="00BC76CB">
      <w:pPr>
        <w:pBdr>
          <w:top w:val="nil"/>
          <w:left w:val="nil"/>
          <w:bottom w:val="nil"/>
          <w:right w:val="nil"/>
          <w:between w:val="nil"/>
        </w:pBdr>
        <w:spacing w:line="240" w:lineRule="auto"/>
        <w:ind w:left="709"/>
        <w:rPr>
          <w:rFonts w:eastAsia="Palatino Linotype" w:cs="Palatino Linotype"/>
          <w:i/>
          <w:color w:val="000000"/>
          <w:szCs w:val="24"/>
        </w:rPr>
      </w:pPr>
    </w:p>
    <w:p w14:paraId="0F64CDE4" w14:textId="77777777" w:rsidR="00196AF7" w:rsidRPr="0084024F" w:rsidRDefault="00196AF7" w:rsidP="006922F5">
      <w:pPr>
        <w:pBdr>
          <w:top w:val="nil"/>
          <w:left w:val="nil"/>
          <w:bottom w:val="nil"/>
          <w:right w:val="nil"/>
          <w:between w:val="nil"/>
        </w:pBdr>
        <w:rPr>
          <w:rFonts w:eastAsia="Palatino Linotype" w:cs="Palatino Linotype"/>
          <w:b/>
          <w:i/>
          <w:iCs/>
          <w:color w:val="000000"/>
          <w:szCs w:val="24"/>
        </w:rPr>
      </w:pPr>
    </w:p>
    <w:p w14:paraId="23F3B126" w14:textId="77777777" w:rsidR="00C870E1" w:rsidRPr="0084024F" w:rsidRDefault="00C870E1" w:rsidP="00C870E1">
      <w:r w:rsidRPr="0084024F">
        <w:rPr>
          <w:rFonts w:cs="Arial"/>
          <w:b/>
        </w:rPr>
        <w:t xml:space="preserve">TERCERO. </w:t>
      </w:r>
      <w:r w:rsidRPr="0084024F">
        <w:rPr>
          <w:b/>
        </w:rPr>
        <w:t>NOTIFÍQUESE</w:t>
      </w:r>
      <w:r w:rsidRPr="0084024F">
        <w:t xml:space="preserve"> la presente resolución al Titular de la Unidad de Transparencia del Sujeto Obligado vía </w:t>
      </w:r>
      <w:r w:rsidRPr="0084024F">
        <w:rPr>
          <w:rFonts w:cs="Arial"/>
        </w:rPr>
        <w:t xml:space="preserve">Sistema de Acceso a la Información Mexiquense </w:t>
      </w:r>
      <w:r w:rsidRPr="0084024F">
        <w:rPr>
          <w:rFonts w:cs="Arial"/>
          <w:b/>
        </w:rPr>
        <w:t>(SAIMEX)</w:t>
      </w:r>
      <w:r w:rsidRPr="0084024F">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84024F">
        <w:lastRenderedPageBreak/>
        <w:t>Ley  de Transparencia y Acceso a la Información Pública del Estado de México y Municipios.</w:t>
      </w:r>
    </w:p>
    <w:p w14:paraId="56DFB640" w14:textId="77777777" w:rsidR="00C870E1" w:rsidRPr="0084024F" w:rsidRDefault="00C870E1" w:rsidP="00C870E1">
      <w:pPr>
        <w:autoSpaceDE w:val="0"/>
        <w:autoSpaceDN w:val="0"/>
        <w:adjustRightInd w:val="0"/>
        <w:ind w:right="49"/>
        <w:rPr>
          <w:rFonts w:cs="Arial"/>
          <w:szCs w:val="28"/>
        </w:rPr>
      </w:pPr>
    </w:p>
    <w:p w14:paraId="5F5F9EF9" w14:textId="77777777" w:rsidR="00C870E1" w:rsidRPr="0084024F" w:rsidRDefault="00C870E1" w:rsidP="00C870E1">
      <w:pPr>
        <w:rPr>
          <w:rFonts w:cs="Arial"/>
          <w:bCs/>
          <w:szCs w:val="28"/>
        </w:rPr>
      </w:pPr>
      <w:r w:rsidRPr="0084024F">
        <w:rPr>
          <w:rFonts w:cs="Arial"/>
          <w:b/>
          <w:bCs/>
        </w:rPr>
        <w:t>CUARTO.</w:t>
      </w:r>
      <w:r w:rsidRPr="0084024F">
        <w:rPr>
          <w:rFonts w:cs="Arial"/>
          <w:bCs/>
          <w:szCs w:val="28"/>
        </w:rPr>
        <w:t xml:space="preserve"> De conformidad con el artículo 198, de la Ley de Transparencia y Acceso a la Información Pública del Estado de México y Municipios, de considerarlo procedente, el </w:t>
      </w:r>
      <w:r w:rsidRPr="0084024F">
        <w:rPr>
          <w:rFonts w:cs="Arial"/>
          <w:b/>
          <w:bCs/>
          <w:szCs w:val="28"/>
        </w:rPr>
        <w:t>Sujeto Obligado</w:t>
      </w:r>
      <w:r w:rsidRPr="0084024F">
        <w:rPr>
          <w:rFonts w:cs="Arial"/>
          <w:bCs/>
          <w:szCs w:val="28"/>
        </w:rPr>
        <w:t xml:space="preserve"> de manera fundada y motivada, podrá solicitar una ampliación de plazo para el cumplimiento de la presente resolución.</w:t>
      </w:r>
    </w:p>
    <w:p w14:paraId="72629B9C" w14:textId="77777777" w:rsidR="00C870E1" w:rsidRPr="0084024F" w:rsidRDefault="00C870E1" w:rsidP="00C870E1">
      <w:pPr>
        <w:rPr>
          <w:rFonts w:cs="Arial"/>
          <w:bCs/>
          <w:szCs w:val="28"/>
        </w:rPr>
      </w:pPr>
    </w:p>
    <w:p w14:paraId="4BF891C1" w14:textId="77777777" w:rsidR="00C870E1" w:rsidRPr="0084024F" w:rsidRDefault="00C870E1" w:rsidP="00C870E1">
      <w:pPr>
        <w:pBdr>
          <w:top w:val="nil"/>
          <w:left w:val="nil"/>
          <w:bottom w:val="nil"/>
          <w:right w:val="nil"/>
          <w:between w:val="nil"/>
        </w:pBdr>
        <w:rPr>
          <w:rFonts w:eastAsia="Palatino Linotype" w:cs="Palatino Linotype"/>
          <w:color w:val="000000"/>
        </w:rPr>
      </w:pPr>
      <w:r w:rsidRPr="0084024F">
        <w:rPr>
          <w:rFonts w:cs="Arial"/>
          <w:b/>
        </w:rPr>
        <w:t>QUINTO. NOTIFÍQUESE</w:t>
      </w:r>
      <w:r w:rsidRPr="0084024F">
        <w:rPr>
          <w:rFonts w:cs="Arial"/>
        </w:rPr>
        <w:t xml:space="preserve"> al </w:t>
      </w:r>
      <w:r w:rsidRPr="0084024F">
        <w:rPr>
          <w:rFonts w:cs="Arial"/>
          <w:b/>
        </w:rPr>
        <w:t>Recurrente</w:t>
      </w:r>
      <w:r w:rsidRPr="0084024F">
        <w:rPr>
          <w:rFonts w:cs="Arial"/>
        </w:rPr>
        <w:t xml:space="preserve"> la presente resolución a través del Sistema de Acceso a la Información Mexiquense </w:t>
      </w:r>
      <w:r w:rsidRPr="0084024F">
        <w:rPr>
          <w:rFonts w:cs="Arial"/>
          <w:b/>
        </w:rPr>
        <w:t>(SAIMEX),</w:t>
      </w:r>
      <w:r w:rsidRPr="0084024F">
        <w:rPr>
          <w:rFonts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9FC6A1D" w14:textId="77777777" w:rsidR="00C870E1" w:rsidRPr="0084024F" w:rsidRDefault="00C870E1" w:rsidP="00C870E1">
      <w:pPr>
        <w:pBdr>
          <w:top w:val="nil"/>
          <w:left w:val="nil"/>
          <w:bottom w:val="nil"/>
          <w:right w:val="nil"/>
          <w:between w:val="nil"/>
        </w:pBdr>
        <w:rPr>
          <w:rFonts w:eastAsia="Palatino Linotype" w:cs="Palatino Linotype"/>
          <w:color w:val="000000"/>
        </w:rPr>
      </w:pPr>
    </w:p>
    <w:p w14:paraId="037F9B94" w14:textId="1F6777BB" w:rsidR="00C870E1" w:rsidRPr="0084024F" w:rsidRDefault="00C870E1" w:rsidP="00C870E1">
      <w:pPr>
        <w:rPr>
          <w:rFonts w:cs="Arial"/>
          <w:sz w:val="18"/>
        </w:rPr>
      </w:pPr>
      <w:r w:rsidRPr="0084024F">
        <w:rPr>
          <w:rFonts w:cs="Arial"/>
        </w:rPr>
        <w:t>ASÍ LO RESUELVE, POR UNANIMIDAD DE VOTOS, EL PLENO DEL</w:t>
      </w:r>
      <w:r w:rsidRPr="0084024F">
        <w:rPr>
          <w:rFonts w:eastAsia="Arial Unicode MS" w:cs="Arial"/>
        </w:rPr>
        <w:t xml:space="preserve"> INSTITUTO DE TRANSPARENCIA, ACCESO A LA INFORMACIÓN PÚBLICA Y PROTECCIÓN DE DATOS PERSONALES DEL ESTADO DE MÉXICO Y MUNICIPIOS</w:t>
      </w:r>
      <w:r w:rsidRPr="0084024F">
        <w:rPr>
          <w:rFonts w:cs="Arial"/>
        </w:rPr>
        <w:t>, CONFORMADO POR LOS COMISIONADOS JOSÉ MARTÍNEZ VILCHIS; MARÍA DEL ROSARIO MEJÍA AYALA; SHARON CRISTINA MORALES MARTÍNEZ</w:t>
      </w:r>
      <w:r w:rsidR="0084024F">
        <w:rPr>
          <w:rFonts w:cs="Arial"/>
        </w:rPr>
        <w:t xml:space="preserve"> </w:t>
      </w:r>
      <w:r w:rsidRPr="0084024F">
        <w:rPr>
          <w:rFonts w:cs="Arial"/>
        </w:rPr>
        <w:t xml:space="preserve">Y GUADALUPE RAMÍREZ PEÑA; EN LA DÉCIMA OCTAVA SESIÓN ORDINARIA CELEBRADA EL </w:t>
      </w:r>
      <w:r w:rsidR="00155D55" w:rsidRPr="0084024F">
        <w:rPr>
          <w:rFonts w:cs="Arial"/>
          <w:color w:val="000000"/>
        </w:rPr>
        <w:t>VEINTIUNO</w:t>
      </w:r>
      <w:r w:rsidRPr="0084024F">
        <w:rPr>
          <w:rFonts w:cs="Arial"/>
          <w:color w:val="000000"/>
        </w:rPr>
        <w:t xml:space="preserve"> DE MAYO DE DOS MIL VEINTICINCO</w:t>
      </w:r>
      <w:r w:rsidRPr="0084024F">
        <w:rPr>
          <w:rFonts w:cs="Arial"/>
        </w:rPr>
        <w:t>, ANTE EL SECRETARIO TÉCNICO</w:t>
      </w:r>
      <w:r w:rsidR="006A0ED1" w:rsidRPr="0084024F">
        <w:rPr>
          <w:rFonts w:cs="Arial"/>
        </w:rPr>
        <w:t xml:space="preserve"> DEL PLENO</w:t>
      </w:r>
      <w:r w:rsidRPr="0084024F">
        <w:rPr>
          <w:rFonts w:cs="Arial"/>
        </w:rPr>
        <w:t>, ALEXIS TAPIA RAMÍRE</w:t>
      </w:r>
      <w:r w:rsidR="006A0ED1" w:rsidRPr="0084024F">
        <w:rPr>
          <w:rFonts w:cs="Arial"/>
        </w:rPr>
        <w:t>Z.</w:t>
      </w:r>
      <w:r w:rsidRPr="0084024F">
        <w:rPr>
          <w:rFonts w:cs="Arial"/>
        </w:rPr>
        <w:t>-------------------------------------------------------------------------------------------</w:t>
      </w:r>
      <w:r w:rsidR="0084024F">
        <w:rPr>
          <w:rFonts w:cs="Arial"/>
        </w:rPr>
        <w:t>----------------------------------------------------------------------------------------------</w:t>
      </w:r>
      <w:bookmarkStart w:id="0" w:name="_GoBack"/>
      <w:bookmarkEnd w:id="0"/>
      <w:r w:rsidRPr="0084024F">
        <w:rPr>
          <w:rFonts w:cs="Arial"/>
        </w:rPr>
        <w:t>-</w:t>
      </w:r>
    </w:p>
    <w:p w14:paraId="5180235A" w14:textId="77777777" w:rsidR="00C870E1" w:rsidRPr="0048777B" w:rsidRDefault="00C870E1" w:rsidP="00C870E1">
      <w:pPr>
        <w:rPr>
          <w:rFonts w:cs="Arial"/>
          <w:sz w:val="20"/>
        </w:rPr>
      </w:pPr>
      <w:r w:rsidRPr="0084024F">
        <w:rPr>
          <w:rFonts w:cs="Arial"/>
          <w:sz w:val="14"/>
        </w:rPr>
        <w:t>JMV/CCR/EJDG</w:t>
      </w: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5B03AE" w:rsidRDefault="005B03AE" w:rsidP="00F2498E">
      <w:pPr>
        <w:spacing w:line="240" w:lineRule="auto"/>
      </w:pPr>
      <w:r>
        <w:separator/>
      </w:r>
    </w:p>
  </w:endnote>
  <w:endnote w:type="continuationSeparator" w:id="0">
    <w:p w14:paraId="635F6A4A" w14:textId="77777777" w:rsidR="005B03AE" w:rsidRDefault="005B03AE" w:rsidP="00F2498E">
      <w:pPr>
        <w:spacing w:line="240" w:lineRule="auto"/>
      </w:pPr>
      <w:r>
        <w:continuationSeparator/>
      </w:r>
    </w:p>
  </w:endnote>
  <w:endnote w:type="continuationNotice" w:id="1">
    <w:p w14:paraId="11168D4F" w14:textId="77777777" w:rsidR="005B03AE" w:rsidRDefault="005B0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4024F">
      <w:rPr>
        <w:rFonts w:ascii="Palatino Linotype" w:hAnsi="Palatino Linotype"/>
        <w:b/>
        <w:bCs/>
        <w:noProof/>
        <w:sz w:val="20"/>
      </w:rPr>
      <w:t>23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4024F">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4024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4024F">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5B03AE" w:rsidRDefault="005B03AE" w:rsidP="00F2498E">
      <w:pPr>
        <w:spacing w:line="240" w:lineRule="auto"/>
      </w:pPr>
      <w:r>
        <w:separator/>
      </w:r>
    </w:p>
  </w:footnote>
  <w:footnote w:type="continuationSeparator" w:id="0">
    <w:p w14:paraId="09E2BF4F" w14:textId="77777777" w:rsidR="005B03AE" w:rsidRDefault="005B03AE" w:rsidP="00F2498E">
      <w:pPr>
        <w:spacing w:line="240" w:lineRule="auto"/>
      </w:pPr>
      <w:r>
        <w:continuationSeparator/>
      </w:r>
    </w:p>
  </w:footnote>
  <w:footnote w:type="continuationNotice" w:id="1">
    <w:p w14:paraId="44B52FCD" w14:textId="77777777" w:rsidR="005B03AE" w:rsidRDefault="005B03AE">
      <w:pPr>
        <w:spacing w:line="240" w:lineRule="auto"/>
      </w:pPr>
    </w:p>
  </w:footnote>
  <w:footnote w:id="2">
    <w:p w14:paraId="43C603C4"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E8B458E"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p>
    <w:p w14:paraId="5FF819C6" w14:textId="77777777" w:rsidR="00281804" w:rsidRDefault="00281804" w:rsidP="00281804">
      <w:pPr>
        <w:spacing w:line="240" w:lineRule="auto"/>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C019BD1" w14:textId="77777777" w:rsidR="00281804" w:rsidRDefault="00281804" w:rsidP="00281804">
      <w:pPr>
        <w:spacing w:line="240" w:lineRule="auto"/>
        <w:rPr>
          <w:rFonts w:eastAsia="Palatino Linotype" w:cs="Palatino Linotype"/>
          <w:b/>
          <w:i/>
          <w:sz w:val="20"/>
          <w:szCs w:val="20"/>
        </w:rPr>
      </w:pPr>
    </w:p>
    <w:p w14:paraId="74C3876D" w14:textId="77777777" w:rsidR="00281804" w:rsidRDefault="00281804" w:rsidP="00281804">
      <w:pPr>
        <w:spacing w:line="240" w:lineRule="auto"/>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84024F">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045F7CD9" w:rsidR="005B03AE" w:rsidRPr="00096248" w:rsidRDefault="00DC3E75" w:rsidP="00C57E04">
          <w:pPr>
            <w:ind w:right="71"/>
            <w:jc w:val="right"/>
            <w:rPr>
              <w:rFonts w:cs="Arial"/>
              <w:b/>
              <w:szCs w:val="24"/>
            </w:rPr>
          </w:pPr>
          <w:r w:rsidRPr="00DC3E75">
            <w:rPr>
              <w:rFonts w:cs="Arial"/>
              <w:b/>
              <w:bCs/>
              <w:szCs w:val="24"/>
            </w:rPr>
            <w:t>03845/INFOEM/IP/RR/2025</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60808B9E" w:rsidR="005B03AE" w:rsidRPr="00096248" w:rsidRDefault="00DC3E75" w:rsidP="00E5413A">
          <w:pPr>
            <w:spacing w:line="240" w:lineRule="auto"/>
            <w:ind w:left="-81" w:right="71"/>
            <w:jc w:val="right"/>
            <w:rPr>
              <w:rFonts w:cs="Arial"/>
              <w:szCs w:val="24"/>
            </w:rPr>
          </w:pPr>
          <w:r w:rsidRPr="00DC3E75">
            <w:rPr>
              <w:rFonts w:cs="Arial"/>
              <w:szCs w:val="24"/>
            </w:rPr>
            <w:t>Ayuntamiento de Teoloyucan</w:t>
          </w:r>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84024F">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D3114CD" w:rsidR="005B03AE" w:rsidRPr="00C81ECD" w:rsidRDefault="00DC3E75" w:rsidP="005B03AE">
          <w:pPr>
            <w:spacing w:line="276" w:lineRule="auto"/>
            <w:ind w:left="-486" w:right="68" w:firstLine="558"/>
            <w:jc w:val="right"/>
            <w:rPr>
              <w:rFonts w:cs="Arial"/>
              <w:b/>
              <w:szCs w:val="24"/>
            </w:rPr>
          </w:pPr>
          <w:r w:rsidRPr="00DC3E75">
            <w:rPr>
              <w:rFonts w:cs="Arial"/>
              <w:b/>
              <w:bCs/>
              <w:szCs w:val="24"/>
            </w:rPr>
            <w:t>03845/INFOEM/IP/RR/2025</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4AF653EA" w:rsidR="005B03AE" w:rsidRPr="00663A37" w:rsidRDefault="00665962" w:rsidP="005B03AE">
          <w:pPr>
            <w:spacing w:line="276" w:lineRule="auto"/>
            <w:ind w:right="68"/>
            <w:jc w:val="right"/>
            <w:rPr>
              <w:rFonts w:cs="Arial"/>
              <w:szCs w:val="24"/>
            </w:rPr>
          </w:pPr>
          <w:r>
            <w:rPr>
              <w:rFonts w:cs="Arial"/>
              <w:szCs w:val="24"/>
            </w:rPr>
            <w:t>XXXXXXXXXXXX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1D1C6340" w:rsidR="005B03AE" w:rsidRPr="00663A37" w:rsidRDefault="00DC3E75" w:rsidP="005B03AE">
          <w:pPr>
            <w:spacing w:line="276" w:lineRule="auto"/>
            <w:ind w:left="-70" w:right="68"/>
            <w:jc w:val="right"/>
            <w:rPr>
              <w:rFonts w:cs="Arial"/>
              <w:szCs w:val="24"/>
            </w:rPr>
          </w:pPr>
          <w:r w:rsidRPr="00DC3E75">
            <w:rPr>
              <w:rFonts w:cs="Arial"/>
              <w:szCs w:val="24"/>
            </w:rPr>
            <w:t>Ayuntamiento de Teoloyucan</w:t>
          </w:r>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84024F">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71923"/>
    <w:multiLevelType w:val="hybridMultilevel"/>
    <w:tmpl w:val="136EE2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5ABF0CE3"/>
    <w:multiLevelType w:val="hybridMultilevel"/>
    <w:tmpl w:val="41DAA48E"/>
    <w:lvl w:ilvl="0" w:tplc="AC0E17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8"/>
  </w:num>
  <w:num w:numId="5">
    <w:abstractNumId w:val="15"/>
  </w:num>
  <w:num w:numId="6">
    <w:abstractNumId w:val="1"/>
  </w:num>
  <w:num w:numId="7">
    <w:abstractNumId w:val="14"/>
  </w:num>
  <w:num w:numId="8">
    <w:abstractNumId w:val="5"/>
  </w:num>
  <w:num w:numId="9">
    <w:abstractNumId w:val="0"/>
  </w:num>
  <w:num w:numId="10">
    <w:abstractNumId w:val="9"/>
  </w:num>
  <w:num w:numId="11">
    <w:abstractNumId w:val="10"/>
  </w:num>
  <w:num w:numId="12">
    <w:abstractNumId w:val="18"/>
  </w:num>
  <w:num w:numId="13">
    <w:abstractNumId w:val="13"/>
  </w:num>
  <w:num w:numId="14">
    <w:abstractNumId w:val="17"/>
  </w:num>
  <w:num w:numId="15">
    <w:abstractNumId w:val="3"/>
  </w:num>
  <w:num w:numId="16">
    <w:abstractNumId w:val="16"/>
  </w:num>
  <w:num w:numId="17">
    <w:abstractNumId w:val="2"/>
  </w:num>
  <w:num w:numId="18">
    <w:abstractNumId w:val="4"/>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30C18"/>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D55"/>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51B8"/>
    <w:rsid w:val="002A5ADD"/>
    <w:rsid w:val="002A5FDF"/>
    <w:rsid w:val="002A6FCE"/>
    <w:rsid w:val="002A7501"/>
    <w:rsid w:val="002B0EA1"/>
    <w:rsid w:val="002B2AD6"/>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40F6"/>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0FA"/>
    <w:rsid w:val="004579DC"/>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60129A"/>
    <w:rsid w:val="0060244C"/>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962"/>
    <w:rsid w:val="00665A8F"/>
    <w:rsid w:val="00667860"/>
    <w:rsid w:val="0067157E"/>
    <w:rsid w:val="00672247"/>
    <w:rsid w:val="0067259A"/>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0ED1"/>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76C"/>
    <w:rsid w:val="006F6AB6"/>
    <w:rsid w:val="00700C90"/>
    <w:rsid w:val="00701F34"/>
    <w:rsid w:val="007031A2"/>
    <w:rsid w:val="00704693"/>
    <w:rsid w:val="0070491A"/>
    <w:rsid w:val="00704AB9"/>
    <w:rsid w:val="007054D8"/>
    <w:rsid w:val="00706D47"/>
    <w:rsid w:val="007070E1"/>
    <w:rsid w:val="00711EE2"/>
    <w:rsid w:val="00712D71"/>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4024F"/>
    <w:rsid w:val="00841673"/>
    <w:rsid w:val="00841963"/>
    <w:rsid w:val="00845B52"/>
    <w:rsid w:val="00846D3E"/>
    <w:rsid w:val="00846DE7"/>
    <w:rsid w:val="00847780"/>
    <w:rsid w:val="008477B9"/>
    <w:rsid w:val="00847C27"/>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EDC"/>
    <w:rsid w:val="00897350"/>
    <w:rsid w:val="008A06D7"/>
    <w:rsid w:val="008A0C9F"/>
    <w:rsid w:val="008A14F6"/>
    <w:rsid w:val="008A1645"/>
    <w:rsid w:val="008A3E6F"/>
    <w:rsid w:val="008A56C3"/>
    <w:rsid w:val="008A7EF2"/>
    <w:rsid w:val="008B003A"/>
    <w:rsid w:val="008B0DFB"/>
    <w:rsid w:val="008B2951"/>
    <w:rsid w:val="008B2BBB"/>
    <w:rsid w:val="008B2BF4"/>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E7995"/>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0EDF"/>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3F4"/>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EF4"/>
    <w:rsid w:val="00A73EF9"/>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1E5E"/>
    <w:rsid w:val="00B629EA"/>
    <w:rsid w:val="00B62D2B"/>
    <w:rsid w:val="00B63807"/>
    <w:rsid w:val="00B6426B"/>
    <w:rsid w:val="00B6581C"/>
    <w:rsid w:val="00B65D4D"/>
    <w:rsid w:val="00B66649"/>
    <w:rsid w:val="00B67741"/>
    <w:rsid w:val="00B67DF0"/>
    <w:rsid w:val="00B720DB"/>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5930"/>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6362"/>
    <w:rsid w:val="00BF7293"/>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4348"/>
    <w:rsid w:val="00C870E1"/>
    <w:rsid w:val="00C8742E"/>
    <w:rsid w:val="00C90FC8"/>
    <w:rsid w:val="00C929B3"/>
    <w:rsid w:val="00C92A0D"/>
    <w:rsid w:val="00C9443B"/>
    <w:rsid w:val="00C9490F"/>
    <w:rsid w:val="00C95C7E"/>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15D2D"/>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4A0A"/>
    <w:rsid w:val="00DB5CD7"/>
    <w:rsid w:val="00DB6647"/>
    <w:rsid w:val="00DC0C9F"/>
    <w:rsid w:val="00DC1727"/>
    <w:rsid w:val="00DC1843"/>
    <w:rsid w:val="00DC33BA"/>
    <w:rsid w:val="00DC3E75"/>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168A"/>
    <w:rsid w:val="00E22FD4"/>
    <w:rsid w:val="00E23A0E"/>
    <w:rsid w:val="00E23EE3"/>
    <w:rsid w:val="00E245A1"/>
    <w:rsid w:val="00E24831"/>
    <w:rsid w:val="00E25228"/>
    <w:rsid w:val="00E27953"/>
    <w:rsid w:val="00E31001"/>
    <w:rsid w:val="00E314BF"/>
    <w:rsid w:val="00E34A4E"/>
    <w:rsid w:val="00E37872"/>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4A0"/>
    <w:rsid w:val="00E65521"/>
    <w:rsid w:val="00E65D6D"/>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B6D1C"/>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09B5-DC0E-498D-B72F-5F20B2AA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5438</Words>
  <Characters>29912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10</cp:revision>
  <cp:lastPrinted>2019-06-13T15:30:00Z</cp:lastPrinted>
  <dcterms:created xsi:type="dcterms:W3CDTF">2025-05-08T22:52:00Z</dcterms:created>
  <dcterms:modified xsi:type="dcterms:W3CDTF">2025-07-01T23:56:00Z</dcterms:modified>
</cp:coreProperties>
</file>