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083" w:rsidRPr="00031A97" w:rsidRDefault="00DB4AE2">
      <w:pPr>
        <w:tabs>
          <w:tab w:val="left" w:pos="3465"/>
        </w:tabs>
        <w:spacing w:line="360" w:lineRule="auto"/>
        <w:ind w:right="-787"/>
        <w:jc w:val="both"/>
        <w:rPr>
          <w:rFonts w:ascii="Palatino Linotype" w:eastAsia="Palatino Linotype" w:hAnsi="Palatino Linotype" w:cs="Palatino Linotype"/>
        </w:rPr>
      </w:pPr>
      <w:r w:rsidRPr="00031A97">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196083" w:rsidRPr="00031A97" w:rsidRDefault="00196083">
      <w:pPr>
        <w:tabs>
          <w:tab w:val="left" w:pos="3465"/>
        </w:tabs>
        <w:spacing w:line="360" w:lineRule="auto"/>
        <w:ind w:right="-787"/>
        <w:jc w:val="both"/>
        <w:rPr>
          <w:rFonts w:ascii="Palatino Linotype" w:eastAsia="Palatino Linotype" w:hAnsi="Palatino Linotype" w:cs="Palatino Linotype"/>
        </w:rPr>
      </w:pPr>
    </w:p>
    <w:p w:rsidR="00196083" w:rsidRPr="00031A97" w:rsidRDefault="00DB4AE2">
      <w:pPr>
        <w:spacing w:line="360" w:lineRule="auto"/>
        <w:ind w:right="-787"/>
        <w:jc w:val="both"/>
        <w:rPr>
          <w:rFonts w:ascii="Palatino Linotype" w:eastAsia="Palatino Linotype" w:hAnsi="Palatino Linotype" w:cs="Palatino Linotype"/>
        </w:rPr>
      </w:pPr>
      <w:r w:rsidRPr="00031A97">
        <w:rPr>
          <w:rFonts w:ascii="Palatino Linotype" w:eastAsia="Palatino Linotype" w:hAnsi="Palatino Linotype" w:cs="Palatino Linotype"/>
          <w:b/>
        </w:rPr>
        <w:t xml:space="preserve">VISTAS </w:t>
      </w:r>
      <w:r w:rsidRPr="00031A97">
        <w:rPr>
          <w:rFonts w:ascii="Palatino Linotype" w:eastAsia="Palatino Linotype" w:hAnsi="Palatino Linotype" w:cs="Palatino Linotype"/>
        </w:rPr>
        <w:t xml:space="preserve">las constancias para resolver el recurso de revisión </w:t>
      </w:r>
      <w:r w:rsidR="00E40CFB" w:rsidRPr="00031A97">
        <w:rPr>
          <w:rFonts w:ascii="Palatino Linotype" w:eastAsia="Palatino Linotype" w:hAnsi="Palatino Linotype" w:cs="Palatino Linotype"/>
          <w:b/>
          <w:color w:val="000000"/>
          <w:szCs w:val="22"/>
        </w:rPr>
        <w:t>07173/INFOEM/IP/RR/2024</w:t>
      </w:r>
      <w:r w:rsidR="00E40CFB" w:rsidRPr="00031A97">
        <w:rPr>
          <w:rFonts w:ascii="Palatino Linotype" w:eastAsia="Palatino Linotype" w:hAnsi="Palatino Linotype" w:cs="Palatino Linotype"/>
          <w:color w:val="000000"/>
          <w:sz w:val="22"/>
          <w:szCs w:val="22"/>
        </w:rPr>
        <w:t xml:space="preserve">, </w:t>
      </w:r>
      <w:r w:rsidRPr="00031A97">
        <w:rPr>
          <w:rFonts w:ascii="Palatino Linotype" w:eastAsia="Palatino Linotype" w:hAnsi="Palatino Linotype" w:cs="Palatino Linotype"/>
        </w:rPr>
        <w:t>presentado por</w:t>
      </w:r>
      <w:r w:rsidRPr="00031A97">
        <w:rPr>
          <w:rFonts w:ascii="Palatino Linotype" w:eastAsia="Palatino Linotype" w:hAnsi="Palatino Linotype" w:cs="Palatino Linotype"/>
          <w:b/>
        </w:rPr>
        <w:t xml:space="preserve"> </w:t>
      </w:r>
      <w:r w:rsidR="00C21EFB" w:rsidRPr="00031A97">
        <w:rPr>
          <w:rFonts w:ascii="Palatino Linotype" w:eastAsia="Palatino Linotype" w:hAnsi="Palatino Linotype" w:cs="Palatino Linotype"/>
          <w:b/>
          <w:color w:val="000000"/>
        </w:rPr>
        <w:t>XXXXXXXXX</w:t>
      </w:r>
      <w:r w:rsidRPr="00031A97">
        <w:rPr>
          <w:rFonts w:ascii="Palatino Linotype" w:eastAsia="Palatino Linotype" w:hAnsi="Palatino Linotype" w:cs="Palatino Linotype"/>
          <w:b/>
          <w:color w:val="000000"/>
        </w:rPr>
        <w:t xml:space="preserve">, </w:t>
      </w:r>
      <w:r w:rsidRPr="00031A97">
        <w:rPr>
          <w:rFonts w:ascii="Palatino Linotype" w:eastAsia="Palatino Linotype" w:hAnsi="Palatino Linotype" w:cs="Palatino Linotype"/>
        </w:rPr>
        <w:t xml:space="preserve">en lo sucesivo </w:t>
      </w:r>
      <w:r w:rsidRPr="00031A97">
        <w:rPr>
          <w:rFonts w:ascii="Palatino Linotype" w:eastAsia="Palatino Linotype" w:hAnsi="Palatino Linotype" w:cs="Palatino Linotype"/>
          <w:b/>
        </w:rPr>
        <w:t>EL RECURRENTE</w:t>
      </w:r>
      <w:r w:rsidRPr="00031A97">
        <w:rPr>
          <w:rFonts w:ascii="Palatino Linotype" w:eastAsia="Palatino Linotype" w:hAnsi="Palatino Linotype" w:cs="Palatino Linotype"/>
        </w:rPr>
        <w:t xml:space="preserve">, en contra de la respuesta otorgada a la solicitud de información con número de folio </w:t>
      </w:r>
      <w:r w:rsidRPr="00031A97">
        <w:rPr>
          <w:rFonts w:ascii="Palatino Linotype" w:eastAsia="Palatino Linotype" w:hAnsi="Palatino Linotype" w:cs="Palatino Linotype"/>
          <w:b/>
        </w:rPr>
        <w:t>00688/SECTI/IP/2024</w:t>
      </w:r>
      <w:r w:rsidRPr="00031A97">
        <w:rPr>
          <w:rFonts w:ascii="Palatino Linotype" w:eastAsia="Palatino Linotype" w:hAnsi="Palatino Linotype" w:cs="Palatino Linotype"/>
        </w:rPr>
        <w:t xml:space="preserve">, por parte de la </w:t>
      </w:r>
      <w:r w:rsidRPr="00031A97">
        <w:rPr>
          <w:rFonts w:ascii="Palatino Linotype" w:eastAsia="Palatino Linotype" w:hAnsi="Palatino Linotype" w:cs="Palatino Linotype"/>
          <w:b/>
        </w:rPr>
        <w:t xml:space="preserve">Secretaría de Educación, Ciencia, Tecnología e Innovación, </w:t>
      </w:r>
      <w:r w:rsidRPr="00031A97">
        <w:rPr>
          <w:rFonts w:ascii="Palatino Linotype" w:eastAsia="Palatino Linotype" w:hAnsi="Palatino Linotype" w:cs="Palatino Linotype"/>
        </w:rPr>
        <w:t xml:space="preserve">en adelante el </w:t>
      </w:r>
      <w:r w:rsidRPr="00031A97">
        <w:rPr>
          <w:rFonts w:ascii="Palatino Linotype" w:eastAsia="Palatino Linotype" w:hAnsi="Palatino Linotype" w:cs="Palatino Linotype"/>
          <w:b/>
        </w:rPr>
        <w:t>SUJETO OBLIGADO</w:t>
      </w:r>
      <w:r w:rsidRPr="00031A97">
        <w:rPr>
          <w:rFonts w:ascii="Palatino Linotype" w:eastAsia="Palatino Linotype" w:hAnsi="Palatino Linotype" w:cs="Palatino Linotype"/>
        </w:rPr>
        <w:t>, se emite la presente resolución con base en los siguientes:</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031A97">
        <w:rPr>
          <w:rFonts w:ascii="Palatino Linotype" w:eastAsia="Palatino Linotype" w:hAnsi="Palatino Linotype" w:cs="Palatino Linotype"/>
          <w:b/>
          <w:color w:val="000000"/>
          <w:sz w:val="24"/>
          <w:szCs w:val="24"/>
        </w:rPr>
        <w:t>A N T E C E D E N T E S</w:t>
      </w:r>
    </w:p>
    <w:p w:rsidR="00196083" w:rsidRPr="00031A97" w:rsidRDefault="00196083">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u w:val="single"/>
        </w:rPr>
      </w:pPr>
    </w:p>
    <w:p w:rsidR="00196083" w:rsidRPr="00031A97" w:rsidRDefault="00DB4AE2">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031A97">
        <w:rPr>
          <w:rFonts w:ascii="Palatino Linotype" w:eastAsia="Palatino Linotype" w:hAnsi="Palatino Linotype" w:cs="Palatino Linotype"/>
          <w:color w:val="000000"/>
        </w:rPr>
        <w:t>El día</w:t>
      </w:r>
      <w:r w:rsidRPr="00031A97">
        <w:rPr>
          <w:rFonts w:ascii="Palatino Linotype" w:eastAsia="Palatino Linotype" w:hAnsi="Palatino Linotype" w:cs="Palatino Linotype"/>
          <w:b/>
          <w:color w:val="000000"/>
        </w:rPr>
        <w:t xml:space="preserve"> veinticuatro de octubre de dos mil veinticuatro</w:t>
      </w:r>
      <w:r w:rsidRPr="00031A97">
        <w:rPr>
          <w:rFonts w:ascii="Palatino Linotype" w:eastAsia="Palatino Linotype" w:hAnsi="Palatino Linotype" w:cs="Palatino Linotype"/>
          <w:color w:val="000000"/>
        </w:rPr>
        <w:t>,</w:t>
      </w:r>
      <w:r w:rsidRPr="00031A97">
        <w:rPr>
          <w:rFonts w:ascii="Palatino Linotype" w:eastAsia="Palatino Linotype" w:hAnsi="Palatino Linotype" w:cs="Palatino Linotype"/>
          <w:b/>
          <w:color w:val="000000"/>
        </w:rPr>
        <w:t xml:space="preserve"> </w:t>
      </w:r>
      <w:r w:rsidRPr="00031A97">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196083" w:rsidRPr="00031A97" w:rsidRDefault="0019608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96083" w:rsidRPr="00031A97" w:rsidRDefault="00DB4AE2">
      <w:pPr>
        <w:pBdr>
          <w:top w:val="nil"/>
          <w:left w:val="nil"/>
          <w:bottom w:val="nil"/>
          <w:right w:val="nil"/>
          <w:between w:val="nil"/>
        </w:pBdr>
        <w:spacing w:line="360" w:lineRule="auto"/>
        <w:ind w:left="426" w:right="-787"/>
        <w:jc w:val="both"/>
        <w:rPr>
          <w:rFonts w:ascii="Palatino Linotype" w:eastAsia="Palatino Linotype" w:hAnsi="Palatino Linotype" w:cs="Palatino Linotype"/>
          <w:i/>
          <w:color w:val="000000"/>
        </w:rPr>
      </w:pPr>
      <w:r w:rsidRPr="00031A97">
        <w:rPr>
          <w:rFonts w:ascii="Palatino Linotype" w:eastAsia="Palatino Linotype" w:hAnsi="Palatino Linotype" w:cs="Palatino Linotype"/>
          <w:i/>
          <w:color w:val="000000"/>
        </w:rPr>
        <w:t xml:space="preserve">“La subdirección de formación continua oferta 4 cursos autogetivos en la plataforma MOODLE Y E-LEARNING, entre ellos el curso Igualdad de género en la educación básica y Preescolar y los cuatro campos formativos, por ello requiero saber el nombre de las partes contratantes de la plataforma MOODLE Y E-LEARNING, el costo de contratación de la plataforma MOODLE Y E-LEARNING, el dictamen de adjudicación para adquirir la plataforma MOODLE Y E-LEARNING, copua del contrato de servicios de la plataforma MOODLE Y E-LEARNING y la subdirección de formación continua, la forma en que se comparten datos personales de los servidores públicos inscritos en la plataforma MOODLE Y E-LEARNING y con las personas </w:t>
      </w:r>
      <w:r w:rsidRPr="00031A97">
        <w:rPr>
          <w:rFonts w:ascii="Palatino Linotype" w:eastAsia="Palatino Linotype" w:hAnsi="Palatino Linotype" w:cs="Palatino Linotype"/>
          <w:i/>
          <w:color w:val="000000"/>
        </w:rPr>
        <w:lastRenderedPageBreak/>
        <w:t>morales que auspician los cursos autogestivos, el aviso de privacidad, con derechos arco que la subdirección de formación continua realizó para el manejo de los datos personales de los 4 cursos autogestivos, ya sea con la plataforma MOODLE Y E-LEARNING y/o con las personas morales que auspician los cursos que están alojados en la url https://sifc-autogestivos.info/ y que fue indexó por primera vez en enero de 2024 en Google.”</w:t>
      </w:r>
    </w:p>
    <w:p w:rsidR="00196083" w:rsidRPr="00031A97" w:rsidRDefault="00196083">
      <w:pPr>
        <w:pBdr>
          <w:top w:val="nil"/>
          <w:left w:val="nil"/>
          <w:bottom w:val="nil"/>
          <w:right w:val="nil"/>
          <w:between w:val="nil"/>
        </w:pBdr>
        <w:tabs>
          <w:tab w:val="left" w:pos="0"/>
        </w:tabs>
        <w:spacing w:line="360" w:lineRule="auto"/>
        <w:ind w:left="709" w:right="-787"/>
        <w:jc w:val="both"/>
        <w:rPr>
          <w:rFonts w:ascii="Palatino Linotype" w:eastAsia="Palatino Linotype" w:hAnsi="Palatino Linotype" w:cs="Palatino Linotype"/>
          <w:b/>
          <w:color w:val="000000"/>
          <w:u w:val="single"/>
        </w:rPr>
      </w:pPr>
    </w:p>
    <w:p w:rsidR="00196083" w:rsidRPr="00031A97" w:rsidRDefault="00DB4AE2">
      <w:pPr>
        <w:numPr>
          <w:ilvl w:val="0"/>
          <w:numId w:val="1"/>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b/>
          <w:color w:val="000000"/>
        </w:rPr>
      </w:pPr>
      <w:r w:rsidRPr="00031A97">
        <w:rPr>
          <w:rFonts w:ascii="Palatino Linotype" w:eastAsia="Palatino Linotype" w:hAnsi="Palatino Linotype" w:cs="Palatino Linotype"/>
          <w:color w:val="000000"/>
        </w:rPr>
        <w:t xml:space="preserve">El </w:t>
      </w:r>
      <w:r w:rsidRPr="00031A97">
        <w:rPr>
          <w:rFonts w:ascii="Palatino Linotype" w:eastAsia="Palatino Linotype" w:hAnsi="Palatino Linotype" w:cs="Palatino Linotype"/>
          <w:b/>
          <w:color w:val="000000"/>
        </w:rPr>
        <w:t>doce de noviembre de dos mil veinticuatro</w:t>
      </w:r>
      <w:r w:rsidRPr="00031A97">
        <w:rPr>
          <w:rFonts w:ascii="Palatino Linotype" w:eastAsia="Palatino Linotype" w:hAnsi="Palatino Linotype" w:cs="Palatino Linotype"/>
          <w:color w:val="000000"/>
        </w:rPr>
        <w:t>, el Sujeto Obligado</w:t>
      </w:r>
      <w:r w:rsidRPr="00031A97">
        <w:rPr>
          <w:rFonts w:ascii="Palatino Linotype" w:eastAsia="Palatino Linotype" w:hAnsi="Palatino Linotype" w:cs="Palatino Linotype"/>
          <w:b/>
          <w:color w:val="000000"/>
        </w:rPr>
        <w:t>,</w:t>
      </w:r>
      <w:r w:rsidRPr="00031A97">
        <w:rPr>
          <w:rFonts w:ascii="Palatino Linotype" w:eastAsia="Palatino Linotype" w:hAnsi="Palatino Linotype" w:cs="Palatino Linotype"/>
          <w:color w:val="000000"/>
        </w:rPr>
        <w:t xml:space="preserve"> dio respuesta a través de tres archivos </w:t>
      </w:r>
      <w:r w:rsidRPr="00031A97">
        <w:rPr>
          <w:rFonts w:ascii="Palatino Linotype" w:eastAsia="Palatino Linotype" w:hAnsi="Palatino Linotype" w:cs="Palatino Linotype"/>
          <w:b/>
          <w:i/>
          <w:color w:val="000000"/>
        </w:rPr>
        <w:t>SPH_UT_688 SUB FORMACION CONTINUA.pdf, SPH_UT_688_DEPTO ADQUISICIONES.pdf</w:t>
      </w:r>
      <w:r w:rsidRPr="00031A97">
        <w:rPr>
          <w:rFonts w:ascii="Palatino Linotype" w:eastAsia="Palatino Linotype" w:hAnsi="Palatino Linotype" w:cs="Palatino Linotype"/>
          <w:color w:val="000000"/>
        </w:rPr>
        <w:t xml:space="preserve"> y,</w:t>
      </w:r>
      <w:r w:rsidRPr="00031A97">
        <w:rPr>
          <w:rFonts w:ascii="Palatino Linotype" w:eastAsia="Palatino Linotype" w:hAnsi="Palatino Linotype" w:cs="Palatino Linotype"/>
          <w:b/>
          <w:i/>
          <w:color w:val="000000"/>
        </w:rPr>
        <w:t xml:space="preserve"> RESPUESTA_UT_688.pdf, </w:t>
      </w:r>
      <w:r w:rsidRPr="00031A97">
        <w:rPr>
          <w:rFonts w:ascii="Palatino Linotype" w:eastAsia="Palatino Linotype" w:hAnsi="Palatino Linotype" w:cs="Palatino Linotype"/>
          <w:color w:val="000000"/>
        </w:rPr>
        <w:t>cuyo contenido corresponde a los oficios generados para la atención de la solicitud de información del que destaca el suscrito por el servidor público habilitado de la Subdirección de Formación Continua, en el que de manera disgregada da atención a cada uno de los planteamientos expuestos de la solicitud de información, como se observa:</w:t>
      </w:r>
    </w:p>
    <w:tbl>
      <w:tblPr>
        <w:tblStyle w:val="a"/>
        <w:tblW w:w="9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710"/>
      </w:tblGrid>
      <w:tr w:rsidR="00196083" w:rsidRPr="00031A97">
        <w:tc>
          <w:tcPr>
            <w:tcW w:w="4725" w:type="dxa"/>
          </w:tcPr>
          <w:p w:rsidR="00196083" w:rsidRPr="00031A97" w:rsidRDefault="00DB4AE2">
            <w:pPr>
              <w:tabs>
                <w:tab w:val="left" w:pos="0"/>
                <w:tab w:val="left" w:pos="3126"/>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"...el nombre de las partes contratantes..."</w:t>
            </w:r>
          </w:p>
        </w:tc>
        <w:tc>
          <w:tcPr>
            <w:tcW w:w="4710"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…es un servidor, Jesús Vargas Miranda..."</w:t>
            </w:r>
          </w:p>
        </w:tc>
      </w:tr>
      <w:tr w:rsidR="00196083" w:rsidRPr="00031A97">
        <w:tc>
          <w:tcPr>
            <w:tcW w:w="4725"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"...el costo de la contratación..."</w:t>
            </w:r>
          </w:p>
        </w:tc>
        <w:tc>
          <w:tcPr>
            <w:tcW w:w="4710"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“No existe una contratación, dado que el costo de este servicio fue donado por un servidor, como Titular a este Dependencia con la finalidad de ofrecer un servicio más de capacitación..."</w:t>
            </w:r>
          </w:p>
        </w:tc>
      </w:tr>
      <w:tr w:rsidR="00196083" w:rsidRPr="00031A97">
        <w:tc>
          <w:tcPr>
            <w:tcW w:w="4725"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"...el dictamen de adjudicación..."</w:t>
            </w:r>
          </w:p>
        </w:tc>
        <w:tc>
          <w:tcPr>
            <w:tcW w:w="4710"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“No existe un dictamen de atribución administrativa o legal, no se generó no se solicitó oficialmente..."</w:t>
            </w:r>
          </w:p>
        </w:tc>
      </w:tr>
      <w:tr w:rsidR="00196083" w:rsidRPr="00031A97">
        <w:tc>
          <w:tcPr>
            <w:tcW w:w="4725"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"...copia del contrato..."</w:t>
            </w:r>
          </w:p>
        </w:tc>
        <w:tc>
          <w:tcPr>
            <w:tcW w:w="4710"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“No existe un contrato de servicios..."</w:t>
            </w:r>
          </w:p>
        </w:tc>
      </w:tr>
      <w:tr w:rsidR="00196083" w:rsidRPr="00031A97">
        <w:tc>
          <w:tcPr>
            <w:tcW w:w="4725"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"...en que se comparten datos personales de los servidores públicos..."</w:t>
            </w:r>
          </w:p>
        </w:tc>
        <w:tc>
          <w:tcPr>
            <w:tcW w:w="4710"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“...no se comparten datos personales...”</w:t>
            </w:r>
          </w:p>
        </w:tc>
      </w:tr>
      <w:tr w:rsidR="00196083" w:rsidRPr="00031A97">
        <w:tc>
          <w:tcPr>
            <w:tcW w:w="4725"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lastRenderedPageBreak/>
              <w:t>"...el aviso de privacidad..."</w:t>
            </w:r>
          </w:p>
        </w:tc>
        <w:tc>
          <w:tcPr>
            <w:tcW w:w="4710" w:type="dxa"/>
          </w:tcPr>
          <w:p w:rsidR="00196083" w:rsidRPr="00031A97" w:rsidRDefault="00DB4AE2">
            <w:pPr>
              <w:tabs>
                <w:tab w:val="left" w:pos="0"/>
              </w:tabs>
              <w:spacing w:line="360" w:lineRule="auto"/>
              <w:ind w:right="89"/>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“Para uso de esta Plataforma, no se cuenta con un aviso de privacidad con derechos arco, derivado que los docentes inscritos a los cuatro cursos autogestivos, realizaron su respectiva inscripción en el Sistema Integral de Formación Continua..."</w:t>
            </w:r>
          </w:p>
        </w:tc>
      </w:tr>
    </w:tbl>
    <w:p w:rsidR="00196083" w:rsidRPr="00031A97" w:rsidRDefault="00196083">
      <w:pPr>
        <w:tabs>
          <w:tab w:val="left" w:pos="0"/>
        </w:tabs>
        <w:spacing w:line="360" w:lineRule="auto"/>
        <w:ind w:right="-787"/>
        <w:jc w:val="both"/>
        <w:rPr>
          <w:rFonts w:ascii="Palatino Linotype" w:eastAsia="Palatino Linotype" w:hAnsi="Palatino Linotype" w:cs="Palatino Linotype"/>
          <w:b/>
          <w:color w:val="000000"/>
        </w:rPr>
      </w:pPr>
    </w:p>
    <w:p w:rsidR="00196083" w:rsidRPr="00031A97" w:rsidRDefault="00196083">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i/>
          <w:color w:val="000000"/>
          <w:u w:val="single"/>
        </w:rPr>
      </w:pPr>
      <w:bookmarkStart w:id="1" w:name="_heading=h.30j0zll" w:colFirst="0" w:colLast="0"/>
      <w:bookmarkEnd w:id="1"/>
    </w:p>
    <w:p w:rsidR="00196083" w:rsidRPr="00031A97" w:rsidRDefault="00DB4AE2">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031A97">
        <w:rPr>
          <w:rFonts w:ascii="Palatino Linotype" w:eastAsia="Palatino Linotype" w:hAnsi="Palatino Linotype" w:cs="Palatino Linotype"/>
          <w:color w:val="000000"/>
        </w:rPr>
        <w:t>El</w:t>
      </w:r>
      <w:r w:rsidRPr="00031A97">
        <w:rPr>
          <w:rFonts w:ascii="Palatino Linotype" w:eastAsia="Palatino Linotype" w:hAnsi="Palatino Linotype" w:cs="Palatino Linotype"/>
          <w:b/>
          <w:color w:val="000000"/>
        </w:rPr>
        <w:t xml:space="preserve"> doce de noviembre de dos mil veinticuatro</w:t>
      </w:r>
      <w:r w:rsidRPr="00031A97">
        <w:rPr>
          <w:rFonts w:ascii="Palatino Linotype" w:eastAsia="Palatino Linotype" w:hAnsi="Palatino Linotype" w:cs="Palatino Linotype"/>
          <w:color w:val="000000"/>
        </w:rPr>
        <w:t>, el particular interpuso el recurso de revisión en contra de la respuesta, realizando las siguientes manifestaciones:</w:t>
      </w:r>
    </w:p>
    <w:p w:rsidR="00196083" w:rsidRPr="00031A97" w:rsidRDefault="00DB4AE2" w:rsidP="002A2EE5">
      <w:pPr>
        <w:numPr>
          <w:ilvl w:val="0"/>
          <w:numId w:val="2"/>
        </w:numPr>
        <w:pBdr>
          <w:top w:val="nil"/>
          <w:left w:val="nil"/>
          <w:bottom w:val="nil"/>
          <w:right w:val="nil"/>
          <w:between w:val="nil"/>
        </w:pBdr>
        <w:spacing w:line="360" w:lineRule="auto"/>
        <w:ind w:right="-234" w:hanging="360"/>
        <w:jc w:val="both"/>
        <w:rPr>
          <w:rFonts w:ascii="Palatino Linotype" w:eastAsia="Palatino Linotype" w:hAnsi="Palatino Linotype" w:cs="Palatino Linotype"/>
          <w:i/>
          <w:color w:val="000000"/>
          <w:sz w:val="22"/>
        </w:rPr>
      </w:pPr>
      <w:bookmarkStart w:id="2" w:name="_heading=h.1fob9te" w:colFirst="0" w:colLast="0"/>
      <w:bookmarkEnd w:id="2"/>
      <w:r w:rsidRPr="00031A97">
        <w:rPr>
          <w:rFonts w:ascii="Palatino Linotype" w:eastAsia="Palatino Linotype" w:hAnsi="Palatino Linotype" w:cs="Palatino Linotype"/>
          <w:b/>
          <w:color w:val="000000"/>
          <w:sz w:val="22"/>
        </w:rPr>
        <w:t xml:space="preserve">ACTO IMPUGNADO: </w:t>
      </w:r>
      <w:r w:rsidRPr="00031A97">
        <w:rPr>
          <w:rFonts w:ascii="Palatino Linotype" w:eastAsia="Palatino Linotype" w:hAnsi="Palatino Linotype" w:cs="Palatino Linotype"/>
          <w:i/>
          <w:color w:val="000000"/>
          <w:sz w:val="22"/>
        </w:rPr>
        <w:t xml:space="preserve">“La contestación consagrada en el oficio número 22801000000100L/3586/2024 de fecha 31 de octubre 2024 al ser incompleta y </w:t>
      </w:r>
      <w:r w:rsidRPr="00031A97">
        <w:rPr>
          <w:rFonts w:ascii="Palatino Linotype" w:eastAsia="Palatino Linotype" w:hAnsi="Palatino Linotype" w:cs="Palatino Linotype"/>
          <w:b/>
          <w:i/>
          <w:color w:val="000000"/>
          <w:sz w:val="22"/>
        </w:rPr>
        <w:t>presuntamente falsa</w:t>
      </w:r>
      <w:r w:rsidRPr="00031A97">
        <w:rPr>
          <w:rFonts w:ascii="Palatino Linotype" w:eastAsia="Palatino Linotype" w:hAnsi="Palatino Linotype" w:cs="Palatino Linotype"/>
          <w:i/>
          <w:color w:val="000000"/>
          <w:sz w:val="22"/>
        </w:rPr>
        <w:t>”</w:t>
      </w:r>
    </w:p>
    <w:p w:rsidR="00196083" w:rsidRPr="00031A97" w:rsidRDefault="00DB4AE2" w:rsidP="002A2EE5">
      <w:pPr>
        <w:numPr>
          <w:ilvl w:val="0"/>
          <w:numId w:val="2"/>
        </w:numPr>
        <w:pBdr>
          <w:top w:val="nil"/>
          <w:left w:val="nil"/>
          <w:bottom w:val="nil"/>
          <w:right w:val="nil"/>
          <w:between w:val="nil"/>
        </w:pBdr>
        <w:spacing w:line="360" w:lineRule="auto"/>
        <w:ind w:right="-234" w:hanging="360"/>
        <w:jc w:val="both"/>
        <w:rPr>
          <w:rFonts w:ascii="Palatino Linotype" w:eastAsia="Palatino Linotype" w:hAnsi="Palatino Linotype" w:cs="Palatino Linotype"/>
          <w:i/>
          <w:color w:val="000000"/>
          <w:sz w:val="22"/>
        </w:rPr>
      </w:pPr>
      <w:r w:rsidRPr="00031A97">
        <w:rPr>
          <w:rFonts w:ascii="Palatino Linotype" w:eastAsia="Palatino Linotype" w:hAnsi="Palatino Linotype" w:cs="Palatino Linotype"/>
          <w:b/>
          <w:color w:val="000000"/>
          <w:sz w:val="22"/>
        </w:rPr>
        <w:t xml:space="preserve">RAZONES O MOTIVOS DE LA INCONFORMIDAD: </w:t>
      </w:r>
      <w:r w:rsidRPr="00031A97">
        <w:rPr>
          <w:rFonts w:ascii="Palatino Linotype" w:eastAsia="Palatino Linotype" w:hAnsi="Palatino Linotype" w:cs="Palatino Linotype"/>
          <w:i/>
          <w:color w:val="000000"/>
          <w:sz w:val="22"/>
        </w:rPr>
        <w:t xml:space="preserve">“Se solicito el </w:t>
      </w:r>
      <w:r w:rsidRPr="00031A97">
        <w:rPr>
          <w:rFonts w:ascii="Palatino Linotype" w:eastAsia="Palatino Linotype" w:hAnsi="Palatino Linotype" w:cs="Palatino Linotype"/>
          <w:b/>
          <w:i/>
          <w:color w:val="000000"/>
          <w:sz w:val="22"/>
        </w:rPr>
        <w:t>nombre de los contratantes</w:t>
      </w:r>
      <w:r w:rsidRPr="00031A97">
        <w:rPr>
          <w:rFonts w:ascii="Palatino Linotype" w:eastAsia="Palatino Linotype" w:hAnsi="Palatino Linotype" w:cs="Palatino Linotype"/>
          <w:i/>
          <w:color w:val="000000"/>
          <w:sz w:val="22"/>
        </w:rPr>
        <w:t xml:space="preserve"> de la plataforma moodle y e-learning, </w:t>
      </w:r>
      <w:r w:rsidRPr="00031A97">
        <w:rPr>
          <w:rFonts w:ascii="Palatino Linotype" w:eastAsia="Palatino Linotype" w:hAnsi="Palatino Linotype" w:cs="Palatino Linotype"/>
          <w:b/>
          <w:i/>
          <w:color w:val="000000"/>
          <w:sz w:val="22"/>
        </w:rPr>
        <w:t>el costo</w:t>
      </w:r>
      <w:r w:rsidRPr="00031A97">
        <w:rPr>
          <w:rFonts w:ascii="Palatino Linotype" w:eastAsia="Palatino Linotype" w:hAnsi="Palatino Linotype" w:cs="Palatino Linotype"/>
          <w:i/>
          <w:color w:val="000000"/>
          <w:sz w:val="22"/>
        </w:rPr>
        <w:t xml:space="preserve"> de la misma,</w:t>
      </w:r>
      <w:r w:rsidRPr="00031A97">
        <w:rPr>
          <w:rFonts w:ascii="Palatino Linotype" w:eastAsia="Palatino Linotype" w:hAnsi="Palatino Linotype" w:cs="Palatino Linotype"/>
          <w:b/>
          <w:i/>
          <w:color w:val="000000"/>
          <w:sz w:val="22"/>
        </w:rPr>
        <w:t xml:space="preserve">copia del contrato </w:t>
      </w:r>
      <w:r w:rsidRPr="00031A97">
        <w:rPr>
          <w:rFonts w:ascii="Palatino Linotype" w:eastAsia="Palatino Linotype" w:hAnsi="Palatino Linotype" w:cs="Palatino Linotype"/>
          <w:i/>
          <w:color w:val="000000"/>
          <w:sz w:val="22"/>
        </w:rPr>
        <w:t>de servicios de la plataforma moodle y e-learning,sin embargose pretende eludir la exhibición de la documentación solicitada argumentando el firmante en suplencia de la subdirección de formación continua, quien argumenta queno existe contrato de servicios de la plataforma moodle,</w:t>
      </w:r>
      <w:r w:rsidRPr="00031A97">
        <w:rPr>
          <w:rFonts w:ascii="Palatino Linotype" w:eastAsia="Palatino Linotype" w:hAnsi="Palatino Linotype" w:cs="Palatino Linotype"/>
          <w:b/>
          <w:i/>
          <w:color w:val="000000"/>
          <w:sz w:val="22"/>
        </w:rPr>
        <w:t>lo cual carece de veracidad</w:t>
      </w:r>
      <w:r w:rsidRPr="00031A97">
        <w:rPr>
          <w:rFonts w:ascii="Palatino Linotype" w:eastAsia="Palatino Linotype" w:hAnsi="Palatino Linotype" w:cs="Palatino Linotype"/>
          <w:i/>
          <w:color w:val="000000"/>
          <w:sz w:val="22"/>
        </w:rPr>
        <w:t xml:space="preserve">,toda vez que para la adquisición de un bien o servicio siempre existe un contrato,aunado a </w:t>
      </w:r>
      <w:r w:rsidRPr="00031A97">
        <w:rPr>
          <w:rFonts w:ascii="Palatino Linotype" w:eastAsia="Palatino Linotype" w:hAnsi="Palatino Linotype" w:cs="Palatino Linotype"/>
          <w:b/>
          <w:i/>
          <w:color w:val="000000"/>
          <w:sz w:val="22"/>
        </w:rPr>
        <w:t>que pretende eludir la exhibición del contrato</w:t>
      </w:r>
      <w:r w:rsidRPr="00031A97">
        <w:rPr>
          <w:rFonts w:ascii="Palatino Linotype" w:eastAsia="Palatino Linotype" w:hAnsi="Palatino Linotype" w:cs="Palatino Linotype"/>
          <w:i/>
          <w:color w:val="000000"/>
          <w:sz w:val="22"/>
        </w:rPr>
        <w:t xml:space="preserve"> de la plataforma moodle, argumentando que él la adquirió de manera personal, pero que dono como titular de la dependencia, </w:t>
      </w:r>
      <w:r w:rsidRPr="00031A97">
        <w:rPr>
          <w:rFonts w:ascii="Palatino Linotype" w:eastAsia="Palatino Linotype" w:hAnsi="Palatino Linotype" w:cs="Palatino Linotype"/>
          <w:b/>
          <w:i/>
          <w:color w:val="000000"/>
          <w:sz w:val="22"/>
        </w:rPr>
        <w:t xml:space="preserve">sin acreditar la donación de conformidad </w:t>
      </w:r>
      <w:r w:rsidRPr="00031A97">
        <w:rPr>
          <w:rFonts w:ascii="Palatino Linotype" w:eastAsia="Palatino Linotype" w:hAnsi="Palatino Linotype" w:cs="Palatino Linotype"/>
          <w:i/>
          <w:color w:val="000000"/>
          <w:sz w:val="22"/>
        </w:rPr>
        <w:t xml:space="preserve">con lo establecido en el Acuerdo por el que se Establecen las Políticas, Bases y Lineamientos, en Materia de Adquisiciones, Enajenaciones, Arrendamientos y Servicios de las Dependencias, Organismos Auxiliares y Tribunales Administrativos del Poder Ejecutivo del Estado de México; por lo que si se dono el servicio y este se incorporo a los bienes de la dependencia, el área Administrativa a </w:t>
      </w:r>
      <w:r w:rsidRPr="00031A97">
        <w:rPr>
          <w:rFonts w:ascii="Palatino Linotype" w:eastAsia="Palatino Linotype" w:hAnsi="Palatino Linotype" w:cs="Palatino Linotype"/>
          <w:i/>
          <w:color w:val="000000"/>
          <w:sz w:val="22"/>
        </w:rPr>
        <w:lastRenderedPageBreak/>
        <w:t xml:space="preserve">través del Área de Recursos Materiales y Servicios debió de registrar el alta de los bienes en el SICOPA, resguardando la factura original del bien o servicio donado,por lo que </w:t>
      </w:r>
      <w:r w:rsidRPr="00031A97">
        <w:rPr>
          <w:rFonts w:ascii="Palatino Linotype" w:eastAsia="Palatino Linotype" w:hAnsi="Palatino Linotype" w:cs="Palatino Linotype"/>
          <w:b/>
          <w:i/>
          <w:color w:val="000000"/>
          <w:sz w:val="22"/>
        </w:rPr>
        <w:t>la autoridad pretende ocultar la información</w:t>
      </w:r>
      <w:r w:rsidRPr="00031A97">
        <w:rPr>
          <w:rFonts w:ascii="Palatino Linotype" w:eastAsia="Palatino Linotype" w:hAnsi="Palatino Linotype" w:cs="Palatino Linotype"/>
          <w:i/>
          <w:color w:val="000000"/>
          <w:sz w:val="22"/>
        </w:rPr>
        <w:t>, tan es así que el departamento de adquisiciones manifiesta que no tiene registro alguno de una adquisición de la plataforma moodle y e-learning,nombre correcto de la plataforma y que el suplente de la subdirección de formación continua desconoce el nombre completo y correcto de la platafoma que utiliza y adquirió siendo Moodle un acrónimo de Modular Object-Oriented Dynamic Learning Environment (ambiente de aprendizaje modular dinámico orientado a objetos) es, por lo tanto, una LMS de código abierto totalmente personalizable y aplicable a cualquier método pedagógico de aprendizaje, cuyo fin es la gestión y creación de entornos virtuales de aprendizaje. De igual manera, se manifiesta que no se comparten datos personales con la plataforma Moodle,</w:t>
      </w:r>
      <w:r w:rsidRPr="00031A97">
        <w:rPr>
          <w:rFonts w:ascii="Palatino Linotype" w:eastAsia="Palatino Linotype" w:hAnsi="Palatino Linotype" w:cs="Palatino Linotype"/>
          <w:b/>
          <w:i/>
          <w:color w:val="000000"/>
          <w:sz w:val="22"/>
        </w:rPr>
        <w:t>lo cual no es creíble,</w:t>
      </w:r>
      <w:r w:rsidRPr="00031A97">
        <w:rPr>
          <w:rFonts w:ascii="Palatino Linotype" w:eastAsia="Palatino Linotype" w:hAnsi="Palatino Linotype" w:cs="Palatino Linotype"/>
          <w:i/>
          <w:color w:val="000000"/>
          <w:sz w:val="22"/>
        </w:rPr>
        <w:t xml:space="preserve">toda vez que esta plataforma otorga acceso a las personas que se dan de alta en la misma con su nombre propio, siendo este un dato personal y que se comparte con un tercero,por lo cual </w:t>
      </w:r>
      <w:r w:rsidRPr="00031A97">
        <w:rPr>
          <w:rFonts w:ascii="Palatino Linotype" w:eastAsia="Palatino Linotype" w:hAnsi="Palatino Linotype" w:cs="Palatino Linotype"/>
          <w:b/>
          <w:i/>
          <w:color w:val="000000"/>
          <w:sz w:val="22"/>
        </w:rPr>
        <w:t>se requiere aviso de privacidad,</w:t>
      </w:r>
      <w:r w:rsidRPr="00031A97">
        <w:rPr>
          <w:rFonts w:ascii="Palatino Linotype" w:eastAsia="Palatino Linotype" w:hAnsi="Palatino Linotype" w:cs="Palatino Linotype"/>
          <w:i/>
          <w:color w:val="000000"/>
          <w:sz w:val="22"/>
        </w:rPr>
        <w:t>con derechos arco para la autorización de los usuarios de compartir sus datos con una plataforma de código abierto operada por un tercero extraño a la subdirección de formación continua.”</w:t>
      </w:r>
      <w:r w:rsidRPr="00031A97">
        <w:rPr>
          <w:rFonts w:ascii="Palatino Linotype" w:eastAsia="Palatino Linotype" w:hAnsi="Palatino Linotype" w:cs="Palatino Linotype"/>
          <w:color w:val="000000"/>
          <w:sz w:val="22"/>
        </w:rPr>
        <w:t xml:space="preserve"> (Sic)</w:t>
      </w:r>
    </w:p>
    <w:p w:rsidR="00196083" w:rsidRPr="00031A97" w:rsidRDefault="00DB4AE2" w:rsidP="002A2EE5">
      <w:pPr>
        <w:pBdr>
          <w:top w:val="nil"/>
          <w:left w:val="nil"/>
          <w:bottom w:val="nil"/>
          <w:right w:val="nil"/>
          <w:between w:val="nil"/>
        </w:pBdr>
        <w:spacing w:line="360" w:lineRule="auto"/>
        <w:ind w:left="709" w:right="-234"/>
        <w:jc w:val="both"/>
        <w:rPr>
          <w:rFonts w:ascii="Palatino Linotype" w:eastAsia="Palatino Linotype" w:hAnsi="Palatino Linotype" w:cs="Palatino Linotype"/>
          <w:b/>
          <w:i/>
          <w:color w:val="000000"/>
          <w:sz w:val="22"/>
        </w:rPr>
      </w:pPr>
      <w:r w:rsidRPr="00031A97">
        <w:rPr>
          <w:rFonts w:ascii="Palatino Linotype" w:eastAsia="Palatino Linotype" w:hAnsi="Palatino Linotype" w:cs="Palatino Linotype"/>
          <w:b/>
          <w:color w:val="000000"/>
          <w:sz w:val="22"/>
        </w:rPr>
        <w:t>Énfasis añadido</w:t>
      </w:r>
    </w:p>
    <w:p w:rsidR="00196083" w:rsidRPr="00031A97" w:rsidRDefault="00DB4AE2">
      <w:pPr>
        <w:pBdr>
          <w:top w:val="nil"/>
          <w:left w:val="nil"/>
          <w:bottom w:val="nil"/>
          <w:right w:val="nil"/>
          <w:between w:val="nil"/>
        </w:pBdr>
        <w:spacing w:line="360" w:lineRule="auto"/>
        <w:ind w:left="720" w:right="-787"/>
        <w:rPr>
          <w:rFonts w:ascii="Palatino Linotype" w:eastAsia="Palatino Linotype" w:hAnsi="Palatino Linotype" w:cs="Palatino Linotype"/>
          <w:i/>
          <w:color w:val="000000"/>
          <w:u w:val="single"/>
        </w:rPr>
      </w:pPr>
      <w:r w:rsidRPr="00031A97">
        <w:rPr>
          <w:rFonts w:ascii="Palatino Linotype" w:eastAsia="Palatino Linotype" w:hAnsi="Palatino Linotype" w:cs="Palatino Linotype"/>
          <w:i/>
          <w:color w:val="000000"/>
        </w:rPr>
        <w:t xml:space="preserve"> </w:t>
      </w:r>
    </w:p>
    <w:p w:rsidR="00196083" w:rsidRPr="00031A97" w:rsidRDefault="00DB4AE2">
      <w:pPr>
        <w:numPr>
          <w:ilvl w:val="0"/>
          <w:numId w:val="1"/>
        </w:numPr>
        <w:pBdr>
          <w:top w:val="nil"/>
          <w:left w:val="nil"/>
          <w:bottom w:val="nil"/>
          <w:right w:val="nil"/>
          <w:between w:val="nil"/>
        </w:pBdr>
        <w:spacing w:line="360" w:lineRule="auto"/>
        <w:ind w:left="0" w:right="-787" w:firstLine="0"/>
        <w:jc w:val="both"/>
        <w:rPr>
          <w:color w:val="000000"/>
        </w:rPr>
      </w:pPr>
      <w:r w:rsidRPr="00031A97">
        <w:rPr>
          <w:rFonts w:ascii="Palatino Linotype" w:eastAsia="Palatino Linotype" w:hAnsi="Palatino Linotype" w:cs="Palatino Linotype"/>
          <w:color w:val="000000"/>
        </w:rPr>
        <w:t xml:space="preserve">Con fundamento en lo dispuesto por el artículo 185 fracción II de la ley de la materia, se acordó a las partes a efecto de que en un plazo máximo de siete días, el Recurrente </w:t>
      </w:r>
      <w:r w:rsidRPr="00031A97">
        <w:rPr>
          <w:rFonts w:ascii="Palatino Linotype" w:eastAsia="Palatino Linotype" w:hAnsi="Palatino Linotype" w:cs="Palatino Linotype"/>
        </w:rPr>
        <w:t>manifiesta</w:t>
      </w:r>
      <w:r w:rsidRPr="00031A97">
        <w:rPr>
          <w:rFonts w:ascii="Palatino Linotype" w:eastAsia="Palatino Linotype" w:hAnsi="Palatino Linotype" w:cs="Palatino Linotype"/>
          <w:color w:val="000000"/>
        </w:rPr>
        <w:t xml:space="preserve"> lo que a su derecho conviniera, </w:t>
      </w:r>
      <w:r w:rsidRPr="00031A97">
        <w:rPr>
          <w:rFonts w:ascii="Palatino Linotype" w:eastAsia="Palatino Linotype" w:hAnsi="Palatino Linotype" w:cs="Palatino Linotype"/>
        </w:rPr>
        <w:t>ofreciera</w:t>
      </w:r>
      <w:r w:rsidRPr="00031A97">
        <w:rPr>
          <w:rFonts w:ascii="Palatino Linotype" w:eastAsia="Palatino Linotype" w:hAnsi="Palatino Linotype" w:cs="Palatino Linotype"/>
          <w:color w:val="000000"/>
        </w:rPr>
        <w:t xml:space="preserve"> pruebas y alegatos, y el Sujeto Obligado presentará el Informe Justificado.</w:t>
      </w:r>
    </w:p>
    <w:p w:rsidR="00196083" w:rsidRPr="00031A97" w:rsidRDefault="0019608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96083" w:rsidRPr="00031A97" w:rsidRDefault="00DB4AE2">
      <w:pPr>
        <w:numPr>
          <w:ilvl w:val="0"/>
          <w:numId w:val="1"/>
        </w:numPr>
        <w:pBdr>
          <w:top w:val="nil"/>
          <w:left w:val="nil"/>
          <w:bottom w:val="nil"/>
          <w:right w:val="nil"/>
          <w:between w:val="nil"/>
        </w:pBdr>
        <w:spacing w:line="360" w:lineRule="auto"/>
        <w:ind w:left="0" w:right="-787" w:firstLine="0"/>
        <w:jc w:val="both"/>
        <w:rPr>
          <w:color w:val="000000"/>
        </w:rPr>
      </w:pPr>
      <w:r w:rsidRPr="00031A97">
        <w:rPr>
          <w:rFonts w:ascii="Palatino Linotype" w:eastAsia="Palatino Linotype" w:hAnsi="Palatino Linotype" w:cs="Palatino Linotype"/>
          <w:color w:val="000000"/>
        </w:rPr>
        <w:t xml:space="preserve">El particular fue omiso en realizar manifestaciones que a su derecho conviniera y asistiera. Por su parte el </w:t>
      </w:r>
      <w:r w:rsidRPr="00031A97">
        <w:rPr>
          <w:rFonts w:ascii="Palatino Linotype" w:eastAsia="Palatino Linotype" w:hAnsi="Palatino Linotype" w:cs="Palatino Linotype"/>
          <w:b/>
          <w:color w:val="000000"/>
        </w:rPr>
        <w:t xml:space="preserve">SUJETO </w:t>
      </w:r>
      <w:r w:rsidRPr="00031A97">
        <w:rPr>
          <w:rFonts w:ascii="Palatino Linotype" w:eastAsia="Palatino Linotype" w:hAnsi="Palatino Linotype" w:cs="Palatino Linotype"/>
          <w:b/>
        </w:rPr>
        <w:t>OBLIGADO</w:t>
      </w:r>
      <w:r w:rsidRPr="00031A97">
        <w:rPr>
          <w:rFonts w:ascii="Palatino Linotype" w:eastAsia="Palatino Linotype" w:hAnsi="Palatino Linotype" w:cs="Palatino Linotype"/>
          <w:color w:val="000000"/>
        </w:rPr>
        <w:t xml:space="preserve"> rindió informe justificado a través del Titular </w:t>
      </w:r>
      <w:r w:rsidRPr="00031A97">
        <w:rPr>
          <w:rFonts w:ascii="Palatino Linotype" w:eastAsia="Palatino Linotype" w:hAnsi="Palatino Linotype" w:cs="Palatino Linotype"/>
          <w:color w:val="000000"/>
        </w:rPr>
        <w:lastRenderedPageBreak/>
        <w:t>de la Unidad de Transparencia, quien argumenta que el derecho de acceso a la información fue privilegiado, confirmando su respuesta inicial y solicitando determinar la improcedencia del presente recurso de revisión.</w:t>
      </w:r>
    </w:p>
    <w:p w:rsidR="00196083" w:rsidRPr="00031A97" w:rsidRDefault="00196083">
      <w:pPr>
        <w:spacing w:line="360" w:lineRule="auto"/>
        <w:ind w:left="567" w:right="-787"/>
        <w:jc w:val="both"/>
        <w:rPr>
          <w:rFonts w:ascii="Palatino Linotype" w:eastAsia="Palatino Linotype" w:hAnsi="Palatino Linotype" w:cs="Palatino Linotype"/>
          <w:i/>
          <w:color w:val="000000"/>
        </w:rPr>
      </w:pPr>
    </w:p>
    <w:p w:rsidR="00196083" w:rsidRPr="00031A97" w:rsidRDefault="00DB4AE2">
      <w:pPr>
        <w:numPr>
          <w:ilvl w:val="0"/>
          <w:numId w:val="1"/>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3" w:name="_heading=h.3znysh7" w:colFirst="0" w:colLast="0"/>
      <w:bookmarkEnd w:id="3"/>
      <w:r w:rsidRPr="00031A97">
        <w:rPr>
          <w:rFonts w:ascii="Palatino Linotype" w:eastAsia="Palatino Linotype" w:hAnsi="Palatino Linotype" w:cs="Palatino Linotype"/>
          <w:color w:val="000000"/>
        </w:rPr>
        <w:t xml:space="preserve">En fecha </w:t>
      </w:r>
      <w:r w:rsidRPr="00031A97">
        <w:rPr>
          <w:rFonts w:ascii="Palatino Linotype" w:eastAsia="Palatino Linotype" w:hAnsi="Palatino Linotype" w:cs="Palatino Linotype"/>
          <w:b/>
          <w:color w:val="000000"/>
        </w:rPr>
        <w:t xml:space="preserve">veintiuno de enero dos mil veinticinco </w:t>
      </w:r>
      <w:r w:rsidRPr="00031A97">
        <w:rPr>
          <w:rFonts w:ascii="Palatino Linotype" w:eastAsia="Palatino Linotype" w:hAnsi="Palatino Linotype" w:cs="Palatino Linotype"/>
          <w:color w:val="000000"/>
        </w:rPr>
        <w:t xml:space="preserve">la Comisionada Ponente, amplió el </w:t>
      </w:r>
      <w:r w:rsidRPr="00031A97">
        <w:rPr>
          <w:rFonts w:ascii="Palatino Linotype" w:eastAsia="Palatino Linotype" w:hAnsi="Palatino Linotype" w:cs="Palatino Linotype"/>
        </w:rPr>
        <w:t>término</w:t>
      </w:r>
      <w:r w:rsidRPr="00031A97">
        <w:rPr>
          <w:rFonts w:ascii="Palatino Linotype" w:eastAsia="Palatino Linotype" w:hAnsi="Palatino Linotype" w:cs="Palatino Linotype"/>
          <w:color w:val="000000"/>
        </w:rPr>
        <w:t xml:space="preserve"> por quince días hábiles adicionales a los treinta hábiles ordinarios con fundamento en el artículo 181 de la  Ley Transparencia y Acceso a la Información Pública del Estado de México y Municipios; posteriormente mediante acuerdo de día </w:t>
      </w:r>
      <w:r w:rsidRPr="00031A97">
        <w:rPr>
          <w:rFonts w:ascii="Palatino Linotype" w:eastAsia="Palatino Linotype" w:hAnsi="Palatino Linotype" w:cs="Palatino Linotype"/>
          <w:b/>
          <w:color w:val="000000"/>
        </w:rPr>
        <w:t>veintisiete del mismo mes y año</w:t>
      </w:r>
      <w:r w:rsidRPr="00031A97">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196083" w:rsidRPr="00031A97" w:rsidRDefault="0019608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196083" w:rsidRPr="00031A97" w:rsidRDefault="00DB4AE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031A97">
        <w:rPr>
          <w:rFonts w:ascii="Palatino Linotype" w:eastAsia="Palatino Linotype" w:hAnsi="Palatino Linotype" w:cs="Palatino Linotype"/>
          <w:b/>
          <w:color w:val="000000"/>
        </w:rPr>
        <w:t>C O N S I D E R A C I O N E S</w:t>
      </w:r>
    </w:p>
    <w:p w:rsidR="00196083" w:rsidRPr="00031A97" w:rsidRDefault="00196083">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196083" w:rsidRPr="00031A97" w:rsidRDefault="00DB4AE2">
      <w:pPr>
        <w:pStyle w:val="Ttulo2"/>
        <w:spacing w:before="0" w:line="360" w:lineRule="auto"/>
        <w:ind w:right="-787"/>
        <w:rPr>
          <w:rFonts w:ascii="Palatino Linotype" w:eastAsia="Palatino Linotype" w:hAnsi="Palatino Linotype" w:cs="Palatino Linotype"/>
          <w:b/>
          <w:color w:val="000000"/>
          <w:sz w:val="24"/>
          <w:szCs w:val="24"/>
        </w:rPr>
      </w:pPr>
      <w:bookmarkStart w:id="4" w:name="_heading=h.2et92p0" w:colFirst="0" w:colLast="0"/>
      <w:bookmarkEnd w:id="4"/>
      <w:r w:rsidRPr="00031A97">
        <w:rPr>
          <w:rFonts w:ascii="Palatino Linotype" w:eastAsia="Palatino Linotype" w:hAnsi="Palatino Linotype" w:cs="Palatino Linotype"/>
          <w:b/>
          <w:color w:val="000000"/>
          <w:sz w:val="24"/>
          <w:szCs w:val="24"/>
        </w:rPr>
        <w:t>PRIMERA. Competencia</w:t>
      </w:r>
    </w:p>
    <w:p w:rsidR="00196083" w:rsidRPr="00031A97" w:rsidRDefault="00DB4AE2">
      <w:pPr>
        <w:numPr>
          <w:ilvl w:val="0"/>
          <w:numId w:val="1"/>
        </w:numPr>
        <w:pBdr>
          <w:top w:val="nil"/>
          <w:left w:val="nil"/>
          <w:bottom w:val="nil"/>
          <w:right w:val="nil"/>
          <w:between w:val="nil"/>
        </w:pBdr>
        <w:spacing w:line="360" w:lineRule="auto"/>
        <w:ind w:left="0" w:right="-787" w:firstLine="0"/>
        <w:jc w:val="both"/>
        <w:rPr>
          <w:color w:val="000000"/>
        </w:rPr>
      </w:pPr>
      <w:r w:rsidRPr="00031A97">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w:t>
      </w:r>
      <w:r w:rsidRPr="00031A97">
        <w:rPr>
          <w:rFonts w:ascii="Palatino Linotype" w:eastAsia="Palatino Linotype" w:hAnsi="Palatino Linotype" w:cs="Palatino Linotype"/>
          <w:color w:val="000000"/>
        </w:rPr>
        <w:lastRenderedPageBreak/>
        <w:t>Transparencia, Acceso a la Información Pública y Protección de Datos Personales del Estado de México y Municipios.</w:t>
      </w:r>
    </w:p>
    <w:p w:rsidR="00196083" w:rsidRPr="00031A97" w:rsidRDefault="00196083">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96083" w:rsidRPr="00031A97" w:rsidRDefault="00DB4AE2">
      <w:pPr>
        <w:pStyle w:val="Ttulo2"/>
        <w:spacing w:before="0" w:line="360" w:lineRule="auto"/>
        <w:ind w:right="-787"/>
        <w:rPr>
          <w:rFonts w:ascii="Palatino Linotype" w:eastAsia="Palatino Linotype" w:hAnsi="Palatino Linotype" w:cs="Palatino Linotype"/>
          <w:b/>
          <w:color w:val="000000"/>
          <w:sz w:val="24"/>
          <w:szCs w:val="24"/>
        </w:rPr>
      </w:pPr>
      <w:bookmarkStart w:id="5" w:name="_heading=h.tyjcwt" w:colFirst="0" w:colLast="0"/>
      <w:bookmarkEnd w:id="5"/>
      <w:r w:rsidRPr="00031A97">
        <w:rPr>
          <w:rFonts w:ascii="Palatino Linotype" w:eastAsia="Palatino Linotype" w:hAnsi="Palatino Linotype" w:cs="Palatino Linotype"/>
          <w:b/>
          <w:color w:val="000000"/>
          <w:sz w:val="24"/>
          <w:szCs w:val="24"/>
        </w:rPr>
        <w:t>SEGUNDA. Procedencia.</w:t>
      </w: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Este Órgano Garante considera que el medio de impugnación reúne los requisitos de procedencia </w:t>
      </w:r>
      <w:r w:rsidRPr="00031A97">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w:t>
      </w:r>
    </w:p>
    <w:p w:rsidR="00196083" w:rsidRPr="00031A97" w:rsidRDefault="00196083">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196083" w:rsidRPr="00031A97" w:rsidRDefault="00DB4AE2">
      <w:pPr>
        <w:pStyle w:val="Ttulo1"/>
        <w:spacing w:before="0" w:line="360" w:lineRule="auto"/>
        <w:ind w:right="-787"/>
        <w:rPr>
          <w:rFonts w:ascii="Palatino Linotype" w:eastAsia="Palatino Linotype" w:hAnsi="Palatino Linotype" w:cs="Palatino Linotype"/>
          <w:b/>
          <w:color w:val="000000"/>
          <w:sz w:val="24"/>
          <w:szCs w:val="24"/>
        </w:rPr>
      </w:pPr>
      <w:bookmarkStart w:id="6" w:name="_heading=h.3dy6vkm" w:colFirst="0" w:colLast="0"/>
      <w:bookmarkEnd w:id="6"/>
      <w:r w:rsidRPr="00031A97">
        <w:rPr>
          <w:rFonts w:ascii="Palatino Linotype" w:eastAsia="Palatino Linotype" w:hAnsi="Palatino Linotype" w:cs="Palatino Linotype"/>
          <w:b/>
          <w:color w:val="000000"/>
          <w:sz w:val="24"/>
          <w:szCs w:val="24"/>
        </w:rPr>
        <w:t>TERCERA. De las causales de sobreseimiento</w:t>
      </w:r>
    </w:p>
    <w:p w:rsidR="00196083" w:rsidRPr="00031A97" w:rsidRDefault="00DB4AE2">
      <w:pPr>
        <w:numPr>
          <w:ilvl w:val="0"/>
          <w:numId w:val="1"/>
        </w:numPr>
        <w:pBdr>
          <w:top w:val="nil"/>
          <w:left w:val="nil"/>
          <w:bottom w:val="nil"/>
          <w:right w:val="nil"/>
          <w:between w:val="nil"/>
        </w:pBdr>
        <w:spacing w:line="360" w:lineRule="auto"/>
        <w:ind w:left="0" w:right="-787" w:firstLine="0"/>
        <w:jc w:val="both"/>
        <w:rPr>
          <w:color w:val="000000"/>
        </w:rPr>
      </w:pPr>
      <w:r w:rsidRPr="00031A97">
        <w:rPr>
          <w:rFonts w:ascii="Palatino Linotype" w:eastAsia="Palatino Linotype" w:hAnsi="Palatino Linotype" w:cs="Palatino Linotype"/>
          <w:color w:val="000000"/>
        </w:rPr>
        <w:t>Se realizó, de manera general los requerimientos siguientes:</w:t>
      </w:r>
    </w:p>
    <w:p w:rsidR="00196083" w:rsidRPr="00031A97" w:rsidRDefault="00DB4AE2" w:rsidP="002A2EE5">
      <w:pPr>
        <w:pBdr>
          <w:top w:val="nil"/>
          <w:left w:val="nil"/>
          <w:bottom w:val="nil"/>
          <w:right w:val="nil"/>
          <w:between w:val="nil"/>
        </w:pBdr>
        <w:spacing w:line="360" w:lineRule="auto"/>
        <w:ind w:left="778" w:right="-93"/>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 xml:space="preserve">Con relación a los cursos </w:t>
      </w:r>
      <w:r w:rsidRPr="00031A97">
        <w:rPr>
          <w:rFonts w:ascii="Palatino Linotype" w:eastAsia="Palatino Linotype" w:hAnsi="Palatino Linotype" w:cs="Palatino Linotype"/>
          <w:b/>
          <w:sz w:val="22"/>
        </w:rPr>
        <w:t>autogestivos</w:t>
      </w:r>
      <w:r w:rsidRPr="00031A97">
        <w:rPr>
          <w:rFonts w:ascii="Palatino Linotype" w:eastAsia="Palatino Linotype" w:hAnsi="Palatino Linotype" w:cs="Palatino Linotype"/>
          <w:b/>
          <w:color w:val="000000"/>
          <w:sz w:val="22"/>
        </w:rPr>
        <w:t xml:space="preserve"> en la plataforma Moodle e, E-learning, lo siguiente:</w:t>
      </w:r>
    </w:p>
    <w:p w:rsidR="00196083" w:rsidRPr="00031A97" w:rsidRDefault="00DB4AE2" w:rsidP="002A2EE5">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Nombre de las partes contratantes de la plataforma;</w:t>
      </w:r>
    </w:p>
    <w:p w:rsidR="00196083" w:rsidRPr="00031A97" w:rsidRDefault="00DB4AE2" w:rsidP="002A2EE5">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Costo de contratación de la plataforma;</w:t>
      </w:r>
    </w:p>
    <w:p w:rsidR="00196083" w:rsidRPr="00031A97" w:rsidRDefault="00DB4AE2" w:rsidP="002A2EE5">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Dictamen de adjudicación para adquirir la plataforma;</w:t>
      </w:r>
    </w:p>
    <w:p w:rsidR="00196083" w:rsidRPr="00031A97" w:rsidRDefault="00DB4AE2" w:rsidP="002A2EE5">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Contrato de servicios de la plataforma y la subdirección de formación continua;</w:t>
      </w:r>
    </w:p>
    <w:p w:rsidR="00196083" w:rsidRPr="00031A97" w:rsidRDefault="00DB4AE2" w:rsidP="002A2EE5">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lastRenderedPageBreak/>
        <w:t>Forma en que se comparten datos personales de los servidores públicos inscritos en la plataforma y, con las personas morales que auspician los cursos autogestivos;</w:t>
      </w:r>
    </w:p>
    <w:p w:rsidR="00196083" w:rsidRPr="00031A97" w:rsidRDefault="00DB4AE2" w:rsidP="002A2EE5">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Aviso de privacidad; y</w:t>
      </w:r>
    </w:p>
    <w:p w:rsidR="00196083" w:rsidRPr="00031A97" w:rsidRDefault="00DB4AE2" w:rsidP="002A2EE5">
      <w:pPr>
        <w:numPr>
          <w:ilvl w:val="0"/>
          <w:numId w:val="3"/>
        </w:numPr>
        <w:pBdr>
          <w:top w:val="nil"/>
          <w:left w:val="nil"/>
          <w:bottom w:val="nil"/>
          <w:right w:val="nil"/>
          <w:between w:val="nil"/>
        </w:pBdr>
        <w:spacing w:line="360" w:lineRule="auto"/>
        <w:ind w:right="-93"/>
        <w:jc w:val="both"/>
        <w:rPr>
          <w:rFonts w:ascii="Palatino Linotype" w:eastAsia="Palatino Linotype" w:hAnsi="Palatino Linotype" w:cs="Palatino Linotype"/>
          <w:b/>
          <w:color w:val="000000"/>
          <w:sz w:val="22"/>
        </w:rPr>
      </w:pPr>
      <w:r w:rsidRPr="00031A97">
        <w:rPr>
          <w:rFonts w:ascii="Palatino Linotype" w:eastAsia="Palatino Linotype" w:hAnsi="Palatino Linotype" w:cs="Palatino Linotype"/>
          <w:b/>
          <w:color w:val="000000"/>
          <w:sz w:val="22"/>
        </w:rPr>
        <w:t>Derechos arco que la subdirección de formación continua realizó para el manejo de los datos personales de los 4 cursos autogestivos, ya sea con la plataforma y/o con las personas morales que auspician los cursos y que fue indexado por primera vez en enero de 2024 en</w:t>
      </w:r>
      <w:r w:rsidRPr="00031A97">
        <w:rPr>
          <w:rFonts w:ascii="Palatino Linotype" w:eastAsia="Palatino Linotype" w:hAnsi="Palatino Linotype" w:cs="Palatino Linotype"/>
          <w:b/>
          <w:i/>
          <w:color w:val="000000"/>
          <w:sz w:val="22"/>
        </w:rPr>
        <w:t xml:space="preserve"> Google</w:t>
      </w:r>
      <w:r w:rsidRPr="00031A97">
        <w:rPr>
          <w:rFonts w:ascii="Palatino Linotype" w:eastAsia="Palatino Linotype" w:hAnsi="Palatino Linotype" w:cs="Palatino Linotype"/>
          <w:b/>
          <w:color w:val="000000"/>
          <w:sz w:val="22"/>
        </w:rPr>
        <w:t>.</w:t>
      </w:r>
    </w:p>
    <w:p w:rsidR="00196083" w:rsidRPr="00031A97" w:rsidRDefault="00196083">
      <w:pPr>
        <w:pBdr>
          <w:top w:val="nil"/>
          <w:left w:val="nil"/>
          <w:bottom w:val="nil"/>
          <w:right w:val="nil"/>
          <w:between w:val="nil"/>
        </w:pBdr>
        <w:spacing w:line="360" w:lineRule="auto"/>
        <w:ind w:left="778" w:right="-787"/>
        <w:jc w:val="both"/>
        <w:rPr>
          <w:rFonts w:ascii="Palatino Linotype" w:eastAsia="Palatino Linotype" w:hAnsi="Palatino Linotype" w:cs="Palatino Linotype"/>
          <w:b/>
          <w:color w:val="000000"/>
        </w:rPr>
      </w:pPr>
    </w:p>
    <w:p w:rsidR="00196083" w:rsidRPr="00031A97" w:rsidRDefault="00DB4AE2">
      <w:pPr>
        <w:numPr>
          <w:ilvl w:val="0"/>
          <w:numId w:val="1"/>
        </w:numPr>
        <w:spacing w:line="360" w:lineRule="auto"/>
        <w:ind w:left="0" w:right="-787" w:firstLine="0"/>
        <w:jc w:val="both"/>
        <w:rPr>
          <w:color w:val="000000"/>
        </w:rPr>
      </w:pPr>
      <w:r w:rsidRPr="00031A97">
        <w:rPr>
          <w:rFonts w:ascii="Palatino Linotype" w:eastAsia="Palatino Linotype" w:hAnsi="Palatino Linotype" w:cs="Palatino Linotype"/>
        </w:rPr>
        <w:t>En respuesta, el Sujeto Obligado</w:t>
      </w:r>
      <w:r w:rsidRPr="00031A97">
        <w:rPr>
          <w:rFonts w:ascii="Palatino Linotype" w:eastAsia="Palatino Linotype" w:hAnsi="Palatino Linotype" w:cs="Palatino Linotype"/>
          <w:b/>
        </w:rPr>
        <w:t xml:space="preserve"> </w:t>
      </w:r>
      <w:r w:rsidRPr="00031A97">
        <w:rPr>
          <w:rFonts w:ascii="Palatino Linotype" w:eastAsia="Palatino Linotype" w:hAnsi="Palatino Linotype" w:cs="Palatino Linotype"/>
        </w:rPr>
        <w:t>remitió el escrito ya transcrito en el anterior Párrafo 2. Inconforme con la respuesta, se interpuso recurso de revisión inconformándose de manera general por corresponder a información falsa y la negativa a la entrega de la información.</w:t>
      </w:r>
    </w:p>
    <w:p w:rsidR="00196083" w:rsidRPr="00031A97" w:rsidRDefault="00196083">
      <w:pPr>
        <w:spacing w:line="360" w:lineRule="auto"/>
        <w:ind w:right="-787"/>
        <w:jc w:val="both"/>
        <w:rPr>
          <w:rFonts w:ascii="Palatino Linotype" w:eastAsia="Palatino Linotype" w:hAnsi="Palatino Linotype" w:cs="Palatino Linotype"/>
          <w:i/>
          <w:color w:val="000000"/>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I</w:t>
      </w:r>
      <w:r w:rsidRPr="00031A97">
        <w:rPr>
          <w:rFonts w:ascii="Palatino Linotype" w:eastAsia="Palatino Linotype" w:hAnsi="Palatino Linotype" w:cs="Palatino Linotype"/>
          <w:b/>
        </w:rPr>
        <w:t xml:space="preserve"> </w:t>
      </w:r>
      <w:r w:rsidRPr="00031A97">
        <w:rPr>
          <w:rFonts w:ascii="Palatino Linotype" w:eastAsia="Palatino Linotype" w:hAnsi="Palatino Linotype" w:cs="Palatino Linotype"/>
        </w:rPr>
        <w:t>de la Ley de Transparencia y Acceso a la Información Pública del Estado de</w:t>
      </w:r>
      <w:r w:rsidRPr="00031A97">
        <w:rPr>
          <w:rFonts w:ascii="Palatino Linotype" w:eastAsia="Palatino Linotype" w:hAnsi="Palatino Linotype" w:cs="Palatino Linotype"/>
          <w:b/>
        </w:rPr>
        <w:t xml:space="preserve"> </w:t>
      </w:r>
      <w:r w:rsidRPr="00031A97">
        <w:rPr>
          <w:rFonts w:ascii="Palatino Linotype" w:eastAsia="Palatino Linotype" w:hAnsi="Palatino Linotype" w:cs="Palatino Linotype"/>
        </w:rPr>
        <w:t>México</w:t>
      </w:r>
      <w:r w:rsidRPr="00031A97">
        <w:rPr>
          <w:rFonts w:ascii="Palatino Linotype" w:eastAsia="Palatino Linotype" w:hAnsi="Palatino Linotype" w:cs="Palatino Linotype"/>
          <w:b/>
        </w:rPr>
        <w:t xml:space="preserve"> </w:t>
      </w:r>
      <w:r w:rsidRPr="00031A97">
        <w:rPr>
          <w:rFonts w:ascii="Palatino Linotype" w:eastAsia="Palatino Linotype" w:hAnsi="Palatino Linotype" w:cs="Palatino Linotype"/>
        </w:rPr>
        <w:t>y</w:t>
      </w:r>
      <w:r w:rsidRPr="00031A97">
        <w:rPr>
          <w:rFonts w:ascii="Palatino Linotype" w:eastAsia="Palatino Linotype" w:hAnsi="Palatino Linotype" w:cs="Palatino Linotype"/>
          <w:b/>
        </w:rPr>
        <w:t xml:space="preserve"> </w:t>
      </w:r>
      <w:r w:rsidRPr="00031A97">
        <w:rPr>
          <w:rFonts w:ascii="Palatino Linotype" w:eastAsia="Palatino Linotype" w:hAnsi="Palatino Linotype" w:cs="Palatino Linotype"/>
        </w:rPr>
        <w:t xml:space="preserve">Municipios; </w:t>
      </w:r>
      <w:r w:rsidRPr="00031A97">
        <w:rPr>
          <w:rFonts w:ascii="Palatino Linotype" w:eastAsia="Palatino Linotype" w:hAnsi="Palatino Linotype" w:cs="Palatino Linotype"/>
          <w:color w:val="000000"/>
        </w:rPr>
        <w:t xml:space="preserve">fracción que determina la hipótesis relativa a la negativa de entrega de la información; </w:t>
      </w:r>
      <w:r w:rsidRPr="00031A97">
        <w:rPr>
          <w:rFonts w:ascii="Palatino Linotype" w:eastAsia="Palatino Linotype" w:hAnsi="Palatino Linotype" w:cs="Palatino Linotype"/>
        </w:rPr>
        <w:t>contexto del cual se dolió el Recurrente al momento de interponer su inconformidad.</w:t>
      </w:r>
      <w:r w:rsidRPr="00031A97">
        <w:rPr>
          <w:rFonts w:ascii="Palatino Linotype" w:eastAsia="Palatino Linotype" w:hAnsi="Palatino Linotype" w:cs="Palatino Linotype"/>
          <w:color w:val="000000"/>
        </w:rPr>
        <w:t xml:space="preserve"> De modo tal que el presente recurso de revisión se </w:t>
      </w:r>
      <w:r w:rsidRPr="00031A97">
        <w:rPr>
          <w:rFonts w:ascii="Palatino Linotype" w:eastAsia="Palatino Linotype" w:hAnsi="Palatino Linotype" w:cs="Palatino Linotype"/>
        </w:rPr>
        <w:t>abocará</w:t>
      </w:r>
      <w:r w:rsidRPr="00031A97">
        <w:rPr>
          <w:rFonts w:ascii="Palatino Linotype" w:eastAsia="Palatino Linotype" w:hAnsi="Palatino Linotype" w:cs="Palatino Linotype"/>
          <w:color w:val="000000"/>
        </w:rPr>
        <w:t xml:space="preserve"> en determinar si el Sujeto Obligado con su respuesta ciertamente actualiza la causal de procedencia</w:t>
      </w:r>
      <w:r w:rsidRPr="00031A97">
        <w:rPr>
          <w:rFonts w:ascii="Palatino Linotype" w:eastAsia="Palatino Linotype" w:hAnsi="Palatino Linotype" w:cs="Palatino Linotype"/>
          <w:b/>
          <w:color w:val="000000"/>
        </w:rPr>
        <w:t xml:space="preserve"> </w:t>
      </w:r>
      <w:r w:rsidRPr="00031A97">
        <w:rPr>
          <w:rFonts w:ascii="Palatino Linotype" w:eastAsia="Palatino Linotype" w:hAnsi="Palatino Linotype" w:cs="Palatino Linotype"/>
          <w:color w:val="000000"/>
        </w:rPr>
        <w:t xml:space="preserve">señalada. </w:t>
      </w:r>
    </w:p>
    <w:p w:rsidR="00196083" w:rsidRPr="00031A97" w:rsidRDefault="00196083">
      <w:pPr>
        <w:spacing w:line="360" w:lineRule="auto"/>
        <w:ind w:right="-787"/>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w:t>
      </w:r>
      <w:r w:rsidRPr="00031A97">
        <w:rPr>
          <w:rFonts w:ascii="Palatino Linotype" w:eastAsia="Palatino Linotype" w:hAnsi="Palatino Linotype" w:cs="Palatino Linotype"/>
        </w:rPr>
        <w:lastRenderedPageBreak/>
        <w:t>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196083" w:rsidRPr="00031A97" w:rsidRDefault="0019608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196083" w:rsidRPr="00031A97" w:rsidRDefault="00196083">
      <w:pPr>
        <w:spacing w:line="360" w:lineRule="auto"/>
        <w:ind w:right="-787"/>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Acotado lo anterior, es dable primeramente recordar que las razones o motivos de inconformidad, son tendientes a impugnar lo relativo al nombre de los contratantes, copia del contrato y el aviso de privacidad.</w:t>
      </w:r>
    </w:p>
    <w:p w:rsidR="00196083" w:rsidRPr="00031A97" w:rsidRDefault="0019608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196083" w:rsidRPr="00031A97" w:rsidRDefault="0019608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196083" w:rsidRPr="00031A97" w:rsidRDefault="00DB4AE2" w:rsidP="002A2EE5">
      <w:pPr>
        <w:tabs>
          <w:tab w:val="left" w:pos="851"/>
        </w:tabs>
        <w:spacing w:line="360" w:lineRule="auto"/>
        <w:ind w:left="851" w:right="-234"/>
        <w:jc w:val="both"/>
        <w:rPr>
          <w:rFonts w:ascii="Palatino Linotype" w:eastAsia="Palatino Linotype" w:hAnsi="Palatino Linotype" w:cs="Palatino Linotype"/>
          <w:i/>
          <w:sz w:val="22"/>
        </w:rPr>
      </w:pPr>
      <w:r w:rsidRPr="00031A97">
        <w:rPr>
          <w:rFonts w:ascii="Palatino Linotype" w:eastAsia="Palatino Linotype" w:hAnsi="Palatino Linotype" w:cs="Palatino Linotype"/>
          <w:b/>
          <w:i/>
          <w:sz w:val="22"/>
        </w:rPr>
        <w:t xml:space="preserve">“ACTOS CONSENTIDOS. SON LOS QUE NO SE IMPUGNAN MEDIANTE EL RECURSO IDÓNEO. </w:t>
      </w:r>
      <w:r w:rsidRPr="00031A97">
        <w:rPr>
          <w:rFonts w:ascii="Palatino Linotype" w:eastAsia="Palatino Linotype" w:hAnsi="Palatino Linotype" w:cs="Palatino Linotype"/>
          <w:i/>
          <w:sz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196083" w:rsidRPr="00031A97" w:rsidRDefault="00196083">
      <w:pPr>
        <w:tabs>
          <w:tab w:val="left" w:pos="851"/>
        </w:tabs>
        <w:spacing w:line="360" w:lineRule="auto"/>
        <w:ind w:left="851" w:right="-787"/>
        <w:jc w:val="both"/>
        <w:rPr>
          <w:rFonts w:ascii="Palatino Linotype" w:eastAsia="Palatino Linotype" w:hAnsi="Palatino Linotype" w:cs="Palatino Linotype"/>
          <w:i/>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De la interpretación del criterio antes citado, se advierte que cuando el particular impugnó la respuesta del </w:t>
      </w:r>
      <w:r w:rsidRPr="00031A97">
        <w:rPr>
          <w:rFonts w:ascii="Palatino Linotype" w:eastAsia="Palatino Linotype" w:hAnsi="Palatino Linotype" w:cs="Palatino Linotype"/>
          <w:b/>
        </w:rPr>
        <w:t>SUJETO OBLIGADO</w:t>
      </w:r>
      <w:r w:rsidRPr="00031A97">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031A97">
        <w:rPr>
          <w:rFonts w:ascii="Palatino Linotype" w:eastAsia="Palatino Linotype" w:hAnsi="Palatino Linotype" w:cs="Palatino Linotype"/>
          <w:b/>
        </w:rPr>
        <w:t>EL RECURRENTE</w:t>
      </w:r>
      <w:r w:rsidRPr="00031A97">
        <w:rPr>
          <w:rFonts w:ascii="Palatino Linotype" w:eastAsia="Palatino Linotype" w:hAnsi="Palatino Linotype" w:cs="Palatino Linotype"/>
        </w:rPr>
        <w:t xml:space="preserve"> está conforme con la respuesta proporcionada por </w:t>
      </w:r>
      <w:r w:rsidRPr="00031A97">
        <w:rPr>
          <w:rFonts w:ascii="Palatino Linotype" w:eastAsia="Palatino Linotype" w:hAnsi="Palatino Linotype" w:cs="Palatino Linotype"/>
          <w:b/>
        </w:rPr>
        <w:t>EL SUJETO OBLIGADO,</w:t>
      </w:r>
      <w:r w:rsidRPr="00031A97">
        <w:rPr>
          <w:rFonts w:ascii="Palatino Linotype" w:eastAsia="Palatino Linotype" w:hAnsi="Palatino Linotype" w:cs="Palatino Linotype"/>
        </w:rPr>
        <w:t xml:space="preserve"> al no contravenir la misma. </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196083" w:rsidRPr="00031A97" w:rsidRDefault="00DB4AE2" w:rsidP="002A2EE5">
      <w:pPr>
        <w:tabs>
          <w:tab w:val="left" w:pos="7937"/>
          <w:tab w:val="left" w:pos="8222"/>
        </w:tabs>
        <w:spacing w:line="360" w:lineRule="auto"/>
        <w:ind w:left="851" w:right="-93"/>
        <w:jc w:val="both"/>
        <w:rPr>
          <w:rFonts w:ascii="Palatino Linotype" w:eastAsia="Palatino Linotype" w:hAnsi="Palatino Linotype" w:cs="Palatino Linotype"/>
          <w:i/>
          <w:sz w:val="22"/>
        </w:rPr>
      </w:pPr>
      <w:r w:rsidRPr="00031A97">
        <w:rPr>
          <w:rFonts w:ascii="Palatino Linotype" w:eastAsia="Palatino Linotype" w:hAnsi="Palatino Linotype" w:cs="Palatino Linotype"/>
          <w:b/>
          <w:i/>
          <w:sz w:val="22"/>
        </w:rPr>
        <w:t xml:space="preserve">“REVISIÓN EN AMPARO. LOS RESOLUTIVOS NO COMBATIDOS DEBEN DECLARARSE FIRMES. </w:t>
      </w:r>
      <w:r w:rsidRPr="00031A97">
        <w:rPr>
          <w:rFonts w:ascii="Palatino Linotype" w:eastAsia="Palatino Linotype" w:hAnsi="Palatino Linotype" w:cs="Palatino Linotype"/>
          <w:i/>
          <w:sz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196083" w:rsidRPr="00031A97" w:rsidRDefault="00196083">
      <w:pPr>
        <w:tabs>
          <w:tab w:val="left" w:pos="7937"/>
          <w:tab w:val="left" w:pos="8222"/>
        </w:tabs>
        <w:spacing w:line="360" w:lineRule="auto"/>
        <w:ind w:left="851" w:right="-787"/>
        <w:jc w:val="both"/>
        <w:rPr>
          <w:rFonts w:ascii="Palatino Linotype" w:eastAsia="Palatino Linotype" w:hAnsi="Palatino Linotype" w:cs="Palatino Linotype"/>
          <w:i/>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Por otro lado, respecto del motivo de inconformidad relativo a que no se acredita la donación, corresponde a un contexto que no formó parte de la solicitud de información inicial.</w:t>
      </w:r>
    </w:p>
    <w:p w:rsidR="00196083" w:rsidRPr="00031A97" w:rsidRDefault="0019608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Por ello, resulta claro que el ahora</w:t>
      </w:r>
      <w:r w:rsidRPr="00031A97">
        <w:rPr>
          <w:rFonts w:ascii="Palatino Linotype" w:eastAsia="Palatino Linotype" w:hAnsi="Palatino Linotype" w:cs="Palatino Linotype"/>
          <w:b/>
        </w:rPr>
        <w:t xml:space="preserve"> Recurrente </w:t>
      </w:r>
      <w:r w:rsidRPr="00031A97">
        <w:rPr>
          <w:rFonts w:ascii="Palatino Linotype" w:eastAsia="Palatino Linotype" w:hAnsi="Palatino Linotype" w:cs="Palatino Linotype"/>
        </w:rPr>
        <w:t xml:space="preserve">añade nuevos puntos a su solicitud de información y se aleja de la materia que dio origen a la respuesta de </w:t>
      </w:r>
      <w:r w:rsidRPr="00031A97">
        <w:rPr>
          <w:rFonts w:ascii="Palatino Linotype" w:eastAsia="Palatino Linotype" w:hAnsi="Palatino Linotype" w:cs="Palatino Linotype"/>
          <w:b/>
        </w:rPr>
        <w:t>El Sujeto Obligado.</w:t>
      </w:r>
      <w:r w:rsidRPr="00031A97">
        <w:rPr>
          <w:rFonts w:ascii="Palatino Linotype" w:eastAsia="Palatino Linotype" w:hAnsi="Palatino Linotype" w:cs="Palatino Linotype"/>
        </w:rPr>
        <w:t xml:space="preserve"> A mayor abundamiento, los nuevos puntos de la solicitud son considerados “</w:t>
      </w:r>
      <w:r w:rsidRPr="00031A97">
        <w:rPr>
          <w:rFonts w:ascii="Palatino Linotype" w:eastAsia="Palatino Linotype" w:hAnsi="Palatino Linotype" w:cs="Palatino Linotype"/>
          <w:b/>
          <w:i/>
        </w:rPr>
        <w:t>plus petitio”</w:t>
      </w:r>
      <w:r w:rsidRPr="00031A97">
        <w:rPr>
          <w:rFonts w:ascii="Palatino Linotype" w:eastAsia="Palatino Linotype" w:hAnsi="Palatino Linotype" w:cs="Palatino Linotype"/>
          <w:i/>
        </w:rPr>
        <w:t xml:space="preserve"> </w:t>
      </w:r>
      <w:r w:rsidRPr="00031A97">
        <w:rPr>
          <w:rFonts w:ascii="Palatino Linotype" w:eastAsia="Palatino Linotype" w:hAnsi="Palatino Linotype" w:cs="Palatino Linotype"/>
        </w:rPr>
        <w:t xml:space="preserve">y </w:t>
      </w:r>
      <w:r w:rsidRPr="00031A97">
        <w:rPr>
          <w:rFonts w:ascii="Palatino Linotype" w:eastAsia="Palatino Linotype" w:hAnsi="Palatino Linotype" w:cs="Palatino Linotype"/>
        </w:rPr>
        <w:lastRenderedPageBreak/>
        <w:t xml:space="preserve">no son susceptibles de ser valorados, destacando que el primero de ellos se trata de hechos futuros. </w:t>
      </w:r>
    </w:p>
    <w:p w:rsidR="00196083" w:rsidRPr="00031A97" w:rsidRDefault="00196083">
      <w:pPr>
        <w:tabs>
          <w:tab w:val="left" w:pos="7088"/>
        </w:tabs>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por medios distintos a los que señala el artículo 155 del multicitado ordenamiento, por lo que el recurso de revisión no constituye un medio válido para solicitar información adicional.  </w:t>
      </w:r>
    </w:p>
    <w:p w:rsidR="00196083" w:rsidRPr="00031A97" w:rsidRDefault="00196083">
      <w:pPr>
        <w:tabs>
          <w:tab w:val="left" w:pos="7088"/>
        </w:tabs>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Sirve de apoyo a lo anterior por analogía, la Jurisprudencia No. 29 visible a foja 19 del Apéndice al Semanario Judicial de la Federación 1917-1995, Tomo IV, Materia Común, Primera Parte, Tesis de la Suprema Corte de Justicia, que señala:</w:t>
      </w:r>
    </w:p>
    <w:p w:rsidR="00196083" w:rsidRPr="00031A97" w:rsidRDefault="00DB4AE2" w:rsidP="002A2EE5">
      <w:pPr>
        <w:spacing w:line="360" w:lineRule="auto"/>
        <w:ind w:left="567"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“AGRAVIOS EN LA REVISIÓN. DEBEN ESTAR EN RELACIÓN DIRECTA CON LOS FUNDAMENTOS Y CONSIDERACIONES DE LA SENTENCIA</w:t>
      </w:r>
    </w:p>
    <w:p w:rsidR="00196083" w:rsidRPr="00031A97" w:rsidRDefault="00DB4AE2" w:rsidP="002A2EE5">
      <w:pPr>
        <w:tabs>
          <w:tab w:val="left" w:pos="7797"/>
        </w:tabs>
        <w:spacing w:line="360" w:lineRule="auto"/>
        <w:ind w:left="567" w:right="-234"/>
        <w:jc w:val="both"/>
        <w:rPr>
          <w:rFonts w:ascii="Palatino Linotype" w:eastAsia="Palatino Linotype" w:hAnsi="Palatino Linotype" w:cs="Palatino Linotype"/>
          <w:i/>
          <w:sz w:val="22"/>
        </w:rPr>
      </w:pPr>
      <w:r w:rsidRPr="00031A97">
        <w:rPr>
          <w:rFonts w:ascii="Palatino Linotype" w:eastAsia="Palatino Linotype" w:hAnsi="Palatino Linotype" w:cs="Palatino Linotype"/>
          <w:b/>
          <w:i/>
          <w:sz w:val="22"/>
          <w:u w:val="single"/>
        </w:rPr>
        <w:t>Los agravios deben estar en relación directa e inmediata con los fundamentos contenidos en la sentencia que se recurre</w:t>
      </w:r>
      <w:r w:rsidRPr="00031A97">
        <w:rPr>
          <w:rFonts w:ascii="Palatino Linotype" w:eastAsia="Palatino Linotype" w:hAnsi="Palatino Linotype" w:cs="Palatino Linotype"/>
          <w:i/>
          <w:sz w:val="22"/>
        </w:rPr>
        <w:t>,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rsidR="00196083" w:rsidRPr="00031A97" w:rsidRDefault="00196083">
      <w:pPr>
        <w:tabs>
          <w:tab w:val="left" w:pos="7088"/>
          <w:tab w:val="left" w:pos="7230"/>
        </w:tabs>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Por lo anterior, se establece que dentro del recurso de revisión presentado por el Recurrente</w:t>
      </w:r>
      <w:r w:rsidRPr="00031A97">
        <w:rPr>
          <w:rFonts w:ascii="Palatino Linotype" w:eastAsia="Palatino Linotype" w:hAnsi="Palatino Linotype" w:cs="Palatino Linotype"/>
          <w:b/>
        </w:rPr>
        <w:t xml:space="preserve"> </w:t>
      </w:r>
      <w:r w:rsidRPr="00031A97">
        <w:rPr>
          <w:rFonts w:ascii="Palatino Linotype" w:eastAsia="Palatino Linotype" w:hAnsi="Palatino Linotype" w:cs="Palatino Linotype"/>
        </w:rPr>
        <w:t>no debe variar el fondo de la</w:t>
      </w:r>
      <w:r w:rsidRPr="00031A97">
        <w:rPr>
          <w:rFonts w:ascii="Palatino Linotype" w:eastAsia="Palatino Linotype" w:hAnsi="Palatino Linotype" w:cs="Palatino Linotype"/>
          <w:i/>
        </w:rPr>
        <w:t xml:space="preserve"> Litis,</w:t>
      </w:r>
      <w:r w:rsidRPr="00031A97">
        <w:rPr>
          <w:rFonts w:ascii="Palatino Linotype" w:eastAsia="Palatino Linotype" w:hAnsi="Palatino Linotype" w:cs="Palatino Linotype"/>
        </w:rPr>
        <w:t xml:space="preserve"> de tal manera que la manifestación a que se </w:t>
      </w:r>
      <w:r w:rsidRPr="00031A97">
        <w:rPr>
          <w:rFonts w:ascii="Palatino Linotype" w:eastAsia="Palatino Linotype" w:hAnsi="Palatino Linotype" w:cs="Palatino Linotype"/>
        </w:rPr>
        <w:lastRenderedPageBreak/>
        <w:t xml:space="preserve">ha hecho referencia y que fue vertida en sus motivos de inconformidad, resulta notoriamente improcedente, pues este Órgano Garante se encuentra imposibilitado para satisfacer requerimientos que no fueron formulados en tiempo y forma. </w:t>
      </w:r>
    </w:p>
    <w:p w:rsidR="00196083" w:rsidRPr="00031A97" w:rsidRDefault="00196083">
      <w:pPr>
        <w:tabs>
          <w:tab w:val="left" w:pos="7088"/>
          <w:tab w:val="left" w:pos="7230"/>
        </w:tabs>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De igual manera, 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196083" w:rsidRPr="00031A97" w:rsidRDefault="00DB4AE2" w:rsidP="002A2EE5">
      <w:pPr>
        <w:tabs>
          <w:tab w:val="left" w:pos="6237"/>
        </w:tabs>
        <w:spacing w:line="360" w:lineRule="auto"/>
        <w:ind w:left="567" w:right="-234"/>
        <w:jc w:val="both"/>
        <w:rPr>
          <w:rFonts w:ascii="Palatino Linotype" w:eastAsia="Palatino Linotype" w:hAnsi="Palatino Linotype" w:cs="Palatino Linotype"/>
          <w:b/>
          <w:i/>
          <w:sz w:val="22"/>
          <w:u w:val="single"/>
        </w:rPr>
      </w:pPr>
      <w:r w:rsidRPr="00031A97">
        <w:rPr>
          <w:rFonts w:ascii="Palatino Linotype" w:eastAsia="Palatino Linotype" w:hAnsi="Palatino Linotype" w:cs="Palatino Linotype"/>
          <w:b/>
          <w:i/>
          <w:sz w:val="22"/>
        </w:rPr>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w:t>
      </w:r>
      <w:r w:rsidRPr="00031A97">
        <w:rPr>
          <w:rFonts w:ascii="Palatino Linotype" w:eastAsia="Palatino Linotype" w:hAnsi="Palatino Linotype" w:cs="Palatino Linotype"/>
          <w:b/>
          <w:i/>
          <w:sz w:val="22"/>
          <w:u w:val="single"/>
        </w:rPr>
        <w:t xml:space="preserve">O SEAN DISTINTOS A LOS DE SU PETICIÓN INICIAL. </w:t>
      </w:r>
    </w:p>
    <w:p w:rsidR="00196083" w:rsidRPr="00031A97" w:rsidRDefault="00196083" w:rsidP="002A2EE5">
      <w:pPr>
        <w:tabs>
          <w:tab w:val="left" w:pos="6237"/>
        </w:tabs>
        <w:spacing w:line="360" w:lineRule="auto"/>
        <w:ind w:left="567" w:right="-234"/>
        <w:jc w:val="both"/>
        <w:rPr>
          <w:rFonts w:ascii="Palatino Linotype" w:eastAsia="Palatino Linotype" w:hAnsi="Palatino Linotype" w:cs="Palatino Linotype"/>
          <w:i/>
          <w:sz w:val="22"/>
        </w:rPr>
      </w:pPr>
    </w:p>
    <w:p w:rsidR="00196083" w:rsidRPr="00031A97" w:rsidRDefault="00DB4AE2" w:rsidP="002A2EE5">
      <w:pPr>
        <w:tabs>
          <w:tab w:val="left" w:pos="6237"/>
        </w:tabs>
        <w:spacing w:line="360" w:lineRule="auto"/>
        <w:ind w:left="567" w:right="-234"/>
        <w:jc w:val="both"/>
        <w:rPr>
          <w:rFonts w:ascii="Palatino Linotype" w:eastAsia="Palatino Linotype" w:hAnsi="Palatino Linotype" w:cs="Palatino Linotype"/>
          <w:i/>
          <w:sz w:val="22"/>
        </w:rPr>
      </w:pPr>
      <w:r w:rsidRPr="00031A97">
        <w:rPr>
          <w:rFonts w:ascii="Palatino Linotype" w:eastAsia="Palatino Linotype" w:hAnsi="Palatino Linotype" w:cs="Palatino Linotype"/>
          <w:i/>
          <w:sz w:val="22"/>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031A97">
        <w:rPr>
          <w:rFonts w:ascii="Palatino Linotype" w:eastAsia="Palatino Linotype" w:hAnsi="Palatino Linotype" w:cs="Palatino Linotype"/>
          <w:b/>
          <w:i/>
          <w:sz w:val="22"/>
          <w:u w:val="single"/>
        </w:rPr>
        <w:t>el precepto 6 de la propia legislación prevé el principio de máxima publicidad y disponibilidad de la información en posesión de los sujetos obligados;</w:t>
      </w:r>
      <w:r w:rsidRPr="00031A97">
        <w:rPr>
          <w:rFonts w:ascii="Palatino Linotype" w:eastAsia="Palatino Linotype" w:hAnsi="Palatino Linotype" w:cs="Palatino Linotype"/>
          <w:i/>
          <w:sz w:val="22"/>
        </w:rPr>
        <w:t xml:space="preserve"> también lo es que ello no implica que tales numerales deban interpretarse en el sentido de permitir al gobernado que a su arbitrio solicite copia de documentos que no obren en los expedientes de los sujetos obligados</w:t>
      </w:r>
      <w:r w:rsidRPr="00031A97">
        <w:rPr>
          <w:rFonts w:ascii="Palatino Linotype" w:eastAsia="Palatino Linotype" w:hAnsi="Palatino Linotype" w:cs="Palatino Linotype"/>
          <w:b/>
          <w:i/>
          <w:sz w:val="22"/>
        </w:rPr>
        <w:t xml:space="preserve">, </w:t>
      </w:r>
      <w:r w:rsidRPr="00031A97">
        <w:rPr>
          <w:rFonts w:ascii="Palatino Linotype" w:eastAsia="Palatino Linotype" w:hAnsi="Palatino Linotype" w:cs="Palatino Linotype"/>
          <w:b/>
          <w:i/>
          <w:sz w:val="22"/>
          <w:u w:val="single"/>
        </w:rPr>
        <w:t xml:space="preserve">o sean distintos a los de su petición inicial, pues ello </w:t>
      </w:r>
      <w:r w:rsidRPr="00031A97">
        <w:rPr>
          <w:rFonts w:ascii="Palatino Linotype" w:eastAsia="Palatino Linotype" w:hAnsi="Palatino Linotype" w:cs="Palatino Linotype"/>
          <w:b/>
          <w:i/>
          <w:sz w:val="22"/>
          <w:u w:val="single"/>
        </w:rPr>
        <w:lastRenderedPageBreak/>
        <w:t>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r w:rsidRPr="00031A97">
        <w:rPr>
          <w:rFonts w:ascii="Palatino Linotype" w:eastAsia="Palatino Linotype" w:hAnsi="Palatino Linotype" w:cs="Palatino Linotype"/>
          <w:b/>
          <w:i/>
          <w:sz w:val="22"/>
        </w:rPr>
        <w:t>”</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De manera complementaria, el Instituto Nacional de Transparencia, Acceso a la Información y Protección de Datos Personales ha sostenido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rsidR="00196083" w:rsidRPr="00031A97" w:rsidRDefault="00DB4AE2" w:rsidP="002A2EE5">
      <w:pPr>
        <w:tabs>
          <w:tab w:val="left" w:pos="7513"/>
        </w:tabs>
        <w:spacing w:line="360" w:lineRule="auto"/>
        <w:ind w:left="567"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“ES IMPROCEDENTE AMPLIAR LAS SOLICITUDES DE ACCESO A INFORMACIÓN PÚBLICA O DATOS PERSONALES, A TRAVÉS DE LA INTERPOSICIÓN DEL RECURSO DE REVISIÓN</w:t>
      </w:r>
    </w:p>
    <w:p w:rsidR="00196083" w:rsidRPr="00031A97" w:rsidRDefault="00196083" w:rsidP="002A2EE5">
      <w:pPr>
        <w:tabs>
          <w:tab w:val="left" w:pos="7513"/>
        </w:tabs>
        <w:spacing w:line="360" w:lineRule="auto"/>
        <w:ind w:left="567" w:right="-234"/>
        <w:jc w:val="both"/>
        <w:rPr>
          <w:rFonts w:ascii="Palatino Linotype" w:eastAsia="Palatino Linotype" w:hAnsi="Palatino Linotype" w:cs="Palatino Linotype"/>
          <w:b/>
          <w:i/>
          <w:sz w:val="22"/>
          <w:u w:val="single"/>
        </w:rPr>
      </w:pPr>
    </w:p>
    <w:p w:rsidR="00196083" w:rsidRPr="00031A97" w:rsidRDefault="00DB4AE2" w:rsidP="002A2EE5">
      <w:pPr>
        <w:tabs>
          <w:tab w:val="left" w:pos="7513"/>
        </w:tabs>
        <w:spacing w:line="360" w:lineRule="auto"/>
        <w:ind w:left="567" w:right="-234"/>
        <w:jc w:val="both"/>
        <w:rPr>
          <w:rFonts w:ascii="Palatino Linotype" w:eastAsia="Palatino Linotype" w:hAnsi="Palatino Linotype" w:cs="Palatino Linotype"/>
          <w:i/>
          <w:sz w:val="22"/>
        </w:rPr>
      </w:pPr>
      <w:r w:rsidRPr="00031A97">
        <w:rPr>
          <w:rFonts w:ascii="Palatino Linotype" w:eastAsia="Palatino Linotype" w:hAnsi="Palatino Linotype" w:cs="Palatino Linotype"/>
          <w:b/>
          <w:i/>
          <w:sz w:val="22"/>
          <w:u w:val="single"/>
        </w:rPr>
        <w:t>En aquellos casos en los que los recurrentes amplíen los alcances de la solicitud de información o acceso a datos personales a través de un recurso de revisión, esta</w:t>
      </w:r>
      <w:r w:rsidRPr="00031A97">
        <w:rPr>
          <w:rFonts w:ascii="Palatino Linotype" w:eastAsia="Palatino Linotype" w:hAnsi="Palatino Linotype" w:cs="Palatino Linotype"/>
          <w:i/>
          <w:sz w:val="22"/>
          <w:u w:val="single"/>
        </w:rPr>
        <w:t xml:space="preserve"> </w:t>
      </w:r>
      <w:r w:rsidRPr="00031A97">
        <w:rPr>
          <w:rFonts w:ascii="Palatino Linotype" w:eastAsia="Palatino Linotype" w:hAnsi="Palatino Linotype" w:cs="Palatino Linotype"/>
          <w:b/>
          <w:i/>
          <w:sz w:val="22"/>
          <w:u w:val="single"/>
        </w:rPr>
        <w:t>ampliación no podrá constituir materia del procedimiento a sustanciarse</w:t>
      </w:r>
      <w:r w:rsidRPr="00031A97">
        <w:rPr>
          <w:rFonts w:ascii="Palatino Linotype" w:eastAsia="Palatino Linotype" w:hAnsi="Palatino Linotype" w:cs="Palatino Linotype"/>
          <w:i/>
          <w:sz w:val="22"/>
        </w:rPr>
        <w:t xml:space="preserve"> por el Instituto Federal de Acceso a la Información y Protección de Datos. Lo anterior, sin perjuicio de que los recurrentes puedan ejercer su derecho a realizar una nueva solicitud en términos de la Ley de la materia.”</w:t>
      </w:r>
    </w:p>
    <w:p w:rsidR="00196083" w:rsidRPr="00031A97" w:rsidRDefault="00196083">
      <w:pPr>
        <w:tabs>
          <w:tab w:val="left" w:pos="7513"/>
        </w:tabs>
        <w:spacing w:line="360" w:lineRule="auto"/>
        <w:ind w:left="567" w:right="-787"/>
        <w:jc w:val="both"/>
        <w:rPr>
          <w:rFonts w:ascii="Palatino Linotype" w:eastAsia="Palatino Linotype" w:hAnsi="Palatino Linotype" w:cs="Palatino Linotype"/>
          <w:i/>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Ahora bien, respecto de la impugnación planteada, se desprende que en su totalidad está encaminada a dudar de la veracidad de la respuesta emitida, realizando las siguientes </w:t>
      </w:r>
      <w:r w:rsidRPr="00031A97">
        <w:rPr>
          <w:rFonts w:ascii="Palatino Linotype" w:eastAsia="Palatino Linotype" w:hAnsi="Palatino Linotype" w:cs="Palatino Linotype"/>
        </w:rPr>
        <w:lastRenderedPageBreak/>
        <w:t>aseveraciones: es presuntamente falsa, carece de veracidad, pretende eludir la exhibición del contrato, pretende ocultar la información y, que no es creíble.</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De tal suerte que como se puede vislumbrar, las expresiones referidas</w:t>
      </w:r>
      <w:r w:rsidRPr="00031A97">
        <w:rPr>
          <w:rFonts w:ascii="Palatino Linotype" w:eastAsia="Palatino Linotype" w:hAnsi="Palatino Linotype" w:cs="Palatino Linotype"/>
          <w:b/>
        </w:rPr>
        <w:t xml:space="preserve"> </w:t>
      </w:r>
      <w:r w:rsidRPr="00031A97">
        <w:rPr>
          <w:rFonts w:ascii="Palatino Linotype" w:eastAsia="Palatino Linotype" w:hAnsi="Palatino Linotype" w:cs="Palatino Linotype"/>
        </w:rPr>
        <w:t xml:space="preserve">no actualizan los supuestos que la norma jurídica contempla para la procedencia del recurso de revisión, toda vez que estas son tendientes únicamente a dudar de la veracidad de la respuesta emitida. </w:t>
      </w:r>
    </w:p>
    <w:p w:rsidR="00196083" w:rsidRPr="00031A97" w:rsidRDefault="0019608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Por consiguiente, en estricto derecho la alegación de la parte </w:t>
      </w:r>
      <w:r w:rsidRPr="00031A97">
        <w:rPr>
          <w:rFonts w:ascii="Palatino Linotype" w:eastAsia="Palatino Linotype" w:hAnsi="Palatino Linotype" w:cs="Palatino Linotype"/>
          <w:b/>
        </w:rPr>
        <w:t>Recurrente</w:t>
      </w:r>
      <w:r w:rsidRPr="00031A97">
        <w:rPr>
          <w:rFonts w:ascii="Palatino Linotype" w:eastAsia="Palatino Linotype" w:hAnsi="Palatino Linotype" w:cs="Palatino Linotype"/>
        </w:rPr>
        <w:t xml:space="preserve"> se califica de inoperante; motivo por el cual lo procedente es sobreseer el recurso de revisión; resultando necesario traer a colación la Tesis Aislada con número de registro 2017549 de rubro “</w:t>
      </w:r>
      <w:r w:rsidRPr="00031A97">
        <w:rPr>
          <w:rFonts w:ascii="Palatino Linotype" w:eastAsia="Palatino Linotype" w:hAnsi="Palatino Linotype" w:cs="Palatino Linotype"/>
          <w:i/>
        </w:rPr>
        <w:t>INEXISTENCIA DE LOS ACTOS RECLAMADOS EN EL AMPARO. NO ES UN MOTIVO MANIFIESTO E INDUDABLE DE IMPROCEDENCIA QUE DÉ LUGAR AL DESECHAMIENTO DE LA DEMANDA, SINO QUE CONSTITUYE UNA CAUSAL DE SOBRESEIMIENTO EN EL JUICIO</w:t>
      </w:r>
      <w:r w:rsidRPr="00031A97">
        <w:rPr>
          <w:rFonts w:ascii="Palatino Linotype" w:eastAsia="Palatino Linotype" w:hAnsi="Palatino Linotype" w:cs="Palatino Linotype"/>
        </w:rPr>
        <w:t>.”, la cual constituye un criterio orientador para este Órgano Garante, que pone en aptitudes de poder sobreseer el presente recurso de revisión, lo que en el caso particular, se tiene por acreditada la inexistencia del acto reclamado, quedando sin materia el presente asunto.</w:t>
      </w:r>
    </w:p>
    <w:p w:rsidR="00196083" w:rsidRPr="00031A97" w:rsidRDefault="00196083">
      <w:pPr>
        <w:pBdr>
          <w:top w:val="nil"/>
          <w:left w:val="nil"/>
          <w:bottom w:val="nil"/>
          <w:right w:val="nil"/>
          <w:between w:val="nil"/>
        </w:pBdr>
        <w:ind w:left="720" w:right="-787"/>
        <w:rPr>
          <w:rFonts w:ascii="Palatino Linotype" w:eastAsia="Palatino Linotype" w:hAnsi="Palatino Linotype" w:cs="Palatino Linotype"/>
          <w:color w:val="000000"/>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Luego entonces, el dudar de la veracidad de la respuesta actualiza la causal de sobreseimiento enunciada en la fracción IV del artículo 192 de la Ley de Transparencia Local, en relación directa con la fracción V del artículo 191 de la misma Ley, toda vez que la parte </w:t>
      </w:r>
      <w:r w:rsidRPr="00031A97">
        <w:rPr>
          <w:rFonts w:ascii="Palatino Linotype" w:eastAsia="Palatino Linotype" w:hAnsi="Palatino Linotype" w:cs="Palatino Linotype"/>
          <w:b/>
        </w:rPr>
        <w:t>Recurrente</w:t>
      </w:r>
      <w:r w:rsidRPr="00031A97">
        <w:rPr>
          <w:rFonts w:ascii="Palatino Linotype" w:eastAsia="Palatino Linotype" w:hAnsi="Palatino Linotype" w:cs="Palatino Linotype"/>
        </w:rPr>
        <w:t xml:space="preserve"> pone en tela de juicio la veracidad de la información proporcionada.</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lastRenderedPageBreak/>
        <w:t>Siendo necesario precisar que este Organismo Garante no está facultado para manifestarse sobre la veracidad de lo manifestado por parte de este, pues no existe precepto legal alguno en la Ley de la materia que lo faculte para ello.</w:t>
      </w:r>
    </w:p>
    <w:p w:rsidR="00196083" w:rsidRPr="00031A97" w:rsidRDefault="0019608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Luego entonces subrayar que </w:t>
      </w:r>
      <w:r w:rsidRPr="00031A97">
        <w:rPr>
          <w:rFonts w:ascii="Palatino Linotype" w:eastAsia="Palatino Linotype" w:hAnsi="Palatino Linotype" w:cs="Palatino Linotype"/>
          <w:color w:val="000000"/>
        </w:rPr>
        <w:t xml:space="preserve">este Instituto no puede prejuzgar sobre las </w:t>
      </w:r>
      <w:r w:rsidRPr="00031A97">
        <w:rPr>
          <w:rFonts w:ascii="Palatino Linotype" w:eastAsia="Palatino Linotype" w:hAnsi="Palatino Linotype" w:cs="Palatino Linotype"/>
        </w:rPr>
        <w:t>contestaciones</w:t>
      </w:r>
      <w:r w:rsidRPr="00031A97">
        <w:rPr>
          <w:rFonts w:ascii="Palatino Linotype" w:eastAsia="Palatino Linotype" w:hAnsi="Palatino Linotype" w:cs="Palatino Linotype"/>
          <w:color w:val="000000"/>
        </w:rPr>
        <w:t xml:space="preserve"> esgrimidas por los sujetos obligados, dado que no se encuentra facultado para </w:t>
      </w:r>
      <w:r w:rsidRPr="00031A97">
        <w:rPr>
          <w:rFonts w:ascii="Palatino Linotype" w:eastAsia="Palatino Linotype" w:hAnsi="Palatino Linotype" w:cs="Palatino Linotype"/>
          <w:b/>
          <w:color w:val="000000"/>
        </w:rPr>
        <w:t>dudar de la veracidad</w:t>
      </w:r>
      <w:r w:rsidRPr="00031A97">
        <w:rPr>
          <w:rFonts w:ascii="Palatino Linotype" w:eastAsia="Palatino Linotype" w:hAnsi="Palatino Linotype" w:cs="Palatino Linotype"/>
          <w:color w:val="000000"/>
        </w:rPr>
        <w:t xml:space="preserve"> </w:t>
      </w:r>
      <w:r w:rsidRPr="00031A97">
        <w:rPr>
          <w:rFonts w:ascii="Palatino Linotype" w:eastAsia="Palatino Linotype" w:hAnsi="Palatino Linotype" w:cs="Palatino Linotype"/>
        </w:rPr>
        <w:t>de las respuestas emitidas por los sujetos obligados ni de la que ponen a disposición de los solicitantes; situación que se aleja de las atribuciones de este Instituto</w:t>
      </w:r>
      <w:r w:rsidRPr="00031A97">
        <w:rPr>
          <w:rFonts w:ascii="Palatino Linotype" w:eastAsia="Palatino Linotype" w:hAnsi="Palatino Linotype" w:cs="Palatino Linotype"/>
          <w:i/>
        </w:rPr>
        <w:t xml:space="preserve"> </w:t>
      </w:r>
      <w:r w:rsidRPr="00031A97">
        <w:rPr>
          <w:rFonts w:ascii="Palatino Linotype" w:eastAsia="Palatino Linotype" w:hAnsi="Palatino Linotype" w:cs="Palatino Linotype"/>
          <w:i/>
          <w:color w:val="000000"/>
        </w:rPr>
        <w:t>máxime</w:t>
      </w:r>
      <w:r w:rsidRPr="00031A97">
        <w:rPr>
          <w:rFonts w:ascii="Palatino Linotype" w:eastAsia="Palatino Linotype" w:hAnsi="Palatino Linotype" w:cs="Palatino Linotype"/>
          <w:color w:val="000000"/>
        </w:rPr>
        <w:t xml:space="preserve"> que al momento que ponen a disposición ésta, </w:t>
      </w:r>
      <w:r w:rsidRPr="00031A97">
        <w:rPr>
          <w:rFonts w:ascii="Palatino Linotype" w:eastAsia="Palatino Linotype" w:hAnsi="Palatino Linotype" w:cs="Palatino Linotype"/>
          <w:b/>
          <w:color w:val="000000"/>
        </w:rPr>
        <w:t>la misma tiene el carácter oficial y se presume veraz</w:t>
      </w:r>
      <w:r w:rsidRPr="00031A97">
        <w:rPr>
          <w:rFonts w:ascii="Palatino Linotype" w:eastAsia="Palatino Linotype" w:hAnsi="Palatino Linotype" w:cs="Palatino Linotype"/>
          <w:color w:val="000000"/>
        </w:rPr>
        <w:t>, tan es así que la misma queda registrada en el SAIMEX.</w:t>
      </w:r>
    </w:p>
    <w:p w:rsidR="00196083" w:rsidRPr="00031A97" w:rsidRDefault="00196083">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Es por ello que se actualiza las causales de improcedencia previstas en la fracción IV del artículo 192 de la Ley en la materia, en relación con las fracciones III y V del artículo 191 del mismo ordenamiento, disposiciones normativas que señalan: </w:t>
      </w:r>
    </w:p>
    <w:p w:rsidR="00196083" w:rsidRPr="00031A97" w:rsidRDefault="00DB4AE2" w:rsidP="002A2EE5">
      <w:pPr>
        <w:tabs>
          <w:tab w:val="left" w:pos="7938"/>
        </w:tabs>
        <w:spacing w:line="360" w:lineRule="auto"/>
        <w:ind w:left="560"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 xml:space="preserve">“Artículo 191. El recurso será desechado por improcedente cuando: </w:t>
      </w:r>
    </w:p>
    <w:p w:rsidR="00196083" w:rsidRPr="00031A97" w:rsidRDefault="00DB4AE2" w:rsidP="002A2EE5">
      <w:pPr>
        <w:tabs>
          <w:tab w:val="left" w:pos="7938"/>
        </w:tabs>
        <w:spacing w:line="360" w:lineRule="auto"/>
        <w:ind w:left="560"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III. No se actualice alguno de los supuestos previstos en la Ley.</w:t>
      </w:r>
    </w:p>
    <w:p w:rsidR="00196083" w:rsidRPr="00031A97" w:rsidRDefault="00DB4AE2" w:rsidP="002A2EE5">
      <w:pPr>
        <w:tabs>
          <w:tab w:val="left" w:pos="7938"/>
        </w:tabs>
        <w:spacing w:line="360" w:lineRule="auto"/>
        <w:ind w:left="560"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V. Se impugne la veracidad de la información proporcionada;</w:t>
      </w:r>
    </w:p>
    <w:p w:rsidR="00196083" w:rsidRPr="00031A97" w:rsidRDefault="00DB4AE2" w:rsidP="002A2EE5">
      <w:pPr>
        <w:tabs>
          <w:tab w:val="left" w:pos="7938"/>
        </w:tabs>
        <w:spacing w:line="360" w:lineRule="auto"/>
        <w:ind w:left="560"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w:t>
      </w:r>
    </w:p>
    <w:p w:rsidR="00196083" w:rsidRPr="00031A97" w:rsidRDefault="00196083" w:rsidP="002A2EE5">
      <w:pPr>
        <w:tabs>
          <w:tab w:val="left" w:pos="7938"/>
        </w:tabs>
        <w:spacing w:line="360" w:lineRule="auto"/>
        <w:ind w:left="560" w:right="-234"/>
        <w:jc w:val="both"/>
        <w:rPr>
          <w:rFonts w:ascii="Palatino Linotype" w:eastAsia="Palatino Linotype" w:hAnsi="Palatino Linotype" w:cs="Palatino Linotype"/>
          <w:b/>
          <w:i/>
          <w:sz w:val="22"/>
        </w:rPr>
      </w:pPr>
    </w:p>
    <w:p w:rsidR="00196083" w:rsidRPr="00031A97" w:rsidRDefault="00DB4AE2" w:rsidP="002A2EE5">
      <w:pPr>
        <w:tabs>
          <w:tab w:val="left" w:pos="7938"/>
        </w:tabs>
        <w:spacing w:line="360" w:lineRule="auto"/>
        <w:ind w:left="560"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 xml:space="preserve">Artículo 192. El recurso será </w:t>
      </w:r>
      <w:r w:rsidRPr="00031A97">
        <w:rPr>
          <w:rFonts w:ascii="Palatino Linotype" w:eastAsia="Palatino Linotype" w:hAnsi="Palatino Linotype" w:cs="Palatino Linotype"/>
          <w:b/>
          <w:i/>
          <w:sz w:val="22"/>
          <w:u w:val="single"/>
        </w:rPr>
        <w:t>sobreseído</w:t>
      </w:r>
      <w:r w:rsidRPr="00031A97">
        <w:rPr>
          <w:rFonts w:ascii="Palatino Linotype" w:eastAsia="Palatino Linotype" w:hAnsi="Palatino Linotype" w:cs="Palatino Linotype"/>
          <w:b/>
          <w:i/>
          <w:sz w:val="22"/>
        </w:rPr>
        <w:t>, en todo o en parte, cuando una vez admitido, se actualicen alguno de los siguientes supuestos:</w:t>
      </w:r>
    </w:p>
    <w:p w:rsidR="00196083" w:rsidRPr="00031A97" w:rsidRDefault="00DB4AE2" w:rsidP="002A2EE5">
      <w:pPr>
        <w:tabs>
          <w:tab w:val="left" w:pos="7938"/>
        </w:tabs>
        <w:spacing w:line="360" w:lineRule="auto"/>
        <w:ind w:left="560"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w:t>
      </w:r>
    </w:p>
    <w:p w:rsidR="00196083" w:rsidRPr="00031A97" w:rsidRDefault="00DB4AE2" w:rsidP="002A2EE5">
      <w:pPr>
        <w:tabs>
          <w:tab w:val="left" w:pos="7938"/>
        </w:tabs>
        <w:spacing w:line="360" w:lineRule="auto"/>
        <w:ind w:left="560"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IV. Admitido el recurso de revisión aparezca alguna causal de improcedencia en términos de la presente Ley…”</w:t>
      </w:r>
    </w:p>
    <w:p w:rsidR="00196083" w:rsidRPr="00031A97" w:rsidRDefault="00196083">
      <w:pPr>
        <w:tabs>
          <w:tab w:val="left" w:pos="7938"/>
        </w:tabs>
        <w:spacing w:line="360" w:lineRule="auto"/>
        <w:ind w:right="-787"/>
        <w:jc w:val="both"/>
        <w:rPr>
          <w:rFonts w:ascii="Palatino Linotype" w:eastAsia="Palatino Linotype" w:hAnsi="Palatino Linotype" w:cs="Palatino Linotype"/>
          <w:b/>
          <w:i/>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lastRenderedPageBreak/>
        <w:t xml:space="preserve">Por lo tanto, en virtud de  los argumentos expuestos con anterioridad así como del análisis realizado a las constancias que obran en el expediente electrónico, toda vez que no se actualizó algún supuesto de procedencia, se determina </w:t>
      </w:r>
      <w:r w:rsidRPr="00031A97">
        <w:rPr>
          <w:rFonts w:ascii="Palatino Linotype" w:eastAsia="Palatino Linotype" w:hAnsi="Palatino Linotype" w:cs="Palatino Linotype"/>
          <w:i/>
        </w:rPr>
        <w:t xml:space="preserve">sobreseer </w:t>
      </w:r>
      <w:r w:rsidRPr="00031A97">
        <w:rPr>
          <w:rFonts w:ascii="Palatino Linotype" w:eastAsia="Palatino Linotype" w:hAnsi="Palatino Linotype" w:cs="Palatino Linotype"/>
        </w:rPr>
        <w:t xml:space="preserve">el presente recurso de revisión. </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rPr>
          <w:rFonts w:ascii="Palatino Linotype" w:eastAsia="Palatino Linotype" w:hAnsi="Palatino Linotype" w:cs="Palatino Linotype"/>
          <w:b/>
        </w:rPr>
      </w:pPr>
      <w:r w:rsidRPr="00031A97">
        <w:rPr>
          <w:rFonts w:ascii="Palatino Linotype" w:eastAsia="Palatino Linotype" w:hAnsi="Palatino Linotype" w:cs="Palatino Linotype"/>
        </w:rPr>
        <w:t xml:space="preserve">Siendo el </w:t>
      </w:r>
      <w:r w:rsidRPr="00031A97">
        <w:rPr>
          <w:rFonts w:ascii="Palatino Linotype" w:eastAsia="Palatino Linotype" w:hAnsi="Palatino Linotype" w:cs="Palatino Linotype"/>
          <w:i/>
        </w:rPr>
        <w:t>sobreseimiento</w:t>
      </w:r>
      <w:r w:rsidRPr="00031A97">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196083" w:rsidRPr="00031A97" w:rsidRDefault="00DB4AE2" w:rsidP="002A2EE5">
      <w:pPr>
        <w:spacing w:line="360" w:lineRule="auto"/>
        <w:ind w:left="851" w:right="-93"/>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i/>
          <w:sz w:val="22"/>
        </w:rPr>
        <w:t>“</w:t>
      </w:r>
      <w:r w:rsidRPr="00031A97">
        <w:rPr>
          <w:rFonts w:ascii="Palatino Linotype" w:eastAsia="Palatino Linotype" w:hAnsi="Palatino Linotype" w:cs="Palatino Linotype"/>
          <w:b/>
          <w:i/>
          <w:sz w:val="22"/>
        </w:rPr>
        <w:t>SOBRESEIMIENTO, NO PERMITE ENTRAR AL ESTUDIO DE LAS CUESTIONES DE FONDO</w:t>
      </w:r>
    </w:p>
    <w:p w:rsidR="00196083" w:rsidRPr="00031A97" w:rsidRDefault="00DB4AE2" w:rsidP="002A2EE5">
      <w:pPr>
        <w:spacing w:line="360" w:lineRule="auto"/>
        <w:ind w:left="851" w:right="-93"/>
        <w:jc w:val="both"/>
        <w:rPr>
          <w:rFonts w:ascii="Palatino Linotype" w:eastAsia="Palatino Linotype" w:hAnsi="Palatino Linotype" w:cs="Palatino Linotype"/>
          <w:i/>
          <w:sz w:val="22"/>
        </w:rPr>
      </w:pPr>
      <w:r w:rsidRPr="00031A97">
        <w:rPr>
          <w:rFonts w:ascii="Palatino Linotype" w:eastAsia="Palatino Linotype" w:hAnsi="Palatino Linotype" w:cs="Palatino Linotype"/>
          <w:i/>
          <w:sz w:val="22"/>
        </w:rPr>
        <w:t>Localización: 213609. II.2o.183 K. Tribunales Colegiados de Circuito. Octava Época. Semanario Judicial de la Federación. Tomo XIII, Febrero de 1994, Pág. 420</w:t>
      </w:r>
    </w:p>
    <w:p w:rsidR="00196083" w:rsidRPr="00031A97" w:rsidRDefault="00DB4AE2" w:rsidP="002A2EE5">
      <w:pPr>
        <w:spacing w:line="360" w:lineRule="auto"/>
        <w:ind w:left="851" w:right="-93"/>
        <w:jc w:val="both"/>
        <w:rPr>
          <w:rFonts w:ascii="Palatino Linotype" w:eastAsia="Palatino Linotype" w:hAnsi="Palatino Linotype" w:cs="Palatino Linotype"/>
          <w:i/>
          <w:sz w:val="22"/>
        </w:rPr>
      </w:pPr>
      <w:r w:rsidRPr="00031A97">
        <w:rPr>
          <w:rFonts w:ascii="Palatino Linotype" w:eastAsia="Palatino Linotype" w:hAnsi="Palatino Linotype" w:cs="Palatino Linotype"/>
          <w:i/>
          <w:sz w:val="22"/>
        </w:rPr>
        <w:t xml:space="preserve">Cuerpo de tesis: No causa agravio la sentencia que no se ocupa de los razonamientos tendientes a demostrar la inconstitucionalidad de los actos reclamados de las autoridades responsables, que constituyen el problema de fondo, si se decreta el sobreseimiento del juicio.” </w:t>
      </w:r>
    </w:p>
    <w:p w:rsidR="00196083" w:rsidRPr="00031A97" w:rsidRDefault="00196083">
      <w:pPr>
        <w:spacing w:line="360" w:lineRule="auto"/>
        <w:ind w:left="851" w:right="-787"/>
        <w:jc w:val="both"/>
        <w:rPr>
          <w:rFonts w:ascii="Palatino Linotype" w:eastAsia="Palatino Linotype" w:hAnsi="Palatino Linotype" w:cs="Palatino Linotype"/>
          <w:i/>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196083" w:rsidRPr="00031A97" w:rsidRDefault="00DB4AE2" w:rsidP="002A2EE5">
      <w:pPr>
        <w:spacing w:line="360" w:lineRule="auto"/>
        <w:ind w:left="851" w:right="-234"/>
        <w:jc w:val="both"/>
        <w:rPr>
          <w:rFonts w:ascii="Palatino Linotype" w:eastAsia="Palatino Linotype" w:hAnsi="Palatino Linotype" w:cs="Palatino Linotype"/>
          <w:b/>
          <w:i/>
          <w:sz w:val="22"/>
        </w:rPr>
      </w:pPr>
      <w:r w:rsidRPr="00031A97">
        <w:rPr>
          <w:rFonts w:ascii="Palatino Linotype" w:eastAsia="Palatino Linotype" w:hAnsi="Palatino Linotype" w:cs="Palatino Linotype"/>
          <w:b/>
          <w:i/>
          <w:sz w:val="22"/>
        </w:rPr>
        <w:t>“DESECHAMIENTO O SOBRESEIMIENTO EN EL JUICIO DE AMPARO. NO IMPLICA DENEGACIÓN DE JUSTICIA NI GENERA INSEGURIDAD JURÍDICA”</w:t>
      </w:r>
    </w:p>
    <w:p w:rsidR="00196083" w:rsidRPr="00031A97" w:rsidRDefault="00DB4AE2" w:rsidP="002A2EE5">
      <w:pPr>
        <w:spacing w:line="360" w:lineRule="auto"/>
        <w:ind w:left="851" w:right="-234"/>
        <w:jc w:val="both"/>
        <w:rPr>
          <w:rFonts w:ascii="Palatino Linotype" w:eastAsia="Palatino Linotype" w:hAnsi="Palatino Linotype" w:cs="Palatino Linotype"/>
          <w:i/>
          <w:sz w:val="22"/>
        </w:rPr>
      </w:pPr>
      <w:r w:rsidRPr="00031A97">
        <w:rPr>
          <w:rFonts w:ascii="Palatino Linotype" w:eastAsia="Palatino Linotype" w:hAnsi="Palatino Linotype" w:cs="Palatino Linotype"/>
          <w:i/>
          <w:sz w:val="22"/>
        </w:rPr>
        <w:lastRenderedPageBreak/>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w:t>
      </w:r>
    </w:p>
    <w:p w:rsidR="00196083" w:rsidRPr="00031A97" w:rsidRDefault="00196083">
      <w:pPr>
        <w:spacing w:line="360" w:lineRule="auto"/>
        <w:ind w:left="851" w:right="-787"/>
        <w:jc w:val="both"/>
        <w:rPr>
          <w:rFonts w:ascii="Palatino Linotype" w:eastAsia="Palatino Linotype" w:hAnsi="Palatino Linotype" w:cs="Palatino Linotype"/>
          <w:i/>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w:t>
      </w:r>
      <w:r w:rsidRPr="00031A97">
        <w:rPr>
          <w:rFonts w:ascii="Palatino Linotype" w:eastAsia="Palatino Linotype" w:hAnsi="Palatino Linotype" w:cs="Palatino Linotype"/>
          <w:b/>
        </w:rPr>
        <w:t xml:space="preserve">Sobresee </w:t>
      </w:r>
      <w:r w:rsidRPr="00031A97">
        <w:rPr>
          <w:rFonts w:ascii="Palatino Linotype" w:eastAsia="Palatino Linotype" w:hAnsi="Palatino Linotype" w:cs="Palatino Linotype"/>
        </w:rPr>
        <w:t xml:space="preserve">el recurso de revisión </w:t>
      </w:r>
      <w:r w:rsidRPr="00031A97">
        <w:rPr>
          <w:rFonts w:ascii="Palatino Linotype" w:eastAsia="Palatino Linotype" w:hAnsi="Palatino Linotype" w:cs="Palatino Linotype"/>
          <w:b/>
        </w:rPr>
        <w:t>07173/INFOEM/IP/RR/2024</w:t>
      </w:r>
      <w:r w:rsidRPr="00031A97">
        <w:rPr>
          <w:rFonts w:ascii="Palatino Linotype" w:eastAsia="Palatino Linotype" w:hAnsi="Palatino Linotype" w:cs="Palatino Linotype"/>
        </w:rPr>
        <w:t>, que ha sido materia del presente fallo.</w:t>
      </w:r>
    </w:p>
    <w:p w:rsidR="00196083" w:rsidRPr="00031A97" w:rsidRDefault="00196083">
      <w:pPr>
        <w:spacing w:line="360" w:lineRule="auto"/>
        <w:ind w:right="-787"/>
        <w:jc w:val="both"/>
        <w:rPr>
          <w:rFonts w:ascii="Palatino Linotype" w:eastAsia="Palatino Linotype" w:hAnsi="Palatino Linotype" w:cs="Palatino Linotype"/>
        </w:rPr>
      </w:pPr>
    </w:p>
    <w:p w:rsidR="00196083" w:rsidRPr="00031A97" w:rsidRDefault="00DB4AE2">
      <w:pPr>
        <w:numPr>
          <w:ilvl w:val="0"/>
          <w:numId w:val="1"/>
        </w:numPr>
        <w:spacing w:line="360" w:lineRule="auto"/>
        <w:ind w:left="0" w:right="-787" w:firstLine="0"/>
        <w:jc w:val="both"/>
      </w:pPr>
      <w:r w:rsidRPr="00031A97">
        <w:rPr>
          <w:rFonts w:ascii="Palatino Linotype" w:eastAsia="Palatino Linotype" w:hAnsi="Palatino Linotype" w:cs="Palatino Linotype"/>
        </w:rPr>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r w:rsidRPr="00031A97">
        <w:rPr>
          <w:rFonts w:ascii="Palatino Linotype" w:eastAsia="Palatino Linotype" w:hAnsi="Palatino Linotype" w:cs="Palatino Linotype"/>
          <w:color w:val="222222"/>
        </w:rPr>
        <w:t xml:space="preserve"> emite los siguientes:</w:t>
      </w:r>
    </w:p>
    <w:p w:rsidR="00196083" w:rsidRPr="00031A97" w:rsidRDefault="00196083">
      <w:pPr>
        <w:pBdr>
          <w:top w:val="nil"/>
          <w:left w:val="nil"/>
          <w:bottom w:val="nil"/>
          <w:right w:val="nil"/>
          <w:between w:val="nil"/>
        </w:pBdr>
        <w:ind w:left="720" w:right="-787"/>
        <w:rPr>
          <w:rFonts w:ascii="Palatino Linotype" w:eastAsia="Palatino Linotype" w:hAnsi="Palatino Linotype" w:cs="Palatino Linotype"/>
          <w:color w:val="000000"/>
        </w:rPr>
      </w:pPr>
    </w:p>
    <w:p w:rsidR="00196083" w:rsidRPr="00031A97" w:rsidRDefault="00DB4AE2">
      <w:pPr>
        <w:keepNext/>
        <w:keepLines/>
        <w:spacing w:line="360" w:lineRule="auto"/>
        <w:ind w:right="-787"/>
        <w:jc w:val="center"/>
        <w:rPr>
          <w:rFonts w:ascii="Palatino Linotype" w:eastAsia="Palatino Linotype" w:hAnsi="Palatino Linotype" w:cs="Palatino Linotype"/>
          <w:b/>
          <w:color w:val="000000"/>
        </w:rPr>
      </w:pPr>
      <w:r w:rsidRPr="00031A97">
        <w:rPr>
          <w:rFonts w:ascii="Palatino Linotype" w:eastAsia="Palatino Linotype" w:hAnsi="Palatino Linotype" w:cs="Palatino Linotype"/>
          <w:b/>
          <w:color w:val="000000"/>
        </w:rPr>
        <w:t>R E S O L U T I V O S</w:t>
      </w:r>
    </w:p>
    <w:p w:rsidR="00196083" w:rsidRPr="00031A97" w:rsidRDefault="00196083">
      <w:pPr>
        <w:keepNext/>
        <w:keepLines/>
        <w:spacing w:line="360" w:lineRule="auto"/>
        <w:ind w:right="-787"/>
        <w:jc w:val="center"/>
        <w:rPr>
          <w:rFonts w:ascii="Palatino Linotype" w:eastAsia="Palatino Linotype" w:hAnsi="Palatino Linotype" w:cs="Palatino Linotype"/>
          <w:b/>
          <w:color w:val="000000"/>
        </w:rPr>
      </w:pPr>
    </w:p>
    <w:p w:rsidR="00196083" w:rsidRPr="00031A97" w:rsidRDefault="00DB4AE2">
      <w:pPr>
        <w:pBdr>
          <w:top w:val="nil"/>
          <w:left w:val="nil"/>
          <w:bottom w:val="nil"/>
          <w:right w:val="nil"/>
          <w:between w:val="nil"/>
        </w:pBdr>
        <w:tabs>
          <w:tab w:val="left" w:pos="7936"/>
        </w:tabs>
        <w:spacing w:line="360" w:lineRule="auto"/>
        <w:ind w:right="-787"/>
        <w:jc w:val="both"/>
        <w:rPr>
          <w:rFonts w:ascii="Palatino Linotype" w:eastAsia="Palatino Linotype" w:hAnsi="Palatino Linotype" w:cs="Palatino Linotype"/>
        </w:rPr>
      </w:pPr>
      <w:r w:rsidRPr="00031A97">
        <w:rPr>
          <w:rFonts w:ascii="Palatino Linotype" w:eastAsia="Palatino Linotype" w:hAnsi="Palatino Linotype" w:cs="Palatino Linotype"/>
          <w:b/>
        </w:rPr>
        <w:t xml:space="preserve">PRIMERO. </w:t>
      </w:r>
      <w:r w:rsidRPr="00031A97">
        <w:rPr>
          <w:rFonts w:ascii="Palatino Linotype" w:eastAsia="Palatino Linotype" w:hAnsi="Palatino Linotype" w:cs="Palatino Linotype"/>
        </w:rPr>
        <w:t xml:space="preserve">Se </w:t>
      </w:r>
      <w:r w:rsidRPr="00031A97">
        <w:rPr>
          <w:rFonts w:ascii="Palatino Linotype" w:eastAsia="Palatino Linotype" w:hAnsi="Palatino Linotype" w:cs="Palatino Linotype"/>
          <w:b/>
        </w:rPr>
        <w:t>SOBRESEE</w:t>
      </w:r>
      <w:r w:rsidRPr="00031A97">
        <w:rPr>
          <w:rFonts w:ascii="Palatino Linotype" w:eastAsia="Palatino Linotype" w:hAnsi="Palatino Linotype" w:cs="Palatino Linotype"/>
        </w:rPr>
        <w:t xml:space="preserve"> el Recurso de Revisión </w:t>
      </w:r>
      <w:r w:rsidRPr="00031A97">
        <w:rPr>
          <w:rFonts w:ascii="Palatino Linotype" w:eastAsia="Palatino Linotype" w:hAnsi="Palatino Linotype" w:cs="Palatino Linotype"/>
          <w:b/>
        </w:rPr>
        <w:t>07173/INFOEM/IP/RR/2024</w:t>
      </w:r>
      <w:r w:rsidRPr="00031A97">
        <w:rPr>
          <w:rFonts w:ascii="Palatino Linotype" w:eastAsia="Palatino Linotype" w:hAnsi="Palatino Linotype" w:cs="Palatino Linotype"/>
        </w:rPr>
        <w:t>, por improcedente</w:t>
      </w:r>
      <w:r w:rsidRPr="00031A97">
        <w:rPr>
          <w:rFonts w:ascii="Palatino Linotype" w:eastAsia="Palatino Linotype" w:hAnsi="Palatino Linotype" w:cs="Palatino Linotype"/>
          <w:b/>
        </w:rPr>
        <w:t xml:space="preserve">, </w:t>
      </w:r>
      <w:r w:rsidRPr="00031A97">
        <w:rPr>
          <w:rFonts w:ascii="Palatino Linotype" w:eastAsia="Palatino Linotype" w:hAnsi="Palatino Linotype" w:cs="Palatino Linotype"/>
        </w:rPr>
        <w:t>por actualizarse la fracción IV</w:t>
      </w:r>
      <w:r w:rsidR="00E40CFB" w:rsidRPr="00031A97">
        <w:rPr>
          <w:rFonts w:ascii="Palatino Linotype" w:eastAsia="Palatino Linotype" w:hAnsi="Palatino Linotype" w:cs="Palatino Linotype"/>
        </w:rPr>
        <w:t>,</w:t>
      </w:r>
      <w:r w:rsidRPr="00031A97">
        <w:rPr>
          <w:rFonts w:ascii="Palatino Linotype" w:eastAsia="Palatino Linotype" w:hAnsi="Palatino Linotype" w:cs="Palatino Linotype"/>
        </w:rPr>
        <w:t xml:space="preserve"> del artículo 192, en relación con las fracciones III y V</w:t>
      </w:r>
      <w:r w:rsidR="00E40CFB" w:rsidRPr="00031A97">
        <w:rPr>
          <w:rFonts w:ascii="Palatino Linotype" w:eastAsia="Palatino Linotype" w:hAnsi="Palatino Linotype" w:cs="Palatino Linotype"/>
        </w:rPr>
        <w:t>,</w:t>
      </w:r>
      <w:r w:rsidRPr="00031A97">
        <w:rPr>
          <w:rFonts w:ascii="Palatino Linotype" w:eastAsia="Palatino Linotype" w:hAnsi="Palatino Linotype" w:cs="Palatino Linotype"/>
        </w:rPr>
        <w:t xml:space="preserve"> del artículo 191, ambos, de la Ley de Transparencia y Acceso a la Información Pública del Estado de México y Municipios, en términos del </w:t>
      </w:r>
      <w:r w:rsidRPr="00031A97">
        <w:rPr>
          <w:rFonts w:ascii="Palatino Linotype" w:eastAsia="Palatino Linotype" w:hAnsi="Palatino Linotype" w:cs="Palatino Linotype"/>
          <w:b/>
        </w:rPr>
        <w:t>Considerando Tercero</w:t>
      </w:r>
      <w:r w:rsidRPr="00031A97">
        <w:rPr>
          <w:rFonts w:ascii="Palatino Linotype" w:eastAsia="Palatino Linotype" w:hAnsi="Palatino Linotype" w:cs="Palatino Linotype"/>
        </w:rPr>
        <w:t xml:space="preserve"> de la presente Resolución.</w:t>
      </w:r>
    </w:p>
    <w:p w:rsidR="00196083" w:rsidRPr="00031A97" w:rsidRDefault="00196083">
      <w:pPr>
        <w:pBdr>
          <w:top w:val="nil"/>
          <w:left w:val="nil"/>
          <w:bottom w:val="nil"/>
          <w:right w:val="nil"/>
          <w:between w:val="nil"/>
        </w:pBdr>
        <w:tabs>
          <w:tab w:val="left" w:pos="7936"/>
        </w:tabs>
        <w:spacing w:line="360" w:lineRule="auto"/>
        <w:ind w:right="-787"/>
        <w:jc w:val="both"/>
        <w:rPr>
          <w:rFonts w:ascii="Palatino Linotype" w:eastAsia="Palatino Linotype" w:hAnsi="Palatino Linotype" w:cs="Palatino Linotype"/>
        </w:rPr>
      </w:pPr>
    </w:p>
    <w:p w:rsidR="00196083" w:rsidRPr="00031A97" w:rsidRDefault="00DB4AE2">
      <w:pPr>
        <w:pBdr>
          <w:top w:val="nil"/>
          <w:left w:val="nil"/>
          <w:bottom w:val="nil"/>
          <w:right w:val="nil"/>
          <w:between w:val="nil"/>
        </w:pBdr>
        <w:tabs>
          <w:tab w:val="left" w:pos="7936"/>
        </w:tabs>
        <w:spacing w:line="360" w:lineRule="auto"/>
        <w:ind w:right="-787"/>
        <w:jc w:val="both"/>
        <w:rPr>
          <w:rFonts w:ascii="Palatino Linotype" w:eastAsia="Palatino Linotype" w:hAnsi="Palatino Linotype" w:cs="Palatino Linotype"/>
        </w:rPr>
      </w:pPr>
      <w:r w:rsidRPr="00031A97">
        <w:rPr>
          <w:rFonts w:ascii="Palatino Linotype" w:eastAsia="Palatino Linotype" w:hAnsi="Palatino Linotype" w:cs="Palatino Linotype"/>
          <w:b/>
        </w:rPr>
        <w:t xml:space="preserve">SEGUNDO. Notifíquese, </w:t>
      </w:r>
      <w:r w:rsidRPr="00031A97">
        <w:rPr>
          <w:rFonts w:ascii="Palatino Linotype" w:eastAsia="Palatino Linotype" w:hAnsi="Palatino Linotype" w:cs="Palatino Linotype"/>
        </w:rPr>
        <w:t>vía</w:t>
      </w:r>
      <w:r w:rsidRPr="00031A97">
        <w:rPr>
          <w:rFonts w:ascii="Palatino Linotype" w:eastAsia="Palatino Linotype" w:hAnsi="Palatino Linotype" w:cs="Palatino Linotype"/>
          <w:b/>
        </w:rPr>
        <w:t xml:space="preserve"> SAIMEX,</w:t>
      </w:r>
      <w:r w:rsidRPr="00031A97">
        <w:rPr>
          <w:rFonts w:ascii="Palatino Linotype" w:eastAsia="Palatino Linotype" w:hAnsi="Palatino Linotype" w:cs="Palatino Linotype"/>
        </w:rPr>
        <w:t xml:space="preserve"> al Responsable de la Unidad de Transparencia del </w:t>
      </w:r>
      <w:r w:rsidRPr="00031A97">
        <w:rPr>
          <w:rFonts w:ascii="Palatino Linotype" w:eastAsia="Palatino Linotype" w:hAnsi="Palatino Linotype" w:cs="Palatino Linotype"/>
          <w:b/>
        </w:rPr>
        <w:t>Sujeto Obligado</w:t>
      </w:r>
      <w:r w:rsidRPr="00031A97">
        <w:rPr>
          <w:rFonts w:ascii="Palatino Linotype" w:eastAsia="Palatino Linotype" w:hAnsi="Palatino Linotype" w:cs="Palatino Linotype"/>
        </w:rPr>
        <w:t xml:space="preserve"> la presente Resolución, para su conocimiento.</w:t>
      </w:r>
    </w:p>
    <w:p w:rsidR="00196083" w:rsidRPr="00031A97" w:rsidRDefault="00196083">
      <w:pPr>
        <w:pBdr>
          <w:top w:val="nil"/>
          <w:left w:val="nil"/>
          <w:bottom w:val="nil"/>
          <w:right w:val="nil"/>
          <w:between w:val="nil"/>
        </w:pBdr>
        <w:tabs>
          <w:tab w:val="left" w:pos="7936"/>
        </w:tabs>
        <w:spacing w:line="360" w:lineRule="auto"/>
        <w:ind w:right="-787"/>
        <w:jc w:val="both"/>
        <w:rPr>
          <w:rFonts w:ascii="Palatino Linotype" w:eastAsia="Palatino Linotype" w:hAnsi="Palatino Linotype" w:cs="Palatino Linotype"/>
        </w:rPr>
      </w:pPr>
    </w:p>
    <w:p w:rsidR="00196083" w:rsidRPr="00031A97" w:rsidRDefault="002A2EE5">
      <w:pPr>
        <w:spacing w:line="360" w:lineRule="auto"/>
        <w:ind w:right="-787"/>
        <w:jc w:val="both"/>
        <w:rPr>
          <w:rFonts w:ascii="Palatino Linotype" w:eastAsia="Palatino Linotype" w:hAnsi="Palatino Linotype" w:cs="Palatino Linotype"/>
        </w:rPr>
      </w:pPr>
      <w:r w:rsidRPr="00031A97">
        <w:rPr>
          <w:rFonts w:ascii="Palatino Linotype" w:eastAsia="Palatino Linotype" w:hAnsi="Palatino Linotype" w:cs="Palatino Linotype"/>
          <w:b/>
        </w:rPr>
        <w:t xml:space="preserve">TERCERO. </w:t>
      </w:r>
      <w:r w:rsidR="00DB4AE2" w:rsidRPr="00031A97">
        <w:rPr>
          <w:rFonts w:ascii="Palatino Linotype" w:eastAsia="Palatino Linotype" w:hAnsi="Palatino Linotype" w:cs="Palatino Linotype"/>
          <w:b/>
        </w:rPr>
        <w:t xml:space="preserve">Notifíquese, </w:t>
      </w:r>
      <w:r w:rsidR="00DB4AE2" w:rsidRPr="00031A97">
        <w:rPr>
          <w:rFonts w:ascii="Palatino Linotype" w:eastAsia="Palatino Linotype" w:hAnsi="Palatino Linotype" w:cs="Palatino Linotype"/>
        </w:rPr>
        <w:t>vía</w:t>
      </w:r>
      <w:r w:rsidR="00DB4AE2" w:rsidRPr="00031A97">
        <w:rPr>
          <w:rFonts w:ascii="Palatino Linotype" w:eastAsia="Palatino Linotype" w:hAnsi="Palatino Linotype" w:cs="Palatino Linotype"/>
          <w:b/>
        </w:rPr>
        <w:t xml:space="preserve"> SAIMEX</w:t>
      </w:r>
      <w:r w:rsidR="00DB4AE2" w:rsidRPr="00031A97">
        <w:rPr>
          <w:rFonts w:ascii="Palatino Linotype" w:eastAsia="Palatino Linotype" w:hAnsi="Palatino Linotype" w:cs="Palatino Linotype"/>
        </w:rPr>
        <w:t>, a</w:t>
      </w:r>
      <w:r w:rsidR="00DB4AE2" w:rsidRPr="00031A97">
        <w:rPr>
          <w:rFonts w:ascii="Palatino Linotype" w:eastAsia="Palatino Linotype" w:hAnsi="Palatino Linotype" w:cs="Palatino Linotype"/>
          <w:b/>
        </w:rPr>
        <w:t xml:space="preserve"> </w:t>
      </w:r>
      <w:r w:rsidR="00DB4AE2" w:rsidRPr="00031A97">
        <w:rPr>
          <w:rFonts w:ascii="Palatino Linotype" w:eastAsia="Palatino Linotype" w:hAnsi="Palatino Linotype" w:cs="Palatino Linotype"/>
        </w:rPr>
        <w:t xml:space="preserve">la parte </w:t>
      </w:r>
      <w:r w:rsidR="00DB4AE2" w:rsidRPr="00031A97">
        <w:rPr>
          <w:rFonts w:ascii="Palatino Linotype" w:eastAsia="Palatino Linotype" w:hAnsi="Palatino Linotype" w:cs="Palatino Linotype"/>
          <w:b/>
        </w:rPr>
        <w:t>Recurrente</w:t>
      </w:r>
      <w:r w:rsidR="00DB4AE2" w:rsidRPr="00031A97">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el Juicio de Amparo en los términos de las leyes aplicables.</w:t>
      </w:r>
    </w:p>
    <w:p w:rsidR="00196083" w:rsidRPr="00031A97" w:rsidRDefault="00196083">
      <w:pPr>
        <w:shd w:val="clear" w:color="auto" w:fill="FFFFFF"/>
        <w:spacing w:line="360" w:lineRule="auto"/>
        <w:ind w:right="-787"/>
        <w:jc w:val="both"/>
        <w:rPr>
          <w:rFonts w:ascii="Palatino Linotype" w:eastAsia="Palatino Linotype" w:hAnsi="Palatino Linotype" w:cs="Palatino Linotype"/>
        </w:rPr>
      </w:pPr>
    </w:p>
    <w:p w:rsidR="00E40CFB" w:rsidRPr="003C7186" w:rsidRDefault="00E40CFB" w:rsidP="00E40CFB">
      <w:pPr>
        <w:spacing w:line="360" w:lineRule="auto"/>
        <w:ind w:left="-142" w:right="-801" w:firstLine="1"/>
        <w:jc w:val="both"/>
        <w:rPr>
          <w:rFonts w:ascii="Palatino Linotype" w:hAnsi="Palatino Linotype"/>
        </w:rPr>
      </w:pPr>
      <w:r w:rsidRPr="00031A97">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w:t>
      </w:r>
      <w:r w:rsidRPr="00031A97">
        <w:rPr>
          <w:rFonts w:ascii="Palatino Linotype" w:hAnsi="Palatino Linotype"/>
        </w:rPr>
        <w:lastRenderedPageBreak/>
        <w:t>VEINTINUEVE (29) DE ENERO DE DOS MIL VEINTICINCO, ANTE EL SECRETARIO TÉCNICO DEL PLENO ALEXIS TAPIA RAMÍREZ.</w:t>
      </w:r>
      <w:bookmarkStart w:id="7" w:name="_GoBack"/>
      <w:bookmarkEnd w:id="7"/>
      <w:r w:rsidRPr="003C7186">
        <w:rPr>
          <w:rFonts w:ascii="Palatino Linotype" w:hAnsi="Palatino Linotype"/>
        </w:rPr>
        <w:t xml:space="preserve"> </w:t>
      </w:r>
    </w:p>
    <w:p w:rsidR="00E40CFB" w:rsidRPr="00902BA4" w:rsidRDefault="00E40CFB" w:rsidP="00E40CFB">
      <w:pPr>
        <w:widowControl w:val="0"/>
        <w:autoSpaceDE w:val="0"/>
        <w:autoSpaceDN w:val="0"/>
        <w:adjustRightInd w:val="0"/>
        <w:spacing w:after="200" w:line="276" w:lineRule="auto"/>
        <w:ind w:left="-142" w:right="-801"/>
      </w:pPr>
    </w:p>
    <w:p w:rsidR="00196083" w:rsidRDefault="00196083" w:rsidP="00E40CFB">
      <w:pPr>
        <w:spacing w:line="360" w:lineRule="auto"/>
        <w:ind w:right="-801"/>
        <w:jc w:val="both"/>
        <w:rPr>
          <w:rFonts w:ascii="Palatino Linotype" w:eastAsia="Palatino Linotype" w:hAnsi="Palatino Linotype" w:cs="Palatino Linotype"/>
        </w:rPr>
      </w:pPr>
    </w:p>
    <w:p w:rsidR="00196083" w:rsidRDefault="00196083" w:rsidP="00E40CFB">
      <w:pPr>
        <w:spacing w:line="360" w:lineRule="auto"/>
        <w:ind w:right="-801"/>
        <w:jc w:val="both"/>
        <w:rPr>
          <w:rFonts w:ascii="Palatino Linotype" w:eastAsia="Palatino Linotype" w:hAnsi="Palatino Linotype" w:cs="Palatino Linotype"/>
        </w:rPr>
      </w:pPr>
    </w:p>
    <w:p w:rsidR="00196083" w:rsidRDefault="00196083" w:rsidP="00E40CFB">
      <w:pPr>
        <w:spacing w:line="360" w:lineRule="auto"/>
        <w:ind w:right="-801"/>
        <w:jc w:val="both"/>
        <w:rPr>
          <w:rFonts w:ascii="Palatino Linotype" w:eastAsia="Palatino Linotype" w:hAnsi="Palatino Linotype" w:cs="Palatino Linotype"/>
        </w:rPr>
      </w:pPr>
    </w:p>
    <w:p w:rsidR="00196083" w:rsidRDefault="00196083" w:rsidP="00E40CFB">
      <w:pPr>
        <w:spacing w:line="360" w:lineRule="auto"/>
        <w:ind w:right="-801"/>
        <w:jc w:val="both"/>
        <w:rPr>
          <w:rFonts w:ascii="Palatino Linotype" w:eastAsia="Palatino Linotype" w:hAnsi="Palatino Linotype" w:cs="Palatino Linotype"/>
        </w:rPr>
      </w:pPr>
    </w:p>
    <w:p w:rsidR="00196083" w:rsidRDefault="00196083" w:rsidP="00E40CFB">
      <w:pPr>
        <w:spacing w:line="360" w:lineRule="auto"/>
        <w:ind w:right="-801"/>
        <w:jc w:val="both"/>
        <w:rPr>
          <w:rFonts w:ascii="Palatino Linotype" w:eastAsia="Palatino Linotype" w:hAnsi="Palatino Linotype" w:cs="Palatino Linotype"/>
        </w:rPr>
      </w:pPr>
    </w:p>
    <w:p w:rsidR="00196083" w:rsidRDefault="00196083" w:rsidP="00E40CFB">
      <w:pPr>
        <w:spacing w:line="360" w:lineRule="auto"/>
        <w:ind w:right="-801"/>
        <w:jc w:val="both"/>
        <w:rPr>
          <w:rFonts w:ascii="Palatino Linotype" w:eastAsia="Palatino Linotype" w:hAnsi="Palatino Linotype" w:cs="Palatino Linotype"/>
        </w:rPr>
      </w:pPr>
    </w:p>
    <w:p w:rsidR="00196083" w:rsidRDefault="00196083" w:rsidP="00E40CFB">
      <w:pPr>
        <w:spacing w:line="360" w:lineRule="auto"/>
        <w:ind w:right="-801"/>
        <w:rPr>
          <w:rFonts w:ascii="Palatino Linotype" w:eastAsia="Palatino Linotype" w:hAnsi="Palatino Linotype" w:cs="Palatino Linotype"/>
        </w:rPr>
      </w:pPr>
    </w:p>
    <w:p w:rsidR="00196083" w:rsidRDefault="00196083" w:rsidP="00E40CFB">
      <w:pPr>
        <w:spacing w:line="360" w:lineRule="auto"/>
        <w:ind w:right="-801"/>
        <w:rPr>
          <w:rFonts w:ascii="Palatino Linotype" w:eastAsia="Palatino Linotype" w:hAnsi="Palatino Linotype" w:cs="Palatino Linotype"/>
        </w:rPr>
      </w:pPr>
    </w:p>
    <w:p w:rsidR="00196083" w:rsidRDefault="00196083">
      <w:pPr>
        <w:spacing w:line="360" w:lineRule="auto"/>
        <w:ind w:right="-787"/>
        <w:rPr>
          <w:rFonts w:ascii="Palatino Linotype" w:eastAsia="Palatino Linotype" w:hAnsi="Palatino Linotype" w:cs="Palatino Linotype"/>
        </w:rPr>
      </w:pPr>
    </w:p>
    <w:p w:rsidR="00196083" w:rsidRDefault="00196083">
      <w:pPr>
        <w:spacing w:line="360" w:lineRule="auto"/>
        <w:ind w:right="-787"/>
        <w:rPr>
          <w:rFonts w:ascii="Palatino Linotype" w:eastAsia="Palatino Linotype" w:hAnsi="Palatino Linotype" w:cs="Palatino Linotype"/>
        </w:rPr>
      </w:pPr>
    </w:p>
    <w:p w:rsidR="00196083" w:rsidRDefault="00196083">
      <w:pPr>
        <w:spacing w:line="360" w:lineRule="auto"/>
        <w:ind w:right="-787"/>
        <w:rPr>
          <w:rFonts w:ascii="Palatino Linotype" w:eastAsia="Palatino Linotype" w:hAnsi="Palatino Linotype" w:cs="Palatino Linotype"/>
        </w:rPr>
      </w:pPr>
    </w:p>
    <w:p w:rsidR="00196083" w:rsidRDefault="00196083">
      <w:pPr>
        <w:spacing w:line="360" w:lineRule="auto"/>
        <w:ind w:right="-787"/>
        <w:rPr>
          <w:rFonts w:ascii="Palatino Linotype" w:eastAsia="Palatino Linotype" w:hAnsi="Palatino Linotype" w:cs="Palatino Linotype"/>
        </w:rPr>
      </w:pPr>
    </w:p>
    <w:p w:rsidR="00196083" w:rsidRDefault="00196083">
      <w:pPr>
        <w:spacing w:line="360" w:lineRule="auto"/>
        <w:ind w:right="-787"/>
        <w:rPr>
          <w:rFonts w:ascii="Palatino Linotype" w:eastAsia="Palatino Linotype" w:hAnsi="Palatino Linotype" w:cs="Palatino Linotype"/>
        </w:rPr>
      </w:pPr>
    </w:p>
    <w:p w:rsidR="00196083" w:rsidRDefault="00DB4AE2">
      <w:pPr>
        <w:tabs>
          <w:tab w:val="left" w:pos="3374"/>
        </w:tabs>
        <w:spacing w:line="360" w:lineRule="auto"/>
        <w:ind w:right="-787"/>
        <w:rPr>
          <w:rFonts w:ascii="Palatino Linotype" w:eastAsia="Palatino Linotype" w:hAnsi="Palatino Linotype" w:cs="Palatino Linotype"/>
        </w:rPr>
      </w:pPr>
      <w:r>
        <w:rPr>
          <w:rFonts w:ascii="Palatino Linotype" w:eastAsia="Palatino Linotype" w:hAnsi="Palatino Linotype" w:cs="Palatino Linotype"/>
        </w:rPr>
        <w:tab/>
      </w: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tabs>
          <w:tab w:val="left" w:pos="3374"/>
        </w:tabs>
        <w:spacing w:line="360" w:lineRule="auto"/>
        <w:ind w:right="-787"/>
        <w:rPr>
          <w:rFonts w:ascii="Palatino Linotype" w:eastAsia="Palatino Linotype" w:hAnsi="Palatino Linotype" w:cs="Palatino Linotype"/>
        </w:rPr>
      </w:pPr>
    </w:p>
    <w:p w:rsidR="00196083" w:rsidRDefault="00196083">
      <w:pPr>
        <w:spacing w:line="360" w:lineRule="auto"/>
        <w:ind w:right="-787"/>
        <w:rPr>
          <w:rFonts w:ascii="Palatino Linotype" w:eastAsia="Palatino Linotype" w:hAnsi="Palatino Linotype" w:cs="Palatino Linotype"/>
        </w:rPr>
      </w:pPr>
    </w:p>
    <w:p w:rsidR="00196083" w:rsidRDefault="00196083">
      <w:pPr>
        <w:spacing w:line="360" w:lineRule="auto"/>
        <w:ind w:right="-787"/>
        <w:rPr>
          <w:rFonts w:ascii="Palatino Linotype" w:eastAsia="Palatino Linotype" w:hAnsi="Palatino Linotype" w:cs="Palatino Linotype"/>
        </w:rPr>
      </w:pPr>
    </w:p>
    <w:sectPr w:rsidR="00196083">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CD" w:rsidRDefault="00690CCD">
      <w:r>
        <w:separator/>
      </w:r>
    </w:p>
  </w:endnote>
  <w:endnote w:type="continuationSeparator" w:id="0">
    <w:p w:rsidR="00690CCD" w:rsidRDefault="0069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083" w:rsidRDefault="00DB4AE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31A97">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31A97">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p w:rsidR="00196083" w:rsidRDefault="00196083">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083" w:rsidRDefault="00DB4AE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031A9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031A97">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p>
  <w:p w:rsidR="00196083" w:rsidRDefault="00196083">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CD" w:rsidRDefault="00690CCD">
      <w:r>
        <w:separator/>
      </w:r>
    </w:p>
  </w:footnote>
  <w:footnote w:type="continuationSeparator" w:id="0">
    <w:p w:rsidR="00690CCD" w:rsidRDefault="0069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083" w:rsidRDefault="00690CCD">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519" w:type="dxa"/>
      <w:tblInd w:w="3261" w:type="dxa"/>
      <w:tblLayout w:type="fixed"/>
      <w:tblLook w:val="0400" w:firstRow="0" w:lastRow="0" w:firstColumn="0" w:lastColumn="0" w:noHBand="0" w:noVBand="1"/>
    </w:tblPr>
    <w:tblGrid>
      <w:gridCol w:w="2976"/>
      <w:gridCol w:w="3543"/>
    </w:tblGrid>
    <w:tr w:rsidR="00196083" w:rsidTr="002A2EE5">
      <w:trPr>
        <w:trHeight w:val="227"/>
      </w:trPr>
      <w:tc>
        <w:tcPr>
          <w:tcW w:w="2976" w:type="dxa"/>
          <w:vAlign w:val="center"/>
        </w:tcPr>
        <w:p w:rsidR="00196083" w:rsidRDefault="00DB4AE2">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196083" w:rsidRDefault="00DB4AE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07173/INFOEM/IP/RR/2024</w:t>
          </w:r>
        </w:p>
      </w:tc>
    </w:tr>
    <w:tr w:rsidR="00196083" w:rsidTr="002A2EE5">
      <w:trPr>
        <w:trHeight w:val="242"/>
      </w:trPr>
      <w:tc>
        <w:tcPr>
          <w:tcW w:w="2976" w:type="dxa"/>
          <w:vAlign w:val="center"/>
        </w:tcPr>
        <w:p w:rsidR="00196083" w:rsidRDefault="00DB4AE2">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196083" w:rsidRDefault="00DB4AE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Educación, Ciencia, Tecnología e Innovación</w:t>
          </w:r>
        </w:p>
      </w:tc>
    </w:tr>
    <w:tr w:rsidR="00196083" w:rsidTr="002A2EE5">
      <w:trPr>
        <w:trHeight w:val="342"/>
      </w:trPr>
      <w:tc>
        <w:tcPr>
          <w:tcW w:w="2976" w:type="dxa"/>
          <w:vAlign w:val="center"/>
        </w:tcPr>
        <w:p w:rsidR="00196083" w:rsidRDefault="00DB4AE2">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196083" w:rsidRDefault="00DB4AE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96083" w:rsidRDefault="00690CCD">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7pt;margin-top:-127.0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6660" w:type="dxa"/>
      <w:tblInd w:w="3261" w:type="dxa"/>
      <w:tblLayout w:type="fixed"/>
      <w:tblLook w:val="0400" w:firstRow="0" w:lastRow="0" w:firstColumn="0" w:lastColumn="0" w:noHBand="0" w:noVBand="1"/>
    </w:tblPr>
    <w:tblGrid>
      <w:gridCol w:w="2977"/>
      <w:gridCol w:w="3683"/>
    </w:tblGrid>
    <w:tr w:rsidR="00196083" w:rsidTr="002A2EE5">
      <w:trPr>
        <w:trHeight w:val="227"/>
      </w:trPr>
      <w:tc>
        <w:tcPr>
          <w:tcW w:w="2977" w:type="dxa"/>
          <w:vAlign w:val="center"/>
        </w:tcPr>
        <w:p w:rsidR="00196083" w:rsidRDefault="00DB4AE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196083" w:rsidRDefault="00DB4AE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07173/INFOEM/IP/RR/2024</w:t>
          </w:r>
        </w:p>
      </w:tc>
    </w:tr>
    <w:tr w:rsidR="00196083" w:rsidTr="002A2EE5">
      <w:trPr>
        <w:trHeight w:val="242"/>
      </w:trPr>
      <w:tc>
        <w:tcPr>
          <w:tcW w:w="2977" w:type="dxa"/>
          <w:vAlign w:val="center"/>
        </w:tcPr>
        <w:p w:rsidR="00196083" w:rsidRDefault="00DB4AE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196083" w:rsidRDefault="00C21EFB">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XXXXXXXXXXX</w:t>
          </w:r>
        </w:p>
      </w:tc>
    </w:tr>
    <w:tr w:rsidR="00196083" w:rsidTr="002A2EE5">
      <w:trPr>
        <w:trHeight w:val="342"/>
      </w:trPr>
      <w:tc>
        <w:tcPr>
          <w:tcW w:w="2977" w:type="dxa"/>
          <w:vAlign w:val="center"/>
        </w:tcPr>
        <w:p w:rsidR="00196083" w:rsidRDefault="00DB4AE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196083" w:rsidRDefault="00DB4AE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Secretaría de Educación, Ciencia, Tecnología e Innovación</w:t>
          </w:r>
        </w:p>
      </w:tc>
    </w:tr>
    <w:tr w:rsidR="00196083" w:rsidTr="002A2EE5">
      <w:trPr>
        <w:trHeight w:val="342"/>
      </w:trPr>
      <w:tc>
        <w:tcPr>
          <w:tcW w:w="2977" w:type="dxa"/>
          <w:vAlign w:val="center"/>
        </w:tcPr>
        <w:p w:rsidR="00196083" w:rsidRDefault="00DB4AE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196083" w:rsidRDefault="00DB4AE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96083" w:rsidRDefault="00690CCD">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92513"/>
    <w:multiLevelType w:val="multilevel"/>
    <w:tmpl w:val="16368ECA"/>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1" w15:restartNumberingAfterBreak="0">
    <w:nsid w:val="3AE77D43"/>
    <w:multiLevelType w:val="multilevel"/>
    <w:tmpl w:val="971460B0"/>
    <w:lvl w:ilvl="0">
      <w:start w:val="1"/>
      <w:numFmt w:val="bullet"/>
      <w:lvlText w:val="●"/>
      <w:lvlJc w:val="left"/>
      <w:pPr>
        <w:ind w:left="1498" w:hanging="360"/>
      </w:pPr>
      <w:rPr>
        <w:rFonts w:ascii="Noto Sans Symbols" w:eastAsia="Noto Sans Symbols" w:hAnsi="Noto Sans Symbols" w:cs="Noto Sans Symbols"/>
      </w:rPr>
    </w:lvl>
    <w:lvl w:ilvl="1">
      <w:start w:val="1"/>
      <w:numFmt w:val="bullet"/>
      <w:lvlText w:val="o"/>
      <w:lvlJc w:val="left"/>
      <w:pPr>
        <w:ind w:left="2218" w:hanging="360"/>
      </w:pPr>
      <w:rPr>
        <w:rFonts w:ascii="Courier New" w:eastAsia="Courier New" w:hAnsi="Courier New" w:cs="Courier New"/>
      </w:rPr>
    </w:lvl>
    <w:lvl w:ilvl="2">
      <w:start w:val="1"/>
      <w:numFmt w:val="bullet"/>
      <w:lvlText w:val="▪"/>
      <w:lvlJc w:val="left"/>
      <w:pPr>
        <w:ind w:left="2938" w:hanging="360"/>
      </w:pPr>
      <w:rPr>
        <w:rFonts w:ascii="Noto Sans Symbols" w:eastAsia="Noto Sans Symbols" w:hAnsi="Noto Sans Symbols" w:cs="Noto Sans Symbols"/>
      </w:rPr>
    </w:lvl>
    <w:lvl w:ilvl="3">
      <w:start w:val="1"/>
      <w:numFmt w:val="bullet"/>
      <w:lvlText w:val="●"/>
      <w:lvlJc w:val="left"/>
      <w:pPr>
        <w:ind w:left="3658" w:hanging="360"/>
      </w:pPr>
      <w:rPr>
        <w:rFonts w:ascii="Noto Sans Symbols" w:eastAsia="Noto Sans Symbols" w:hAnsi="Noto Sans Symbols" w:cs="Noto Sans Symbols"/>
      </w:rPr>
    </w:lvl>
    <w:lvl w:ilvl="4">
      <w:start w:val="1"/>
      <w:numFmt w:val="bullet"/>
      <w:lvlText w:val="o"/>
      <w:lvlJc w:val="left"/>
      <w:pPr>
        <w:ind w:left="4378" w:hanging="360"/>
      </w:pPr>
      <w:rPr>
        <w:rFonts w:ascii="Courier New" w:eastAsia="Courier New" w:hAnsi="Courier New" w:cs="Courier New"/>
      </w:rPr>
    </w:lvl>
    <w:lvl w:ilvl="5">
      <w:start w:val="1"/>
      <w:numFmt w:val="bullet"/>
      <w:lvlText w:val="▪"/>
      <w:lvlJc w:val="left"/>
      <w:pPr>
        <w:ind w:left="5098" w:hanging="360"/>
      </w:pPr>
      <w:rPr>
        <w:rFonts w:ascii="Noto Sans Symbols" w:eastAsia="Noto Sans Symbols" w:hAnsi="Noto Sans Symbols" w:cs="Noto Sans Symbols"/>
      </w:rPr>
    </w:lvl>
    <w:lvl w:ilvl="6">
      <w:start w:val="1"/>
      <w:numFmt w:val="bullet"/>
      <w:lvlText w:val="●"/>
      <w:lvlJc w:val="left"/>
      <w:pPr>
        <w:ind w:left="5818" w:hanging="360"/>
      </w:pPr>
      <w:rPr>
        <w:rFonts w:ascii="Noto Sans Symbols" w:eastAsia="Noto Sans Symbols" w:hAnsi="Noto Sans Symbols" w:cs="Noto Sans Symbols"/>
      </w:rPr>
    </w:lvl>
    <w:lvl w:ilvl="7">
      <w:start w:val="1"/>
      <w:numFmt w:val="bullet"/>
      <w:lvlText w:val="o"/>
      <w:lvlJc w:val="left"/>
      <w:pPr>
        <w:ind w:left="6538" w:hanging="360"/>
      </w:pPr>
      <w:rPr>
        <w:rFonts w:ascii="Courier New" w:eastAsia="Courier New" w:hAnsi="Courier New" w:cs="Courier New"/>
      </w:rPr>
    </w:lvl>
    <w:lvl w:ilvl="8">
      <w:start w:val="1"/>
      <w:numFmt w:val="bullet"/>
      <w:lvlText w:val="▪"/>
      <w:lvlJc w:val="left"/>
      <w:pPr>
        <w:ind w:left="7258" w:hanging="360"/>
      </w:pPr>
      <w:rPr>
        <w:rFonts w:ascii="Noto Sans Symbols" w:eastAsia="Noto Sans Symbols" w:hAnsi="Noto Sans Symbols" w:cs="Noto Sans Symbols"/>
      </w:rPr>
    </w:lvl>
  </w:abstractNum>
  <w:abstractNum w:abstractNumId="2" w15:restartNumberingAfterBreak="0">
    <w:nsid w:val="5FDE0F76"/>
    <w:multiLevelType w:val="multilevel"/>
    <w:tmpl w:val="93582BB6"/>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83"/>
    <w:rsid w:val="00031A97"/>
    <w:rsid w:val="00196083"/>
    <w:rsid w:val="002A2EE5"/>
    <w:rsid w:val="00690CCD"/>
    <w:rsid w:val="00AF2DA6"/>
    <w:rsid w:val="00C21EFB"/>
    <w:rsid w:val="00DB4AE2"/>
    <w:rsid w:val="00E40C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4381587-2A5C-4185-BCEB-44B105F6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WXeaLm2eQjCXCGHCPowKeodCA==">CgMxLjAyCGguZ2pkZ3hzMgloLjMwajB6bGwyCWguMWZvYjl0ZTIJaC4zem55c2g3MgloLjJldDkycDAyCGgudHlqY3d0MgloLjNkeTZ2a204AHIhMU10RFprSmRTQjA5X0ZhdmwyZV92WTQxczlNQ1BONW5M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4521</Words>
  <Characters>24867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4</cp:revision>
  <dcterms:created xsi:type="dcterms:W3CDTF">2025-01-21T19:25:00Z</dcterms:created>
  <dcterms:modified xsi:type="dcterms:W3CDTF">2025-02-11T02:19:00Z</dcterms:modified>
</cp:coreProperties>
</file>