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34839DE9" w14:textId="77777777" w:rsidR="008C5D29" w:rsidRPr="00E11658" w:rsidRDefault="008C5D29" w:rsidP="0078217C">
          <w:pPr>
            <w:pStyle w:val="TtuloTDC"/>
            <w:spacing w:before="0"/>
            <w:rPr>
              <w:rFonts w:ascii="Times New Roman" w:eastAsia="Times New Roman" w:hAnsi="Times New Roman" w:cs="Times New Roman"/>
              <w:color w:val="auto"/>
              <w:sz w:val="20"/>
              <w:szCs w:val="20"/>
              <w:lang w:val="es-ES" w:eastAsia="es-ES"/>
            </w:rPr>
          </w:pPr>
        </w:p>
        <w:p w14:paraId="1839091B" w14:textId="77777777" w:rsidR="008C5D29" w:rsidRPr="00E11658" w:rsidRDefault="008C5D29" w:rsidP="0078217C">
          <w:pPr>
            <w:pStyle w:val="TtuloTDC"/>
            <w:spacing w:before="0"/>
            <w:rPr>
              <w:rFonts w:ascii="Times New Roman" w:eastAsia="Times New Roman" w:hAnsi="Times New Roman" w:cs="Times New Roman"/>
              <w:color w:val="auto"/>
              <w:sz w:val="20"/>
              <w:szCs w:val="20"/>
              <w:lang w:val="es-ES" w:eastAsia="es-ES"/>
            </w:rPr>
          </w:pPr>
        </w:p>
        <w:p w14:paraId="5F1F1238" w14:textId="77777777" w:rsidR="008C5D29" w:rsidRPr="00E11658" w:rsidRDefault="008C5D29" w:rsidP="0078217C">
          <w:pPr>
            <w:pStyle w:val="TtuloTDC"/>
            <w:spacing w:before="0"/>
            <w:rPr>
              <w:rFonts w:ascii="Times New Roman" w:eastAsia="Times New Roman" w:hAnsi="Times New Roman" w:cs="Times New Roman"/>
              <w:color w:val="auto"/>
              <w:sz w:val="20"/>
              <w:szCs w:val="20"/>
              <w:lang w:val="es-ES" w:eastAsia="es-ES"/>
            </w:rPr>
          </w:pPr>
        </w:p>
        <w:p w14:paraId="460ADE23" w14:textId="77777777" w:rsidR="008C5D29" w:rsidRPr="00E11658" w:rsidRDefault="008C5D29" w:rsidP="0078217C">
          <w:pPr>
            <w:pStyle w:val="TtuloTDC"/>
            <w:spacing w:before="0"/>
            <w:rPr>
              <w:rFonts w:ascii="Times New Roman" w:eastAsia="Times New Roman" w:hAnsi="Times New Roman" w:cs="Times New Roman"/>
              <w:color w:val="auto"/>
              <w:sz w:val="20"/>
              <w:szCs w:val="20"/>
              <w:lang w:val="es-ES" w:eastAsia="es-ES"/>
            </w:rPr>
          </w:pPr>
        </w:p>
        <w:p w14:paraId="7A36034D" w14:textId="384DB582" w:rsidR="00342378" w:rsidRPr="00E11658" w:rsidRDefault="00342378" w:rsidP="0078217C">
          <w:pPr>
            <w:pStyle w:val="TtuloTDC"/>
            <w:spacing w:before="0"/>
            <w:rPr>
              <w:rFonts w:ascii="Palatino Linotype" w:hAnsi="Palatino Linotype"/>
              <w:color w:val="auto"/>
              <w:sz w:val="22"/>
              <w:szCs w:val="22"/>
            </w:rPr>
          </w:pPr>
          <w:r w:rsidRPr="00E11658">
            <w:rPr>
              <w:rFonts w:ascii="Palatino Linotype" w:hAnsi="Palatino Linotype"/>
              <w:color w:val="auto"/>
              <w:sz w:val="22"/>
              <w:szCs w:val="22"/>
              <w:lang w:val="es-ES"/>
            </w:rPr>
            <w:t>Contenido</w:t>
          </w:r>
        </w:p>
        <w:p w14:paraId="2D3ED718" w14:textId="77777777" w:rsidR="008C5D29" w:rsidRPr="00E11658" w:rsidRDefault="00342378">
          <w:pPr>
            <w:pStyle w:val="TDC1"/>
            <w:tabs>
              <w:tab w:val="right" w:leader="dot" w:pos="9034"/>
            </w:tabs>
            <w:rPr>
              <w:rFonts w:asciiTheme="minorHAnsi" w:eastAsiaTheme="minorEastAsia" w:hAnsiTheme="minorHAnsi" w:cstheme="minorBidi"/>
              <w:noProof/>
              <w:sz w:val="22"/>
              <w:szCs w:val="22"/>
              <w:lang w:eastAsia="es-MX"/>
            </w:rPr>
          </w:pPr>
          <w:r w:rsidRPr="00E11658">
            <w:rPr>
              <w:rFonts w:ascii="Palatino Linotype" w:hAnsi="Palatino Linotype"/>
              <w:bCs/>
              <w:sz w:val="22"/>
              <w:szCs w:val="22"/>
              <w:lang w:val="es-ES"/>
            </w:rPr>
            <w:fldChar w:fldCharType="begin"/>
          </w:r>
          <w:r w:rsidRPr="00E11658">
            <w:rPr>
              <w:rFonts w:ascii="Palatino Linotype" w:hAnsi="Palatino Linotype"/>
              <w:bCs/>
              <w:sz w:val="22"/>
              <w:szCs w:val="22"/>
              <w:lang w:val="es-ES"/>
            </w:rPr>
            <w:instrText xml:space="preserve"> TOC \o "1-3" \h \z \u </w:instrText>
          </w:r>
          <w:r w:rsidRPr="00E11658">
            <w:rPr>
              <w:rFonts w:ascii="Palatino Linotype" w:hAnsi="Palatino Linotype"/>
              <w:bCs/>
              <w:sz w:val="22"/>
              <w:szCs w:val="22"/>
              <w:lang w:val="es-ES"/>
            </w:rPr>
            <w:fldChar w:fldCharType="separate"/>
          </w:r>
          <w:hyperlink w:anchor="_Toc212126684" w:history="1">
            <w:r w:rsidR="008C5D29" w:rsidRPr="00E11658">
              <w:rPr>
                <w:rStyle w:val="Hipervnculo"/>
                <w:rFonts w:ascii="Palatino Linotype" w:hAnsi="Palatino Linotype"/>
                <w:noProof/>
              </w:rPr>
              <w:t>A N T E C E D E N T E S</w:t>
            </w:r>
            <w:r w:rsidR="008C5D29" w:rsidRPr="00E11658">
              <w:rPr>
                <w:noProof/>
                <w:webHidden/>
              </w:rPr>
              <w:tab/>
            </w:r>
            <w:r w:rsidR="008C5D29" w:rsidRPr="00E11658">
              <w:rPr>
                <w:noProof/>
                <w:webHidden/>
              </w:rPr>
              <w:fldChar w:fldCharType="begin"/>
            </w:r>
            <w:r w:rsidR="008C5D29" w:rsidRPr="00E11658">
              <w:rPr>
                <w:noProof/>
                <w:webHidden/>
              </w:rPr>
              <w:instrText xml:space="preserve"> PAGEREF _Toc212126684 \h </w:instrText>
            </w:r>
            <w:r w:rsidR="008C5D29" w:rsidRPr="00E11658">
              <w:rPr>
                <w:noProof/>
                <w:webHidden/>
              </w:rPr>
            </w:r>
            <w:r w:rsidR="008C5D29" w:rsidRPr="00E11658">
              <w:rPr>
                <w:noProof/>
                <w:webHidden/>
              </w:rPr>
              <w:fldChar w:fldCharType="separate"/>
            </w:r>
            <w:r w:rsidR="00DC7BD7">
              <w:rPr>
                <w:noProof/>
                <w:webHidden/>
              </w:rPr>
              <w:t>2</w:t>
            </w:r>
            <w:r w:rsidR="008C5D29" w:rsidRPr="00E11658">
              <w:rPr>
                <w:noProof/>
                <w:webHidden/>
              </w:rPr>
              <w:fldChar w:fldCharType="end"/>
            </w:r>
          </w:hyperlink>
        </w:p>
        <w:p w14:paraId="5ECE8FF4" w14:textId="77777777" w:rsidR="008C5D29" w:rsidRPr="00E1165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685" w:history="1">
            <w:r w:rsidR="008C5D29" w:rsidRPr="00E11658">
              <w:rPr>
                <w:rStyle w:val="Hipervnculo"/>
                <w:rFonts w:ascii="Palatino Linotype" w:hAnsi="Palatino Linotype" w:cs="Tahoma"/>
                <w:noProof/>
              </w:rPr>
              <w:t>I. Presentación de la solicitud de información</w:t>
            </w:r>
            <w:r w:rsidR="008C5D29" w:rsidRPr="00E11658">
              <w:rPr>
                <w:noProof/>
                <w:webHidden/>
              </w:rPr>
              <w:tab/>
            </w:r>
            <w:r w:rsidR="008C5D29" w:rsidRPr="00E11658">
              <w:rPr>
                <w:noProof/>
                <w:webHidden/>
              </w:rPr>
              <w:fldChar w:fldCharType="begin"/>
            </w:r>
            <w:r w:rsidR="008C5D29" w:rsidRPr="00E11658">
              <w:rPr>
                <w:noProof/>
                <w:webHidden/>
              </w:rPr>
              <w:instrText xml:space="preserve"> PAGEREF _Toc212126685 \h </w:instrText>
            </w:r>
            <w:r w:rsidR="008C5D29" w:rsidRPr="00E11658">
              <w:rPr>
                <w:noProof/>
                <w:webHidden/>
              </w:rPr>
            </w:r>
            <w:r w:rsidR="008C5D29" w:rsidRPr="00E11658">
              <w:rPr>
                <w:noProof/>
                <w:webHidden/>
              </w:rPr>
              <w:fldChar w:fldCharType="separate"/>
            </w:r>
            <w:r w:rsidR="00DC7BD7">
              <w:rPr>
                <w:noProof/>
                <w:webHidden/>
              </w:rPr>
              <w:t>2</w:t>
            </w:r>
            <w:r w:rsidR="008C5D29" w:rsidRPr="00E11658">
              <w:rPr>
                <w:noProof/>
                <w:webHidden/>
              </w:rPr>
              <w:fldChar w:fldCharType="end"/>
            </w:r>
          </w:hyperlink>
        </w:p>
        <w:p w14:paraId="3575747C" w14:textId="77777777" w:rsidR="008C5D29" w:rsidRPr="00E1165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686" w:history="1">
            <w:r w:rsidR="008C5D29" w:rsidRPr="00E11658">
              <w:rPr>
                <w:rStyle w:val="Hipervnculo"/>
                <w:rFonts w:ascii="Palatino Linotype" w:eastAsia="Palatino Linotype" w:hAnsi="Palatino Linotype" w:cs="Palatino Linotype"/>
                <w:noProof/>
                <w:lang w:eastAsia="es-MX"/>
              </w:rPr>
              <w:t xml:space="preserve">II. </w:t>
            </w:r>
            <w:r w:rsidR="008C5D29" w:rsidRPr="00E11658">
              <w:rPr>
                <w:rStyle w:val="Hipervnculo"/>
                <w:rFonts w:ascii="Palatino Linotype" w:hAnsi="Palatino Linotype" w:cs="Tahoma"/>
                <w:noProof/>
              </w:rPr>
              <w:t>Respuesta del Sujeto Obligado</w:t>
            </w:r>
            <w:r w:rsidR="008C5D29" w:rsidRPr="00E11658">
              <w:rPr>
                <w:noProof/>
                <w:webHidden/>
              </w:rPr>
              <w:tab/>
            </w:r>
            <w:r w:rsidR="008C5D29" w:rsidRPr="00E11658">
              <w:rPr>
                <w:noProof/>
                <w:webHidden/>
              </w:rPr>
              <w:fldChar w:fldCharType="begin"/>
            </w:r>
            <w:r w:rsidR="008C5D29" w:rsidRPr="00E11658">
              <w:rPr>
                <w:noProof/>
                <w:webHidden/>
              </w:rPr>
              <w:instrText xml:space="preserve"> PAGEREF _Toc212126686 \h </w:instrText>
            </w:r>
            <w:r w:rsidR="008C5D29" w:rsidRPr="00E11658">
              <w:rPr>
                <w:noProof/>
                <w:webHidden/>
              </w:rPr>
            </w:r>
            <w:r w:rsidR="008C5D29" w:rsidRPr="00E11658">
              <w:rPr>
                <w:noProof/>
                <w:webHidden/>
              </w:rPr>
              <w:fldChar w:fldCharType="separate"/>
            </w:r>
            <w:r w:rsidR="00DC7BD7">
              <w:rPr>
                <w:noProof/>
                <w:webHidden/>
              </w:rPr>
              <w:t>2</w:t>
            </w:r>
            <w:r w:rsidR="008C5D29" w:rsidRPr="00E11658">
              <w:rPr>
                <w:noProof/>
                <w:webHidden/>
              </w:rPr>
              <w:fldChar w:fldCharType="end"/>
            </w:r>
          </w:hyperlink>
        </w:p>
        <w:p w14:paraId="760281A6" w14:textId="77777777" w:rsidR="008C5D29" w:rsidRPr="00E1165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687" w:history="1">
            <w:r w:rsidR="008C5D29" w:rsidRPr="00E11658">
              <w:rPr>
                <w:rStyle w:val="Hipervnculo"/>
                <w:rFonts w:ascii="Palatino Linotype" w:hAnsi="Palatino Linotype" w:cs="Tahoma"/>
                <w:noProof/>
              </w:rPr>
              <w:t>III. Interposición del Recurso de Revisión</w:t>
            </w:r>
            <w:r w:rsidR="008C5D29" w:rsidRPr="00E11658">
              <w:rPr>
                <w:noProof/>
                <w:webHidden/>
              </w:rPr>
              <w:tab/>
            </w:r>
            <w:r w:rsidR="008C5D29" w:rsidRPr="00E11658">
              <w:rPr>
                <w:noProof/>
                <w:webHidden/>
              </w:rPr>
              <w:fldChar w:fldCharType="begin"/>
            </w:r>
            <w:r w:rsidR="008C5D29" w:rsidRPr="00E11658">
              <w:rPr>
                <w:noProof/>
                <w:webHidden/>
              </w:rPr>
              <w:instrText xml:space="preserve"> PAGEREF _Toc212126687 \h </w:instrText>
            </w:r>
            <w:r w:rsidR="008C5D29" w:rsidRPr="00E11658">
              <w:rPr>
                <w:noProof/>
                <w:webHidden/>
              </w:rPr>
            </w:r>
            <w:r w:rsidR="008C5D29" w:rsidRPr="00E11658">
              <w:rPr>
                <w:noProof/>
                <w:webHidden/>
              </w:rPr>
              <w:fldChar w:fldCharType="separate"/>
            </w:r>
            <w:r w:rsidR="00DC7BD7">
              <w:rPr>
                <w:noProof/>
                <w:webHidden/>
              </w:rPr>
              <w:t>3</w:t>
            </w:r>
            <w:r w:rsidR="008C5D29" w:rsidRPr="00E11658">
              <w:rPr>
                <w:noProof/>
                <w:webHidden/>
              </w:rPr>
              <w:fldChar w:fldCharType="end"/>
            </w:r>
          </w:hyperlink>
        </w:p>
        <w:p w14:paraId="5934BDE1" w14:textId="77777777" w:rsidR="008C5D29" w:rsidRPr="00E1165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688" w:history="1">
            <w:r w:rsidR="008C5D29" w:rsidRPr="00E11658">
              <w:rPr>
                <w:rStyle w:val="Hipervnculo"/>
                <w:rFonts w:ascii="Palatino Linotype" w:hAnsi="Palatino Linotype"/>
                <w:noProof/>
              </w:rPr>
              <w:t>IV. Trámite del Recurso de Revisión ante el Instituto</w:t>
            </w:r>
            <w:r w:rsidR="008C5D29" w:rsidRPr="00E11658">
              <w:rPr>
                <w:noProof/>
                <w:webHidden/>
              </w:rPr>
              <w:tab/>
            </w:r>
            <w:r w:rsidR="008C5D29" w:rsidRPr="00E11658">
              <w:rPr>
                <w:noProof/>
                <w:webHidden/>
              </w:rPr>
              <w:fldChar w:fldCharType="begin"/>
            </w:r>
            <w:r w:rsidR="008C5D29" w:rsidRPr="00E11658">
              <w:rPr>
                <w:noProof/>
                <w:webHidden/>
              </w:rPr>
              <w:instrText xml:space="preserve"> PAGEREF _Toc212126688 \h </w:instrText>
            </w:r>
            <w:r w:rsidR="008C5D29" w:rsidRPr="00E11658">
              <w:rPr>
                <w:noProof/>
                <w:webHidden/>
              </w:rPr>
            </w:r>
            <w:r w:rsidR="008C5D29" w:rsidRPr="00E11658">
              <w:rPr>
                <w:noProof/>
                <w:webHidden/>
              </w:rPr>
              <w:fldChar w:fldCharType="separate"/>
            </w:r>
            <w:r w:rsidR="00DC7BD7">
              <w:rPr>
                <w:noProof/>
                <w:webHidden/>
              </w:rPr>
              <w:t>3</w:t>
            </w:r>
            <w:r w:rsidR="008C5D29" w:rsidRPr="00E11658">
              <w:rPr>
                <w:noProof/>
                <w:webHidden/>
              </w:rPr>
              <w:fldChar w:fldCharType="end"/>
            </w:r>
          </w:hyperlink>
        </w:p>
        <w:p w14:paraId="57655540" w14:textId="77777777" w:rsidR="008C5D29" w:rsidRPr="00E11658"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126689" w:history="1">
            <w:r w:rsidR="008C5D29" w:rsidRPr="00E11658">
              <w:rPr>
                <w:rStyle w:val="Hipervnculo"/>
                <w:rFonts w:ascii="Palatino Linotype" w:hAnsi="Palatino Linotype"/>
                <w:noProof/>
              </w:rPr>
              <w:t>a) Turno del Recurso de Revisión.</w:t>
            </w:r>
            <w:r w:rsidR="008C5D29" w:rsidRPr="00E11658">
              <w:rPr>
                <w:noProof/>
                <w:webHidden/>
              </w:rPr>
              <w:tab/>
            </w:r>
            <w:r w:rsidR="008C5D29" w:rsidRPr="00E11658">
              <w:rPr>
                <w:noProof/>
                <w:webHidden/>
              </w:rPr>
              <w:fldChar w:fldCharType="begin"/>
            </w:r>
            <w:r w:rsidR="008C5D29" w:rsidRPr="00E11658">
              <w:rPr>
                <w:noProof/>
                <w:webHidden/>
              </w:rPr>
              <w:instrText xml:space="preserve"> PAGEREF _Toc212126689 \h </w:instrText>
            </w:r>
            <w:r w:rsidR="008C5D29" w:rsidRPr="00E11658">
              <w:rPr>
                <w:noProof/>
                <w:webHidden/>
              </w:rPr>
            </w:r>
            <w:r w:rsidR="008C5D29" w:rsidRPr="00E11658">
              <w:rPr>
                <w:noProof/>
                <w:webHidden/>
              </w:rPr>
              <w:fldChar w:fldCharType="separate"/>
            </w:r>
            <w:r w:rsidR="00DC7BD7">
              <w:rPr>
                <w:noProof/>
                <w:webHidden/>
              </w:rPr>
              <w:t>4</w:t>
            </w:r>
            <w:r w:rsidR="008C5D29" w:rsidRPr="00E11658">
              <w:rPr>
                <w:noProof/>
                <w:webHidden/>
              </w:rPr>
              <w:fldChar w:fldCharType="end"/>
            </w:r>
          </w:hyperlink>
        </w:p>
        <w:p w14:paraId="65846365" w14:textId="77777777" w:rsidR="008C5D29" w:rsidRPr="00E11658"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126690" w:history="1">
            <w:r w:rsidR="008C5D29" w:rsidRPr="00E11658">
              <w:rPr>
                <w:rStyle w:val="Hipervnculo"/>
                <w:rFonts w:ascii="Palatino Linotype" w:hAnsi="Palatino Linotype"/>
                <w:noProof/>
              </w:rPr>
              <w:t>b) Admisión del Recurso de Revisión.</w:t>
            </w:r>
            <w:r w:rsidR="008C5D29" w:rsidRPr="00E11658">
              <w:rPr>
                <w:noProof/>
                <w:webHidden/>
              </w:rPr>
              <w:tab/>
            </w:r>
            <w:r w:rsidR="008C5D29" w:rsidRPr="00E11658">
              <w:rPr>
                <w:noProof/>
                <w:webHidden/>
              </w:rPr>
              <w:fldChar w:fldCharType="begin"/>
            </w:r>
            <w:r w:rsidR="008C5D29" w:rsidRPr="00E11658">
              <w:rPr>
                <w:noProof/>
                <w:webHidden/>
              </w:rPr>
              <w:instrText xml:space="preserve"> PAGEREF _Toc212126690 \h </w:instrText>
            </w:r>
            <w:r w:rsidR="008C5D29" w:rsidRPr="00E11658">
              <w:rPr>
                <w:noProof/>
                <w:webHidden/>
              </w:rPr>
            </w:r>
            <w:r w:rsidR="008C5D29" w:rsidRPr="00E11658">
              <w:rPr>
                <w:noProof/>
                <w:webHidden/>
              </w:rPr>
              <w:fldChar w:fldCharType="separate"/>
            </w:r>
            <w:r w:rsidR="00DC7BD7">
              <w:rPr>
                <w:noProof/>
                <w:webHidden/>
              </w:rPr>
              <w:t>4</w:t>
            </w:r>
            <w:r w:rsidR="008C5D29" w:rsidRPr="00E11658">
              <w:rPr>
                <w:noProof/>
                <w:webHidden/>
              </w:rPr>
              <w:fldChar w:fldCharType="end"/>
            </w:r>
          </w:hyperlink>
        </w:p>
        <w:p w14:paraId="22E61028" w14:textId="77777777" w:rsidR="008C5D29" w:rsidRPr="00E11658"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126691" w:history="1">
            <w:r w:rsidR="008C5D29" w:rsidRPr="00E11658">
              <w:rPr>
                <w:rStyle w:val="Hipervnculo"/>
                <w:rFonts w:ascii="Palatino Linotype" w:hAnsi="Palatino Linotype"/>
                <w:noProof/>
              </w:rPr>
              <w:t>c) Informe Justificado.</w:t>
            </w:r>
            <w:r w:rsidR="008C5D29" w:rsidRPr="00E11658">
              <w:rPr>
                <w:noProof/>
                <w:webHidden/>
              </w:rPr>
              <w:tab/>
            </w:r>
            <w:r w:rsidR="008C5D29" w:rsidRPr="00E11658">
              <w:rPr>
                <w:noProof/>
                <w:webHidden/>
              </w:rPr>
              <w:fldChar w:fldCharType="begin"/>
            </w:r>
            <w:r w:rsidR="008C5D29" w:rsidRPr="00E11658">
              <w:rPr>
                <w:noProof/>
                <w:webHidden/>
              </w:rPr>
              <w:instrText xml:space="preserve"> PAGEREF _Toc212126691 \h </w:instrText>
            </w:r>
            <w:r w:rsidR="008C5D29" w:rsidRPr="00E11658">
              <w:rPr>
                <w:noProof/>
                <w:webHidden/>
              </w:rPr>
            </w:r>
            <w:r w:rsidR="008C5D29" w:rsidRPr="00E11658">
              <w:rPr>
                <w:noProof/>
                <w:webHidden/>
              </w:rPr>
              <w:fldChar w:fldCharType="separate"/>
            </w:r>
            <w:r w:rsidR="00DC7BD7">
              <w:rPr>
                <w:noProof/>
                <w:webHidden/>
              </w:rPr>
              <w:t>4</w:t>
            </w:r>
            <w:r w:rsidR="008C5D29" w:rsidRPr="00E11658">
              <w:rPr>
                <w:noProof/>
                <w:webHidden/>
              </w:rPr>
              <w:fldChar w:fldCharType="end"/>
            </w:r>
          </w:hyperlink>
        </w:p>
        <w:p w14:paraId="6F0688AC" w14:textId="77777777" w:rsidR="008C5D29" w:rsidRPr="00E11658"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126692" w:history="1">
            <w:r w:rsidR="008C5D29" w:rsidRPr="00E11658">
              <w:rPr>
                <w:rStyle w:val="Hipervnculo"/>
                <w:rFonts w:ascii="Palatino Linotype" w:hAnsi="Palatino Linotype"/>
                <w:noProof/>
              </w:rPr>
              <w:t>e) Cierre de instrucción</w:t>
            </w:r>
            <w:r w:rsidR="008C5D29" w:rsidRPr="00E11658">
              <w:rPr>
                <w:noProof/>
                <w:webHidden/>
              </w:rPr>
              <w:tab/>
            </w:r>
            <w:r w:rsidR="008C5D29" w:rsidRPr="00E11658">
              <w:rPr>
                <w:noProof/>
                <w:webHidden/>
              </w:rPr>
              <w:fldChar w:fldCharType="begin"/>
            </w:r>
            <w:r w:rsidR="008C5D29" w:rsidRPr="00E11658">
              <w:rPr>
                <w:noProof/>
                <w:webHidden/>
              </w:rPr>
              <w:instrText xml:space="preserve"> PAGEREF _Toc212126692 \h </w:instrText>
            </w:r>
            <w:r w:rsidR="008C5D29" w:rsidRPr="00E11658">
              <w:rPr>
                <w:noProof/>
                <w:webHidden/>
              </w:rPr>
            </w:r>
            <w:r w:rsidR="008C5D29" w:rsidRPr="00E11658">
              <w:rPr>
                <w:noProof/>
                <w:webHidden/>
              </w:rPr>
              <w:fldChar w:fldCharType="separate"/>
            </w:r>
            <w:r w:rsidR="00DC7BD7">
              <w:rPr>
                <w:noProof/>
                <w:webHidden/>
              </w:rPr>
              <w:t>4</w:t>
            </w:r>
            <w:r w:rsidR="008C5D29" w:rsidRPr="00E11658">
              <w:rPr>
                <w:noProof/>
                <w:webHidden/>
              </w:rPr>
              <w:fldChar w:fldCharType="end"/>
            </w:r>
          </w:hyperlink>
        </w:p>
        <w:p w14:paraId="68B62CE3" w14:textId="77777777" w:rsidR="008C5D29" w:rsidRPr="00E11658"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2126693" w:history="1">
            <w:r w:rsidR="008C5D29" w:rsidRPr="00E11658">
              <w:rPr>
                <w:rStyle w:val="Hipervnculo"/>
                <w:rFonts w:ascii="Palatino Linotype" w:hAnsi="Palatino Linotype"/>
                <w:noProof/>
              </w:rPr>
              <w:t>C O N S I D E R A N D O S</w:t>
            </w:r>
            <w:r w:rsidR="008C5D29" w:rsidRPr="00E11658">
              <w:rPr>
                <w:noProof/>
                <w:webHidden/>
              </w:rPr>
              <w:tab/>
            </w:r>
            <w:r w:rsidR="008C5D29" w:rsidRPr="00E11658">
              <w:rPr>
                <w:noProof/>
                <w:webHidden/>
              </w:rPr>
              <w:fldChar w:fldCharType="begin"/>
            </w:r>
            <w:r w:rsidR="008C5D29" w:rsidRPr="00E11658">
              <w:rPr>
                <w:noProof/>
                <w:webHidden/>
              </w:rPr>
              <w:instrText xml:space="preserve"> PAGEREF _Toc212126693 \h </w:instrText>
            </w:r>
            <w:r w:rsidR="008C5D29" w:rsidRPr="00E11658">
              <w:rPr>
                <w:noProof/>
                <w:webHidden/>
              </w:rPr>
            </w:r>
            <w:r w:rsidR="008C5D29" w:rsidRPr="00E11658">
              <w:rPr>
                <w:noProof/>
                <w:webHidden/>
              </w:rPr>
              <w:fldChar w:fldCharType="separate"/>
            </w:r>
            <w:r w:rsidR="00DC7BD7">
              <w:rPr>
                <w:noProof/>
                <w:webHidden/>
              </w:rPr>
              <w:t>5</w:t>
            </w:r>
            <w:r w:rsidR="008C5D29" w:rsidRPr="00E11658">
              <w:rPr>
                <w:noProof/>
                <w:webHidden/>
              </w:rPr>
              <w:fldChar w:fldCharType="end"/>
            </w:r>
          </w:hyperlink>
        </w:p>
        <w:p w14:paraId="2FE4EACA" w14:textId="77777777" w:rsidR="008C5D29" w:rsidRPr="00E1165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694" w:history="1">
            <w:r w:rsidR="008C5D29" w:rsidRPr="00E11658">
              <w:rPr>
                <w:rStyle w:val="Hipervnculo"/>
                <w:rFonts w:ascii="Palatino Linotype" w:eastAsia="Calibri" w:hAnsi="Palatino Linotype"/>
                <w:noProof/>
                <w:lang w:eastAsia="es-MX"/>
              </w:rPr>
              <w:t xml:space="preserve">PRIMERO. </w:t>
            </w:r>
            <w:r w:rsidR="008C5D29" w:rsidRPr="00E11658">
              <w:rPr>
                <w:rStyle w:val="Hipervnculo"/>
                <w:rFonts w:ascii="Palatino Linotype" w:hAnsi="Palatino Linotype"/>
                <w:noProof/>
              </w:rPr>
              <w:t>Competencia</w:t>
            </w:r>
            <w:r w:rsidR="008C5D29" w:rsidRPr="00E11658">
              <w:rPr>
                <w:noProof/>
                <w:webHidden/>
              </w:rPr>
              <w:tab/>
            </w:r>
            <w:r w:rsidR="008C5D29" w:rsidRPr="00E11658">
              <w:rPr>
                <w:noProof/>
                <w:webHidden/>
              </w:rPr>
              <w:fldChar w:fldCharType="begin"/>
            </w:r>
            <w:r w:rsidR="008C5D29" w:rsidRPr="00E11658">
              <w:rPr>
                <w:noProof/>
                <w:webHidden/>
              </w:rPr>
              <w:instrText xml:space="preserve"> PAGEREF _Toc212126694 \h </w:instrText>
            </w:r>
            <w:r w:rsidR="008C5D29" w:rsidRPr="00E11658">
              <w:rPr>
                <w:noProof/>
                <w:webHidden/>
              </w:rPr>
            </w:r>
            <w:r w:rsidR="008C5D29" w:rsidRPr="00E11658">
              <w:rPr>
                <w:noProof/>
                <w:webHidden/>
              </w:rPr>
              <w:fldChar w:fldCharType="separate"/>
            </w:r>
            <w:r w:rsidR="00DC7BD7">
              <w:rPr>
                <w:noProof/>
                <w:webHidden/>
              </w:rPr>
              <w:t>5</w:t>
            </w:r>
            <w:r w:rsidR="008C5D29" w:rsidRPr="00E11658">
              <w:rPr>
                <w:noProof/>
                <w:webHidden/>
              </w:rPr>
              <w:fldChar w:fldCharType="end"/>
            </w:r>
          </w:hyperlink>
        </w:p>
        <w:p w14:paraId="7C10178E" w14:textId="77777777" w:rsidR="008C5D29" w:rsidRPr="00E1165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695" w:history="1">
            <w:r w:rsidR="008C5D29" w:rsidRPr="00E11658">
              <w:rPr>
                <w:rStyle w:val="Hipervnculo"/>
                <w:rFonts w:ascii="Palatino Linotype" w:eastAsia="Calibri" w:hAnsi="Palatino Linotype"/>
                <w:noProof/>
                <w:lang w:eastAsia="es-MX"/>
              </w:rPr>
              <w:t>SEGUNDO. Causales de improcedencia y sobreseimiento</w:t>
            </w:r>
            <w:r w:rsidR="008C5D29" w:rsidRPr="00E11658">
              <w:rPr>
                <w:noProof/>
                <w:webHidden/>
              </w:rPr>
              <w:tab/>
            </w:r>
            <w:r w:rsidR="008C5D29" w:rsidRPr="00E11658">
              <w:rPr>
                <w:noProof/>
                <w:webHidden/>
              </w:rPr>
              <w:fldChar w:fldCharType="begin"/>
            </w:r>
            <w:r w:rsidR="008C5D29" w:rsidRPr="00E11658">
              <w:rPr>
                <w:noProof/>
                <w:webHidden/>
              </w:rPr>
              <w:instrText xml:space="preserve"> PAGEREF _Toc212126695 \h </w:instrText>
            </w:r>
            <w:r w:rsidR="008C5D29" w:rsidRPr="00E11658">
              <w:rPr>
                <w:noProof/>
                <w:webHidden/>
              </w:rPr>
            </w:r>
            <w:r w:rsidR="008C5D29" w:rsidRPr="00E11658">
              <w:rPr>
                <w:noProof/>
                <w:webHidden/>
              </w:rPr>
              <w:fldChar w:fldCharType="separate"/>
            </w:r>
            <w:r w:rsidR="00DC7BD7">
              <w:rPr>
                <w:noProof/>
                <w:webHidden/>
              </w:rPr>
              <w:t>5</w:t>
            </w:r>
            <w:r w:rsidR="008C5D29" w:rsidRPr="00E11658">
              <w:rPr>
                <w:noProof/>
                <w:webHidden/>
              </w:rPr>
              <w:fldChar w:fldCharType="end"/>
            </w:r>
          </w:hyperlink>
        </w:p>
        <w:p w14:paraId="10648A11" w14:textId="77777777" w:rsidR="008C5D29" w:rsidRPr="00E11658"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2126696" w:history="1">
            <w:r w:rsidR="008C5D29" w:rsidRPr="00E11658">
              <w:rPr>
                <w:rStyle w:val="Hipervnculo"/>
                <w:rFonts w:ascii="Palatino Linotype" w:eastAsia="Calibri" w:hAnsi="Palatino Linotype" w:cs="Arial"/>
                <w:noProof/>
                <w:lang w:eastAsia="es-ES_tradnl"/>
              </w:rPr>
              <w:t>Causales de sobreseimiento</w:t>
            </w:r>
            <w:r w:rsidR="008C5D29" w:rsidRPr="00E11658">
              <w:rPr>
                <w:noProof/>
                <w:webHidden/>
              </w:rPr>
              <w:tab/>
            </w:r>
            <w:r w:rsidR="008C5D29" w:rsidRPr="00E11658">
              <w:rPr>
                <w:noProof/>
                <w:webHidden/>
              </w:rPr>
              <w:fldChar w:fldCharType="begin"/>
            </w:r>
            <w:r w:rsidR="008C5D29" w:rsidRPr="00E11658">
              <w:rPr>
                <w:noProof/>
                <w:webHidden/>
              </w:rPr>
              <w:instrText xml:space="preserve"> PAGEREF _Toc212126696 \h </w:instrText>
            </w:r>
            <w:r w:rsidR="008C5D29" w:rsidRPr="00E11658">
              <w:rPr>
                <w:noProof/>
                <w:webHidden/>
              </w:rPr>
            </w:r>
            <w:r w:rsidR="008C5D29" w:rsidRPr="00E11658">
              <w:rPr>
                <w:noProof/>
                <w:webHidden/>
              </w:rPr>
              <w:fldChar w:fldCharType="separate"/>
            </w:r>
            <w:r w:rsidR="00DC7BD7">
              <w:rPr>
                <w:noProof/>
                <w:webHidden/>
              </w:rPr>
              <w:t>6</w:t>
            </w:r>
            <w:r w:rsidR="008C5D29" w:rsidRPr="00E11658">
              <w:rPr>
                <w:noProof/>
                <w:webHidden/>
              </w:rPr>
              <w:fldChar w:fldCharType="end"/>
            </w:r>
          </w:hyperlink>
        </w:p>
        <w:p w14:paraId="7C115BCE" w14:textId="77777777" w:rsidR="008C5D29" w:rsidRPr="00E1165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697" w:history="1">
            <w:r w:rsidR="008C5D29" w:rsidRPr="00E11658">
              <w:rPr>
                <w:rStyle w:val="Hipervnculo"/>
                <w:rFonts w:ascii="Palatino Linotype" w:eastAsia="Calibri" w:hAnsi="Palatino Linotype"/>
                <w:noProof/>
                <w:lang w:eastAsia="es-ES_tradnl"/>
              </w:rPr>
              <w:t>TERCERO. Determinación de la Controversia</w:t>
            </w:r>
            <w:r w:rsidR="008C5D29" w:rsidRPr="00E11658">
              <w:rPr>
                <w:noProof/>
                <w:webHidden/>
              </w:rPr>
              <w:tab/>
            </w:r>
            <w:r w:rsidR="008C5D29" w:rsidRPr="00E11658">
              <w:rPr>
                <w:noProof/>
                <w:webHidden/>
              </w:rPr>
              <w:fldChar w:fldCharType="begin"/>
            </w:r>
            <w:r w:rsidR="008C5D29" w:rsidRPr="00E11658">
              <w:rPr>
                <w:noProof/>
                <w:webHidden/>
              </w:rPr>
              <w:instrText xml:space="preserve"> PAGEREF _Toc212126697 \h </w:instrText>
            </w:r>
            <w:r w:rsidR="008C5D29" w:rsidRPr="00E11658">
              <w:rPr>
                <w:noProof/>
                <w:webHidden/>
              </w:rPr>
            </w:r>
            <w:r w:rsidR="008C5D29" w:rsidRPr="00E11658">
              <w:rPr>
                <w:noProof/>
                <w:webHidden/>
              </w:rPr>
              <w:fldChar w:fldCharType="separate"/>
            </w:r>
            <w:r w:rsidR="00DC7BD7">
              <w:rPr>
                <w:noProof/>
                <w:webHidden/>
              </w:rPr>
              <w:t>7</w:t>
            </w:r>
            <w:r w:rsidR="008C5D29" w:rsidRPr="00E11658">
              <w:rPr>
                <w:noProof/>
                <w:webHidden/>
              </w:rPr>
              <w:fldChar w:fldCharType="end"/>
            </w:r>
          </w:hyperlink>
        </w:p>
        <w:p w14:paraId="40FBDF6D" w14:textId="77777777" w:rsidR="008C5D29" w:rsidRPr="00E1165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698" w:history="1">
            <w:r w:rsidR="008C5D29" w:rsidRPr="00E11658">
              <w:rPr>
                <w:rStyle w:val="Hipervnculo"/>
                <w:rFonts w:ascii="Palatino Linotype" w:eastAsia="Calibri" w:hAnsi="Palatino Linotype" w:cs="Arial"/>
                <w:noProof/>
                <w:lang w:eastAsia="es-ES_tradnl"/>
              </w:rPr>
              <w:t>CUARTO. Marco normativo aplicable en materia de transparencia y acceso a la información pública</w:t>
            </w:r>
            <w:r w:rsidR="008C5D29" w:rsidRPr="00E11658">
              <w:rPr>
                <w:noProof/>
                <w:webHidden/>
              </w:rPr>
              <w:tab/>
            </w:r>
            <w:r w:rsidR="008C5D29" w:rsidRPr="00E11658">
              <w:rPr>
                <w:noProof/>
                <w:webHidden/>
              </w:rPr>
              <w:fldChar w:fldCharType="begin"/>
            </w:r>
            <w:r w:rsidR="008C5D29" w:rsidRPr="00E11658">
              <w:rPr>
                <w:noProof/>
                <w:webHidden/>
              </w:rPr>
              <w:instrText xml:space="preserve"> PAGEREF _Toc212126698 \h </w:instrText>
            </w:r>
            <w:r w:rsidR="008C5D29" w:rsidRPr="00E11658">
              <w:rPr>
                <w:noProof/>
                <w:webHidden/>
              </w:rPr>
            </w:r>
            <w:r w:rsidR="008C5D29" w:rsidRPr="00E11658">
              <w:rPr>
                <w:noProof/>
                <w:webHidden/>
              </w:rPr>
              <w:fldChar w:fldCharType="separate"/>
            </w:r>
            <w:r w:rsidR="00DC7BD7">
              <w:rPr>
                <w:noProof/>
                <w:webHidden/>
              </w:rPr>
              <w:t>7</w:t>
            </w:r>
            <w:r w:rsidR="008C5D29" w:rsidRPr="00E11658">
              <w:rPr>
                <w:noProof/>
                <w:webHidden/>
              </w:rPr>
              <w:fldChar w:fldCharType="end"/>
            </w:r>
          </w:hyperlink>
        </w:p>
        <w:p w14:paraId="19B74087" w14:textId="77777777" w:rsidR="008C5D29" w:rsidRPr="00E1165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699" w:history="1">
            <w:r w:rsidR="008C5D29" w:rsidRPr="00E11658">
              <w:rPr>
                <w:rStyle w:val="Hipervnculo"/>
                <w:rFonts w:ascii="Palatino Linotype" w:eastAsia="Calibri" w:hAnsi="Palatino Linotype"/>
                <w:noProof/>
                <w:lang w:eastAsia="es-ES_tradnl"/>
              </w:rPr>
              <w:t>QUINTO. Estudio de Fondo</w:t>
            </w:r>
            <w:r w:rsidR="008C5D29" w:rsidRPr="00E11658">
              <w:rPr>
                <w:noProof/>
                <w:webHidden/>
              </w:rPr>
              <w:tab/>
            </w:r>
            <w:r w:rsidR="008C5D29" w:rsidRPr="00E11658">
              <w:rPr>
                <w:noProof/>
                <w:webHidden/>
              </w:rPr>
              <w:fldChar w:fldCharType="begin"/>
            </w:r>
            <w:r w:rsidR="008C5D29" w:rsidRPr="00E11658">
              <w:rPr>
                <w:noProof/>
                <w:webHidden/>
              </w:rPr>
              <w:instrText xml:space="preserve"> PAGEREF _Toc212126699 \h </w:instrText>
            </w:r>
            <w:r w:rsidR="008C5D29" w:rsidRPr="00E11658">
              <w:rPr>
                <w:noProof/>
                <w:webHidden/>
              </w:rPr>
            </w:r>
            <w:r w:rsidR="008C5D29" w:rsidRPr="00E11658">
              <w:rPr>
                <w:noProof/>
                <w:webHidden/>
              </w:rPr>
              <w:fldChar w:fldCharType="separate"/>
            </w:r>
            <w:r w:rsidR="00DC7BD7">
              <w:rPr>
                <w:noProof/>
                <w:webHidden/>
              </w:rPr>
              <w:t>8</w:t>
            </w:r>
            <w:r w:rsidR="008C5D29" w:rsidRPr="00E11658">
              <w:rPr>
                <w:noProof/>
                <w:webHidden/>
              </w:rPr>
              <w:fldChar w:fldCharType="end"/>
            </w:r>
          </w:hyperlink>
        </w:p>
        <w:p w14:paraId="26332C0C" w14:textId="77777777" w:rsidR="008C5D29" w:rsidRPr="00E1165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700" w:history="1">
            <w:r w:rsidR="008C5D29" w:rsidRPr="00E11658">
              <w:rPr>
                <w:rStyle w:val="Hipervnculo"/>
                <w:rFonts w:ascii="Palatino Linotype" w:hAnsi="Palatino Linotype"/>
                <w:noProof/>
              </w:rPr>
              <w:t>SEXTO. Decisión</w:t>
            </w:r>
            <w:r w:rsidR="008C5D29" w:rsidRPr="00E11658">
              <w:rPr>
                <w:noProof/>
                <w:webHidden/>
              </w:rPr>
              <w:tab/>
            </w:r>
            <w:r w:rsidR="008C5D29" w:rsidRPr="00E11658">
              <w:rPr>
                <w:noProof/>
                <w:webHidden/>
              </w:rPr>
              <w:fldChar w:fldCharType="begin"/>
            </w:r>
            <w:r w:rsidR="008C5D29" w:rsidRPr="00E11658">
              <w:rPr>
                <w:noProof/>
                <w:webHidden/>
              </w:rPr>
              <w:instrText xml:space="preserve"> PAGEREF _Toc212126700 \h </w:instrText>
            </w:r>
            <w:r w:rsidR="008C5D29" w:rsidRPr="00E11658">
              <w:rPr>
                <w:noProof/>
                <w:webHidden/>
              </w:rPr>
            </w:r>
            <w:r w:rsidR="008C5D29" w:rsidRPr="00E11658">
              <w:rPr>
                <w:noProof/>
                <w:webHidden/>
              </w:rPr>
              <w:fldChar w:fldCharType="separate"/>
            </w:r>
            <w:r w:rsidR="00DC7BD7">
              <w:rPr>
                <w:noProof/>
                <w:webHidden/>
              </w:rPr>
              <w:t>17</w:t>
            </w:r>
            <w:r w:rsidR="008C5D29" w:rsidRPr="00E11658">
              <w:rPr>
                <w:noProof/>
                <w:webHidden/>
              </w:rPr>
              <w:fldChar w:fldCharType="end"/>
            </w:r>
          </w:hyperlink>
        </w:p>
        <w:p w14:paraId="142D9A42" w14:textId="77777777" w:rsidR="008C5D29" w:rsidRPr="00E11658"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2126701" w:history="1">
            <w:r w:rsidR="008C5D29" w:rsidRPr="00E11658">
              <w:rPr>
                <w:rStyle w:val="Hipervnculo"/>
                <w:rFonts w:ascii="Palatino Linotype" w:hAnsi="Palatino Linotype"/>
                <w:noProof/>
              </w:rPr>
              <w:t>R E S U E L V E</w:t>
            </w:r>
            <w:r w:rsidR="008C5D29" w:rsidRPr="00E11658">
              <w:rPr>
                <w:noProof/>
                <w:webHidden/>
              </w:rPr>
              <w:tab/>
            </w:r>
            <w:r w:rsidR="008C5D29" w:rsidRPr="00E11658">
              <w:rPr>
                <w:noProof/>
                <w:webHidden/>
              </w:rPr>
              <w:fldChar w:fldCharType="begin"/>
            </w:r>
            <w:r w:rsidR="008C5D29" w:rsidRPr="00E11658">
              <w:rPr>
                <w:noProof/>
                <w:webHidden/>
              </w:rPr>
              <w:instrText xml:space="preserve"> PAGEREF _Toc212126701 \h </w:instrText>
            </w:r>
            <w:r w:rsidR="008C5D29" w:rsidRPr="00E11658">
              <w:rPr>
                <w:noProof/>
                <w:webHidden/>
              </w:rPr>
            </w:r>
            <w:r w:rsidR="008C5D29" w:rsidRPr="00E11658">
              <w:rPr>
                <w:noProof/>
                <w:webHidden/>
              </w:rPr>
              <w:fldChar w:fldCharType="separate"/>
            </w:r>
            <w:r w:rsidR="00DC7BD7">
              <w:rPr>
                <w:noProof/>
                <w:webHidden/>
              </w:rPr>
              <w:t>19</w:t>
            </w:r>
            <w:r w:rsidR="008C5D29" w:rsidRPr="00E11658">
              <w:rPr>
                <w:noProof/>
                <w:webHidden/>
              </w:rPr>
              <w:fldChar w:fldCharType="end"/>
            </w:r>
          </w:hyperlink>
        </w:p>
        <w:p w14:paraId="2E4440A5" w14:textId="77777777" w:rsidR="00342378" w:rsidRPr="00E11658" w:rsidRDefault="00342378" w:rsidP="0078217C">
          <w:r w:rsidRPr="00E11658">
            <w:rPr>
              <w:rFonts w:ascii="Palatino Linotype" w:hAnsi="Palatino Linotype"/>
              <w:bCs/>
              <w:sz w:val="22"/>
              <w:szCs w:val="22"/>
              <w:lang w:val="es-ES"/>
            </w:rPr>
            <w:fldChar w:fldCharType="end"/>
          </w:r>
        </w:p>
      </w:sdtContent>
    </w:sdt>
    <w:p w14:paraId="0B70B5D0" w14:textId="77777777" w:rsidR="00ED76AF" w:rsidRPr="00E11658" w:rsidRDefault="00ED76AF" w:rsidP="0078217C">
      <w:pPr>
        <w:tabs>
          <w:tab w:val="left" w:pos="3969"/>
        </w:tabs>
        <w:spacing w:line="360" w:lineRule="auto"/>
        <w:contextualSpacing/>
        <w:jc w:val="both"/>
        <w:rPr>
          <w:rFonts w:ascii="Palatino Linotype" w:hAnsi="Palatino Linotype" w:cs="Tahoma"/>
          <w:bCs/>
          <w:sz w:val="22"/>
          <w:szCs w:val="22"/>
        </w:rPr>
      </w:pPr>
    </w:p>
    <w:p w14:paraId="7DFBA50E" w14:textId="77777777" w:rsidR="00501E1B" w:rsidRPr="00E11658" w:rsidRDefault="00501E1B" w:rsidP="0078217C">
      <w:pPr>
        <w:tabs>
          <w:tab w:val="left" w:pos="3969"/>
        </w:tabs>
        <w:spacing w:line="360" w:lineRule="auto"/>
        <w:contextualSpacing/>
        <w:jc w:val="both"/>
        <w:rPr>
          <w:rFonts w:ascii="Palatino Linotype" w:hAnsi="Palatino Linotype" w:cs="Tahoma"/>
          <w:bCs/>
          <w:sz w:val="22"/>
          <w:szCs w:val="22"/>
        </w:rPr>
      </w:pPr>
    </w:p>
    <w:p w14:paraId="39F808A4" w14:textId="77777777" w:rsidR="00342378" w:rsidRPr="00E11658" w:rsidRDefault="00342378" w:rsidP="0078217C">
      <w:pPr>
        <w:tabs>
          <w:tab w:val="left" w:pos="3969"/>
        </w:tabs>
        <w:spacing w:line="360" w:lineRule="auto"/>
        <w:contextualSpacing/>
        <w:jc w:val="both"/>
        <w:rPr>
          <w:rFonts w:ascii="Palatino Linotype" w:hAnsi="Palatino Linotype" w:cs="Tahoma"/>
          <w:bCs/>
          <w:sz w:val="22"/>
          <w:szCs w:val="22"/>
        </w:rPr>
      </w:pPr>
    </w:p>
    <w:p w14:paraId="7B704D79" w14:textId="77777777" w:rsidR="00342378" w:rsidRPr="00E11658" w:rsidRDefault="00342378" w:rsidP="0078217C">
      <w:pPr>
        <w:tabs>
          <w:tab w:val="left" w:pos="3969"/>
        </w:tabs>
        <w:spacing w:line="360" w:lineRule="auto"/>
        <w:contextualSpacing/>
        <w:jc w:val="both"/>
        <w:rPr>
          <w:rFonts w:ascii="Palatino Linotype" w:hAnsi="Palatino Linotype" w:cs="Tahoma"/>
          <w:bCs/>
          <w:sz w:val="22"/>
          <w:szCs w:val="22"/>
        </w:rPr>
      </w:pPr>
    </w:p>
    <w:p w14:paraId="1E590941" w14:textId="77777777" w:rsidR="00342378" w:rsidRPr="00E11658" w:rsidRDefault="00342378" w:rsidP="0078217C">
      <w:pPr>
        <w:tabs>
          <w:tab w:val="left" w:pos="3969"/>
        </w:tabs>
        <w:spacing w:line="360" w:lineRule="auto"/>
        <w:contextualSpacing/>
        <w:jc w:val="both"/>
        <w:rPr>
          <w:rFonts w:ascii="Palatino Linotype" w:hAnsi="Palatino Linotype" w:cs="Tahoma"/>
          <w:bCs/>
          <w:sz w:val="22"/>
          <w:szCs w:val="22"/>
        </w:rPr>
      </w:pPr>
    </w:p>
    <w:p w14:paraId="6277E8FB" w14:textId="77777777" w:rsidR="0021782D" w:rsidRPr="00E11658" w:rsidRDefault="0021782D" w:rsidP="0078217C">
      <w:pPr>
        <w:spacing w:line="360" w:lineRule="auto"/>
        <w:contextualSpacing/>
        <w:jc w:val="both"/>
        <w:rPr>
          <w:rFonts w:ascii="Palatino Linotype" w:hAnsi="Palatino Linotype" w:cs="Tahoma"/>
          <w:bCs/>
          <w:sz w:val="22"/>
          <w:szCs w:val="22"/>
        </w:rPr>
      </w:pPr>
    </w:p>
    <w:p w14:paraId="2D31BF53" w14:textId="77777777" w:rsidR="0021782D" w:rsidRPr="00E11658" w:rsidRDefault="0021782D" w:rsidP="0078217C">
      <w:pPr>
        <w:spacing w:line="360" w:lineRule="auto"/>
        <w:contextualSpacing/>
        <w:jc w:val="both"/>
        <w:rPr>
          <w:rFonts w:ascii="Palatino Linotype" w:hAnsi="Palatino Linotype" w:cs="Tahoma"/>
          <w:bCs/>
          <w:sz w:val="22"/>
          <w:szCs w:val="22"/>
        </w:rPr>
      </w:pPr>
    </w:p>
    <w:p w14:paraId="68859A55" w14:textId="6E328538" w:rsidR="00E35DF9" w:rsidRPr="00E11658" w:rsidRDefault="00E35DF9" w:rsidP="0078217C">
      <w:pPr>
        <w:spacing w:line="360" w:lineRule="auto"/>
        <w:contextualSpacing/>
        <w:jc w:val="both"/>
        <w:rPr>
          <w:rFonts w:ascii="Palatino Linotype" w:hAnsi="Palatino Linotype" w:cs="Tahoma"/>
          <w:bCs/>
          <w:sz w:val="22"/>
          <w:szCs w:val="22"/>
        </w:rPr>
      </w:pPr>
      <w:r w:rsidRPr="00E11658">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E11658">
        <w:rPr>
          <w:rFonts w:ascii="Palatino Linotype" w:hAnsi="Palatino Linotype" w:cs="Tahoma"/>
          <w:bCs/>
          <w:sz w:val="22"/>
          <w:szCs w:val="22"/>
        </w:rPr>
        <w:t xml:space="preserve"> </w:t>
      </w:r>
      <w:r w:rsidR="00E26416" w:rsidRPr="00E11658">
        <w:rPr>
          <w:rFonts w:ascii="Palatino Linotype" w:hAnsi="Palatino Linotype" w:cs="Tahoma"/>
          <w:bCs/>
          <w:sz w:val="22"/>
          <w:szCs w:val="22"/>
        </w:rPr>
        <w:t>veintidós de octubre</w:t>
      </w:r>
      <w:r w:rsidR="00954EDD" w:rsidRPr="00E11658">
        <w:rPr>
          <w:rFonts w:ascii="Palatino Linotype" w:hAnsi="Palatino Linotype" w:cs="Tahoma"/>
          <w:bCs/>
          <w:sz w:val="22"/>
          <w:szCs w:val="22"/>
        </w:rPr>
        <w:t xml:space="preserve"> </w:t>
      </w:r>
      <w:r w:rsidR="008453FA" w:rsidRPr="00E11658">
        <w:rPr>
          <w:rFonts w:ascii="Palatino Linotype" w:hAnsi="Palatino Linotype" w:cs="Tahoma"/>
          <w:bCs/>
          <w:sz w:val="22"/>
          <w:szCs w:val="22"/>
        </w:rPr>
        <w:t>de dos mil veinti</w:t>
      </w:r>
      <w:r w:rsidR="00F93A36" w:rsidRPr="00E11658">
        <w:rPr>
          <w:rFonts w:ascii="Palatino Linotype" w:hAnsi="Palatino Linotype" w:cs="Tahoma"/>
          <w:bCs/>
          <w:sz w:val="22"/>
          <w:szCs w:val="22"/>
        </w:rPr>
        <w:t>c</w:t>
      </w:r>
      <w:r w:rsidR="009C323D" w:rsidRPr="00E11658">
        <w:rPr>
          <w:rFonts w:ascii="Palatino Linotype" w:hAnsi="Palatino Linotype" w:cs="Tahoma"/>
          <w:bCs/>
          <w:sz w:val="22"/>
          <w:szCs w:val="22"/>
        </w:rPr>
        <w:t>inc</w:t>
      </w:r>
      <w:r w:rsidR="00F93A36" w:rsidRPr="00E11658">
        <w:rPr>
          <w:rFonts w:ascii="Palatino Linotype" w:hAnsi="Palatino Linotype" w:cs="Tahoma"/>
          <w:bCs/>
          <w:sz w:val="22"/>
          <w:szCs w:val="22"/>
        </w:rPr>
        <w:t>o</w:t>
      </w:r>
      <w:r w:rsidRPr="00E11658">
        <w:rPr>
          <w:rFonts w:ascii="Palatino Linotype" w:hAnsi="Palatino Linotype" w:cs="Tahoma"/>
          <w:bCs/>
          <w:sz w:val="22"/>
          <w:szCs w:val="22"/>
        </w:rPr>
        <w:t>.</w:t>
      </w:r>
    </w:p>
    <w:p w14:paraId="687E9E25" w14:textId="77777777" w:rsidR="00E35DF9" w:rsidRPr="00E11658" w:rsidRDefault="00E35DF9" w:rsidP="0078217C">
      <w:pPr>
        <w:spacing w:line="360" w:lineRule="auto"/>
        <w:contextualSpacing/>
        <w:jc w:val="both"/>
        <w:rPr>
          <w:rFonts w:ascii="Palatino Linotype" w:hAnsi="Palatino Linotype" w:cs="Tahoma"/>
          <w:bCs/>
          <w:sz w:val="22"/>
          <w:szCs w:val="22"/>
        </w:rPr>
      </w:pPr>
    </w:p>
    <w:p w14:paraId="5C85E787" w14:textId="0CDE91F1" w:rsidR="00E35DF9" w:rsidRPr="00E11658" w:rsidRDefault="00E35DF9" w:rsidP="0078217C">
      <w:pPr>
        <w:spacing w:line="360" w:lineRule="auto"/>
        <w:contextualSpacing/>
        <w:jc w:val="both"/>
        <w:rPr>
          <w:rFonts w:ascii="Palatino Linotype" w:hAnsi="Palatino Linotype" w:cs="Tahoma"/>
          <w:bCs/>
          <w:sz w:val="22"/>
          <w:szCs w:val="22"/>
        </w:rPr>
      </w:pPr>
      <w:r w:rsidRPr="00E11658">
        <w:rPr>
          <w:rFonts w:ascii="Palatino Linotype" w:hAnsi="Palatino Linotype" w:cs="Tahoma"/>
          <w:b/>
          <w:bCs/>
          <w:color w:val="0D0D0D" w:themeColor="text1" w:themeTint="F2"/>
          <w:sz w:val="22"/>
          <w:szCs w:val="22"/>
        </w:rPr>
        <w:t xml:space="preserve">VISTO </w:t>
      </w:r>
      <w:r w:rsidR="00D0542E" w:rsidRPr="00E11658">
        <w:rPr>
          <w:rFonts w:ascii="Palatino Linotype" w:hAnsi="Palatino Linotype" w:cs="Tahoma"/>
          <w:bCs/>
          <w:color w:val="0D0D0D" w:themeColor="text1" w:themeTint="F2"/>
          <w:sz w:val="22"/>
          <w:szCs w:val="22"/>
        </w:rPr>
        <w:t>el expediente</w:t>
      </w:r>
      <w:r w:rsidRPr="00E11658">
        <w:rPr>
          <w:rFonts w:ascii="Palatino Linotype" w:hAnsi="Palatino Linotype" w:cs="Tahoma"/>
          <w:bCs/>
          <w:color w:val="0D0D0D" w:themeColor="text1" w:themeTint="F2"/>
          <w:sz w:val="22"/>
          <w:szCs w:val="22"/>
        </w:rPr>
        <w:t xml:space="preserve"> conformado con motivo de</w:t>
      </w:r>
      <w:r w:rsidR="00E30210" w:rsidRPr="00E11658">
        <w:rPr>
          <w:rFonts w:ascii="Palatino Linotype" w:hAnsi="Palatino Linotype" w:cs="Tahoma"/>
          <w:bCs/>
          <w:color w:val="0D0D0D" w:themeColor="text1" w:themeTint="F2"/>
          <w:sz w:val="22"/>
          <w:szCs w:val="22"/>
        </w:rPr>
        <w:t>l</w:t>
      </w:r>
      <w:r w:rsidRPr="00E11658">
        <w:rPr>
          <w:rFonts w:ascii="Palatino Linotype" w:hAnsi="Palatino Linotype" w:cs="Tahoma"/>
          <w:bCs/>
          <w:color w:val="0D0D0D" w:themeColor="text1" w:themeTint="F2"/>
          <w:sz w:val="22"/>
          <w:szCs w:val="22"/>
        </w:rPr>
        <w:t xml:space="preserve"> Recurso de Revisión</w:t>
      </w:r>
      <w:r w:rsidR="0089175F" w:rsidRPr="00E11658">
        <w:rPr>
          <w:rFonts w:ascii="Palatino Linotype" w:hAnsi="Palatino Linotype" w:cs="Tahoma"/>
          <w:bCs/>
          <w:color w:val="0D0D0D" w:themeColor="text1" w:themeTint="F2"/>
          <w:sz w:val="22"/>
          <w:szCs w:val="22"/>
        </w:rPr>
        <w:t xml:space="preserve"> </w:t>
      </w:r>
      <w:r w:rsidR="00067C13" w:rsidRPr="00E11658">
        <w:rPr>
          <w:rFonts w:ascii="Palatino Linotype" w:hAnsi="Palatino Linotype" w:cs="Tahoma"/>
          <w:b/>
          <w:bCs/>
          <w:color w:val="0D0D0D" w:themeColor="text1" w:themeTint="F2"/>
          <w:sz w:val="22"/>
          <w:szCs w:val="22"/>
        </w:rPr>
        <w:t>0</w:t>
      </w:r>
      <w:r w:rsidR="004D2FE1" w:rsidRPr="00E11658">
        <w:rPr>
          <w:rFonts w:ascii="Palatino Linotype" w:hAnsi="Palatino Linotype" w:cs="Tahoma"/>
          <w:b/>
          <w:bCs/>
          <w:color w:val="0D0D0D" w:themeColor="text1" w:themeTint="F2"/>
          <w:sz w:val="22"/>
          <w:szCs w:val="22"/>
        </w:rPr>
        <w:t>3586</w:t>
      </w:r>
      <w:r w:rsidR="0089175F" w:rsidRPr="00E11658">
        <w:rPr>
          <w:rFonts w:ascii="Palatino Linotype" w:hAnsi="Palatino Linotype" w:cs="Tahoma"/>
          <w:b/>
          <w:bCs/>
          <w:color w:val="0D0D0D" w:themeColor="text1" w:themeTint="F2"/>
          <w:sz w:val="22"/>
          <w:szCs w:val="22"/>
        </w:rPr>
        <w:t>/INFOEM/IP/RR/202</w:t>
      </w:r>
      <w:r w:rsidR="00CD10BF" w:rsidRPr="00E11658">
        <w:rPr>
          <w:rFonts w:ascii="Palatino Linotype" w:hAnsi="Palatino Linotype" w:cs="Tahoma"/>
          <w:b/>
          <w:bCs/>
          <w:color w:val="0D0D0D" w:themeColor="text1" w:themeTint="F2"/>
          <w:sz w:val="22"/>
          <w:szCs w:val="22"/>
        </w:rPr>
        <w:t>5</w:t>
      </w:r>
      <w:r w:rsidR="0089175F" w:rsidRPr="00E11658">
        <w:rPr>
          <w:rFonts w:ascii="Palatino Linotype" w:hAnsi="Palatino Linotype" w:cs="Tahoma"/>
          <w:b/>
          <w:bCs/>
          <w:color w:val="0D0D0D" w:themeColor="text1" w:themeTint="F2"/>
          <w:sz w:val="22"/>
          <w:szCs w:val="22"/>
        </w:rPr>
        <w:t>,</w:t>
      </w:r>
      <w:r w:rsidRPr="00E11658">
        <w:rPr>
          <w:rFonts w:ascii="Palatino Linotype" w:hAnsi="Palatino Linotype" w:cs="Tahoma"/>
          <w:bCs/>
          <w:color w:val="0D0D0D" w:themeColor="text1" w:themeTint="F2"/>
          <w:sz w:val="22"/>
          <w:szCs w:val="22"/>
        </w:rPr>
        <w:t xml:space="preserve"> interpuesto</w:t>
      </w:r>
      <w:r w:rsidR="00C74F5F" w:rsidRPr="00E11658">
        <w:rPr>
          <w:rFonts w:ascii="Palatino Linotype" w:hAnsi="Palatino Linotype" w:cs="Tahoma"/>
          <w:color w:val="0D0D0D" w:themeColor="text1" w:themeTint="F2"/>
          <w:sz w:val="22"/>
          <w:szCs w:val="22"/>
        </w:rPr>
        <w:t xml:space="preserve"> </w:t>
      </w:r>
      <w:r w:rsidR="007E4927" w:rsidRPr="00E11658">
        <w:rPr>
          <w:rFonts w:ascii="Palatino Linotype" w:hAnsi="Palatino Linotype" w:cs="Tahoma"/>
          <w:bCs/>
          <w:color w:val="0D0D0D" w:themeColor="text1" w:themeTint="F2"/>
          <w:sz w:val="22"/>
          <w:szCs w:val="22"/>
        </w:rPr>
        <w:t>por</w:t>
      </w:r>
      <w:r w:rsidR="00383BDB" w:rsidRPr="00E11658">
        <w:rPr>
          <w:rFonts w:ascii="Palatino Linotype" w:hAnsi="Palatino Linotype" w:cs="Tahoma"/>
          <w:bCs/>
          <w:color w:val="0D0D0D" w:themeColor="text1" w:themeTint="F2"/>
          <w:sz w:val="22"/>
          <w:szCs w:val="22"/>
        </w:rPr>
        <w:t xml:space="preserve"> </w:t>
      </w:r>
      <w:r w:rsidR="00CD52E7" w:rsidRPr="00E11658">
        <w:rPr>
          <w:rFonts w:ascii="Palatino Linotype" w:hAnsi="Palatino Linotype" w:cs="Tahoma"/>
          <w:color w:val="0D0D0D" w:themeColor="text1" w:themeTint="F2"/>
          <w:sz w:val="22"/>
          <w:szCs w:val="22"/>
        </w:rPr>
        <w:t>un</w:t>
      </w:r>
      <w:r w:rsidR="00F770EE" w:rsidRPr="00E11658">
        <w:rPr>
          <w:rFonts w:ascii="Palatino Linotype" w:hAnsi="Palatino Linotype" w:cs="Tahoma"/>
          <w:color w:val="0D0D0D" w:themeColor="text1" w:themeTint="F2"/>
          <w:sz w:val="22"/>
          <w:szCs w:val="22"/>
        </w:rPr>
        <w:t xml:space="preserve"> </w:t>
      </w:r>
      <w:r w:rsidRPr="00E11658">
        <w:rPr>
          <w:rFonts w:ascii="Palatino Linotype" w:hAnsi="Palatino Linotype" w:cs="Tahoma"/>
          <w:bCs/>
          <w:color w:val="0D0D0D" w:themeColor="text1" w:themeTint="F2"/>
          <w:sz w:val="22"/>
          <w:szCs w:val="22"/>
        </w:rPr>
        <w:t>Recurrente o Particular, en contra de la respuesta del Sujeto Obligado</w:t>
      </w:r>
      <w:r w:rsidRPr="00E11658">
        <w:rPr>
          <w:rFonts w:ascii="Palatino Linotype" w:hAnsi="Palatino Linotype"/>
          <w:sz w:val="22"/>
          <w:szCs w:val="22"/>
        </w:rPr>
        <w:t xml:space="preserve"> </w:t>
      </w:r>
      <w:r w:rsidR="004D2FE1" w:rsidRPr="00E11658">
        <w:rPr>
          <w:rFonts w:ascii="Palatino Linotype" w:eastAsia="Calibri" w:hAnsi="Palatino Linotype" w:cs="Tahoma"/>
          <w:b/>
          <w:bCs/>
          <w:sz w:val="22"/>
          <w:szCs w:val="22"/>
          <w:lang w:eastAsia="en-US"/>
        </w:rPr>
        <w:t>Ayuntamiento de Hueypoxtla</w:t>
      </w:r>
      <w:r w:rsidRPr="00E11658">
        <w:rPr>
          <w:rFonts w:ascii="Palatino Linotype" w:hAnsi="Palatino Linotype" w:cs="Tahoma"/>
          <w:b/>
          <w:color w:val="0D0D0D" w:themeColor="text1" w:themeTint="F2"/>
          <w:sz w:val="22"/>
          <w:szCs w:val="22"/>
        </w:rPr>
        <w:t xml:space="preserve">, </w:t>
      </w:r>
      <w:r w:rsidRPr="00E11658">
        <w:rPr>
          <w:rFonts w:ascii="Palatino Linotype" w:hAnsi="Palatino Linotype" w:cs="Tahoma"/>
          <w:bCs/>
          <w:color w:val="0D0D0D" w:themeColor="text1" w:themeTint="F2"/>
          <w:sz w:val="22"/>
          <w:szCs w:val="22"/>
        </w:rPr>
        <w:t>se emite la presente Resolución, con base en los Antecedentes y C</w:t>
      </w:r>
      <w:r w:rsidRPr="00E11658">
        <w:rPr>
          <w:rFonts w:ascii="Palatino Linotype" w:hAnsi="Palatino Linotype" w:cs="Tahoma"/>
          <w:bCs/>
          <w:sz w:val="22"/>
          <w:szCs w:val="22"/>
        </w:rPr>
        <w:t>onsiderandos que a continuación se exponen:</w:t>
      </w:r>
    </w:p>
    <w:p w14:paraId="18100A13" w14:textId="77777777" w:rsidR="00BB1F81" w:rsidRPr="00E11658" w:rsidRDefault="00BB1F81" w:rsidP="0078217C">
      <w:pPr>
        <w:spacing w:line="360" w:lineRule="auto"/>
        <w:contextualSpacing/>
        <w:jc w:val="both"/>
        <w:rPr>
          <w:rFonts w:ascii="Palatino Linotype" w:hAnsi="Palatino Linotype" w:cs="Tahoma"/>
          <w:b/>
          <w:color w:val="0D0D0D" w:themeColor="text1" w:themeTint="F2"/>
          <w:sz w:val="18"/>
          <w:szCs w:val="22"/>
        </w:rPr>
      </w:pPr>
    </w:p>
    <w:p w14:paraId="3A5F4130" w14:textId="77777777" w:rsidR="00E35DF9" w:rsidRPr="00E11658" w:rsidRDefault="00E35DF9" w:rsidP="0078217C">
      <w:pPr>
        <w:pStyle w:val="Ttulo1"/>
        <w:spacing w:before="0"/>
        <w:jc w:val="center"/>
        <w:rPr>
          <w:rFonts w:ascii="Palatino Linotype" w:hAnsi="Palatino Linotype"/>
          <w:b/>
          <w:sz w:val="22"/>
          <w:szCs w:val="22"/>
        </w:rPr>
      </w:pPr>
      <w:bookmarkStart w:id="1" w:name="_Toc212126684"/>
      <w:r w:rsidRPr="00E11658">
        <w:rPr>
          <w:rFonts w:ascii="Palatino Linotype" w:hAnsi="Palatino Linotype"/>
          <w:b/>
          <w:color w:val="auto"/>
          <w:sz w:val="22"/>
          <w:szCs w:val="22"/>
        </w:rPr>
        <w:t>A N T E C E D E N T E S</w:t>
      </w:r>
      <w:bookmarkEnd w:id="1"/>
    </w:p>
    <w:p w14:paraId="73549072" w14:textId="77777777" w:rsidR="001E7B8B" w:rsidRPr="00E11658" w:rsidRDefault="001E7B8B" w:rsidP="0078217C">
      <w:pPr>
        <w:pStyle w:val="Prrafodelista"/>
        <w:tabs>
          <w:tab w:val="left" w:pos="567"/>
        </w:tabs>
        <w:spacing w:line="360" w:lineRule="auto"/>
        <w:ind w:left="0"/>
        <w:jc w:val="both"/>
        <w:rPr>
          <w:rFonts w:ascii="Palatino Linotype" w:hAnsi="Palatino Linotype" w:cs="Tahoma"/>
          <w:b/>
          <w:szCs w:val="22"/>
        </w:rPr>
      </w:pPr>
    </w:p>
    <w:p w14:paraId="0E366698" w14:textId="77777777" w:rsidR="00E35DF9" w:rsidRPr="00E11658" w:rsidRDefault="00E35DF9" w:rsidP="0078217C">
      <w:pPr>
        <w:pStyle w:val="Ttulo2"/>
        <w:spacing w:before="0"/>
        <w:rPr>
          <w:rFonts w:ascii="Palatino Linotype" w:hAnsi="Palatino Linotype" w:cs="Tahoma"/>
          <w:b/>
          <w:color w:val="auto"/>
          <w:sz w:val="22"/>
          <w:szCs w:val="22"/>
        </w:rPr>
      </w:pPr>
      <w:bookmarkStart w:id="2" w:name="_Toc212126685"/>
      <w:r w:rsidRPr="00E11658">
        <w:rPr>
          <w:rFonts w:ascii="Palatino Linotype" w:hAnsi="Palatino Linotype" w:cs="Tahoma"/>
          <w:b/>
          <w:color w:val="auto"/>
          <w:sz w:val="22"/>
          <w:szCs w:val="22"/>
        </w:rPr>
        <w:t>I. Presentación de la solicitud de información</w:t>
      </w:r>
      <w:bookmarkEnd w:id="2"/>
    </w:p>
    <w:p w14:paraId="580A8E63" w14:textId="77777777" w:rsidR="00E35DF9" w:rsidRPr="00E11658" w:rsidRDefault="00E35DF9" w:rsidP="0078217C">
      <w:pPr>
        <w:pStyle w:val="Prrafodelista"/>
        <w:tabs>
          <w:tab w:val="left" w:pos="567"/>
        </w:tabs>
        <w:spacing w:line="360" w:lineRule="auto"/>
        <w:ind w:left="0"/>
        <w:jc w:val="both"/>
        <w:rPr>
          <w:rFonts w:ascii="Palatino Linotype" w:hAnsi="Palatino Linotype" w:cs="Tahoma"/>
          <w:b/>
          <w:sz w:val="18"/>
          <w:szCs w:val="22"/>
        </w:rPr>
      </w:pPr>
    </w:p>
    <w:p w14:paraId="28055C82" w14:textId="5BE9C98C" w:rsidR="00E35DF9" w:rsidRPr="00E11658" w:rsidRDefault="00BB1F81" w:rsidP="0078217C">
      <w:pPr>
        <w:tabs>
          <w:tab w:val="left" w:pos="567"/>
        </w:tabs>
        <w:spacing w:line="360" w:lineRule="auto"/>
        <w:contextualSpacing/>
        <w:jc w:val="both"/>
        <w:rPr>
          <w:rFonts w:ascii="Palatino Linotype" w:hAnsi="Palatino Linotype" w:cs="Tahoma"/>
          <w:sz w:val="22"/>
          <w:szCs w:val="22"/>
        </w:rPr>
      </w:pPr>
      <w:r w:rsidRPr="00E11658">
        <w:rPr>
          <w:rFonts w:ascii="Palatino Linotype" w:hAnsi="Palatino Linotype" w:cs="Tahoma"/>
          <w:sz w:val="22"/>
          <w:szCs w:val="22"/>
        </w:rPr>
        <w:t>El</w:t>
      </w:r>
      <w:r w:rsidR="00E35DF9" w:rsidRPr="00E11658">
        <w:rPr>
          <w:rFonts w:ascii="Palatino Linotype" w:hAnsi="Palatino Linotype" w:cs="Tahoma"/>
          <w:sz w:val="22"/>
          <w:szCs w:val="22"/>
        </w:rPr>
        <w:t xml:space="preserve"> </w:t>
      </w:r>
      <w:r w:rsidR="004D2FE1" w:rsidRPr="00E11658">
        <w:rPr>
          <w:rFonts w:ascii="Palatino Linotype" w:hAnsi="Palatino Linotype" w:cs="Tahoma"/>
          <w:sz w:val="22"/>
          <w:szCs w:val="22"/>
        </w:rPr>
        <w:t>cuatro de marzo</w:t>
      </w:r>
      <w:r w:rsidR="00D6115B" w:rsidRPr="00E11658">
        <w:rPr>
          <w:rFonts w:ascii="Palatino Linotype" w:hAnsi="Palatino Linotype" w:cs="Tahoma"/>
          <w:sz w:val="22"/>
          <w:szCs w:val="22"/>
        </w:rPr>
        <w:t xml:space="preserve"> de dos mil veinticinco</w:t>
      </w:r>
      <w:r w:rsidR="00E35DF9" w:rsidRPr="00E11658">
        <w:rPr>
          <w:rFonts w:ascii="Palatino Linotype" w:hAnsi="Palatino Linotype" w:cs="Tahoma"/>
          <w:sz w:val="22"/>
          <w:szCs w:val="22"/>
        </w:rPr>
        <w:t xml:space="preserve">, </w:t>
      </w:r>
      <w:r w:rsidR="00C247E5" w:rsidRPr="00E11658">
        <w:rPr>
          <w:rFonts w:ascii="Palatino Linotype" w:hAnsi="Palatino Linotype" w:cs="Tahoma"/>
          <w:sz w:val="22"/>
          <w:szCs w:val="22"/>
        </w:rPr>
        <w:t>el</w:t>
      </w:r>
      <w:r w:rsidR="00E35DF9" w:rsidRPr="00E11658">
        <w:rPr>
          <w:rFonts w:ascii="Palatino Linotype" w:hAnsi="Palatino Linotype" w:cs="Tahoma"/>
          <w:sz w:val="22"/>
          <w:szCs w:val="22"/>
        </w:rPr>
        <w:t xml:space="preserve"> Particular presentó solicitud de acceso a la i</w:t>
      </w:r>
      <w:r w:rsidR="009D6672" w:rsidRPr="00E11658">
        <w:rPr>
          <w:rFonts w:ascii="Palatino Linotype" w:hAnsi="Palatino Linotype" w:cs="Tahoma"/>
          <w:sz w:val="22"/>
          <w:szCs w:val="22"/>
        </w:rPr>
        <w:t>nformación pública, a través de</w:t>
      </w:r>
      <w:r w:rsidR="00EA2594" w:rsidRPr="00E11658">
        <w:rPr>
          <w:rFonts w:ascii="Palatino Linotype" w:hAnsi="Palatino Linotype" w:cs="Tahoma"/>
          <w:sz w:val="22"/>
          <w:szCs w:val="22"/>
        </w:rPr>
        <w:t xml:space="preserve">l </w:t>
      </w:r>
      <w:r w:rsidR="00062387" w:rsidRPr="00E11658">
        <w:rPr>
          <w:rFonts w:ascii="Palatino Linotype" w:hAnsi="Palatino Linotype" w:cs="Tahoma"/>
          <w:sz w:val="22"/>
          <w:szCs w:val="22"/>
        </w:rPr>
        <w:t>Sistema de Acceso a la</w:t>
      </w:r>
      <w:r w:rsidR="000973B8" w:rsidRPr="00E11658">
        <w:rPr>
          <w:rFonts w:ascii="Palatino Linotype" w:hAnsi="Palatino Linotype" w:cs="Tahoma"/>
          <w:sz w:val="22"/>
          <w:szCs w:val="22"/>
        </w:rPr>
        <w:t xml:space="preserve"> Información Mexiquense</w:t>
      </w:r>
      <w:r w:rsidRPr="00E11658">
        <w:rPr>
          <w:rFonts w:ascii="Palatino Linotype" w:hAnsi="Palatino Linotype" w:cs="Tahoma"/>
          <w:sz w:val="22"/>
          <w:szCs w:val="22"/>
        </w:rPr>
        <w:t>, en lo sucesivo</w:t>
      </w:r>
      <w:r w:rsidR="000973B8" w:rsidRPr="00E11658">
        <w:rPr>
          <w:rFonts w:ascii="Palatino Linotype" w:hAnsi="Palatino Linotype" w:cs="Tahoma"/>
          <w:sz w:val="22"/>
          <w:szCs w:val="22"/>
        </w:rPr>
        <w:t xml:space="preserve"> </w:t>
      </w:r>
      <w:r w:rsidRPr="00E11658">
        <w:rPr>
          <w:rFonts w:ascii="Palatino Linotype" w:hAnsi="Palatino Linotype" w:cs="Tahoma"/>
          <w:sz w:val="22"/>
          <w:szCs w:val="22"/>
        </w:rPr>
        <w:t xml:space="preserve">el </w:t>
      </w:r>
      <w:r w:rsidR="000973B8" w:rsidRPr="00E11658">
        <w:rPr>
          <w:rFonts w:ascii="Palatino Linotype" w:hAnsi="Palatino Linotype" w:cs="Tahoma"/>
          <w:sz w:val="22"/>
          <w:szCs w:val="22"/>
        </w:rPr>
        <w:t>SAIMEX</w:t>
      </w:r>
      <w:r w:rsidR="00E35DF9" w:rsidRPr="00E11658">
        <w:rPr>
          <w:rFonts w:ascii="Palatino Linotype" w:hAnsi="Palatino Linotype" w:cs="Tahoma"/>
          <w:sz w:val="22"/>
          <w:szCs w:val="22"/>
        </w:rPr>
        <w:t xml:space="preserve">, ante </w:t>
      </w:r>
      <w:r w:rsidR="009C323D" w:rsidRPr="00E11658">
        <w:rPr>
          <w:rFonts w:ascii="Palatino Linotype" w:hAnsi="Palatino Linotype" w:cs="Tahoma"/>
          <w:sz w:val="22"/>
          <w:szCs w:val="22"/>
        </w:rPr>
        <w:t>e</w:t>
      </w:r>
      <w:r w:rsidR="00212285" w:rsidRPr="00E11658">
        <w:rPr>
          <w:rFonts w:ascii="Palatino Linotype" w:hAnsi="Palatino Linotype" w:cs="Tahoma"/>
          <w:sz w:val="22"/>
          <w:szCs w:val="22"/>
        </w:rPr>
        <w:t>l</w:t>
      </w:r>
      <w:r w:rsidR="00E35DF9" w:rsidRPr="00E11658">
        <w:rPr>
          <w:rFonts w:ascii="Palatino Linotype" w:hAnsi="Palatino Linotype" w:cs="Tahoma"/>
          <w:sz w:val="22"/>
          <w:szCs w:val="22"/>
        </w:rPr>
        <w:t xml:space="preserve"> </w:t>
      </w:r>
      <w:r w:rsidR="004D2FE1" w:rsidRPr="00E11658">
        <w:rPr>
          <w:rFonts w:ascii="Palatino Linotype" w:hAnsi="Palatino Linotype" w:cs="Tahoma"/>
          <w:b/>
          <w:bCs/>
          <w:sz w:val="22"/>
          <w:szCs w:val="22"/>
        </w:rPr>
        <w:t>Ayuntamiento de Hueypoxtla</w:t>
      </w:r>
      <w:r w:rsidR="00E35DF9" w:rsidRPr="00E11658">
        <w:rPr>
          <w:rFonts w:ascii="Palatino Linotype" w:hAnsi="Palatino Linotype" w:cs="Tahoma"/>
          <w:sz w:val="22"/>
          <w:szCs w:val="22"/>
        </w:rPr>
        <w:t xml:space="preserve">, </w:t>
      </w:r>
      <w:r w:rsidR="003A12F1" w:rsidRPr="00E11658">
        <w:rPr>
          <w:rFonts w:ascii="Palatino Linotype" w:hAnsi="Palatino Linotype" w:cs="Tahoma"/>
          <w:sz w:val="22"/>
          <w:szCs w:val="22"/>
        </w:rPr>
        <w:t xml:space="preserve">misma que fue registrada con el número de folio </w:t>
      </w:r>
      <w:r w:rsidR="004D2FE1" w:rsidRPr="00E11658">
        <w:rPr>
          <w:rFonts w:ascii="Palatino Linotype" w:hAnsi="Palatino Linotype" w:cs="Tahoma"/>
          <w:b/>
          <w:bCs/>
          <w:sz w:val="22"/>
          <w:szCs w:val="22"/>
        </w:rPr>
        <w:t>00031/HUEYPOX/IP/2025</w:t>
      </w:r>
      <w:r w:rsidR="003A12F1" w:rsidRPr="00E11658">
        <w:rPr>
          <w:rFonts w:ascii="Palatino Linotype" w:hAnsi="Palatino Linotype" w:cs="Tahoma"/>
          <w:b/>
          <w:bCs/>
          <w:sz w:val="22"/>
          <w:szCs w:val="22"/>
        </w:rPr>
        <w:t xml:space="preserve">, </w:t>
      </w:r>
      <w:r w:rsidR="00E35DF9" w:rsidRPr="00E11658">
        <w:rPr>
          <w:rFonts w:ascii="Palatino Linotype" w:hAnsi="Palatino Linotype" w:cs="Tahoma"/>
          <w:sz w:val="22"/>
          <w:szCs w:val="22"/>
        </w:rPr>
        <w:t xml:space="preserve">mediante </w:t>
      </w:r>
      <w:r w:rsidR="0074594A" w:rsidRPr="00E11658">
        <w:rPr>
          <w:rFonts w:ascii="Palatino Linotype" w:hAnsi="Palatino Linotype" w:cs="Tahoma"/>
          <w:sz w:val="22"/>
          <w:szCs w:val="22"/>
        </w:rPr>
        <w:t>l</w:t>
      </w:r>
      <w:r w:rsidR="00B50512" w:rsidRPr="00E11658">
        <w:rPr>
          <w:rFonts w:ascii="Palatino Linotype" w:hAnsi="Palatino Linotype" w:cs="Tahoma"/>
          <w:sz w:val="22"/>
          <w:szCs w:val="22"/>
        </w:rPr>
        <w:t>a</w:t>
      </w:r>
      <w:r w:rsidR="00E35DF9" w:rsidRPr="00E11658">
        <w:rPr>
          <w:rFonts w:ascii="Palatino Linotype" w:hAnsi="Palatino Linotype" w:cs="Tahoma"/>
          <w:sz w:val="22"/>
          <w:szCs w:val="22"/>
        </w:rPr>
        <w:t xml:space="preserve"> cual requirió lo siguiente: </w:t>
      </w:r>
    </w:p>
    <w:p w14:paraId="70BABA52" w14:textId="77777777" w:rsidR="00D807FB" w:rsidRPr="00E11658" w:rsidRDefault="00D807FB" w:rsidP="0078217C">
      <w:pPr>
        <w:tabs>
          <w:tab w:val="left" w:pos="567"/>
        </w:tabs>
        <w:spacing w:line="360" w:lineRule="auto"/>
        <w:contextualSpacing/>
        <w:jc w:val="both"/>
        <w:rPr>
          <w:rFonts w:ascii="Palatino Linotype" w:hAnsi="Palatino Linotype" w:cs="Tahoma"/>
          <w:sz w:val="22"/>
        </w:rPr>
      </w:pPr>
    </w:p>
    <w:p w14:paraId="468AC67D" w14:textId="77777777" w:rsidR="00D807FB" w:rsidRPr="00E11658" w:rsidRDefault="00D807FB" w:rsidP="0078217C">
      <w:pPr>
        <w:tabs>
          <w:tab w:val="left" w:pos="567"/>
        </w:tabs>
        <w:spacing w:line="360" w:lineRule="auto"/>
        <w:ind w:left="567" w:right="539"/>
        <w:contextualSpacing/>
        <w:jc w:val="both"/>
        <w:rPr>
          <w:rFonts w:ascii="Palatino Linotype" w:hAnsi="Palatino Linotype" w:cs="Tahoma"/>
          <w:b/>
          <w:bCs/>
          <w:sz w:val="22"/>
          <w:szCs w:val="22"/>
        </w:rPr>
      </w:pPr>
      <w:r w:rsidRPr="00E11658">
        <w:rPr>
          <w:rFonts w:ascii="Palatino Linotype" w:hAnsi="Palatino Linotype" w:cs="Tahoma"/>
          <w:b/>
          <w:bCs/>
        </w:rPr>
        <w:t>DESCRIPCIÓN CLARA Y PRECISA DE LA INFORMACIÓN SOLICITADA</w:t>
      </w:r>
    </w:p>
    <w:p w14:paraId="54ED7610" w14:textId="1080A196" w:rsidR="000F2B83" w:rsidRPr="00E11658" w:rsidRDefault="004B553D" w:rsidP="0078217C">
      <w:pPr>
        <w:pStyle w:val="Prrafodelista"/>
        <w:tabs>
          <w:tab w:val="left" w:pos="567"/>
        </w:tabs>
        <w:spacing w:line="360" w:lineRule="auto"/>
        <w:ind w:left="567" w:right="539"/>
        <w:jc w:val="both"/>
        <w:rPr>
          <w:rFonts w:ascii="Palatino Linotype" w:hAnsi="Palatino Linotype"/>
          <w:i/>
          <w:iCs/>
          <w:color w:val="000000"/>
          <w:sz w:val="20"/>
          <w:szCs w:val="20"/>
        </w:rPr>
      </w:pPr>
      <w:r w:rsidRPr="00E11658">
        <w:rPr>
          <w:rFonts w:ascii="Palatino Linotype" w:hAnsi="Palatino Linotype"/>
          <w:i/>
          <w:iCs/>
          <w:color w:val="000000"/>
          <w:sz w:val="20"/>
          <w:szCs w:val="20"/>
        </w:rPr>
        <w:t>"</w:t>
      </w:r>
      <w:r w:rsidR="004D2FE1" w:rsidRPr="00E11658">
        <w:t xml:space="preserve"> </w:t>
      </w:r>
      <w:r w:rsidR="004D2FE1" w:rsidRPr="00E11658">
        <w:rPr>
          <w:rFonts w:ascii="Palatino Linotype" w:hAnsi="Palatino Linotype"/>
          <w:i/>
          <w:iCs/>
          <w:color w:val="000000"/>
          <w:sz w:val="20"/>
          <w:szCs w:val="20"/>
        </w:rPr>
        <w:t xml:space="preserve">SOLICITO LAS CEDULAS DE BASE DE DATOS QUE SE GENERARON EN EL AÑO 2025 DE TODAS Y CADA UNA DE LAS AREAS QUE COMPONEN AL AYUNTAMIENTO DE HUEYPOXTLA </w:t>
      </w:r>
      <w:r w:rsidR="00B50512" w:rsidRPr="00E11658">
        <w:rPr>
          <w:rFonts w:ascii="Palatino Linotype" w:hAnsi="Palatino Linotype"/>
          <w:i/>
          <w:iCs/>
          <w:color w:val="000000"/>
          <w:sz w:val="20"/>
          <w:szCs w:val="20"/>
        </w:rPr>
        <w:t>"</w:t>
      </w:r>
      <w:r w:rsidR="00A650C6" w:rsidRPr="00E11658">
        <w:rPr>
          <w:rFonts w:ascii="Palatino Linotype" w:hAnsi="Palatino Linotype"/>
          <w:i/>
          <w:iCs/>
          <w:color w:val="000000"/>
          <w:sz w:val="20"/>
          <w:szCs w:val="20"/>
        </w:rPr>
        <w:t xml:space="preserve"> </w:t>
      </w:r>
      <w:r w:rsidR="00954EDD" w:rsidRPr="00E11658">
        <w:rPr>
          <w:rFonts w:ascii="Palatino Linotype" w:hAnsi="Palatino Linotype"/>
          <w:i/>
          <w:iCs/>
          <w:color w:val="000000"/>
          <w:sz w:val="20"/>
          <w:szCs w:val="20"/>
        </w:rPr>
        <w:t>(Sic)</w:t>
      </w:r>
    </w:p>
    <w:p w14:paraId="34D716AF" w14:textId="77777777" w:rsidR="007E4927" w:rsidRPr="00E11658" w:rsidRDefault="007E4927" w:rsidP="0078217C">
      <w:pPr>
        <w:pStyle w:val="Prrafodelista"/>
        <w:tabs>
          <w:tab w:val="left" w:pos="567"/>
        </w:tabs>
        <w:spacing w:line="360" w:lineRule="auto"/>
        <w:ind w:left="567" w:right="539"/>
        <w:jc w:val="both"/>
        <w:rPr>
          <w:rFonts w:ascii="Palatino Linotype" w:hAnsi="Palatino Linotype"/>
          <w:i/>
          <w:iCs/>
          <w:color w:val="000000"/>
          <w:sz w:val="20"/>
          <w:szCs w:val="20"/>
        </w:rPr>
      </w:pPr>
    </w:p>
    <w:p w14:paraId="3A8E0D5E" w14:textId="77777777" w:rsidR="00E35DF9" w:rsidRPr="00E11658" w:rsidRDefault="00E35DF9" w:rsidP="0078217C">
      <w:pPr>
        <w:pStyle w:val="Prrafodelista"/>
        <w:tabs>
          <w:tab w:val="left" w:pos="567"/>
        </w:tabs>
        <w:spacing w:line="360" w:lineRule="auto"/>
        <w:ind w:left="567" w:right="539"/>
        <w:jc w:val="both"/>
        <w:rPr>
          <w:rFonts w:ascii="Palatino Linotype" w:hAnsi="Palatino Linotype" w:cs="Tahoma"/>
          <w:i/>
          <w:sz w:val="20"/>
          <w:szCs w:val="22"/>
        </w:rPr>
      </w:pPr>
      <w:r w:rsidRPr="00E11658">
        <w:rPr>
          <w:rFonts w:ascii="Palatino Linotype" w:hAnsi="Palatino Linotype" w:cs="Tahoma"/>
          <w:b/>
          <w:sz w:val="20"/>
          <w:szCs w:val="22"/>
        </w:rPr>
        <w:t>MODALIDAD DE ENTREGA</w:t>
      </w:r>
      <w:r w:rsidR="00007985" w:rsidRPr="00E11658">
        <w:rPr>
          <w:rFonts w:ascii="Palatino Linotype" w:hAnsi="Palatino Linotype" w:cs="Tahoma"/>
          <w:b/>
          <w:sz w:val="20"/>
          <w:szCs w:val="22"/>
        </w:rPr>
        <w:t xml:space="preserve"> </w:t>
      </w:r>
      <w:r w:rsidR="007E4927" w:rsidRPr="00E11658">
        <w:rPr>
          <w:rFonts w:ascii="Palatino Linotype" w:hAnsi="Palatino Linotype" w:cs="Tahoma"/>
          <w:i/>
          <w:sz w:val="20"/>
          <w:szCs w:val="22"/>
        </w:rPr>
        <w:t>“</w:t>
      </w:r>
      <w:r w:rsidR="00062387" w:rsidRPr="00E11658">
        <w:rPr>
          <w:rFonts w:ascii="Palatino Linotype" w:hAnsi="Palatino Linotype" w:cs="Tahoma"/>
          <w:i/>
          <w:sz w:val="20"/>
          <w:szCs w:val="22"/>
        </w:rPr>
        <w:t>A través del SAIMEX</w:t>
      </w:r>
      <w:r w:rsidR="007E4927" w:rsidRPr="00E11658">
        <w:rPr>
          <w:rFonts w:ascii="Palatino Linotype" w:hAnsi="Palatino Linotype" w:cs="Tahoma"/>
          <w:i/>
          <w:sz w:val="20"/>
          <w:szCs w:val="22"/>
        </w:rPr>
        <w:t>”</w:t>
      </w:r>
    </w:p>
    <w:p w14:paraId="76A3A829" w14:textId="77777777" w:rsidR="00597BA0" w:rsidRPr="00E11658" w:rsidRDefault="00597BA0" w:rsidP="0078217C">
      <w:pPr>
        <w:pStyle w:val="Prrafodelista"/>
        <w:tabs>
          <w:tab w:val="left" w:pos="567"/>
        </w:tabs>
        <w:spacing w:line="360" w:lineRule="auto"/>
        <w:ind w:left="567" w:right="539"/>
        <w:jc w:val="both"/>
        <w:rPr>
          <w:rFonts w:ascii="Palatino Linotype" w:hAnsi="Palatino Linotype" w:cs="Tahoma"/>
          <w:i/>
          <w:sz w:val="20"/>
          <w:szCs w:val="22"/>
        </w:rPr>
      </w:pPr>
    </w:p>
    <w:p w14:paraId="511D0D59" w14:textId="4CA3DB62" w:rsidR="00681D84" w:rsidRPr="00E11658" w:rsidRDefault="00E26416" w:rsidP="0078217C">
      <w:pPr>
        <w:keepNext/>
        <w:keepLines/>
        <w:spacing w:line="360" w:lineRule="auto"/>
        <w:contextualSpacing/>
        <w:jc w:val="both"/>
        <w:outlineLvl w:val="1"/>
      </w:pPr>
      <w:bookmarkStart w:id="3" w:name="_Toc206496349"/>
      <w:bookmarkStart w:id="4" w:name="_Toc210747036"/>
      <w:bookmarkStart w:id="5" w:name="_Toc210751362"/>
      <w:bookmarkStart w:id="6" w:name="_Toc212126686"/>
      <w:r w:rsidRPr="00E11658">
        <w:rPr>
          <w:rFonts w:ascii="Palatino Linotype" w:eastAsia="Palatino Linotype" w:hAnsi="Palatino Linotype" w:cs="Palatino Linotype"/>
          <w:b/>
          <w:color w:val="000000"/>
          <w:sz w:val="22"/>
          <w:szCs w:val="22"/>
          <w:lang w:eastAsia="es-MX"/>
        </w:rPr>
        <w:t xml:space="preserve">II. </w:t>
      </w:r>
      <w:bookmarkEnd w:id="3"/>
      <w:bookmarkEnd w:id="4"/>
      <w:bookmarkEnd w:id="5"/>
      <w:r w:rsidR="00681D84" w:rsidRPr="00E11658">
        <w:rPr>
          <w:rFonts w:ascii="Palatino Linotype" w:hAnsi="Palatino Linotype" w:cs="Tahoma"/>
          <w:b/>
          <w:sz w:val="22"/>
          <w:szCs w:val="22"/>
        </w:rPr>
        <w:t>Respuesta del Sujeto Obligado</w:t>
      </w:r>
      <w:bookmarkEnd w:id="6"/>
    </w:p>
    <w:p w14:paraId="6295FED3" w14:textId="77777777" w:rsidR="00E0128F" w:rsidRPr="00E11658" w:rsidRDefault="00E0128F" w:rsidP="0078217C">
      <w:pPr>
        <w:pStyle w:val="Prrafodelista"/>
        <w:tabs>
          <w:tab w:val="left" w:pos="567"/>
        </w:tabs>
        <w:spacing w:line="360" w:lineRule="auto"/>
        <w:ind w:left="0"/>
        <w:jc w:val="both"/>
        <w:rPr>
          <w:rFonts w:ascii="Palatino Linotype" w:hAnsi="Palatino Linotype" w:cs="Tahoma"/>
          <w:b/>
          <w:sz w:val="20"/>
          <w:szCs w:val="22"/>
        </w:rPr>
      </w:pPr>
    </w:p>
    <w:p w14:paraId="24763C8A" w14:textId="272840D2" w:rsidR="004D2FE1" w:rsidRPr="00E11658" w:rsidRDefault="00BB1F81" w:rsidP="0078217C">
      <w:pPr>
        <w:autoSpaceDE w:val="0"/>
        <w:autoSpaceDN w:val="0"/>
        <w:adjustRightInd w:val="0"/>
        <w:spacing w:line="360" w:lineRule="auto"/>
        <w:contextualSpacing/>
        <w:jc w:val="both"/>
        <w:rPr>
          <w:rFonts w:ascii="Palatino Linotype" w:hAnsi="Palatino Linotype" w:cs="Tahoma"/>
          <w:sz w:val="22"/>
          <w:szCs w:val="22"/>
        </w:rPr>
      </w:pPr>
      <w:r w:rsidRPr="00E11658">
        <w:rPr>
          <w:rFonts w:ascii="Palatino Linotype" w:hAnsi="Palatino Linotype" w:cs="Tahoma"/>
          <w:sz w:val="22"/>
          <w:szCs w:val="22"/>
        </w:rPr>
        <w:lastRenderedPageBreak/>
        <w:t>El</w:t>
      </w:r>
      <w:r w:rsidR="00681D84" w:rsidRPr="00E11658">
        <w:rPr>
          <w:rFonts w:ascii="Palatino Linotype" w:hAnsi="Palatino Linotype" w:cs="Tahoma"/>
          <w:sz w:val="22"/>
          <w:szCs w:val="22"/>
        </w:rPr>
        <w:t xml:space="preserve"> </w:t>
      </w:r>
      <w:r w:rsidR="004D2FE1" w:rsidRPr="00E11658">
        <w:rPr>
          <w:rFonts w:ascii="Palatino Linotype" w:hAnsi="Palatino Linotype" w:cs="Tahoma"/>
          <w:sz w:val="22"/>
          <w:szCs w:val="22"/>
        </w:rPr>
        <w:t xml:space="preserve">veintiséis de marzo </w:t>
      </w:r>
      <w:r w:rsidR="00B71F2C" w:rsidRPr="00E11658">
        <w:rPr>
          <w:rFonts w:ascii="Palatino Linotype" w:hAnsi="Palatino Linotype" w:cs="Tahoma"/>
          <w:sz w:val="22"/>
          <w:szCs w:val="22"/>
        </w:rPr>
        <w:t>de dos mil veinti</w:t>
      </w:r>
      <w:r w:rsidR="00F93A36" w:rsidRPr="00E11658">
        <w:rPr>
          <w:rFonts w:ascii="Palatino Linotype" w:hAnsi="Palatino Linotype" w:cs="Tahoma"/>
          <w:sz w:val="22"/>
          <w:szCs w:val="22"/>
        </w:rPr>
        <w:t>c</w:t>
      </w:r>
      <w:r w:rsidR="00CD10BF" w:rsidRPr="00E11658">
        <w:rPr>
          <w:rFonts w:ascii="Palatino Linotype" w:hAnsi="Palatino Linotype" w:cs="Tahoma"/>
          <w:sz w:val="22"/>
          <w:szCs w:val="22"/>
        </w:rPr>
        <w:t>inco</w:t>
      </w:r>
      <w:r w:rsidR="00681D84" w:rsidRPr="00E11658">
        <w:rPr>
          <w:rFonts w:ascii="Palatino Linotype" w:hAnsi="Palatino Linotype" w:cs="Tahoma"/>
          <w:sz w:val="22"/>
          <w:szCs w:val="22"/>
        </w:rPr>
        <w:t xml:space="preserve">, </w:t>
      </w:r>
      <w:r w:rsidR="00D74B06" w:rsidRPr="00E11658">
        <w:rPr>
          <w:rFonts w:ascii="Palatino Linotype" w:hAnsi="Palatino Linotype" w:cs="Tahoma"/>
          <w:sz w:val="22"/>
          <w:szCs w:val="22"/>
        </w:rPr>
        <w:t xml:space="preserve">el Sujeto Obligado </w:t>
      </w:r>
      <w:r w:rsidR="008453FA" w:rsidRPr="00E11658">
        <w:rPr>
          <w:rFonts w:ascii="Palatino Linotype" w:hAnsi="Palatino Linotype" w:cs="Tahoma"/>
          <w:sz w:val="22"/>
          <w:szCs w:val="22"/>
        </w:rPr>
        <w:t xml:space="preserve">otorgó respuesta a través del </w:t>
      </w:r>
      <w:r w:rsidRPr="00E11658">
        <w:rPr>
          <w:rFonts w:ascii="Palatino Linotype" w:hAnsi="Palatino Linotype" w:cs="Tahoma"/>
          <w:sz w:val="22"/>
          <w:szCs w:val="22"/>
        </w:rPr>
        <w:t>SAIMEX</w:t>
      </w:r>
      <w:r w:rsidR="008453FA" w:rsidRPr="00E11658">
        <w:rPr>
          <w:rFonts w:ascii="Palatino Linotype" w:hAnsi="Palatino Linotype" w:cs="Tahoma"/>
          <w:sz w:val="22"/>
          <w:szCs w:val="22"/>
        </w:rPr>
        <w:t xml:space="preserve"> en</w:t>
      </w:r>
      <w:r w:rsidR="00E26416" w:rsidRPr="00E11658">
        <w:rPr>
          <w:rFonts w:ascii="Palatino Linotype" w:hAnsi="Palatino Linotype" w:cs="Tahoma"/>
          <w:sz w:val="22"/>
          <w:szCs w:val="22"/>
        </w:rPr>
        <w:t xml:space="preserve"> la que adjuntó </w:t>
      </w:r>
      <w:r w:rsidR="004D2FE1" w:rsidRPr="00E11658">
        <w:rPr>
          <w:rFonts w:ascii="Palatino Linotype" w:hAnsi="Palatino Linotype" w:cs="Tahoma"/>
          <w:sz w:val="22"/>
          <w:szCs w:val="22"/>
        </w:rPr>
        <w:t>un oficio suscrito por la Coordinadora de la Unidad de Transparencia y Acceso a la Información Pública en el que manifestó lo siguiente:</w:t>
      </w:r>
    </w:p>
    <w:p w14:paraId="1D29E48C" w14:textId="77777777" w:rsidR="004D2FE1" w:rsidRPr="00E11658" w:rsidRDefault="004D2FE1" w:rsidP="0078217C">
      <w:pPr>
        <w:autoSpaceDE w:val="0"/>
        <w:autoSpaceDN w:val="0"/>
        <w:adjustRightInd w:val="0"/>
        <w:spacing w:line="360" w:lineRule="auto"/>
        <w:contextualSpacing/>
        <w:jc w:val="both"/>
        <w:rPr>
          <w:rFonts w:ascii="Palatino Linotype" w:hAnsi="Palatino Linotype" w:cs="Tahoma"/>
          <w:sz w:val="22"/>
          <w:szCs w:val="22"/>
        </w:rPr>
      </w:pPr>
    </w:p>
    <w:p w14:paraId="69C2FC7A" w14:textId="77777777" w:rsidR="004D2FE1" w:rsidRPr="00E11658" w:rsidRDefault="00E26416" w:rsidP="0078217C">
      <w:pPr>
        <w:autoSpaceDE w:val="0"/>
        <w:autoSpaceDN w:val="0"/>
        <w:adjustRightInd w:val="0"/>
        <w:spacing w:line="360" w:lineRule="auto"/>
        <w:ind w:left="567" w:right="539"/>
        <w:contextualSpacing/>
        <w:jc w:val="both"/>
        <w:rPr>
          <w:rFonts w:ascii="Palatino Linotype" w:hAnsi="Palatino Linotype" w:cs="Tahoma"/>
          <w:i/>
          <w:iCs/>
        </w:rPr>
      </w:pPr>
      <w:r w:rsidRPr="00E11658">
        <w:rPr>
          <w:rFonts w:ascii="Palatino Linotype" w:hAnsi="Palatino Linotype" w:cs="Tahoma"/>
          <w:i/>
          <w:iCs/>
        </w:rPr>
        <w:t>“…</w:t>
      </w:r>
    </w:p>
    <w:p w14:paraId="171C265D" w14:textId="19FFB9E9" w:rsidR="004D2FE1" w:rsidRPr="00E11658" w:rsidRDefault="004D2FE1" w:rsidP="0078217C">
      <w:pPr>
        <w:autoSpaceDE w:val="0"/>
        <w:autoSpaceDN w:val="0"/>
        <w:adjustRightInd w:val="0"/>
        <w:spacing w:line="360" w:lineRule="auto"/>
        <w:ind w:left="567" w:right="539"/>
        <w:contextualSpacing/>
        <w:jc w:val="both"/>
        <w:rPr>
          <w:rFonts w:ascii="Palatino Linotype" w:hAnsi="Palatino Linotype" w:cs="Tahoma"/>
          <w:i/>
          <w:iCs/>
        </w:rPr>
      </w:pPr>
      <w:r w:rsidRPr="00E11658">
        <w:rPr>
          <w:rFonts w:ascii="Palatino Linotype" w:hAnsi="Palatino Linotype" w:cs="Tahoma"/>
          <w:i/>
          <w:iCs/>
        </w:rPr>
        <w:t xml:space="preserve">Conforme a lo establecido en el Capítulo </w:t>
      </w:r>
      <w:proofErr w:type="spellStart"/>
      <w:r w:rsidRPr="00E11658">
        <w:rPr>
          <w:rFonts w:ascii="Palatino Linotype" w:hAnsi="Palatino Linotype" w:cs="Tahoma"/>
          <w:i/>
          <w:iCs/>
        </w:rPr>
        <w:t>Il</w:t>
      </w:r>
      <w:proofErr w:type="spellEnd"/>
      <w:r w:rsidRPr="00E11658">
        <w:rPr>
          <w:rFonts w:ascii="Palatino Linotype" w:hAnsi="Palatino Linotype" w:cs="Tahoma"/>
          <w:i/>
          <w:iCs/>
        </w:rPr>
        <w:t xml:space="preserve"> de la Información Reservada Articulo 140.Fracción X: que a la letra dice: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w:t>
      </w:r>
    </w:p>
    <w:p w14:paraId="4BEC7E61" w14:textId="09B5263C" w:rsidR="004D2FE1" w:rsidRPr="00E11658" w:rsidRDefault="004D2FE1" w:rsidP="0078217C">
      <w:pPr>
        <w:autoSpaceDE w:val="0"/>
        <w:autoSpaceDN w:val="0"/>
        <w:adjustRightInd w:val="0"/>
        <w:spacing w:line="360" w:lineRule="auto"/>
        <w:ind w:left="567" w:right="539"/>
        <w:contextualSpacing/>
        <w:jc w:val="both"/>
        <w:rPr>
          <w:rFonts w:ascii="Palatino Linotype" w:hAnsi="Palatino Linotype" w:cs="Tahoma"/>
          <w:i/>
          <w:iCs/>
        </w:rPr>
      </w:pPr>
      <w:r w:rsidRPr="00E11658">
        <w:rPr>
          <w:rFonts w:ascii="Palatino Linotype" w:hAnsi="Palatino Linotype" w:cs="Tahoma"/>
          <w:i/>
          <w:iCs/>
        </w:rPr>
        <w:t>…”</w:t>
      </w:r>
    </w:p>
    <w:p w14:paraId="2E2C73E0" w14:textId="77777777" w:rsidR="004D2FE1" w:rsidRPr="00E11658" w:rsidRDefault="004D2FE1" w:rsidP="0078217C">
      <w:pPr>
        <w:autoSpaceDE w:val="0"/>
        <w:autoSpaceDN w:val="0"/>
        <w:adjustRightInd w:val="0"/>
        <w:spacing w:line="360" w:lineRule="auto"/>
        <w:ind w:left="567" w:right="539"/>
        <w:contextualSpacing/>
        <w:jc w:val="both"/>
        <w:rPr>
          <w:rFonts w:ascii="Palatino Linotype" w:hAnsi="Palatino Linotype" w:cs="Tahoma"/>
          <w:i/>
          <w:iCs/>
        </w:rPr>
      </w:pPr>
    </w:p>
    <w:p w14:paraId="425C22B8" w14:textId="75136D4E" w:rsidR="001A412B" w:rsidRPr="00E11658" w:rsidRDefault="007812D1" w:rsidP="0078217C">
      <w:pPr>
        <w:pStyle w:val="Ttulo2"/>
        <w:spacing w:before="0"/>
        <w:rPr>
          <w:rFonts w:ascii="Palatino Linotype" w:hAnsi="Palatino Linotype" w:cs="Tahoma"/>
          <w:b/>
          <w:color w:val="auto"/>
          <w:sz w:val="22"/>
          <w:szCs w:val="22"/>
        </w:rPr>
      </w:pPr>
      <w:bookmarkStart w:id="7" w:name="_Toc212126687"/>
      <w:bookmarkEnd w:id="0"/>
      <w:r w:rsidRPr="00E11658">
        <w:rPr>
          <w:rFonts w:ascii="Palatino Linotype" w:hAnsi="Palatino Linotype" w:cs="Tahoma"/>
          <w:b/>
          <w:color w:val="auto"/>
          <w:sz w:val="22"/>
          <w:szCs w:val="22"/>
        </w:rPr>
        <w:t>I</w:t>
      </w:r>
      <w:r w:rsidR="004D2FE1" w:rsidRPr="00E11658">
        <w:rPr>
          <w:rFonts w:ascii="Palatino Linotype" w:hAnsi="Palatino Linotype" w:cs="Tahoma"/>
          <w:b/>
          <w:color w:val="auto"/>
          <w:sz w:val="22"/>
          <w:szCs w:val="22"/>
        </w:rPr>
        <w:t>II</w:t>
      </w:r>
      <w:r w:rsidR="009A7587" w:rsidRPr="00E11658">
        <w:rPr>
          <w:rFonts w:ascii="Palatino Linotype" w:hAnsi="Palatino Linotype" w:cs="Tahoma"/>
          <w:b/>
          <w:color w:val="auto"/>
          <w:sz w:val="22"/>
          <w:szCs w:val="22"/>
        </w:rPr>
        <w:t>. Interposición del Recurso de Revisión</w:t>
      </w:r>
      <w:bookmarkEnd w:id="7"/>
    </w:p>
    <w:p w14:paraId="63ACCE40" w14:textId="77777777" w:rsidR="00F87649" w:rsidRPr="00E11658" w:rsidRDefault="00F87649" w:rsidP="0078217C">
      <w:pPr>
        <w:autoSpaceDE w:val="0"/>
        <w:autoSpaceDN w:val="0"/>
        <w:adjustRightInd w:val="0"/>
        <w:spacing w:line="360" w:lineRule="auto"/>
        <w:contextualSpacing/>
        <w:jc w:val="both"/>
        <w:rPr>
          <w:rFonts w:ascii="Palatino Linotype" w:hAnsi="Palatino Linotype" w:cs="Tahoma"/>
          <w:b/>
          <w:sz w:val="18"/>
          <w:szCs w:val="22"/>
        </w:rPr>
      </w:pPr>
    </w:p>
    <w:p w14:paraId="77714C2E" w14:textId="550CCBB0" w:rsidR="009A7587" w:rsidRPr="00E11658" w:rsidRDefault="009A7587" w:rsidP="0078217C">
      <w:pPr>
        <w:tabs>
          <w:tab w:val="left" w:pos="3122"/>
        </w:tabs>
        <w:spacing w:line="360" w:lineRule="auto"/>
        <w:contextualSpacing/>
        <w:jc w:val="both"/>
        <w:rPr>
          <w:rFonts w:ascii="Palatino Linotype" w:hAnsi="Palatino Linotype" w:cs="Tahoma"/>
          <w:sz w:val="22"/>
          <w:szCs w:val="22"/>
        </w:rPr>
      </w:pPr>
      <w:r w:rsidRPr="00E11658">
        <w:rPr>
          <w:rFonts w:ascii="Palatino Linotype" w:hAnsi="Palatino Linotype" w:cs="Tahoma"/>
          <w:sz w:val="22"/>
          <w:szCs w:val="22"/>
        </w:rPr>
        <w:t>Con fecha</w:t>
      </w:r>
      <w:r w:rsidR="00E13C8C" w:rsidRPr="00E11658">
        <w:rPr>
          <w:rFonts w:ascii="Palatino Linotype" w:hAnsi="Palatino Linotype" w:cs="Tahoma"/>
          <w:sz w:val="22"/>
          <w:szCs w:val="22"/>
        </w:rPr>
        <w:t xml:space="preserve"> </w:t>
      </w:r>
      <w:r w:rsidR="004D2FE1" w:rsidRPr="00E11658">
        <w:rPr>
          <w:rFonts w:ascii="Palatino Linotype" w:hAnsi="Palatino Linotype" w:cs="Tahoma"/>
          <w:sz w:val="22"/>
          <w:szCs w:val="22"/>
        </w:rPr>
        <w:t>veintisiete</w:t>
      </w:r>
      <w:r w:rsidR="001E1668" w:rsidRPr="00E11658">
        <w:rPr>
          <w:rFonts w:ascii="Palatino Linotype" w:hAnsi="Palatino Linotype" w:cs="Tahoma"/>
          <w:sz w:val="22"/>
          <w:szCs w:val="22"/>
        </w:rPr>
        <w:t xml:space="preserve"> </w:t>
      </w:r>
      <w:r w:rsidR="004D2877" w:rsidRPr="00E11658">
        <w:rPr>
          <w:rFonts w:ascii="Palatino Linotype" w:hAnsi="Palatino Linotype" w:cs="Tahoma"/>
          <w:sz w:val="22"/>
          <w:szCs w:val="22"/>
        </w:rPr>
        <w:t>de marzo</w:t>
      </w:r>
      <w:r w:rsidR="009C323D" w:rsidRPr="00E11658">
        <w:rPr>
          <w:rFonts w:ascii="Palatino Linotype" w:hAnsi="Palatino Linotype" w:cs="Tahoma"/>
          <w:sz w:val="22"/>
          <w:szCs w:val="22"/>
        </w:rPr>
        <w:t xml:space="preserve"> </w:t>
      </w:r>
      <w:r w:rsidR="00B267E1" w:rsidRPr="00E11658">
        <w:rPr>
          <w:rFonts w:ascii="Palatino Linotype" w:hAnsi="Palatino Linotype" w:cs="Tahoma"/>
          <w:sz w:val="22"/>
          <w:szCs w:val="22"/>
        </w:rPr>
        <w:t>de dos mil veinti</w:t>
      </w:r>
      <w:r w:rsidR="00F93A36" w:rsidRPr="00E11658">
        <w:rPr>
          <w:rFonts w:ascii="Palatino Linotype" w:hAnsi="Palatino Linotype" w:cs="Tahoma"/>
          <w:sz w:val="22"/>
          <w:szCs w:val="22"/>
        </w:rPr>
        <w:t>c</w:t>
      </w:r>
      <w:r w:rsidR="00BF4B55" w:rsidRPr="00E11658">
        <w:rPr>
          <w:rFonts w:ascii="Palatino Linotype" w:hAnsi="Palatino Linotype" w:cs="Tahoma"/>
          <w:sz w:val="22"/>
          <w:szCs w:val="22"/>
        </w:rPr>
        <w:t>inco</w:t>
      </w:r>
      <w:r w:rsidRPr="00E11658">
        <w:rPr>
          <w:rFonts w:ascii="Palatino Linotype" w:hAnsi="Palatino Linotype" w:cs="Tahoma"/>
          <w:sz w:val="22"/>
          <w:szCs w:val="22"/>
        </w:rPr>
        <w:t xml:space="preserve">, a través del </w:t>
      </w:r>
      <w:r w:rsidR="00BB1F81" w:rsidRPr="00E11658">
        <w:rPr>
          <w:rFonts w:ascii="Palatino Linotype" w:hAnsi="Palatino Linotype" w:cs="Tahoma"/>
          <w:sz w:val="22"/>
          <w:szCs w:val="22"/>
          <w:lang w:val="es-ES"/>
        </w:rPr>
        <w:t>SAIMEX</w:t>
      </w:r>
      <w:r w:rsidR="00A048C7" w:rsidRPr="00E11658">
        <w:rPr>
          <w:rFonts w:ascii="Palatino Linotype" w:hAnsi="Palatino Linotype" w:cs="Tahoma"/>
          <w:sz w:val="22"/>
          <w:szCs w:val="22"/>
        </w:rPr>
        <w:t>, se interpus</w:t>
      </w:r>
      <w:r w:rsidR="003C3E71" w:rsidRPr="00E11658">
        <w:rPr>
          <w:rFonts w:ascii="Palatino Linotype" w:hAnsi="Palatino Linotype" w:cs="Tahoma"/>
          <w:sz w:val="22"/>
          <w:szCs w:val="22"/>
        </w:rPr>
        <w:t>o</w:t>
      </w:r>
      <w:r w:rsidR="00A048C7" w:rsidRPr="00E11658">
        <w:rPr>
          <w:rFonts w:ascii="Palatino Linotype" w:hAnsi="Palatino Linotype" w:cs="Tahoma"/>
          <w:sz w:val="22"/>
          <w:szCs w:val="22"/>
        </w:rPr>
        <w:t xml:space="preserve"> </w:t>
      </w:r>
      <w:r w:rsidR="003C3E71" w:rsidRPr="00E11658">
        <w:rPr>
          <w:rFonts w:ascii="Palatino Linotype" w:hAnsi="Palatino Linotype" w:cs="Tahoma"/>
          <w:sz w:val="22"/>
          <w:szCs w:val="22"/>
        </w:rPr>
        <w:t>el</w:t>
      </w:r>
      <w:r w:rsidRPr="00E11658">
        <w:rPr>
          <w:rFonts w:ascii="Palatino Linotype" w:hAnsi="Palatino Linotype" w:cs="Tahoma"/>
          <w:sz w:val="22"/>
          <w:szCs w:val="22"/>
        </w:rPr>
        <w:t xml:space="preserve"> presente Recurso de Revisión por</w:t>
      </w:r>
      <w:r w:rsidR="008E6658" w:rsidRPr="00E11658">
        <w:rPr>
          <w:rFonts w:ascii="Palatino Linotype" w:hAnsi="Palatino Linotype" w:cs="Tahoma"/>
          <w:sz w:val="22"/>
          <w:szCs w:val="22"/>
        </w:rPr>
        <w:t xml:space="preserve"> </w:t>
      </w:r>
      <w:r w:rsidR="0035716C" w:rsidRPr="00E11658">
        <w:rPr>
          <w:rFonts w:ascii="Palatino Linotype" w:hAnsi="Palatino Linotype" w:cs="Tahoma"/>
          <w:sz w:val="22"/>
          <w:szCs w:val="22"/>
        </w:rPr>
        <w:t xml:space="preserve">el </w:t>
      </w:r>
      <w:r w:rsidRPr="00E11658">
        <w:rPr>
          <w:rFonts w:ascii="Palatino Linotype" w:hAnsi="Palatino Linotype" w:cs="Tahoma"/>
          <w:sz w:val="22"/>
          <w:szCs w:val="22"/>
        </w:rPr>
        <w:t xml:space="preserve">Recurrente, en contra de </w:t>
      </w:r>
      <w:r w:rsidR="00655265" w:rsidRPr="00E11658">
        <w:rPr>
          <w:rFonts w:ascii="Palatino Linotype" w:hAnsi="Palatino Linotype" w:cs="Tahoma"/>
          <w:sz w:val="22"/>
          <w:szCs w:val="22"/>
        </w:rPr>
        <w:t>la respuesta emitida</w:t>
      </w:r>
      <w:r w:rsidRPr="00E11658">
        <w:rPr>
          <w:rFonts w:ascii="Palatino Linotype" w:hAnsi="Palatino Linotype" w:cs="Tahoma"/>
          <w:sz w:val="22"/>
          <w:szCs w:val="22"/>
        </w:rPr>
        <w:t xml:space="preserve"> por el Sujeto Obligado a </w:t>
      </w:r>
      <w:r w:rsidR="00655265" w:rsidRPr="00E11658">
        <w:rPr>
          <w:rFonts w:ascii="Palatino Linotype" w:hAnsi="Palatino Linotype" w:cs="Tahoma"/>
          <w:sz w:val="22"/>
          <w:szCs w:val="22"/>
        </w:rPr>
        <w:t>la solicitud</w:t>
      </w:r>
      <w:r w:rsidRPr="00E11658">
        <w:rPr>
          <w:rFonts w:ascii="Palatino Linotype" w:hAnsi="Palatino Linotype" w:cs="Tahoma"/>
          <w:sz w:val="22"/>
          <w:szCs w:val="22"/>
        </w:rPr>
        <w:t xml:space="preserve"> de información, en los siguientes términos:</w:t>
      </w:r>
    </w:p>
    <w:p w14:paraId="5084863C" w14:textId="77777777" w:rsidR="00AB6595" w:rsidRPr="00E11658" w:rsidRDefault="00AB6595" w:rsidP="0078217C">
      <w:pPr>
        <w:tabs>
          <w:tab w:val="left" w:pos="4995"/>
        </w:tabs>
        <w:spacing w:line="360" w:lineRule="auto"/>
        <w:contextualSpacing/>
        <w:jc w:val="both"/>
        <w:rPr>
          <w:rFonts w:ascii="Palatino Linotype" w:hAnsi="Palatino Linotype" w:cs="Tahoma"/>
          <w:sz w:val="22"/>
          <w:szCs w:val="22"/>
        </w:rPr>
      </w:pPr>
    </w:p>
    <w:p w14:paraId="071E79A7" w14:textId="77777777" w:rsidR="00D5699B" w:rsidRPr="00E11658" w:rsidRDefault="00D5699B" w:rsidP="0078217C">
      <w:pPr>
        <w:spacing w:line="360" w:lineRule="auto"/>
        <w:ind w:left="567" w:right="539"/>
        <w:contextualSpacing/>
        <w:jc w:val="both"/>
        <w:rPr>
          <w:rFonts w:ascii="Palatino Linotype" w:hAnsi="Palatino Linotype" w:cs="Tahoma"/>
          <w:b/>
          <w:bCs/>
          <w:szCs w:val="22"/>
        </w:rPr>
      </w:pPr>
      <w:r w:rsidRPr="00E11658">
        <w:rPr>
          <w:rFonts w:ascii="Palatino Linotype" w:hAnsi="Palatino Linotype" w:cs="Tahoma"/>
          <w:b/>
          <w:bCs/>
          <w:szCs w:val="22"/>
        </w:rPr>
        <w:t>ACTO IMPUGNADO</w:t>
      </w:r>
    </w:p>
    <w:p w14:paraId="372DA494" w14:textId="4C174475" w:rsidR="003D1770" w:rsidRPr="00E11658" w:rsidRDefault="007E4927" w:rsidP="0078217C">
      <w:pPr>
        <w:spacing w:line="360" w:lineRule="auto"/>
        <w:ind w:left="567" w:right="539"/>
        <w:contextualSpacing/>
        <w:jc w:val="both"/>
        <w:rPr>
          <w:rFonts w:ascii="Palatino Linotype" w:hAnsi="Palatino Linotype" w:cs="Tahoma"/>
          <w:bCs/>
          <w:szCs w:val="22"/>
        </w:rPr>
      </w:pPr>
      <w:r w:rsidRPr="00E11658">
        <w:rPr>
          <w:rFonts w:ascii="Palatino Linotype" w:hAnsi="Palatino Linotype" w:cs="Tahoma"/>
          <w:bCs/>
          <w:i/>
          <w:szCs w:val="22"/>
        </w:rPr>
        <w:t>“</w:t>
      </w:r>
      <w:r w:rsidR="004D2FE1" w:rsidRPr="00E11658">
        <w:rPr>
          <w:rFonts w:ascii="Palatino Linotype" w:hAnsi="Palatino Linotype" w:cs="Tahoma"/>
          <w:bCs/>
          <w:i/>
          <w:szCs w:val="22"/>
        </w:rPr>
        <w:t xml:space="preserve">NO ME DAN INFORMACIÓN </w:t>
      </w:r>
      <w:r w:rsidR="00E55401" w:rsidRPr="00E11658">
        <w:rPr>
          <w:rFonts w:ascii="Palatino Linotype" w:hAnsi="Palatino Linotype" w:cs="Tahoma"/>
          <w:bCs/>
          <w:i/>
          <w:szCs w:val="22"/>
        </w:rPr>
        <w:t>"</w:t>
      </w:r>
    </w:p>
    <w:p w14:paraId="6D0FA259" w14:textId="77777777" w:rsidR="00CE2F19" w:rsidRPr="00E11658" w:rsidRDefault="00CE2F19" w:rsidP="0078217C">
      <w:pPr>
        <w:spacing w:line="360" w:lineRule="auto"/>
        <w:ind w:left="567" w:right="539"/>
        <w:contextualSpacing/>
        <w:jc w:val="both"/>
        <w:rPr>
          <w:rFonts w:ascii="Palatino Linotype" w:hAnsi="Palatino Linotype" w:cs="Tahoma"/>
          <w:bCs/>
          <w:szCs w:val="22"/>
        </w:rPr>
      </w:pPr>
    </w:p>
    <w:p w14:paraId="0BD40F58" w14:textId="77777777" w:rsidR="00CE2F19" w:rsidRPr="00E11658" w:rsidRDefault="00CE2F19" w:rsidP="0078217C">
      <w:pPr>
        <w:spacing w:line="360" w:lineRule="auto"/>
        <w:ind w:left="567" w:right="539"/>
        <w:contextualSpacing/>
        <w:jc w:val="both"/>
        <w:rPr>
          <w:rFonts w:ascii="Palatino Linotype" w:hAnsi="Palatino Linotype" w:cs="Tahoma"/>
          <w:b/>
          <w:bCs/>
          <w:szCs w:val="22"/>
        </w:rPr>
      </w:pPr>
      <w:r w:rsidRPr="00E11658">
        <w:rPr>
          <w:rFonts w:ascii="Palatino Linotype" w:hAnsi="Palatino Linotype" w:cs="Tahoma"/>
          <w:b/>
          <w:bCs/>
          <w:szCs w:val="22"/>
        </w:rPr>
        <w:t>RAZONES O MOTIVOS DE LA INCONFORMIDAD</w:t>
      </w:r>
    </w:p>
    <w:p w14:paraId="615D62BB" w14:textId="69AF4933" w:rsidR="00CE2F19" w:rsidRPr="00E11658" w:rsidRDefault="00CE2F19" w:rsidP="0078217C">
      <w:pPr>
        <w:spacing w:line="360" w:lineRule="auto"/>
        <w:ind w:left="567" w:right="539"/>
        <w:contextualSpacing/>
        <w:jc w:val="both"/>
        <w:rPr>
          <w:rFonts w:ascii="Palatino Linotype" w:hAnsi="Palatino Linotype" w:cs="Tahoma"/>
          <w:bCs/>
          <w:i/>
          <w:szCs w:val="24"/>
        </w:rPr>
      </w:pPr>
      <w:r w:rsidRPr="00E11658">
        <w:rPr>
          <w:rFonts w:ascii="Palatino Linotype" w:hAnsi="Palatino Linotype" w:cs="Tahoma"/>
          <w:bCs/>
          <w:i/>
          <w:szCs w:val="24"/>
        </w:rPr>
        <w:t>“</w:t>
      </w:r>
      <w:bookmarkStart w:id="8" w:name="_Hlk181699048"/>
      <w:r w:rsidR="004D2FE1" w:rsidRPr="00E11658">
        <w:rPr>
          <w:rFonts w:ascii="Palatino Linotype" w:hAnsi="Palatino Linotype" w:cs="Tahoma"/>
          <w:bCs/>
          <w:i/>
          <w:szCs w:val="24"/>
        </w:rPr>
        <w:t>NO ME DAN INFORMACIÓN</w:t>
      </w:r>
      <w:r w:rsidRPr="00E11658">
        <w:rPr>
          <w:rFonts w:ascii="Palatino Linotype" w:hAnsi="Palatino Linotype" w:cs="Tahoma"/>
          <w:bCs/>
          <w:i/>
          <w:szCs w:val="24"/>
        </w:rPr>
        <w:t>”</w:t>
      </w:r>
      <w:r w:rsidR="007E3047" w:rsidRPr="00E11658">
        <w:rPr>
          <w:rFonts w:ascii="Palatino Linotype" w:hAnsi="Palatino Linotype" w:cs="Tahoma"/>
          <w:bCs/>
          <w:i/>
          <w:szCs w:val="24"/>
        </w:rPr>
        <w:t xml:space="preserve"> </w:t>
      </w:r>
      <w:r w:rsidR="007E3047" w:rsidRPr="00E11658">
        <w:rPr>
          <w:rFonts w:ascii="Palatino Linotype" w:hAnsi="Palatino Linotype" w:cs="Tahoma"/>
          <w:bCs/>
          <w:i/>
          <w:szCs w:val="22"/>
        </w:rPr>
        <w:t>(Sic)</w:t>
      </w:r>
      <w:r w:rsidR="00D63A43" w:rsidRPr="00E11658">
        <w:rPr>
          <w:rFonts w:ascii="Palatino Linotype" w:hAnsi="Palatino Linotype" w:cs="Tahoma"/>
          <w:bCs/>
          <w:i/>
          <w:szCs w:val="22"/>
        </w:rPr>
        <w:t>.</w:t>
      </w:r>
    </w:p>
    <w:p w14:paraId="56A18FE0" w14:textId="77777777" w:rsidR="00342378" w:rsidRPr="00E11658" w:rsidRDefault="00342378" w:rsidP="0078217C">
      <w:pPr>
        <w:spacing w:line="360" w:lineRule="auto"/>
        <w:ind w:right="539"/>
        <w:contextualSpacing/>
        <w:jc w:val="both"/>
        <w:rPr>
          <w:rFonts w:ascii="Palatino Linotype" w:hAnsi="Palatino Linotype" w:cs="Tahoma"/>
          <w:bCs/>
          <w:i/>
          <w:szCs w:val="24"/>
        </w:rPr>
      </w:pPr>
    </w:p>
    <w:p w14:paraId="0F196C74" w14:textId="04981008" w:rsidR="009A7587" w:rsidRPr="00E11658" w:rsidRDefault="004D2FE1" w:rsidP="0078217C">
      <w:pPr>
        <w:pStyle w:val="Ttulo2"/>
        <w:spacing w:before="0"/>
        <w:rPr>
          <w:rFonts w:ascii="Palatino Linotype" w:eastAsia="Batang" w:hAnsi="Palatino Linotype" w:cs="Tahoma"/>
          <w:b/>
          <w:bCs/>
          <w:color w:val="auto"/>
          <w:sz w:val="22"/>
          <w:szCs w:val="22"/>
        </w:rPr>
      </w:pPr>
      <w:bookmarkStart w:id="9" w:name="_Toc212126688"/>
      <w:bookmarkEnd w:id="8"/>
      <w:r w:rsidRPr="00E11658">
        <w:rPr>
          <w:rStyle w:val="Ttulo2Car"/>
          <w:rFonts w:ascii="Palatino Linotype" w:hAnsi="Palatino Linotype"/>
          <w:b/>
          <w:color w:val="auto"/>
          <w:sz w:val="22"/>
          <w:szCs w:val="22"/>
        </w:rPr>
        <w:t>I</w:t>
      </w:r>
      <w:r w:rsidR="00FF1049" w:rsidRPr="00E11658">
        <w:rPr>
          <w:rStyle w:val="Ttulo2Car"/>
          <w:rFonts w:ascii="Palatino Linotype" w:hAnsi="Palatino Linotype"/>
          <w:b/>
          <w:color w:val="auto"/>
          <w:sz w:val="22"/>
          <w:szCs w:val="22"/>
        </w:rPr>
        <w:t>V</w:t>
      </w:r>
      <w:r w:rsidR="009A7587" w:rsidRPr="00E11658">
        <w:rPr>
          <w:rStyle w:val="Ttulo2Car"/>
          <w:rFonts w:ascii="Palatino Linotype" w:hAnsi="Palatino Linotype"/>
          <w:b/>
          <w:color w:val="auto"/>
          <w:sz w:val="22"/>
          <w:szCs w:val="22"/>
        </w:rPr>
        <w:t>. Trámite del Recurso de Revisión ante el Instituto</w:t>
      </w:r>
      <w:bookmarkEnd w:id="9"/>
    </w:p>
    <w:p w14:paraId="5D625D14" w14:textId="77777777" w:rsidR="007E4927" w:rsidRPr="00E11658" w:rsidRDefault="007E4927" w:rsidP="0078217C">
      <w:pPr>
        <w:spacing w:line="360" w:lineRule="auto"/>
        <w:contextualSpacing/>
        <w:jc w:val="both"/>
        <w:rPr>
          <w:rFonts w:ascii="Palatino Linotype" w:eastAsia="Batang" w:hAnsi="Palatino Linotype" w:cs="Tahoma"/>
          <w:b/>
          <w:bCs/>
          <w:sz w:val="22"/>
          <w:szCs w:val="22"/>
        </w:rPr>
      </w:pPr>
    </w:p>
    <w:p w14:paraId="2199B849" w14:textId="5C90B3F2" w:rsidR="00C950E3" w:rsidRPr="00E11658" w:rsidRDefault="009A7587" w:rsidP="0078217C">
      <w:pPr>
        <w:spacing w:line="360" w:lineRule="auto"/>
        <w:contextualSpacing/>
        <w:jc w:val="both"/>
        <w:rPr>
          <w:rFonts w:ascii="Palatino Linotype" w:eastAsia="Batang" w:hAnsi="Palatino Linotype" w:cs="Tahoma"/>
          <w:bCs/>
          <w:sz w:val="22"/>
          <w:szCs w:val="22"/>
        </w:rPr>
      </w:pPr>
      <w:bookmarkStart w:id="10" w:name="_Toc212126689"/>
      <w:r w:rsidRPr="00E11658">
        <w:rPr>
          <w:rStyle w:val="Ttulo3Car"/>
          <w:rFonts w:ascii="Palatino Linotype" w:hAnsi="Palatino Linotype"/>
          <w:b/>
          <w:color w:val="auto"/>
          <w:sz w:val="22"/>
          <w:szCs w:val="22"/>
        </w:rPr>
        <w:lastRenderedPageBreak/>
        <w:t>a) Turno del Recurso de Revisión</w:t>
      </w:r>
      <w:r w:rsidRPr="00E11658">
        <w:rPr>
          <w:rStyle w:val="Ttulo3Car"/>
          <w:rFonts w:ascii="Palatino Linotype" w:hAnsi="Palatino Linotype"/>
          <w:color w:val="auto"/>
          <w:sz w:val="22"/>
          <w:szCs w:val="22"/>
        </w:rPr>
        <w:t>.</w:t>
      </w:r>
      <w:bookmarkEnd w:id="10"/>
      <w:r w:rsidRPr="00E11658">
        <w:rPr>
          <w:rFonts w:ascii="Palatino Linotype" w:eastAsia="Batang" w:hAnsi="Palatino Linotype" w:cs="Tahoma"/>
          <w:b/>
          <w:bCs/>
          <w:sz w:val="22"/>
          <w:szCs w:val="22"/>
        </w:rPr>
        <w:t xml:space="preserve"> </w:t>
      </w:r>
      <w:r w:rsidR="00A06844" w:rsidRPr="00E11658">
        <w:rPr>
          <w:rFonts w:ascii="Palatino Linotype" w:eastAsia="Batang" w:hAnsi="Palatino Linotype" w:cs="Tahoma"/>
          <w:bCs/>
          <w:sz w:val="22"/>
          <w:szCs w:val="22"/>
        </w:rPr>
        <w:t xml:space="preserve">El </w:t>
      </w:r>
      <w:r w:rsidR="004D2FE1" w:rsidRPr="00E11658">
        <w:rPr>
          <w:rFonts w:ascii="Palatino Linotype" w:hAnsi="Palatino Linotype" w:cs="Tahoma"/>
          <w:sz w:val="22"/>
          <w:szCs w:val="22"/>
        </w:rPr>
        <w:t xml:space="preserve">veintisiete </w:t>
      </w:r>
      <w:r w:rsidR="004D2877" w:rsidRPr="00E11658">
        <w:rPr>
          <w:rFonts w:ascii="Palatino Linotype" w:hAnsi="Palatino Linotype" w:cs="Tahoma"/>
          <w:sz w:val="22"/>
          <w:szCs w:val="22"/>
        </w:rPr>
        <w:t>de marzo</w:t>
      </w:r>
      <w:r w:rsidR="00805163" w:rsidRPr="00E11658">
        <w:rPr>
          <w:rFonts w:ascii="Palatino Linotype" w:hAnsi="Palatino Linotype" w:cs="Tahoma"/>
          <w:sz w:val="22"/>
          <w:szCs w:val="22"/>
        </w:rPr>
        <w:t xml:space="preserve"> </w:t>
      </w:r>
      <w:r w:rsidR="00BF4B55" w:rsidRPr="00E11658">
        <w:rPr>
          <w:rFonts w:ascii="Palatino Linotype" w:hAnsi="Palatino Linotype" w:cs="Tahoma"/>
          <w:sz w:val="22"/>
          <w:szCs w:val="22"/>
        </w:rPr>
        <w:t>de dos mil veinticinco</w:t>
      </w:r>
      <w:r w:rsidR="00A06844" w:rsidRPr="00E11658">
        <w:rPr>
          <w:rFonts w:ascii="Palatino Linotype" w:eastAsia="Batang" w:hAnsi="Palatino Linotype" w:cs="Tahoma"/>
          <w:bCs/>
          <w:sz w:val="22"/>
          <w:szCs w:val="22"/>
        </w:rPr>
        <w:t xml:space="preserve">, </w:t>
      </w:r>
      <w:r w:rsidR="00D5699B" w:rsidRPr="00E11658">
        <w:rPr>
          <w:rFonts w:ascii="Palatino Linotype" w:eastAsia="Batang" w:hAnsi="Palatino Linotype" w:cs="Tahoma"/>
          <w:bCs/>
          <w:sz w:val="22"/>
          <w:szCs w:val="22"/>
        </w:rPr>
        <w:t xml:space="preserve">el </w:t>
      </w:r>
      <w:r w:rsidR="00BB1F81" w:rsidRPr="00E11658">
        <w:rPr>
          <w:rFonts w:ascii="Palatino Linotype" w:eastAsia="Batang" w:hAnsi="Palatino Linotype" w:cs="Tahoma"/>
          <w:bCs/>
          <w:sz w:val="22"/>
          <w:szCs w:val="22"/>
        </w:rPr>
        <w:t>SAIMEX</w:t>
      </w:r>
      <w:r w:rsidR="00D5699B" w:rsidRPr="00E11658">
        <w:rPr>
          <w:rFonts w:ascii="Palatino Linotype" w:eastAsia="Batang" w:hAnsi="Palatino Linotype" w:cs="Tahoma"/>
          <w:bCs/>
          <w:sz w:val="22"/>
          <w:szCs w:val="22"/>
        </w:rPr>
        <w:t xml:space="preserve">, asignó el número de expediente </w:t>
      </w:r>
      <w:r w:rsidR="004D2FE1" w:rsidRPr="00E11658">
        <w:rPr>
          <w:rFonts w:ascii="Palatino Linotype" w:eastAsia="Batang" w:hAnsi="Palatino Linotype" w:cs="Tahoma"/>
          <w:b/>
          <w:bCs/>
          <w:sz w:val="22"/>
          <w:szCs w:val="22"/>
        </w:rPr>
        <w:t>03586</w:t>
      </w:r>
      <w:r w:rsidR="00D5699B" w:rsidRPr="00E11658">
        <w:rPr>
          <w:rFonts w:ascii="Palatino Linotype" w:eastAsia="Batang" w:hAnsi="Palatino Linotype" w:cs="Tahoma"/>
          <w:b/>
          <w:bCs/>
          <w:sz w:val="22"/>
          <w:szCs w:val="22"/>
        </w:rPr>
        <w:t>/INFOEM/IP/RR/202</w:t>
      </w:r>
      <w:r w:rsidR="00BF4B55" w:rsidRPr="00E11658">
        <w:rPr>
          <w:rFonts w:ascii="Palatino Linotype" w:eastAsia="Batang" w:hAnsi="Palatino Linotype" w:cs="Tahoma"/>
          <w:b/>
          <w:bCs/>
          <w:sz w:val="22"/>
          <w:szCs w:val="22"/>
        </w:rPr>
        <w:t>5</w:t>
      </w:r>
      <w:r w:rsidR="00D5699B" w:rsidRPr="00E11658">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E11658">
        <w:rPr>
          <w:rFonts w:ascii="Palatino Linotype" w:eastAsia="Batang" w:hAnsi="Palatino Linotype" w:cs="Tahoma"/>
          <w:b/>
          <w:bCs/>
          <w:sz w:val="22"/>
          <w:szCs w:val="22"/>
        </w:rPr>
        <w:t>Comisionado Ponente Luis Gustavo Parra Noriega</w:t>
      </w:r>
      <w:r w:rsidR="00D5699B" w:rsidRPr="00E11658">
        <w:rPr>
          <w:rFonts w:ascii="Palatino Linotype" w:eastAsia="Batang" w:hAnsi="Palatino Linotype" w:cs="Tahoma"/>
          <w:bCs/>
          <w:sz w:val="22"/>
          <w:szCs w:val="22"/>
        </w:rPr>
        <w:t>, para los efectos del artículo 185, fracción I</w:t>
      </w:r>
      <w:r w:rsidR="00BB1F81" w:rsidRPr="00E11658">
        <w:rPr>
          <w:rFonts w:ascii="Palatino Linotype" w:eastAsia="Batang" w:hAnsi="Palatino Linotype" w:cs="Tahoma"/>
          <w:bCs/>
          <w:sz w:val="22"/>
          <w:szCs w:val="22"/>
        </w:rPr>
        <w:t>,</w:t>
      </w:r>
      <w:r w:rsidR="00D5699B" w:rsidRPr="00E11658">
        <w:rPr>
          <w:rFonts w:ascii="Palatino Linotype" w:eastAsia="Batang" w:hAnsi="Palatino Linotype" w:cs="Tahoma"/>
          <w:bCs/>
          <w:sz w:val="22"/>
          <w:szCs w:val="22"/>
        </w:rPr>
        <w:t xml:space="preserve"> de la Ley de Transparencia y Acceso a la Información Pública del Estado de México y Municipios.</w:t>
      </w:r>
    </w:p>
    <w:p w14:paraId="213F9134" w14:textId="77777777" w:rsidR="00D5699B" w:rsidRPr="00E11658" w:rsidRDefault="00D5699B" w:rsidP="0078217C">
      <w:pPr>
        <w:spacing w:line="360" w:lineRule="auto"/>
        <w:contextualSpacing/>
        <w:jc w:val="both"/>
        <w:rPr>
          <w:rFonts w:ascii="Palatino Linotype" w:eastAsia="Batang" w:hAnsi="Palatino Linotype" w:cs="Tahoma"/>
          <w:b/>
          <w:bCs/>
          <w:sz w:val="22"/>
          <w:szCs w:val="22"/>
        </w:rPr>
      </w:pPr>
    </w:p>
    <w:p w14:paraId="1EB232B6" w14:textId="737AD75C" w:rsidR="00253937" w:rsidRPr="00E11658" w:rsidRDefault="009A7587" w:rsidP="0078217C">
      <w:pPr>
        <w:spacing w:line="360" w:lineRule="auto"/>
        <w:contextualSpacing/>
        <w:jc w:val="both"/>
        <w:rPr>
          <w:rFonts w:ascii="Palatino Linotype" w:hAnsi="Palatino Linotype" w:cs="Tahoma"/>
          <w:bCs/>
          <w:sz w:val="22"/>
          <w:szCs w:val="22"/>
          <w:lang w:val="es-ES_tradnl"/>
        </w:rPr>
      </w:pPr>
      <w:bookmarkStart w:id="11" w:name="_Toc212126690"/>
      <w:r w:rsidRPr="00E11658">
        <w:rPr>
          <w:rStyle w:val="Ttulo3Car"/>
          <w:rFonts w:ascii="Palatino Linotype" w:hAnsi="Palatino Linotype"/>
          <w:b/>
          <w:color w:val="auto"/>
          <w:sz w:val="22"/>
          <w:szCs w:val="22"/>
        </w:rPr>
        <w:t>b) Admisión del Recurso de Revisión</w:t>
      </w:r>
      <w:r w:rsidRPr="00E11658">
        <w:rPr>
          <w:rStyle w:val="Ttulo3Car"/>
          <w:rFonts w:ascii="Palatino Linotype" w:hAnsi="Palatino Linotype"/>
          <w:color w:val="auto"/>
          <w:sz w:val="22"/>
          <w:szCs w:val="22"/>
        </w:rPr>
        <w:t>.</w:t>
      </w:r>
      <w:bookmarkEnd w:id="11"/>
      <w:r w:rsidRPr="00E11658">
        <w:rPr>
          <w:rFonts w:ascii="Palatino Linotype" w:eastAsia="Batang" w:hAnsi="Palatino Linotype" w:cs="Tahoma"/>
          <w:b/>
          <w:bCs/>
          <w:sz w:val="22"/>
          <w:szCs w:val="22"/>
          <w:lang w:val="es-ES_tradnl"/>
        </w:rPr>
        <w:t xml:space="preserve"> </w:t>
      </w:r>
      <w:r w:rsidRPr="00E11658">
        <w:rPr>
          <w:rFonts w:ascii="Palatino Linotype" w:hAnsi="Palatino Linotype" w:cs="Tahoma"/>
          <w:bCs/>
          <w:sz w:val="22"/>
          <w:szCs w:val="22"/>
        </w:rPr>
        <w:t>El</w:t>
      </w:r>
      <w:r w:rsidR="00EB3A2C" w:rsidRPr="00E11658">
        <w:rPr>
          <w:rFonts w:ascii="Palatino Linotype" w:hAnsi="Palatino Linotype" w:cs="Tahoma"/>
          <w:bCs/>
          <w:sz w:val="22"/>
          <w:szCs w:val="22"/>
        </w:rPr>
        <w:t xml:space="preserve"> </w:t>
      </w:r>
      <w:r w:rsidR="004D2FE1" w:rsidRPr="00E11658">
        <w:rPr>
          <w:rFonts w:ascii="Palatino Linotype" w:hAnsi="Palatino Linotype" w:cs="Tahoma"/>
          <w:bCs/>
          <w:sz w:val="22"/>
          <w:szCs w:val="22"/>
        </w:rPr>
        <w:t xml:space="preserve">primero de abril </w:t>
      </w:r>
      <w:r w:rsidR="00BF4B55" w:rsidRPr="00E11658">
        <w:rPr>
          <w:rFonts w:ascii="Palatino Linotype" w:hAnsi="Palatino Linotype" w:cs="Tahoma"/>
          <w:bCs/>
          <w:sz w:val="22"/>
          <w:szCs w:val="22"/>
        </w:rPr>
        <w:t>de dos mil veinticinco</w:t>
      </w:r>
      <w:r w:rsidRPr="00E11658">
        <w:rPr>
          <w:rFonts w:ascii="Palatino Linotype" w:hAnsi="Palatino Linotype" w:cs="Tahoma"/>
          <w:bCs/>
          <w:sz w:val="22"/>
          <w:szCs w:val="22"/>
        </w:rPr>
        <w:t xml:space="preserve">, </w:t>
      </w:r>
      <w:r w:rsidR="001F787A" w:rsidRPr="00E11658">
        <w:rPr>
          <w:rFonts w:ascii="Palatino Linotype" w:hAnsi="Palatino Linotype" w:cs="Tahoma"/>
          <w:bCs/>
          <w:sz w:val="22"/>
          <w:szCs w:val="22"/>
        </w:rPr>
        <w:t xml:space="preserve">se acordó la admisión del </w:t>
      </w:r>
      <w:r w:rsidR="001F787A" w:rsidRPr="00E11658">
        <w:rPr>
          <w:rFonts w:ascii="Palatino Linotype" w:hAnsi="Palatino Linotype" w:cs="Tahoma"/>
          <w:bCs/>
          <w:sz w:val="22"/>
          <w:szCs w:val="22"/>
          <w:lang w:val="es-ES_tradnl"/>
        </w:rPr>
        <w:t xml:space="preserve">Recurso de Revisión interpuesto por el Recurrente en contra del </w:t>
      </w:r>
      <w:r w:rsidR="001F787A" w:rsidRPr="00E11658">
        <w:rPr>
          <w:rFonts w:ascii="Palatino Linotype" w:hAnsi="Palatino Linotype" w:cs="Tahoma"/>
          <w:b/>
          <w:bCs/>
          <w:sz w:val="22"/>
          <w:szCs w:val="22"/>
          <w:lang w:val="es-ES_tradnl"/>
        </w:rPr>
        <w:t>Sujeto Obligado</w:t>
      </w:r>
      <w:r w:rsidR="001F787A" w:rsidRPr="00E11658">
        <w:rPr>
          <w:rFonts w:ascii="Palatino Linotype" w:hAnsi="Palatino Linotype" w:cs="Tahoma"/>
          <w:bCs/>
          <w:sz w:val="22"/>
          <w:szCs w:val="22"/>
          <w:lang w:val="es-ES_tradnl"/>
        </w:rPr>
        <w:t>, en términos del artículo 185, fracciones I, II y IV</w:t>
      </w:r>
      <w:r w:rsidR="00BB1F81" w:rsidRPr="00E11658">
        <w:rPr>
          <w:rFonts w:ascii="Palatino Linotype" w:hAnsi="Palatino Linotype" w:cs="Tahoma"/>
          <w:bCs/>
          <w:sz w:val="22"/>
          <w:szCs w:val="22"/>
          <w:lang w:val="es-ES_tradnl"/>
        </w:rPr>
        <w:t>,</w:t>
      </w:r>
      <w:r w:rsidR="001F787A" w:rsidRPr="00E11658">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E11658">
        <w:rPr>
          <w:rFonts w:ascii="Palatino Linotype" w:hAnsi="Palatino Linotype" w:cs="Tahoma"/>
          <w:bCs/>
          <w:sz w:val="22"/>
          <w:szCs w:val="22"/>
          <w:lang w:val="es-ES_tradnl"/>
        </w:rPr>
        <w:t>o a las partes el mismo día</w:t>
      </w:r>
      <w:r w:rsidR="001F787A" w:rsidRPr="00E11658">
        <w:rPr>
          <w:rFonts w:ascii="Palatino Linotype" w:hAnsi="Palatino Linotype" w:cs="Tahoma"/>
          <w:bCs/>
          <w:sz w:val="22"/>
          <w:szCs w:val="22"/>
          <w:lang w:val="es-ES_tradnl"/>
        </w:rPr>
        <w:t xml:space="preserve"> a través del </w:t>
      </w:r>
      <w:r w:rsidR="00BB1F81" w:rsidRPr="00E11658">
        <w:rPr>
          <w:rFonts w:ascii="Palatino Linotype" w:hAnsi="Palatino Linotype" w:cs="Tahoma"/>
          <w:bCs/>
          <w:sz w:val="22"/>
          <w:szCs w:val="22"/>
          <w:lang w:val="es-ES_tradnl"/>
        </w:rPr>
        <w:t>SAIMEX</w:t>
      </w:r>
      <w:r w:rsidR="001F787A" w:rsidRPr="00E11658">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35503A26" w14:textId="77777777" w:rsidR="00253937" w:rsidRPr="00E11658" w:rsidRDefault="00253937" w:rsidP="0078217C">
      <w:pPr>
        <w:spacing w:line="360" w:lineRule="auto"/>
        <w:contextualSpacing/>
        <w:jc w:val="both"/>
        <w:rPr>
          <w:rFonts w:ascii="Palatino Linotype" w:hAnsi="Palatino Linotype" w:cs="Tahoma"/>
          <w:bCs/>
          <w:sz w:val="22"/>
          <w:szCs w:val="22"/>
          <w:lang w:val="es-ES_tradnl"/>
        </w:rPr>
      </w:pPr>
    </w:p>
    <w:p w14:paraId="538EFA9A" w14:textId="421255F3" w:rsidR="00DF22DA" w:rsidRPr="00E11658" w:rsidRDefault="00DF22DA" w:rsidP="0078217C">
      <w:pPr>
        <w:spacing w:line="360" w:lineRule="auto"/>
        <w:jc w:val="both"/>
        <w:rPr>
          <w:rFonts w:ascii="Palatino Linotype" w:hAnsi="Palatino Linotype" w:cs="Tahoma"/>
          <w:sz w:val="22"/>
          <w:szCs w:val="22"/>
        </w:rPr>
      </w:pPr>
      <w:bookmarkStart w:id="12" w:name="_Toc190261913"/>
      <w:bookmarkStart w:id="13" w:name="_Toc196917717"/>
      <w:bookmarkStart w:id="14" w:name="_Toc212126691"/>
      <w:r w:rsidRPr="00E11658">
        <w:rPr>
          <w:rStyle w:val="Ttulo3Car"/>
          <w:rFonts w:ascii="Palatino Linotype" w:hAnsi="Palatino Linotype"/>
          <w:b/>
          <w:color w:val="auto"/>
          <w:sz w:val="22"/>
          <w:szCs w:val="22"/>
        </w:rPr>
        <w:t>c) Informe Justificado.</w:t>
      </w:r>
      <w:bookmarkEnd w:id="12"/>
      <w:bookmarkEnd w:id="13"/>
      <w:bookmarkEnd w:id="14"/>
      <w:r w:rsidR="004D2FE1" w:rsidRPr="00E11658">
        <w:rPr>
          <w:rFonts w:ascii="Palatino Linotype" w:eastAsia="Batang" w:hAnsi="Palatino Linotype" w:cs="Tahoma"/>
          <w:b/>
          <w:bCs/>
          <w:sz w:val="22"/>
          <w:szCs w:val="22"/>
          <w:lang w:val="es-ES_tradnl"/>
        </w:rPr>
        <w:t xml:space="preserve"> </w:t>
      </w:r>
      <w:r w:rsidR="004D2FE1" w:rsidRPr="00E11658">
        <w:rPr>
          <w:rFonts w:ascii="Palatino Linotype" w:eastAsia="Batang" w:hAnsi="Palatino Linotype" w:cs="Tahoma"/>
          <w:sz w:val="22"/>
          <w:szCs w:val="22"/>
          <w:lang w:val="es-ES_tradnl"/>
        </w:rPr>
        <w:t xml:space="preserve">El Sujeto Obligado fue omiso en realizar manifestaciones al igual que el Particular. </w:t>
      </w:r>
    </w:p>
    <w:p w14:paraId="2F30BFDC" w14:textId="77777777" w:rsidR="00EA2594" w:rsidRPr="00E11658" w:rsidRDefault="00EA2594" w:rsidP="0078217C">
      <w:pPr>
        <w:spacing w:line="360" w:lineRule="auto"/>
        <w:jc w:val="both"/>
        <w:rPr>
          <w:rFonts w:ascii="Palatino Linotype" w:hAnsi="Palatino Linotype" w:cs="Tahoma"/>
          <w:b/>
          <w:sz w:val="22"/>
          <w:szCs w:val="24"/>
        </w:rPr>
      </w:pPr>
    </w:p>
    <w:p w14:paraId="7C3D338F" w14:textId="1EFB6FAB" w:rsidR="00FE0087" w:rsidRPr="00E11658" w:rsidRDefault="004D2FE1" w:rsidP="0078217C">
      <w:pPr>
        <w:tabs>
          <w:tab w:val="left" w:pos="3261"/>
        </w:tabs>
        <w:spacing w:line="360" w:lineRule="auto"/>
        <w:contextualSpacing/>
        <w:jc w:val="both"/>
        <w:rPr>
          <w:rFonts w:ascii="Palatino Linotype" w:hAnsi="Palatino Linotype" w:cs="Tahoma"/>
          <w:sz w:val="22"/>
          <w:szCs w:val="22"/>
        </w:rPr>
      </w:pPr>
      <w:r w:rsidRPr="00E11658">
        <w:rPr>
          <w:rFonts w:ascii="Palatino Linotype" w:eastAsia="Batang" w:hAnsi="Palatino Linotype" w:cs="Tahoma"/>
          <w:b/>
          <w:sz w:val="22"/>
          <w:szCs w:val="22"/>
          <w:lang w:val="es-ES_tradnl"/>
        </w:rPr>
        <w:t>d</w:t>
      </w:r>
      <w:r w:rsidR="00FE0087" w:rsidRPr="00E11658">
        <w:rPr>
          <w:rFonts w:ascii="Palatino Linotype" w:eastAsia="Batang" w:hAnsi="Palatino Linotype" w:cs="Tahoma"/>
          <w:b/>
          <w:sz w:val="22"/>
          <w:szCs w:val="22"/>
          <w:lang w:val="es-ES_tradnl"/>
        </w:rPr>
        <w:t xml:space="preserve">) </w:t>
      </w:r>
      <w:r w:rsidR="00FE0087" w:rsidRPr="00E11658">
        <w:rPr>
          <w:rFonts w:ascii="Palatino Linotype" w:hAnsi="Palatino Linotype" w:cs="Tahoma"/>
          <w:b/>
          <w:bCs/>
          <w:sz w:val="22"/>
          <w:szCs w:val="22"/>
        </w:rPr>
        <w:t xml:space="preserve">Ampliación de plazo. </w:t>
      </w:r>
      <w:r w:rsidR="00FE0087" w:rsidRPr="00E11658">
        <w:rPr>
          <w:rFonts w:ascii="Palatino Linotype" w:hAnsi="Palatino Linotype" w:cs="Tahoma"/>
          <w:sz w:val="22"/>
          <w:szCs w:val="22"/>
        </w:rPr>
        <w:t xml:space="preserve">El </w:t>
      </w:r>
      <w:r w:rsidR="001E1668" w:rsidRPr="00E11658">
        <w:rPr>
          <w:rFonts w:ascii="Palatino Linotype" w:hAnsi="Palatino Linotype" w:cs="Tahoma"/>
          <w:sz w:val="22"/>
          <w:szCs w:val="22"/>
        </w:rPr>
        <w:t>veintiuno de octubre</w:t>
      </w:r>
      <w:r w:rsidR="00FE0087" w:rsidRPr="00E11658">
        <w:rPr>
          <w:rFonts w:ascii="Palatino Linotype" w:hAnsi="Palatino Linotype" w:cs="Tahoma"/>
          <w:sz w:val="22"/>
          <w:szCs w:val="22"/>
        </w:rPr>
        <w:t xml:space="preserve"> de dos mil veinticinco, el Comisionado Ponente con fundamento en lo dispuesto por el artículo 181, párrafo tercero, de la Ley de Transparencia y Acceso a la Información Pública del Estado de México y Municipios, acordó ampliar </w:t>
      </w:r>
      <w:r w:rsidR="001E1668" w:rsidRPr="00E11658">
        <w:rPr>
          <w:rFonts w:ascii="Palatino Linotype" w:hAnsi="Palatino Linotype" w:cs="Tahoma"/>
          <w:sz w:val="22"/>
          <w:szCs w:val="22"/>
        </w:rPr>
        <w:t xml:space="preserve">el plazo </w:t>
      </w:r>
      <w:r w:rsidR="00954EDD" w:rsidRPr="00E11658">
        <w:rPr>
          <w:rFonts w:ascii="Palatino Linotype" w:hAnsi="Palatino Linotype" w:cs="Tahoma"/>
          <w:sz w:val="22"/>
          <w:szCs w:val="22"/>
        </w:rPr>
        <w:t>días</w:t>
      </w:r>
      <w:r w:rsidR="00FE0087" w:rsidRPr="00E11658">
        <w:rPr>
          <w:rFonts w:ascii="Palatino Linotype" w:hAnsi="Palatino Linotype" w:cs="Tahoma"/>
          <w:sz w:val="22"/>
          <w:szCs w:val="22"/>
        </w:rPr>
        <w:t xml:space="preserve"> para resolver el Recurso de Revisión que nos ocupa; proveído que fue notificado a las partes mediante el SAIMEX.</w:t>
      </w:r>
    </w:p>
    <w:p w14:paraId="52EFF095" w14:textId="77777777" w:rsidR="001E1668" w:rsidRPr="00E11658" w:rsidRDefault="001E1668" w:rsidP="0078217C">
      <w:pPr>
        <w:tabs>
          <w:tab w:val="left" w:pos="3261"/>
        </w:tabs>
        <w:spacing w:line="360" w:lineRule="auto"/>
        <w:contextualSpacing/>
        <w:jc w:val="both"/>
        <w:rPr>
          <w:rFonts w:ascii="Palatino Linotype" w:hAnsi="Palatino Linotype" w:cs="Tahoma"/>
          <w:sz w:val="22"/>
          <w:szCs w:val="22"/>
        </w:rPr>
      </w:pPr>
    </w:p>
    <w:p w14:paraId="679DD5C2" w14:textId="6104A6F1" w:rsidR="00ED5DF5" w:rsidRPr="00E11658" w:rsidRDefault="004D2FE1" w:rsidP="0078217C">
      <w:pPr>
        <w:spacing w:line="360" w:lineRule="auto"/>
        <w:jc w:val="both"/>
        <w:rPr>
          <w:rFonts w:ascii="Palatino Linotype" w:hAnsi="Palatino Linotype" w:cs="Tahoma"/>
          <w:sz w:val="22"/>
          <w:szCs w:val="22"/>
        </w:rPr>
      </w:pPr>
      <w:bookmarkStart w:id="15" w:name="_Toc212126692"/>
      <w:r w:rsidRPr="00E11658">
        <w:rPr>
          <w:rStyle w:val="Ttulo3Car"/>
          <w:rFonts w:ascii="Palatino Linotype" w:hAnsi="Palatino Linotype"/>
          <w:b/>
          <w:color w:val="auto"/>
          <w:sz w:val="22"/>
          <w:szCs w:val="22"/>
        </w:rPr>
        <w:t>e</w:t>
      </w:r>
      <w:r w:rsidR="003B0501" w:rsidRPr="00E11658">
        <w:rPr>
          <w:rStyle w:val="Ttulo3Car"/>
          <w:rFonts w:ascii="Palatino Linotype" w:hAnsi="Palatino Linotype"/>
          <w:b/>
          <w:color w:val="auto"/>
          <w:sz w:val="22"/>
          <w:szCs w:val="22"/>
        </w:rPr>
        <w:t>)</w:t>
      </w:r>
      <w:r w:rsidR="00C3485C" w:rsidRPr="00E11658">
        <w:rPr>
          <w:rStyle w:val="Ttulo3Car"/>
          <w:rFonts w:ascii="Palatino Linotype" w:hAnsi="Palatino Linotype"/>
          <w:b/>
          <w:color w:val="auto"/>
          <w:sz w:val="22"/>
          <w:szCs w:val="22"/>
        </w:rPr>
        <w:t xml:space="preserve"> </w:t>
      </w:r>
      <w:r w:rsidR="00ED5DF5" w:rsidRPr="00E11658">
        <w:rPr>
          <w:rStyle w:val="Ttulo3Car"/>
          <w:rFonts w:ascii="Palatino Linotype" w:hAnsi="Palatino Linotype"/>
          <w:b/>
          <w:color w:val="auto"/>
          <w:sz w:val="22"/>
          <w:szCs w:val="22"/>
        </w:rPr>
        <w:t>Cierre de instrucción</w:t>
      </w:r>
      <w:bookmarkEnd w:id="15"/>
      <w:r w:rsidR="00ED5DF5" w:rsidRPr="00E11658">
        <w:rPr>
          <w:rFonts w:ascii="Palatino Linotype" w:hAnsi="Palatino Linotype" w:cs="Tahoma"/>
          <w:b/>
          <w:bCs/>
          <w:sz w:val="22"/>
          <w:szCs w:val="22"/>
        </w:rPr>
        <w:t xml:space="preserve">. </w:t>
      </w:r>
      <w:r w:rsidR="00ED5DF5" w:rsidRPr="00E11658">
        <w:rPr>
          <w:rFonts w:ascii="Palatino Linotype" w:hAnsi="Palatino Linotype" w:cs="Tahoma"/>
          <w:sz w:val="22"/>
          <w:szCs w:val="22"/>
        </w:rPr>
        <w:t>El</w:t>
      </w:r>
      <w:r w:rsidR="000F437A" w:rsidRPr="00E11658">
        <w:rPr>
          <w:rFonts w:ascii="Palatino Linotype" w:hAnsi="Palatino Linotype" w:cs="Tahoma"/>
          <w:sz w:val="22"/>
          <w:szCs w:val="22"/>
        </w:rPr>
        <w:t xml:space="preserve"> </w:t>
      </w:r>
      <w:r w:rsidR="001E1668" w:rsidRPr="00E11658">
        <w:rPr>
          <w:rFonts w:ascii="Palatino Linotype" w:hAnsi="Palatino Linotype" w:cs="Tahoma"/>
          <w:sz w:val="22"/>
          <w:szCs w:val="22"/>
        </w:rPr>
        <w:t>veintiuno de octubre</w:t>
      </w:r>
      <w:r w:rsidR="004D2877" w:rsidRPr="00E11658">
        <w:rPr>
          <w:rFonts w:ascii="Palatino Linotype" w:hAnsi="Palatino Linotype" w:cs="Tahoma"/>
          <w:sz w:val="22"/>
          <w:szCs w:val="22"/>
        </w:rPr>
        <w:t xml:space="preserve"> </w:t>
      </w:r>
      <w:r w:rsidR="00E95147" w:rsidRPr="00E11658">
        <w:rPr>
          <w:rFonts w:ascii="Palatino Linotype" w:hAnsi="Palatino Linotype" w:cs="Tahoma"/>
          <w:sz w:val="22"/>
          <w:szCs w:val="22"/>
        </w:rPr>
        <w:t>de dos mil veinti</w:t>
      </w:r>
      <w:r w:rsidR="00F93A36" w:rsidRPr="00E11658">
        <w:rPr>
          <w:rFonts w:ascii="Palatino Linotype" w:hAnsi="Palatino Linotype" w:cs="Tahoma"/>
          <w:sz w:val="22"/>
          <w:szCs w:val="22"/>
        </w:rPr>
        <w:t>c</w:t>
      </w:r>
      <w:r w:rsidR="009C323D" w:rsidRPr="00E11658">
        <w:rPr>
          <w:rFonts w:ascii="Palatino Linotype" w:hAnsi="Palatino Linotype" w:cs="Tahoma"/>
          <w:sz w:val="22"/>
          <w:szCs w:val="22"/>
        </w:rPr>
        <w:t>inco</w:t>
      </w:r>
      <w:r w:rsidR="00ED5DF5" w:rsidRPr="00E11658">
        <w:rPr>
          <w:rFonts w:ascii="Palatino Linotype" w:hAnsi="Palatino Linotype" w:cs="Tahoma"/>
          <w:sz w:val="22"/>
          <w:szCs w:val="22"/>
        </w:rPr>
        <w:t xml:space="preserve">, al no existir diligencias pendientes por desahogar, se emitió el acuerdo por medio del cual se declaró </w:t>
      </w:r>
      <w:r w:rsidR="00ED5DF5" w:rsidRPr="00E11658">
        <w:rPr>
          <w:rFonts w:ascii="Palatino Linotype" w:hAnsi="Palatino Linotype" w:cs="Tahoma"/>
          <w:sz w:val="22"/>
          <w:szCs w:val="22"/>
        </w:rPr>
        <w:lastRenderedPageBreak/>
        <w:t xml:space="preserve">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E11658">
        <w:rPr>
          <w:rFonts w:ascii="Palatino Linotype" w:hAnsi="Palatino Linotype" w:cs="Tahoma"/>
          <w:sz w:val="22"/>
          <w:szCs w:val="22"/>
        </w:rPr>
        <w:t>el mismo día</w:t>
      </w:r>
      <w:r w:rsidR="00ED5DF5" w:rsidRPr="00E11658">
        <w:rPr>
          <w:rFonts w:ascii="Palatino Linotype" w:hAnsi="Palatino Linotype" w:cs="Tahoma"/>
          <w:sz w:val="22"/>
          <w:szCs w:val="22"/>
        </w:rPr>
        <w:t xml:space="preserve">, a través del </w:t>
      </w:r>
      <w:r w:rsidR="00BB1F81" w:rsidRPr="00E11658">
        <w:rPr>
          <w:rFonts w:ascii="Palatino Linotype" w:hAnsi="Palatino Linotype" w:cs="Tahoma"/>
          <w:sz w:val="22"/>
          <w:szCs w:val="22"/>
          <w:lang w:val="es-ES"/>
        </w:rPr>
        <w:t>SAIMEX</w:t>
      </w:r>
      <w:r w:rsidR="00ED5DF5" w:rsidRPr="00E11658">
        <w:rPr>
          <w:rFonts w:ascii="Palatino Linotype" w:hAnsi="Palatino Linotype" w:cs="Tahoma"/>
          <w:sz w:val="22"/>
          <w:szCs w:val="22"/>
        </w:rPr>
        <w:t>.</w:t>
      </w:r>
    </w:p>
    <w:p w14:paraId="2D1E5AE1" w14:textId="77777777" w:rsidR="0079675C" w:rsidRPr="00E11658" w:rsidRDefault="0079675C" w:rsidP="0078217C">
      <w:pPr>
        <w:spacing w:line="360" w:lineRule="auto"/>
        <w:jc w:val="both"/>
        <w:rPr>
          <w:rFonts w:ascii="Palatino Linotype" w:hAnsi="Palatino Linotype" w:cs="Tahoma"/>
          <w:sz w:val="22"/>
          <w:szCs w:val="22"/>
        </w:rPr>
      </w:pPr>
    </w:p>
    <w:p w14:paraId="009136B2" w14:textId="77777777" w:rsidR="004F2D88" w:rsidRPr="00E11658" w:rsidRDefault="004F2D88" w:rsidP="0078217C">
      <w:pPr>
        <w:spacing w:line="360" w:lineRule="auto"/>
        <w:contextualSpacing/>
        <w:jc w:val="both"/>
        <w:rPr>
          <w:rFonts w:ascii="Palatino Linotype" w:hAnsi="Palatino Linotype" w:cs="Tahoma"/>
          <w:color w:val="000000"/>
          <w:sz w:val="22"/>
          <w:szCs w:val="22"/>
        </w:rPr>
      </w:pPr>
      <w:r w:rsidRPr="00E11658">
        <w:rPr>
          <w:rFonts w:ascii="Palatino Linotype" w:hAnsi="Palatino Linotype" w:cs="Tahoma"/>
          <w:color w:val="000000"/>
          <w:sz w:val="22"/>
          <w:szCs w:val="22"/>
        </w:rPr>
        <w:t xml:space="preserve">En </w:t>
      </w:r>
      <w:r w:rsidR="00367F82" w:rsidRPr="00E11658">
        <w:rPr>
          <w:rFonts w:ascii="Palatino Linotype" w:hAnsi="Palatino Linotype" w:cs="Tahoma"/>
          <w:color w:val="000000"/>
          <w:sz w:val="22"/>
          <w:szCs w:val="22"/>
        </w:rPr>
        <w:t>razón de que fue debidamente su</w:t>
      </w:r>
      <w:r w:rsidRPr="00E11658">
        <w:rPr>
          <w:rFonts w:ascii="Palatino Linotype" w:hAnsi="Palatino Linotype" w:cs="Tahoma"/>
          <w:color w:val="000000"/>
          <w:sz w:val="22"/>
          <w:szCs w:val="22"/>
        </w:rPr>
        <w:t xml:space="preserve">stanciado el expediente </w:t>
      </w:r>
      <w:r w:rsidR="00367F82" w:rsidRPr="00E11658">
        <w:rPr>
          <w:rFonts w:ascii="Palatino Linotype" w:hAnsi="Palatino Linotype" w:cs="Tahoma"/>
          <w:color w:val="000000"/>
          <w:sz w:val="22"/>
          <w:szCs w:val="22"/>
        </w:rPr>
        <w:t xml:space="preserve">electrónico </w:t>
      </w:r>
      <w:r w:rsidRPr="00E11658">
        <w:rPr>
          <w:rFonts w:ascii="Palatino Linotype" w:hAnsi="Palatino Linotype" w:cs="Tahoma"/>
          <w:color w:val="000000"/>
          <w:sz w:val="22"/>
          <w:szCs w:val="22"/>
        </w:rPr>
        <w:t>y no exist</w:t>
      </w:r>
      <w:r w:rsidR="00367F82" w:rsidRPr="00E11658">
        <w:rPr>
          <w:rFonts w:ascii="Palatino Linotype" w:hAnsi="Palatino Linotype" w:cs="Tahoma"/>
          <w:color w:val="000000"/>
          <w:sz w:val="22"/>
          <w:szCs w:val="22"/>
        </w:rPr>
        <w:t>e</w:t>
      </w:r>
      <w:r w:rsidRPr="00E11658">
        <w:rPr>
          <w:rFonts w:ascii="Palatino Linotype" w:hAnsi="Palatino Linotype" w:cs="Tahoma"/>
          <w:color w:val="000000"/>
          <w:sz w:val="22"/>
          <w:szCs w:val="22"/>
        </w:rPr>
        <w:t xml:space="preserve"> dilige</w:t>
      </w:r>
      <w:r w:rsidR="00367F82" w:rsidRPr="00E11658">
        <w:rPr>
          <w:rFonts w:ascii="Palatino Linotype" w:hAnsi="Palatino Linotype" w:cs="Tahoma"/>
          <w:color w:val="000000"/>
          <w:sz w:val="22"/>
          <w:szCs w:val="22"/>
        </w:rPr>
        <w:t xml:space="preserve">ncia pendiente de desahogo, se </w:t>
      </w:r>
      <w:r w:rsidRPr="00E11658">
        <w:rPr>
          <w:rFonts w:ascii="Palatino Linotype" w:hAnsi="Palatino Linotype" w:cs="Tahoma"/>
          <w:color w:val="000000"/>
          <w:sz w:val="22"/>
          <w:szCs w:val="22"/>
        </w:rPr>
        <w:t>emit</w:t>
      </w:r>
      <w:r w:rsidR="00367F82" w:rsidRPr="00E11658">
        <w:rPr>
          <w:rFonts w:ascii="Palatino Linotype" w:hAnsi="Palatino Linotype" w:cs="Tahoma"/>
          <w:color w:val="000000"/>
          <w:sz w:val="22"/>
          <w:szCs w:val="22"/>
        </w:rPr>
        <w:t>e</w:t>
      </w:r>
      <w:r w:rsidRPr="00E11658">
        <w:rPr>
          <w:rFonts w:ascii="Palatino Linotype" w:hAnsi="Palatino Linotype" w:cs="Tahoma"/>
          <w:color w:val="000000"/>
          <w:sz w:val="22"/>
          <w:szCs w:val="22"/>
        </w:rPr>
        <w:t xml:space="preserve"> la resolución que conforme a Derecho proceda, de acuerdo a l</w:t>
      </w:r>
      <w:r w:rsidR="009A620E" w:rsidRPr="00E11658">
        <w:rPr>
          <w:rFonts w:ascii="Palatino Linotype" w:hAnsi="Palatino Linotype" w:cs="Tahoma"/>
          <w:color w:val="000000"/>
          <w:sz w:val="22"/>
          <w:szCs w:val="22"/>
        </w:rPr>
        <w:t>o</w:t>
      </w:r>
      <w:r w:rsidRPr="00E11658">
        <w:rPr>
          <w:rFonts w:ascii="Palatino Linotype" w:hAnsi="Palatino Linotype" w:cs="Tahoma"/>
          <w:color w:val="000000"/>
          <w:sz w:val="22"/>
          <w:szCs w:val="22"/>
        </w:rPr>
        <w:t xml:space="preserve">s siguientes: </w:t>
      </w:r>
    </w:p>
    <w:p w14:paraId="5DEBECAE" w14:textId="77777777" w:rsidR="001C0C73" w:rsidRPr="00E11658" w:rsidRDefault="001C0C73" w:rsidP="0078217C">
      <w:pPr>
        <w:spacing w:line="360" w:lineRule="auto"/>
        <w:contextualSpacing/>
        <w:jc w:val="both"/>
        <w:rPr>
          <w:rFonts w:ascii="Palatino Linotype" w:hAnsi="Palatino Linotype" w:cs="Tahoma"/>
          <w:color w:val="000000"/>
          <w:sz w:val="22"/>
          <w:szCs w:val="22"/>
        </w:rPr>
      </w:pPr>
    </w:p>
    <w:p w14:paraId="3EE3BAE2" w14:textId="77777777" w:rsidR="00EA4E4A" w:rsidRPr="00E11658" w:rsidRDefault="00EA4E4A" w:rsidP="0078217C">
      <w:pPr>
        <w:pStyle w:val="Ttulo1"/>
        <w:spacing w:before="0"/>
        <w:jc w:val="center"/>
        <w:rPr>
          <w:rFonts w:ascii="Palatino Linotype" w:hAnsi="Palatino Linotype"/>
          <w:b/>
          <w:color w:val="auto"/>
          <w:sz w:val="22"/>
          <w:szCs w:val="22"/>
        </w:rPr>
      </w:pPr>
      <w:bookmarkStart w:id="16" w:name="_Toc212126693"/>
      <w:r w:rsidRPr="00E11658">
        <w:rPr>
          <w:rFonts w:ascii="Palatino Linotype" w:hAnsi="Palatino Linotype"/>
          <w:b/>
          <w:color w:val="auto"/>
          <w:sz w:val="22"/>
          <w:szCs w:val="22"/>
        </w:rPr>
        <w:t>C O N S I D E R A N D O S</w:t>
      </w:r>
      <w:bookmarkEnd w:id="16"/>
    </w:p>
    <w:p w14:paraId="41855614" w14:textId="77777777" w:rsidR="00EA4E4A" w:rsidRPr="00E11658" w:rsidRDefault="00EA4E4A" w:rsidP="0078217C">
      <w:pPr>
        <w:spacing w:line="360" w:lineRule="auto"/>
        <w:contextualSpacing/>
        <w:jc w:val="both"/>
        <w:rPr>
          <w:rFonts w:ascii="Palatino Linotype" w:hAnsi="Palatino Linotype" w:cs="Tahoma"/>
          <w:b/>
          <w:sz w:val="22"/>
          <w:szCs w:val="22"/>
        </w:rPr>
      </w:pPr>
    </w:p>
    <w:p w14:paraId="33441F46" w14:textId="77777777" w:rsidR="00EA4E4A" w:rsidRPr="00E11658" w:rsidRDefault="00EA4E4A" w:rsidP="0078217C">
      <w:pPr>
        <w:pStyle w:val="Ttulo2"/>
        <w:spacing w:before="0"/>
        <w:rPr>
          <w:rFonts w:ascii="Palatino Linotype" w:hAnsi="Palatino Linotype"/>
          <w:b/>
          <w:sz w:val="22"/>
          <w:szCs w:val="22"/>
        </w:rPr>
      </w:pPr>
      <w:bookmarkStart w:id="17" w:name="_Toc212126694"/>
      <w:r w:rsidRPr="00E11658">
        <w:rPr>
          <w:rFonts w:ascii="Palatino Linotype" w:eastAsia="Calibri" w:hAnsi="Palatino Linotype"/>
          <w:b/>
          <w:color w:val="auto"/>
          <w:sz w:val="22"/>
          <w:szCs w:val="22"/>
          <w:lang w:eastAsia="es-MX"/>
        </w:rPr>
        <w:t xml:space="preserve">PRIMERO. </w:t>
      </w:r>
      <w:r w:rsidRPr="00E11658">
        <w:rPr>
          <w:rFonts w:ascii="Palatino Linotype" w:hAnsi="Palatino Linotype"/>
          <w:b/>
          <w:color w:val="auto"/>
          <w:sz w:val="22"/>
          <w:szCs w:val="22"/>
        </w:rPr>
        <w:t>Competencia</w:t>
      </w:r>
      <w:bookmarkEnd w:id="17"/>
    </w:p>
    <w:p w14:paraId="57708A62" w14:textId="77777777" w:rsidR="00EA4E4A" w:rsidRPr="00E11658" w:rsidRDefault="00EA4E4A" w:rsidP="0078217C">
      <w:pPr>
        <w:autoSpaceDE w:val="0"/>
        <w:autoSpaceDN w:val="0"/>
        <w:adjustRightInd w:val="0"/>
        <w:spacing w:line="360" w:lineRule="auto"/>
        <w:contextualSpacing/>
        <w:jc w:val="both"/>
        <w:rPr>
          <w:rFonts w:ascii="Palatino Linotype" w:hAnsi="Palatino Linotype" w:cs="Tahoma"/>
          <w:b/>
          <w:sz w:val="22"/>
          <w:szCs w:val="22"/>
        </w:rPr>
      </w:pPr>
    </w:p>
    <w:p w14:paraId="1379B629" w14:textId="77777777" w:rsidR="005C0E48" w:rsidRPr="00E11658" w:rsidRDefault="005C0E48" w:rsidP="0078217C">
      <w:pPr>
        <w:spacing w:line="360" w:lineRule="auto"/>
        <w:jc w:val="both"/>
        <w:rPr>
          <w:rFonts w:ascii="Palatino Linotype" w:eastAsia="Calibri" w:hAnsi="Palatino Linotype" w:cs="Tahoma"/>
          <w:color w:val="000000"/>
          <w:sz w:val="22"/>
          <w:szCs w:val="22"/>
          <w:lang w:eastAsia="es-MX"/>
        </w:rPr>
      </w:pPr>
      <w:r w:rsidRPr="00E1165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1E1668" w:rsidRPr="00E11658">
        <w:rPr>
          <w:rFonts w:ascii="Palatino Linotype" w:eastAsia="Calibri" w:hAnsi="Palatino Linotype" w:cs="Tahoma"/>
          <w:color w:val="000000"/>
          <w:sz w:val="22"/>
          <w:szCs w:val="22"/>
          <w:lang w:eastAsia="es-MX"/>
        </w:rPr>
        <w:t>noveno</w:t>
      </w:r>
      <w:r w:rsidRPr="00E11658">
        <w:rPr>
          <w:rFonts w:ascii="Palatino Linotype" w:eastAsia="Calibri" w:hAnsi="Palatino Linotype" w:cs="Tahoma"/>
          <w:color w:val="000000"/>
          <w:sz w:val="22"/>
          <w:szCs w:val="22"/>
          <w:lang w:eastAsia="es-MX"/>
        </w:rPr>
        <w:t xml:space="preserve">, </w:t>
      </w:r>
      <w:r w:rsidR="001E1668" w:rsidRPr="00E11658">
        <w:rPr>
          <w:rFonts w:ascii="Palatino Linotype" w:eastAsia="Calibri" w:hAnsi="Palatino Linotype" w:cs="Tahoma"/>
          <w:color w:val="000000"/>
          <w:sz w:val="22"/>
          <w:szCs w:val="22"/>
          <w:lang w:eastAsia="es-MX"/>
        </w:rPr>
        <w:t>cuadra</w:t>
      </w:r>
      <w:r w:rsidRPr="00E11658">
        <w:rPr>
          <w:rFonts w:ascii="Palatino Linotype" w:eastAsia="Calibri" w:hAnsi="Palatino Linotype" w:cs="Tahoma"/>
          <w:color w:val="000000"/>
          <w:sz w:val="22"/>
          <w:szCs w:val="22"/>
          <w:lang w:eastAsia="es-MX"/>
        </w:rPr>
        <w:t xml:space="preserve">gésimo </w:t>
      </w:r>
      <w:r w:rsidR="001E1668" w:rsidRPr="00E11658">
        <w:rPr>
          <w:rFonts w:ascii="Palatino Linotype" w:eastAsia="Calibri" w:hAnsi="Palatino Linotype" w:cs="Tahoma"/>
          <w:color w:val="000000"/>
          <w:sz w:val="22"/>
          <w:szCs w:val="22"/>
          <w:lang w:eastAsia="es-MX"/>
        </w:rPr>
        <w:t>y cuadra</w:t>
      </w:r>
      <w:r w:rsidRPr="00E11658">
        <w:rPr>
          <w:rFonts w:ascii="Palatino Linotype" w:eastAsia="Calibri" w:hAnsi="Palatino Linotype" w:cs="Tahoma"/>
          <w:color w:val="000000"/>
          <w:sz w:val="22"/>
          <w:szCs w:val="22"/>
          <w:lang w:eastAsia="es-MX"/>
        </w:rPr>
        <w:t xml:space="preserve">gésimo </w:t>
      </w:r>
      <w:r w:rsidR="001E1668" w:rsidRPr="00E11658">
        <w:rPr>
          <w:rFonts w:ascii="Palatino Linotype" w:eastAsia="Calibri" w:hAnsi="Palatino Linotype" w:cs="Tahoma"/>
          <w:color w:val="000000"/>
          <w:sz w:val="22"/>
          <w:szCs w:val="22"/>
          <w:lang w:eastAsia="es-MX"/>
        </w:rPr>
        <w:t>primero</w:t>
      </w:r>
      <w:r w:rsidRPr="00E11658">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F4DED3B" w14:textId="77777777" w:rsidR="00F66601" w:rsidRPr="00E11658" w:rsidRDefault="00F66601" w:rsidP="0078217C">
      <w:pPr>
        <w:spacing w:line="360" w:lineRule="auto"/>
        <w:jc w:val="both"/>
        <w:rPr>
          <w:rFonts w:ascii="Palatino Linotype" w:hAnsi="Palatino Linotype" w:cs="Tahoma"/>
          <w:sz w:val="22"/>
          <w:szCs w:val="22"/>
          <w:shd w:val="clear" w:color="auto" w:fill="FFFFFF"/>
        </w:rPr>
      </w:pPr>
    </w:p>
    <w:p w14:paraId="2B92BBF6" w14:textId="77777777" w:rsidR="00CE0B4C" w:rsidRPr="00E11658" w:rsidRDefault="00CE0B4C" w:rsidP="0078217C">
      <w:pPr>
        <w:pStyle w:val="Ttulo2"/>
        <w:spacing w:before="0"/>
        <w:rPr>
          <w:rFonts w:ascii="Palatino Linotype" w:eastAsia="Calibri" w:hAnsi="Palatino Linotype"/>
          <w:b/>
          <w:color w:val="auto"/>
          <w:sz w:val="22"/>
          <w:szCs w:val="22"/>
          <w:lang w:eastAsia="es-MX"/>
        </w:rPr>
      </w:pPr>
      <w:bookmarkStart w:id="18" w:name="_Toc212126695"/>
      <w:r w:rsidRPr="00E11658">
        <w:rPr>
          <w:rFonts w:ascii="Palatino Linotype" w:eastAsia="Calibri" w:hAnsi="Palatino Linotype"/>
          <w:b/>
          <w:color w:val="auto"/>
          <w:sz w:val="22"/>
          <w:szCs w:val="22"/>
          <w:lang w:eastAsia="es-MX"/>
        </w:rPr>
        <w:t>SEGUNDO. Causales de improcedencia y sobreseimiento</w:t>
      </w:r>
      <w:bookmarkEnd w:id="18"/>
    </w:p>
    <w:p w14:paraId="3741A9CE" w14:textId="77777777" w:rsidR="00566562" w:rsidRPr="00E11658" w:rsidRDefault="00566562" w:rsidP="0078217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D1C0AB7" w14:textId="77777777" w:rsidR="00CE0B4C" w:rsidRPr="00E11658" w:rsidRDefault="00CE0B4C" w:rsidP="0078217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11658">
        <w:rPr>
          <w:rFonts w:ascii="Palatino Linotype" w:eastAsia="Calibri" w:hAnsi="Palatino Linotype"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7D4083D" w14:textId="77777777" w:rsidR="00CE0B4C" w:rsidRPr="00E11658" w:rsidRDefault="00CE0B4C" w:rsidP="0078217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C4CEC71" w14:textId="77777777" w:rsidR="00CE0B4C" w:rsidRPr="00E11658" w:rsidRDefault="00CE0B4C" w:rsidP="0078217C">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E11658">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E17948D" w14:textId="77777777" w:rsidR="00BF4B55" w:rsidRPr="00E11658" w:rsidRDefault="00BF4B55" w:rsidP="0078217C">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9AAB579" w14:textId="77777777" w:rsidR="00CE0B4C" w:rsidRPr="00E11658" w:rsidRDefault="00CE0B4C" w:rsidP="0078217C">
      <w:pPr>
        <w:pStyle w:val="Ttulo3"/>
        <w:spacing w:before="0"/>
        <w:rPr>
          <w:rFonts w:ascii="Palatino Linotype" w:eastAsia="Calibri" w:hAnsi="Palatino Linotype" w:cs="Arial"/>
          <w:b/>
          <w:color w:val="auto"/>
          <w:sz w:val="22"/>
          <w:szCs w:val="22"/>
          <w:lang w:eastAsia="es-ES_tradnl"/>
        </w:rPr>
      </w:pPr>
      <w:bookmarkStart w:id="19" w:name="_Toc212126696"/>
      <w:r w:rsidRPr="00E11658">
        <w:rPr>
          <w:rFonts w:ascii="Palatino Linotype" w:eastAsia="Calibri" w:hAnsi="Palatino Linotype" w:cs="Arial"/>
          <w:b/>
          <w:color w:val="auto"/>
          <w:sz w:val="22"/>
          <w:szCs w:val="22"/>
          <w:lang w:eastAsia="es-ES_tradnl"/>
        </w:rPr>
        <w:t>Causales de sobreseimiento</w:t>
      </w:r>
      <w:bookmarkEnd w:id="19"/>
    </w:p>
    <w:p w14:paraId="1500AB0A" w14:textId="77777777" w:rsidR="00CE0B4C" w:rsidRPr="00E11658" w:rsidRDefault="00CE0B4C" w:rsidP="0078217C">
      <w:pPr>
        <w:spacing w:line="360" w:lineRule="auto"/>
        <w:jc w:val="both"/>
        <w:rPr>
          <w:rFonts w:ascii="Palatino Linotype" w:eastAsia="Calibri" w:hAnsi="Palatino Linotype" w:cs="Tahoma"/>
          <w:sz w:val="22"/>
          <w:szCs w:val="22"/>
          <w:lang w:eastAsia="es-ES_tradnl"/>
        </w:rPr>
      </w:pPr>
    </w:p>
    <w:p w14:paraId="55AE6E6E" w14:textId="77777777" w:rsidR="00CE0B4C" w:rsidRPr="00E11658" w:rsidRDefault="00CE0B4C" w:rsidP="0078217C">
      <w:pPr>
        <w:spacing w:line="360" w:lineRule="auto"/>
        <w:jc w:val="both"/>
        <w:rPr>
          <w:rFonts w:ascii="Palatino Linotype" w:eastAsia="Calibri" w:hAnsi="Palatino Linotype" w:cs="Tahoma"/>
          <w:sz w:val="22"/>
          <w:szCs w:val="22"/>
          <w:lang w:eastAsia="es-ES_tradnl"/>
        </w:rPr>
      </w:pPr>
      <w:r w:rsidRPr="00E11658">
        <w:rPr>
          <w:rFonts w:ascii="Palatino Linotype" w:eastAsia="Calibri" w:hAnsi="Palatino Linotype" w:cs="Tahoma"/>
          <w:sz w:val="22"/>
          <w:szCs w:val="22"/>
          <w:lang w:eastAsia="es-ES_tradnl"/>
        </w:rPr>
        <w:t>Por lo que hace a las causales de sobreseimiento, del análisis realizado por este Instituto, se advierte que</w:t>
      </w:r>
      <w:r w:rsidRPr="00E11658">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E11658">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E11658">
        <w:rPr>
          <w:rFonts w:ascii="Palatino Linotype" w:eastAsia="Calibri" w:hAnsi="Palatino Linotype" w:cs="Tahoma"/>
          <w:bCs/>
          <w:sz w:val="22"/>
          <w:szCs w:val="22"/>
          <w:lang w:eastAsia="es-ES_tradnl"/>
        </w:rPr>
        <w:t xml:space="preserve">Por tales motivos, </w:t>
      </w:r>
      <w:r w:rsidRPr="00E11658">
        <w:rPr>
          <w:rFonts w:ascii="Palatino Linotype" w:eastAsia="Calibri" w:hAnsi="Palatino Linotype" w:cs="Tahoma"/>
          <w:sz w:val="22"/>
          <w:szCs w:val="22"/>
          <w:lang w:eastAsia="es-ES_tradnl"/>
        </w:rPr>
        <w:t xml:space="preserve">se considera procedente entrar al fondo del presente asunto. </w:t>
      </w:r>
    </w:p>
    <w:p w14:paraId="1FCF5CF6" w14:textId="77777777" w:rsidR="00472490" w:rsidRPr="00E11658" w:rsidRDefault="00472490" w:rsidP="0078217C">
      <w:pPr>
        <w:spacing w:line="360" w:lineRule="auto"/>
        <w:jc w:val="both"/>
        <w:rPr>
          <w:rFonts w:ascii="Palatino Linotype" w:eastAsia="Calibri" w:hAnsi="Palatino Linotype" w:cs="Tahoma"/>
          <w:sz w:val="22"/>
          <w:szCs w:val="22"/>
          <w:lang w:eastAsia="es-ES_tradnl"/>
        </w:rPr>
      </w:pPr>
    </w:p>
    <w:p w14:paraId="712E0B87" w14:textId="77777777" w:rsidR="00CE0B4C" w:rsidRPr="00E11658" w:rsidRDefault="00CE0B4C" w:rsidP="0078217C">
      <w:pPr>
        <w:pStyle w:val="Ttulo2"/>
        <w:spacing w:before="0"/>
        <w:rPr>
          <w:rFonts w:ascii="Palatino Linotype" w:eastAsia="Calibri" w:hAnsi="Palatino Linotype"/>
          <w:b/>
          <w:color w:val="auto"/>
          <w:sz w:val="22"/>
          <w:lang w:val="es-ES" w:eastAsia="es-ES_tradnl"/>
        </w:rPr>
      </w:pPr>
      <w:bookmarkStart w:id="20" w:name="_Toc212126697"/>
      <w:r w:rsidRPr="00E11658">
        <w:rPr>
          <w:rFonts w:ascii="Palatino Linotype" w:eastAsia="Calibri" w:hAnsi="Palatino Linotype"/>
          <w:b/>
          <w:color w:val="auto"/>
          <w:sz w:val="22"/>
          <w:lang w:eastAsia="es-ES_tradnl"/>
        </w:rPr>
        <w:t>TERCERO. Determinación de la Controversia</w:t>
      </w:r>
      <w:bookmarkEnd w:id="20"/>
    </w:p>
    <w:p w14:paraId="0E7D22CC" w14:textId="77777777" w:rsidR="00CE0B4C" w:rsidRPr="00E11658" w:rsidRDefault="00CE0B4C" w:rsidP="0078217C">
      <w:pPr>
        <w:tabs>
          <w:tab w:val="left" w:pos="4962"/>
        </w:tabs>
        <w:spacing w:line="360" w:lineRule="auto"/>
        <w:jc w:val="both"/>
        <w:rPr>
          <w:rFonts w:ascii="Palatino Linotype" w:eastAsia="Calibri" w:hAnsi="Palatino Linotype" w:cs="Tahoma"/>
          <w:b/>
          <w:iCs/>
          <w:sz w:val="22"/>
          <w:szCs w:val="22"/>
          <w:lang w:val="es-ES" w:eastAsia="es-ES_tradnl"/>
        </w:rPr>
      </w:pPr>
    </w:p>
    <w:p w14:paraId="22F027B1" w14:textId="18DB750D" w:rsidR="00741D0F" w:rsidRPr="00E11658" w:rsidRDefault="00CE0B4C" w:rsidP="0078217C">
      <w:pPr>
        <w:tabs>
          <w:tab w:val="left" w:pos="4962"/>
        </w:tabs>
        <w:spacing w:line="360" w:lineRule="auto"/>
        <w:jc w:val="both"/>
        <w:rPr>
          <w:rFonts w:ascii="Palatino Linotype" w:eastAsia="Calibri" w:hAnsi="Palatino Linotype" w:cs="Tahoma"/>
          <w:iCs/>
          <w:sz w:val="22"/>
          <w:szCs w:val="22"/>
          <w:lang w:val="es-ES" w:eastAsia="es-ES_tradnl"/>
        </w:rPr>
      </w:pPr>
      <w:r w:rsidRPr="00E11658">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E11658">
        <w:rPr>
          <w:rFonts w:ascii="Palatino Linotype" w:eastAsia="Calibri" w:hAnsi="Palatino Linotype" w:cs="Tahoma"/>
          <w:iCs/>
          <w:sz w:val="22"/>
          <w:szCs w:val="22"/>
          <w:lang w:val="es-ES" w:eastAsia="es-ES_tradnl"/>
        </w:rPr>
        <w:t xml:space="preserve">Particular </w:t>
      </w:r>
      <w:r w:rsidRPr="00E11658">
        <w:rPr>
          <w:rFonts w:ascii="Palatino Linotype" w:eastAsia="Calibri" w:hAnsi="Palatino Linotype" w:cs="Tahoma"/>
          <w:iCs/>
          <w:sz w:val="22"/>
          <w:szCs w:val="22"/>
          <w:lang w:val="es-ES" w:eastAsia="es-ES_tradnl"/>
        </w:rPr>
        <w:t>solicitó a</w:t>
      </w:r>
      <w:r w:rsidR="00212285" w:rsidRPr="00E11658">
        <w:rPr>
          <w:rFonts w:ascii="Palatino Linotype" w:eastAsia="Calibri" w:hAnsi="Palatino Linotype" w:cs="Tahoma"/>
          <w:iCs/>
          <w:sz w:val="22"/>
          <w:szCs w:val="22"/>
          <w:lang w:val="es-ES" w:eastAsia="es-ES_tradnl"/>
        </w:rPr>
        <w:t>l</w:t>
      </w:r>
      <w:r w:rsidR="0003473A" w:rsidRPr="00E11658">
        <w:rPr>
          <w:rFonts w:ascii="Palatino Linotype" w:eastAsia="Calibri" w:hAnsi="Palatino Linotype" w:cs="Tahoma"/>
          <w:iCs/>
          <w:sz w:val="22"/>
          <w:szCs w:val="22"/>
          <w:lang w:val="es-ES" w:eastAsia="es-ES_tradnl"/>
        </w:rPr>
        <w:t xml:space="preserve"> </w:t>
      </w:r>
      <w:r w:rsidR="004D2FE1" w:rsidRPr="00E11658">
        <w:rPr>
          <w:rFonts w:ascii="Palatino Linotype" w:eastAsia="Calibri" w:hAnsi="Palatino Linotype" w:cs="Tahoma"/>
          <w:iCs/>
          <w:sz w:val="22"/>
          <w:szCs w:val="22"/>
          <w:lang w:val="es-ES" w:eastAsia="es-ES_tradnl"/>
        </w:rPr>
        <w:t>Ayuntamiento de Hueypoxtla</w:t>
      </w:r>
      <w:r w:rsidRPr="00E11658">
        <w:rPr>
          <w:rFonts w:ascii="Palatino Linotype" w:eastAsia="Calibri" w:hAnsi="Palatino Linotype" w:cs="Tahoma"/>
          <w:iCs/>
          <w:sz w:val="22"/>
          <w:szCs w:val="22"/>
          <w:lang w:val="es-ES" w:eastAsia="es-ES_tradnl"/>
        </w:rPr>
        <w:t>,</w:t>
      </w:r>
      <w:r w:rsidR="002F32B4" w:rsidRPr="00E11658">
        <w:rPr>
          <w:rFonts w:ascii="Palatino Linotype" w:eastAsia="Calibri" w:hAnsi="Palatino Linotype" w:cs="Tahoma"/>
          <w:iCs/>
          <w:sz w:val="22"/>
          <w:szCs w:val="22"/>
          <w:lang w:val="es-ES" w:eastAsia="es-ES_tradnl"/>
        </w:rPr>
        <w:t xml:space="preserve"> las bases de datos que se generaron en el presente año de todas las áreas del Ayuntamiento.</w:t>
      </w:r>
    </w:p>
    <w:p w14:paraId="702DC789" w14:textId="77777777" w:rsidR="002F32B4" w:rsidRPr="00E11658" w:rsidRDefault="002F32B4" w:rsidP="0078217C">
      <w:pPr>
        <w:tabs>
          <w:tab w:val="left" w:pos="4962"/>
        </w:tabs>
        <w:spacing w:line="360" w:lineRule="auto"/>
        <w:jc w:val="both"/>
        <w:rPr>
          <w:rFonts w:ascii="Palatino Linotype" w:eastAsia="Calibri" w:hAnsi="Palatino Linotype" w:cs="Tahoma"/>
          <w:iCs/>
          <w:sz w:val="22"/>
          <w:szCs w:val="22"/>
          <w:lang w:val="es-ES" w:eastAsia="es-ES_tradnl"/>
        </w:rPr>
      </w:pPr>
    </w:p>
    <w:p w14:paraId="722F76FB" w14:textId="29DF13E9" w:rsidR="00A511BB" w:rsidRPr="00E11658" w:rsidRDefault="00993BF4" w:rsidP="0078217C">
      <w:pPr>
        <w:tabs>
          <w:tab w:val="left" w:pos="4962"/>
        </w:tabs>
        <w:spacing w:line="360" w:lineRule="auto"/>
        <w:jc w:val="both"/>
        <w:rPr>
          <w:rFonts w:ascii="Palatino Linotype" w:eastAsia="Calibri" w:hAnsi="Palatino Linotype" w:cs="Tahoma"/>
          <w:iCs/>
          <w:sz w:val="22"/>
          <w:szCs w:val="22"/>
          <w:lang w:val="es-ES" w:eastAsia="es-ES_tradnl"/>
        </w:rPr>
      </w:pPr>
      <w:r w:rsidRPr="00E11658">
        <w:rPr>
          <w:rFonts w:ascii="Palatino Linotype" w:eastAsia="Calibri" w:hAnsi="Palatino Linotype" w:cs="Tahoma"/>
          <w:iCs/>
          <w:sz w:val="22"/>
          <w:szCs w:val="22"/>
          <w:lang w:val="es-ES" w:eastAsia="es-ES_tradnl"/>
        </w:rPr>
        <w:t>E</w:t>
      </w:r>
      <w:r w:rsidR="0044640B" w:rsidRPr="00E11658">
        <w:rPr>
          <w:rFonts w:ascii="Palatino Linotype" w:eastAsia="Calibri" w:hAnsi="Palatino Linotype" w:cs="Tahoma"/>
          <w:iCs/>
          <w:sz w:val="22"/>
          <w:szCs w:val="22"/>
          <w:lang w:val="es-ES" w:eastAsia="es-ES_tradnl"/>
        </w:rPr>
        <w:t>n respuesta</w:t>
      </w:r>
      <w:r w:rsidR="007F34CB" w:rsidRPr="00E11658">
        <w:rPr>
          <w:rFonts w:ascii="Palatino Linotype" w:eastAsia="Calibri" w:hAnsi="Palatino Linotype" w:cs="Tahoma"/>
          <w:iCs/>
          <w:sz w:val="22"/>
          <w:szCs w:val="22"/>
          <w:lang w:val="es-ES" w:eastAsia="es-ES_tradnl"/>
        </w:rPr>
        <w:t>,</w:t>
      </w:r>
      <w:r w:rsidR="0044640B" w:rsidRPr="00E11658">
        <w:rPr>
          <w:rFonts w:ascii="Palatino Linotype" w:eastAsia="Calibri" w:hAnsi="Palatino Linotype" w:cs="Tahoma"/>
          <w:iCs/>
          <w:sz w:val="22"/>
          <w:szCs w:val="22"/>
          <w:lang w:val="es-ES" w:eastAsia="es-ES_tradnl"/>
        </w:rPr>
        <w:t xml:space="preserve"> el Sujeto Obligado</w:t>
      </w:r>
      <w:r w:rsidR="00743A0B" w:rsidRPr="00E11658">
        <w:rPr>
          <w:rFonts w:ascii="Palatino Linotype" w:eastAsia="Calibri" w:hAnsi="Palatino Linotype" w:cs="Tahoma"/>
          <w:iCs/>
          <w:sz w:val="22"/>
          <w:szCs w:val="22"/>
          <w:lang w:val="es-ES" w:eastAsia="es-ES_tradnl"/>
        </w:rPr>
        <w:t xml:space="preserve"> </w:t>
      </w:r>
      <w:r w:rsidR="00E12C42" w:rsidRPr="00E11658">
        <w:rPr>
          <w:rFonts w:ascii="Palatino Linotype" w:eastAsia="Calibri" w:hAnsi="Palatino Linotype" w:cs="Tahoma"/>
          <w:iCs/>
          <w:sz w:val="22"/>
          <w:szCs w:val="22"/>
          <w:lang w:val="es-ES" w:eastAsia="es-ES_tradnl"/>
        </w:rPr>
        <w:t>señaló</w:t>
      </w:r>
      <w:r w:rsidR="002F32B4" w:rsidRPr="00E11658">
        <w:rPr>
          <w:rFonts w:ascii="Palatino Linotype" w:eastAsia="Calibri" w:hAnsi="Palatino Linotype" w:cs="Tahoma"/>
          <w:iCs/>
          <w:sz w:val="22"/>
          <w:szCs w:val="22"/>
          <w:lang w:val="es-ES" w:eastAsia="es-ES_tradnl"/>
        </w:rPr>
        <w:t xml:space="preserve"> que la información se encontraba clasificada</w:t>
      </w:r>
      <w:r w:rsidR="0018547D" w:rsidRPr="00E11658">
        <w:rPr>
          <w:rFonts w:ascii="Palatino Linotype" w:eastAsia="Calibri" w:hAnsi="Palatino Linotype" w:cs="Tahoma"/>
          <w:iCs/>
          <w:sz w:val="22"/>
          <w:szCs w:val="22"/>
          <w:lang w:val="es-ES" w:eastAsia="es-ES_tradnl"/>
        </w:rPr>
        <w:t xml:space="preserve">, </w:t>
      </w:r>
      <w:r w:rsidR="0004574F" w:rsidRPr="00E11658">
        <w:rPr>
          <w:rFonts w:ascii="Palatino Linotype" w:eastAsia="Calibri" w:hAnsi="Palatino Linotype" w:cs="Tahoma"/>
          <w:iCs/>
          <w:sz w:val="22"/>
          <w:szCs w:val="22"/>
          <w:lang w:val="es-ES" w:eastAsia="es-ES_tradnl"/>
        </w:rPr>
        <w:t xml:space="preserve">derivado de ello </w:t>
      </w:r>
      <w:r w:rsidR="00114DD7" w:rsidRPr="00E11658">
        <w:rPr>
          <w:rFonts w:ascii="Palatino Linotype" w:eastAsia="Calibri" w:hAnsi="Palatino Linotype" w:cs="Tahoma"/>
          <w:iCs/>
          <w:sz w:val="22"/>
          <w:szCs w:val="22"/>
          <w:lang w:val="es-ES" w:eastAsia="es-ES_tradnl"/>
        </w:rPr>
        <w:t xml:space="preserve">el Particular </w:t>
      </w:r>
      <w:r w:rsidR="00556012" w:rsidRPr="00E11658">
        <w:rPr>
          <w:rFonts w:ascii="Palatino Linotype" w:eastAsia="Calibri" w:hAnsi="Palatino Linotype" w:cs="Tahoma"/>
          <w:iCs/>
          <w:sz w:val="22"/>
          <w:szCs w:val="22"/>
          <w:lang w:val="es-ES" w:eastAsia="es-ES_tradnl"/>
        </w:rPr>
        <w:t xml:space="preserve">se inconformó por </w:t>
      </w:r>
      <w:r w:rsidR="002F32B4" w:rsidRPr="00E11658">
        <w:rPr>
          <w:rFonts w:ascii="Palatino Linotype" w:eastAsia="Calibri" w:hAnsi="Palatino Linotype" w:cs="Tahoma"/>
          <w:iCs/>
          <w:sz w:val="22"/>
          <w:szCs w:val="22"/>
          <w:lang w:val="es-ES" w:eastAsia="es-ES_tradnl"/>
        </w:rPr>
        <w:t>tal clasificación</w:t>
      </w:r>
      <w:r w:rsidR="00556012" w:rsidRPr="00E11658">
        <w:rPr>
          <w:rFonts w:ascii="Palatino Linotype" w:eastAsia="Calibri" w:hAnsi="Palatino Linotype" w:cs="Tahoma"/>
          <w:iCs/>
          <w:sz w:val="22"/>
          <w:szCs w:val="22"/>
          <w:lang w:val="es-ES" w:eastAsia="es-ES_tradnl"/>
        </w:rPr>
        <w:t xml:space="preserve">, </w:t>
      </w:r>
      <w:r w:rsidR="00120425" w:rsidRPr="00E11658">
        <w:rPr>
          <w:rFonts w:ascii="Palatino Linotype" w:eastAsia="Calibri" w:hAnsi="Palatino Linotype" w:cs="Tahoma"/>
          <w:bCs/>
          <w:sz w:val="22"/>
          <w:szCs w:val="22"/>
          <w:lang w:val="es-ES_tradnl" w:eastAsia="en-US"/>
        </w:rPr>
        <w:t xml:space="preserve">así </w:t>
      </w:r>
      <w:r w:rsidR="00A511BB" w:rsidRPr="00E11658">
        <w:rPr>
          <w:rFonts w:ascii="Palatino Linotype" w:eastAsia="Calibri" w:hAnsi="Palatino Linotype" w:cs="Tahoma"/>
          <w:color w:val="000000"/>
          <w:sz w:val="22"/>
          <w:szCs w:val="22"/>
        </w:rPr>
        <w:t xml:space="preserve">en el asunto que nos ocupa se actualiza la causal de procedencia señalada en el </w:t>
      </w:r>
      <w:r w:rsidR="00A511BB" w:rsidRPr="00E11658">
        <w:rPr>
          <w:rFonts w:ascii="Palatino Linotype" w:eastAsia="Calibri" w:hAnsi="Palatino Linotype" w:cs="Tahoma"/>
          <w:sz w:val="22"/>
          <w:szCs w:val="22"/>
        </w:rPr>
        <w:t xml:space="preserve">artículo 179, </w:t>
      </w:r>
      <w:r w:rsidR="005638D9" w:rsidRPr="00E11658">
        <w:rPr>
          <w:rFonts w:ascii="Palatino Linotype" w:eastAsia="Calibri" w:hAnsi="Palatino Linotype" w:cs="Tahoma"/>
          <w:sz w:val="22"/>
          <w:szCs w:val="22"/>
        </w:rPr>
        <w:t xml:space="preserve">fracción </w:t>
      </w:r>
      <w:r w:rsidR="002F32B4" w:rsidRPr="00E11658">
        <w:rPr>
          <w:rFonts w:ascii="Palatino Linotype" w:eastAsia="Calibri" w:hAnsi="Palatino Linotype" w:cs="Tahoma"/>
          <w:sz w:val="22"/>
          <w:szCs w:val="22"/>
        </w:rPr>
        <w:t>I</w:t>
      </w:r>
      <w:r w:rsidR="004C6801" w:rsidRPr="00E11658">
        <w:rPr>
          <w:rFonts w:ascii="Palatino Linotype" w:eastAsia="Calibri" w:hAnsi="Palatino Linotype" w:cs="Tahoma"/>
          <w:sz w:val="22"/>
          <w:szCs w:val="22"/>
        </w:rPr>
        <w:t>I</w:t>
      </w:r>
      <w:r w:rsidR="00E52703" w:rsidRPr="00E11658">
        <w:rPr>
          <w:rFonts w:ascii="Palatino Linotype" w:eastAsia="Calibri" w:hAnsi="Palatino Linotype" w:cs="Tahoma"/>
          <w:sz w:val="22"/>
          <w:szCs w:val="22"/>
        </w:rPr>
        <w:t>,</w:t>
      </w:r>
      <w:r w:rsidR="00A511BB" w:rsidRPr="00E11658">
        <w:rPr>
          <w:rFonts w:ascii="Palatino Linotype" w:eastAsia="Calibri" w:hAnsi="Palatino Linotype" w:cs="Tahoma"/>
          <w:sz w:val="22"/>
          <w:szCs w:val="22"/>
        </w:rPr>
        <w:t xml:space="preserve"> de la Ley de la materia</w:t>
      </w:r>
      <w:r w:rsidR="00A511BB" w:rsidRPr="00E11658">
        <w:rPr>
          <w:rFonts w:ascii="Palatino Linotype" w:eastAsia="Calibri" w:hAnsi="Palatino Linotype" w:cs="Tahoma"/>
          <w:bCs/>
          <w:sz w:val="22"/>
          <w:szCs w:val="22"/>
        </w:rPr>
        <w:t>.</w:t>
      </w:r>
    </w:p>
    <w:p w14:paraId="21F4788A" w14:textId="77777777" w:rsidR="00CE0B4C" w:rsidRPr="00E11658" w:rsidRDefault="00CE0B4C" w:rsidP="0078217C">
      <w:pPr>
        <w:tabs>
          <w:tab w:val="left" w:pos="4962"/>
        </w:tabs>
        <w:spacing w:line="360" w:lineRule="auto"/>
        <w:jc w:val="both"/>
        <w:rPr>
          <w:rFonts w:ascii="Palatino Linotype" w:eastAsia="Calibri" w:hAnsi="Palatino Linotype" w:cs="Tahoma"/>
          <w:b/>
          <w:iCs/>
          <w:sz w:val="22"/>
          <w:szCs w:val="22"/>
          <w:lang w:val="es-ES" w:eastAsia="es-ES_tradnl"/>
        </w:rPr>
      </w:pPr>
    </w:p>
    <w:p w14:paraId="3AC11BA0" w14:textId="77777777" w:rsidR="00571944" w:rsidRPr="00E11658" w:rsidRDefault="00CE0B4C" w:rsidP="0078217C">
      <w:pPr>
        <w:tabs>
          <w:tab w:val="left" w:pos="4962"/>
        </w:tabs>
        <w:spacing w:line="360" w:lineRule="auto"/>
        <w:jc w:val="both"/>
        <w:rPr>
          <w:rFonts w:ascii="Palatino Linotype" w:eastAsia="Calibri" w:hAnsi="Palatino Linotype" w:cs="Tahoma"/>
          <w:iCs/>
          <w:sz w:val="22"/>
          <w:szCs w:val="22"/>
          <w:lang w:eastAsia="es-ES_tradnl"/>
        </w:rPr>
      </w:pPr>
      <w:r w:rsidRPr="00E11658">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D4DACA2" w14:textId="77777777" w:rsidR="00FF5303" w:rsidRPr="00E11658" w:rsidRDefault="00FF5303" w:rsidP="0078217C">
      <w:pPr>
        <w:tabs>
          <w:tab w:val="left" w:pos="4962"/>
        </w:tabs>
        <w:spacing w:line="360" w:lineRule="auto"/>
        <w:jc w:val="both"/>
        <w:rPr>
          <w:rFonts w:ascii="Palatino Linotype" w:eastAsia="Calibri" w:hAnsi="Palatino Linotype" w:cs="Tahoma"/>
          <w:iCs/>
          <w:sz w:val="22"/>
          <w:szCs w:val="22"/>
          <w:lang w:eastAsia="es-ES_tradnl"/>
        </w:rPr>
      </w:pPr>
    </w:p>
    <w:p w14:paraId="47E47EB8" w14:textId="77777777" w:rsidR="00CE0B4C" w:rsidRPr="00E11658" w:rsidRDefault="00CE0B4C" w:rsidP="0078217C">
      <w:pPr>
        <w:pStyle w:val="Ttulo2"/>
        <w:spacing w:before="0"/>
        <w:jc w:val="both"/>
        <w:rPr>
          <w:rFonts w:ascii="Palatino Linotype" w:eastAsia="Calibri" w:hAnsi="Palatino Linotype" w:cs="Arial"/>
          <w:b/>
          <w:color w:val="auto"/>
          <w:sz w:val="22"/>
          <w:lang w:eastAsia="es-ES_tradnl"/>
        </w:rPr>
      </w:pPr>
      <w:bookmarkStart w:id="21" w:name="_Toc212126698"/>
      <w:r w:rsidRPr="00E11658">
        <w:rPr>
          <w:rFonts w:ascii="Palatino Linotype" w:eastAsia="Calibri" w:hAnsi="Palatino Linotype" w:cs="Arial"/>
          <w:b/>
          <w:color w:val="auto"/>
          <w:sz w:val="22"/>
          <w:lang w:eastAsia="es-ES_tradnl"/>
        </w:rPr>
        <w:t>CUARTO. Marco normativo aplicable en materia de transparencia y acceso a la información pública</w:t>
      </w:r>
      <w:bookmarkEnd w:id="21"/>
    </w:p>
    <w:p w14:paraId="23DE37B4" w14:textId="77777777" w:rsidR="00CE0B4C" w:rsidRPr="00E11658" w:rsidRDefault="00CE0B4C" w:rsidP="0078217C">
      <w:pPr>
        <w:spacing w:line="360" w:lineRule="auto"/>
        <w:contextualSpacing/>
        <w:jc w:val="both"/>
        <w:rPr>
          <w:rFonts w:ascii="Palatino Linotype" w:hAnsi="Palatino Linotype" w:cs="Tahoma"/>
          <w:sz w:val="22"/>
          <w:szCs w:val="22"/>
        </w:rPr>
      </w:pPr>
    </w:p>
    <w:p w14:paraId="1F0BCC95" w14:textId="77777777" w:rsidR="00CE0B4C" w:rsidRPr="00E11658" w:rsidRDefault="00CE0B4C" w:rsidP="0078217C">
      <w:pPr>
        <w:widowControl w:val="0"/>
        <w:spacing w:line="360" w:lineRule="auto"/>
        <w:contextualSpacing/>
        <w:jc w:val="both"/>
        <w:rPr>
          <w:rFonts w:ascii="Palatino Linotype" w:hAnsi="Palatino Linotype" w:cs="Tahoma"/>
          <w:sz w:val="22"/>
          <w:szCs w:val="22"/>
        </w:rPr>
      </w:pPr>
      <w:r w:rsidRPr="00E11658">
        <w:rPr>
          <w:rFonts w:ascii="Palatino Linotype" w:hAnsi="Palatino Linotype" w:cs="Tahoma"/>
          <w:sz w:val="22"/>
          <w:szCs w:val="22"/>
        </w:rPr>
        <w:t>El artículo 6°, Apartado A), fracción I</w:t>
      </w:r>
      <w:r w:rsidR="00D63A43" w:rsidRPr="00E11658">
        <w:rPr>
          <w:rFonts w:ascii="Palatino Linotype" w:hAnsi="Palatino Linotype" w:cs="Tahoma"/>
          <w:sz w:val="22"/>
          <w:szCs w:val="22"/>
        </w:rPr>
        <w:t>,</w:t>
      </w:r>
      <w:r w:rsidRPr="00E11658">
        <w:rPr>
          <w:rFonts w:ascii="Palatino Linotype" w:hAnsi="Palatino Linotype" w:cs="Tahoma"/>
          <w:sz w:val="22"/>
          <w:szCs w:val="22"/>
        </w:rPr>
        <w:t xml:space="preserve"> de la Constitución Política de los Estados Unidos Mexicanos, establece que toda la información en posesión de cualquier </w:t>
      </w:r>
      <w:r w:rsidR="005A1884" w:rsidRPr="00E11658">
        <w:rPr>
          <w:rFonts w:ascii="Palatino Linotype" w:hAnsi="Palatino Linotype" w:cs="Tahoma"/>
          <w:sz w:val="22"/>
          <w:szCs w:val="22"/>
        </w:rPr>
        <w:t>autoridad</w:t>
      </w:r>
      <w:r w:rsidRPr="00E11658">
        <w:rPr>
          <w:rFonts w:ascii="Palatino Linotype" w:hAnsi="Palatino Linotype" w:cs="Tahoma"/>
          <w:sz w:val="22"/>
          <w:szCs w:val="22"/>
        </w:rPr>
        <w:t xml:space="preserve"> es pública y sólo podrá ser reservada temporalmente por razones de interés público.</w:t>
      </w:r>
    </w:p>
    <w:p w14:paraId="22B441F4" w14:textId="77777777" w:rsidR="00CE0B4C" w:rsidRPr="00E11658" w:rsidRDefault="00CE0B4C" w:rsidP="0078217C">
      <w:pPr>
        <w:spacing w:line="360" w:lineRule="auto"/>
        <w:contextualSpacing/>
        <w:jc w:val="both"/>
        <w:rPr>
          <w:rFonts w:ascii="Palatino Linotype" w:hAnsi="Palatino Linotype" w:cs="Tahoma"/>
          <w:sz w:val="22"/>
          <w:szCs w:val="22"/>
        </w:rPr>
      </w:pPr>
    </w:p>
    <w:p w14:paraId="7852EE9A" w14:textId="77777777" w:rsidR="00CE0B4C" w:rsidRPr="00E11658" w:rsidRDefault="00CE0B4C" w:rsidP="0078217C">
      <w:pPr>
        <w:spacing w:line="360" w:lineRule="auto"/>
        <w:jc w:val="both"/>
        <w:rPr>
          <w:rFonts w:ascii="Palatino Linotype" w:hAnsi="Palatino Linotype" w:cs="Tahoma"/>
          <w:sz w:val="22"/>
          <w:szCs w:val="22"/>
        </w:rPr>
      </w:pPr>
      <w:r w:rsidRPr="00E11658">
        <w:rPr>
          <w:rFonts w:ascii="Palatino Linotype" w:hAnsi="Palatino Linotype" w:cs="Tahoma"/>
          <w:sz w:val="22"/>
          <w:szCs w:val="22"/>
        </w:rPr>
        <w:t>En materia local, el artículo 5°, fracción I</w:t>
      </w:r>
      <w:r w:rsidR="00002CF8" w:rsidRPr="00E11658">
        <w:rPr>
          <w:rFonts w:ascii="Palatino Linotype" w:hAnsi="Palatino Linotype" w:cs="Tahoma"/>
          <w:sz w:val="22"/>
          <w:szCs w:val="22"/>
        </w:rPr>
        <w:t>,</w:t>
      </w:r>
      <w:r w:rsidRPr="00E11658">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w:t>
      </w:r>
      <w:r w:rsidRPr="00E11658">
        <w:rPr>
          <w:rFonts w:ascii="Palatino Linotype" w:hAnsi="Palatino Linotype" w:cs="Tahoma"/>
          <w:sz w:val="22"/>
          <w:szCs w:val="22"/>
        </w:rPr>
        <w:lastRenderedPageBreak/>
        <w:t>información referente a la intimidad de la vida privada y la imagen de las personas, con las excepciones que establezca la ley reglamentaria.</w:t>
      </w:r>
    </w:p>
    <w:p w14:paraId="2098764B" w14:textId="77777777" w:rsidR="00CE0B4C" w:rsidRPr="00E11658" w:rsidRDefault="00CE0B4C" w:rsidP="0078217C">
      <w:pPr>
        <w:spacing w:line="360" w:lineRule="auto"/>
        <w:jc w:val="both"/>
        <w:rPr>
          <w:rFonts w:ascii="Palatino Linotype" w:hAnsi="Palatino Linotype" w:cs="Tahoma"/>
          <w:sz w:val="22"/>
          <w:szCs w:val="22"/>
        </w:rPr>
      </w:pPr>
    </w:p>
    <w:p w14:paraId="13FEE7E7" w14:textId="77777777" w:rsidR="00CE0B4C" w:rsidRPr="00E11658" w:rsidRDefault="00CE0B4C" w:rsidP="0078217C">
      <w:pPr>
        <w:spacing w:line="360" w:lineRule="auto"/>
        <w:jc w:val="both"/>
        <w:rPr>
          <w:rFonts w:ascii="Palatino Linotype" w:hAnsi="Palatino Linotype" w:cs="Tahoma"/>
          <w:sz w:val="22"/>
          <w:szCs w:val="22"/>
        </w:rPr>
      </w:pPr>
      <w:r w:rsidRPr="00E1165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513356D" w14:textId="77777777" w:rsidR="00CE0B4C" w:rsidRPr="00E11658" w:rsidRDefault="00CE0B4C" w:rsidP="0078217C">
      <w:pPr>
        <w:spacing w:line="360" w:lineRule="auto"/>
        <w:jc w:val="both"/>
        <w:rPr>
          <w:rFonts w:ascii="Palatino Linotype" w:hAnsi="Palatino Linotype" w:cs="Tahoma"/>
          <w:sz w:val="22"/>
          <w:szCs w:val="22"/>
        </w:rPr>
      </w:pPr>
    </w:p>
    <w:p w14:paraId="3CF56C64" w14:textId="77777777" w:rsidR="00CE0B4C" w:rsidRPr="00E11658" w:rsidRDefault="00CE0B4C" w:rsidP="0078217C">
      <w:pPr>
        <w:spacing w:line="360" w:lineRule="auto"/>
        <w:jc w:val="both"/>
        <w:rPr>
          <w:rFonts w:ascii="Palatino Linotype" w:hAnsi="Palatino Linotype" w:cs="Tahoma"/>
          <w:sz w:val="22"/>
          <w:szCs w:val="22"/>
        </w:rPr>
      </w:pPr>
      <w:r w:rsidRPr="00E11658">
        <w:rPr>
          <w:rFonts w:ascii="Palatino Linotype" w:hAnsi="Palatino Linotype" w:cs="Tahoma"/>
          <w:sz w:val="22"/>
          <w:szCs w:val="22"/>
        </w:rPr>
        <w:t>El artículo 12, que, quienes generen, recopilen, administren, manejen, procesen, archiven o conserven información pública serán responsables de la misma.</w:t>
      </w:r>
    </w:p>
    <w:p w14:paraId="2E4C1158" w14:textId="77777777" w:rsidR="00EF5683" w:rsidRPr="00E11658" w:rsidRDefault="00EF5683" w:rsidP="0078217C">
      <w:pPr>
        <w:spacing w:line="360" w:lineRule="auto"/>
        <w:jc w:val="both"/>
        <w:rPr>
          <w:rFonts w:ascii="Palatino Linotype" w:hAnsi="Palatino Linotype" w:cs="Tahoma"/>
          <w:sz w:val="22"/>
          <w:szCs w:val="22"/>
        </w:rPr>
      </w:pPr>
    </w:p>
    <w:p w14:paraId="37422EB7" w14:textId="77777777" w:rsidR="00CE0B4C" w:rsidRPr="00E11658" w:rsidRDefault="00CE0B4C" w:rsidP="0078217C">
      <w:pPr>
        <w:spacing w:line="360" w:lineRule="auto"/>
        <w:jc w:val="both"/>
        <w:rPr>
          <w:rFonts w:ascii="Palatino Linotype" w:hAnsi="Palatino Linotype" w:cs="Tahoma"/>
          <w:sz w:val="22"/>
          <w:szCs w:val="22"/>
        </w:rPr>
      </w:pPr>
      <w:r w:rsidRPr="00E11658">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10702D8" w14:textId="77777777" w:rsidR="005C0E48" w:rsidRPr="00E11658" w:rsidRDefault="005C0E48" w:rsidP="0078217C">
      <w:pPr>
        <w:spacing w:line="360" w:lineRule="auto"/>
        <w:jc w:val="both"/>
        <w:rPr>
          <w:rFonts w:ascii="Palatino Linotype" w:hAnsi="Palatino Linotype" w:cs="Tahoma"/>
          <w:sz w:val="22"/>
          <w:szCs w:val="22"/>
        </w:rPr>
      </w:pPr>
    </w:p>
    <w:p w14:paraId="0504BC37" w14:textId="77777777" w:rsidR="00CE0B4C" w:rsidRPr="00E11658" w:rsidRDefault="00CE0B4C" w:rsidP="0078217C">
      <w:pPr>
        <w:spacing w:line="360" w:lineRule="auto"/>
        <w:jc w:val="both"/>
        <w:rPr>
          <w:rFonts w:ascii="Palatino Linotype" w:hAnsi="Palatino Linotype" w:cs="Tahoma"/>
          <w:sz w:val="22"/>
          <w:szCs w:val="22"/>
        </w:rPr>
      </w:pPr>
      <w:r w:rsidRPr="00E11658">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B52FBF" w14:textId="77777777" w:rsidR="00EA1A4A" w:rsidRPr="00E11658" w:rsidRDefault="00EA1A4A" w:rsidP="0078217C">
      <w:pPr>
        <w:spacing w:line="360" w:lineRule="auto"/>
        <w:jc w:val="both"/>
        <w:rPr>
          <w:rFonts w:ascii="Palatino Linotype" w:hAnsi="Palatino Linotype" w:cs="Tahoma"/>
          <w:sz w:val="22"/>
          <w:szCs w:val="22"/>
        </w:rPr>
      </w:pPr>
    </w:p>
    <w:p w14:paraId="3EF58657" w14:textId="77777777" w:rsidR="00CE0B4C" w:rsidRPr="00E11658" w:rsidRDefault="00CE0B4C" w:rsidP="0078217C">
      <w:pPr>
        <w:pStyle w:val="Ttulo2"/>
        <w:spacing w:before="0"/>
        <w:rPr>
          <w:rFonts w:ascii="Palatino Linotype" w:hAnsi="Palatino Linotype"/>
          <w:b/>
          <w:color w:val="auto"/>
          <w:sz w:val="22"/>
          <w:lang w:val="es-ES"/>
        </w:rPr>
      </w:pPr>
      <w:bookmarkStart w:id="22" w:name="_Toc212126699"/>
      <w:r w:rsidRPr="00E11658">
        <w:rPr>
          <w:rFonts w:ascii="Palatino Linotype" w:eastAsia="Calibri" w:hAnsi="Palatino Linotype"/>
          <w:b/>
          <w:color w:val="auto"/>
          <w:sz w:val="22"/>
          <w:lang w:eastAsia="es-ES_tradnl"/>
        </w:rPr>
        <w:t>QUINTO. Estudio de Fondo</w:t>
      </w:r>
      <w:bookmarkEnd w:id="22"/>
    </w:p>
    <w:p w14:paraId="6C2F8AE3" w14:textId="77777777" w:rsidR="00040101" w:rsidRPr="00E11658" w:rsidRDefault="00040101" w:rsidP="0078217C">
      <w:pPr>
        <w:spacing w:line="360" w:lineRule="auto"/>
        <w:ind w:right="-93"/>
        <w:jc w:val="both"/>
        <w:rPr>
          <w:rFonts w:ascii="Palatino Linotype" w:hAnsi="Palatino Linotype" w:cs="Tahoma"/>
          <w:b/>
          <w:sz w:val="22"/>
          <w:szCs w:val="22"/>
          <w:lang w:val="es-ES"/>
        </w:rPr>
      </w:pPr>
    </w:p>
    <w:p w14:paraId="76F00F5D" w14:textId="77777777" w:rsidR="00605837" w:rsidRPr="00E11658" w:rsidRDefault="00605837" w:rsidP="0078217C">
      <w:pPr>
        <w:spacing w:line="360" w:lineRule="auto"/>
        <w:jc w:val="both"/>
        <w:rPr>
          <w:rFonts w:ascii="Palatino Linotype" w:hAnsi="Palatino Linotype" w:cs="Tahoma"/>
          <w:sz w:val="22"/>
          <w:szCs w:val="22"/>
        </w:rPr>
      </w:pPr>
      <w:r w:rsidRPr="00E11658">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 </w:t>
      </w:r>
    </w:p>
    <w:p w14:paraId="728A4803" w14:textId="77777777" w:rsidR="00605837" w:rsidRPr="00E11658" w:rsidRDefault="00605837" w:rsidP="0078217C">
      <w:pPr>
        <w:spacing w:line="360" w:lineRule="auto"/>
        <w:jc w:val="both"/>
        <w:rPr>
          <w:rFonts w:ascii="Palatino Linotype" w:hAnsi="Palatino Linotype" w:cs="Tahoma"/>
          <w:sz w:val="22"/>
          <w:szCs w:val="22"/>
        </w:rPr>
      </w:pPr>
    </w:p>
    <w:p w14:paraId="743F744A" w14:textId="72304820" w:rsidR="00C15720" w:rsidRPr="00E11658" w:rsidRDefault="00C15720" w:rsidP="0078217C">
      <w:pPr>
        <w:spacing w:line="360" w:lineRule="auto"/>
        <w:jc w:val="both"/>
        <w:rPr>
          <w:rFonts w:ascii="Palatino Linotype" w:hAnsi="Palatino Linotype" w:cs="Tahoma"/>
          <w:sz w:val="22"/>
          <w:szCs w:val="22"/>
        </w:rPr>
      </w:pPr>
      <w:r w:rsidRPr="00E11658">
        <w:rPr>
          <w:rFonts w:ascii="Palatino Linotype" w:hAnsi="Palatino Linotype" w:cs="Tahoma"/>
          <w:sz w:val="22"/>
          <w:szCs w:val="22"/>
        </w:rPr>
        <w:lastRenderedPageBreak/>
        <w:t xml:space="preserve">En un principio sobre </w:t>
      </w:r>
      <w:r w:rsidR="00E81184" w:rsidRPr="00E11658">
        <w:rPr>
          <w:rFonts w:ascii="Palatino Linotype" w:hAnsi="Palatino Linotype" w:cs="Tahoma"/>
          <w:sz w:val="22"/>
          <w:szCs w:val="22"/>
        </w:rPr>
        <w:t>lo solicitado, conviene realizar el siguiente análisis,</w:t>
      </w:r>
      <w:r w:rsidRPr="00E11658">
        <w:rPr>
          <w:rFonts w:ascii="Palatino Linotype" w:hAnsi="Palatino Linotype" w:cs="Tahoma"/>
          <w:sz w:val="22"/>
          <w:szCs w:val="22"/>
        </w:rPr>
        <w:t xml:space="preserve"> conforme el artículo 48 de la Ley de Protección de Datos Personales </w:t>
      </w:r>
      <w:r w:rsidR="004C1F5C" w:rsidRPr="00E11658">
        <w:rPr>
          <w:rFonts w:ascii="Palatino Linotype" w:hAnsi="Palatino Linotype" w:cs="Tahoma"/>
          <w:sz w:val="22"/>
          <w:szCs w:val="22"/>
        </w:rPr>
        <w:t>en Posesión de Sujetos Obligados del Estado de México y Municipios</w:t>
      </w:r>
      <w:r w:rsidRPr="00E11658">
        <w:rPr>
          <w:rFonts w:ascii="Palatino Linotype" w:hAnsi="Palatino Linotype" w:cs="Tahoma"/>
          <w:sz w:val="22"/>
          <w:szCs w:val="22"/>
        </w:rPr>
        <w:t xml:space="preserve">, el documento de seguridad es de observancia obligatoria para los responsables, encargados y demás personas que realizan algún tipo de tratamiento a los datos personales, </w:t>
      </w:r>
      <w:r w:rsidRPr="00E11658">
        <w:rPr>
          <w:rFonts w:ascii="Palatino Linotype" w:hAnsi="Palatino Linotype" w:cs="Tahoma"/>
          <w:b/>
          <w:sz w:val="22"/>
          <w:szCs w:val="22"/>
        </w:rPr>
        <w:t xml:space="preserve">y a elección del sujeto obligado, éste podrá ser único e incluir todos los sistemas y bases de datos personales que posea, </w:t>
      </w:r>
      <w:r w:rsidRPr="00E11658">
        <w:rPr>
          <w:rFonts w:ascii="Palatino Linotype" w:hAnsi="Palatino Linotype" w:cs="Tahoma"/>
          <w:sz w:val="22"/>
          <w:szCs w:val="22"/>
        </w:rPr>
        <w:t>por unidad administrativa en que se incluyan los sistemas y bases de datos personales en custodia, individualizado para cada sistema, o mixto.</w:t>
      </w:r>
    </w:p>
    <w:p w14:paraId="415D298D" w14:textId="77777777" w:rsidR="00C15720" w:rsidRPr="00E11658" w:rsidRDefault="00C15720" w:rsidP="0078217C">
      <w:pPr>
        <w:spacing w:line="360" w:lineRule="auto"/>
        <w:jc w:val="both"/>
        <w:rPr>
          <w:rFonts w:ascii="Palatino Linotype" w:hAnsi="Palatino Linotype" w:cs="Tahoma"/>
          <w:sz w:val="22"/>
          <w:szCs w:val="22"/>
        </w:rPr>
      </w:pPr>
    </w:p>
    <w:p w14:paraId="2E0FEB01" w14:textId="1B9270E8" w:rsidR="00C15720" w:rsidRPr="00E11658" w:rsidRDefault="00C15720" w:rsidP="0078217C">
      <w:pPr>
        <w:spacing w:line="360" w:lineRule="auto"/>
        <w:jc w:val="both"/>
        <w:rPr>
          <w:rFonts w:ascii="Palatino Linotype" w:hAnsi="Palatino Linotype" w:cs="Tahoma"/>
          <w:sz w:val="22"/>
          <w:szCs w:val="22"/>
        </w:rPr>
      </w:pPr>
      <w:r w:rsidRPr="00E11658">
        <w:rPr>
          <w:rFonts w:ascii="Palatino Linotype" w:hAnsi="Palatino Linotype" w:cs="Tahoma"/>
          <w:sz w:val="22"/>
          <w:szCs w:val="22"/>
        </w:rPr>
        <w:t xml:space="preserve">Asimismo, es pertinente mencionar que conforme a lo dispuesto en el artículo 49 de la Ley </w:t>
      </w:r>
      <w:r w:rsidR="004C1F5C" w:rsidRPr="00E11658">
        <w:rPr>
          <w:rFonts w:ascii="Palatino Linotype" w:hAnsi="Palatino Linotype" w:cs="Tahoma"/>
          <w:sz w:val="22"/>
          <w:szCs w:val="22"/>
        </w:rPr>
        <w:t>referida</w:t>
      </w:r>
      <w:r w:rsidRPr="00E11658">
        <w:rPr>
          <w:rFonts w:ascii="Palatino Linotype" w:hAnsi="Palatino Linotype" w:cs="Tahoma"/>
          <w:sz w:val="22"/>
          <w:szCs w:val="22"/>
        </w:rPr>
        <w:t>, el documento de seguridad debe contener, como mínimo, lo referente a</w:t>
      </w:r>
      <w:r w:rsidR="004C1F5C" w:rsidRPr="00E11658">
        <w:rPr>
          <w:rFonts w:ascii="Palatino Linotype" w:hAnsi="Palatino Linotype" w:cs="Tahoma"/>
          <w:sz w:val="22"/>
          <w:szCs w:val="22"/>
        </w:rPr>
        <w:t>:</w:t>
      </w:r>
    </w:p>
    <w:p w14:paraId="33B7449B" w14:textId="77777777" w:rsidR="00C15720" w:rsidRPr="00E11658" w:rsidRDefault="00C15720" w:rsidP="0078217C">
      <w:pPr>
        <w:spacing w:line="360" w:lineRule="auto"/>
        <w:jc w:val="both"/>
        <w:rPr>
          <w:rFonts w:ascii="Palatino Linotype" w:hAnsi="Palatino Linotype" w:cs="Tahoma"/>
          <w:sz w:val="22"/>
          <w:szCs w:val="22"/>
        </w:rPr>
      </w:pPr>
    </w:p>
    <w:p w14:paraId="18CFAD7A" w14:textId="77777777" w:rsidR="00C15720" w:rsidRPr="00E11658" w:rsidRDefault="00C15720" w:rsidP="0078217C">
      <w:pPr>
        <w:spacing w:line="360" w:lineRule="auto"/>
        <w:jc w:val="both"/>
        <w:rPr>
          <w:rFonts w:ascii="Palatino Linotype" w:hAnsi="Palatino Linotype" w:cs="Tahoma"/>
          <w:sz w:val="22"/>
          <w:szCs w:val="22"/>
        </w:rPr>
      </w:pPr>
      <w:r w:rsidRPr="00E11658">
        <w:rPr>
          <w:rFonts w:ascii="Palatino Linotype" w:hAnsi="Palatino Linotype" w:cs="Tahoma"/>
          <w:b/>
          <w:sz w:val="22"/>
          <w:szCs w:val="22"/>
        </w:rPr>
        <w:t>I. Sistemas de Datos Personales:</w:t>
      </w:r>
      <w:r w:rsidRPr="00E11658">
        <w:rPr>
          <w:rFonts w:ascii="Palatino Linotype" w:hAnsi="Palatino Linotype" w:cs="Tahoma"/>
          <w:sz w:val="22"/>
          <w:szCs w:val="22"/>
        </w:rPr>
        <w:t xml:space="preserve"> a) el nombre, </w:t>
      </w:r>
      <w:r w:rsidRPr="00E11658">
        <w:rPr>
          <w:rFonts w:ascii="Palatino Linotype" w:hAnsi="Palatino Linotype" w:cs="Tahoma"/>
          <w:b/>
          <w:sz w:val="22"/>
          <w:szCs w:val="22"/>
        </w:rPr>
        <w:t>b) el nombre, cargo y adscripción del administrador de cada sistema y base de datos, c) las funciones y obligaciones del responsable o encargados y todas la personas que traten datos personales, d) el folio del registro del sistema y base de datos,</w:t>
      </w:r>
      <w:r w:rsidRPr="00E11658">
        <w:rPr>
          <w:rFonts w:ascii="Palatino Linotype" w:hAnsi="Palatino Linotype" w:cs="Tahoma"/>
          <w:sz w:val="22"/>
          <w:szCs w:val="22"/>
        </w:rPr>
        <w:t xml:space="preserve"> e) el inventario o especificación detallada del tipo de datos personales y f) la estructura y descripción de los sistemas y bases de datos personales, en las que deberá precisar y describir el tipo de soporte y características del lugar donde se resguardan.</w:t>
      </w:r>
    </w:p>
    <w:p w14:paraId="723ED984" w14:textId="77777777" w:rsidR="00C15720" w:rsidRPr="00E11658" w:rsidRDefault="00C15720" w:rsidP="0078217C">
      <w:pPr>
        <w:spacing w:line="360" w:lineRule="auto"/>
        <w:jc w:val="both"/>
        <w:rPr>
          <w:rFonts w:ascii="Palatino Linotype" w:hAnsi="Palatino Linotype" w:cs="Tahoma"/>
          <w:sz w:val="22"/>
          <w:szCs w:val="22"/>
        </w:rPr>
      </w:pPr>
    </w:p>
    <w:p w14:paraId="702B7FA2" w14:textId="77777777" w:rsidR="00C15720" w:rsidRPr="00E11658" w:rsidRDefault="00C15720" w:rsidP="0078217C">
      <w:pPr>
        <w:spacing w:line="360" w:lineRule="auto"/>
        <w:jc w:val="both"/>
        <w:rPr>
          <w:rFonts w:ascii="Palatino Linotype" w:hAnsi="Palatino Linotype" w:cs="Tahoma"/>
          <w:sz w:val="22"/>
          <w:szCs w:val="22"/>
        </w:rPr>
      </w:pPr>
      <w:r w:rsidRPr="00E11658">
        <w:rPr>
          <w:rFonts w:ascii="Palatino Linotype" w:hAnsi="Palatino Linotype" w:cs="Tahoma"/>
          <w:b/>
          <w:bCs/>
          <w:sz w:val="22"/>
          <w:szCs w:val="22"/>
        </w:rPr>
        <w:t>II</w:t>
      </w:r>
      <w:r w:rsidRPr="00E11658">
        <w:rPr>
          <w:rFonts w:ascii="Palatino Linotype" w:hAnsi="Palatino Linotype" w:cs="Tahoma"/>
          <w:sz w:val="22"/>
          <w:szCs w:val="22"/>
        </w:rPr>
        <w:t xml:space="preserve">. </w:t>
      </w:r>
      <w:r w:rsidRPr="00E11658">
        <w:rPr>
          <w:rFonts w:ascii="Palatino Linotype" w:hAnsi="Palatino Linotype" w:cs="Tahoma"/>
          <w:b/>
          <w:sz w:val="22"/>
          <w:szCs w:val="22"/>
        </w:rPr>
        <w:t>Las Medidas de Seguridad implementadas, como son</w:t>
      </w:r>
      <w:r w:rsidRPr="00E11658">
        <w:rPr>
          <w:rFonts w:ascii="Palatino Linotype" w:hAnsi="Palatino Linotype" w:cs="Tahoma"/>
          <w:sz w:val="22"/>
          <w:szCs w:val="22"/>
        </w:rPr>
        <w:t>: a) transferencia y remisiones, b) resguardo de soportes físicos y electrónicos, c) bitácoras para accesos, operación cotidiana y violaciones a la seguridad de los datos personales, d) el análisis de riesgos, e) el análisis de brecha, f) Gestión de incidentes, g) acceso a las instalaciones, h) Identificación y autenticación, i) procedimientos de respaldo y recuperación de datos, j) plan de contingencia, k) auditorías, l) supresión y borrado seguro de datos, m) plan de trabajo, n) los mecanismos de monitoreo y revisión de las medidas de seguridad y o) el programa general de capacitación.</w:t>
      </w:r>
    </w:p>
    <w:p w14:paraId="6B95604D" w14:textId="77777777" w:rsidR="00C15720" w:rsidRPr="00E11658" w:rsidRDefault="00C15720" w:rsidP="0078217C">
      <w:pPr>
        <w:spacing w:line="360" w:lineRule="auto"/>
        <w:jc w:val="both"/>
        <w:rPr>
          <w:rFonts w:ascii="Palatino Linotype" w:hAnsi="Palatino Linotype" w:cs="Tahoma"/>
          <w:sz w:val="22"/>
          <w:szCs w:val="22"/>
        </w:rPr>
      </w:pPr>
      <w:r w:rsidRPr="00E11658">
        <w:rPr>
          <w:rFonts w:ascii="Palatino Linotype" w:hAnsi="Palatino Linotype" w:cs="Tahoma"/>
          <w:sz w:val="22"/>
          <w:szCs w:val="22"/>
        </w:rPr>
        <w:lastRenderedPageBreak/>
        <w:t xml:space="preserve">Como se desprende de lo anterior, la fracción I del artículo 49 de la Ley de Protección de Datos Personales de la Entidad, prevé que el documento de seguridad debe contener, como mínimo, información relativa a los sistemas de datos personales; de la cual es de precisar que por lo que corresponde a la indicada en </w:t>
      </w:r>
      <w:r w:rsidRPr="00E11658">
        <w:rPr>
          <w:rFonts w:ascii="Palatino Linotype" w:hAnsi="Palatino Linotype" w:cs="Tahoma"/>
          <w:b/>
          <w:sz w:val="22"/>
          <w:szCs w:val="22"/>
        </w:rPr>
        <w:t>los incisos del a) al e), se trata de información pública</w:t>
      </w:r>
      <w:r w:rsidRPr="00E11658">
        <w:rPr>
          <w:rFonts w:ascii="Palatino Linotype" w:hAnsi="Palatino Linotype" w:cs="Tahoma"/>
          <w:sz w:val="22"/>
          <w:szCs w:val="22"/>
        </w:rPr>
        <w:t>, en virtud de relacionarse con el nombre del sistema o base de datos; el nombre, cargo y adscripción del administrador de cada sistema y base de datos; las funciones y obligaciones del responsable o encargados y todas la personas que traten datos personales; el folio del registro del sistema y base de datos; así como, el inventario o especificación detallada del tipo de datos personales.</w:t>
      </w:r>
    </w:p>
    <w:p w14:paraId="5C9C6740" w14:textId="77777777" w:rsidR="00C15720" w:rsidRPr="00E11658" w:rsidRDefault="00C15720" w:rsidP="0078217C">
      <w:pPr>
        <w:spacing w:line="360" w:lineRule="auto"/>
        <w:jc w:val="both"/>
        <w:rPr>
          <w:rFonts w:ascii="Palatino Linotype" w:hAnsi="Palatino Linotype" w:cs="Tahoma"/>
          <w:sz w:val="22"/>
          <w:szCs w:val="22"/>
        </w:rPr>
      </w:pPr>
    </w:p>
    <w:p w14:paraId="7731F70F" w14:textId="77777777" w:rsidR="00C15720" w:rsidRPr="00E11658" w:rsidRDefault="00C15720" w:rsidP="0078217C">
      <w:pPr>
        <w:spacing w:line="360" w:lineRule="auto"/>
        <w:jc w:val="both"/>
        <w:rPr>
          <w:rFonts w:ascii="Palatino Linotype" w:hAnsi="Palatino Linotype" w:cs="Tahoma"/>
          <w:b/>
          <w:sz w:val="22"/>
          <w:szCs w:val="22"/>
        </w:rPr>
      </w:pPr>
      <w:r w:rsidRPr="00E11658">
        <w:rPr>
          <w:rFonts w:ascii="Palatino Linotype" w:hAnsi="Palatino Linotype" w:cs="Tahoma"/>
          <w:sz w:val="22"/>
          <w:szCs w:val="22"/>
        </w:rPr>
        <w:t xml:space="preserve">Sin embargo, en el caso </w:t>
      </w:r>
      <w:r w:rsidRPr="00E11658">
        <w:rPr>
          <w:rFonts w:ascii="Palatino Linotype" w:hAnsi="Palatino Linotype" w:cs="Tahoma"/>
          <w:b/>
          <w:sz w:val="22"/>
          <w:szCs w:val="22"/>
        </w:rPr>
        <w:t xml:space="preserve">del inciso f) de la fracción I </w:t>
      </w:r>
      <w:r w:rsidRPr="00E11658">
        <w:rPr>
          <w:rFonts w:ascii="Palatino Linotype" w:hAnsi="Palatino Linotype" w:cs="Tahoma"/>
          <w:sz w:val="22"/>
          <w:szCs w:val="22"/>
        </w:rPr>
        <w:t xml:space="preserve">del artículo 49 de la Ley de Protección de Datos Personales en cita, relativo a la estructura y descripción de los sistemas y bases de datos personales, en las que deberá precisar y describir el tipo de soporte y características del lugar donde se resguardan; su publicidad queda sujeta al análisis pormenorizado que realice </w:t>
      </w:r>
      <w:r w:rsidRPr="00E11658">
        <w:rPr>
          <w:rFonts w:ascii="Palatino Linotype" w:hAnsi="Palatino Linotype" w:cs="Tahoma"/>
          <w:b/>
          <w:sz w:val="22"/>
          <w:szCs w:val="22"/>
        </w:rPr>
        <w:t>el Sujeto Obligado,</w:t>
      </w:r>
      <w:r w:rsidRPr="00E11658">
        <w:rPr>
          <w:rFonts w:ascii="Palatino Linotype" w:hAnsi="Palatino Linotype" w:cs="Tahoma"/>
          <w:sz w:val="22"/>
          <w:szCs w:val="22"/>
        </w:rPr>
        <w:t xml:space="preserve"> ya que si dicho ente arriba a la conclusión de que dicho inciso que debe contener el documento de seguridad contiene medidas de seguridad detalladas, el mismo </w:t>
      </w:r>
      <w:r w:rsidRPr="00E11658">
        <w:rPr>
          <w:rFonts w:ascii="Palatino Linotype" w:hAnsi="Palatino Linotype" w:cs="Tahoma"/>
          <w:b/>
          <w:sz w:val="22"/>
          <w:szCs w:val="22"/>
        </w:rPr>
        <w:t>deberá clasificarse como información confidencial.</w:t>
      </w:r>
    </w:p>
    <w:p w14:paraId="52E00178" w14:textId="77777777" w:rsidR="00C15720" w:rsidRPr="00E11658" w:rsidRDefault="00C15720" w:rsidP="0078217C">
      <w:pPr>
        <w:spacing w:line="360" w:lineRule="auto"/>
        <w:jc w:val="both"/>
        <w:rPr>
          <w:rFonts w:ascii="Palatino Linotype" w:hAnsi="Palatino Linotype" w:cs="Tahoma"/>
          <w:sz w:val="22"/>
          <w:szCs w:val="22"/>
        </w:rPr>
      </w:pPr>
    </w:p>
    <w:p w14:paraId="76A53EB8" w14:textId="77777777" w:rsidR="00C15720" w:rsidRPr="00E11658" w:rsidRDefault="00C15720" w:rsidP="0078217C">
      <w:pPr>
        <w:spacing w:line="360" w:lineRule="auto"/>
        <w:jc w:val="both"/>
        <w:rPr>
          <w:rFonts w:ascii="Palatino Linotype" w:hAnsi="Palatino Linotype" w:cs="Tahoma"/>
          <w:sz w:val="22"/>
          <w:szCs w:val="22"/>
        </w:rPr>
      </w:pPr>
      <w:r w:rsidRPr="00E11658">
        <w:rPr>
          <w:rFonts w:ascii="Palatino Linotype" w:hAnsi="Palatino Linotype" w:cs="Tahoma"/>
          <w:sz w:val="22"/>
          <w:szCs w:val="22"/>
        </w:rPr>
        <w:t xml:space="preserve">Lo anterior, en el entendido de que las medidas de seguridad aplicables a las bases de datos personales por parte del responsable </w:t>
      </w:r>
      <w:r w:rsidRPr="00E11658">
        <w:rPr>
          <w:rFonts w:ascii="Palatino Linotype" w:hAnsi="Palatino Linotype" w:cs="Tahoma"/>
          <w:b/>
          <w:sz w:val="22"/>
          <w:szCs w:val="22"/>
        </w:rPr>
        <w:t>es información de carácter confidencial</w:t>
      </w:r>
      <w:r w:rsidRPr="00E11658">
        <w:rPr>
          <w:rFonts w:ascii="Palatino Linotype" w:hAnsi="Palatino Linotype" w:cs="Tahoma"/>
          <w:sz w:val="22"/>
          <w:szCs w:val="22"/>
        </w:rPr>
        <w:t xml:space="preserve"> por mandato expreso del artículo 43 de la Ley, razón por la cual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y sistemas de datos personal</w:t>
      </w:r>
    </w:p>
    <w:p w14:paraId="3C6408CA" w14:textId="77777777" w:rsidR="00C15720" w:rsidRPr="00E11658" w:rsidRDefault="00C15720" w:rsidP="0078217C">
      <w:pPr>
        <w:spacing w:line="360" w:lineRule="auto"/>
        <w:jc w:val="both"/>
        <w:rPr>
          <w:rFonts w:ascii="Palatino Linotype" w:hAnsi="Palatino Linotype" w:cs="Tahoma"/>
          <w:sz w:val="22"/>
          <w:szCs w:val="22"/>
        </w:rPr>
      </w:pPr>
    </w:p>
    <w:p w14:paraId="725EE41C" w14:textId="5C8C93B1" w:rsidR="00822502" w:rsidRPr="00E11658" w:rsidRDefault="00C15720" w:rsidP="0078217C">
      <w:pPr>
        <w:spacing w:line="360" w:lineRule="auto"/>
        <w:jc w:val="both"/>
        <w:rPr>
          <w:rFonts w:ascii="Palatino Linotype" w:hAnsi="Palatino Linotype" w:cs="Tahoma"/>
          <w:sz w:val="22"/>
          <w:szCs w:val="22"/>
        </w:rPr>
      </w:pPr>
      <w:r w:rsidRPr="00E11658">
        <w:rPr>
          <w:rFonts w:ascii="Palatino Linotype" w:hAnsi="Palatino Linotype" w:cs="Tahoma"/>
          <w:sz w:val="22"/>
          <w:szCs w:val="22"/>
        </w:rPr>
        <w:lastRenderedPageBreak/>
        <w:t xml:space="preserve">Precisado lo anterior, </w:t>
      </w:r>
      <w:r w:rsidR="00E81184" w:rsidRPr="00E11658">
        <w:rPr>
          <w:rFonts w:ascii="Palatino Linotype" w:hAnsi="Palatino Linotype" w:cs="Tahoma"/>
          <w:sz w:val="22"/>
          <w:szCs w:val="22"/>
        </w:rPr>
        <w:t>sobre l</w:t>
      </w:r>
      <w:r w:rsidR="00822502" w:rsidRPr="00E11658">
        <w:rPr>
          <w:rFonts w:ascii="Palatino Linotype" w:hAnsi="Palatino Linotype" w:cs="Tahoma"/>
          <w:sz w:val="22"/>
          <w:szCs w:val="22"/>
        </w:rPr>
        <w:t xml:space="preserve">as cédulas de bases de datos personales </w:t>
      </w:r>
      <w:r w:rsidR="009D5486" w:rsidRPr="00E11658">
        <w:rPr>
          <w:rFonts w:ascii="Palatino Linotype" w:hAnsi="Palatino Linotype" w:cs="Tahoma"/>
          <w:sz w:val="22"/>
          <w:szCs w:val="22"/>
        </w:rPr>
        <w:t xml:space="preserve">como ya se refirió </w:t>
      </w:r>
      <w:r w:rsidR="00E81184" w:rsidRPr="00E11658">
        <w:rPr>
          <w:rFonts w:ascii="Palatino Linotype" w:eastAsiaTheme="minorEastAsia" w:hAnsi="Palatino Linotype" w:cs="Arial"/>
          <w:sz w:val="22"/>
          <w:szCs w:val="22"/>
          <w:lang w:val="es-ES_tradnl"/>
        </w:rPr>
        <w:t>es considerado un anexo de los documentos de seguridad, del cual este Órgano Garante emitió un formato en los cuales los Sujetos Obligados deben de adoptar para la elaboración de las cedulas de base de datos personales</w:t>
      </w:r>
      <w:r w:rsidR="00822502" w:rsidRPr="00E11658">
        <w:rPr>
          <w:rFonts w:ascii="Palatino Linotype" w:hAnsi="Palatino Linotype" w:cs="Tahoma"/>
          <w:sz w:val="22"/>
          <w:szCs w:val="22"/>
        </w:rPr>
        <w:t>, que sirven para identificar y describir las bases de datos personales que manejan, incluyendo su tipo, nombre, uso, fundamento legal y administrador</w:t>
      </w:r>
      <w:r w:rsidR="00E81184" w:rsidRPr="00E11658">
        <w:rPr>
          <w:rFonts w:ascii="Palatino Linotype" w:hAnsi="Palatino Linotype" w:cs="Tahoma"/>
          <w:sz w:val="22"/>
          <w:szCs w:val="22"/>
        </w:rPr>
        <w:t xml:space="preserve">, se pueden considerar </w:t>
      </w:r>
      <w:r w:rsidR="00822502" w:rsidRPr="00E11658">
        <w:rPr>
          <w:rFonts w:ascii="Palatino Linotype" w:hAnsi="Palatino Linotype" w:cs="Tahoma"/>
          <w:sz w:val="22"/>
          <w:szCs w:val="22"/>
        </w:rPr>
        <w:t>formatos oficiales que las instituciones públicas deben llenar para documentar sus bases de datos personales.</w:t>
      </w:r>
    </w:p>
    <w:p w14:paraId="5CC9EBF8" w14:textId="77777777" w:rsidR="004C1F5C" w:rsidRPr="00E11658" w:rsidRDefault="004C1F5C" w:rsidP="0078217C">
      <w:pPr>
        <w:spacing w:line="360" w:lineRule="auto"/>
        <w:jc w:val="both"/>
        <w:rPr>
          <w:rFonts w:ascii="Palatino Linotype" w:hAnsi="Palatino Linotype" w:cs="Tahoma"/>
          <w:sz w:val="22"/>
          <w:szCs w:val="22"/>
        </w:rPr>
      </w:pPr>
    </w:p>
    <w:p w14:paraId="7C1972B3" w14:textId="55105228" w:rsidR="00822502" w:rsidRPr="00E11658" w:rsidRDefault="00822502" w:rsidP="0078217C">
      <w:pPr>
        <w:spacing w:line="360" w:lineRule="auto"/>
        <w:jc w:val="both"/>
        <w:rPr>
          <w:rFonts w:ascii="Palatino Linotype" w:eastAsiaTheme="minorEastAsia" w:hAnsi="Palatino Linotype" w:cs="Arial"/>
          <w:sz w:val="22"/>
          <w:szCs w:val="22"/>
          <w:lang w:val="es-ES_tradnl"/>
        </w:rPr>
      </w:pPr>
      <w:r w:rsidRPr="00E11658">
        <w:rPr>
          <w:rFonts w:ascii="Palatino Linotype" w:hAnsi="Palatino Linotype" w:cs="Tahoma"/>
          <w:sz w:val="22"/>
          <w:szCs w:val="22"/>
        </w:rPr>
        <w:t>Incluyen información detallada sobre el tipo de base de datos (física o automatizada), su nombre, su finalidad y los usos permitidos</w:t>
      </w:r>
      <w:r w:rsidR="00E81184" w:rsidRPr="00E11658">
        <w:rPr>
          <w:rFonts w:ascii="Palatino Linotype" w:hAnsi="Palatino Linotype" w:cs="Tahoma"/>
          <w:sz w:val="22"/>
          <w:szCs w:val="22"/>
        </w:rPr>
        <w:t>, e</w:t>
      </w:r>
      <w:r w:rsidRPr="00E11658">
        <w:rPr>
          <w:rFonts w:ascii="Palatino Linotype" w:hAnsi="Palatino Linotype" w:cs="Tahoma"/>
          <w:sz w:val="22"/>
          <w:szCs w:val="22"/>
        </w:rPr>
        <w:t>specifican el fundamento legal que autoriza la creación y uso de la base de datos</w:t>
      </w:r>
      <w:r w:rsidR="00E81184" w:rsidRPr="00E11658">
        <w:rPr>
          <w:rFonts w:ascii="Palatino Linotype" w:hAnsi="Palatino Linotype" w:cs="Tahoma"/>
          <w:sz w:val="22"/>
          <w:szCs w:val="22"/>
        </w:rPr>
        <w:t>, i</w:t>
      </w:r>
      <w:r w:rsidRPr="00E11658">
        <w:rPr>
          <w:rFonts w:ascii="Palatino Linotype" w:hAnsi="Palatino Linotype" w:cs="Tahoma"/>
          <w:sz w:val="22"/>
          <w:szCs w:val="22"/>
        </w:rPr>
        <w:t>dentifican al administrador de la base de datos, quien es el responsable de su manejo</w:t>
      </w:r>
      <w:r w:rsidR="00E81184" w:rsidRPr="00E11658">
        <w:rPr>
          <w:rFonts w:ascii="Palatino Linotype" w:hAnsi="Palatino Linotype" w:cs="Tahoma"/>
          <w:sz w:val="22"/>
          <w:szCs w:val="22"/>
        </w:rPr>
        <w:t>, además a</w:t>
      </w:r>
      <w:r w:rsidRPr="00E11658">
        <w:rPr>
          <w:rFonts w:ascii="Palatino Linotype" w:hAnsi="Palatino Linotype" w:cs="Tahoma"/>
          <w:sz w:val="22"/>
          <w:szCs w:val="22"/>
        </w:rPr>
        <w:t>yudan a las instituciones a gestionar adecuadamente la información personal de los ciudadanos y a cumplir con la normatividad de protección de datos</w:t>
      </w:r>
      <w:r w:rsidRPr="00E11658">
        <w:rPr>
          <w:rFonts w:ascii="Palatino Linotype" w:eastAsiaTheme="minorEastAsia" w:hAnsi="Palatino Linotype" w:cs="Arial"/>
          <w:sz w:val="22"/>
          <w:szCs w:val="22"/>
          <w:lang w:val="es-ES_tradnl"/>
        </w:rPr>
        <w:t xml:space="preserve">, </w:t>
      </w:r>
      <w:r w:rsidR="00E81184" w:rsidRPr="00E11658">
        <w:rPr>
          <w:rFonts w:ascii="Palatino Linotype" w:eastAsiaTheme="minorEastAsia" w:hAnsi="Palatino Linotype" w:cs="Arial"/>
          <w:sz w:val="22"/>
          <w:szCs w:val="22"/>
          <w:lang w:val="es-ES_tradnl"/>
        </w:rPr>
        <w:t xml:space="preserve">incluso </w:t>
      </w:r>
      <w:r w:rsidRPr="00E11658">
        <w:rPr>
          <w:rFonts w:ascii="Palatino Linotype" w:eastAsiaTheme="minorEastAsia" w:hAnsi="Palatino Linotype" w:cs="Arial"/>
          <w:sz w:val="22"/>
          <w:szCs w:val="22"/>
          <w:lang w:val="es-ES_tradnl"/>
        </w:rPr>
        <w:t xml:space="preserve">se pueden consultar en la liga electrónica </w:t>
      </w:r>
      <w:hyperlink r:id="rId8" w:history="1">
        <w:r w:rsidRPr="00E11658">
          <w:rPr>
            <w:rStyle w:val="Hipervnculo"/>
            <w:rFonts w:ascii="Palatino Linotype" w:eastAsiaTheme="minorEastAsia" w:hAnsi="Palatino Linotype" w:cs="Arial"/>
            <w:sz w:val="22"/>
            <w:szCs w:val="22"/>
            <w:lang w:val="es-ES_tradnl"/>
          </w:rPr>
          <w:t>https://infoem.org.mx/doc/formatos/Formato_cedula_Base_Datos.pdf</w:t>
        </w:r>
      </w:hyperlink>
      <w:r w:rsidR="004C1F5C" w:rsidRPr="00E11658">
        <w:rPr>
          <w:rFonts w:ascii="Palatino Linotype" w:eastAsiaTheme="minorEastAsia" w:hAnsi="Palatino Linotype" w:cs="Arial"/>
          <w:sz w:val="22"/>
          <w:szCs w:val="22"/>
          <w:lang w:val="es-ES_tradnl"/>
        </w:rPr>
        <w:t xml:space="preserve">, </w:t>
      </w:r>
      <w:r w:rsidRPr="00E11658">
        <w:rPr>
          <w:rFonts w:ascii="Palatino Linotype" w:eastAsiaTheme="minorEastAsia" w:hAnsi="Palatino Linotype" w:cs="Arial"/>
          <w:sz w:val="22"/>
          <w:szCs w:val="22"/>
          <w:lang w:val="es-ES_tradnl"/>
        </w:rPr>
        <w:t>para mayor precisión se insertan las siguientes imágenes:</w:t>
      </w:r>
    </w:p>
    <w:p w14:paraId="6FA39D4D" w14:textId="77777777" w:rsidR="004C1F5C" w:rsidRPr="00E11658" w:rsidRDefault="004C1F5C" w:rsidP="0078217C">
      <w:pPr>
        <w:spacing w:line="360" w:lineRule="auto"/>
        <w:jc w:val="both"/>
        <w:rPr>
          <w:rFonts w:ascii="Palatino Linotype" w:eastAsiaTheme="minorEastAsia" w:hAnsi="Palatino Linotype" w:cs="Arial"/>
          <w:sz w:val="22"/>
          <w:szCs w:val="22"/>
          <w:lang w:val="es-ES_tradnl"/>
        </w:rPr>
      </w:pPr>
    </w:p>
    <w:p w14:paraId="77522759" w14:textId="77777777" w:rsidR="00822502" w:rsidRPr="00E11658" w:rsidRDefault="00822502" w:rsidP="0078217C">
      <w:pPr>
        <w:spacing w:line="360" w:lineRule="auto"/>
        <w:ind w:right="49"/>
        <w:contextualSpacing/>
        <w:jc w:val="center"/>
        <w:rPr>
          <w:rFonts w:ascii="Palatino Linotype" w:hAnsi="Palatino Linotype" w:cs="Arial"/>
        </w:rPr>
      </w:pPr>
      <w:r w:rsidRPr="00E11658">
        <w:rPr>
          <w:rFonts w:ascii="Palatino Linotype" w:hAnsi="Palatino Linotype" w:cs="Arial"/>
          <w:noProof/>
          <w:lang w:eastAsia="es-MX"/>
        </w:rPr>
        <w:drawing>
          <wp:inline distT="0" distB="0" distL="0" distR="0" wp14:anchorId="471E5EA4" wp14:editId="003D19CD">
            <wp:extent cx="4420920" cy="22288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9767" b="50777"/>
                    <a:stretch/>
                  </pic:blipFill>
                  <pic:spPr bwMode="auto">
                    <a:xfrm>
                      <a:off x="0" y="0"/>
                      <a:ext cx="4451530" cy="2244283"/>
                    </a:xfrm>
                    <a:prstGeom prst="rect">
                      <a:avLst/>
                    </a:prstGeom>
                    <a:ln>
                      <a:noFill/>
                    </a:ln>
                    <a:extLst>
                      <a:ext uri="{53640926-AAD7-44D8-BBD7-CCE9431645EC}">
                        <a14:shadowObscured xmlns:a14="http://schemas.microsoft.com/office/drawing/2010/main"/>
                      </a:ext>
                    </a:extLst>
                  </pic:spPr>
                </pic:pic>
              </a:graphicData>
            </a:graphic>
          </wp:inline>
        </w:drawing>
      </w:r>
    </w:p>
    <w:p w14:paraId="622B1FE6" w14:textId="2B73AFF8" w:rsidR="004C1F5C" w:rsidRPr="00E11658" w:rsidRDefault="004C1F5C" w:rsidP="0078217C">
      <w:pPr>
        <w:spacing w:line="360" w:lineRule="auto"/>
        <w:ind w:right="49"/>
        <w:contextualSpacing/>
        <w:jc w:val="center"/>
        <w:rPr>
          <w:rFonts w:ascii="Palatino Linotype" w:hAnsi="Palatino Linotype" w:cs="Arial"/>
        </w:rPr>
      </w:pPr>
      <w:r w:rsidRPr="00E11658">
        <w:rPr>
          <w:rFonts w:ascii="Palatino Linotype" w:hAnsi="Palatino Linotype" w:cs="Arial"/>
          <w:noProof/>
          <w:lang w:eastAsia="es-MX"/>
        </w:rPr>
        <w:lastRenderedPageBreak/>
        <w:drawing>
          <wp:inline distT="0" distB="0" distL="0" distR="0" wp14:anchorId="103288C6" wp14:editId="0BC6010B">
            <wp:extent cx="4407535" cy="2876349"/>
            <wp:effectExtent l="0" t="0" r="0" b="635"/>
            <wp:docPr id="1679657910" name="Imagen 1679657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48928" b="-1"/>
                    <a:stretch/>
                  </pic:blipFill>
                  <pic:spPr bwMode="auto">
                    <a:xfrm>
                      <a:off x="0" y="0"/>
                      <a:ext cx="4445054" cy="2900834"/>
                    </a:xfrm>
                    <a:prstGeom prst="rect">
                      <a:avLst/>
                    </a:prstGeom>
                    <a:ln>
                      <a:noFill/>
                    </a:ln>
                    <a:extLst>
                      <a:ext uri="{53640926-AAD7-44D8-BBD7-CCE9431645EC}">
                        <a14:shadowObscured xmlns:a14="http://schemas.microsoft.com/office/drawing/2010/main"/>
                      </a:ext>
                    </a:extLst>
                  </pic:spPr>
                </pic:pic>
              </a:graphicData>
            </a:graphic>
          </wp:inline>
        </w:drawing>
      </w:r>
    </w:p>
    <w:p w14:paraId="25BC77F2" w14:textId="500676C6" w:rsidR="00822502" w:rsidRPr="00E11658" w:rsidRDefault="00822502" w:rsidP="0078217C">
      <w:pPr>
        <w:spacing w:line="360" w:lineRule="auto"/>
        <w:ind w:right="49"/>
        <w:contextualSpacing/>
        <w:jc w:val="center"/>
        <w:rPr>
          <w:rFonts w:ascii="Palatino Linotype" w:hAnsi="Palatino Linotype" w:cs="Arial"/>
        </w:rPr>
      </w:pPr>
      <w:r w:rsidRPr="00E11658">
        <w:rPr>
          <w:rFonts w:ascii="Palatino Linotype" w:hAnsi="Palatino Linotype" w:cs="Arial"/>
          <w:noProof/>
          <w:lang w:eastAsia="es-MX"/>
        </w:rPr>
        <w:drawing>
          <wp:inline distT="0" distB="0" distL="0" distR="0" wp14:anchorId="6B2C9583" wp14:editId="129AEC64">
            <wp:extent cx="4479157" cy="42291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743" t="11823" b="765"/>
                    <a:stretch/>
                  </pic:blipFill>
                  <pic:spPr bwMode="auto">
                    <a:xfrm>
                      <a:off x="0" y="0"/>
                      <a:ext cx="4514874" cy="4262823"/>
                    </a:xfrm>
                    <a:prstGeom prst="rect">
                      <a:avLst/>
                    </a:prstGeom>
                    <a:ln>
                      <a:noFill/>
                    </a:ln>
                    <a:extLst>
                      <a:ext uri="{53640926-AAD7-44D8-BBD7-CCE9431645EC}">
                        <a14:shadowObscured xmlns:a14="http://schemas.microsoft.com/office/drawing/2010/main"/>
                      </a:ext>
                    </a:extLst>
                  </pic:spPr>
                </pic:pic>
              </a:graphicData>
            </a:graphic>
          </wp:inline>
        </w:drawing>
      </w:r>
    </w:p>
    <w:p w14:paraId="46784481" w14:textId="77777777" w:rsidR="004C1F5C" w:rsidRPr="00E11658" w:rsidRDefault="004C1F5C" w:rsidP="0078217C">
      <w:pPr>
        <w:spacing w:line="360" w:lineRule="auto"/>
        <w:ind w:right="49"/>
        <w:contextualSpacing/>
        <w:jc w:val="center"/>
        <w:rPr>
          <w:rFonts w:ascii="Palatino Linotype" w:hAnsi="Palatino Linotype" w:cs="Arial"/>
        </w:rPr>
      </w:pPr>
    </w:p>
    <w:p w14:paraId="4A524712" w14:textId="77777777" w:rsidR="00822502" w:rsidRPr="00E11658" w:rsidRDefault="00822502" w:rsidP="0078217C">
      <w:pPr>
        <w:spacing w:line="360" w:lineRule="auto"/>
        <w:ind w:right="49"/>
        <w:contextualSpacing/>
        <w:jc w:val="center"/>
        <w:rPr>
          <w:rFonts w:ascii="Palatino Linotype" w:hAnsi="Palatino Linotype" w:cs="Arial"/>
        </w:rPr>
      </w:pPr>
      <w:r w:rsidRPr="00E11658">
        <w:rPr>
          <w:rFonts w:ascii="Palatino Linotype" w:hAnsi="Palatino Linotype" w:cs="Arial"/>
          <w:noProof/>
          <w:lang w:eastAsia="es-MX"/>
        </w:rPr>
        <w:lastRenderedPageBreak/>
        <w:drawing>
          <wp:inline distT="0" distB="0" distL="0" distR="0" wp14:anchorId="08EDB77F" wp14:editId="298ECBF4">
            <wp:extent cx="4692015" cy="1047750"/>
            <wp:effectExtent l="0" t="0" r="0" b="0"/>
            <wp:docPr id="1388243616" name="Imagen 1388243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37853"/>
                    <a:stretch/>
                  </pic:blipFill>
                  <pic:spPr bwMode="auto">
                    <a:xfrm>
                      <a:off x="0" y="0"/>
                      <a:ext cx="4758785" cy="1062660"/>
                    </a:xfrm>
                    <a:prstGeom prst="rect">
                      <a:avLst/>
                    </a:prstGeom>
                    <a:ln>
                      <a:noFill/>
                    </a:ln>
                    <a:extLst>
                      <a:ext uri="{53640926-AAD7-44D8-BBD7-CCE9431645EC}">
                        <a14:shadowObscured xmlns:a14="http://schemas.microsoft.com/office/drawing/2010/main"/>
                      </a:ext>
                    </a:extLst>
                  </pic:spPr>
                </pic:pic>
              </a:graphicData>
            </a:graphic>
          </wp:inline>
        </w:drawing>
      </w:r>
    </w:p>
    <w:p w14:paraId="517D544E" w14:textId="77777777" w:rsidR="00822502" w:rsidRPr="00E11658" w:rsidRDefault="00822502" w:rsidP="0078217C">
      <w:pPr>
        <w:spacing w:line="360" w:lineRule="auto"/>
        <w:ind w:right="49"/>
        <w:contextualSpacing/>
        <w:jc w:val="both"/>
        <w:rPr>
          <w:rFonts w:ascii="Palatino Linotype" w:hAnsi="Palatino Linotype" w:cs="Arial"/>
        </w:rPr>
      </w:pPr>
    </w:p>
    <w:p w14:paraId="6463879B" w14:textId="2635817E" w:rsidR="006A5050" w:rsidRPr="00E11658" w:rsidRDefault="00822502" w:rsidP="0078217C">
      <w:pPr>
        <w:spacing w:line="360" w:lineRule="auto"/>
        <w:jc w:val="both"/>
        <w:rPr>
          <w:rFonts w:ascii="Palatino Linotype" w:hAnsi="Palatino Linotype" w:cs="Tahoma"/>
          <w:sz w:val="22"/>
          <w:szCs w:val="22"/>
          <w:lang w:val="es-ES"/>
        </w:rPr>
      </w:pPr>
      <w:r w:rsidRPr="00E11658">
        <w:rPr>
          <w:rFonts w:ascii="Palatino Linotype" w:hAnsi="Palatino Linotype" w:cs="Arial"/>
          <w:sz w:val="22"/>
          <w:szCs w:val="22"/>
        </w:rPr>
        <w:t>De lo anterior, se advierte que las Cédulas</w:t>
      </w:r>
      <w:r w:rsidR="00B501F6" w:rsidRPr="00E11658">
        <w:rPr>
          <w:rFonts w:ascii="Palatino Linotype" w:hAnsi="Palatino Linotype" w:cs="Arial"/>
          <w:sz w:val="22"/>
          <w:szCs w:val="22"/>
        </w:rPr>
        <w:t xml:space="preserve"> se pueden entregar en versión pública, </w:t>
      </w:r>
      <w:r w:rsidR="009D5486" w:rsidRPr="00E11658">
        <w:rPr>
          <w:rFonts w:ascii="Palatino Linotype" w:hAnsi="Palatino Linotype" w:cs="Arial"/>
          <w:sz w:val="22"/>
          <w:szCs w:val="22"/>
        </w:rPr>
        <w:t xml:space="preserve">ahora, es de recordar que en respuesta a través la Coordinadora de la Unidad de Transparencia y Acceso a la Información Pública, </w:t>
      </w:r>
      <w:r w:rsidR="00F2733F" w:rsidRPr="00E11658">
        <w:rPr>
          <w:rFonts w:ascii="Palatino Linotype" w:hAnsi="Palatino Linotype" w:cs="Arial"/>
          <w:sz w:val="22"/>
          <w:szCs w:val="22"/>
        </w:rPr>
        <w:t xml:space="preserve">señaló </w:t>
      </w:r>
      <w:r w:rsidR="006A5050" w:rsidRPr="00E11658">
        <w:rPr>
          <w:rFonts w:ascii="Palatino Linotype" w:hAnsi="Palatino Linotype" w:cs="Arial"/>
          <w:sz w:val="22"/>
          <w:szCs w:val="22"/>
        </w:rPr>
        <w:t>el artículo 140, fracción X, situación que se interpreta que no entregaba la información por estar clasificada en ese supuesto, sin embargo, no</w:t>
      </w:r>
      <w:r w:rsidR="006A5050" w:rsidRPr="00E11658">
        <w:rPr>
          <w:rFonts w:ascii="Palatino Linotype" w:hAnsi="Palatino Linotype" w:cs="Tahoma"/>
          <w:sz w:val="22"/>
          <w:szCs w:val="22"/>
          <w:lang w:val="es-ES"/>
        </w:rPr>
        <w:t xml:space="preserve"> adjuntó algún acuerdo emitido por su Comité de Transparencia por medio del cual confirmara dicha clasificación, por lo que es precio señalar que el artículo 134 de la Ley de Transparencia y Acceso a la Información Pública del Estado de México y Municipios, y el Sexto de los Lineamientos Generales en Materia de Clasificación y Desclasificación de la Información, así como para la Elaboración de Versiones Públicas, establecen que los sujetos obligados no podrán emitir acuerdos de carácter general que clasifiquen documentos o expedientes; por lo que, la clasificación de información se llevará a cabo mediante un análisis caso por caso.</w:t>
      </w:r>
    </w:p>
    <w:p w14:paraId="59561F99" w14:textId="77777777" w:rsidR="006A5050" w:rsidRPr="00E11658" w:rsidRDefault="006A5050" w:rsidP="0078217C">
      <w:pPr>
        <w:spacing w:line="360" w:lineRule="auto"/>
        <w:jc w:val="both"/>
        <w:rPr>
          <w:rFonts w:ascii="Palatino Linotype" w:hAnsi="Palatino Linotype" w:cs="Tahoma"/>
          <w:sz w:val="22"/>
          <w:szCs w:val="22"/>
          <w:lang w:val="es-ES"/>
        </w:rPr>
      </w:pPr>
    </w:p>
    <w:p w14:paraId="580705B3" w14:textId="77777777" w:rsidR="006A5050" w:rsidRPr="00E11658" w:rsidRDefault="006A5050" w:rsidP="0078217C">
      <w:pPr>
        <w:spacing w:line="360" w:lineRule="auto"/>
        <w:jc w:val="both"/>
        <w:rPr>
          <w:rFonts w:ascii="Palatino Linotype" w:hAnsi="Palatino Linotype" w:cs="Tahoma"/>
          <w:sz w:val="22"/>
          <w:szCs w:val="22"/>
          <w:lang w:val="es-ES"/>
        </w:rPr>
      </w:pPr>
      <w:r w:rsidRPr="00E11658">
        <w:rPr>
          <w:rFonts w:ascii="Palatino Linotype" w:hAnsi="Palatino Linotype" w:cs="Tahoma"/>
          <w:sz w:val="22"/>
          <w:szCs w:val="22"/>
          <w:lang w:val="es-ES"/>
        </w:rPr>
        <w:t xml:space="preserve">Además, el artículo 132 de la Ley de la materia, y el Séptimo de los Lineamientos previamente referido, prevé que la clasificación de la información se llevará a cabo, entre otros, en el momento en que se reciba la solicitud de acceso a la información pública. Por su parte, el Octavo de dichos Lineamientos, establece que, para fundar la clasificación de la información, se debe </w:t>
      </w:r>
      <w:r w:rsidRPr="00E11658">
        <w:rPr>
          <w:rFonts w:ascii="Palatino Linotype" w:hAnsi="Palatino Linotype" w:cs="Tahoma"/>
          <w:b/>
          <w:bCs/>
          <w:sz w:val="22"/>
          <w:szCs w:val="22"/>
          <w:u w:val="single"/>
          <w:lang w:val="es-ES"/>
        </w:rPr>
        <w:t>señalar el artículo, fracción, inciso, párrafo o número de la ley o tratado internacional, en donde se le otorgue el carácter de reservada o confidencial a la información</w:t>
      </w:r>
      <w:r w:rsidRPr="00E11658">
        <w:rPr>
          <w:rFonts w:ascii="Palatino Linotype" w:hAnsi="Palatino Linotype" w:cs="Tahoma"/>
          <w:sz w:val="22"/>
          <w:szCs w:val="22"/>
          <w:lang w:val="es-ES"/>
        </w:rPr>
        <w:t>.</w:t>
      </w:r>
    </w:p>
    <w:p w14:paraId="20728B0E" w14:textId="77777777" w:rsidR="006A5050" w:rsidRPr="00E11658" w:rsidRDefault="006A5050" w:rsidP="0078217C">
      <w:pPr>
        <w:spacing w:line="360" w:lineRule="auto"/>
        <w:jc w:val="both"/>
        <w:rPr>
          <w:rFonts w:ascii="Palatino Linotype" w:hAnsi="Palatino Linotype"/>
          <w:sz w:val="22"/>
        </w:rPr>
      </w:pPr>
    </w:p>
    <w:p w14:paraId="654D688F" w14:textId="77777777" w:rsidR="006A5050" w:rsidRPr="00E11658" w:rsidRDefault="006A5050" w:rsidP="0078217C">
      <w:pPr>
        <w:spacing w:line="360" w:lineRule="auto"/>
        <w:jc w:val="both"/>
        <w:rPr>
          <w:rFonts w:ascii="Palatino Linotype" w:hAnsi="Palatino Linotype"/>
          <w:noProof/>
          <w:sz w:val="22"/>
          <w:szCs w:val="22"/>
          <w:lang w:eastAsia="es-MX"/>
        </w:rPr>
      </w:pPr>
      <w:r w:rsidRPr="00E11658">
        <w:rPr>
          <w:rFonts w:ascii="Palatino Linotype" w:eastAsia="Calibri" w:hAnsi="Palatino Linotype" w:cs="Tahoma"/>
          <w:iCs/>
          <w:sz w:val="22"/>
          <w:szCs w:val="22"/>
          <w:lang w:val="es-ES" w:eastAsia="es-ES_tradnl"/>
        </w:rPr>
        <w:lastRenderedPageBreak/>
        <w:t xml:space="preserve">Además, como ya se señaló, </w:t>
      </w:r>
      <w:bookmarkStart w:id="23" w:name="_Hlk116396236"/>
      <w:r w:rsidRPr="00E11658">
        <w:rPr>
          <w:rFonts w:ascii="Palatino Linotype" w:hAnsi="Palatino Linotype"/>
          <w:noProof/>
          <w:sz w:val="22"/>
          <w:szCs w:val="22"/>
          <w:lang w:eastAsia="es-MX"/>
        </w:rPr>
        <w:t xml:space="preserve">el Sujeto Obligado no adjuntó ningún acuerdo de clasificación, en el que haya aplicado los Lineamientos Generales en materia de clasificación y desclasificación de la información, así como para la elaboración de versiones públicas, mismos que establecen en el primero de ellos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 ni desarrollo una prueba de daño en la que demuestre el riesgo real, demostrable e identificable que se generaría por hacer pública la información solicitada. </w:t>
      </w:r>
      <w:r w:rsidRPr="00E11658">
        <w:rPr>
          <w:rFonts w:ascii="Palatino Linotype" w:hAnsi="Palatino Linotype"/>
          <w:b/>
          <w:bCs/>
          <w:noProof/>
          <w:sz w:val="22"/>
          <w:szCs w:val="22"/>
          <w:lang w:eastAsia="es-MX"/>
        </w:rPr>
        <w:t>En este sentido, no se encuentra debidamente fundamenta y motivada la clasificación invocada,</w:t>
      </w:r>
      <w:r w:rsidRPr="00E11658">
        <w:rPr>
          <w:rFonts w:ascii="Palatino Linotype" w:hAnsi="Palatino Linotype"/>
          <w:noProof/>
          <w:sz w:val="22"/>
          <w:szCs w:val="22"/>
          <w:lang w:eastAsia="es-MX"/>
        </w:rPr>
        <w:t xml:space="preserve"> por lo que se trae a colación las siguientes Tesis de Jurisprudencia:</w:t>
      </w:r>
    </w:p>
    <w:p w14:paraId="65B112EF" w14:textId="77777777" w:rsidR="006A5050" w:rsidRPr="00E11658" w:rsidRDefault="006A5050" w:rsidP="0078217C">
      <w:pPr>
        <w:spacing w:line="360" w:lineRule="auto"/>
        <w:jc w:val="both"/>
        <w:rPr>
          <w:rFonts w:ascii="Palatino Linotype" w:hAnsi="Palatino Linotype"/>
          <w:noProof/>
          <w:sz w:val="22"/>
          <w:szCs w:val="22"/>
          <w:lang w:eastAsia="es-MX"/>
        </w:rPr>
      </w:pPr>
    </w:p>
    <w:p w14:paraId="5530449F" w14:textId="77777777" w:rsidR="006A5050" w:rsidRPr="00E11658" w:rsidRDefault="006A5050" w:rsidP="0078217C">
      <w:pPr>
        <w:spacing w:line="360" w:lineRule="auto"/>
        <w:ind w:left="567" w:right="567"/>
        <w:jc w:val="both"/>
        <w:rPr>
          <w:rFonts w:ascii="Palatino Linotype" w:hAnsi="Palatino Linotype"/>
          <w:i/>
          <w:noProof/>
          <w:lang w:eastAsia="es-MX"/>
        </w:rPr>
      </w:pPr>
      <w:r w:rsidRPr="00E11658">
        <w:rPr>
          <w:rFonts w:ascii="Palatino Linotype" w:hAnsi="Palatino Linotype"/>
          <w:i/>
          <w:noProof/>
          <w:lang w:eastAsia="es-MX"/>
        </w:rPr>
        <w:t xml:space="preserve">Jurisprudencia I.3o.C. J/47, de Tribunales Colegiados de Circuito, visible en la página 1964 del Semanario Judicial de la Federación y su Gaceta, Tomo XXVII, febrero de 2008, Novena Época, de rubro: </w:t>
      </w:r>
      <w:r w:rsidRPr="00E11658">
        <w:rPr>
          <w:rFonts w:ascii="Palatino Linotype" w:hAnsi="Palatino Linotype"/>
          <w:b/>
          <w:i/>
          <w:noProof/>
          <w:lang w:eastAsia="es-MX"/>
        </w:rPr>
        <w:t>FUNDAMENTACIÓN Y MOTIVACIÓN. LA DIFERENCIA ENTRE LA FALTA Y LA INDEBIDA SATISFACCIÓN DE AMBOS REQUISITOS CONSTITUCIONALES TRASCIENDE AL ORDEN EN QUE DEBEN ESTUDIARSE LOS CONCEPTOS DE VIOLACIÓN Y A LOS EFECTOS DEL FALLO PROTECTOR</w:t>
      </w:r>
      <w:r w:rsidRPr="00E11658">
        <w:rPr>
          <w:rFonts w:ascii="Palatino Linotype" w:hAnsi="Palatino Linotype"/>
          <w:i/>
          <w:noProof/>
          <w:lang w:eastAsia="es-MX"/>
        </w:rPr>
        <w:t>.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w:t>
      </w:r>
    </w:p>
    <w:p w14:paraId="37C573E2" w14:textId="77777777" w:rsidR="006A5050" w:rsidRPr="00E11658" w:rsidRDefault="006A5050" w:rsidP="0078217C">
      <w:pPr>
        <w:spacing w:line="360" w:lineRule="auto"/>
        <w:ind w:left="567" w:right="567"/>
        <w:jc w:val="both"/>
        <w:rPr>
          <w:rFonts w:ascii="Palatino Linotype" w:hAnsi="Palatino Linotype"/>
          <w:i/>
          <w:noProof/>
          <w:lang w:eastAsia="es-MX"/>
        </w:rPr>
      </w:pPr>
    </w:p>
    <w:p w14:paraId="2CFB8310" w14:textId="77777777" w:rsidR="006A5050" w:rsidRPr="00E11658" w:rsidRDefault="006A5050" w:rsidP="0078217C">
      <w:pPr>
        <w:spacing w:line="360" w:lineRule="auto"/>
        <w:ind w:left="567" w:right="567"/>
        <w:jc w:val="both"/>
        <w:rPr>
          <w:rFonts w:ascii="Palatino Linotype" w:hAnsi="Palatino Linotype"/>
          <w:i/>
          <w:noProof/>
          <w:lang w:eastAsia="es-MX"/>
        </w:rPr>
      </w:pPr>
      <w:r w:rsidRPr="00E11658">
        <w:rPr>
          <w:rFonts w:ascii="Palatino Linotype" w:hAnsi="Palatino Linotype"/>
          <w:i/>
          <w:noProof/>
          <w:lang w:eastAsia="es-MX"/>
        </w:rPr>
        <w:t>Jurisprudencia IV.2o.C. J/12, de Tribunales Colegiados de Circuito, visible en la página 2053 del Semanario Judicial de la Federación y su Gaceta, Tomo XXXIII, febrero de 2011, Novena Época, de rubro y texto siguientes:</w:t>
      </w:r>
    </w:p>
    <w:p w14:paraId="47DFCE1C" w14:textId="77777777" w:rsidR="006A5050" w:rsidRPr="00E11658" w:rsidRDefault="006A5050" w:rsidP="0078217C">
      <w:pPr>
        <w:spacing w:line="360" w:lineRule="auto"/>
        <w:ind w:left="567" w:right="567"/>
        <w:jc w:val="both"/>
        <w:rPr>
          <w:rFonts w:ascii="Palatino Linotype" w:hAnsi="Palatino Linotype"/>
          <w:i/>
          <w:noProof/>
          <w:lang w:eastAsia="es-MX"/>
        </w:rPr>
      </w:pPr>
    </w:p>
    <w:p w14:paraId="6FF2E515" w14:textId="77777777" w:rsidR="006A5050" w:rsidRPr="00E11658" w:rsidRDefault="006A5050" w:rsidP="0078217C">
      <w:pPr>
        <w:spacing w:line="360" w:lineRule="auto"/>
        <w:ind w:left="567" w:right="567"/>
        <w:jc w:val="both"/>
        <w:rPr>
          <w:rFonts w:ascii="Palatino Linotype" w:hAnsi="Palatino Linotype"/>
          <w:i/>
          <w:noProof/>
          <w:lang w:eastAsia="es-MX"/>
        </w:rPr>
      </w:pPr>
      <w:r w:rsidRPr="00E11658">
        <w:rPr>
          <w:rFonts w:ascii="Palatino Linotype" w:hAnsi="Palatino Linotype"/>
          <w:b/>
          <w:i/>
          <w:noProof/>
          <w:lang w:eastAsia="es-MX"/>
        </w:rPr>
        <w:t xml:space="preserve">FUNDAMENTACIÓN Y MOTIVACIÓN. ARGUMENTOS QUE DEBEN EXAMINARSE PARA DETERMINAR LO FUNDADO O INFUNDADO DE UNA INCONFORMIDAD </w:t>
      </w:r>
      <w:r w:rsidRPr="00E11658">
        <w:rPr>
          <w:rFonts w:ascii="Palatino Linotype" w:hAnsi="Palatino Linotype"/>
          <w:b/>
          <w:i/>
          <w:noProof/>
          <w:lang w:eastAsia="es-MX"/>
        </w:rPr>
        <w:lastRenderedPageBreak/>
        <w:t>CUANDO SE ALEGA LA AUSENCIA DE AQUÉLLA O SE TACHA DE INDEBIDA.</w:t>
      </w:r>
      <w:r w:rsidRPr="00E11658">
        <w:rPr>
          <w:rFonts w:ascii="Palatino Linotype" w:hAnsi="Palatino Linotype"/>
          <w:i/>
          <w:noProof/>
          <w:lang w:eastAsia="es-MX"/>
        </w:rPr>
        <w:t xml:space="preserve">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expresados para explicar por qué la invocación de preceptos legales se estima errónea, o por qué la motivación es incorrecta o insuficiente, pues será a la luz de tales razones que pueda establecerse lo fundado o infundado de la inconformidad.</w:t>
      </w:r>
    </w:p>
    <w:p w14:paraId="544B3975" w14:textId="77777777" w:rsidR="006A5050" w:rsidRPr="00E11658" w:rsidRDefault="006A5050" w:rsidP="0078217C">
      <w:pPr>
        <w:spacing w:line="360" w:lineRule="auto"/>
        <w:jc w:val="both"/>
        <w:rPr>
          <w:rFonts w:ascii="Palatino Linotype" w:hAnsi="Palatino Linotype"/>
          <w:noProof/>
          <w:sz w:val="22"/>
          <w:szCs w:val="22"/>
          <w:lang w:eastAsia="es-MX"/>
        </w:rPr>
      </w:pPr>
    </w:p>
    <w:p w14:paraId="64E82DD2" w14:textId="77777777" w:rsidR="006A5050" w:rsidRPr="00E11658" w:rsidRDefault="006A5050" w:rsidP="0078217C">
      <w:pPr>
        <w:spacing w:line="360" w:lineRule="auto"/>
        <w:jc w:val="both"/>
        <w:rPr>
          <w:rFonts w:ascii="Palatino Linotype" w:hAnsi="Palatino Linotype"/>
          <w:noProof/>
          <w:sz w:val="22"/>
          <w:szCs w:val="22"/>
          <w:lang w:eastAsia="es-MX"/>
        </w:rPr>
      </w:pPr>
      <w:r w:rsidRPr="00E11658">
        <w:rPr>
          <w:rFonts w:ascii="Palatino Linotype" w:hAnsi="Palatino Linotype"/>
          <w:noProof/>
          <w:sz w:val="22"/>
          <w:szCs w:val="22"/>
          <w:lang w:eastAsia="es-MX"/>
        </w:rPr>
        <w:t xml:space="preserve">Aunado a lo anterior, como se señaló, no realizó la prueba de daño correspondiente, ni establece un plazo de reserva, de conformidad con los artículos 125, 128 y 129 de la </w:t>
      </w:r>
      <w:r w:rsidRPr="00E11658">
        <w:rPr>
          <w:rFonts w:ascii="Palatino Linotype" w:hAnsi="Palatino Linotype" w:cs="Tahoma"/>
          <w:noProof/>
          <w:sz w:val="22"/>
          <w:szCs w:val="22"/>
          <w:lang w:eastAsia="es-MX"/>
        </w:rPr>
        <w:t>Ley de Transparencia y Acceso a la Información Pública del Estado de México y Municipios</w:t>
      </w:r>
      <w:r w:rsidRPr="00E11658">
        <w:rPr>
          <w:rFonts w:ascii="Palatino Linotype" w:hAnsi="Palatino Linotype"/>
          <w:noProof/>
          <w:sz w:val="22"/>
          <w:szCs w:val="22"/>
          <w:lang w:eastAsia="es-MX"/>
        </w:rPr>
        <w:t>, situación que se robustece con lo señalado en la Tesis Aislada número I.10o.A.79 A (10a.), (Gaceta del Semanario Judicial de la Federación, Libro 60, Noviembre de 2018, Tomo III, pag. 2318) como se muestra a continuación:</w:t>
      </w:r>
    </w:p>
    <w:p w14:paraId="3A32B5D8" w14:textId="77777777" w:rsidR="006A5050" w:rsidRPr="00E11658" w:rsidRDefault="006A5050" w:rsidP="0078217C">
      <w:pPr>
        <w:spacing w:line="360" w:lineRule="auto"/>
        <w:jc w:val="both"/>
        <w:rPr>
          <w:rFonts w:ascii="Palatino Linotype" w:hAnsi="Palatino Linotype"/>
          <w:noProof/>
          <w:sz w:val="22"/>
          <w:szCs w:val="22"/>
          <w:lang w:eastAsia="es-MX"/>
        </w:rPr>
      </w:pPr>
    </w:p>
    <w:p w14:paraId="4676F02B" w14:textId="77777777" w:rsidR="006A5050" w:rsidRPr="00E11658" w:rsidRDefault="006A5050" w:rsidP="0078217C">
      <w:pPr>
        <w:spacing w:line="360" w:lineRule="auto"/>
        <w:ind w:left="567" w:right="616"/>
        <w:jc w:val="both"/>
        <w:rPr>
          <w:rFonts w:ascii="Palatino Linotype" w:hAnsi="Palatino Linotype"/>
          <w:b/>
          <w:bCs/>
          <w:i/>
          <w:iCs/>
          <w:noProof/>
          <w:lang w:eastAsia="es-MX"/>
        </w:rPr>
      </w:pPr>
      <w:r w:rsidRPr="00E11658">
        <w:rPr>
          <w:rFonts w:ascii="Palatino Linotype" w:hAnsi="Palatino Linotype"/>
          <w:b/>
          <w:bCs/>
          <w:i/>
          <w:iCs/>
          <w:noProof/>
          <w:lang w:eastAsia="es-MX"/>
        </w:rPr>
        <w:t>PRUEBA DE DAÑO EN LA CLASIFICACIÓN DE LA INFORMACIÓN PÚBLICA. SU VALIDEZ NO DEPENDE DE LOS MEDIOS DE PRUEBA QUE EL SUJETO OBLIGADO APORTE.</w:t>
      </w:r>
    </w:p>
    <w:p w14:paraId="5BE86D26" w14:textId="77777777" w:rsidR="006A5050" w:rsidRPr="00E11658" w:rsidRDefault="006A5050" w:rsidP="0078217C">
      <w:pPr>
        <w:spacing w:line="360" w:lineRule="auto"/>
        <w:ind w:left="567" w:right="616"/>
        <w:jc w:val="both"/>
        <w:rPr>
          <w:rFonts w:ascii="Palatino Linotype" w:hAnsi="Palatino Linotype"/>
          <w:i/>
          <w:iCs/>
          <w:noProof/>
          <w:lang w:eastAsia="es-MX"/>
        </w:rPr>
      </w:pPr>
    </w:p>
    <w:p w14:paraId="7EB0283D" w14:textId="77777777" w:rsidR="006A5050" w:rsidRPr="00E11658" w:rsidRDefault="006A5050" w:rsidP="0078217C">
      <w:pPr>
        <w:spacing w:line="360" w:lineRule="auto"/>
        <w:ind w:left="567" w:right="616"/>
        <w:jc w:val="both"/>
        <w:rPr>
          <w:rFonts w:ascii="Palatino Linotype" w:hAnsi="Palatino Linotype"/>
          <w:b/>
          <w:bCs/>
          <w:i/>
          <w:iCs/>
          <w:noProof/>
          <w:sz w:val="22"/>
          <w:szCs w:val="22"/>
          <w:u w:val="single"/>
          <w:lang w:eastAsia="es-MX"/>
        </w:rPr>
      </w:pPr>
      <w:r w:rsidRPr="00E11658">
        <w:rPr>
          <w:rFonts w:ascii="Palatino Linotype" w:hAnsi="Palatino Linotype"/>
          <w:i/>
          <w:iCs/>
          <w:noProof/>
          <w:lang w:eastAsia="es-MX"/>
        </w:rPr>
        <w:t xml:space="preserve">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w:t>
      </w:r>
      <w:r w:rsidRPr="00E11658">
        <w:rPr>
          <w:rFonts w:ascii="Palatino Linotype" w:hAnsi="Palatino Linotype"/>
          <w:i/>
          <w:iCs/>
          <w:noProof/>
          <w:lang w:eastAsia="es-MX"/>
        </w:rPr>
        <w:lastRenderedPageBreak/>
        <w:t>el Diario Oficial de la Federación el 15 de abril de 2016, la prueba de daño es la argumentación fundada y motivada que deben realizar los sujetos obligados para acreditar que la divulgación de la información lesiona un interés jurídicamente protegido y que el daño que puede producir es mayor que el interés de conocer ésta.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la prueba de daño establece líneas argumentativas mínimas que deben cursarse, a fin de constatar que la publicidad de la información solicitada no ocasionaría un daño a un interés jurídicamente protegido, ya sea de índole estatal o particular. Por tanto, al tratarse de un aspecto constreñido al ámbito argumentativo</w:t>
      </w:r>
      <w:r w:rsidRPr="00E11658">
        <w:rPr>
          <w:rFonts w:ascii="Palatino Linotype" w:hAnsi="Palatino Linotype"/>
          <w:b/>
          <w:bCs/>
          <w:i/>
          <w:iCs/>
          <w:noProof/>
          <w:u w:val="single"/>
          <w:lang w:eastAsia="es-MX"/>
        </w:rPr>
        <w:t>, la validez de la prueba de daño no depende de los medios de prueba que el sujeto obligado aporte, sino de la solidez del juicio de ponderación que se efectúe en los términos señalados</w:t>
      </w:r>
      <w:r w:rsidRPr="00E11658">
        <w:rPr>
          <w:rFonts w:ascii="Palatino Linotype" w:hAnsi="Palatino Linotype"/>
          <w:b/>
          <w:bCs/>
          <w:i/>
          <w:iCs/>
          <w:noProof/>
          <w:sz w:val="22"/>
          <w:szCs w:val="22"/>
          <w:u w:val="single"/>
          <w:lang w:eastAsia="es-MX"/>
        </w:rPr>
        <w:t>.</w:t>
      </w:r>
    </w:p>
    <w:p w14:paraId="47049968" w14:textId="77777777" w:rsidR="006A5050" w:rsidRPr="00E11658" w:rsidRDefault="006A5050" w:rsidP="0078217C">
      <w:pPr>
        <w:spacing w:line="360" w:lineRule="auto"/>
        <w:jc w:val="both"/>
        <w:rPr>
          <w:rFonts w:ascii="Palatino Linotype" w:hAnsi="Palatino Linotype"/>
          <w:noProof/>
          <w:sz w:val="22"/>
          <w:szCs w:val="22"/>
          <w:lang w:eastAsia="es-MX"/>
        </w:rPr>
      </w:pPr>
    </w:p>
    <w:p w14:paraId="167DFE54" w14:textId="77777777" w:rsidR="006A5050" w:rsidRPr="00E11658" w:rsidRDefault="006A5050" w:rsidP="0078217C">
      <w:pPr>
        <w:spacing w:line="360" w:lineRule="auto"/>
        <w:jc w:val="both"/>
        <w:rPr>
          <w:rFonts w:ascii="Palatino Linotype" w:hAnsi="Palatino Linotype"/>
          <w:noProof/>
          <w:sz w:val="22"/>
          <w:szCs w:val="22"/>
          <w:lang w:eastAsia="es-MX"/>
        </w:rPr>
      </w:pPr>
      <w:r w:rsidRPr="00E11658">
        <w:rPr>
          <w:rFonts w:ascii="Palatino Linotype" w:hAnsi="Palatino Linotype"/>
          <w:noProof/>
          <w:sz w:val="22"/>
          <w:szCs w:val="22"/>
          <w:lang w:eastAsia="es-MX"/>
        </w:rPr>
        <w:t xml:space="preserve">De lo anterior, se desprende que la información reservada, es aquella que cuando, de manera excepcional y por razones de interés público, su publicidad puede causar un daño al interés jurídico tutelado por la Ley, en alguno de los supuestos establecidos en el artículo 140 de la Ley de la materia, y desarrollar la prueba de daño de acuerdo a lo establecido en los Lineamientos Generales en materia de Clasificación y Desclasificación de la Información, así como para Elaboración de Versiones Públicas, misma que sera caso por caso, ya que no se podrá clasificar la información unicamente por estar vinculada con los supuestos establecidos en la Ley sino que además </w:t>
      </w:r>
      <w:r w:rsidRPr="00E11658">
        <w:rPr>
          <w:rFonts w:ascii="Palatino Linotype" w:hAnsi="Palatino Linotype"/>
          <w:b/>
          <w:bCs/>
          <w:noProof/>
          <w:sz w:val="22"/>
          <w:szCs w:val="22"/>
          <w:u w:val="single"/>
          <w:lang w:eastAsia="es-MX"/>
        </w:rPr>
        <w:t>se demostrara que efectivamente dar a conocer la información que se clasifica podría afectar las funciones y el actuar de los diversos susjetos obligados</w:t>
      </w:r>
      <w:r w:rsidRPr="00E11658">
        <w:rPr>
          <w:rFonts w:ascii="Palatino Linotype" w:hAnsi="Palatino Linotype"/>
          <w:noProof/>
          <w:sz w:val="22"/>
          <w:szCs w:val="22"/>
          <w:lang w:eastAsia="es-MX"/>
        </w:rPr>
        <w:t>.</w:t>
      </w:r>
    </w:p>
    <w:p w14:paraId="7A92A44B" w14:textId="77777777" w:rsidR="006A5050" w:rsidRPr="00E11658" w:rsidRDefault="006A5050" w:rsidP="0078217C">
      <w:pPr>
        <w:spacing w:line="360" w:lineRule="auto"/>
        <w:jc w:val="both"/>
        <w:rPr>
          <w:rFonts w:ascii="Palatino Linotype" w:hAnsi="Palatino Linotype"/>
          <w:noProof/>
          <w:sz w:val="22"/>
          <w:szCs w:val="22"/>
          <w:lang w:eastAsia="es-MX"/>
        </w:rPr>
      </w:pPr>
    </w:p>
    <w:p w14:paraId="66B5D1E5" w14:textId="77777777" w:rsidR="006A5050" w:rsidRPr="00E11658" w:rsidRDefault="006A5050" w:rsidP="0078217C">
      <w:pPr>
        <w:spacing w:line="360" w:lineRule="auto"/>
        <w:jc w:val="both"/>
        <w:rPr>
          <w:rFonts w:ascii="Palatino Linotype" w:hAnsi="Palatino Linotype"/>
          <w:noProof/>
          <w:sz w:val="22"/>
          <w:szCs w:val="22"/>
          <w:lang w:eastAsia="es-MX"/>
        </w:rPr>
      </w:pPr>
      <w:r w:rsidRPr="00E11658">
        <w:rPr>
          <w:rFonts w:ascii="Palatino Linotype" w:hAnsi="Palatino Linotype"/>
          <w:noProof/>
          <w:sz w:val="22"/>
          <w:szCs w:val="22"/>
          <w:lang w:eastAsia="es-MX"/>
        </w:rPr>
        <w:t xml:space="preserve">Dicha prueba de daño, consiste en exponer los argumentos y razones, basados en elementos verificables, a partir de los cuales se derive que la divulgación de información, en particular, </w:t>
      </w:r>
      <w:r w:rsidRPr="00E11658">
        <w:rPr>
          <w:rFonts w:ascii="Palatino Linotype" w:hAnsi="Palatino Linotype"/>
          <w:noProof/>
          <w:sz w:val="22"/>
          <w:szCs w:val="22"/>
          <w:lang w:eastAsia="es-MX"/>
        </w:rPr>
        <w:lastRenderedPageBreak/>
        <w:t>puede afectar, poner en riesgo o dañar el interés protegido. Asimismo, esta no debe basarse en meras especulaciones o suposiciones, sino en elementos objetivos que deban evaluar que existe un riego actual e inminente.</w:t>
      </w:r>
    </w:p>
    <w:p w14:paraId="684239BF" w14:textId="77777777" w:rsidR="006A5050" w:rsidRPr="00E11658" w:rsidRDefault="006A5050" w:rsidP="0078217C">
      <w:pPr>
        <w:spacing w:line="360" w:lineRule="auto"/>
        <w:jc w:val="both"/>
        <w:rPr>
          <w:rFonts w:ascii="Palatino Linotype" w:hAnsi="Palatino Linotype"/>
          <w:noProof/>
          <w:sz w:val="22"/>
          <w:szCs w:val="22"/>
          <w:lang w:eastAsia="es-MX"/>
        </w:rPr>
      </w:pPr>
    </w:p>
    <w:p w14:paraId="6F83E937" w14:textId="651ED577" w:rsidR="00221906" w:rsidRPr="00E11658" w:rsidRDefault="006A5050" w:rsidP="0078217C">
      <w:pPr>
        <w:spacing w:line="360" w:lineRule="auto"/>
        <w:jc w:val="both"/>
        <w:rPr>
          <w:rFonts w:ascii="Palatino Linotype" w:hAnsi="Palatino Linotype"/>
          <w:noProof/>
          <w:sz w:val="22"/>
          <w:szCs w:val="22"/>
          <w:lang w:eastAsia="es-MX"/>
        </w:rPr>
      </w:pPr>
      <w:r w:rsidRPr="00E11658">
        <w:rPr>
          <w:rFonts w:ascii="Palatino Linotype" w:hAnsi="Palatino Linotype"/>
          <w:noProof/>
          <w:sz w:val="22"/>
          <w:szCs w:val="22"/>
          <w:lang w:eastAsia="es-MX"/>
        </w:rPr>
        <w:t xml:space="preserve">Por lo señalado, es que el Sujeto Obligado no acreditó la clasificación de la información además de que la solicitud de información versa sobre cédulas de bases de datos, que como </w:t>
      </w:r>
      <w:bookmarkEnd w:id="23"/>
      <w:r w:rsidRPr="00E11658">
        <w:rPr>
          <w:rFonts w:ascii="Palatino Linotype" w:hAnsi="Palatino Linotype"/>
          <w:noProof/>
          <w:sz w:val="22"/>
          <w:szCs w:val="22"/>
          <w:lang w:eastAsia="es-MX"/>
        </w:rPr>
        <w:t>ya se señaló son públicas</w:t>
      </w:r>
      <w:r w:rsidR="00221906" w:rsidRPr="00E11658">
        <w:rPr>
          <w:rFonts w:ascii="Palatino Linotype" w:hAnsi="Palatino Linotype"/>
          <w:noProof/>
          <w:sz w:val="22"/>
          <w:szCs w:val="22"/>
          <w:lang w:eastAsia="es-MX"/>
        </w:rPr>
        <w:t xml:space="preserve"> en versión pública y no encuadran en el supuesto señalado en la fracción X del artículo 140, al no advertir de que forma se puedan relacionar con procesos o procedimientos administrativos o judiciales que no hayan quedado firmes, </w:t>
      </w:r>
    </w:p>
    <w:p w14:paraId="55A70B1E" w14:textId="4B588D77" w:rsidR="004E3D53" w:rsidRPr="00E11658" w:rsidRDefault="004E3D53" w:rsidP="0078217C">
      <w:pPr>
        <w:tabs>
          <w:tab w:val="left" w:pos="4962"/>
        </w:tabs>
        <w:spacing w:line="360" w:lineRule="auto"/>
        <w:contextualSpacing/>
        <w:jc w:val="both"/>
        <w:rPr>
          <w:rFonts w:ascii="Palatino Linotype" w:hAnsi="Palatino Linotype" w:cs="Tahoma"/>
          <w:bCs/>
          <w:sz w:val="22"/>
          <w:szCs w:val="22"/>
          <w:lang w:val="es-ES"/>
        </w:rPr>
      </w:pPr>
      <w:r w:rsidRPr="00E11658">
        <w:rPr>
          <w:rFonts w:ascii="Palatino Linotype" w:hAnsi="Palatino Linotype" w:cs="Tahoma"/>
          <w:sz w:val="22"/>
          <w:szCs w:val="22"/>
        </w:rPr>
        <w:t>Derivado de lo anterior,</w:t>
      </w:r>
      <w:r w:rsidR="00EC08A7" w:rsidRPr="00E11658">
        <w:rPr>
          <w:rFonts w:ascii="Palatino Linotype" w:hAnsi="Palatino Linotype" w:cs="Tahoma"/>
          <w:sz w:val="22"/>
          <w:szCs w:val="22"/>
        </w:rPr>
        <w:t xml:space="preserve"> lo procedente es ordenar las cédulas de bases de datos con las que cuenta el Sujeto Obligado a la fecha de la solicitud </w:t>
      </w:r>
      <w:r w:rsidRPr="00E11658">
        <w:rPr>
          <w:rFonts w:ascii="Palatino Linotype" w:hAnsi="Palatino Linotype" w:cs="Tahoma"/>
          <w:bCs/>
          <w:sz w:val="22"/>
          <w:szCs w:val="22"/>
          <w:lang w:val="es-ES"/>
        </w:rPr>
        <w:t>de conformidad con los artículos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55090CD1" w14:textId="77777777" w:rsidR="00EC08A7" w:rsidRPr="00E11658" w:rsidRDefault="00EC08A7" w:rsidP="0078217C">
      <w:pPr>
        <w:spacing w:line="360" w:lineRule="auto"/>
        <w:contextualSpacing/>
        <w:jc w:val="both"/>
        <w:rPr>
          <w:rFonts w:ascii="Palatino Linotype" w:hAnsi="Palatino Linotype" w:cs="Tahoma"/>
          <w:b/>
          <w:bCs/>
          <w:iCs/>
          <w:sz w:val="22"/>
          <w:szCs w:val="22"/>
        </w:rPr>
      </w:pPr>
    </w:p>
    <w:p w14:paraId="7284C946" w14:textId="77777777" w:rsidR="00941A1A" w:rsidRPr="00E11658" w:rsidRDefault="00941A1A" w:rsidP="0078217C">
      <w:pPr>
        <w:pStyle w:val="Ttulo2"/>
        <w:spacing w:before="0"/>
        <w:rPr>
          <w:rFonts w:ascii="Palatino Linotype" w:hAnsi="Palatino Linotype"/>
          <w:b/>
          <w:color w:val="auto"/>
          <w:sz w:val="22"/>
          <w:szCs w:val="22"/>
        </w:rPr>
      </w:pPr>
      <w:bookmarkStart w:id="24" w:name="_Toc205307000"/>
      <w:bookmarkStart w:id="25" w:name="_Toc212126700"/>
      <w:r w:rsidRPr="00E11658">
        <w:rPr>
          <w:rFonts w:ascii="Palatino Linotype" w:hAnsi="Palatino Linotype"/>
          <w:b/>
          <w:color w:val="auto"/>
          <w:sz w:val="22"/>
          <w:szCs w:val="22"/>
        </w:rPr>
        <w:t>SEXTO. Decisión</w:t>
      </w:r>
      <w:bookmarkEnd w:id="24"/>
      <w:bookmarkEnd w:id="25"/>
    </w:p>
    <w:p w14:paraId="6B2A6C60" w14:textId="77777777" w:rsidR="00941A1A" w:rsidRPr="00E11658" w:rsidRDefault="00941A1A" w:rsidP="0078217C">
      <w:pPr>
        <w:spacing w:line="360" w:lineRule="auto"/>
        <w:ind w:right="-93"/>
        <w:jc w:val="both"/>
        <w:rPr>
          <w:rFonts w:ascii="Palatino Linotype" w:hAnsi="Palatino Linotype" w:cs="Tahoma"/>
          <w:b/>
          <w:sz w:val="22"/>
          <w:szCs w:val="22"/>
        </w:rPr>
      </w:pPr>
    </w:p>
    <w:p w14:paraId="558C9915" w14:textId="3E4B6A4C" w:rsidR="00941A1A" w:rsidRPr="00E11658" w:rsidRDefault="00941A1A" w:rsidP="0078217C">
      <w:pPr>
        <w:spacing w:line="360" w:lineRule="auto"/>
        <w:ind w:right="-93"/>
        <w:jc w:val="both"/>
        <w:rPr>
          <w:rFonts w:ascii="Palatino Linotype" w:hAnsi="Palatino Linotype" w:cs="Tahoma"/>
          <w:sz w:val="22"/>
          <w:szCs w:val="22"/>
        </w:rPr>
      </w:pPr>
      <w:r w:rsidRPr="00E11658">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E11658">
        <w:rPr>
          <w:rFonts w:ascii="Palatino Linotype" w:hAnsi="Palatino Linotype" w:cs="Tahoma"/>
          <w:b/>
          <w:sz w:val="22"/>
          <w:szCs w:val="22"/>
        </w:rPr>
        <w:t xml:space="preserve">REVOCA </w:t>
      </w:r>
      <w:r w:rsidRPr="00E11658">
        <w:rPr>
          <w:rFonts w:ascii="Palatino Linotype" w:hAnsi="Palatino Linotype" w:cs="Tahoma"/>
          <w:sz w:val="22"/>
          <w:szCs w:val="22"/>
        </w:rPr>
        <w:t xml:space="preserve">la respuesta otorgada por el Sujeto Obligado a la solicitud de información </w:t>
      </w:r>
      <w:r w:rsidRPr="00E11658">
        <w:rPr>
          <w:rFonts w:ascii="Palatino Linotype" w:hAnsi="Palatino Linotype" w:cs="Tahoma"/>
          <w:b/>
          <w:bCs/>
          <w:sz w:val="22"/>
          <w:szCs w:val="22"/>
        </w:rPr>
        <w:t>00031/HUEYPOX/IP/2025</w:t>
      </w:r>
      <w:r w:rsidRPr="00E11658">
        <w:rPr>
          <w:rFonts w:ascii="Palatino Linotype" w:hAnsi="Palatino Linotype" w:cs="Tahoma"/>
          <w:sz w:val="22"/>
          <w:szCs w:val="22"/>
        </w:rPr>
        <w:t xml:space="preserve">, por resultar fundadas las razones o motivos de inconformidad hechos valer por el Recurrente, en el Recurso de Revisión </w:t>
      </w:r>
      <w:r w:rsidRPr="00E11658">
        <w:rPr>
          <w:rFonts w:ascii="Palatino Linotype" w:hAnsi="Palatino Linotype" w:cs="Tahoma"/>
          <w:b/>
          <w:sz w:val="22"/>
          <w:szCs w:val="22"/>
        </w:rPr>
        <w:t>03586/INFOEM/IP/RR/2025</w:t>
      </w:r>
      <w:r w:rsidRPr="00E11658">
        <w:rPr>
          <w:rFonts w:ascii="Palatino Linotype" w:hAnsi="Palatino Linotype" w:cs="Tahoma"/>
          <w:sz w:val="22"/>
          <w:szCs w:val="22"/>
        </w:rPr>
        <w:t xml:space="preserve">, en consecuencia procede </w:t>
      </w:r>
      <w:r w:rsidRPr="00E11658">
        <w:rPr>
          <w:rFonts w:ascii="Palatino Linotype" w:hAnsi="Palatino Linotype" w:cs="Tahoma"/>
          <w:b/>
          <w:sz w:val="22"/>
          <w:szCs w:val="22"/>
        </w:rPr>
        <w:t>ORDENAR</w:t>
      </w:r>
      <w:r w:rsidRPr="00E11658">
        <w:rPr>
          <w:rFonts w:ascii="Palatino Linotype" w:hAnsi="Palatino Linotype" w:cs="Tahoma"/>
          <w:sz w:val="22"/>
          <w:szCs w:val="22"/>
        </w:rPr>
        <w:t>, haga entrega de la información solicitada.</w:t>
      </w:r>
    </w:p>
    <w:p w14:paraId="2E1EE6B0" w14:textId="77777777" w:rsidR="00941A1A" w:rsidRPr="00E11658" w:rsidRDefault="00941A1A" w:rsidP="0078217C">
      <w:pPr>
        <w:spacing w:line="360" w:lineRule="auto"/>
        <w:contextualSpacing/>
        <w:jc w:val="both"/>
        <w:rPr>
          <w:rFonts w:ascii="Palatino Linotype" w:hAnsi="Palatino Linotype" w:cs="Tahoma"/>
          <w:b/>
          <w:bCs/>
          <w:iCs/>
          <w:sz w:val="22"/>
          <w:szCs w:val="22"/>
        </w:rPr>
      </w:pPr>
    </w:p>
    <w:p w14:paraId="573DA1B0" w14:textId="77777777" w:rsidR="00EC08A7" w:rsidRPr="00E11658" w:rsidRDefault="00EC08A7" w:rsidP="0078217C">
      <w:pPr>
        <w:spacing w:line="360" w:lineRule="auto"/>
        <w:contextualSpacing/>
        <w:jc w:val="both"/>
        <w:rPr>
          <w:rFonts w:ascii="Palatino Linotype" w:hAnsi="Palatino Linotype" w:cs="Tahoma"/>
          <w:b/>
          <w:bCs/>
          <w:iCs/>
          <w:sz w:val="22"/>
          <w:szCs w:val="22"/>
        </w:rPr>
      </w:pPr>
      <w:r w:rsidRPr="00E11658">
        <w:rPr>
          <w:rFonts w:ascii="Palatino Linotype" w:hAnsi="Palatino Linotype" w:cs="Tahoma"/>
          <w:b/>
          <w:bCs/>
          <w:iCs/>
          <w:sz w:val="22"/>
          <w:szCs w:val="22"/>
        </w:rPr>
        <w:t>Versión pública</w:t>
      </w:r>
    </w:p>
    <w:p w14:paraId="7270CF20" w14:textId="77777777" w:rsidR="00EC08A7" w:rsidRPr="00E11658" w:rsidRDefault="00EC08A7" w:rsidP="0078217C">
      <w:pPr>
        <w:spacing w:line="360" w:lineRule="auto"/>
        <w:contextualSpacing/>
        <w:jc w:val="both"/>
        <w:rPr>
          <w:rFonts w:ascii="Palatino Linotype" w:hAnsi="Palatino Linotype" w:cs="Tahoma"/>
          <w:bCs/>
          <w:iCs/>
          <w:sz w:val="22"/>
          <w:szCs w:val="22"/>
        </w:rPr>
      </w:pPr>
    </w:p>
    <w:p w14:paraId="6CC6F7EE" w14:textId="41477854" w:rsidR="00EC08A7" w:rsidRPr="00E11658" w:rsidRDefault="00EC08A7" w:rsidP="0078217C">
      <w:pPr>
        <w:spacing w:line="360" w:lineRule="auto"/>
        <w:contextualSpacing/>
        <w:jc w:val="both"/>
        <w:rPr>
          <w:rFonts w:ascii="Palatino Linotype" w:eastAsia="Palatino Linotype" w:hAnsi="Palatino Linotype" w:cs="Palatino Linotype"/>
          <w:sz w:val="22"/>
          <w:szCs w:val="22"/>
        </w:rPr>
      </w:pPr>
      <w:r w:rsidRPr="00E11658">
        <w:rPr>
          <w:rFonts w:ascii="Palatino Linotype" w:eastAsia="Palatino Linotype" w:hAnsi="Palatino Linotype" w:cs="Palatino Linotype"/>
          <w:sz w:val="22"/>
          <w:szCs w:val="22"/>
        </w:rPr>
        <w:lastRenderedPageBreak/>
        <w:t>Así, este Instituto considera que el Sujeto Obligado deberá proporcionar lo solicitado,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82268AA" w14:textId="77777777" w:rsidR="00EC08A7" w:rsidRPr="00E11658" w:rsidRDefault="00EC08A7" w:rsidP="0078217C">
      <w:pPr>
        <w:spacing w:line="360" w:lineRule="auto"/>
        <w:contextualSpacing/>
        <w:jc w:val="both"/>
        <w:rPr>
          <w:rFonts w:ascii="Palatino Linotype" w:eastAsia="Palatino Linotype" w:hAnsi="Palatino Linotype" w:cs="Palatino Linotype"/>
          <w:sz w:val="22"/>
          <w:szCs w:val="22"/>
        </w:rPr>
      </w:pPr>
      <w:r w:rsidRPr="00E11658">
        <w:rPr>
          <w:rFonts w:ascii="Palatino Linotype" w:eastAsia="Palatino Linotype" w:hAnsi="Palatino Linotype" w:cs="Palatino Linotype"/>
          <w:sz w:val="22"/>
          <w:szCs w:val="22"/>
        </w:rPr>
        <w:t xml:space="preserve"> </w:t>
      </w:r>
    </w:p>
    <w:p w14:paraId="4B15F755" w14:textId="77777777" w:rsidR="00EC08A7" w:rsidRPr="00E11658" w:rsidRDefault="00EC08A7" w:rsidP="0078217C">
      <w:pPr>
        <w:spacing w:line="360" w:lineRule="auto"/>
        <w:contextualSpacing/>
        <w:jc w:val="both"/>
        <w:rPr>
          <w:rFonts w:ascii="Palatino Linotype" w:eastAsia="Palatino Linotype" w:hAnsi="Palatino Linotype" w:cs="Palatino Linotype"/>
          <w:sz w:val="22"/>
          <w:szCs w:val="22"/>
        </w:rPr>
      </w:pPr>
      <w:r w:rsidRPr="00E11658">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F1AEE80" w14:textId="77777777" w:rsidR="00941A1A" w:rsidRPr="00E11658" w:rsidRDefault="00941A1A" w:rsidP="0078217C">
      <w:pPr>
        <w:spacing w:line="360" w:lineRule="auto"/>
        <w:jc w:val="both"/>
        <w:rPr>
          <w:rFonts w:ascii="Palatino Linotype" w:eastAsia="Palatino Linotype" w:hAnsi="Palatino Linotype" w:cs="Palatino Linotype"/>
          <w:sz w:val="22"/>
          <w:szCs w:val="22"/>
          <w:lang w:eastAsia="es-MX"/>
        </w:rPr>
      </w:pPr>
    </w:p>
    <w:p w14:paraId="3396F9EC" w14:textId="50CB1847" w:rsidR="00EC08A7" w:rsidRPr="00E11658" w:rsidRDefault="00EC08A7" w:rsidP="0078217C">
      <w:pPr>
        <w:spacing w:line="360" w:lineRule="auto"/>
        <w:jc w:val="both"/>
        <w:rPr>
          <w:rFonts w:ascii="Palatino Linotype" w:hAnsi="Palatino Linotype" w:cs="Tahoma"/>
          <w:b/>
          <w:bCs/>
          <w:sz w:val="22"/>
          <w:szCs w:val="22"/>
        </w:rPr>
      </w:pPr>
      <w:r w:rsidRPr="00E11658">
        <w:rPr>
          <w:rFonts w:ascii="Palatino Linotype" w:hAnsi="Palatino Linotype" w:cs="Tahoma"/>
          <w:b/>
          <w:bCs/>
          <w:sz w:val="22"/>
          <w:szCs w:val="22"/>
        </w:rPr>
        <w:t>Términos de la Resolución p</w:t>
      </w:r>
      <w:r w:rsidR="008C5D29" w:rsidRPr="00E11658">
        <w:rPr>
          <w:rFonts w:ascii="Palatino Linotype" w:hAnsi="Palatino Linotype" w:cs="Tahoma"/>
          <w:b/>
          <w:bCs/>
          <w:sz w:val="22"/>
          <w:szCs w:val="22"/>
        </w:rPr>
        <w:t>ara conocimiento del Particular</w:t>
      </w:r>
    </w:p>
    <w:p w14:paraId="41FEAB73" w14:textId="77777777" w:rsidR="00EC08A7" w:rsidRPr="00E11658" w:rsidRDefault="00EC08A7" w:rsidP="0078217C">
      <w:pPr>
        <w:spacing w:line="360" w:lineRule="auto"/>
        <w:jc w:val="both"/>
        <w:rPr>
          <w:rFonts w:ascii="Palatino Linotype" w:hAnsi="Palatino Linotype" w:cs="Tahoma"/>
          <w:b/>
          <w:bCs/>
          <w:sz w:val="22"/>
          <w:szCs w:val="22"/>
        </w:rPr>
      </w:pPr>
    </w:p>
    <w:p w14:paraId="62043703" w14:textId="73CD2AB6" w:rsidR="00EC08A7" w:rsidRPr="00E11658" w:rsidRDefault="00EC08A7" w:rsidP="0078217C">
      <w:pPr>
        <w:spacing w:line="360" w:lineRule="auto"/>
        <w:jc w:val="both"/>
        <w:rPr>
          <w:rFonts w:ascii="Palatino Linotype" w:hAnsi="Palatino Linotype" w:cs="Tahoma"/>
          <w:sz w:val="22"/>
          <w:szCs w:val="22"/>
        </w:rPr>
      </w:pPr>
      <w:r w:rsidRPr="00E11658">
        <w:rPr>
          <w:rFonts w:ascii="Palatino Linotype" w:hAnsi="Palatino Linotype" w:cs="Tahoma"/>
          <w:sz w:val="22"/>
          <w:szCs w:val="22"/>
        </w:rPr>
        <w:t>Se le hace del conocimiento a la persona Recurrente que, en el presente asunto, se le da la razón, pues el Ayuntamiento de Hueypoxtla no otorgó los documentos que son de su interés y los documentos solicitados son públicos.</w:t>
      </w:r>
      <w:r w:rsidR="00941A1A" w:rsidRPr="00E11658">
        <w:rPr>
          <w:rFonts w:ascii="Palatino Linotype" w:hAnsi="Palatino Linotype" w:cs="Tahoma"/>
          <w:sz w:val="22"/>
          <w:szCs w:val="22"/>
        </w:rPr>
        <w:t xml:space="preserve"> </w:t>
      </w:r>
      <w:r w:rsidRPr="00E11658">
        <w:rPr>
          <w:rFonts w:ascii="Palatino Linotype" w:hAnsi="Palatino Linotype" w:cs="Tahoma"/>
          <w:sz w:val="22"/>
          <w:szCs w:val="22"/>
        </w:rPr>
        <w:t>Por ello, usted debe recibir a través del Sistema de Acceso a la Información Mexiquense (SAIMEX) la información solicitada.</w:t>
      </w:r>
    </w:p>
    <w:p w14:paraId="56BF5EEE" w14:textId="77777777" w:rsidR="00EC08A7" w:rsidRPr="00E11658" w:rsidRDefault="00EC08A7" w:rsidP="0078217C">
      <w:pPr>
        <w:spacing w:line="360" w:lineRule="auto"/>
        <w:jc w:val="both"/>
        <w:rPr>
          <w:rFonts w:ascii="Palatino Linotype" w:hAnsi="Palatino Linotype" w:cs="Tahoma"/>
          <w:sz w:val="22"/>
          <w:szCs w:val="22"/>
        </w:rPr>
      </w:pPr>
    </w:p>
    <w:p w14:paraId="3921B92D" w14:textId="3B285540" w:rsidR="00EC08A7" w:rsidRPr="00E11658" w:rsidRDefault="00E42658" w:rsidP="0078217C">
      <w:pPr>
        <w:spacing w:line="360" w:lineRule="auto"/>
        <w:jc w:val="both"/>
        <w:rPr>
          <w:rFonts w:ascii="Palatino Linotype" w:hAnsi="Palatino Linotype" w:cs="Tahoma"/>
          <w:sz w:val="22"/>
          <w:szCs w:val="22"/>
        </w:rPr>
      </w:pPr>
      <w:r w:rsidRPr="00E11658">
        <w:rPr>
          <w:rFonts w:ascii="Palatino Linotype" w:hAnsi="Palatino Linotype" w:cs="Tahoma"/>
          <w:sz w:val="22"/>
          <w:szCs w:val="22"/>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D127AE2" w14:textId="77777777" w:rsidR="00E42658" w:rsidRPr="00E11658" w:rsidRDefault="00E42658" w:rsidP="0078217C">
      <w:pPr>
        <w:spacing w:line="360" w:lineRule="auto"/>
        <w:jc w:val="both"/>
        <w:rPr>
          <w:rFonts w:ascii="Palatino Linotype" w:hAnsi="Palatino Linotype" w:cs="Tahoma"/>
          <w:sz w:val="22"/>
          <w:szCs w:val="22"/>
        </w:rPr>
      </w:pPr>
    </w:p>
    <w:p w14:paraId="5DC9C17F" w14:textId="77777777" w:rsidR="00EC08A7" w:rsidRPr="00E11658" w:rsidRDefault="00EC08A7" w:rsidP="0078217C">
      <w:pPr>
        <w:spacing w:line="360" w:lineRule="auto"/>
        <w:jc w:val="both"/>
        <w:rPr>
          <w:rFonts w:ascii="Palatino Linotype" w:hAnsi="Palatino Linotype" w:cs="Tahoma"/>
          <w:bCs/>
          <w:sz w:val="22"/>
          <w:szCs w:val="22"/>
        </w:rPr>
      </w:pPr>
      <w:r w:rsidRPr="00E11658">
        <w:rPr>
          <w:rFonts w:ascii="Palatino Linotype" w:hAnsi="Palatino Linotype" w:cs="Tahoma"/>
          <w:bCs/>
          <w:sz w:val="22"/>
          <w:szCs w:val="22"/>
        </w:rPr>
        <w:t>Por lo expuesto y fundado, este Pleno:</w:t>
      </w:r>
    </w:p>
    <w:p w14:paraId="49AA909E" w14:textId="452B793A" w:rsidR="00EC08A7" w:rsidRPr="00E11658" w:rsidRDefault="00EC08A7" w:rsidP="008C5D29">
      <w:pPr>
        <w:pStyle w:val="Ttulo2"/>
        <w:spacing w:before="0"/>
        <w:jc w:val="center"/>
        <w:rPr>
          <w:rFonts w:ascii="Palatino Linotype" w:hAnsi="Palatino Linotype"/>
          <w:b/>
          <w:color w:val="auto"/>
          <w:sz w:val="22"/>
          <w:szCs w:val="22"/>
        </w:rPr>
      </w:pPr>
      <w:bookmarkStart w:id="26" w:name="_Toc189676782"/>
      <w:bookmarkStart w:id="27" w:name="_Toc212126701"/>
      <w:r w:rsidRPr="00E11658">
        <w:rPr>
          <w:rFonts w:ascii="Palatino Linotype" w:hAnsi="Palatino Linotype"/>
          <w:b/>
          <w:color w:val="auto"/>
          <w:sz w:val="22"/>
          <w:szCs w:val="22"/>
        </w:rPr>
        <w:lastRenderedPageBreak/>
        <w:t>R E S U E L V E</w:t>
      </w:r>
      <w:bookmarkEnd w:id="26"/>
      <w:bookmarkEnd w:id="27"/>
    </w:p>
    <w:p w14:paraId="2F7ADDE8" w14:textId="77777777" w:rsidR="00EC08A7" w:rsidRPr="00E11658" w:rsidRDefault="00EC08A7" w:rsidP="0078217C">
      <w:pPr>
        <w:spacing w:line="360" w:lineRule="auto"/>
        <w:jc w:val="both"/>
        <w:rPr>
          <w:rFonts w:ascii="Palatino Linotype" w:hAnsi="Palatino Linotype" w:cs="Tahoma"/>
          <w:b/>
          <w:bCs/>
          <w:sz w:val="22"/>
          <w:szCs w:val="22"/>
        </w:rPr>
      </w:pPr>
    </w:p>
    <w:p w14:paraId="179FE553" w14:textId="11AA0B9F" w:rsidR="00EC08A7" w:rsidRPr="00E11658" w:rsidRDefault="00EC08A7" w:rsidP="0078217C">
      <w:pPr>
        <w:spacing w:line="360" w:lineRule="auto"/>
        <w:jc w:val="both"/>
        <w:rPr>
          <w:rFonts w:ascii="Palatino Linotype" w:hAnsi="Palatino Linotype" w:cs="Tahoma"/>
          <w:sz w:val="22"/>
          <w:szCs w:val="22"/>
        </w:rPr>
      </w:pPr>
      <w:r w:rsidRPr="00E11658">
        <w:rPr>
          <w:rFonts w:ascii="Palatino Linotype" w:hAnsi="Palatino Linotype" w:cs="Tahoma"/>
          <w:b/>
          <w:sz w:val="22"/>
          <w:szCs w:val="22"/>
        </w:rPr>
        <w:t xml:space="preserve">PRIMERO. </w:t>
      </w:r>
      <w:r w:rsidRPr="00E11658">
        <w:rPr>
          <w:rFonts w:ascii="Palatino Linotype" w:hAnsi="Palatino Linotype" w:cs="Tahoma"/>
          <w:sz w:val="22"/>
          <w:szCs w:val="22"/>
        </w:rPr>
        <w:t xml:space="preserve">Se </w:t>
      </w:r>
      <w:r w:rsidRPr="00E11658">
        <w:rPr>
          <w:rFonts w:ascii="Palatino Linotype" w:hAnsi="Palatino Linotype" w:cs="Tahoma"/>
          <w:b/>
          <w:sz w:val="22"/>
          <w:szCs w:val="22"/>
        </w:rPr>
        <w:t xml:space="preserve">REVOCA </w:t>
      </w:r>
      <w:r w:rsidRPr="00E11658">
        <w:rPr>
          <w:rFonts w:ascii="Palatino Linotype" w:hAnsi="Palatino Linotype" w:cs="Tahoma"/>
          <w:sz w:val="22"/>
          <w:szCs w:val="22"/>
        </w:rPr>
        <w:t xml:space="preserve">la respuesta entregada por el Ayuntamiento de Hueypoxtla, a la solicitud de información 00031/HUEYPOX/IP/2025, por resultar </w:t>
      </w:r>
      <w:r w:rsidRPr="00E11658">
        <w:rPr>
          <w:rFonts w:ascii="Palatino Linotype" w:hAnsi="Palatino Linotype" w:cs="Tahoma"/>
          <w:b/>
          <w:bCs/>
          <w:sz w:val="22"/>
          <w:szCs w:val="22"/>
        </w:rPr>
        <w:t>FUNDADAS</w:t>
      </w:r>
      <w:r w:rsidRPr="00E11658">
        <w:rPr>
          <w:rFonts w:ascii="Palatino Linotype" w:hAnsi="Palatino Linotype" w:cs="Tahoma"/>
          <w:b/>
          <w:sz w:val="22"/>
          <w:szCs w:val="22"/>
        </w:rPr>
        <w:t xml:space="preserve"> </w:t>
      </w:r>
      <w:r w:rsidRPr="00E11658">
        <w:rPr>
          <w:rFonts w:ascii="Palatino Linotype" w:hAnsi="Palatino Linotype" w:cs="Tahoma"/>
          <w:sz w:val="22"/>
          <w:szCs w:val="22"/>
        </w:rPr>
        <w:t>las razones o motivos de inconformidad hechos valer por la persona Recurrente, en términos de los considerandos QUINTO y SEXTO de la presente Resolución.</w:t>
      </w:r>
    </w:p>
    <w:p w14:paraId="6C2D6509" w14:textId="77777777" w:rsidR="00EC08A7" w:rsidRPr="00E11658" w:rsidRDefault="00EC08A7" w:rsidP="0078217C">
      <w:pPr>
        <w:spacing w:line="360" w:lineRule="auto"/>
        <w:jc w:val="both"/>
        <w:rPr>
          <w:rFonts w:ascii="Palatino Linotype" w:hAnsi="Palatino Linotype" w:cs="Tahoma"/>
          <w:sz w:val="22"/>
          <w:szCs w:val="22"/>
        </w:rPr>
      </w:pPr>
    </w:p>
    <w:p w14:paraId="7C2C2705" w14:textId="148F3E70" w:rsidR="00EC08A7" w:rsidRPr="00E11658" w:rsidRDefault="00EC08A7" w:rsidP="0078217C">
      <w:pPr>
        <w:spacing w:line="360" w:lineRule="auto"/>
        <w:jc w:val="both"/>
        <w:rPr>
          <w:rFonts w:ascii="Palatino Linotype" w:hAnsi="Palatino Linotype" w:cs="Tahoma"/>
          <w:bCs/>
          <w:szCs w:val="22"/>
        </w:rPr>
      </w:pPr>
      <w:r w:rsidRPr="00E11658">
        <w:rPr>
          <w:rFonts w:ascii="Palatino Linotype" w:hAnsi="Palatino Linotype" w:cs="Tahoma"/>
          <w:b/>
          <w:sz w:val="22"/>
          <w:szCs w:val="22"/>
        </w:rPr>
        <w:t xml:space="preserve">SEGUNDO. </w:t>
      </w:r>
      <w:r w:rsidRPr="00E11658">
        <w:rPr>
          <w:rFonts w:ascii="Palatino Linotype" w:hAnsi="Palatino Linotype" w:cs="Tahoma"/>
          <w:sz w:val="22"/>
          <w:szCs w:val="22"/>
        </w:rPr>
        <w:t xml:space="preserve">Se </w:t>
      </w:r>
      <w:r w:rsidRPr="00E11658">
        <w:rPr>
          <w:rFonts w:ascii="Palatino Linotype" w:hAnsi="Palatino Linotype" w:cs="Tahoma"/>
          <w:b/>
          <w:sz w:val="22"/>
          <w:szCs w:val="22"/>
        </w:rPr>
        <w:t>ORDENA</w:t>
      </w:r>
      <w:r w:rsidRPr="00E11658">
        <w:rPr>
          <w:rFonts w:ascii="Palatino Linotype" w:hAnsi="Palatino Linotype" w:cs="Tahoma"/>
          <w:sz w:val="22"/>
          <w:szCs w:val="22"/>
        </w:rPr>
        <w:t xml:space="preserve"> al Sujeto Obligado</w:t>
      </w:r>
      <w:r w:rsidRPr="00E11658">
        <w:rPr>
          <w:rFonts w:ascii="Palatino Linotype" w:hAnsi="Palatino Linotype" w:cs="Tahoma"/>
          <w:b/>
          <w:sz w:val="22"/>
          <w:szCs w:val="22"/>
        </w:rPr>
        <w:t xml:space="preserve">, </w:t>
      </w:r>
      <w:r w:rsidRPr="00E11658">
        <w:rPr>
          <w:rFonts w:ascii="Palatino Linotype" w:hAnsi="Palatino Linotype" w:cs="Tahoma"/>
          <w:sz w:val="22"/>
          <w:szCs w:val="22"/>
        </w:rPr>
        <w:t xml:space="preserve">a efecto de que previa búsqueda exhaustiva y razonable, entregue a través del Sistema de Acceso a la Información Mexiquense (SAIMEX), en versión pública, las cédulas de bases de datos </w:t>
      </w:r>
      <w:r w:rsidR="00442DB4" w:rsidRPr="00E11658">
        <w:rPr>
          <w:rFonts w:ascii="Palatino Linotype" w:hAnsi="Palatino Linotype" w:cs="Tahoma"/>
          <w:sz w:val="22"/>
          <w:szCs w:val="22"/>
        </w:rPr>
        <w:t>vigentes</w:t>
      </w:r>
      <w:r w:rsidRPr="00E11658">
        <w:rPr>
          <w:rFonts w:ascii="Palatino Linotype" w:hAnsi="Palatino Linotype" w:cs="Tahoma"/>
          <w:sz w:val="22"/>
          <w:szCs w:val="22"/>
        </w:rPr>
        <w:t xml:space="preserve"> al </w:t>
      </w:r>
      <w:r w:rsidR="00695BC3" w:rsidRPr="00E11658">
        <w:rPr>
          <w:rFonts w:ascii="Palatino Linotype" w:hAnsi="Palatino Linotype" w:cs="Tahoma"/>
          <w:sz w:val="22"/>
          <w:szCs w:val="22"/>
        </w:rPr>
        <w:t>cuatro</w:t>
      </w:r>
      <w:r w:rsidRPr="00E11658">
        <w:rPr>
          <w:rFonts w:ascii="Palatino Linotype" w:hAnsi="Palatino Linotype" w:cs="Tahoma"/>
          <w:sz w:val="22"/>
          <w:szCs w:val="22"/>
        </w:rPr>
        <w:t xml:space="preserve"> de marzo de dos mil veinticinco. </w:t>
      </w:r>
    </w:p>
    <w:p w14:paraId="44E1D4D7" w14:textId="77777777" w:rsidR="00EC08A7" w:rsidRPr="00E11658" w:rsidRDefault="00EC08A7" w:rsidP="0078217C">
      <w:pPr>
        <w:spacing w:line="360" w:lineRule="auto"/>
        <w:jc w:val="both"/>
        <w:rPr>
          <w:rFonts w:ascii="Palatino Linotype" w:hAnsi="Palatino Linotype" w:cs="Tahoma"/>
          <w:bCs/>
          <w:sz w:val="22"/>
          <w:szCs w:val="22"/>
        </w:rPr>
      </w:pPr>
    </w:p>
    <w:p w14:paraId="26AF16D8" w14:textId="7522E4A9" w:rsidR="00EC08A7" w:rsidRPr="00E11658" w:rsidRDefault="00EC08A7" w:rsidP="0078217C">
      <w:pPr>
        <w:spacing w:line="360" w:lineRule="auto"/>
        <w:jc w:val="both"/>
        <w:rPr>
          <w:rFonts w:ascii="Palatino Linotype" w:hAnsi="Palatino Linotype" w:cs="Tahoma"/>
          <w:bCs/>
          <w:iCs/>
          <w:sz w:val="22"/>
          <w:szCs w:val="22"/>
        </w:rPr>
      </w:pPr>
      <w:r w:rsidRPr="00E11658">
        <w:rPr>
          <w:rFonts w:ascii="Palatino Linotype" w:hAnsi="Palatino Linotype" w:cs="Tahoma"/>
          <w:bCs/>
          <w:iCs/>
          <w:sz w:val="22"/>
          <w:szCs w:val="22"/>
        </w:rPr>
        <w:t>Además,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r w:rsidR="00695BC3" w:rsidRPr="00E11658">
        <w:rPr>
          <w:rFonts w:ascii="Palatino Linotype" w:hAnsi="Palatino Linotype" w:cs="Tahoma"/>
          <w:bCs/>
          <w:iCs/>
          <w:sz w:val="22"/>
          <w:szCs w:val="22"/>
        </w:rPr>
        <w:t xml:space="preserve"> y 35 de la Ley de Datos Personales en Posesión de Sujetos Obligados del Estado de México y Municipios. </w:t>
      </w:r>
    </w:p>
    <w:p w14:paraId="260C3509" w14:textId="77777777" w:rsidR="00EC08A7" w:rsidRPr="00E11658" w:rsidRDefault="00EC08A7" w:rsidP="0078217C">
      <w:pPr>
        <w:spacing w:line="360" w:lineRule="auto"/>
        <w:jc w:val="both"/>
        <w:rPr>
          <w:rFonts w:ascii="Palatino Linotype" w:hAnsi="Palatino Linotype" w:cs="Tahoma"/>
          <w:bCs/>
          <w:iCs/>
          <w:sz w:val="22"/>
          <w:szCs w:val="22"/>
        </w:rPr>
      </w:pPr>
    </w:p>
    <w:p w14:paraId="5DE3AFB2" w14:textId="7240227B" w:rsidR="00EC08A7" w:rsidRPr="00E11658" w:rsidRDefault="00EC08A7" w:rsidP="0078217C">
      <w:pPr>
        <w:spacing w:line="360" w:lineRule="auto"/>
        <w:jc w:val="both"/>
        <w:rPr>
          <w:rFonts w:ascii="Palatino Linotype" w:hAnsi="Palatino Linotype" w:cs="Tahoma"/>
          <w:b/>
          <w:sz w:val="22"/>
          <w:szCs w:val="22"/>
        </w:rPr>
      </w:pPr>
      <w:r w:rsidRPr="00E11658">
        <w:rPr>
          <w:rFonts w:ascii="Palatino Linotype" w:hAnsi="Palatino Linotype" w:cs="Tahoma"/>
          <w:b/>
          <w:sz w:val="22"/>
          <w:szCs w:val="22"/>
        </w:rPr>
        <w:t xml:space="preserve">TERCERO. NOTIFÍQUESE POR SAIMEX </w:t>
      </w:r>
      <w:r w:rsidRPr="00E11658">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w:t>
      </w:r>
      <w:r w:rsidR="00E42658" w:rsidRPr="00E11658">
        <w:rPr>
          <w:rFonts w:ascii="Palatino Linotype" w:hAnsi="Palatino Linotype" w:cs="Tahoma"/>
          <w:sz w:val="22"/>
          <w:szCs w:val="22"/>
        </w:rPr>
        <w:t>Ley de Transparencia y Acceso a la Información Pública del Estado de México y Municipios</w:t>
      </w:r>
      <w:r w:rsidRPr="00E11658">
        <w:rPr>
          <w:rFonts w:ascii="Palatino Linotype" w:hAnsi="Palatino Linotype" w:cs="Tahoma"/>
          <w:sz w:val="22"/>
          <w:szCs w:val="22"/>
        </w:rPr>
        <w:t>.</w:t>
      </w:r>
    </w:p>
    <w:p w14:paraId="02D82100" w14:textId="77777777" w:rsidR="00EC08A7" w:rsidRPr="00E11658" w:rsidRDefault="00EC08A7" w:rsidP="0078217C">
      <w:pPr>
        <w:spacing w:line="360" w:lineRule="auto"/>
        <w:jc w:val="both"/>
        <w:rPr>
          <w:rFonts w:ascii="Palatino Linotype" w:hAnsi="Palatino Linotype" w:cs="Tahoma"/>
          <w:sz w:val="22"/>
          <w:szCs w:val="22"/>
        </w:rPr>
      </w:pPr>
    </w:p>
    <w:p w14:paraId="3876AE9A" w14:textId="77777777" w:rsidR="00EC08A7" w:rsidRPr="00E11658" w:rsidRDefault="00EC08A7" w:rsidP="0078217C">
      <w:pPr>
        <w:spacing w:line="360" w:lineRule="auto"/>
        <w:jc w:val="both"/>
        <w:rPr>
          <w:rFonts w:ascii="Palatino Linotype" w:hAnsi="Palatino Linotype" w:cs="Tahoma"/>
          <w:sz w:val="22"/>
          <w:szCs w:val="22"/>
        </w:rPr>
      </w:pPr>
      <w:r w:rsidRPr="00E11658">
        <w:rPr>
          <w:rFonts w:ascii="Palatino Linotype" w:hAnsi="Palatino Linotype" w:cs="Tahoma"/>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C152D3A" w14:textId="77777777" w:rsidR="00EC08A7" w:rsidRPr="00E11658" w:rsidRDefault="00EC08A7" w:rsidP="0078217C">
      <w:pPr>
        <w:spacing w:line="360" w:lineRule="auto"/>
        <w:jc w:val="both"/>
        <w:rPr>
          <w:rFonts w:ascii="Palatino Linotype" w:hAnsi="Palatino Linotype" w:cs="Tahoma"/>
          <w:sz w:val="22"/>
          <w:szCs w:val="22"/>
        </w:rPr>
      </w:pPr>
    </w:p>
    <w:p w14:paraId="1374EE67" w14:textId="77777777" w:rsidR="00EC08A7" w:rsidRPr="00E11658" w:rsidRDefault="00EC08A7" w:rsidP="0078217C">
      <w:pPr>
        <w:spacing w:line="360" w:lineRule="auto"/>
        <w:jc w:val="both"/>
        <w:rPr>
          <w:rFonts w:ascii="Palatino Linotype" w:hAnsi="Palatino Linotype" w:cs="Tahoma"/>
          <w:sz w:val="22"/>
          <w:szCs w:val="22"/>
        </w:rPr>
      </w:pPr>
      <w:r w:rsidRPr="00E11658">
        <w:rPr>
          <w:rFonts w:ascii="Palatino Linotype" w:hAnsi="Palatino Linotype" w:cs="Tahoma"/>
          <w:b/>
          <w:bCs/>
          <w:sz w:val="22"/>
          <w:szCs w:val="22"/>
        </w:rPr>
        <w:t xml:space="preserve">CUARTO. </w:t>
      </w:r>
      <w:r w:rsidRPr="00E11658">
        <w:rPr>
          <w:rFonts w:ascii="Palatino Linotype" w:hAnsi="Palatino Linotype" w:cs="Tahoma"/>
          <w:b/>
          <w:sz w:val="22"/>
          <w:szCs w:val="22"/>
        </w:rPr>
        <w:t>NOTIFÍQUESE POR SAIMEX</w:t>
      </w:r>
      <w:r w:rsidRPr="00E11658">
        <w:rPr>
          <w:rFonts w:ascii="Palatino Linotype" w:hAnsi="Palatino Linotype" w:cs="Tahoma"/>
          <w:sz w:val="22"/>
          <w:szCs w:val="22"/>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3DB8A6DA" w14:textId="77777777" w:rsidR="005E6AEF" w:rsidRPr="00E11658" w:rsidRDefault="005E6AEF" w:rsidP="0078217C">
      <w:pPr>
        <w:spacing w:line="360" w:lineRule="auto"/>
        <w:jc w:val="both"/>
        <w:rPr>
          <w:rFonts w:ascii="Palatino Linotype" w:hAnsi="Palatino Linotype" w:cs="Tahoma"/>
          <w:sz w:val="22"/>
          <w:szCs w:val="22"/>
          <w:lang w:val="es-ES"/>
        </w:rPr>
      </w:pPr>
    </w:p>
    <w:p w14:paraId="6FE5D641" w14:textId="0AC7600C" w:rsidR="00803E3D" w:rsidRDefault="00803E3D" w:rsidP="0078217C">
      <w:pPr>
        <w:spacing w:line="360" w:lineRule="auto"/>
        <w:contextualSpacing/>
        <w:jc w:val="both"/>
        <w:rPr>
          <w:rFonts w:ascii="Palatino Linotype" w:hAnsi="Palatino Linotype" w:cs="Tahoma"/>
          <w:sz w:val="22"/>
          <w:szCs w:val="22"/>
        </w:rPr>
      </w:pPr>
      <w:r w:rsidRPr="00E11658">
        <w:rPr>
          <w:rFonts w:ascii="Palatino Linotype" w:hAnsi="Palatino Linotype" w:cs="Tahoma"/>
          <w:sz w:val="22"/>
          <w:szCs w:val="22"/>
          <w:lang w:eastAsia="es-MX"/>
        </w:rPr>
        <w:t xml:space="preserve">ASÍ LO RESUELVE, POR </w:t>
      </w:r>
      <w:r w:rsidRPr="00E11658">
        <w:rPr>
          <w:rFonts w:ascii="Palatino Linotype" w:hAnsi="Palatino Linotype" w:cs="Tahoma"/>
          <w:b/>
          <w:sz w:val="22"/>
          <w:szCs w:val="22"/>
          <w:lang w:eastAsia="es-MX"/>
        </w:rPr>
        <w:t>UNANIMIDAD</w:t>
      </w:r>
      <w:r w:rsidRPr="00E11658">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E11658">
        <w:rPr>
          <w:rFonts w:ascii="Palatino Linotype" w:hAnsi="Palatino Linotype" w:cs="Tahoma"/>
          <w:sz w:val="22"/>
          <w:szCs w:val="22"/>
          <w:lang w:eastAsia="es-MX"/>
        </w:rPr>
        <w:t xml:space="preserve"> </w:t>
      </w:r>
      <w:r w:rsidR="005C0E48" w:rsidRPr="00E11658">
        <w:rPr>
          <w:rFonts w:ascii="Palatino Linotype" w:hAnsi="Palatino Linotype" w:cs="Tahoma"/>
          <w:sz w:val="22"/>
          <w:szCs w:val="22"/>
          <w:lang w:eastAsia="es-MX"/>
        </w:rPr>
        <w:t xml:space="preserve"> </w:t>
      </w:r>
      <w:r w:rsidRPr="00E11658">
        <w:rPr>
          <w:rFonts w:ascii="Palatino Linotype" w:hAnsi="Palatino Linotype" w:cs="Tahoma"/>
          <w:sz w:val="22"/>
          <w:szCs w:val="22"/>
          <w:lang w:eastAsia="es-MX"/>
        </w:rPr>
        <w:t xml:space="preserve">Y GUADALUPE RAMÍREZ PEÑA, EN LA </w:t>
      </w:r>
      <w:r w:rsidR="00695BC3" w:rsidRPr="00E11658">
        <w:rPr>
          <w:rFonts w:ascii="Palatino Linotype" w:hAnsi="Palatino Linotype" w:cs="Tahoma"/>
          <w:sz w:val="22"/>
          <w:szCs w:val="22"/>
          <w:lang w:eastAsia="es-MX"/>
        </w:rPr>
        <w:t>TR</w:t>
      </w:r>
      <w:r w:rsidR="00CC13FB" w:rsidRPr="00E11658">
        <w:rPr>
          <w:rFonts w:ascii="Palatino Linotype" w:hAnsi="Palatino Linotype" w:cs="Tahoma"/>
          <w:sz w:val="22"/>
          <w:szCs w:val="22"/>
          <w:lang w:eastAsia="es-MX"/>
        </w:rPr>
        <w:t xml:space="preserve">IGÉSIMA </w:t>
      </w:r>
      <w:r w:rsidR="006D5C25" w:rsidRPr="00E11658">
        <w:rPr>
          <w:rFonts w:ascii="Palatino Linotype" w:hAnsi="Palatino Linotype" w:cs="Tahoma"/>
          <w:sz w:val="22"/>
          <w:szCs w:val="22"/>
          <w:lang w:eastAsia="es-MX"/>
        </w:rPr>
        <w:t xml:space="preserve">OCTAVA </w:t>
      </w:r>
      <w:r w:rsidRPr="00E11658">
        <w:rPr>
          <w:rFonts w:ascii="Palatino Linotype" w:hAnsi="Palatino Linotype" w:cs="Tahoma"/>
          <w:sz w:val="22"/>
          <w:szCs w:val="22"/>
          <w:lang w:eastAsia="es-MX"/>
        </w:rPr>
        <w:t xml:space="preserve">SESIÓN ORDINARIA, CELEBRADA EL </w:t>
      </w:r>
      <w:r w:rsidR="006D5C25" w:rsidRPr="00E11658">
        <w:rPr>
          <w:rFonts w:ascii="Palatino Linotype" w:hAnsi="Palatino Linotype" w:cs="Tahoma"/>
          <w:sz w:val="22"/>
          <w:szCs w:val="22"/>
          <w:lang w:eastAsia="es-MX"/>
        </w:rPr>
        <w:t xml:space="preserve">VEINTIDÓS DE OCTUBRE </w:t>
      </w:r>
      <w:r w:rsidR="00B73D51" w:rsidRPr="00E11658">
        <w:rPr>
          <w:rFonts w:ascii="Palatino Linotype" w:hAnsi="Palatino Linotype" w:cs="Tahoma"/>
          <w:sz w:val="22"/>
          <w:szCs w:val="22"/>
          <w:lang w:eastAsia="es-MX"/>
        </w:rPr>
        <w:t>DE DOS MIL VEINTI</w:t>
      </w:r>
      <w:r w:rsidR="004E622C" w:rsidRPr="00E11658">
        <w:rPr>
          <w:rFonts w:ascii="Palatino Linotype" w:hAnsi="Palatino Linotype" w:cs="Tahoma"/>
          <w:sz w:val="22"/>
          <w:szCs w:val="22"/>
          <w:lang w:eastAsia="es-MX"/>
        </w:rPr>
        <w:t>C</w:t>
      </w:r>
      <w:r w:rsidR="006059A8" w:rsidRPr="00E11658">
        <w:rPr>
          <w:rFonts w:ascii="Palatino Linotype" w:hAnsi="Palatino Linotype" w:cs="Tahoma"/>
          <w:sz w:val="22"/>
          <w:szCs w:val="22"/>
          <w:lang w:eastAsia="es-MX"/>
        </w:rPr>
        <w:t>INCO</w:t>
      </w:r>
      <w:r w:rsidRPr="00E11658">
        <w:rPr>
          <w:rFonts w:ascii="Palatino Linotype" w:hAnsi="Palatino Linotype" w:cs="Tahoma"/>
          <w:sz w:val="22"/>
          <w:szCs w:val="22"/>
          <w:lang w:eastAsia="es-MX"/>
        </w:rPr>
        <w:t>, ANTE EL SECRETARIO TÉCNICO DEL PLENO, ALEXIS TAPIA RAMÍREZ.</w:t>
      </w:r>
    </w:p>
    <w:p w14:paraId="5F596C61" w14:textId="77777777" w:rsidR="00163BAA" w:rsidRDefault="00163BAA" w:rsidP="0078217C">
      <w:pPr>
        <w:spacing w:line="360" w:lineRule="auto"/>
        <w:contextualSpacing/>
        <w:jc w:val="both"/>
        <w:rPr>
          <w:rFonts w:ascii="Palatino Linotype" w:hAnsi="Palatino Linotype" w:cs="Tahoma"/>
          <w:sz w:val="22"/>
          <w:szCs w:val="22"/>
        </w:rPr>
      </w:pPr>
    </w:p>
    <w:p w14:paraId="049FAD51" w14:textId="77777777" w:rsidR="00163BAA" w:rsidRDefault="00163BAA" w:rsidP="0078217C">
      <w:pPr>
        <w:spacing w:line="360" w:lineRule="auto"/>
        <w:contextualSpacing/>
        <w:jc w:val="both"/>
        <w:rPr>
          <w:rFonts w:ascii="Palatino Linotype" w:hAnsi="Palatino Linotype" w:cs="Tahoma"/>
          <w:sz w:val="22"/>
          <w:szCs w:val="22"/>
        </w:rPr>
      </w:pPr>
    </w:p>
    <w:p w14:paraId="7CC8BB5D" w14:textId="77777777" w:rsidR="0089175F" w:rsidRDefault="0089175F" w:rsidP="0078217C">
      <w:pPr>
        <w:spacing w:line="360" w:lineRule="auto"/>
        <w:contextualSpacing/>
        <w:jc w:val="both"/>
        <w:rPr>
          <w:rFonts w:ascii="Palatino Linotype" w:hAnsi="Palatino Linotype" w:cs="Tahoma"/>
          <w:sz w:val="22"/>
          <w:szCs w:val="22"/>
        </w:rPr>
      </w:pPr>
    </w:p>
    <w:p w14:paraId="3BC8CECE" w14:textId="77777777" w:rsidR="0089175F" w:rsidRDefault="0089175F" w:rsidP="0078217C">
      <w:pPr>
        <w:spacing w:line="360" w:lineRule="auto"/>
        <w:contextualSpacing/>
        <w:jc w:val="both"/>
        <w:rPr>
          <w:rFonts w:ascii="Palatino Linotype" w:hAnsi="Palatino Linotype" w:cs="Tahoma"/>
          <w:sz w:val="22"/>
          <w:szCs w:val="22"/>
        </w:rPr>
      </w:pPr>
    </w:p>
    <w:p w14:paraId="21B27D98" w14:textId="77777777" w:rsidR="0089175F" w:rsidRDefault="0089175F" w:rsidP="0078217C">
      <w:pPr>
        <w:spacing w:line="360" w:lineRule="auto"/>
        <w:contextualSpacing/>
        <w:jc w:val="both"/>
        <w:rPr>
          <w:rFonts w:ascii="Palatino Linotype" w:hAnsi="Palatino Linotype" w:cs="Tahoma"/>
          <w:sz w:val="22"/>
          <w:szCs w:val="22"/>
        </w:rPr>
      </w:pPr>
    </w:p>
    <w:p w14:paraId="5788F201" w14:textId="77777777" w:rsidR="0089175F" w:rsidRDefault="0089175F" w:rsidP="0078217C">
      <w:pPr>
        <w:spacing w:line="360" w:lineRule="auto"/>
        <w:contextualSpacing/>
        <w:jc w:val="both"/>
        <w:rPr>
          <w:rFonts w:ascii="Palatino Linotype" w:hAnsi="Palatino Linotype" w:cs="Tahoma"/>
          <w:sz w:val="22"/>
          <w:szCs w:val="22"/>
        </w:rPr>
      </w:pPr>
    </w:p>
    <w:p w14:paraId="3BB8FCA3" w14:textId="77777777" w:rsidR="001F1A77" w:rsidRDefault="001F1A77" w:rsidP="0078217C">
      <w:pPr>
        <w:spacing w:line="360" w:lineRule="auto"/>
        <w:contextualSpacing/>
        <w:jc w:val="both"/>
        <w:rPr>
          <w:rFonts w:ascii="Palatino Linotype" w:hAnsi="Palatino Linotype" w:cs="Tahoma"/>
          <w:sz w:val="22"/>
          <w:szCs w:val="22"/>
        </w:rPr>
      </w:pPr>
    </w:p>
    <w:p w14:paraId="42C0BEC0" w14:textId="77777777" w:rsidR="001F1A77" w:rsidRDefault="001F1A77" w:rsidP="0078217C">
      <w:pPr>
        <w:spacing w:line="360" w:lineRule="auto"/>
        <w:contextualSpacing/>
        <w:jc w:val="both"/>
        <w:rPr>
          <w:rFonts w:ascii="Palatino Linotype" w:hAnsi="Palatino Linotype" w:cs="Tahoma"/>
          <w:sz w:val="22"/>
          <w:szCs w:val="22"/>
        </w:rPr>
      </w:pPr>
    </w:p>
    <w:p w14:paraId="776294CD" w14:textId="77777777" w:rsidR="000B1059" w:rsidRDefault="000B1059" w:rsidP="0078217C">
      <w:pPr>
        <w:spacing w:line="360" w:lineRule="auto"/>
        <w:contextualSpacing/>
        <w:jc w:val="both"/>
        <w:rPr>
          <w:rFonts w:ascii="Palatino Linotype" w:hAnsi="Palatino Linotype" w:cs="Tahoma"/>
          <w:sz w:val="22"/>
          <w:szCs w:val="22"/>
        </w:rPr>
      </w:pPr>
    </w:p>
    <w:p w14:paraId="1BF38080" w14:textId="77777777" w:rsidR="000B1059" w:rsidRDefault="000B1059" w:rsidP="0078217C">
      <w:pPr>
        <w:spacing w:line="360" w:lineRule="auto"/>
        <w:contextualSpacing/>
        <w:jc w:val="both"/>
        <w:rPr>
          <w:rFonts w:ascii="Palatino Linotype" w:hAnsi="Palatino Linotype" w:cs="Tahoma"/>
          <w:sz w:val="22"/>
          <w:szCs w:val="22"/>
        </w:rPr>
      </w:pPr>
    </w:p>
    <w:p w14:paraId="67956412" w14:textId="77777777" w:rsidR="000B1059" w:rsidRDefault="000B1059" w:rsidP="0078217C">
      <w:pPr>
        <w:spacing w:line="360" w:lineRule="auto"/>
        <w:contextualSpacing/>
        <w:jc w:val="both"/>
        <w:rPr>
          <w:rFonts w:ascii="Palatino Linotype" w:hAnsi="Palatino Linotype" w:cs="Tahoma"/>
          <w:sz w:val="22"/>
          <w:szCs w:val="22"/>
        </w:rPr>
      </w:pPr>
    </w:p>
    <w:p w14:paraId="692D01DE" w14:textId="77777777" w:rsidR="001F1A77" w:rsidRDefault="001F1A77" w:rsidP="0078217C">
      <w:pPr>
        <w:spacing w:line="360" w:lineRule="auto"/>
        <w:contextualSpacing/>
        <w:jc w:val="both"/>
        <w:rPr>
          <w:rFonts w:ascii="Palatino Linotype" w:hAnsi="Palatino Linotype" w:cs="Tahoma"/>
          <w:sz w:val="22"/>
          <w:szCs w:val="22"/>
        </w:rPr>
      </w:pPr>
    </w:p>
    <w:p w14:paraId="7EADA119" w14:textId="77777777" w:rsidR="001F1A77" w:rsidRDefault="001F1A77" w:rsidP="0078217C">
      <w:pPr>
        <w:spacing w:line="360" w:lineRule="auto"/>
        <w:contextualSpacing/>
        <w:jc w:val="both"/>
        <w:rPr>
          <w:rFonts w:ascii="Palatino Linotype" w:hAnsi="Palatino Linotype" w:cs="Tahoma"/>
          <w:sz w:val="22"/>
          <w:szCs w:val="22"/>
        </w:rPr>
      </w:pPr>
    </w:p>
    <w:p w14:paraId="660A3B29" w14:textId="77777777" w:rsidR="001F1A77" w:rsidRDefault="001F1A77" w:rsidP="0078217C">
      <w:pPr>
        <w:spacing w:line="360" w:lineRule="auto"/>
        <w:contextualSpacing/>
        <w:jc w:val="both"/>
        <w:rPr>
          <w:rFonts w:ascii="Palatino Linotype" w:hAnsi="Palatino Linotype" w:cs="Tahoma"/>
          <w:sz w:val="22"/>
          <w:szCs w:val="22"/>
        </w:rPr>
      </w:pPr>
    </w:p>
    <w:p w14:paraId="318C7022" w14:textId="77777777" w:rsidR="001F1A77" w:rsidRDefault="001F1A77" w:rsidP="0078217C">
      <w:pPr>
        <w:spacing w:line="360" w:lineRule="auto"/>
        <w:contextualSpacing/>
        <w:jc w:val="both"/>
        <w:rPr>
          <w:rFonts w:ascii="Palatino Linotype" w:hAnsi="Palatino Linotype" w:cs="Tahoma"/>
          <w:sz w:val="22"/>
          <w:szCs w:val="22"/>
        </w:rPr>
      </w:pPr>
    </w:p>
    <w:p w14:paraId="73B692D4" w14:textId="77777777" w:rsidR="001F1A77" w:rsidRDefault="001F1A77" w:rsidP="0078217C">
      <w:pPr>
        <w:spacing w:line="360" w:lineRule="auto"/>
        <w:contextualSpacing/>
        <w:jc w:val="both"/>
        <w:rPr>
          <w:rFonts w:ascii="Palatino Linotype" w:hAnsi="Palatino Linotype" w:cs="Tahoma"/>
          <w:sz w:val="22"/>
          <w:szCs w:val="22"/>
        </w:rPr>
      </w:pPr>
    </w:p>
    <w:p w14:paraId="3E2BBDFC" w14:textId="77777777" w:rsidR="001F1A77" w:rsidRDefault="001F1A77" w:rsidP="0078217C">
      <w:pPr>
        <w:spacing w:line="360" w:lineRule="auto"/>
        <w:contextualSpacing/>
        <w:jc w:val="both"/>
        <w:rPr>
          <w:rFonts w:ascii="Palatino Linotype" w:hAnsi="Palatino Linotype" w:cs="Tahoma"/>
          <w:sz w:val="22"/>
          <w:szCs w:val="22"/>
        </w:rPr>
      </w:pPr>
    </w:p>
    <w:p w14:paraId="2F2446D6" w14:textId="77777777" w:rsidR="001F1A77" w:rsidRDefault="001F1A77" w:rsidP="0078217C">
      <w:pPr>
        <w:spacing w:line="360" w:lineRule="auto"/>
        <w:contextualSpacing/>
        <w:jc w:val="both"/>
        <w:rPr>
          <w:rFonts w:ascii="Palatino Linotype" w:hAnsi="Palatino Linotype" w:cs="Tahoma"/>
          <w:sz w:val="22"/>
          <w:szCs w:val="22"/>
        </w:rPr>
      </w:pPr>
    </w:p>
    <w:p w14:paraId="1DBE54DD" w14:textId="77777777" w:rsidR="001F1A77" w:rsidRPr="003A1DF0" w:rsidRDefault="001F1A77" w:rsidP="0078217C">
      <w:pPr>
        <w:spacing w:line="360" w:lineRule="auto"/>
        <w:contextualSpacing/>
        <w:jc w:val="both"/>
        <w:rPr>
          <w:rFonts w:ascii="Palatino Linotype" w:hAnsi="Palatino Linotype" w:cs="Tahoma"/>
          <w:sz w:val="22"/>
          <w:szCs w:val="22"/>
        </w:rPr>
      </w:pPr>
    </w:p>
    <w:p w14:paraId="29CA62F3" w14:textId="77777777" w:rsidR="003A1DF0" w:rsidRPr="003A1DF0" w:rsidRDefault="003A1DF0" w:rsidP="0078217C">
      <w:pPr>
        <w:spacing w:line="360" w:lineRule="auto"/>
        <w:contextualSpacing/>
        <w:jc w:val="both"/>
        <w:rPr>
          <w:rFonts w:ascii="Palatino Linotype" w:hAnsi="Palatino Linotype" w:cs="Tahoma"/>
          <w:sz w:val="22"/>
          <w:szCs w:val="22"/>
        </w:rPr>
      </w:pPr>
    </w:p>
    <w:sectPr w:rsidR="003A1DF0" w:rsidRPr="003A1DF0" w:rsidSect="0003481C">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B24C5" w14:textId="77777777" w:rsidR="00BD06CE" w:rsidRDefault="00BD06CE" w:rsidP="00B31222">
      <w:r>
        <w:separator/>
      </w:r>
    </w:p>
  </w:endnote>
  <w:endnote w:type="continuationSeparator" w:id="0">
    <w:p w14:paraId="01E0BD76" w14:textId="77777777" w:rsidR="00BD06CE" w:rsidRDefault="00BD06CE" w:rsidP="00B31222">
      <w:r>
        <w:continuationSeparator/>
      </w:r>
    </w:p>
  </w:endnote>
  <w:endnote w:type="continuationNotice" w:id="1">
    <w:p w14:paraId="5C82651D" w14:textId="77777777" w:rsidR="00BD06CE" w:rsidRDefault="00BD0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7EAC0FCC" w14:textId="77777777" w:rsidR="005E6AEF" w:rsidRDefault="005E6A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C7BD7">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C7BD7">
              <w:rPr>
                <w:b/>
                <w:bCs/>
                <w:noProof/>
              </w:rPr>
              <w:t>21</w:t>
            </w:r>
            <w:r>
              <w:rPr>
                <w:b/>
                <w:bCs/>
                <w:sz w:val="24"/>
                <w:szCs w:val="24"/>
              </w:rPr>
              <w:fldChar w:fldCharType="end"/>
            </w:r>
          </w:p>
        </w:sdtContent>
      </w:sdt>
    </w:sdtContent>
  </w:sdt>
  <w:p w14:paraId="29E6EFF5" w14:textId="77777777" w:rsidR="005E6AEF" w:rsidRDefault="005E6AE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65DF9731" w14:textId="77777777" w:rsidR="005E6AEF" w:rsidRDefault="005E6A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C7BD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C7BD7">
              <w:rPr>
                <w:b/>
                <w:bCs/>
                <w:noProof/>
              </w:rPr>
              <w:t>21</w:t>
            </w:r>
            <w:r>
              <w:rPr>
                <w:b/>
                <w:bCs/>
                <w:sz w:val="24"/>
                <w:szCs w:val="24"/>
              </w:rPr>
              <w:fldChar w:fldCharType="end"/>
            </w:r>
          </w:p>
        </w:sdtContent>
      </w:sdt>
    </w:sdtContent>
  </w:sdt>
  <w:p w14:paraId="4DB82C55" w14:textId="77777777" w:rsidR="005E6AEF" w:rsidRDefault="005E6A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B8324" w14:textId="77777777" w:rsidR="00BD06CE" w:rsidRDefault="00BD06CE" w:rsidP="00B31222">
      <w:r>
        <w:separator/>
      </w:r>
    </w:p>
  </w:footnote>
  <w:footnote w:type="continuationSeparator" w:id="0">
    <w:p w14:paraId="51D39DE3" w14:textId="77777777" w:rsidR="00BD06CE" w:rsidRDefault="00BD06CE" w:rsidP="00B31222">
      <w:r>
        <w:continuationSeparator/>
      </w:r>
    </w:p>
  </w:footnote>
  <w:footnote w:type="continuationNotice" w:id="1">
    <w:p w14:paraId="0C817441" w14:textId="77777777" w:rsidR="00BD06CE" w:rsidRDefault="00BD06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EA7E3" w14:textId="77777777" w:rsidR="005E6AEF" w:rsidRDefault="00000000">
    <w:pPr>
      <w:pStyle w:val="Encabezado"/>
    </w:pPr>
    <w:r>
      <w:rPr>
        <w:noProof/>
        <w:lang w:eastAsia="es-MX"/>
      </w:rPr>
      <w:pict w14:anchorId="32EA2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5E6AEF" w:rsidRPr="005C106F" w14:paraId="05BF830F" w14:textId="77777777" w:rsidTr="00202DB8">
      <w:trPr>
        <w:trHeight w:val="1435"/>
      </w:trPr>
      <w:tc>
        <w:tcPr>
          <w:tcW w:w="2835" w:type="dxa"/>
          <w:shd w:val="clear" w:color="auto" w:fill="auto"/>
        </w:tcPr>
        <w:p w14:paraId="714479D0" w14:textId="77777777" w:rsidR="005E6AEF" w:rsidRPr="005C106F" w:rsidRDefault="005E6AEF"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5AF079AC" wp14:editId="5678A642">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6B0221F6" w14:textId="77777777" w:rsidR="005E6AEF" w:rsidRDefault="005E6AEF" w:rsidP="005743D2"/>
        <w:tbl>
          <w:tblPr>
            <w:tblStyle w:val="Tablaconcuadrcula"/>
            <w:tblW w:w="6132" w:type="dxa"/>
            <w:tblInd w:w="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5E6AEF" w14:paraId="6B6B4C6E" w14:textId="77777777" w:rsidTr="0078217C">
            <w:trPr>
              <w:trHeight w:val="144"/>
            </w:trPr>
            <w:tc>
              <w:tcPr>
                <w:tcW w:w="2589" w:type="dxa"/>
              </w:tcPr>
              <w:p w14:paraId="14A3A640" w14:textId="77777777" w:rsidR="0078217C" w:rsidRDefault="0078217C" w:rsidP="00E43A0F">
                <w:pPr>
                  <w:tabs>
                    <w:tab w:val="right" w:pos="8838"/>
                  </w:tabs>
                  <w:ind w:right="-105"/>
                  <w:rPr>
                    <w:rFonts w:ascii="Palatino Linotype" w:eastAsia="Calibri" w:hAnsi="Palatino Linotype" w:cs="Tahoma"/>
                    <w:b/>
                    <w:sz w:val="22"/>
                    <w:szCs w:val="22"/>
                    <w:lang w:eastAsia="en-US"/>
                  </w:rPr>
                </w:pPr>
              </w:p>
              <w:p w14:paraId="4BDDCEE1" w14:textId="3CB8B279" w:rsidR="005E6AEF" w:rsidRPr="00431A70" w:rsidRDefault="005E6AE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093D164" w14:textId="77777777" w:rsidR="0078217C" w:rsidRDefault="0078217C" w:rsidP="004B553D">
                <w:pPr>
                  <w:tabs>
                    <w:tab w:val="right" w:pos="8838"/>
                  </w:tabs>
                  <w:ind w:left="-106" w:right="171"/>
                  <w:jc w:val="both"/>
                  <w:rPr>
                    <w:rFonts w:ascii="Palatino Linotype" w:eastAsia="Calibri" w:hAnsi="Palatino Linotype" w:cs="Tahoma"/>
                    <w:sz w:val="22"/>
                    <w:szCs w:val="22"/>
                    <w:lang w:val="es-MX" w:eastAsia="en-US"/>
                  </w:rPr>
                </w:pPr>
              </w:p>
              <w:p w14:paraId="175678F7" w14:textId="652D9401" w:rsidR="005E6AEF" w:rsidRPr="0078217C" w:rsidRDefault="00E26416" w:rsidP="004B553D">
                <w:pPr>
                  <w:tabs>
                    <w:tab w:val="right" w:pos="8838"/>
                  </w:tabs>
                  <w:ind w:left="-106" w:right="171"/>
                  <w:jc w:val="both"/>
                  <w:rPr>
                    <w:rFonts w:ascii="Palatino Linotype" w:eastAsia="Calibri" w:hAnsi="Palatino Linotype" w:cs="Tahoma"/>
                    <w:sz w:val="22"/>
                    <w:szCs w:val="22"/>
                    <w:lang w:eastAsia="en-US"/>
                  </w:rPr>
                </w:pPr>
                <w:r w:rsidRPr="0078217C">
                  <w:rPr>
                    <w:rFonts w:ascii="Palatino Linotype" w:eastAsia="Calibri" w:hAnsi="Palatino Linotype" w:cs="Tahoma"/>
                    <w:sz w:val="22"/>
                    <w:szCs w:val="22"/>
                    <w:lang w:val="es-MX" w:eastAsia="en-US"/>
                  </w:rPr>
                  <w:t>03</w:t>
                </w:r>
                <w:r w:rsidR="004D2FE1" w:rsidRPr="0078217C">
                  <w:rPr>
                    <w:rFonts w:ascii="Palatino Linotype" w:eastAsia="Calibri" w:hAnsi="Palatino Linotype" w:cs="Tahoma"/>
                    <w:sz w:val="22"/>
                    <w:szCs w:val="22"/>
                    <w:lang w:val="es-MX" w:eastAsia="en-US"/>
                  </w:rPr>
                  <w:t>586</w:t>
                </w:r>
                <w:r w:rsidR="005E6AEF" w:rsidRPr="0078217C">
                  <w:rPr>
                    <w:rFonts w:ascii="Palatino Linotype" w:eastAsia="Calibri" w:hAnsi="Palatino Linotype" w:cs="Tahoma"/>
                    <w:sz w:val="22"/>
                    <w:szCs w:val="22"/>
                    <w:lang w:val="es-MX" w:eastAsia="en-US"/>
                  </w:rPr>
                  <w:t>/INFOEM/IP/RR/2025</w:t>
                </w:r>
              </w:p>
            </w:tc>
          </w:tr>
          <w:tr w:rsidR="005E6AEF" w14:paraId="0FD17802" w14:textId="77777777" w:rsidTr="0078217C">
            <w:trPr>
              <w:trHeight w:val="283"/>
            </w:trPr>
            <w:tc>
              <w:tcPr>
                <w:tcW w:w="2589" w:type="dxa"/>
              </w:tcPr>
              <w:p w14:paraId="0E601AB7" w14:textId="77777777" w:rsidR="005E6AEF" w:rsidRPr="00431A70" w:rsidRDefault="005E6AE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17ED909C" w14:textId="0B313C23" w:rsidR="005E6AEF" w:rsidRPr="005F13CF" w:rsidRDefault="004D2FE1"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Hueypoxtla</w:t>
                </w:r>
              </w:p>
            </w:tc>
          </w:tr>
          <w:tr w:rsidR="005E6AEF" w14:paraId="4DD70C52" w14:textId="77777777" w:rsidTr="0078217C">
            <w:trPr>
              <w:trHeight w:val="283"/>
            </w:trPr>
            <w:tc>
              <w:tcPr>
                <w:tcW w:w="2589" w:type="dxa"/>
              </w:tcPr>
              <w:p w14:paraId="71F59534" w14:textId="77777777" w:rsidR="005E6AEF" w:rsidRPr="00431A70" w:rsidRDefault="005E6AEF"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569D9BC" w14:textId="77777777" w:rsidR="005E6AEF" w:rsidRDefault="005E6AEF"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78D2E639" w14:textId="77777777" w:rsidR="005E6AEF" w:rsidRPr="00431A70" w:rsidRDefault="005E6AEF" w:rsidP="005F13CF">
                <w:pPr>
                  <w:tabs>
                    <w:tab w:val="right" w:pos="8838"/>
                  </w:tabs>
                  <w:ind w:left="-106" w:right="171"/>
                  <w:jc w:val="both"/>
                  <w:rPr>
                    <w:rFonts w:ascii="Palatino Linotype" w:eastAsia="Calibri" w:hAnsi="Palatino Linotype" w:cs="Tahoma"/>
                    <w:b/>
                    <w:sz w:val="22"/>
                    <w:szCs w:val="22"/>
                    <w:lang w:eastAsia="en-US"/>
                  </w:rPr>
                </w:pPr>
              </w:p>
            </w:tc>
          </w:tr>
        </w:tbl>
        <w:p w14:paraId="4E008A1E" w14:textId="77777777" w:rsidR="005E6AEF" w:rsidRPr="005C106F" w:rsidRDefault="005E6AEF" w:rsidP="005743D2">
          <w:pPr>
            <w:tabs>
              <w:tab w:val="right" w:pos="8838"/>
            </w:tabs>
            <w:ind w:left="-28"/>
            <w:jc w:val="both"/>
            <w:rPr>
              <w:rFonts w:ascii="Arial" w:eastAsia="Calibri" w:hAnsi="Arial" w:cs="Arial"/>
              <w:b/>
              <w:sz w:val="22"/>
              <w:szCs w:val="22"/>
              <w:lang w:eastAsia="en-US"/>
            </w:rPr>
          </w:pPr>
        </w:p>
      </w:tc>
    </w:tr>
  </w:tbl>
  <w:p w14:paraId="1F1387FB" w14:textId="77777777" w:rsidR="005E6AEF" w:rsidRPr="00A25151" w:rsidRDefault="005E6AEF"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5E6AEF" w:rsidRPr="00330DA7" w14:paraId="34A27046" w14:textId="77777777" w:rsidTr="003B165A">
      <w:trPr>
        <w:trHeight w:val="1435"/>
      </w:trPr>
      <w:tc>
        <w:tcPr>
          <w:tcW w:w="2835" w:type="dxa"/>
          <w:shd w:val="clear" w:color="auto" w:fill="auto"/>
        </w:tcPr>
        <w:p w14:paraId="0D75A598" w14:textId="77777777" w:rsidR="005E6AEF" w:rsidRPr="00330DA7" w:rsidRDefault="005E6AEF"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D8F0598" wp14:editId="22D68D55">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5E6AEF" w:rsidRPr="00431A70" w14:paraId="2FEBD279" w14:textId="77777777" w:rsidTr="00DF3BE8">
            <w:trPr>
              <w:trHeight w:val="144"/>
            </w:trPr>
            <w:tc>
              <w:tcPr>
                <w:tcW w:w="2589" w:type="dxa"/>
              </w:tcPr>
              <w:p w14:paraId="755E6027" w14:textId="77777777" w:rsidR="005E6AEF" w:rsidRPr="00431A70" w:rsidRDefault="005E6AEF"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09BB141" w14:textId="62CE59FB" w:rsidR="005E6AEF" w:rsidRPr="00431A70" w:rsidRDefault="00E26416"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w:t>
                </w:r>
                <w:r w:rsidR="004D2FE1">
                  <w:rPr>
                    <w:rFonts w:ascii="Palatino Linotype" w:eastAsia="Calibri" w:hAnsi="Palatino Linotype" w:cs="Tahoma"/>
                    <w:b/>
                    <w:bCs/>
                    <w:sz w:val="22"/>
                    <w:szCs w:val="22"/>
                    <w:lang w:val="es-MX" w:eastAsia="en-US"/>
                  </w:rPr>
                  <w:t>3586</w:t>
                </w:r>
                <w:r w:rsidR="005E6AEF">
                  <w:rPr>
                    <w:rFonts w:ascii="Palatino Linotype" w:eastAsia="Calibri" w:hAnsi="Palatino Linotype" w:cs="Tahoma"/>
                    <w:b/>
                    <w:bCs/>
                    <w:sz w:val="22"/>
                    <w:szCs w:val="22"/>
                    <w:lang w:val="es-MX" w:eastAsia="en-US"/>
                  </w:rPr>
                  <w:t>/INFOEM/IP/RR/2025</w:t>
                </w:r>
              </w:p>
            </w:tc>
          </w:tr>
          <w:tr w:rsidR="005E6AEF" w:rsidRPr="00286D0C" w14:paraId="34542134" w14:textId="77777777" w:rsidTr="00DF3BE8">
            <w:trPr>
              <w:trHeight w:val="144"/>
            </w:trPr>
            <w:tc>
              <w:tcPr>
                <w:tcW w:w="2589" w:type="dxa"/>
              </w:tcPr>
              <w:p w14:paraId="04F626DB" w14:textId="77777777" w:rsidR="005E6AEF" w:rsidRPr="00431A70" w:rsidRDefault="005E6AE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3D4A31" w14:textId="77777777" w:rsidR="005E6AEF" w:rsidRPr="00286D0C" w:rsidRDefault="005E6AEF"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5E6AEF" w:rsidRPr="00431A70" w14:paraId="404A7281" w14:textId="77777777" w:rsidTr="00DF3BE8">
            <w:trPr>
              <w:trHeight w:val="283"/>
            </w:trPr>
            <w:tc>
              <w:tcPr>
                <w:tcW w:w="2589" w:type="dxa"/>
              </w:tcPr>
              <w:p w14:paraId="1A8A94D8" w14:textId="77777777" w:rsidR="005E6AEF" w:rsidRPr="00431A70" w:rsidRDefault="005E6AE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17CEAD9" w14:textId="04AF4A7D" w:rsidR="005E6AEF" w:rsidRPr="005F13CF" w:rsidRDefault="004D2FE1"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Hueypoxtla</w:t>
                </w:r>
                <w:r w:rsidR="005E6AEF">
                  <w:rPr>
                    <w:rFonts w:ascii="Palatino Linotype" w:eastAsia="Calibri" w:hAnsi="Palatino Linotype" w:cs="Tahoma"/>
                    <w:bCs/>
                    <w:sz w:val="22"/>
                    <w:szCs w:val="22"/>
                    <w:lang w:val="es-MX" w:eastAsia="en-US"/>
                  </w:rPr>
                  <w:t xml:space="preserve"> </w:t>
                </w:r>
              </w:p>
            </w:tc>
          </w:tr>
          <w:tr w:rsidR="005E6AEF" w:rsidRPr="00431A70" w14:paraId="01DE0F39" w14:textId="77777777" w:rsidTr="00DF3BE8">
            <w:trPr>
              <w:trHeight w:val="283"/>
            </w:trPr>
            <w:tc>
              <w:tcPr>
                <w:tcW w:w="2589" w:type="dxa"/>
              </w:tcPr>
              <w:p w14:paraId="03179961" w14:textId="77777777" w:rsidR="005E6AEF" w:rsidRPr="00431A70" w:rsidRDefault="005E6AEF"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B63E1E6" w14:textId="77777777" w:rsidR="005E6AEF" w:rsidRPr="00431A70" w:rsidRDefault="005E6AEF"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3EFABFF2" w14:textId="77777777" w:rsidR="005E6AEF" w:rsidRPr="00330DA7" w:rsidRDefault="005E6AEF" w:rsidP="00DB7E5F">
          <w:pPr>
            <w:tabs>
              <w:tab w:val="right" w:pos="8838"/>
            </w:tabs>
            <w:ind w:left="-28"/>
            <w:jc w:val="both"/>
            <w:rPr>
              <w:rFonts w:ascii="Arial" w:eastAsia="Calibri" w:hAnsi="Arial" w:cs="Arial"/>
              <w:b/>
              <w:sz w:val="22"/>
              <w:szCs w:val="22"/>
              <w:lang w:eastAsia="en-US"/>
            </w:rPr>
          </w:pPr>
        </w:p>
      </w:tc>
    </w:tr>
  </w:tbl>
  <w:p w14:paraId="56B9F13D" w14:textId="77777777" w:rsidR="005E6AEF" w:rsidRPr="00330DA7" w:rsidRDefault="005E6AEF"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7D50FC"/>
    <w:multiLevelType w:val="hybridMultilevel"/>
    <w:tmpl w:val="32A8B9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7545BA8"/>
    <w:multiLevelType w:val="hybridMultilevel"/>
    <w:tmpl w:val="0F9C42F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74292582"/>
    <w:multiLevelType w:val="hybridMultilevel"/>
    <w:tmpl w:val="CD34C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94277586">
    <w:abstractNumId w:val="0"/>
  </w:num>
  <w:num w:numId="2" w16cid:durableId="677392952">
    <w:abstractNumId w:val="6"/>
  </w:num>
  <w:num w:numId="3" w16cid:durableId="18102444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6467862">
    <w:abstractNumId w:val="1"/>
  </w:num>
  <w:num w:numId="5" w16cid:durableId="1624077662">
    <w:abstractNumId w:val="29"/>
  </w:num>
  <w:num w:numId="6" w16cid:durableId="1924560734">
    <w:abstractNumId w:val="4"/>
  </w:num>
  <w:num w:numId="7" w16cid:durableId="1355112482">
    <w:abstractNumId w:val="5"/>
  </w:num>
  <w:num w:numId="8" w16cid:durableId="658003332">
    <w:abstractNumId w:val="17"/>
  </w:num>
  <w:num w:numId="9" w16cid:durableId="1285770691">
    <w:abstractNumId w:val="3"/>
    <w:lvlOverride w:ilvl="0">
      <w:startOverride w:val="1"/>
    </w:lvlOverride>
    <w:lvlOverride w:ilvl="1"/>
    <w:lvlOverride w:ilvl="2"/>
    <w:lvlOverride w:ilvl="3"/>
    <w:lvlOverride w:ilvl="4"/>
    <w:lvlOverride w:ilvl="5"/>
    <w:lvlOverride w:ilvl="6"/>
    <w:lvlOverride w:ilvl="7"/>
    <w:lvlOverride w:ilvl="8"/>
  </w:num>
  <w:num w:numId="10" w16cid:durableId="1048577171">
    <w:abstractNumId w:val="21"/>
    <w:lvlOverride w:ilvl="0">
      <w:startOverride w:val="1"/>
    </w:lvlOverride>
    <w:lvlOverride w:ilvl="1"/>
    <w:lvlOverride w:ilvl="2"/>
    <w:lvlOverride w:ilvl="3"/>
    <w:lvlOverride w:ilvl="4"/>
    <w:lvlOverride w:ilvl="5"/>
    <w:lvlOverride w:ilvl="6"/>
    <w:lvlOverride w:ilvl="7"/>
    <w:lvlOverride w:ilvl="8"/>
  </w:num>
  <w:num w:numId="11" w16cid:durableId="21119244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1591575">
    <w:abstractNumId w:val="14"/>
  </w:num>
  <w:num w:numId="13" w16cid:durableId="1866557391">
    <w:abstractNumId w:val="28"/>
  </w:num>
  <w:num w:numId="14" w16cid:durableId="2118795992">
    <w:abstractNumId w:val="12"/>
  </w:num>
  <w:num w:numId="15" w16cid:durableId="593981420">
    <w:abstractNumId w:val="13"/>
  </w:num>
  <w:num w:numId="16" w16cid:durableId="1685325827">
    <w:abstractNumId w:val="27"/>
  </w:num>
  <w:num w:numId="17" w16cid:durableId="1742869714">
    <w:abstractNumId w:val="10"/>
  </w:num>
  <w:num w:numId="18" w16cid:durableId="1009066476">
    <w:abstractNumId w:val="15"/>
  </w:num>
  <w:num w:numId="19" w16cid:durableId="830944377">
    <w:abstractNumId w:val="2"/>
  </w:num>
  <w:num w:numId="20" w16cid:durableId="346292971">
    <w:abstractNumId w:val="19"/>
  </w:num>
  <w:num w:numId="21" w16cid:durableId="911043340">
    <w:abstractNumId w:val="22"/>
  </w:num>
  <w:num w:numId="22" w16cid:durableId="499736857">
    <w:abstractNumId w:val="24"/>
  </w:num>
  <w:num w:numId="23" w16cid:durableId="763454384">
    <w:abstractNumId w:val="16"/>
  </w:num>
  <w:num w:numId="24" w16cid:durableId="854080843">
    <w:abstractNumId w:val="11"/>
  </w:num>
  <w:num w:numId="25" w16cid:durableId="883516392">
    <w:abstractNumId w:val="20"/>
  </w:num>
  <w:num w:numId="26" w16cid:durableId="706881115">
    <w:abstractNumId w:val="7"/>
  </w:num>
  <w:num w:numId="27" w16cid:durableId="2131118879">
    <w:abstractNumId w:val="9"/>
  </w:num>
  <w:num w:numId="28" w16cid:durableId="373891345">
    <w:abstractNumId w:val="26"/>
  </w:num>
  <w:num w:numId="29" w16cid:durableId="549682957">
    <w:abstractNumId w:val="8"/>
  </w:num>
  <w:num w:numId="30" w16cid:durableId="1774279313">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379"/>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6484"/>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06F5"/>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527C"/>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668"/>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177A"/>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906"/>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3937"/>
    <w:rsid w:val="00254209"/>
    <w:rsid w:val="00254288"/>
    <w:rsid w:val="0025469C"/>
    <w:rsid w:val="00255314"/>
    <w:rsid w:val="00255921"/>
    <w:rsid w:val="00257541"/>
    <w:rsid w:val="00257932"/>
    <w:rsid w:val="00257987"/>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2B4"/>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155"/>
    <w:rsid w:val="00426448"/>
    <w:rsid w:val="00426613"/>
    <w:rsid w:val="0042690B"/>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2DB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1F5C"/>
    <w:rsid w:val="004C2E1B"/>
    <w:rsid w:val="004C30D4"/>
    <w:rsid w:val="004C36E3"/>
    <w:rsid w:val="004C36F9"/>
    <w:rsid w:val="004C4ACC"/>
    <w:rsid w:val="004C4E69"/>
    <w:rsid w:val="004C51C1"/>
    <w:rsid w:val="004C576F"/>
    <w:rsid w:val="004C6801"/>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2FE1"/>
    <w:rsid w:val="004D335D"/>
    <w:rsid w:val="004D3573"/>
    <w:rsid w:val="004D42A5"/>
    <w:rsid w:val="004D583C"/>
    <w:rsid w:val="004D5DB3"/>
    <w:rsid w:val="004D6AA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6B52"/>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BC3"/>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050"/>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5C25"/>
    <w:rsid w:val="006D6A65"/>
    <w:rsid w:val="006D7795"/>
    <w:rsid w:val="006D7ACB"/>
    <w:rsid w:val="006D7D14"/>
    <w:rsid w:val="006E00EF"/>
    <w:rsid w:val="006E06BB"/>
    <w:rsid w:val="006E14D7"/>
    <w:rsid w:val="006E1A7A"/>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5507"/>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1D0F"/>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17C"/>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2502"/>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5EF"/>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5D29"/>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9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A1A"/>
    <w:rsid w:val="00941C5E"/>
    <w:rsid w:val="009439D3"/>
    <w:rsid w:val="00943BCE"/>
    <w:rsid w:val="009451DC"/>
    <w:rsid w:val="009466BE"/>
    <w:rsid w:val="009503FE"/>
    <w:rsid w:val="009508A0"/>
    <w:rsid w:val="00950A17"/>
    <w:rsid w:val="00952615"/>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486"/>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87FBD"/>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C95"/>
    <w:rsid w:val="00B45F3A"/>
    <w:rsid w:val="00B46A26"/>
    <w:rsid w:val="00B46C8E"/>
    <w:rsid w:val="00B47845"/>
    <w:rsid w:val="00B501F6"/>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06CE"/>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6A7"/>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6B11"/>
    <w:rsid w:val="00C06BCB"/>
    <w:rsid w:val="00C100E3"/>
    <w:rsid w:val="00C10262"/>
    <w:rsid w:val="00C10FCF"/>
    <w:rsid w:val="00C11870"/>
    <w:rsid w:val="00C12810"/>
    <w:rsid w:val="00C12D84"/>
    <w:rsid w:val="00C13893"/>
    <w:rsid w:val="00C13B88"/>
    <w:rsid w:val="00C1483A"/>
    <w:rsid w:val="00C14CF4"/>
    <w:rsid w:val="00C15720"/>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325"/>
    <w:rsid w:val="00D64656"/>
    <w:rsid w:val="00D66925"/>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BD7"/>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55F"/>
    <w:rsid w:val="00E11658"/>
    <w:rsid w:val="00E11A0D"/>
    <w:rsid w:val="00E12427"/>
    <w:rsid w:val="00E12C42"/>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6416"/>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2658"/>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6EB"/>
    <w:rsid w:val="00E57CE2"/>
    <w:rsid w:val="00E60967"/>
    <w:rsid w:val="00E617BD"/>
    <w:rsid w:val="00E617DF"/>
    <w:rsid w:val="00E61E05"/>
    <w:rsid w:val="00E61F5C"/>
    <w:rsid w:val="00E62607"/>
    <w:rsid w:val="00E63111"/>
    <w:rsid w:val="00E63348"/>
    <w:rsid w:val="00E64BD9"/>
    <w:rsid w:val="00E6519C"/>
    <w:rsid w:val="00E65A16"/>
    <w:rsid w:val="00E6698C"/>
    <w:rsid w:val="00E67E50"/>
    <w:rsid w:val="00E705B4"/>
    <w:rsid w:val="00E70E0F"/>
    <w:rsid w:val="00E72597"/>
    <w:rsid w:val="00E72967"/>
    <w:rsid w:val="00E74577"/>
    <w:rsid w:val="00E754ED"/>
    <w:rsid w:val="00E76441"/>
    <w:rsid w:val="00E76C95"/>
    <w:rsid w:val="00E77C09"/>
    <w:rsid w:val="00E8071C"/>
    <w:rsid w:val="00E8088F"/>
    <w:rsid w:val="00E809B3"/>
    <w:rsid w:val="00E80D12"/>
    <w:rsid w:val="00E810C4"/>
    <w:rsid w:val="00E8118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8A7"/>
    <w:rsid w:val="00EC0C14"/>
    <w:rsid w:val="00EC0FCB"/>
    <w:rsid w:val="00EC10DA"/>
    <w:rsid w:val="00EC25AE"/>
    <w:rsid w:val="00EC2B42"/>
    <w:rsid w:val="00EC2B82"/>
    <w:rsid w:val="00EC3B8F"/>
    <w:rsid w:val="00EC3CBC"/>
    <w:rsid w:val="00EC3F68"/>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903"/>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CFE"/>
    <w:rsid w:val="00F25E23"/>
    <w:rsid w:val="00F26CBF"/>
    <w:rsid w:val="00F2733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B9DB9"/>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693720195">
      <w:bodyDiv w:val="1"/>
      <w:marLeft w:val="0"/>
      <w:marRight w:val="0"/>
      <w:marTop w:val="0"/>
      <w:marBottom w:val="0"/>
      <w:divBdr>
        <w:top w:val="none" w:sz="0" w:space="0" w:color="auto"/>
        <w:left w:val="none" w:sz="0" w:space="0" w:color="auto"/>
        <w:bottom w:val="none" w:sz="0" w:space="0" w:color="auto"/>
        <w:right w:val="none" w:sz="0" w:space="0" w:color="auto"/>
      </w:divBdr>
      <w:divsChild>
        <w:div w:id="1783188307">
          <w:marLeft w:val="0"/>
          <w:marRight w:val="0"/>
          <w:marTop w:val="0"/>
          <w:marBottom w:val="300"/>
          <w:divBdr>
            <w:top w:val="none" w:sz="0" w:space="0" w:color="auto"/>
            <w:left w:val="none" w:sz="0" w:space="0" w:color="auto"/>
            <w:bottom w:val="none" w:sz="0" w:space="0" w:color="auto"/>
            <w:right w:val="none" w:sz="0" w:space="0" w:color="auto"/>
          </w:divBdr>
        </w:div>
        <w:div w:id="1542666235">
          <w:marLeft w:val="0"/>
          <w:marRight w:val="0"/>
          <w:marTop w:val="300"/>
          <w:marBottom w:val="150"/>
          <w:divBdr>
            <w:top w:val="none" w:sz="0" w:space="0" w:color="auto"/>
            <w:left w:val="none" w:sz="0" w:space="0" w:color="auto"/>
            <w:bottom w:val="none" w:sz="0" w:space="0" w:color="auto"/>
            <w:right w:val="none" w:sz="0" w:space="0" w:color="auto"/>
          </w:divBdr>
        </w:div>
        <w:div w:id="569388505">
          <w:marLeft w:val="0"/>
          <w:marRight w:val="0"/>
          <w:marTop w:val="300"/>
          <w:marBottom w:val="150"/>
          <w:divBdr>
            <w:top w:val="none" w:sz="0" w:space="0" w:color="auto"/>
            <w:left w:val="none" w:sz="0" w:space="0" w:color="auto"/>
            <w:bottom w:val="none" w:sz="0" w:space="0" w:color="auto"/>
            <w:right w:val="none" w:sz="0" w:space="0" w:color="auto"/>
          </w:divBdr>
        </w:div>
        <w:div w:id="1008753829">
          <w:marLeft w:val="0"/>
          <w:marRight w:val="0"/>
          <w:marTop w:val="300"/>
          <w:marBottom w:val="150"/>
          <w:divBdr>
            <w:top w:val="none" w:sz="0" w:space="0" w:color="auto"/>
            <w:left w:val="none" w:sz="0" w:space="0" w:color="auto"/>
            <w:bottom w:val="none" w:sz="0" w:space="0" w:color="auto"/>
            <w:right w:val="none" w:sz="0" w:space="0" w:color="auto"/>
          </w:divBdr>
        </w:div>
        <w:div w:id="1349408162">
          <w:marLeft w:val="0"/>
          <w:marRight w:val="0"/>
          <w:marTop w:val="300"/>
          <w:marBottom w:val="150"/>
          <w:divBdr>
            <w:top w:val="none" w:sz="0" w:space="0" w:color="auto"/>
            <w:left w:val="none" w:sz="0" w:space="0" w:color="auto"/>
            <w:bottom w:val="none" w:sz="0" w:space="0" w:color="auto"/>
            <w:right w:val="none" w:sz="0" w:space="0" w:color="auto"/>
          </w:divBdr>
        </w:div>
      </w:divsChild>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em.org.mx/doc/formatos/Formato_cedula_Base_Datos.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80FD7-675D-411B-A2B9-AC3CA9EC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5000</Words>
  <Characters>27504</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2</cp:revision>
  <cp:lastPrinted>2025-10-24T01:28:00Z</cp:lastPrinted>
  <dcterms:created xsi:type="dcterms:W3CDTF">2025-10-31T17:49:00Z</dcterms:created>
  <dcterms:modified xsi:type="dcterms:W3CDTF">2025-10-31T17:49:00Z</dcterms:modified>
</cp:coreProperties>
</file>