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613" w:rsidRPr="006D7D4C" w:rsidRDefault="00007613" w:rsidP="006D7D4C">
      <w:pPr>
        <w:widowControl w:val="0"/>
        <w:pBdr>
          <w:top w:val="nil"/>
          <w:left w:val="nil"/>
          <w:bottom w:val="nil"/>
          <w:right w:val="nil"/>
          <w:between w:val="nil"/>
        </w:pBdr>
        <w:spacing w:line="276" w:lineRule="auto"/>
        <w:rPr>
          <w:rFonts w:ascii="Palatino Linotype" w:hAnsi="Palatino Linotype"/>
          <w:sz w:val="22"/>
          <w:szCs w:val="22"/>
        </w:rPr>
      </w:pPr>
    </w:p>
    <w:p w:rsidR="00007613" w:rsidRPr="000B0ED6" w:rsidRDefault="00FF4150" w:rsidP="006D7D4C">
      <w:pPr>
        <w:tabs>
          <w:tab w:val="left" w:pos="0"/>
          <w:tab w:val="left" w:pos="3465"/>
        </w:tabs>
        <w:spacing w:line="360" w:lineRule="auto"/>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w:t>
      </w:r>
      <w:r w:rsidR="00A17F3C" w:rsidRPr="000B0ED6">
        <w:rPr>
          <w:rFonts w:ascii="Palatino Linotype" w:eastAsia="Palatino Linotype" w:hAnsi="Palatino Linotype" w:cs="Palatino Linotype"/>
          <w:sz w:val="22"/>
          <w:szCs w:val="22"/>
        </w:rPr>
        <w:t>Estado de México; del veintiséis</w:t>
      </w:r>
      <w:r w:rsidRPr="000B0ED6">
        <w:rPr>
          <w:rFonts w:ascii="Palatino Linotype" w:eastAsia="Palatino Linotype" w:hAnsi="Palatino Linotype" w:cs="Palatino Linotype"/>
          <w:sz w:val="22"/>
          <w:szCs w:val="22"/>
        </w:rPr>
        <w:t xml:space="preserve"> de febrero de dos mil veinticinco.</w:t>
      </w:r>
    </w:p>
    <w:p w:rsidR="00007613" w:rsidRPr="000B0ED6" w:rsidRDefault="00007613" w:rsidP="000409CA">
      <w:pPr>
        <w:tabs>
          <w:tab w:val="left" w:pos="0"/>
          <w:tab w:val="left" w:pos="3465"/>
        </w:tabs>
        <w:jc w:val="both"/>
        <w:rPr>
          <w:rFonts w:ascii="Palatino Linotype" w:eastAsia="Palatino Linotype" w:hAnsi="Palatino Linotype" w:cs="Palatino Linotype"/>
          <w:sz w:val="22"/>
          <w:szCs w:val="22"/>
        </w:rPr>
      </w:pPr>
    </w:p>
    <w:p w:rsidR="00007613" w:rsidRPr="000B0ED6" w:rsidRDefault="00FF4150" w:rsidP="006D7D4C">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b/>
          <w:color w:val="000000"/>
          <w:sz w:val="22"/>
          <w:szCs w:val="22"/>
        </w:rPr>
        <w:t>VISTO</w:t>
      </w:r>
      <w:r w:rsidRPr="000B0ED6">
        <w:rPr>
          <w:rFonts w:ascii="Palatino Linotype" w:eastAsia="Palatino Linotype" w:hAnsi="Palatino Linotype" w:cs="Palatino Linotype"/>
          <w:color w:val="000000"/>
          <w:sz w:val="22"/>
          <w:szCs w:val="22"/>
        </w:rPr>
        <w:t xml:space="preserve"> en el expediente electrónico formado con motivo del recurso de revisión número </w:t>
      </w:r>
      <w:r w:rsidRPr="000B0ED6">
        <w:rPr>
          <w:rFonts w:ascii="Palatino Linotype" w:eastAsia="Palatino Linotype" w:hAnsi="Palatino Linotype" w:cs="Palatino Linotype"/>
          <w:b/>
          <w:color w:val="000000"/>
          <w:sz w:val="22"/>
          <w:szCs w:val="22"/>
        </w:rPr>
        <w:t>02648/INFOEM/IP/RR/2024</w:t>
      </w:r>
      <w:r w:rsidR="00A17F3C" w:rsidRPr="000B0ED6">
        <w:rPr>
          <w:rFonts w:ascii="Palatino Linotype" w:eastAsia="Palatino Linotype" w:hAnsi="Palatino Linotype" w:cs="Palatino Linotype"/>
          <w:color w:val="000000"/>
          <w:sz w:val="22"/>
          <w:szCs w:val="22"/>
        </w:rPr>
        <w:t xml:space="preserve">, promovido por </w:t>
      </w:r>
      <w:r w:rsidR="00F40189">
        <w:rPr>
          <w:rFonts w:ascii="Palatino Linotype" w:eastAsia="Palatino Linotype" w:hAnsi="Palatino Linotype" w:cs="Palatino Linotype"/>
          <w:b/>
          <w:sz w:val="22"/>
          <w:szCs w:val="22"/>
        </w:rPr>
        <w:t>XXXX</w:t>
      </w:r>
      <w:r w:rsidRPr="000B0ED6">
        <w:rPr>
          <w:rFonts w:ascii="Palatino Linotype" w:eastAsia="Palatino Linotype" w:hAnsi="Palatino Linotype" w:cs="Palatino Linotype"/>
          <w:b/>
          <w:sz w:val="22"/>
          <w:szCs w:val="22"/>
        </w:rPr>
        <w:t xml:space="preserve">, </w:t>
      </w:r>
      <w:r w:rsidRPr="000B0ED6">
        <w:rPr>
          <w:rFonts w:ascii="Palatino Linotype" w:eastAsia="Palatino Linotype" w:hAnsi="Palatino Linotype" w:cs="Palatino Linotype"/>
          <w:sz w:val="22"/>
          <w:szCs w:val="22"/>
        </w:rPr>
        <w:t>a quien denominaremos</w:t>
      </w:r>
      <w:r w:rsidRPr="000B0ED6">
        <w:rPr>
          <w:rFonts w:ascii="Palatino Linotype" w:eastAsia="Palatino Linotype" w:hAnsi="Palatino Linotype" w:cs="Palatino Linotype"/>
          <w:b/>
          <w:sz w:val="22"/>
          <w:szCs w:val="22"/>
        </w:rPr>
        <w:t xml:space="preserve">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en contra de la respuesta del</w:t>
      </w:r>
      <w:r w:rsidRPr="000B0ED6">
        <w:rPr>
          <w:rFonts w:ascii="Palatino Linotype" w:eastAsia="Palatino Linotype" w:hAnsi="Palatino Linotype" w:cs="Palatino Linotype"/>
          <w:b/>
          <w:color w:val="000000"/>
          <w:sz w:val="22"/>
          <w:szCs w:val="22"/>
        </w:rPr>
        <w:t xml:space="preserve"> Sindicato Único de Trabajadores de Los Poderes, Municipios E Instituciones Descentraliza</w:t>
      </w:r>
      <w:bookmarkStart w:id="0" w:name="_GoBack"/>
      <w:bookmarkEnd w:id="0"/>
      <w:r w:rsidRPr="000B0ED6">
        <w:rPr>
          <w:rFonts w:ascii="Palatino Linotype" w:eastAsia="Palatino Linotype" w:hAnsi="Palatino Linotype" w:cs="Palatino Linotype"/>
          <w:b/>
          <w:color w:val="000000"/>
          <w:sz w:val="22"/>
          <w:szCs w:val="22"/>
        </w:rPr>
        <w:t>das del Estado de México</w:t>
      </w:r>
      <w:r w:rsidRPr="000B0ED6">
        <w:rPr>
          <w:rFonts w:ascii="Palatino Linotype" w:eastAsia="Palatino Linotype" w:hAnsi="Palatino Linotype" w:cs="Palatino Linotype"/>
          <w:color w:val="000000"/>
          <w:sz w:val="22"/>
          <w:szCs w:val="22"/>
        </w:rPr>
        <w:t>, en lo sucesivo el</w:t>
      </w:r>
      <w:r w:rsidRPr="000B0ED6">
        <w:rPr>
          <w:rFonts w:ascii="Palatino Linotype" w:eastAsia="Palatino Linotype" w:hAnsi="Palatino Linotype" w:cs="Palatino Linotype"/>
          <w:b/>
          <w:color w:val="000000"/>
          <w:sz w:val="22"/>
          <w:szCs w:val="22"/>
        </w:rPr>
        <w:t xml:space="preserve"> SUJETO OBLIGADO, </w:t>
      </w:r>
      <w:r w:rsidRPr="000B0ED6">
        <w:rPr>
          <w:rFonts w:ascii="Palatino Linotype" w:eastAsia="Palatino Linotype" w:hAnsi="Palatino Linotype" w:cs="Palatino Linotype"/>
          <w:color w:val="000000"/>
          <w:sz w:val="22"/>
          <w:szCs w:val="22"/>
        </w:rPr>
        <w:t>se procede a dictar la presente resolución, con base en los siguientes:</w:t>
      </w:r>
    </w:p>
    <w:p w:rsidR="00007613" w:rsidRPr="000B0ED6" w:rsidRDefault="00007613" w:rsidP="000409CA">
      <w:pPr>
        <w:tabs>
          <w:tab w:val="left" w:pos="0"/>
        </w:tabs>
        <w:jc w:val="both"/>
        <w:rPr>
          <w:rFonts w:ascii="Palatino Linotype" w:eastAsia="Palatino Linotype" w:hAnsi="Palatino Linotype" w:cs="Palatino Linotype"/>
          <w:sz w:val="22"/>
          <w:szCs w:val="22"/>
        </w:rPr>
      </w:pPr>
    </w:p>
    <w:p w:rsidR="00007613" w:rsidRPr="000B0ED6" w:rsidRDefault="00FF4150" w:rsidP="006D7D4C">
      <w:pPr>
        <w:pStyle w:val="Ttulo2"/>
        <w:jc w:val="center"/>
        <w:rPr>
          <w:rFonts w:ascii="Palatino Linotype" w:eastAsia="Palatino Linotype" w:hAnsi="Palatino Linotype" w:cs="Palatino Linotype"/>
          <w:b/>
          <w:color w:val="000000"/>
          <w:sz w:val="22"/>
          <w:szCs w:val="22"/>
        </w:rPr>
      </w:pPr>
      <w:bookmarkStart w:id="1" w:name="_heading=h.gjdgxs" w:colFirst="0" w:colLast="0"/>
      <w:bookmarkEnd w:id="1"/>
      <w:r w:rsidRPr="000B0ED6">
        <w:rPr>
          <w:rFonts w:ascii="Palatino Linotype" w:eastAsia="Palatino Linotype" w:hAnsi="Palatino Linotype" w:cs="Palatino Linotype"/>
          <w:b/>
          <w:color w:val="000000"/>
          <w:sz w:val="22"/>
          <w:szCs w:val="22"/>
        </w:rPr>
        <w:t>A N T E C E D E N T E S</w:t>
      </w:r>
    </w:p>
    <w:p w:rsidR="00007613" w:rsidRPr="000B0ED6" w:rsidRDefault="00007613" w:rsidP="000409CA">
      <w:pPr>
        <w:rPr>
          <w:rFonts w:ascii="Palatino Linotype" w:eastAsia="Palatino Linotype" w:hAnsi="Palatino Linotype" w:cs="Palatino Linotype"/>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El dieciocho de abril de dos mil veinticuatro, se</w:t>
      </w:r>
      <w:r w:rsidRPr="000B0ED6">
        <w:rPr>
          <w:rFonts w:ascii="Palatino Linotype" w:eastAsia="Palatino Linotype" w:hAnsi="Palatino Linotype" w:cs="Palatino Linotype"/>
          <w:b/>
          <w:color w:val="000000"/>
          <w:sz w:val="22"/>
          <w:szCs w:val="22"/>
        </w:rPr>
        <w:t xml:space="preserve"> </w:t>
      </w:r>
      <w:r w:rsidRPr="000B0ED6">
        <w:rPr>
          <w:rFonts w:ascii="Palatino Linotype" w:eastAsia="Palatino Linotype" w:hAnsi="Palatino Linotype" w:cs="Palatino Linotype"/>
          <w:color w:val="000000"/>
          <w:sz w:val="22"/>
          <w:szCs w:val="22"/>
        </w:rPr>
        <w:t>presentaron</w:t>
      </w:r>
      <w:r w:rsidRPr="000B0ED6">
        <w:rPr>
          <w:rFonts w:ascii="Palatino Linotype" w:eastAsia="Palatino Linotype" w:hAnsi="Palatino Linotype" w:cs="Palatino Linotype"/>
          <w:b/>
          <w:color w:val="000000"/>
          <w:sz w:val="22"/>
          <w:szCs w:val="22"/>
        </w:rPr>
        <w:t xml:space="preserve"> </w:t>
      </w:r>
      <w:r w:rsidRPr="000B0ED6">
        <w:rPr>
          <w:rFonts w:ascii="Palatino Linotype" w:eastAsia="Palatino Linotype" w:hAnsi="Palatino Linotype" w:cs="Palatino Linotype"/>
          <w:color w:val="000000"/>
          <w:sz w:val="22"/>
          <w:szCs w:val="22"/>
        </w:rPr>
        <w:t xml:space="preserve">vía Sistema de Acceso a la Información Mexiquense </w:t>
      </w:r>
      <w:r w:rsidRPr="000B0ED6">
        <w:rPr>
          <w:rFonts w:ascii="Palatino Linotype" w:eastAsia="Palatino Linotype" w:hAnsi="Palatino Linotype" w:cs="Palatino Linotype"/>
          <w:b/>
          <w:color w:val="000000"/>
          <w:sz w:val="22"/>
          <w:szCs w:val="22"/>
        </w:rPr>
        <w:t>(SAIMEX),</w:t>
      </w:r>
      <w:r w:rsidRPr="000B0ED6">
        <w:rPr>
          <w:rFonts w:ascii="Palatino Linotype" w:eastAsia="Palatino Linotype" w:hAnsi="Palatino Linotype" w:cs="Palatino Linotype"/>
          <w:color w:val="000000"/>
          <w:sz w:val="22"/>
          <w:szCs w:val="22"/>
        </w:rPr>
        <w:t xml:space="preserve"> la solicitud de información pública registrada con el número </w:t>
      </w:r>
      <w:r w:rsidRPr="000B0ED6">
        <w:rPr>
          <w:rFonts w:ascii="Palatino Linotype" w:eastAsia="Palatino Linotype" w:hAnsi="Palatino Linotype" w:cs="Palatino Linotype"/>
          <w:b/>
          <w:color w:val="000000"/>
          <w:sz w:val="22"/>
          <w:szCs w:val="22"/>
        </w:rPr>
        <w:t>00049/SUTEYM/IP/2024,</w:t>
      </w:r>
      <w:r w:rsidRPr="000B0ED6">
        <w:rPr>
          <w:rFonts w:ascii="Palatino Linotype" w:eastAsia="Palatino Linotype" w:hAnsi="Palatino Linotype" w:cs="Palatino Linotype"/>
          <w:color w:val="000000"/>
          <w:sz w:val="22"/>
          <w:szCs w:val="22"/>
        </w:rPr>
        <w:t xml:space="preserve"> </w:t>
      </w:r>
      <w:r w:rsidRPr="000B0ED6">
        <w:rPr>
          <w:rFonts w:ascii="Palatino Linotype" w:eastAsia="Palatino Linotype" w:hAnsi="Palatino Linotype" w:cs="Palatino Linotype"/>
          <w:sz w:val="22"/>
          <w:szCs w:val="22"/>
        </w:rPr>
        <w:t xml:space="preserve">en la que </w:t>
      </w:r>
      <w:r w:rsidRPr="000B0ED6">
        <w:rPr>
          <w:rFonts w:ascii="Palatino Linotype" w:eastAsia="Palatino Linotype" w:hAnsi="Palatino Linotype" w:cs="Palatino Linotype"/>
          <w:color w:val="000000"/>
          <w:sz w:val="22"/>
          <w:szCs w:val="22"/>
        </w:rPr>
        <w:t>se requirió lo siguiente:</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ind w:left="567" w:right="565"/>
        <w:jc w:val="both"/>
        <w:rPr>
          <w:rFonts w:ascii="Palatino Linotype" w:eastAsia="Palatino Linotype" w:hAnsi="Palatino Linotype" w:cs="Palatino Linotype"/>
          <w:i/>
          <w:sz w:val="22"/>
          <w:szCs w:val="22"/>
        </w:rPr>
      </w:pPr>
      <w:r w:rsidRPr="000B0ED6">
        <w:rPr>
          <w:rFonts w:ascii="Palatino Linotype" w:eastAsia="Palatino Linotype" w:hAnsi="Palatino Linotype" w:cs="Palatino Linotype"/>
          <w:i/>
          <w:color w:val="000000"/>
          <w:sz w:val="22"/>
          <w:szCs w:val="22"/>
        </w:rPr>
        <w:t xml:space="preserve">“el nombre del servidor público, área de adscripción, puesto, categoría de todos los integrantes del comité ejecutivo y de vigilancia del </w:t>
      </w:r>
      <w:proofErr w:type="spellStart"/>
      <w:r w:rsidRPr="000B0ED6">
        <w:rPr>
          <w:rFonts w:ascii="Palatino Linotype" w:eastAsia="Palatino Linotype" w:hAnsi="Palatino Linotype" w:cs="Palatino Linotype"/>
          <w:i/>
          <w:color w:val="000000"/>
          <w:sz w:val="22"/>
          <w:szCs w:val="22"/>
        </w:rPr>
        <w:t>suteym</w:t>
      </w:r>
      <w:proofErr w:type="spellEnd"/>
      <w:r w:rsidRPr="000B0ED6">
        <w:rPr>
          <w:rFonts w:ascii="Palatino Linotype" w:eastAsia="Palatino Linotype" w:hAnsi="Palatino Linotype" w:cs="Palatino Linotype"/>
          <w:i/>
          <w:sz w:val="22"/>
          <w:szCs w:val="22"/>
        </w:rPr>
        <w:t>” (Sic)</w:t>
      </w:r>
    </w:p>
    <w:p w:rsidR="00007613" w:rsidRPr="000B0ED6" w:rsidRDefault="00007613" w:rsidP="006D7D4C">
      <w:pPr>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Se señaló como modalidad de entrega de la información: a través de </w:t>
      </w:r>
      <w:r w:rsidRPr="000B0ED6">
        <w:rPr>
          <w:rFonts w:ascii="Palatino Linotype" w:eastAsia="Palatino Linotype" w:hAnsi="Palatino Linotype" w:cs="Palatino Linotype"/>
          <w:b/>
          <w:color w:val="000000"/>
          <w:sz w:val="22"/>
          <w:szCs w:val="22"/>
        </w:rPr>
        <w:t>SAIMEX.</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El siete de mayo de dos mil veinticuatro,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emitió respuesta a la solicitud de información, en los siguientes términos:</w:t>
      </w:r>
    </w:p>
    <w:p w:rsidR="00007613" w:rsidRPr="000B0ED6" w:rsidRDefault="00FF4150" w:rsidP="006D7D4C">
      <w:pPr>
        <w:tabs>
          <w:tab w:val="left" w:pos="426"/>
          <w:tab w:val="left" w:pos="567"/>
        </w:tabs>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lastRenderedPageBreak/>
        <w:t>"… Por este medio me permito dar respuesta a su solicitud de información número 00049/SUTEYM/IP/2024 de fecha 18 de abril de 2024, con fundamento en los artículos 1, 2, 3 fracción XLIV, 4, 12, 16, 23 fracción IX, 24 fracción XI y último párrafo, 50, 51, y 53 fracciones II, IV, V y VI de la Ley de Transparencia y Acceso a la Información Pública del Estado de México y Municipios…” (Sic)</w:t>
      </w:r>
    </w:p>
    <w:p w:rsidR="00007613" w:rsidRPr="000B0ED6" w:rsidRDefault="00007613" w:rsidP="000409CA">
      <w:pPr>
        <w:ind w:right="565"/>
        <w:jc w:val="both"/>
        <w:rPr>
          <w:rFonts w:ascii="Palatino Linotype" w:eastAsia="Palatino Linotype" w:hAnsi="Palatino Linotype" w:cs="Palatino Linotype"/>
          <w:color w:val="000000"/>
          <w:sz w:val="22"/>
          <w:szCs w:val="22"/>
        </w:rPr>
      </w:pPr>
    </w:p>
    <w:p w:rsidR="00007613" w:rsidRPr="000B0ED6" w:rsidRDefault="00FF4150" w:rsidP="006D7D4C">
      <w:pPr>
        <w:ind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Archivos electrónicos adjuntos:</w:t>
      </w:r>
    </w:p>
    <w:p w:rsidR="00007613" w:rsidRPr="000B0ED6" w:rsidRDefault="00007613" w:rsidP="000409CA">
      <w:pPr>
        <w:tabs>
          <w:tab w:val="left" w:pos="142"/>
        </w:tabs>
        <w:ind w:right="565"/>
        <w:jc w:val="both"/>
        <w:rPr>
          <w:rFonts w:ascii="Palatino Linotype" w:eastAsia="Palatino Linotype" w:hAnsi="Palatino Linotype" w:cs="Palatino Linotype"/>
          <w:color w:val="000000"/>
          <w:sz w:val="22"/>
          <w:szCs w:val="22"/>
        </w:rPr>
      </w:pPr>
    </w:p>
    <w:p w:rsidR="00007613" w:rsidRPr="000B0ED6" w:rsidRDefault="0067158D" w:rsidP="006D7D4C">
      <w:pPr>
        <w:tabs>
          <w:tab w:val="left" w:pos="142"/>
        </w:tabs>
        <w:ind w:left="567" w:right="565"/>
        <w:jc w:val="both"/>
        <w:rPr>
          <w:rFonts w:ascii="Palatino Linotype" w:eastAsia="Palatino Linotype" w:hAnsi="Palatino Linotype" w:cs="Palatino Linotype"/>
          <w:sz w:val="22"/>
          <w:szCs w:val="22"/>
        </w:rPr>
      </w:pPr>
      <w:hyperlink r:id="rId8">
        <w:r w:rsidR="00FF4150" w:rsidRPr="000B0ED6">
          <w:rPr>
            <w:rFonts w:ascii="Palatino Linotype" w:eastAsia="Palatino Linotype" w:hAnsi="Palatino Linotype" w:cs="Palatino Linotype"/>
            <w:b/>
            <w:color w:val="000000"/>
            <w:sz w:val="22"/>
            <w:szCs w:val="22"/>
          </w:rPr>
          <w:t>RESPUESTA 49.pdf</w:t>
        </w:r>
      </w:hyperlink>
      <w:r w:rsidR="00FF4150" w:rsidRPr="000B0ED6">
        <w:rPr>
          <w:rFonts w:ascii="Palatino Linotype" w:eastAsia="Palatino Linotype" w:hAnsi="Palatino Linotype" w:cs="Palatino Linotype"/>
          <w:b/>
          <w:sz w:val="22"/>
          <w:szCs w:val="22"/>
        </w:rPr>
        <w:t xml:space="preserve">: </w:t>
      </w:r>
      <w:r w:rsidR="00FF4150" w:rsidRPr="000B0ED6">
        <w:rPr>
          <w:rFonts w:ascii="Palatino Linotype" w:eastAsia="Palatino Linotype" w:hAnsi="Palatino Linotype" w:cs="Palatino Linotype"/>
          <w:sz w:val="22"/>
          <w:szCs w:val="22"/>
        </w:rPr>
        <w:t>Oficio del 07 de mayo de 2024, suscrito por el Titular de la Unidad de Transparencia, por medio del cual, adjuntó la relación de los Servidores Públicos Integrantes del Comité Ejecutivo del Sindicato Único de Trabajadores de los Poderes, Municipios e Instituciones Descentralizadas del Estado de México S.U.T.E.Y.M., así como el área de adscripción. Por otro lado, refirió no contar ni generar la información relativa al puesto y categoría de dichos Servidores Públicos, toda vez que, la Organización Sindical no contrata y por tanto no cuenta con trabajadores que brinden un servicio, personal y subordinado mediante el pago de un salario, ya que las personas que colaboran con dicha agrupación son servidores públicos del Gobierno Estatal, Municipal o de Organismos Públicos Descentralizados, cuyos sueldos son solventados por las dependencias a las que está adscrita su plaza, es decir, cuentan con una licencia sindical con goce de sueldo.</w:t>
      </w:r>
    </w:p>
    <w:p w:rsidR="00007613" w:rsidRPr="000B0ED6" w:rsidRDefault="00007613" w:rsidP="000409CA">
      <w:pPr>
        <w:tabs>
          <w:tab w:val="left" w:pos="142"/>
        </w:tabs>
        <w:jc w:val="both"/>
        <w:rPr>
          <w:rFonts w:ascii="Palatino Linotype" w:eastAsia="Palatino Linotype" w:hAnsi="Palatino Linotype" w:cs="Palatino Linotype"/>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bookmarkStart w:id="2" w:name="_heading=h.30j0zll" w:colFirst="0" w:colLast="0"/>
      <w:bookmarkEnd w:id="2"/>
      <w:r w:rsidRPr="000B0ED6">
        <w:rPr>
          <w:rFonts w:ascii="Palatino Linotype" w:eastAsia="Palatino Linotype" w:hAnsi="Palatino Linotype" w:cs="Palatino Linotype"/>
          <w:color w:val="000000"/>
          <w:sz w:val="22"/>
          <w:szCs w:val="22"/>
        </w:rPr>
        <w:t>El ocho de mayo de dos mil veinticuatro, se interpuso el recurso de revisión, en contra de la respuesta, señalando como:</w:t>
      </w:r>
    </w:p>
    <w:p w:rsidR="000409CA" w:rsidRPr="000B0ED6" w:rsidRDefault="000409CA"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tabs>
          <w:tab w:val="left" w:pos="7400"/>
        </w:tabs>
        <w:ind w:left="596" w:right="565"/>
        <w:jc w:val="both"/>
        <w:rPr>
          <w:rFonts w:ascii="Palatino Linotype" w:eastAsia="Palatino Linotype" w:hAnsi="Palatino Linotype" w:cs="Palatino Linotype"/>
          <w:b/>
          <w:sz w:val="22"/>
          <w:szCs w:val="22"/>
        </w:rPr>
      </w:pPr>
      <w:r w:rsidRPr="000B0ED6">
        <w:rPr>
          <w:rFonts w:ascii="Palatino Linotype" w:eastAsia="Palatino Linotype" w:hAnsi="Palatino Linotype" w:cs="Palatino Linotype"/>
          <w:b/>
          <w:sz w:val="22"/>
          <w:szCs w:val="22"/>
        </w:rPr>
        <w:t>Acto Impugnado:</w:t>
      </w:r>
    </w:p>
    <w:p w:rsidR="00007613" w:rsidRPr="000B0ED6" w:rsidRDefault="00FF4150" w:rsidP="006D7D4C">
      <w:pPr>
        <w:ind w:left="567" w:right="565"/>
        <w:jc w:val="both"/>
        <w:rPr>
          <w:rFonts w:ascii="Palatino Linotype" w:eastAsia="Palatino Linotype" w:hAnsi="Palatino Linotype" w:cs="Palatino Linotype"/>
          <w:i/>
          <w:sz w:val="22"/>
          <w:szCs w:val="22"/>
        </w:rPr>
      </w:pPr>
      <w:r w:rsidRPr="000B0ED6">
        <w:rPr>
          <w:rFonts w:ascii="Palatino Linotype" w:eastAsia="Palatino Linotype" w:hAnsi="Palatino Linotype" w:cs="Palatino Linotype"/>
          <w:i/>
          <w:sz w:val="22"/>
          <w:szCs w:val="22"/>
        </w:rPr>
        <w:t>“de la información entregada.</w:t>
      </w:r>
      <w:r w:rsidRPr="000B0ED6">
        <w:rPr>
          <w:rFonts w:ascii="Palatino Linotype" w:eastAsia="Palatino Linotype" w:hAnsi="Palatino Linotype" w:cs="Palatino Linotype"/>
          <w:i/>
          <w:color w:val="000000"/>
          <w:sz w:val="22"/>
          <w:szCs w:val="22"/>
        </w:rPr>
        <w:t>” (Sic)</w:t>
      </w:r>
    </w:p>
    <w:p w:rsidR="00007613" w:rsidRPr="000B0ED6" w:rsidRDefault="00007613" w:rsidP="006D7D4C">
      <w:pPr>
        <w:tabs>
          <w:tab w:val="left" w:pos="7400"/>
        </w:tabs>
        <w:ind w:left="7400" w:right="565" w:hanging="6804"/>
        <w:jc w:val="both"/>
        <w:rPr>
          <w:rFonts w:ascii="Palatino Linotype" w:eastAsia="Palatino Linotype" w:hAnsi="Palatino Linotype" w:cs="Palatino Linotype"/>
          <w:b/>
          <w:color w:val="000000"/>
          <w:sz w:val="22"/>
          <w:szCs w:val="22"/>
        </w:rPr>
      </w:pPr>
    </w:p>
    <w:p w:rsidR="00007613" w:rsidRPr="000B0ED6" w:rsidRDefault="00FF4150" w:rsidP="006D7D4C">
      <w:pPr>
        <w:tabs>
          <w:tab w:val="left" w:pos="7400"/>
        </w:tabs>
        <w:ind w:left="7400" w:right="565" w:hanging="6804"/>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b/>
          <w:color w:val="000000"/>
          <w:sz w:val="22"/>
          <w:szCs w:val="22"/>
        </w:rPr>
        <w:t>Razones o Motivos de Inconformidad:</w:t>
      </w: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t xml:space="preserve">“NO adjuntan en el listado completo de los servidores públicos que fungen como suplentes, ya que ellos también forma parte del Comité Ejecutivo y de la Comisión de Vigilancia e Investigación, además que en su respuesta informan que cuentan con licencia sindical de goce de sueldo, cuando NO es así, ya que tiene una "comisión </w:t>
      </w:r>
      <w:r w:rsidRPr="000B0ED6">
        <w:rPr>
          <w:rFonts w:ascii="Palatino Linotype" w:eastAsia="Palatino Linotype" w:hAnsi="Palatino Linotype" w:cs="Palatino Linotype"/>
          <w:i/>
          <w:color w:val="000000"/>
          <w:sz w:val="22"/>
          <w:szCs w:val="22"/>
        </w:rPr>
        <w:lastRenderedPageBreak/>
        <w:t xml:space="preserve">sindical" y derivado de ello reciben un sueldo por parte del comité ejecutivo y la comisión de vigilancia del SUTEYM además de su sueldo al cual están adscritos, de los cuales derivan de los recursos públicos y cuotas sindicales de las diferentes secciones, o </w:t>
      </w:r>
      <w:proofErr w:type="spellStart"/>
      <w:r w:rsidRPr="000B0ED6">
        <w:rPr>
          <w:rFonts w:ascii="Palatino Linotype" w:eastAsia="Palatino Linotype" w:hAnsi="Palatino Linotype" w:cs="Palatino Linotype"/>
          <w:i/>
          <w:color w:val="000000"/>
          <w:sz w:val="22"/>
          <w:szCs w:val="22"/>
        </w:rPr>
        <w:t>que</w:t>
      </w:r>
      <w:proofErr w:type="spellEnd"/>
      <w:r w:rsidRPr="000B0ED6">
        <w:rPr>
          <w:rFonts w:ascii="Palatino Linotype" w:eastAsia="Palatino Linotype" w:hAnsi="Palatino Linotype" w:cs="Palatino Linotype"/>
          <w:i/>
          <w:color w:val="000000"/>
          <w:sz w:val="22"/>
          <w:szCs w:val="22"/>
        </w:rPr>
        <w:t xml:space="preserve">? </w:t>
      </w:r>
      <w:proofErr w:type="spellStart"/>
      <w:r w:rsidRPr="000B0ED6">
        <w:rPr>
          <w:rFonts w:ascii="Palatino Linotype" w:eastAsia="Palatino Linotype" w:hAnsi="Palatino Linotype" w:cs="Palatino Linotype"/>
          <w:i/>
          <w:color w:val="000000"/>
          <w:sz w:val="22"/>
          <w:szCs w:val="22"/>
        </w:rPr>
        <w:t>a caso</w:t>
      </w:r>
      <w:proofErr w:type="spellEnd"/>
      <w:r w:rsidRPr="000B0ED6">
        <w:rPr>
          <w:rFonts w:ascii="Palatino Linotype" w:eastAsia="Palatino Linotype" w:hAnsi="Palatino Linotype" w:cs="Palatino Linotype"/>
          <w:i/>
          <w:color w:val="000000"/>
          <w:sz w:val="22"/>
          <w:szCs w:val="22"/>
        </w:rPr>
        <w:t xml:space="preserve"> sólo lo hacen por su vocación y amor a la institución, a que le tienen miedo a transparentar </w:t>
      </w:r>
      <w:proofErr w:type="spellStart"/>
      <w:r w:rsidRPr="000B0ED6">
        <w:rPr>
          <w:rFonts w:ascii="Palatino Linotype" w:eastAsia="Palatino Linotype" w:hAnsi="Palatino Linotype" w:cs="Palatino Linotype"/>
          <w:i/>
          <w:color w:val="000000"/>
          <w:sz w:val="22"/>
          <w:szCs w:val="22"/>
        </w:rPr>
        <w:t>cuanto</w:t>
      </w:r>
      <w:proofErr w:type="spellEnd"/>
      <w:r w:rsidRPr="000B0ED6">
        <w:rPr>
          <w:rFonts w:ascii="Palatino Linotype" w:eastAsia="Palatino Linotype" w:hAnsi="Palatino Linotype" w:cs="Palatino Linotype"/>
          <w:i/>
          <w:color w:val="000000"/>
          <w:sz w:val="22"/>
          <w:szCs w:val="22"/>
        </w:rPr>
        <w:t xml:space="preserve"> gana en realidad?” (Sic)</w:t>
      </w:r>
    </w:p>
    <w:p w:rsidR="00007613" w:rsidRPr="000B0ED6" w:rsidRDefault="00007613" w:rsidP="000409CA">
      <w:pPr>
        <w:tabs>
          <w:tab w:val="left" w:pos="7400"/>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La Comisionada Ponente con fundamento en lo dispuesto por el artículo 185 fracción II de la ley de la materia, a través del acuerdo de admisión del quince de mayo de dos mil veinticuatro, puso a disposición de las partes el expediente electrónico vía Sistema de Acceso a la Información Mexiquense </w:t>
      </w:r>
      <w:r w:rsidRPr="000B0ED6">
        <w:rPr>
          <w:rFonts w:ascii="Palatino Linotype" w:eastAsia="Palatino Linotype" w:hAnsi="Palatino Linotype" w:cs="Palatino Linotype"/>
          <w:b/>
          <w:color w:val="000000"/>
          <w:sz w:val="22"/>
          <w:szCs w:val="22"/>
        </w:rPr>
        <w:t xml:space="preserve">SAIMEX, </w:t>
      </w:r>
      <w:r w:rsidRPr="000B0ED6">
        <w:rPr>
          <w:rFonts w:ascii="Palatino Linotype" w:eastAsia="Palatino Linotype" w:hAnsi="Palatino Linotype" w:cs="Palatino Linotype"/>
          <w:color w:val="000000"/>
          <w:sz w:val="22"/>
          <w:szCs w:val="22"/>
        </w:rPr>
        <w:t xml:space="preserve">a efecto de que en un plazo máximo de siete días </w:t>
      </w:r>
      <w:r w:rsidRPr="000B0ED6">
        <w:rPr>
          <w:rFonts w:ascii="Palatino Linotype" w:eastAsia="Palatino Linotype" w:hAnsi="Palatino Linotype" w:cs="Palatino Linotype"/>
          <w:sz w:val="22"/>
          <w:szCs w:val="22"/>
        </w:rPr>
        <w:t>manifestara</w:t>
      </w:r>
      <w:r w:rsidRPr="000B0ED6">
        <w:rPr>
          <w:rFonts w:ascii="Palatino Linotype" w:eastAsia="Palatino Linotype" w:hAnsi="Palatino Linotype" w:cs="Palatino Linotype"/>
          <w:color w:val="000000"/>
          <w:sz w:val="22"/>
          <w:szCs w:val="22"/>
        </w:rPr>
        <w:t xml:space="preserve"> lo que a su derecho conviniera, </w:t>
      </w:r>
      <w:r w:rsidRPr="000B0ED6">
        <w:rPr>
          <w:rFonts w:ascii="Palatino Linotype" w:eastAsia="Palatino Linotype" w:hAnsi="Palatino Linotype" w:cs="Palatino Linotype"/>
          <w:sz w:val="22"/>
          <w:szCs w:val="22"/>
        </w:rPr>
        <w:t>ofreciera</w:t>
      </w:r>
      <w:r w:rsidRPr="000B0ED6">
        <w:rPr>
          <w:rFonts w:ascii="Palatino Linotype" w:eastAsia="Palatino Linotype" w:hAnsi="Palatino Linotype" w:cs="Palatino Linotype"/>
          <w:color w:val="000000"/>
          <w:sz w:val="22"/>
          <w:szCs w:val="22"/>
        </w:rPr>
        <w:t xml:space="preserve"> pruebas y alegatos según corresponda, de esta forma para que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presentará el Informe Justificado procedente.</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El veinte de mayo de dos mil veinticuatro,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rindió el informe justificado correspondiente, por medio de los siguientes archivos electrónicos:</w:t>
      </w:r>
    </w:p>
    <w:p w:rsidR="000409CA" w:rsidRPr="000B0ED6" w:rsidRDefault="000409CA"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67158D" w:rsidP="006D7D4C">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color w:val="000000"/>
          <w:sz w:val="22"/>
          <w:szCs w:val="22"/>
        </w:rPr>
      </w:pPr>
      <w:hyperlink r:id="rId9">
        <w:r w:rsidR="00FF4150" w:rsidRPr="000B0ED6">
          <w:rPr>
            <w:rFonts w:ascii="Palatino Linotype" w:eastAsia="Palatino Linotype" w:hAnsi="Palatino Linotype" w:cs="Palatino Linotype"/>
            <w:b/>
            <w:color w:val="000000"/>
            <w:sz w:val="22"/>
            <w:szCs w:val="22"/>
          </w:rPr>
          <w:t>HOJA_MEMBRETADA_SUTEYM.pdf</w:t>
        </w:r>
      </w:hyperlink>
      <w:r w:rsidR="00FF4150" w:rsidRPr="000B0ED6">
        <w:rPr>
          <w:rFonts w:ascii="Palatino Linotype" w:eastAsia="Palatino Linotype" w:hAnsi="Palatino Linotype" w:cs="Palatino Linotype"/>
          <w:color w:val="000000"/>
          <w:sz w:val="22"/>
          <w:szCs w:val="22"/>
        </w:rPr>
        <w:t>: Relación de todos los integrantes del Comité Ejecutivo y Comisión de Vigilancia e Investigación, en donde se observa el nombre, área de adscripción y dependencia en la que se encuentran adscritos</w:t>
      </w:r>
      <w:r w:rsidR="00FF4150" w:rsidRPr="000B0ED6">
        <w:rPr>
          <w:rFonts w:ascii="Palatino Linotype" w:eastAsia="Palatino Linotype" w:hAnsi="Palatino Linotype" w:cs="Palatino Linotype"/>
          <w:b/>
          <w:color w:val="000000"/>
          <w:sz w:val="22"/>
          <w:szCs w:val="22"/>
        </w:rPr>
        <w:t>.</w:t>
      </w:r>
    </w:p>
    <w:p w:rsidR="00007613" w:rsidRPr="000B0ED6" w:rsidRDefault="00007613" w:rsidP="006D7D4C">
      <w:pPr>
        <w:tabs>
          <w:tab w:val="left" w:pos="426"/>
          <w:tab w:val="left" w:pos="567"/>
        </w:tabs>
        <w:ind w:right="565"/>
        <w:jc w:val="both"/>
        <w:rPr>
          <w:rFonts w:ascii="Palatino Linotype" w:eastAsia="Palatino Linotype" w:hAnsi="Palatino Linotype" w:cs="Palatino Linotype"/>
          <w:sz w:val="22"/>
          <w:szCs w:val="22"/>
        </w:rPr>
      </w:pPr>
    </w:p>
    <w:p w:rsidR="00007613" w:rsidRPr="000B0ED6" w:rsidRDefault="0067158D" w:rsidP="006D7D4C">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color w:val="000000"/>
          <w:sz w:val="22"/>
          <w:szCs w:val="22"/>
        </w:rPr>
      </w:pPr>
      <w:hyperlink r:id="rId10">
        <w:r w:rsidR="00FF4150" w:rsidRPr="000B0ED6">
          <w:rPr>
            <w:rFonts w:ascii="Palatino Linotype" w:eastAsia="Palatino Linotype" w:hAnsi="Palatino Linotype" w:cs="Palatino Linotype"/>
            <w:b/>
            <w:color w:val="000000"/>
            <w:sz w:val="22"/>
            <w:szCs w:val="22"/>
          </w:rPr>
          <w:t xml:space="preserve">INFORME DE </w:t>
        </w:r>
      </w:hyperlink>
      <w:hyperlink r:id="rId11">
        <w:r w:rsidR="00FF4150" w:rsidRPr="000B0ED6">
          <w:rPr>
            <w:rFonts w:ascii="Palatino Linotype" w:eastAsia="Palatino Linotype" w:hAnsi="Palatino Linotype" w:cs="Palatino Linotype"/>
            <w:b/>
            <w:color w:val="000000"/>
            <w:sz w:val="22"/>
            <w:szCs w:val="22"/>
          </w:rPr>
          <w:t>JUSTIFICACION.pdf</w:t>
        </w:r>
      </w:hyperlink>
      <w:r w:rsidR="00FF4150" w:rsidRPr="000B0ED6">
        <w:rPr>
          <w:rFonts w:ascii="Palatino Linotype" w:eastAsia="Palatino Linotype" w:hAnsi="Palatino Linotype" w:cs="Palatino Linotype"/>
          <w:color w:val="000000"/>
          <w:sz w:val="22"/>
          <w:szCs w:val="22"/>
        </w:rPr>
        <w:t xml:space="preserve">: Oficio suscrito por el Titular de la Unidad de Transparencia, por medio del cual, ratificó que el </w:t>
      </w:r>
      <w:r w:rsidR="00FF4150" w:rsidRPr="000B0ED6">
        <w:rPr>
          <w:rFonts w:ascii="Palatino Linotype" w:eastAsia="Palatino Linotype" w:hAnsi="Palatino Linotype" w:cs="Palatino Linotype"/>
          <w:b/>
          <w:color w:val="000000"/>
          <w:sz w:val="22"/>
          <w:szCs w:val="22"/>
        </w:rPr>
        <w:t>SUJETO OBLIGADO</w:t>
      </w:r>
      <w:r w:rsidR="00FF4150" w:rsidRPr="000B0ED6">
        <w:rPr>
          <w:rFonts w:ascii="Palatino Linotype" w:eastAsia="Palatino Linotype" w:hAnsi="Palatino Linotype" w:cs="Palatino Linotype"/>
          <w:color w:val="000000"/>
          <w:sz w:val="22"/>
          <w:szCs w:val="22"/>
        </w:rPr>
        <w:t xml:space="preserve"> no genera ni posee información referente a la categoría y puestos de los Servidores Públicos del Comité Ejecutivo Estatal,  ya que no es obligación contar con dicha información porque no es requisito para ocupar los cargos del Comité Ejecutivo Estatal. Por otro lado, informó que la Organización Sindical no cuenta con suplentes, al respecto adjuntó los Estatutos Internos del Sindicato, así como, la relación de los Servidores Públicos en donde se observa </w:t>
      </w:r>
      <w:r w:rsidR="00FF4150" w:rsidRPr="000B0ED6">
        <w:rPr>
          <w:rFonts w:ascii="Palatino Linotype" w:eastAsia="Palatino Linotype" w:hAnsi="Palatino Linotype" w:cs="Palatino Linotype"/>
          <w:color w:val="000000"/>
          <w:sz w:val="22"/>
          <w:szCs w:val="22"/>
        </w:rPr>
        <w:lastRenderedPageBreak/>
        <w:t xml:space="preserve">el nombre, área de adscripción y dependencia a la que se encuentran adscritos todos los integrantes del Comité Ejecutivo </w:t>
      </w:r>
      <w:r w:rsidR="00FF4150" w:rsidRPr="000B0ED6">
        <w:rPr>
          <w:rFonts w:ascii="Palatino Linotype" w:eastAsia="Palatino Linotype" w:hAnsi="Palatino Linotype" w:cs="Palatino Linotype"/>
          <w:b/>
          <w:color w:val="000000"/>
          <w:sz w:val="22"/>
          <w:szCs w:val="22"/>
        </w:rPr>
        <w:t>y Comisión de Vigilancia e Investigación.</w:t>
      </w:r>
    </w:p>
    <w:p w:rsidR="00007613" w:rsidRPr="000B0ED6" w:rsidRDefault="00007613" w:rsidP="000409CA">
      <w:pPr>
        <w:rPr>
          <w:rFonts w:ascii="Palatino Linotype" w:eastAsia="Palatino Linotype" w:hAnsi="Palatino Linotype" w:cs="Palatino Linotype"/>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Por su parte, el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xml:space="preserve"> no presentó pruebas o alegatos que </w:t>
      </w:r>
      <w:r w:rsidRPr="000B0ED6">
        <w:rPr>
          <w:rFonts w:ascii="Palatino Linotype" w:eastAsia="Palatino Linotype" w:hAnsi="Palatino Linotype" w:cs="Palatino Linotype"/>
          <w:sz w:val="22"/>
          <w:szCs w:val="22"/>
        </w:rPr>
        <w:t>conviniera</w:t>
      </w:r>
      <w:r w:rsidRPr="000B0ED6">
        <w:rPr>
          <w:rFonts w:ascii="Palatino Linotype" w:eastAsia="Palatino Linotype" w:hAnsi="Palatino Linotype" w:cs="Palatino Linotype"/>
          <w:color w:val="000000"/>
          <w:sz w:val="22"/>
          <w:szCs w:val="22"/>
        </w:rPr>
        <w:t xml:space="preserve"> a su derecho, según consta en el </w:t>
      </w:r>
      <w:r w:rsidRPr="000B0ED6">
        <w:rPr>
          <w:rFonts w:ascii="Palatino Linotype" w:eastAsia="Palatino Linotype" w:hAnsi="Palatino Linotype" w:cs="Palatino Linotype"/>
          <w:b/>
          <w:color w:val="000000"/>
          <w:sz w:val="22"/>
          <w:szCs w:val="22"/>
        </w:rPr>
        <w:t>SAIMEX.</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El veinticinco de septiembre de dos mil veinticuatro, se notificó el acuerdo mediante el cual se amplió el plazo para emitir resolución por un término de 15 días adicionales.</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0409C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7613" w:rsidRPr="000B0ED6" w:rsidRDefault="00007613" w:rsidP="000409CA">
      <w:pPr>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Por ello, excepcionalmente, si un asunto es resuelto con posterioridad a los plazos señalados por la norma debe analizarse la razonabilidad del tiempo necesario para su resolución, atentos a los siguientes criterios:</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pBdr>
          <w:top w:val="nil"/>
          <w:left w:val="nil"/>
          <w:bottom w:val="nil"/>
          <w:right w:val="nil"/>
          <w:between w:val="nil"/>
        </w:pBdr>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rsidR="00007613" w:rsidRPr="000B0ED6" w:rsidRDefault="00FF4150" w:rsidP="006D7D4C">
      <w:pPr>
        <w:pBdr>
          <w:top w:val="nil"/>
          <w:left w:val="nil"/>
          <w:bottom w:val="nil"/>
          <w:right w:val="nil"/>
          <w:between w:val="nil"/>
        </w:pBdr>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b) Actividad Procesal del interesado: Acciones u omisiones del interesado.</w:t>
      </w:r>
    </w:p>
    <w:p w:rsidR="00007613" w:rsidRPr="000B0ED6" w:rsidRDefault="00FF4150" w:rsidP="006D7D4C">
      <w:pPr>
        <w:pBdr>
          <w:top w:val="nil"/>
          <w:left w:val="nil"/>
          <w:bottom w:val="nil"/>
          <w:right w:val="nil"/>
          <w:between w:val="nil"/>
        </w:pBdr>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007613" w:rsidRPr="000B0ED6" w:rsidRDefault="00FF4150" w:rsidP="006D7D4C">
      <w:pPr>
        <w:pBdr>
          <w:top w:val="nil"/>
          <w:left w:val="nil"/>
          <w:bottom w:val="nil"/>
          <w:right w:val="nil"/>
          <w:between w:val="nil"/>
        </w:pBdr>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0409C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Argumento que encuentra sustento en la jurisprudencia P</w:t>
      </w:r>
      <w:proofErr w:type="gramStart"/>
      <w:r w:rsidRPr="000B0ED6">
        <w:rPr>
          <w:rFonts w:ascii="Palatino Linotype" w:eastAsia="Palatino Linotype" w:hAnsi="Palatino Linotype" w:cs="Palatino Linotype"/>
          <w:color w:val="000000"/>
          <w:sz w:val="22"/>
          <w:szCs w:val="22"/>
        </w:rPr>
        <w:t>./</w:t>
      </w:r>
      <w:proofErr w:type="gramEnd"/>
      <w:r w:rsidRPr="000B0ED6">
        <w:rPr>
          <w:rFonts w:ascii="Palatino Linotype" w:eastAsia="Palatino Linotype" w:hAnsi="Palatino Linotype" w:cs="Palatino Linotype"/>
          <w:color w:val="000000"/>
          <w:sz w:val="22"/>
          <w:szCs w:val="22"/>
        </w:rPr>
        <w:t xml:space="preserve">J. 32/92 emitida por el Pleno de la Suprema Corte de Justicia de la Nación </w:t>
      </w:r>
      <w:r w:rsidRPr="000B0ED6">
        <w:rPr>
          <w:rFonts w:ascii="Palatino Linotype" w:eastAsia="Palatino Linotype" w:hAnsi="Palatino Linotype" w:cs="Palatino Linotype"/>
          <w:sz w:val="22"/>
          <w:szCs w:val="22"/>
        </w:rPr>
        <w:t>del rubro</w:t>
      </w:r>
      <w:r w:rsidRPr="000B0ED6">
        <w:rPr>
          <w:rFonts w:ascii="Palatino Linotype" w:eastAsia="Palatino Linotype" w:hAnsi="Palatino Linotype" w:cs="Palatino Linotype"/>
          <w:color w:val="000000"/>
          <w:sz w:val="22"/>
          <w:szCs w:val="22"/>
        </w:rPr>
        <w:t xml:space="preserve"> “TÉRMINOS PROCESALES. PARA DETERMINAR SI UN FUNCIONARIO JUDICIAL ACTUÓ INDEBIDAMENTE POR NO </w:t>
      </w:r>
      <w:r w:rsidRPr="000B0ED6">
        <w:rPr>
          <w:rFonts w:ascii="Palatino Linotype" w:eastAsia="Palatino Linotype" w:hAnsi="Palatino Linotype" w:cs="Palatino Linotype"/>
          <w:color w:val="000000"/>
          <w:sz w:val="22"/>
          <w:szCs w:val="22"/>
        </w:rPr>
        <w:lastRenderedPageBreak/>
        <w:t xml:space="preserve">RESPETARLOS SE DEBE ATENDER AL PRESUPUESTO QUE CONSIDERÓ EL LEGISLADOR AL FIJARLOS Y LAS CARACTERÍSTICAS DEL CASO.”, visible en la Gaceta del </w:t>
      </w:r>
      <w:r w:rsidRPr="000B0ED6">
        <w:rPr>
          <w:rFonts w:ascii="Palatino Linotype" w:eastAsia="Palatino Linotype" w:hAnsi="Palatino Linotype" w:cs="Palatino Linotype"/>
          <w:sz w:val="22"/>
          <w:szCs w:val="22"/>
        </w:rPr>
        <w:t>Semanario</w:t>
      </w:r>
      <w:r w:rsidRPr="000B0ED6">
        <w:rPr>
          <w:rFonts w:ascii="Palatino Linotype" w:eastAsia="Palatino Linotype" w:hAnsi="Palatino Linotype" w:cs="Palatino Linotype"/>
          <w:color w:val="000000"/>
          <w:sz w:val="22"/>
          <w:szCs w:val="22"/>
        </w:rPr>
        <w:t xml:space="preserve"> Judicial de la Federación con el registro digital 205635.</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0409C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7613" w:rsidRPr="000B0ED6" w:rsidRDefault="00007613" w:rsidP="000409CA">
      <w:pPr>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pBdr>
          <w:top w:val="nil"/>
          <w:left w:val="nil"/>
          <w:bottom w:val="nil"/>
          <w:right w:val="nil"/>
          <w:between w:val="nil"/>
        </w:pBdr>
        <w:tabs>
          <w:tab w:val="left" w:pos="8364"/>
        </w:tabs>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rsidR="00007613" w:rsidRPr="000B0ED6" w:rsidRDefault="00007613" w:rsidP="006D7D4C">
      <w:pPr>
        <w:pBdr>
          <w:top w:val="nil"/>
          <w:left w:val="nil"/>
          <w:bottom w:val="nil"/>
          <w:right w:val="nil"/>
          <w:between w:val="nil"/>
        </w:pBdr>
        <w:tabs>
          <w:tab w:val="left" w:pos="8364"/>
        </w:tabs>
        <w:ind w:left="567" w:right="565"/>
        <w:jc w:val="both"/>
        <w:rPr>
          <w:rFonts w:ascii="Palatino Linotype" w:eastAsia="Palatino Linotype" w:hAnsi="Palatino Linotype" w:cs="Palatino Linotype"/>
          <w:sz w:val="22"/>
          <w:szCs w:val="22"/>
        </w:rPr>
      </w:pPr>
    </w:p>
    <w:p w:rsidR="00007613" w:rsidRPr="000B0ED6" w:rsidRDefault="00FF4150" w:rsidP="006D7D4C">
      <w:pPr>
        <w:pBdr>
          <w:top w:val="nil"/>
          <w:left w:val="nil"/>
          <w:bottom w:val="nil"/>
          <w:right w:val="nil"/>
          <w:between w:val="nil"/>
        </w:pBdr>
        <w:tabs>
          <w:tab w:val="left" w:pos="8364"/>
        </w:tabs>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“PLAZO RAZONABLE PARA RESOLVER. CONCEPTO Y ELEMENTOS QUE LO INTEGRAN A LA LUZ DEL DERECHO INTERNACIONAL DE LOS </w:t>
      </w:r>
      <w:r w:rsidRPr="000B0ED6">
        <w:rPr>
          <w:rFonts w:ascii="Palatino Linotype" w:eastAsia="Palatino Linotype" w:hAnsi="Palatino Linotype" w:cs="Palatino Linotype"/>
          <w:color w:val="000000"/>
          <w:sz w:val="22"/>
          <w:szCs w:val="22"/>
        </w:rPr>
        <w:lastRenderedPageBreak/>
        <w:t>DERECHOS HUMANOS.”, visible en el Seminario Judicial de la Federación y su gaceta, con el registro digital 2002350.</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6D7D4C" w:rsidRPr="000B0ED6" w:rsidRDefault="006D7D4C"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La Comisionada Ponente decretó el cierre de instrucción mediante acuerdo del veintiséis de febrero de dos mil veinticinco; por lo que se ordenó turnar el expediente a resolución, misma que ahora se pronuncia; y --------------------------------</w:t>
      </w:r>
      <w:r w:rsidR="006D7D4C" w:rsidRPr="000B0ED6">
        <w:rPr>
          <w:rFonts w:ascii="Palatino Linotype" w:eastAsia="Palatino Linotype" w:hAnsi="Palatino Linotype" w:cs="Palatino Linotype"/>
          <w:color w:val="000000"/>
          <w:sz w:val="22"/>
          <w:szCs w:val="22"/>
        </w:rPr>
        <w:t>----------------------------</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pStyle w:val="Ttulo2"/>
        <w:jc w:val="center"/>
        <w:rPr>
          <w:rFonts w:ascii="Palatino Linotype" w:eastAsia="Palatino Linotype" w:hAnsi="Palatino Linotype" w:cs="Palatino Linotype"/>
          <w:b/>
          <w:color w:val="000000"/>
          <w:sz w:val="22"/>
          <w:szCs w:val="22"/>
        </w:rPr>
      </w:pPr>
      <w:bookmarkStart w:id="3" w:name="_heading=h.1fob9te" w:colFirst="0" w:colLast="0"/>
      <w:bookmarkEnd w:id="3"/>
      <w:r w:rsidRPr="000B0ED6">
        <w:rPr>
          <w:rFonts w:ascii="Palatino Linotype" w:eastAsia="Palatino Linotype" w:hAnsi="Palatino Linotype" w:cs="Palatino Linotype"/>
          <w:b/>
          <w:color w:val="000000"/>
          <w:sz w:val="22"/>
          <w:szCs w:val="22"/>
        </w:rPr>
        <w:t xml:space="preserve">C O N S I D E R A N D O </w:t>
      </w:r>
    </w:p>
    <w:p w:rsidR="00007613" w:rsidRPr="000B0ED6" w:rsidRDefault="00007613" w:rsidP="000409CA">
      <w:pPr>
        <w:rPr>
          <w:rFonts w:ascii="Palatino Linotype" w:eastAsia="Palatino Linotype" w:hAnsi="Palatino Linotype" w:cs="Palatino Linotype"/>
          <w:sz w:val="22"/>
          <w:szCs w:val="22"/>
        </w:rPr>
      </w:pPr>
    </w:p>
    <w:p w:rsidR="00007613" w:rsidRPr="000B0ED6" w:rsidRDefault="00FF4150" w:rsidP="006D7D4C">
      <w:pPr>
        <w:pStyle w:val="Ttulo2"/>
        <w:tabs>
          <w:tab w:val="left" w:pos="0"/>
        </w:tabs>
        <w:spacing w:before="0" w:line="360" w:lineRule="auto"/>
        <w:rPr>
          <w:rFonts w:ascii="Palatino Linotype" w:eastAsia="Palatino Linotype" w:hAnsi="Palatino Linotype" w:cs="Palatino Linotype"/>
          <w:b/>
          <w:color w:val="000000"/>
          <w:sz w:val="22"/>
          <w:szCs w:val="22"/>
        </w:rPr>
      </w:pPr>
      <w:bookmarkStart w:id="4" w:name="_heading=h.3znysh7" w:colFirst="0" w:colLast="0"/>
      <w:bookmarkEnd w:id="4"/>
      <w:r w:rsidRPr="000B0ED6">
        <w:rPr>
          <w:rFonts w:ascii="Palatino Linotype" w:eastAsia="Palatino Linotype" w:hAnsi="Palatino Linotype" w:cs="Palatino Linotype"/>
          <w:b/>
          <w:color w:val="000000"/>
          <w:sz w:val="22"/>
          <w:szCs w:val="22"/>
        </w:rPr>
        <w:t>PRIMERO. De la competencia</w:t>
      </w:r>
    </w:p>
    <w:p w:rsidR="000409CA" w:rsidRPr="000B0ED6" w:rsidRDefault="000409CA" w:rsidP="000409CA">
      <w:pPr>
        <w:rPr>
          <w:rFonts w:eastAsia="Palatino Linotype"/>
          <w:lang w:eastAsia="en-US"/>
        </w:rPr>
      </w:pPr>
    </w:p>
    <w:p w:rsidR="00007613" w:rsidRPr="000B0ED6" w:rsidRDefault="00FF4150" w:rsidP="000409C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7613" w:rsidRPr="000B0ED6" w:rsidRDefault="00FF4150" w:rsidP="006D7D4C">
      <w:pPr>
        <w:pStyle w:val="Ttulo2"/>
        <w:tabs>
          <w:tab w:val="left" w:pos="0"/>
        </w:tabs>
        <w:spacing w:before="0" w:line="360" w:lineRule="auto"/>
        <w:rPr>
          <w:rFonts w:ascii="Palatino Linotype" w:eastAsia="Palatino Linotype" w:hAnsi="Palatino Linotype" w:cs="Palatino Linotype"/>
          <w:b/>
          <w:color w:val="000000"/>
          <w:sz w:val="22"/>
          <w:szCs w:val="22"/>
        </w:rPr>
      </w:pPr>
      <w:bookmarkStart w:id="5" w:name="_heading=h.2et92p0" w:colFirst="0" w:colLast="0"/>
      <w:bookmarkEnd w:id="5"/>
      <w:r w:rsidRPr="000B0ED6">
        <w:rPr>
          <w:rFonts w:ascii="Palatino Linotype" w:eastAsia="Palatino Linotype" w:hAnsi="Palatino Linotype" w:cs="Palatino Linotype"/>
          <w:b/>
          <w:color w:val="000000"/>
          <w:sz w:val="22"/>
          <w:szCs w:val="22"/>
        </w:rPr>
        <w:lastRenderedPageBreak/>
        <w:t>SEGUNDO. De la oportunidad y procedencia.</w:t>
      </w:r>
    </w:p>
    <w:p w:rsidR="006D7D4C" w:rsidRPr="000B0ED6" w:rsidRDefault="006D7D4C" w:rsidP="000409CA">
      <w:pPr>
        <w:rPr>
          <w:rFonts w:eastAsia="Palatino Linotype"/>
          <w:lang w:eastAsia="en-US"/>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bookmarkStart w:id="6" w:name="_heading=h.tyjcwt" w:colFirst="0" w:colLast="0"/>
      <w:bookmarkEnd w:id="6"/>
      <w:r w:rsidRPr="000B0ED6">
        <w:rPr>
          <w:rFonts w:ascii="Palatino Linotype" w:eastAsia="Palatino Linotype" w:hAnsi="Palatino Linotype" w:cs="Palatino Linotype"/>
          <w:color w:val="000000"/>
          <w:sz w:val="22"/>
          <w:szCs w:val="22"/>
        </w:rPr>
        <w:t xml:space="preserve"> El medio de impugnación fue presentado a través del </w:t>
      </w:r>
      <w:r w:rsidRPr="000B0ED6">
        <w:rPr>
          <w:rFonts w:ascii="Palatino Linotype" w:eastAsia="Palatino Linotype" w:hAnsi="Palatino Linotype" w:cs="Palatino Linotype"/>
          <w:b/>
          <w:color w:val="000000"/>
          <w:sz w:val="22"/>
          <w:szCs w:val="22"/>
        </w:rPr>
        <w:t xml:space="preserve">SAIMEX </w:t>
      </w:r>
      <w:r w:rsidRPr="000B0ED6">
        <w:rPr>
          <w:rFonts w:ascii="Palatino Linotype" w:eastAsia="Palatino Linotype" w:hAnsi="Palatino Linotype" w:cs="Palatino Linotype"/>
          <w:color w:val="000000"/>
          <w:sz w:val="22"/>
          <w:szCs w:val="22"/>
        </w:rPr>
        <w:t xml:space="preserve">en el formato previamente aprobado para tal efecto y dentro del plazo legal de quince días hábiles otorgados; siendo así que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entregó respuesta el siete de mayo de dos mil veinticuatro, de tal forma que el plazo para interponer el recurso de revisión transcurrió del ocho al veintiocho de mayo de dos mil veinticuatro, en consecuencia, si la parte </w:t>
      </w:r>
      <w:r w:rsidRPr="000B0ED6">
        <w:rPr>
          <w:rFonts w:ascii="Palatino Linotype" w:eastAsia="Palatino Linotype" w:hAnsi="Palatino Linotype" w:cs="Palatino Linotype"/>
          <w:b/>
          <w:color w:val="000000"/>
          <w:sz w:val="22"/>
          <w:szCs w:val="22"/>
        </w:rPr>
        <w:t xml:space="preserve">RECURRENTE </w:t>
      </w:r>
      <w:r w:rsidRPr="000B0ED6">
        <w:rPr>
          <w:rFonts w:ascii="Palatino Linotype" w:eastAsia="Palatino Linotype" w:hAnsi="Palatino Linotype" w:cs="Palatino Linotype"/>
          <w:color w:val="000000"/>
          <w:sz w:val="22"/>
          <w:szCs w:val="22"/>
        </w:rPr>
        <w:t>presentó su inconformidad el ocho de mayo de dos mil veinticuatro, se encuentra dentro de los márgenes temporales previstos en el artículo 178 de la Ley de Transparencia y Acceso a la Información Pública del Estado de México y Municipios.</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En 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6D7D4C" w:rsidRPr="000B0ED6" w:rsidRDefault="00FF4150" w:rsidP="006D7D4C">
      <w:pPr>
        <w:pStyle w:val="Ttulo2"/>
        <w:tabs>
          <w:tab w:val="left" w:pos="0"/>
        </w:tabs>
        <w:spacing w:before="0" w:line="360" w:lineRule="auto"/>
        <w:rPr>
          <w:rFonts w:ascii="Palatino Linotype" w:eastAsia="Palatino Linotype" w:hAnsi="Palatino Linotype" w:cs="Palatino Linotype"/>
          <w:b/>
          <w:color w:val="000000"/>
          <w:sz w:val="22"/>
          <w:szCs w:val="22"/>
        </w:rPr>
      </w:pPr>
      <w:bookmarkStart w:id="7" w:name="_heading=h.3dy6vkm" w:colFirst="0" w:colLast="0"/>
      <w:bookmarkEnd w:id="7"/>
      <w:r w:rsidRPr="000B0ED6">
        <w:rPr>
          <w:rFonts w:ascii="Palatino Linotype" w:eastAsia="Palatino Linotype" w:hAnsi="Palatino Linotype" w:cs="Palatino Linotype"/>
          <w:b/>
          <w:color w:val="000000"/>
          <w:sz w:val="22"/>
          <w:szCs w:val="22"/>
        </w:rPr>
        <w:t>TERCERO. De las causales del sobreseimiento.</w:t>
      </w:r>
    </w:p>
    <w:p w:rsidR="006D7D4C" w:rsidRPr="000B0ED6" w:rsidRDefault="006D7D4C" w:rsidP="000409CA">
      <w:pPr>
        <w:rPr>
          <w:rFonts w:eastAsia="Palatino Linotype"/>
          <w:lang w:eastAsia="en-US"/>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bookmarkStart w:id="8" w:name="_heading=h.1t3h5sf" w:colFirst="0" w:colLast="0"/>
      <w:bookmarkEnd w:id="8"/>
      <w:r w:rsidRPr="000B0ED6">
        <w:rPr>
          <w:rFonts w:ascii="Palatino Linotype" w:eastAsia="Palatino Linotype" w:hAnsi="Palatino Linotype" w:cs="Palatino Linotype"/>
          <w:color w:val="000000"/>
          <w:sz w:val="22"/>
          <w:szCs w:val="22"/>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0B0ED6">
        <w:rPr>
          <w:rFonts w:ascii="Palatino Linotype" w:eastAsia="Palatino Linotype" w:hAnsi="Palatino Linotype" w:cs="Palatino Linotype"/>
          <w:b/>
          <w:color w:val="000000"/>
          <w:sz w:val="22"/>
          <w:szCs w:val="22"/>
          <w:u w:val="single"/>
        </w:rPr>
        <w:t>sobreseimiento</w:t>
      </w:r>
      <w:r w:rsidRPr="000B0ED6">
        <w:rPr>
          <w:rFonts w:ascii="Palatino Linotype" w:eastAsia="Palatino Linotype" w:hAnsi="Palatino Linotype" w:cs="Palatino Linotype"/>
          <w:color w:val="000000"/>
          <w:sz w:val="22"/>
          <w:szCs w:val="22"/>
        </w:rPr>
        <w:t xml:space="preserve">; </w:t>
      </w:r>
      <w:r w:rsidRPr="000B0ED6">
        <w:rPr>
          <w:rFonts w:ascii="Palatino Linotype" w:eastAsia="Palatino Linotype" w:hAnsi="Palatino Linotype" w:cs="Palatino Linotype"/>
          <w:color w:val="000000"/>
          <w:sz w:val="22"/>
          <w:szCs w:val="22"/>
        </w:rPr>
        <w:lastRenderedPageBreak/>
        <w:t xml:space="preserve">y en su caso ordenar la entrega de la información con respecto a la respuesta emitida por el </w:t>
      </w:r>
      <w:r w:rsidRPr="000B0ED6">
        <w:rPr>
          <w:rFonts w:ascii="Palatino Linotype" w:eastAsia="Palatino Linotype" w:hAnsi="Palatino Linotype" w:cs="Palatino Linotype"/>
          <w:b/>
          <w:color w:val="000000"/>
          <w:sz w:val="22"/>
          <w:szCs w:val="22"/>
        </w:rPr>
        <w:t>SUJETO</w:t>
      </w:r>
      <w:r w:rsidRPr="000B0ED6">
        <w:rPr>
          <w:rFonts w:ascii="Palatino Linotype" w:eastAsia="Palatino Linotype" w:hAnsi="Palatino Linotype" w:cs="Palatino Linotype"/>
          <w:color w:val="000000"/>
          <w:sz w:val="22"/>
          <w:szCs w:val="22"/>
        </w:rPr>
        <w:t xml:space="preserve"> </w:t>
      </w:r>
      <w:r w:rsidRPr="000B0ED6">
        <w:rPr>
          <w:rFonts w:ascii="Palatino Linotype" w:eastAsia="Palatino Linotype" w:hAnsi="Palatino Linotype" w:cs="Palatino Linotype"/>
          <w:b/>
          <w:color w:val="000000"/>
          <w:sz w:val="22"/>
          <w:szCs w:val="22"/>
        </w:rPr>
        <w:t>OBLIGADO</w:t>
      </w:r>
      <w:r w:rsidRPr="000B0ED6">
        <w:rPr>
          <w:rFonts w:ascii="Palatino Linotype" w:eastAsia="Palatino Linotype" w:hAnsi="Palatino Linotype" w:cs="Palatino Linotype"/>
          <w:color w:val="000000"/>
          <w:sz w:val="22"/>
          <w:szCs w:val="22"/>
        </w:rPr>
        <w:t>.</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De acuerdo al precepto legal contenido en la fracción III del artículo 192 de la </w:t>
      </w:r>
      <w:r w:rsidRPr="000B0ED6">
        <w:rPr>
          <w:rFonts w:ascii="Palatino Linotype" w:eastAsia="Palatino Linotype" w:hAnsi="Palatino Linotype" w:cs="Palatino Linotype"/>
          <w:b/>
          <w:color w:val="000000"/>
          <w:sz w:val="22"/>
          <w:szCs w:val="22"/>
        </w:rPr>
        <w:t>Ley de Transparencia y Acceso a la Información Pública del Estado de México y Municipios</w:t>
      </w:r>
      <w:r w:rsidRPr="000B0ED6">
        <w:rPr>
          <w:rFonts w:ascii="Palatino Linotype" w:eastAsia="Palatino Linotype" w:hAnsi="Palatino Linotype" w:cs="Palatino Linotype"/>
          <w:color w:val="000000"/>
          <w:sz w:val="22"/>
          <w:szCs w:val="22"/>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Para los efectos de esta resolución, es oportuno precisar los alcances jurídicos de la fracción III de la disposición legal transcrita. Así, procede el sobreseimiento del recurso de revisión cuando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2"/>
        </w:numPr>
        <w:ind w:left="567" w:right="565" w:firstLine="0"/>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b/>
          <w:sz w:val="22"/>
          <w:szCs w:val="22"/>
        </w:rPr>
        <w:t>Modifique el acto impugnado:</w:t>
      </w:r>
      <w:r w:rsidRPr="000B0ED6">
        <w:rPr>
          <w:rFonts w:ascii="Palatino Linotype" w:eastAsia="Palatino Linotype" w:hAnsi="Palatino Linotype" w:cs="Palatino Linotype"/>
          <w:sz w:val="22"/>
          <w:szCs w:val="22"/>
        </w:rPr>
        <w:t xml:space="preserve"> Se actualiza cuando el </w:t>
      </w:r>
      <w:r w:rsidRPr="000B0ED6">
        <w:rPr>
          <w:rFonts w:ascii="Palatino Linotype" w:eastAsia="Palatino Linotype" w:hAnsi="Palatino Linotype" w:cs="Palatino Linotype"/>
          <w:b/>
          <w:sz w:val="22"/>
          <w:szCs w:val="22"/>
        </w:rPr>
        <w:t>SUJETO OBLIGADO</w:t>
      </w:r>
      <w:r w:rsidRPr="000B0ED6">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rsidR="00007613" w:rsidRPr="000B0ED6" w:rsidRDefault="00007613" w:rsidP="006D7D4C">
      <w:pPr>
        <w:ind w:left="567" w:right="565"/>
        <w:jc w:val="both"/>
        <w:rPr>
          <w:rFonts w:ascii="Palatino Linotype" w:eastAsia="Palatino Linotype" w:hAnsi="Palatino Linotype" w:cs="Palatino Linotype"/>
          <w:sz w:val="22"/>
          <w:szCs w:val="22"/>
        </w:rPr>
      </w:pPr>
    </w:p>
    <w:p w:rsidR="00007613" w:rsidRPr="000B0ED6" w:rsidRDefault="00FF4150" w:rsidP="006D7D4C">
      <w:pPr>
        <w:numPr>
          <w:ilvl w:val="0"/>
          <w:numId w:val="2"/>
        </w:numPr>
        <w:ind w:left="567" w:right="565" w:firstLine="0"/>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b/>
          <w:sz w:val="22"/>
          <w:szCs w:val="22"/>
        </w:rPr>
        <w:t>Revoque el acto impugnado:</w:t>
      </w:r>
      <w:r w:rsidRPr="000B0ED6">
        <w:rPr>
          <w:rFonts w:ascii="Palatino Linotype" w:eastAsia="Palatino Linotype" w:hAnsi="Palatino Linotype" w:cs="Palatino Linotype"/>
          <w:sz w:val="22"/>
          <w:szCs w:val="22"/>
        </w:rPr>
        <w:t xml:space="preserve"> En este supuesto, el </w:t>
      </w:r>
      <w:r w:rsidRPr="000B0ED6">
        <w:rPr>
          <w:rFonts w:ascii="Palatino Linotype" w:eastAsia="Palatino Linotype" w:hAnsi="Palatino Linotype" w:cs="Palatino Linotype"/>
          <w:b/>
          <w:sz w:val="22"/>
          <w:szCs w:val="22"/>
        </w:rPr>
        <w:t>SUJETO OBLIGADO</w:t>
      </w:r>
      <w:r w:rsidRPr="000B0ED6">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Las consecuencias jurídicas de esta modificación o revocación es que el recurso de revisión interpuesto quede sin efectos o sin materia. Un acto impugnado queda sin efectos, cuando aun existiendo jurídicamente, no genera consecuencia legal alguna; queda sin </w:t>
      </w:r>
      <w:r w:rsidRPr="000B0ED6">
        <w:rPr>
          <w:rFonts w:ascii="Palatino Linotype" w:eastAsia="Palatino Linotype" w:hAnsi="Palatino Linotype" w:cs="Palatino Linotype"/>
          <w:color w:val="000000"/>
          <w:sz w:val="22"/>
          <w:szCs w:val="22"/>
        </w:rPr>
        <w:lastRenderedPageBreak/>
        <w:t>materia, cuando ha sido satisfecha la pretensión del Particular, ya sea porque se hizo la entrega de la información solicitada o porque se completó la misma.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En el presente caso, el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xml:space="preserve"> solicitó el nombre, área de adscripción, puesto, categoría de todos los Servidor Público integrantes del Comité Ejecutivo y de Vigilancia del SUTEYM.</w:t>
      </w:r>
    </w:p>
    <w:p w:rsidR="00007613" w:rsidRPr="000B0ED6" w:rsidRDefault="00007613" w:rsidP="000409C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En respuesta,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remitió la relación de los Servidores Públicos Integrantes del Comité Ejecutivo del Sindicato Único de Trabajadores de los Poderes, Municipios e Instituciones Descentralizadas del Estado de México S.U.T.E.Y.M., así como el área de adscripción. Por otro lado, refirió no contar ni generar la información relativa al puesto y categoría de dichos Servidores Públicos, toda vez que, la Organización Sindical no contrata y por tanto no cuenta con trabajadores que brinden un servicio, personal y subordinado mediante el pago de un salario, ya que las personas que colaboran con dicha agrupación son servidores públicos del Gobierno Estatal, Municipal o de Organismos Públicos Descentralizados, cuyos sueldos son solventados por las dependencias a las que está adscrita su plaza, es decir, cuentan con una licencia sindical con goce de sueldo.</w:t>
      </w:r>
    </w:p>
    <w:p w:rsidR="000409CA" w:rsidRPr="000B0ED6" w:rsidRDefault="000409CA"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 xml:space="preserve">No obstante, el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xml:space="preserve"> impugnó la respuesta mediante recurso de revisión, en el que refirió como razones o motivos de inconformidad, que no le proporcionaron el listado completo de los Servidores Públicos que fungen como suplentes, en los siguientes términos: </w:t>
      </w:r>
      <w:r w:rsidRPr="000B0ED6">
        <w:rPr>
          <w:rFonts w:ascii="Palatino Linotype" w:eastAsia="Palatino Linotype" w:hAnsi="Palatino Linotype" w:cs="Palatino Linotype"/>
          <w:b/>
          <w:i/>
          <w:color w:val="000000"/>
          <w:sz w:val="22"/>
          <w:szCs w:val="22"/>
        </w:rPr>
        <w:t xml:space="preserve">“NO adjuntan en el listado completo de los servidores públicos que fungen como suplentes, </w:t>
      </w:r>
      <w:r w:rsidRPr="000B0ED6">
        <w:rPr>
          <w:rFonts w:ascii="Palatino Linotype" w:eastAsia="Palatino Linotype" w:hAnsi="Palatino Linotype" w:cs="Palatino Linotype"/>
          <w:i/>
          <w:color w:val="000000"/>
          <w:sz w:val="22"/>
          <w:szCs w:val="22"/>
        </w:rPr>
        <w:t xml:space="preserve">ya que ellos también forma parte del Comité Ejecutivo y de la Comisión de Vigilancia e Investigación, además que en su respuesta informan que cuentan con licencia sindical de goce de </w:t>
      </w:r>
      <w:r w:rsidRPr="000B0ED6">
        <w:rPr>
          <w:rFonts w:ascii="Palatino Linotype" w:eastAsia="Palatino Linotype" w:hAnsi="Palatino Linotype" w:cs="Palatino Linotype"/>
          <w:i/>
          <w:color w:val="000000"/>
          <w:sz w:val="22"/>
          <w:szCs w:val="22"/>
        </w:rPr>
        <w:lastRenderedPageBreak/>
        <w:t xml:space="preserve">sueldo, cuando NO es así, ya que tiene una "comisión sindical" y derivado de ello reciben un sueldo por parte del comité ejecutivo y la comisión de vigilancia del SUTEYM además de su sueldo al cual están adscritos, de los cuales derivan de los recursos públicos y cuotas sindicales de las diferentes secciones, o </w:t>
      </w:r>
      <w:proofErr w:type="spellStart"/>
      <w:r w:rsidRPr="000B0ED6">
        <w:rPr>
          <w:rFonts w:ascii="Palatino Linotype" w:eastAsia="Palatino Linotype" w:hAnsi="Palatino Linotype" w:cs="Palatino Linotype"/>
          <w:i/>
          <w:color w:val="000000"/>
          <w:sz w:val="22"/>
          <w:szCs w:val="22"/>
        </w:rPr>
        <w:t>que</w:t>
      </w:r>
      <w:proofErr w:type="spellEnd"/>
      <w:r w:rsidRPr="000B0ED6">
        <w:rPr>
          <w:rFonts w:ascii="Palatino Linotype" w:eastAsia="Palatino Linotype" w:hAnsi="Palatino Linotype" w:cs="Palatino Linotype"/>
          <w:i/>
          <w:color w:val="000000"/>
          <w:sz w:val="22"/>
          <w:szCs w:val="22"/>
        </w:rPr>
        <w:t xml:space="preserve">? </w:t>
      </w:r>
      <w:proofErr w:type="spellStart"/>
      <w:r w:rsidRPr="000B0ED6">
        <w:rPr>
          <w:rFonts w:ascii="Palatino Linotype" w:eastAsia="Palatino Linotype" w:hAnsi="Palatino Linotype" w:cs="Palatino Linotype"/>
          <w:i/>
          <w:color w:val="000000"/>
          <w:sz w:val="22"/>
          <w:szCs w:val="22"/>
        </w:rPr>
        <w:t>a caso</w:t>
      </w:r>
      <w:proofErr w:type="spellEnd"/>
      <w:r w:rsidRPr="000B0ED6">
        <w:rPr>
          <w:rFonts w:ascii="Palatino Linotype" w:eastAsia="Palatino Linotype" w:hAnsi="Palatino Linotype" w:cs="Palatino Linotype"/>
          <w:i/>
          <w:color w:val="000000"/>
          <w:sz w:val="22"/>
          <w:szCs w:val="22"/>
        </w:rPr>
        <w:t xml:space="preserve"> sólo lo hacen por su vocación y amor a la institución, a que le tienen miedo a transparentar </w:t>
      </w:r>
      <w:proofErr w:type="spellStart"/>
      <w:r w:rsidRPr="000B0ED6">
        <w:rPr>
          <w:rFonts w:ascii="Palatino Linotype" w:eastAsia="Palatino Linotype" w:hAnsi="Palatino Linotype" w:cs="Palatino Linotype"/>
          <w:i/>
          <w:color w:val="000000"/>
          <w:sz w:val="22"/>
          <w:szCs w:val="22"/>
        </w:rPr>
        <w:t>cuanto</w:t>
      </w:r>
      <w:proofErr w:type="spellEnd"/>
      <w:r w:rsidRPr="000B0ED6">
        <w:rPr>
          <w:rFonts w:ascii="Palatino Linotype" w:eastAsia="Palatino Linotype" w:hAnsi="Palatino Linotype" w:cs="Palatino Linotype"/>
          <w:i/>
          <w:color w:val="000000"/>
          <w:sz w:val="22"/>
          <w:szCs w:val="22"/>
        </w:rPr>
        <w:t xml:space="preserve"> gana en realidad?” (Sic)</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0409CA"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noProof/>
          <w:color w:val="000000"/>
          <w:sz w:val="22"/>
          <w:szCs w:val="22"/>
          <w:lang w:val="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2844800</wp:posOffset>
                </wp:positionV>
                <wp:extent cx="5562600" cy="23907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562600" cy="2390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CA740"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224pt" to="824.8pt,4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" strokecolor="#5b9bd5 [3204]" strokeweight=".5pt">
                <v:stroke joinstyle="miter"/>
                <w10:wrap anchorx="margin"/>
              </v:line>
            </w:pict>
          </mc:Fallback>
        </mc:AlternateContent>
      </w:r>
      <w:r w:rsidR="00FF4150" w:rsidRPr="000B0ED6">
        <w:rPr>
          <w:rFonts w:ascii="Palatino Linotype" w:eastAsia="Palatino Linotype" w:hAnsi="Palatino Linotype" w:cs="Palatino Linotype"/>
          <w:color w:val="000000"/>
          <w:sz w:val="22"/>
          <w:szCs w:val="22"/>
        </w:rPr>
        <w:t xml:space="preserve">En consecuencia, mediante un acto jurídico posterior como lo es informe justificado, el </w:t>
      </w:r>
      <w:r w:rsidR="00FF4150" w:rsidRPr="000B0ED6">
        <w:rPr>
          <w:rFonts w:ascii="Palatino Linotype" w:eastAsia="Palatino Linotype" w:hAnsi="Palatino Linotype" w:cs="Palatino Linotype"/>
          <w:b/>
          <w:color w:val="000000"/>
          <w:sz w:val="22"/>
          <w:szCs w:val="22"/>
        </w:rPr>
        <w:t>SUJETO OBLIGADO</w:t>
      </w:r>
      <w:r w:rsidR="00FF4150" w:rsidRPr="000B0ED6">
        <w:rPr>
          <w:rFonts w:ascii="Palatino Linotype" w:eastAsia="Palatino Linotype" w:hAnsi="Palatino Linotype" w:cs="Palatino Linotype"/>
          <w:color w:val="000000"/>
          <w:sz w:val="22"/>
          <w:szCs w:val="22"/>
        </w:rPr>
        <w:t xml:space="preserve"> ratificó que el </w:t>
      </w:r>
      <w:r w:rsidR="00FF4150" w:rsidRPr="000B0ED6">
        <w:rPr>
          <w:rFonts w:ascii="Palatino Linotype" w:eastAsia="Palatino Linotype" w:hAnsi="Palatino Linotype" w:cs="Palatino Linotype"/>
          <w:b/>
          <w:color w:val="000000"/>
          <w:sz w:val="22"/>
          <w:szCs w:val="22"/>
        </w:rPr>
        <w:t>SUJETO OBLIGADO</w:t>
      </w:r>
      <w:r w:rsidR="00FF4150" w:rsidRPr="000B0ED6">
        <w:rPr>
          <w:rFonts w:ascii="Palatino Linotype" w:eastAsia="Palatino Linotype" w:hAnsi="Palatino Linotype" w:cs="Palatino Linotype"/>
          <w:color w:val="000000"/>
          <w:sz w:val="22"/>
          <w:szCs w:val="22"/>
        </w:rPr>
        <w:t xml:space="preserve"> no genera ni posee información referente a la categoría y puestos de los Servidores Públicos del Comité Ejecutivo Estatal,  ya que no es obligación contar con dicha información porque no es requisito para ocupar los cargos del Comité Ejecutivo Estatal. Por otro lado, informó que</w:t>
      </w:r>
      <w:r w:rsidR="00FF4150" w:rsidRPr="000B0ED6">
        <w:rPr>
          <w:rFonts w:ascii="Palatino Linotype" w:eastAsia="Palatino Linotype" w:hAnsi="Palatino Linotype" w:cs="Palatino Linotype"/>
          <w:b/>
          <w:color w:val="000000"/>
          <w:sz w:val="22"/>
          <w:szCs w:val="22"/>
        </w:rPr>
        <w:t xml:space="preserve"> la Organización Sindical no cuenta con suplentes, al respecto adjuntó los Estatutos Internos del Sindicato, así como, la relación de los Servidores Públicos en donde se observa el nombre, cargo dentro del Comité y dependencia en la que se encuentran adscritos todos los integrantes del Comité Ejecutivo y Comisión de Vigilancia e Investigación. </w:t>
      </w:r>
      <w:r w:rsidR="00FF4150" w:rsidRPr="000B0ED6">
        <w:rPr>
          <w:rFonts w:ascii="Palatino Linotype" w:eastAsia="Palatino Linotype" w:hAnsi="Palatino Linotype" w:cs="Palatino Linotype"/>
          <w:color w:val="000000"/>
          <w:sz w:val="22"/>
          <w:szCs w:val="22"/>
        </w:rPr>
        <w:t>Como se observa:</w:t>
      </w:r>
    </w:p>
    <w:p w:rsidR="00007613" w:rsidRPr="000B0ED6" w:rsidRDefault="00FF4150" w:rsidP="006D7D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noProof/>
          <w:color w:val="000000"/>
          <w:sz w:val="22"/>
          <w:szCs w:val="22"/>
          <w:lang w:val="es-MX"/>
        </w:rPr>
        <w:lastRenderedPageBreak/>
        <w:drawing>
          <wp:inline distT="0" distB="0" distL="0" distR="0">
            <wp:extent cx="5579745" cy="6574790"/>
            <wp:effectExtent l="19050" t="19050" r="20955" b="1651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579745" cy="6574790"/>
                    </a:xfrm>
                    <a:prstGeom prst="rect">
                      <a:avLst/>
                    </a:prstGeom>
                    <a:ln>
                      <a:solidFill>
                        <a:schemeClr val="tx1"/>
                      </a:solidFill>
                    </a:ln>
                  </pic:spPr>
                </pic:pic>
              </a:graphicData>
            </a:graphic>
          </wp:inline>
        </w:drawing>
      </w:r>
    </w:p>
    <w:p w:rsidR="004E0610" w:rsidRPr="000B0ED6" w:rsidRDefault="00645C73" w:rsidP="004E0610">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lastRenderedPageBreak/>
        <w:t>Correlativo a lo anterior, el artículo 3</w:t>
      </w:r>
      <w:r w:rsidR="004E0610" w:rsidRPr="000B0ED6">
        <w:rPr>
          <w:rFonts w:ascii="Palatino Linotype" w:eastAsia="Palatino Linotype" w:hAnsi="Palatino Linotype" w:cs="Palatino Linotype"/>
          <w:color w:val="000000"/>
          <w:sz w:val="22"/>
          <w:szCs w:val="22"/>
        </w:rPr>
        <w:t xml:space="preserve">6 </w:t>
      </w:r>
      <w:r w:rsidRPr="000B0ED6">
        <w:rPr>
          <w:rFonts w:ascii="Palatino Linotype" w:eastAsia="Palatino Linotype" w:hAnsi="Palatino Linotype" w:cs="Palatino Linotype"/>
          <w:color w:val="000000"/>
          <w:sz w:val="22"/>
          <w:szCs w:val="22"/>
        </w:rPr>
        <w:t xml:space="preserve">del </w:t>
      </w:r>
      <w:r w:rsidRPr="000B0ED6">
        <w:rPr>
          <w:rFonts w:ascii="Palatino Linotype" w:hAnsi="Palatino Linotype"/>
          <w:color w:val="000000"/>
          <w:sz w:val="22"/>
          <w:szCs w:val="22"/>
        </w:rPr>
        <w:t xml:space="preserve">Estatuto Interno del </w:t>
      </w:r>
      <w:r w:rsidRPr="000B0ED6">
        <w:rPr>
          <w:rFonts w:ascii="Palatino Linotype" w:hAnsi="Palatino Linotype"/>
          <w:b/>
          <w:color w:val="000000"/>
          <w:sz w:val="22"/>
          <w:szCs w:val="22"/>
        </w:rPr>
        <w:t>SUJETO OBLIGADO</w:t>
      </w:r>
      <w:r w:rsidRPr="000B0ED6">
        <w:rPr>
          <w:rFonts w:ascii="Palatino Linotype" w:hAnsi="Palatino Linotype"/>
          <w:color w:val="000000"/>
          <w:sz w:val="22"/>
          <w:szCs w:val="22"/>
        </w:rPr>
        <w:t>,</w:t>
      </w:r>
      <w:r w:rsidR="004E0610" w:rsidRPr="000B0ED6">
        <w:rPr>
          <w:rFonts w:ascii="Palatino Linotype" w:hAnsi="Palatino Linotype"/>
          <w:color w:val="000000"/>
          <w:sz w:val="22"/>
          <w:szCs w:val="22"/>
        </w:rPr>
        <w:t xml:space="preserve"> establece </w:t>
      </w:r>
      <w:r w:rsidR="000409CA" w:rsidRPr="000B0ED6">
        <w:rPr>
          <w:rFonts w:ascii="Palatino Linotype" w:hAnsi="Palatino Linotype"/>
          <w:color w:val="000000"/>
          <w:sz w:val="22"/>
          <w:szCs w:val="22"/>
        </w:rPr>
        <w:t xml:space="preserve">que </w:t>
      </w:r>
      <w:r w:rsidR="004E0610" w:rsidRPr="000B0ED6">
        <w:rPr>
          <w:rFonts w:ascii="Palatino Linotype" w:hAnsi="Palatino Linotype"/>
          <w:color w:val="000000"/>
          <w:sz w:val="22"/>
          <w:szCs w:val="22"/>
        </w:rPr>
        <w:t>el Comité Ejecutivo Estatal, estará integrado por 27 Secretarías y una Subsecretaría, así como los integrantes de</w:t>
      </w:r>
      <w:r w:rsidR="00AD38FA" w:rsidRPr="000B0ED6">
        <w:rPr>
          <w:rFonts w:ascii="Palatino Linotype" w:hAnsi="Palatino Linotype"/>
          <w:color w:val="000000"/>
          <w:sz w:val="22"/>
          <w:szCs w:val="22"/>
        </w:rPr>
        <w:t>l</w:t>
      </w:r>
      <w:r w:rsidR="004E0610" w:rsidRPr="000B0ED6">
        <w:rPr>
          <w:rFonts w:ascii="Palatino Linotype" w:hAnsi="Palatino Linotype"/>
          <w:color w:val="000000"/>
          <w:sz w:val="22"/>
          <w:szCs w:val="22"/>
        </w:rPr>
        <w:t xml:space="preserve"> Comité de Vigilancia e Investigación</w:t>
      </w:r>
      <w:r w:rsidR="004E0610" w:rsidRPr="000B0ED6">
        <w:rPr>
          <w:rFonts w:ascii="Palatino Linotype" w:eastAsia="Palatino Linotype" w:hAnsi="Palatino Linotype" w:cs="Palatino Linotype"/>
          <w:color w:val="000000"/>
          <w:sz w:val="22"/>
          <w:szCs w:val="22"/>
        </w:rPr>
        <w:t xml:space="preserve">; </w:t>
      </w:r>
      <w:r w:rsidR="004E0610" w:rsidRPr="000B0ED6">
        <w:rPr>
          <w:rFonts w:ascii="Palatino Linotype" w:hAnsi="Palatino Linotype"/>
          <w:color w:val="000000"/>
          <w:sz w:val="22"/>
          <w:szCs w:val="22"/>
        </w:rPr>
        <w:t xml:space="preserve">entre los cuales, </w:t>
      </w:r>
      <w:r w:rsidR="004E0610" w:rsidRPr="000B0ED6">
        <w:rPr>
          <w:rFonts w:ascii="Palatino Linotype" w:hAnsi="Palatino Linotype"/>
          <w:b/>
          <w:color w:val="000000"/>
          <w:sz w:val="22"/>
          <w:szCs w:val="22"/>
        </w:rPr>
        <w:t>no se consideran suplentes.</w:t>
      </w:r>
    </w:p>
    <w:p w:rsidR="00645C73" w:rsidRPr="000B0ED6" w:rsidRDefault="00645C7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b/>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color w:val="000000"/>
          <w:sz w:val="22"/>
          <w:szCs w:val="22"/>
        </w:rPr>
        <w:t>Ahora, bien resulta conveniente insertar el cuadro descriptivo expuesto mediante informe justificado, acerca de la información solicitada por el</w:t>
      </w:r>
      <w:r w:rsidRPr="000B0ED6">
        <w:rPr>
          <w:rFonts w:ascii="Palatino Linotype" w:eastAsia="Palatino Linotype" w:hAnsi="Palatino Linotype" w:cs="Palatino Linotype"/>
          <w:b/>
          <w:color w:val="000000"/>
          <w:sz w:val="22"/>
          <w:szCs w:val="22"/>
        </w:rPr>
        <w:t xml:space="preserve"> RECURRENTE</w:t>
      </w:r>
      <w:r w:rsidRPr="000B0ED6">
        <w:rPr>
          <w:rFonts w:ascii="Palatino Linotype" w:eastAsia="Palatino Linotype" w:hAnsi="Palatino Linotype" w:cs="Palatino Linotype"/>
          <w:color w:val="000000"/>
          <w:sz w:val="22"/>
          <w:szCs w:val="22"/>
        </w:rPr>
        <w:t xml:space="preserve"> y lo proporcionado por el </w:t>
      </w:r>
      <w:r w:rsidRPr="000B0ED6">
        <w:rPr>
          <w:rFonts w:ascii="Palatino Linotype" w:eastAsia="Palatino Linotype" w:hAnsi="Palatino Linotype" w:cs="Palatino Linotype"/>
          <w:b/>
          <w:color w:val="000000"/>
          <w:sz w:val="22"/>
          <w:szCs w:val="22"/>
        </w:rPr>
        <w:t xml:space="preserve">SUJETO OBLIGADO, </w:t>
      </w:r>
      <w:r w:rsidRPr="000B0ED6">
        <w:rPr>
          <w:rFonts w:ascii="Palatino Linotype" w:eastAsia="Palatino Linotype" w:hAnsi="Palatino Linotype" w:cs="Palatino Linotype"/>
          <w:color w:val="000000"/>
          <w:sz w:val="22"/>
          <w:szCs w:val="22"/>
        </w:rPr>
        <w:t>del cual se advierte que</w:t>
      </w:r>
      <w:r w:rsidRPr="000B0ED6">
        <w:rPr>
          <w:rFonts w:ascii="Palatino Linotype" w:eastAsia="Palatino Linotype" w:hAnsi="Palatino Linotype" w:cs="Palatino Linotype"/>
          <w:b/>
          <w:color w:val="000000"/>
          <w:sz w:val="22"/>
          <w:szCs w:val="22"/>
        </w:rPr>
        <w:t>, fue atendido lo requerido.</w:t>
      </w:r>
    </w:p>
    <w:p w:rsidR="00007613" w:rsidRPr="000B0ED6" w:rsidRDefault="00FF4150" w:rsidP="006D7D4C">
      <w:pPr>
        <w:pBdr>
          <w:top w:val="nil"/>
          <w:left w:val="nil"/>
          <w:bottom w:val="nil"/>
          <w:right w:val="nil"/>
          <w:between w:val="nil"/>
        </w:pBdr>
        <w:tabs>
          <w:tab w:val="left" w:pos="426"/>
          <w:tab w:val="left" w:pos="567"/>
        </w:tabs>
        <w:spacing w:line="360" w:lineRule="auto"/>
        <w:jc w:val="center"/>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noProof/>
          <w:color w:val="000000"/>
          <w:sz w:val="22"/>
          <w:szCs w:val="22"/>
          <w:lang w:val="es-MX"/>
        </w:rPr>
        <w:drawing>
          <wp:inline distT="0" distB="0" distL="0" distR="0">
            <wp:extent cx="4524375" cy="3952875"/>
            <wp:effectExtent l="19050" t="19050" r="28575" b="2857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l="9066" b="12784"/>
                    <a:stretch/>
                  </pic:blipFill>
                  <pic:spPr bwMode="auto">
                    <a:xfrm>
                      <a:off x="0" y="0"/>
                      <a:ext cx="4527866" cy="3955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7613" w:rsidRPr="000B0ED6" w:rsidRDefault="00FF4150" w:rsidP="006D7D4C">
      <w:pPr>
        <w:numPr>
          <w:ilvl w:val="0"/>
          <w:numId w:val="4"/>
        </w:numPr>
        <w:pBdr>
          <w:top w:val="nil"/>
          <w:left w:val="nil"/>
          <w:bottom w:val="nil"/>
          <w:right w:val="nil"/>
          <w:between w:val="nil"/>
        </w:pBdr>
        <w:spacing w:line="360" w:lineRule="auto"/>
        <w:rPr>
          <w:rFonts w:ascii="Palatino Linotype" w:eastAsia="Palatino Linotype" w:hAnsi="Palatino Linotype" w:cs="Palatino Linotype"/>
          <w:b/>
          <w:i/>
          <w:color w:val="000000"/>
          <w:sz w:val="22"/>
          <w:szCs w:val="22"/>
        </w:rPr>
      </w:pPr>
      <w:r w:rsidRPr="000B0ED6">
        <w:rPr>
          <w:rFonts w:ascii="Palatino Linotype" w:eastAsia="Palatino Linotype" w:hAnsi="Palatino Linotype" w:cs="Palatino Linotype"/>
          <w:b/>
          <w:i/>
          <w:color w:val="000000"/>
          <w:sz w:val="22"/>
          <w:szCs w:val="22"/>
        </w:rPr>
        <w:lastRenderedPageBreak/>
        <w:t xml:space="preserve">De la Plus </w:t>
      </w:r>
      <w:proofErr w:type="spellStart"/>
      <w:r w:rsidRPr="000B0ED6">
        <w:rPr>
          <w:rFonts w:ascii="Palatino Linotype" w:eastAsia="Palatino Linotype" w:hAnsi="Palatino Linotype" w:cs="Palatino Linotype"/>
          <w:b/>
          <w:i/>
          <w:color w:val="000000"/>
          <w:sz w:val="22"/>
          <w:szCs w:val="22"/>
        </w:rPr>
        <w:t>Petitio</w:t>
      </w:r>
      <w:proofErr w:type="spellEnd"/>
      <w:r w:rsidRPr="000B0ED6">
        <w:rPr>
          <w:rFonts w:ascii="Palatino Linotype" w:eastAsia="Palatino Linotype" w:hAnsi="Palatino Linotype" w:cs="Palatino Linotype"/>
          <w:b/>
          <w:i/>
          <w:color w:val="000000"/>
          <w:sz w:val="22"/>
          <w:szCs w:val="22"/>
        </w:rPr>
        <w:t>.</w:t>
      </w:r>
    </w:p>
    <w:p w:rsidR="006D7D4C" w:rsidRPr="000B0ED6" w:rsidRDefault="006D7D4C" w:rsidP="000409CA">
      <w:pPr>
        <w:pBdr>
          <w:top w:val="nil"/>
          <w:left w:val="nil"/>
          <w:bottom w:val="nil"/>
          <w:right w:val="nil"/>
          <w:between w:val="nil"/>
        </w:pBdr>
        <w:ind w:left="360"/>
        <w:rPr>
          <w:rFonts w:ascii="Palatino Linotype" w:eastAsia="Palatino Linotype" w:hAnsi="Palatino Linotype" w:cs="Palatino Linotype"/>
          <w:b/>
          <w:i/>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bookmarkStart w:id="9" w:name="_heading=h.4d34og8" w:colFirst="0" w:colLast="0"/>
      <w:bookmarkEnd w:id="9"/>
      <w:r w:rsidRPr="000B0ED6">
        <w:rPr>
          <w:rFonts w:ascii="Palatino Linotype" w:eastAsia="Palatino Linotype" w:hAnsi="Palatino Linotype" w:cs="Palatino Linotype"/>
          <w:color w:val="000000"/>
          <w:sz w:val="22"/>
          <w:szCs w:val="22"/>
        </w:rPr>
        <w:t xml:space="preserve">Ahora bien, resulta necesario reiterar las razones o motivos de inconformidad vertidos en el recurso de revisión </w:t>
      </w:r>
      <w:r w:rsidRPr="000B0ED6">
        <w:rPr>
          <w:rFonts w:ascii="Palatino Linotype" w:eastAsia="Palatino Linotype" w:hAnsi="Palatino Linotype" w:cs="Palatino Linotype"/>
          <w:b/>
          <w:color w:val="000000"/>
          <w:sz w:val="22"/>
          <w:szCs w:val="22"/>
        </w:rPr>
        <w:t>02648/INFOEM/IP/RR/2024</w:t>
      </w:r>
      <w:r w:rsidRPr="000B0ED6">
        <w:rPr>
          <w:rFonts w:ascii="Palatino Linotype" w:eastAsia="Palatino Linotype" w:hAnsi="Palatino Linotype" w:cs="Palatino Linotype"/>
          <w:color w:val="000000"/>
          <w:sz w:val="22"/>
          <w:szCs w:val="22"/>
        </w:rPr>
        <w:t xml:space="preserve">, en los siguientes términos: “… </w:t>
      </w:r>
      <w:r w:rsidRPr="000B0ED6">
        <w:rPr>
          <w:rFonts w:ascii="Palatino Linotype" w:eastAsia="Palatino Linotype" w:hAnsi="Palatino Linotype" w:cs="Palatino Linotype"/>
          <w:i/>
          <w:color w:val="000000"/>
          <w:sz w:val="22"/>
          <w:szCs w:val="22"/>
        </w:rPr>
        <w:t xml:space="preserve">además que en su respuesta informan que cuentan con licencia sindical de goce de sueldo, cuando NO es así, ya que tiene una "comisión sindical" y derivado de ello reciben un sueldo por parte del comité ejecutivo y la comisión de vigilancia del SUTEYM además de su sueldo al cual están adscritos, de los cuales derivan de los recursos públicos y cuotas sindicales de las diferentes secciones, o </w:t>
      </w:r>
      <w:proofErr w:type="spellStart"/>
      <w:r w:rsidRPr="000B0ED6">
        <w:rPr>
          <w:rFonts w:ascii="Palatino Linotype" w:eastAsia="Palatino Linotype" w:hAnsi="Palatino Linotype" w:cs="Palatino Linotype"/>
          <w:i/>
          <w:color w:val="000000"/>
          <w:sz w:val="22"/>
          <w:szCs w:val="22"/>
        </w:rPr>
        <w:t>que</w:t>
      </w:r>
      <w:proofErr w:type="spellEnd"/>
      <w:r w:rsidRPr="000B0ED6">
        <w:rPr>
          <w:rFonts w:ascii="Palatino Linotype" w:eastAsia="Palatino Linotype" w:hAnsi="Palatino Linotype" w:cs="Palatino Linotype"/>
          <w:i/>
          <w:color w:val="000000"/>
          <w:sz w:val="22"/>
          <w:szCs w:val="22"/>
        </w:rPr>
        <w:t xml:space="preserve">? </w:t>
      </w:r>
      <w:proofErr w:type="spellStart"/>
      <w:r w:rsidRPr="000B0ED6">
        <w:rPr>
          <w:rFonts w:ascii="Palatino Linotype" w:eastAsia="Palatino Linotype" w:hAnsi="Palatino Linotype" w:cs="Palatino Linotype"/>
          <w:i/>
          <w:color w:val="000000"/>
          <w:sz w:val="22"/>
          <w:szCs w:val="22"/>
        </w:rPr>
        <w:t>a caso</w:t>
      </w:r>
      <w:proofErr w:type="spellEnd"/>
      <w:r w:rsidRPr="000B0ED6">
        <w:rPr>
          <w:rFonts w:ascii="Palatino Linotype" w:eastAsia="Palatino Linotype" w:hAnsi="Palatino Linotype" w:cs="Palatino Linotype"/>
          <w:i/>
          <w:color w:val="000000"/>
          <w:sz w:val="22"/>
          <w:szCs w:val="22"/>
        </w:rPr>
        <w:t xml:space="preserve"> sólo lo hacen por su vocación y amor a la institución, a que le tienen miedo a transparentar </w:t>
      </w:r>
      <w:proofErr w:type="spellStart"/>
      <w:r w:rsidRPr="000B0ED6">
        <w:rPr>
          <w:rFonts w:ascii="Palatino Linotype" w:eastAsia="Palatino Linotype" w:hAnsi="Palatino Linotype" w:cs="Palatino Linotype"/>
          <w:i/>
          <w:color w:val="000000"/>
          <w:sz w:val="22"/>
          <w:szCs w:val="22"/>
        </w:rPr>
        <w:t>cuanto</w:t>
      </w:r>
      <w:proofErr w:type="spellEnd"/>
      <w:r w:rsidRPr="000B0ED6">
        <w:rPr>
          <w:rFonts w:ascii="Palatino Linotype" w:eastAsia="Palatino Linotype" w:hAnsi="Palatino Linotype" w:cs="Palatino Linotype"/>
          <w:i/>
          <w:color w:val="000000"/>
          <w:sz w:val="22"/>
          <w:szCs w:val="22"/>
        </w:rPr>
        <w:t xml:space="preserve"> gana en realidad?” (Sic)</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Conforme a lo anterior, el sistema de medios de impugnación se centra en el análisis de los agravios o motivos de inconformidad, los que deben tener relación directa con el acto de autoridad que lo motiva. </w:t>
      </w:r>
    </w:p>
    <w:p w:rsidR="00007613" w:rsidRPr="000B0ED6" w:rsidRDefault="00007613" w:rsidP="000409CA">
      <w:pPr>
        <w:rPr>
          <w:rFonts w:ascii="Palatino Linotype" w:eastAsia="Palatino Linotype" w:hAnsi="Palatino Linotype" w:cs="Palatino Linotype"/>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no tuvo la oportunidad de conocer y por consiguiente producir un posicionamiento.</w:t>
      </w:r>
    </w:p>
    <w:p w:rsidR="00007613" w:rsidRPr="000B0ED6" w:rsidRDefault="00007613" w:rsidP="000409CA">
      <w:pPr>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Es por ello, que la Ley de la materia contempla que en los casos en que a través del recurso de revisión se pretenda ampliar los requerimientos de información, la </w:t>
      </w:r>
      <w:r w:rsidRPr="000B0ED6">
        <w:rPr>
          <w:rFonts w:ascii="Palatino Linotype" w:eastAsia="Palatino Linotype" w:hAnsi="Palatino Linotype" w:cs="Palatino Linotype"/>
          <w:color w:val="000000"/>
          <w:sz w:val="22"/>
          <w:szCs w:val="22"/>
        </w:rPr>
        <w:lastRenderedPageBreak/>
        <w:t>inconformidad relativa a estas situaciones novedosas no debe ser tomada en cuenta como parte de la Litis y debe ser desechada, tal y como lo establece el artículo 191 fracción VII.</w:t>
      </w:r>
    </w:p>
    <w:p w:rsidR="00007613" w:rsidRPr="000B0ED6" w:rsidRDefault="00007613" w:rsidP="000409C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Por lo anterior, de </w:t>
      </w:r>
      <w:r w:rsidRPr="000B0ED6">
        <w:rPr>
          <w:rFonts w:ascii="Palatino Linotype" w:eastAsia="Palatino Linotype" w:hAnsi="Palatino Linotype" w:cs="Palatino Linotype"/>
          <w:b/>
          <w:color w:val="000000"/>
          <w:sz w:val="22"/>
          <w:szCs w:val="22"/>
        </w:rPr>
        <w:t>manera parcial</w:t>
      </w:r>
      <w:r w:rsidRPr="000B0ED6">
        <w:rPr>
          <w:rFonts w:ascii="Palatino Linotype" w:eastAsia="Palatino Linotype" w:hAnsi="Palatino Linotype" w:cs="Palatino Linotype"/>
          <w:color w:val="000000"/>
          <w:sz w:val="22"/>
          <w:szCs w:val="22"/>
        </w:rPr>
        <w:t xml:space="preserve"> resulta improcedente el referido motivo de inconformidad, ya que se aprecia que la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xml:space="preserve"> se excede dentro de su inconformidad respecto a lo requerido originalmente en la solicitud de información, siendo el caso que pretende ampliar lo solicitado de origen, lo que hace que se surta lo que en la teoría jurídica se le denomina </w:t>
      </w:r>
      <w:r w:rsidRPr="000B0ED6">
        <w:rPr>
          <w:rFonts w:ascii="Palatino Linotype" w:eastAsia="Palatino Linotype" w:hAnsi="Palatino Linotype" w:cs="Palatino Linotype"/>
          <w:b/>
          <w:i/>
          <w:color w:val="000000"/>
          <w:sz w:val="22"/>
          <w:szCs w:val="22"/>
        </w:rPr>
        <w:t xml:space="preserve">plus </w:t>
      </w:r>
      <w:proofErr w:type="spellStart"/>
      <w:r w:rsidRPr="000B0ED6">
        <w:rPr>
          <w:rFonts w:ascii="Palatino Linotype" w:eastAsia="Palatino Linotype" w:hAnsi="Palatino Linotype" w:cs="Palatino Linotype"/>
          <w:b/>
          <w:i/>
          <w:color w:val="000000"/>
          <w:sz w:val="22"/>
          <w:szCs w:val="22"/>
        </w:rPr>
        <w:t>petitio</w:t>
      </w:r>
      <w:proofErr w:type="spellEnd"/>
      <w:r w:rsidRPr="000B0ED6">
        <w:rPr>
          <w:rFonts w:ascii="Palatino Linotype" w:eastAsia="Palatino Linotype" w:hAnsi="Palatino Linotype" w:cs="Palatino Linotype"/>
          <w:b/>
          <w:i/>
          <w:color w:val="000000"/>
          <w:sz w:val="22"/>
          <w:szCs w:val="22"/>
        </w:rPr>
        <w:t>.</w:t>
      </w:r>
    </w:p>
    <w:p w:rsidR="00007613" w:rsidRPr="000B0ED6" w:rsidRDefault="00007613" w:rsidP="006D7D4C">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Sirve de apoyo el criterio 01/17 emitido por el Instituto Nacional de Transparencia, Acceso a la Información y Protección de Datos Personales que establece lo siguiente:</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b/>
          <w:i/>
          <w:color w:val="000000"/>
          <w:sz w:val="22"/>
          <w:szCs w:val="22"/>
        </w:rPr>
        <w:t>Es improcedente ampliar las solicitudes de acceso a información, a través de la interposición del recurso de revisión.</w:t>
      </w:r>
      <w:r w:rsidRPr="000B0ED6">
        <w:rPr>
          <w:rFonts w:ascii="Palatino Linotype" w:eastAsia="Palatino Linotype" w:hAnsi="Palatino Linotype" w:cs="Palatino Linotype"/>
          <w:i/>
          <w:color w:val="000000"/>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007613" w:rsidRPr="000B0ED6" w:rsidRDefault="00007613" w:rsidP="006D7D4C">
      <w:pPr>
        <w:ind w:left="567" w:right="565"/>
        <w:jc w:val="both"/>
        <w:rPr>
          <w:rFonts w:ascii="Palatino Linotype" w:eastAsia="Palatino Linotype" w:hAnsi="Palatino Linotype" w:cs="Palatino Linotype"/>
          <w:color w:val="000000"/>
          <w:sz w:val="22"/>
          <w:szCs w:val="22"/>
        </w:rPr>
      </w:pP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t>Resoluciones:</w:t>
      </w: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t>RRA 0196/16. Secretaría de Agricultura, Ganadería, Desarrollo Rural, Pesca y Alimentación. 13 de julio de 2016. Por unanimidad. Comisionado Ponente Joel Salas Suárez.</w:t>
      </w: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t xml:space="preserve">RRA 0130/16. Comisión Nacional del Agua. 09 de agosto de 2016. Por unanimidad. Comisionado Ponente María Patricia </w:t>
      </w:r>
      <w:proofErr w:type="spellStart"/>
      <w:r w:rsidRPr="000B0ED6">
        <w:rPr>
          <w:rFonts w:ascii="Palatino Linotype" w:eastAsia="Palatino Linotype" w:hAnsi="Palatino Linotype" w:cs="Palatino Linotype"/>
          <w:i/>
          <w:color w:val="000000"/>
          <w:sz w:val="22"/>
          <w:szCs w:val="22"/>
        </w:rPr>
        <w:t>Kurczyn</w:t>
      </w:r>
      <w:proofErr w:type="spellEnd"/>
      <w:r w:rsidRPr="000B0ED6">
        <w:rPr>
          <w:rFonts w:ascii="Palatino Linotype" w:eastAsia="Palatino Linotype" w:hAnsi="Palatino Linotype" w:cs="Palatino Linotype"/>
          <w:i/>
          <w:color w:val="000000"/>
          <w:sz w:val="22"/>
          <w:szCs w:val="22"/>
        </w:rPr>
        <w:t xml:space="preserve"> Villalobos.</w:t>
      </w:r>
    </w:p>
    <w:p w:rsidR="00007613" w:rsidRPr="000B0ED6" w:rsidRDefault="00FF4150" w:rsidP="006D7D4C">
      <w:pPr>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i/>
          <w:color w:val="000000"/>
          <w:sz w:val="22"/>
          <w:szCs w:val="22"/>
        </w:rPr>
        <w:lastRenderedPageBreak/>
        <w:t>RRA 0342/16. Colegio de Bachilleres. 24 de agosto de 2016. Por unanimidad. Comisionada Ponente Ximena Puente de la Mora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Asimismo, sirve de apoyo a lo anterior por analogía, la Jurisprudencia No. 29 visible a foja 19 del Apéndice al Semanario Judicial de la Federación 1917-1995, </w:t>
      </w:r>
      <w:r w:rsidRPr="000B0ED6">
        <w:rPr>
          <w:rFonts w:ascii="Palatino Linotype" w:eastAsia="Palatino Linotype" w:hAnsi="Palatino Linotype" w:cs="Palatino Linotype"/>
          <w:sz w:val="22"/>
          <w:szCs w:val="22"/>
        </w:rPr>
        <w:t>Tomo</w:t>
      </w:r>
      <w:r w:rsidRPr="000B0ED6">
        <w:rPr>
          <w:rFonts w:ascii="Palatino Linotype" w:eastAsia="Palatino Linotype" w:hAnsi="Palatino Linotype" w:cs="Palatino Linotype"/>
          <w:color w:val="000000"/>
          <w:sz w:val="22"/>
          <w:szCs w:val="22"/>
        </w:rPr>
        <w:t xml:space="preserve"> VI, Materia Común, Primera Parte, Tesis de la Suprema Corte de Justicia, que contiene:</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ind w:left="567" w:right="565"/>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b/>
          <w:i/>
          <w:color w:val="000000"/>
          <w:sz w:val="22"/>
          <w:szCs w:val="22"/>
        </w:rPr>
        <w:t xml:space="preserve">AGRAVIOS EN LA REVISION. DEBEN ESTAR EN RELACION DIRECTA CON LOS FUNDAMENTOS Y CONSIDERACIONES DE LA SENTENCIA.- </w:t>
      </w:r>
      <w:r w:rsidRPr="000B0ED6">
        <w:rPr>
          <w:rFonts w:ascii="Palatino Linotype" w:eastAsia="Palatino Linotype" w:hAnsi="Palatino Linotype" w:cs="Palatino Linotype"/>
          <w:i/>
          <w:color w:val="000000"/>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Precisado lo anterior, se reitera que al haber existido un pronunciamiento por parte del </w:t>
      </w:r>
      <w:r w:rsidRPr="000B0ED6">
        <w:rPr>
          <w:rFonts w:ascii="Palatino Linotype" w:eastAsia="Palatino Linotype" w:hAnsi="Palatino Linotype" w:cs="Palatino Linotype"/>
          <w:b/>
          <w:color w:val="000000"/>
          <w:sz w:val="22"/>
          <w:szCs w:val="22"/>
        </w:rPr>
        <w:t xml:space="preserve">SUJETO OBLIGADO </w:t>
      </w:r>
      <w:r w:rsidRPr="000B0ED6">
        <w:rPr>
          <w:rFonts w:ascii="Palatino Linotype" w:eastAsia="Palatino Linotype" w:hAnsi="Palatino Linotype" w:cs="Palatino Linotype"/>
          <w:color w:val="000000"/>
          <w:sz w:val="22"/>
          <w:szCs w:val="22"/>
        </w:rPr>
        <w:t xml:space="preserve">y atender de manera puntual el requerimiento, </w:t>
      </w:r>
      <w:r w:rsidRPr="000B0ED6">
        <w:rPr>
          <w:rFonts w:ascii="Palatino Linotype" w:eastAsia="Palatino Linotype" w:hAnsi="Palatino Linotype" w:cs="Palatino Linotype"/>
          <w:b/>
          <w:color w:val="000000"/>
          <w:sz w:val="22"/>
          <w:szCs w:val="22"/>
        </w:rPr>
        <w:t>al informar que la Organización Sindical no cuenta con suplentes y proporcionar la relación de los Servidores Públicos en donde se observa el nombre, cargo de</w:t>
      </w:r>
      <w:r w:rsidR="006D7D4C" w:rsidRPr="000B0ED6">
        <w:rPr>
          <w:rFonts w:ascii="Palatino Linotype" w:eastAsia="Palatino Linotype" w:hAnsi="Palatino Linotype" w:cs="Palatino Linotype"/>
          <w:b/>
          <w:color w:val="000000"/>
          <w:sz w:val="22"/>
          <w:szCs w:val="22"/>
        </w:rPr>
        <w:t xml:space="preserve">ntro del Comité y dependencia en </w:t>
      </w:r>
      <w:r w:rsidRPr="000B0ED6">
        <w:rPr>
          <w:rFonts w:ascii="Palatino Linotype" w:eastAsia="Palatino Linotype" w:hAnsi="Palatino Linotype" w:cs="Palatino Linotype"/>
          <w:b/>
          <w:color w:val="000000"/>
          <w:sz w:val="22"/>
          <w:szCs w:val="22"/>
        </w:rPr>
        <w:t xml:space="preserve">la que se encuentran adscritos los integrantes del Comité Ejecutivo y Comisión de Vigilancia e Investigación, </w:t>
      </w:r>
      <w:r w:rsidRPr="000B0ED6">
        <w:rPr>
          <w:rFonts w:ascii="Palatino Linotype" w:eastAsia="Palatino Linotype" w:hAnsi="Palatino Linotype" w:cs="Palatino Linotype"/>
          <w:color w:val="000000"/>
          <w:sz w:val="22"/>
          <w:szCs w:val="22"/>
        </w:rPr>
        <w:t>este Instituto no está facultado para manifestarse sobre la veracidad, pues no existe precepto legal alguno en la Ley de la materia que lo faculte para que, vía recurso de revisión, pueda pronunciarse al respecto.</w:t>
      </w:r>
    </w:p>
    <w:p w:rsidR="00007613" w:rsidRPr="000B0ED6" w:rsidRDefault="00007613" w:rsidP="006D7D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lastRenderedPageBreak/>
        <w:t xml:space="preserve">Así, este Pleno advierte que el </w:t>
      </w:r>
      <w:r w:rsidRPr="000B0ED6">
        <w:rPr>
          <w:rFonts w:ascii="Palatino Linotype" w:eastAsia="Palatino Linotype" w:hAnsi="Palatino Linotype" w:cs="Palatino Linotype"/>
          <w:b/>
          <w:color w:val="000000"/>
          <w:sz w:val="22"/>
          <w:szCs w:val="22"/>
        </w:rPr>
        <w:t>SUJETO OBLIGADO</w:t>
      </w:r>
      <w:r w:rsidRPr="000B0ED6">
        <w:rPr>
          <w:rFonts w:ascii="Palatino Linotype" w:eastAsia="Palatino Linotype" w:hAnsi="Palatino Linotype" w:cs="Palatino Linotype"/>
          <w:color w:val="000000"/>
          <w:sz w:val="22"/>
          <w:szCs w:val="22"/>
        </w:rPr>
        <w:t xml:space="preserve"> </w:t>
      </w:r>
      <w:r w:rsidRPr="000B0ED6">
        <w:rPr>
          <w:rFonts w:ascii="Palatino Linotype" w:eastAsia="Palatino Linotype" w:hAnsi="Palatino Linotype" w:cs="Palatino Linotype"/>
          <w:b/>
          <w:color w:val="000000"/>
          <w:sz w:val="22"/>
          <w:szCs w:val="22"/>
        </w:rPr>
        <w:t xml:space="preserve">modificó </w:t>
      </w:r>
      <w:r w:rsidRPr="000B0ED6">
        <w:rPr>
          <w:rFonts w:ascii="Palatino Linotype" w:eastAsia="Palatino Linotype" w:hAnsi="Palatino Linotype" w:cs="Palatino Linotype"/>
          <w:color w:val="000000"/>
          <w:sz w:val="22"/>
          <w:szCs w:val="22"/>
        </w:rPr>
        <w:t>el acto que le dio origen al recurso de revisión, lo que trae como consecuencia que el mismo quede sin materia, actualizándose de este modo, la hipótesis jurídica contenida en la fracción III del artículo 192 de la Ley de Transparencia Local.</w:t>
      </w:r>
    </w:p>
    <w:p w:rsidR="00007613" w:rsidRPr="000B0ED6" w:rsidRDefault="00007613" w:rsidP="000409CA">
      <w:pPr>
        <w:rPr>
          <w:rFonts w:ascii="Palatino Linotype" w:eastAsia="Palatino Linotype" w:hAnsi="Palatino Linotype" w:cs="Palatino Linotype"/>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como ya fue establecido, se dejan a salvo los derechos del </w:t>
      </w:r>
      <w:r w:rsidRPr="000B0ED6">
        <w:rPr>
          <w:rFonts w:ascii="Palatino Linotype" w:eastAsia="Palatino Linotype" w:hAnsi="Palatino Linotype" w:cs="Palatino Linotype"/>
          <w:b/>
          <w:color w:val="000000"/>
          <w:sz w:val="22"/>
          <w:szCs w:val="22"/>
        </w:rPr>
        <w:t>RECURRENTE</w:t>
      </w:r>
      <w:r w:rsidRPr="000B0ED6">
        <w:rPr>
          <w:rFonts w:ascii="Palatino Linotype" w:eastAsia="Palatino Linotype" w:hAnsi="Palatino Linotype" w:cs="Palatino Linotype"/>
          <w:color w:val="000000"/>
          <w:sz w:val="22"/>
          <w:szCs w:val="22"/>
        </w:rPr>
        <w:t xml:space="preserve"> para que pueda realizar la solicitud de información ante el Sujeto Obligado correspondiente.</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rsidR="00007613" w:rsidRPr="000B0ED6" w:rsidRDefault="00007613" w:rsidP="000409CA">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007613" w:rsidRPr="000B0ED6" w:rsidRDefault="00FF4150" w:rsidP="000409CA">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De este modo, cuando el </w:t>
      </w:r>
      <w:r w:rsidRPr="000B0ED6">
        <w:rPr>
          <w:rFonts w:ascii="Palatino Linotype" w:eastAsia="Palatino Linotype" w:hAnsi="Palatino Linotype" w:cs="Palatino Linotype"/>
          <w:b/>
          <w:color w:val="000000"/>
          <w:sz w:val="22"/>
          <w:szCs w:val="22"/>
        </w:rPr>
        <w:t xml:space="preserve">SUJETO OBLIGADO, </w:t>
      </w:r>
      <w:r w:rsidRPr="000B0ED6">
        <w:rPr>
          <w:rFonts w:ascii="Palatino Linotype" w:eastAsia="Palatino Linotype" w:hAnsi="Palatino Linotype" w:cs="Palatino Linotype"/>
          <w:color w:val="000000"/>
          <w:sz w:val="22"/>
          <w:szCs w:val="22"/>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0B0ED6">
        <w:rPr>
          <w:rFonts w:ascii="Palatino Linotype" w:eastAsia="Palatino Linotype" w:hAnsi="Palatino Linotype" w:cs="Palatino Linotype"/>
          <w:i/>
          <w:color w:val="000000"/>
          <w:sz w:val="22"/>
          <w:szCs w:val="22"/>
        </w:rPr>
        <w:t>litis</w:t>
      </w:r>
      <w:proofErr w:type="spellEnd"/>
      <w:r w:rsidRPr="000B0ED6">
        <w:rPr>
          <w:rFonts w:ascii="Palatino Linotype" w:eastAsia="Palatino Linotype" w:hAnsi="Palatino Linotype" w:cs="Palatino Linotype"/>
          <w:color w:val="000000"/>
          <w:sz w:val="22"/>
          <w:szCs w:val="22"/>
        </w:rPr>
        <w:t xml:space="preserve"> planteada, debido a que la afectación en su esfera de derechos fue restituida por la propia autoridad que emitió el acto motivo de impugnación.</w:t>
      </w: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lastRenderedPageBreak/>
        <w:t>Sirve de sustento a lo anterior la siguiente jurisprudencia por contradicción, cuyo rubro, texto y datos de identificación son los siguientes:</w:t>
      </w:r>
    </w:p>
    <w:p w:rsidR="006D7D4C" w:rsidRPr="000B0ED6" w:rsidRDefault="006D7D4C"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color w:val="000000"/>
          <w:sz w:val="22"/>
          <w:szCs w:val="22"/>
        </w:rPr>
      </w:pPr>
      <w:r w:rsidRPr="000B0ED6">
        <w:rPr>
          <w:rFonts w:ascii="Palatino Linotype" w:eastAsia="Palatino Linotype" w:hAnsi="Palatino Linotype" w:cs="Palatino Linotype"/>
          <w:b/>
          <w:i/>
          <w:color w:val="000000"/>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0B0ED6">
        <w:rPr>
          <w:rFonts w:ascii="Palatino Linotype" w:eastAsia="Palatino Linotype" w:hAnsi="Palatino Linotype" w:cs="Palatino Linotype"/>
          <w:i/>
          <w:color w:val="000000"/>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007613" w:rsidRPr="000B0ED6" w:rsidRDefault="00007613" w:rsidP="006D7D4C">
      <w:pP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La anterior jurisprudencia resulta aplicable al presente asunto, en dos aspectos:</w:t>
      </w:r>
    </w:p>
    <w:p w:rsidR="00007613" w:rsidRPr="000B0ED6" w:rsidRDefault="00007613" w:rsidP="006D7D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3"/>
        </w:numPr>
        <w:ind w:left="567" w:right="565" w:firstLine="0"/>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b/>
          <w:sz w:val="22"/>
          <w:szCs w:val="22"/>
        </w:rPr>
        <w:t>La cesación de los efectos perniciosos del acto de autoridad:</w:t>
      </w:r>
      <w:r w:rsidRPr="000B0ED6">
        <w:rPr>
          <w:rFonts w:ascii="Palatino Linotype" w:eastAsia="Palatino Linotype" w:hAnsi="Palatino Linotype" w:cs="Palatino Linotype"/>
          <w:sz w:val="22"/>
          <w:szCs w:val="22"/>
        </w:rPr>
        <w:t xml:space="preserve"> Al respecto, la Ley de Transparencia contempla la figura jurídica del sobreseimiento cuando el </w:t>
      </w:r>
      <w:r w:rsidRPr="000B0ED6">
        <w:rPr>
          <w:rFonts w:ascii="Palatino Linotype" w:eastAsia="Palatino Linotype" w:hAnsi="Palatino Linotype" w:cs="Palatino Linotype"/>
          <w:b/>
          <w:sz w:val="22"/>
          <w:szCs w:val="22"/>
        </w:rPr>
        <w:t>SUJETO OBLIGADO</w:t>
      </w:r>
      <w:r w:rsidRPr="000B0ED6">
        <w:rPr>
          <w:rFonts w:ascii="Palatino Linotype" w:eastAsia="Palatino Linotype" w:hAnsi="Palatino Linotype" w:cs="Palatino Linotype"/>
          <w:sz w:val="22"/>
          <w:szCs w:val="22"/>
        </w:rPr>
        <w:t xml:space="preserve"> de </w:t>
      </w:r>
      <w:r w:rsidRPr="000B0ED6">
        <w:rPr>
          <w:rFonts w:ascii="Palatino Linotype" w:eastAsia="Palatino Linotype" w:hAnsi="Palatino Linotype" w:cs="Palatino Linotype"/>
          <w:i/>
          <w:sz w:val="22"/>
          <w:szCs w:val="22"/>
        </w:rPr>
        <w:t>motu proprio</w:t>
      </w:r>
      <w:r w:rsidRPr="000B0ED6">
        <w:rPr>
          <w:rFonts w:ascii="Palatino Linotype" w:eastAsia="Palatino Linotype" w:hAnsi="Palatino Linotype" w:cs="Palatino Linotype"/>
          <w:sz w:val="22"/>
          <w:szCs w:val="22"/>
        </w:rPr>
        <w:t xml:space="preserve"> modifica o revoca de tal manera el acto motivo de la impugnación que lo deja sin materia; </w:t>
      </w:r>
      <w:r w:rsidRPr="000B0ED6">
        <w:rPr>
          <w:rFonts w:ascii="Palatino Linotype" w:eastAsia="Palatino Linotype" w:hAnsi="Palatino Linotype" w:cs="Palatino Linotype"/>
          <w:sz w:val="22"/>
          <w:szCs w:val="22"/>
        </w:rPr>
        <w:lastRenderedPageBreak/>
        <w:t>es decir, cesan los efectos de éste y el derecho de acceso a la información pública se encuentra satisfecho.</w:t>
      </w:r>
    </w:p>
    <w:p w:rsidR="00007613" w:rsidRPr="000B0ED6" w:rsidRDefault="00007613" w:rsidP="000409CA">
      <w:pPr>
        <w:ind w:left="567" w:right="565"/>
        <w:rPr>
          <w:rFonts w:ascii="Palatino Linotype" w:eastAsia="Palatino Linotype" w:hAnsi="Palatino Linotype" w:cs="Palatino Linotype"/>
          <w:sz w:val="22"/>
          <w:szCs w:val="22"/>
        </w:rPr>
      </w:pPr>
    </w:p>
    <w:p w:rsidR="00007613" w:rsidRPr="000B0ED6" w:rsidRDefault="00FF4150" w:rsidP="006D7D4C">
      <w:pPr>
        <w:numPr>
          <w:ilvl w:val="0"/>
          <w:numId w:val="3"/>
        </w:numPr>
        <w:ind w:left="567" w:right="565" w:firstLine="0"/>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b/>
          <w:sz w:val="22"/>
          <w:szCs w:val="22"/>
        </w:rPr>
        <w:t>El momento procesal para modificar el acto impugnado:</w:t>
      </w:r>
      <w:r w:rsidRPr="000B0ED6">
        <w:rPr>
          <w:rFonts w:ascii="Palatino Linotype" w:eastAsia="Palatino Linotype" w:hAnsi="Palatino Linotype" w:cs="Palatino Linotype"/>
          <w:sz w:val="22"/>
          <w:szCs w:val="22"/>
        </w:rPr>
        <w:t xml:space="preserve"> Para que se actualice el sobreseimiento de un recurso de revisión, el </w:t>
      </w:r>
      <w:r w:rsidRPr="000B0ED6">
        <w:rPr>
          <w:rFonts w:ascii="Palatino Linotype" w:eastAsia="Palatino Linotype" w:hAnsi="Palatino Linotype" w:cs="Palatino Linotype"/>
          <w:b/>
          <w:sz w:val="22"/>
          <w:szCs w:val="22"/>
        </w:rPr>
        <w:t>SUJETO OBLIGADO</w:t>
      </w:r>
      <w:r w:rsidRPr="000B0ED6">
        <w:rPr>
          <w:rFonts w:ascii="Palatino Linotype" w:eastAsia="Palatino Linotype" w:hAnsi="Palatino Linotype" w:cs="Palatino Linotype"/>
          <w:sz w:val="22"/>
          <w:szCs w:val="22"/>
        </w:rPr>
        <w:t xml:space="preserve"> puede entregar o completar la información al momento de rendir su informe de justificación o </w:t>
      </w:r>
      <w:r w:rsidRPr="000B0ED6">
        <w:rPr>
          <w:rFonts w:ascii="Palatino Linotype" w:eastAsia="Palatino Linotype" w:hAnsi="Palatino Linotype" w:cs="Palatino Linotype"/>
          <w:b/>
          <w:sz w:val="22"/>
          <w:szCs w:val="22"/>
          <w:u w:val="single"/>
        </w:rPr>
        <w:t>posteriormente</w:t>
      </w:r>
      <w:r w:rsidRPr="000B0ED6">
        <w:rPr>
          <w:rFonts w:ascii="Palatino Linotype" w:eastAsia="Palatino Linotype" w:hAnsi="Palatino Linotype" w:cs="Palatino Linotype"/>
          <w:sz w:val="22"/>
          <w:szCs w:val="22"/>
        </w:rPr>
        <w:t xml:space="preserve"> a éste, siempre y cuando el Pleno del Instituto no haya dictado resolución definitiva.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Eduardo Pallares, en su artículo </w:t>
      </w:r>
      <w:r w:rsidRPr="000B0ED6">
        <w:rPr>
          <w:rFonts w:ascii="Palatino Linotype" w:eastAsia="Palatino Linotype" w:hAnsi="Palatino Linotype" w:cs="Palatino Linotype"/>
          <w:i/>
          <w:color w:val="000000"/>
          <w:sz w:val="22"/>
          <w:szCs w:val="22"/>
        </w:rPr>
        <w:t>“La caducidad y el sobreseimiento en el amparo”</w:t>
      </w:r>
      <w:r w:rsidRPr="000B0ED6">
        <w:rPr>
          <w:rFonts w:ascii="Palatino Linotype" w:eastAsia="Palatino Linotype" w:hAnsi="Palatino Linotype" w:cs="Palatino Linotype"/>
          <w:color w:val="000000"/>
          <w:sz w:val="22"/>
          <w:szCs w:val="22"/>
        </w:rPr>
        <w:t xml:space="preserve">, cita la definición de Aguilera Paz, aduciendo que se </w:t>
      </w:r>
      <w:r w:rsidRPr="000B0ED6">
        <w:rPr>
          <w:rFonts w:ascii="Palatino Linotype" w:eastAsia="Palatino Linotype" w:hAnsi="Palatino Linotype" w:cs="Palatino Linotype"/>
          <w:i/>
          <w:color w:val="000000"/>
          <w:sz w:val="22"/>
          <w:szCs w:val="22"/>
        </w:rPr>
        <w:t>“...entiende por sobreseimiento en el tecnicismo forense, el hecho de cesar en el procedimiento o curso de la causa, por no existir méritos bastantes para entrar en un juicio o para entablar la contienda judicial que debe ser objeto del mismo...”</w:t>
      </w:r>
      <w:r w:rsidRPr="000B0ED6">
        <w:rPr>
          <w:rFonts w:ascii="Palatino Linotype" w:eastAsia="Palatino Linotype" w:hAnsi="Palatino Linotype" w:cs="Palatino Linotype"/>
          <w:color w:val="000000"/>
          <w:sz w:val="22"/>
          <w:szCs w:val="22"/>
        </w:rPr>
        <w:t>. Asimismo, señala que existe el sobreseimiento provisional y el definitivo</w:t>
      </w:r>
      <w:r w:rsidRPr="000B0ED6">
        <w:rPr>
          <w:rFonts w:ascii="Palatino Linotype" w:eastAsia="Palatino Linotype" w:hAnsi="Palatino Linotype" w:cs="Palatino Linotype"/>
          <w:i/>
          <w:color w:val="000000"/>
          <w:sz w:val="22"/>
          <w:szCs w:val="22"/>
        </w:rPr>
        <w:t>: “...el definitivo es una verdadera sentencia que pone fin al juicio, y que una vez dictada, produce cosa juzgada, mientras que el provisorio tiene por efectos suspender la prosecución de la causa...”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Así, para la doctrina el sobreseimiento provoca que un procedimiento se suspenda o se resuelva en definitiva </w:t>
      </w:r>
      <w:r w:rsidRPr="000B0ED6">
        <w:rPr>
          <w:rFonts w:ascii="Palatino Linotype" w:eastAsia="Palatino Linotype" w:hAnsi="Palatino Linotype" w:cs="Palatino Linotype"/>
          <w:b/>
          <w:color w:val="000000"/>
          <w:sz w:val="22"/>
          <w:szCs w:val="22"/>
          <w:u w:val="single"/>
        </w:rPr>
        <w:t xml:space="preserve">sin que se entre al estudio de los agravios o motivos de inconformidad. </w:t>
      </w:r>
      <w:r w:rsidRPr="000B0ED6">
        <w:rPr>
          <w:rFonts w:ascii="Palatino Linotype" w:eastAsia="Palatino Linotype" w:hAnsi="Palatino Linotype" w:cs="Palatino Linotype"/>
          <w:color w:val="000000"/>
          <w:sz w:val="22"/>
          <w:szCs w:val="22"/>
        </w:rPr>
        <w:t>Este mismo criterio es compartido por el más alto tribunal del país en múltiples jurisprudencias, por lo que a continuación se agrega una de ellas que sirve como orientador en esta resolución:</w:t>
      </w:r>
    </w:p>
    <w:p w:rsidR="000409CA" w:rsidRPr="000B0ED6" w:rsidRDefault="000409CA"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ind w:left="567" w:right="565"/>
        <w:jc w:val="both"/>
        <w:rPr>
          <w:rFonts w:ascii="Palatino Linotype" w:eastAsia="Palatino Linotype" w:hAnsi="Palatino Linotype" w:cs="Palatino Linotype"/>
          <w:i/>
          <w:sz w:val="22"/>
          <w:szCs w:val="22"/>
        </w:rPr>
      </w:pPr>
      <w:r w:rsidRPr="000B0ED6">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 El sobreseimiento</w:t>
      </w:r>
      <w:r w:rsidRPr="000B0ED6">
        <w:rPr>
          <w:rFonts w:ascii="Palatino Linotype" w:eastAsia="Palatino Linotype" w:hAnsi="Palatino Linotype" w:cs="Palatino Linotype"/>
          <w:i/>
          <w:sz w:val="22"/>
          <w:szCs w:val="22"/>
        </w:rPr>
        <w:t xml:space="preserve"> en el juicio de amparo directo </w:t>
      </w:r>
      <w:r w:rsidRPr="000B0ED6">
        <w:rPr>
          <w:rFonts w:ascii="Palatino Linotype" w:eastAsia="Palatino Linotype" w:hAnsi="Palatino Linotype" w:cs="Palatino Linotype"/>
          <w:b/>
          <w:i/>
          <w:sz w:val="22"/>
          <w:szCs w:val="22"/>
        </w:rPr>
        <w:t>provoca la terminación de la controversia planteada</w:t>
      </w:r>
      <w:r w:rsidRPr="000B0ED6">
        <w:rPr>
          <w:rFonts w:ascii="Palatino Linotype" w:eastAsia="Palatino Linotype" w:hAnsi="Palatino Linotype" w:cs="Palatino Linotype"/>
          <w:i/>
          <w:sz w:val="22"/>
          <w:szCs w:val="22"/>
        </w:rPr>
        <w:t xml:space="preserve"> por el quejoso en la demanda de amparo</w:t>
      </w:r>
      <w:r w:rsidRPr="000B0ED6">
        <w:rPr>
          <w:rFonts w:ascii="Palatino Linotype" w:eastAsia="Palatino Linotype" w:hAnsi="Palatino Linotype" w:cs="Palatino Linotype"/>
          <w:b/>
          <w:i/>
          <w:sz w:val="22"/>
          <w:szCs w:val="22"/>
        </w:rPr>
        <w:t xml:space="preserve">, sin hacer un pronunciamiento de fondo sobre la legalidad o </w:t>
      </w:r>
      <w:r w:rsidRPr="000B0ED6">
        <w:rPr>
          <w:rFonts w:ascii="Palatino Linotype" w:eastAsia="Palatino Linotype" w:hAnsi="Palatino Linotype" w:cs="Palatino Linotype"/>
          <w:b/>
          <w:i/>
          <w:sz w:val="22"/>
          <w:szCs w:val="22"/>
        </w:rPr>
        <w:lastRenderedPageBreak/>
        <w:t>ilegalidad de la sentencia reclamada</w:t>
      </w:r>
      <w:r w:rsidRPr="000B0ED6">
        <w:rPr>
          <w:rFonts w:ascii="Palatino Linotype" w:eastAsia="Palatino Linotype" w:hAnsi="Palatino Linotype" w:cs="Palatino Linotype"/>
          <w:i/>
          <w:sz w:val="22"/>
          <w:szCs w:val="22"/>
        </w:rPr>
        <w:t xml:space="preserve">. </w:t>
      </w:r>
      <w:r w:rsidRPr="000B0ED6">
        <w:rPr>
          <w:rFonts w:ascii="Palatino Linotype" w:eastAsia="Palatino Linotype" w:hAnsi="Palatino Linotype" w:cs="Palatino Linotype"/>
          <w:b/>
          <w:i/>
          <w:sz w:val="22"/>
          <w:szCs w:val="22"/>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0B0ED6">
        <w:rPr>
          <w:rFonts w:ascii="Palatino Linotype" w:eastAsia="Palatino Linotype" w:hAnsi="Palatino Linotype" w:cs="Palatino Linotype"/>
          <w:i/>
          <w:sz w:val="22"/>
          <w:szCs w:val="22"/>
        </w:rPr>
        <w:t>.</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Bajo ese tenor y en términos del artículo 186 fracción I este Pleno determina el </w:t>
      </w:r>
      <w:r w:rsidRPr="000B0ED6">
        <w:rPr>
          <w:rFonts w:ascii="Palatino Linotype" w:eastAsia="Palatino Linotype" w:hAnsi="Palatino Linotype" w:cs="Palatino Linotype"/>
          <w:b/>
          <w:color w:val="000000"/>
          <w:sz w:val="22"/>
          <w:szCs w:val="22"/>
        </w:rPr>
        <w:t xml:space="preserve">SOBRESEIMIENTO </w:t>
      </w:r>
      <w:r w:rsidRPr="000B0ED6">
        <w:rPr>
          <w:rFonts w:ascii="Palatino Linotype" w:eastAsia="Palatino Linotype" w:hAnsi="Palatino Linotype" w:cs="Palatino Linotype"/>
          <w:color w:val="000000"/>
          <w:sz w:val="22"/>
          <w:szCs w:val="22"/>
        </w:rPr>
        <w:t>del presente recurso de revisión, toda vez que la afectación al derecho de acceso a la información pública establecido constitucionalmente a favor del Particular ha sido resarcida.</w:t>
      </w:r>
    </w:p>
    <w:p w:rsidR="00007613" w:rsidRPr="000B0ED6" w:rsidRDefault="00007613"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6D7D4C" w:rsidRPr="000B0ED6" w:rsidRDefault="00FF4150" w:rsidP="006D7D4C">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sz w:val="22"/>
          <w:szCs w:val="22"/>
        </w:rPr>
      </w:pPr>
      <w:r w:rsidRPr="000B0ED6">
        <w:rPr>
          <w:rFonts w:ascii="Palatino Linotype" w:eastAsia="Palatino Linotype" w:hAnsi="Palatino Linotype" w:cs="Palatino Linotype"/>
          <w:color w:val="000000"/>
          <w:sz w:val="22"/>
          <w:szCs w:val="22"/>
        </w:rPr>
        <w:t xml:space="preserve">Por lo anteriormente expuesto y fundado, este </w:t>
      </w:r>
      <w:r w:rsidRPr="000B0ED6">
        <w:rPr>
          <w:rFonts w:ascii="Palatino Linotype" w:eastAsia="Palatino Linotype" w:hAnsi="Palatino Linotype" w:cs="Palatino Linotype"/>
          <w:b/>
          <w:color w:val="000000"/>
          <w:sz w:val="22"/>
          <w:szCs w:val="22"/>
        </w:rPr>
        <w:t>ÓRGANO GARANTE</w:t>
      </w:r>
      <w:r w:rsidRPr="000B0ED6">
        <w:rPr>
          <w:rFonts w:ascii="Palatino Linotype" w:eastAsia="Palatino Linotype" w:hAnsi="Palatino Linotype" w:cs="Palatino Linotype"/>
          <w:color w:val="000000"/>
          <w:sz w:val="22"/>
          <w:szCs w:val="22"/>
        </w:rPr>
        <w:t xml:space="preserve"> emite los siguientes:--------------------------------------------------------------------------</w:t>
      </w:r>
      <w:r w:rsidR="006D7D4C" w:rsidRPr="000B0ED6">
        <w:rPr>
          <w:rFonts w:ascii="Palatino Linotype" w:eastAsia="Palatino Linotype" w:hAnsi="Palatino Linotype" w:cs="Palatino Linotype"/>
          <w:color w:val="000000"/>
          <w:sz w:val="22"/>
          <w:szCs w:val="22"/>
        </w:rPr>
        <w:t>-------------------------------</w:t>
      </w:r>
    </w:p>
    <w:p w:rsidR="000409CA" w:rsidRPr="000B0ED6" w:rsidRDefault="000409CA" w:rsidP="000409CA">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sz w:val="22"/>
          <w:szCs w:val="22"/>
        </w:rPr>
      </w:pPr>
    </w:p>
    <w:p w:rsidR="00007613" w:rsidRPr="000B0ED6" w:rsidRDefault="00FF4150" w:rsidP="006D7D4C">
      <w:pPr>
        <w:pStyle w:val="Ttulo2"/>
        <w:tabs>
          <w:tab w:val="left" w:pos="0"/>
        </w:tabs>
        <w:spacing w:before="0" w:line="360" w:lineRule="auto"/>
        <w:jc w:val="center"/>
        <w:rPr>
          <w:rFonts w:ascii="Palatino Linotype" w:eastAsia="Palatino Linotype" w:hAnsi="Palatino Linotype" w:cs="Palatino Linotype"/>
          <w:b/>
          <w:color w:val="000000"/>
          <w:sz w:val="22"/>
          <w:szCs w:val="22"/>
        </w:rPr>
      </w:pPr>
      <w:bookmarkStart w:id="10" w:name="_heading=h.2s8eyo1" w:colFirst="0" w:colLast="0"/>
      <w:bookmarkEnd w:id="10"/>
      <w:r w:rsidRPr="000B0ED6">
        <w:rPr>
          <w:rFonts w:ascii="Palatino Linotype" w:eastAsia="Palatino Linotype" w:hAnsi="Palatino Linotype" w:cs="Palatino Linotype"/>
          <w:b/>
          <w:color w:val="000000"/>
          <w:sz w:val="22"/>
          <w:szCs w:val="22"/>
        </w:rPr>
        <w:t>R E S O L U T I V O S</w:t>
      </w:r>
    </w:p>
    <w:p w:rsidR="00007613" w:rsidRPr="000B0ED6" w:rsidRDefault="00007613" w:rsidP="006D7D4C">
      <w:pPr>
        <w:rPr>
          <w:rFonts w:ascii="Palatino Linotype" w:eastAsia="Palatino Linotype" w:hAnsi="Palatino Linotype" w:cs="Palatino Linotype"/>
          <w:sz w:val="22"/>
          <w:szCs w:val="22"/>
        </w:rPr>
      </w:pPr>
    </w:p>
    <w:p w:rsidR="00007613" w:rsidRPr="000B0ED6" w:rsidRDefault="00FF4150" w:rsidP="006D7D4C">
      <w:pPr>
        <w:spacing w:line="360" w:lineRule="auto"/>
        <w:jc w:val="both"/>
        <w:rPr>
          <w:rFonts w:ascii="Palatino Linotype" w:eastAsia="Palatino Linotype" w:hAnsi="Palatino Linotype" w:cs="Palatino Linotype"/>
          <w:b/>
          <w:sz w:val="22"/>
          <w:szCs w:val="22"/>
        </w:rPr>
      </w:pPr>
      <w:r w:rsidRPr="000B0ED6">
        <w:rPr>
          <w:rFonts w:ascii="Palatino Linotype" w:eastAsia="Palatino Linotype" w:hAnsi="Palatino Linotype" w:cs="Palatino Linotype"/>
          <w:b/>
          <w:sz w:val="22"/>
          <w:szCs w:val="22"/>
        </w:rPr>
        <w:t xml:space="preserve">PRIMERO. </w:t>
      </w:r>
      <w:r w:rsidRPr="000B0ED6">
        <w:rPr>
          <w:rFonts w:ascii="Palatino Linotype" w:eastAsia="Palatino Linotype" w:hAnsi="Palatino Linotype" w:cs="Palatino Linotype"/>
          <w:sz w:val="22"/>
          <w:szCs w:val="22"/>
        </w:rPr>
        <w:t xml:space="preserve">Se </w:t>
      </w:r>
      <w:r w:rsidRPr="000B0ED6">
        <w:rPr>
          <w:rFonts w:ascii="Palatino Linotype" w:eastAsia="Palatino Linotype" w:hAnsi="Palatino Linotype" w:cs="Palatino Linotype"/>
          <w:b/>
          <w:sz w:val="22"/>
          <w:szCs w:val="22"/>
        </w:rPr>
        <w:t>SOBRESEE</w:t>
      </w:r>
      <w:r w:rsidRPr="000B0ED6">
        <w:rPr>
          <w:rFonts w:ascii="Palatino Linotype" w:eastAsia="Palatino Linotype" w:hAnsi="Palatino Linotype" w:cs="Palatino Linotype"/>
          <w:sz w:val="22"/>
          <w:szCs w:val="22"/>
        </w:rPr>
        <w:t xml:space="preserve"> el recurso de revisión número </w:t>
      </w:r>
      <w:r w:rsidRPr="000B0ED6">
        <w:rPr>
          <w:rFonts w:ascii="Palatino Linotype" w:eastAsia="Palatino Linotype" w:hAnsi="Palatino Linotype" w:cs="Palatino Linotype"/>
          <w:b/>
          <w:sz w:val="22"/>
          <w:szCs w:val="22"/>
        </w:rPr>
        <w:t xml:space="preserve">02648/INFOEM/IP/RR/2024 </w:t>
      </w:r>
      <w:r w:rsidRPr="000B0ED6">
        <w:rPr>
          <w:rFonts w:ascii="Palatino Linotype" w:eastAsia="Palatino Linotype" w:hAnsi="Palatino Linotype" w:cs="Palatino Linotype"/>
          <w:sz w:val="22"/>
          <w:szCs w:val="22"/>
        </w:rPr>
        <w:t>conforme al artículo 192</w:t>
      </w:r>
      <w:r w:rsidR="00A17F3C" w:rsidRPr="000B0ED6">
        <w:rPr>
          <w:rFonts w:ascii="Palatino Linotype" w:eastAsia="Palatino Linotype" w:hAnsi="Palatino Linotype" w:cs="Palatino Linotype"/>
          <w:sz w:val="22"/>
          <w:szCs w:val="22"/>
        </w:rPr>
        <w:t>,</w:t>
      </w:r>
      <w:r w:rsidRPr="000B0ED6">
        <w:rPr>
          <w:rFonts w:ascii="Palatino Linotype" w:eastAsia="Palatino Linotype" w:hAnsi="Palatino Linotype" w:cs="Palatino Linotype"/>
          <w:sz w:val="22"/>
          <w:szCs w:val="22"/>
        </w:rPr>
        <w:t xml:space="preserve"> fracción III</w:t>
      </w:r>
      <w:r w:rsidR="00A17F3C" w:rsidRPr="000B0ED6">
        <w:rPr>
          <w:rFonts w:ascii="Palatino Linotype" w:eastAsia="Palatino Linotype" w:hAnsi="Palatino Linotype" w:cs="Palatino Linotype"/>
          <w:sz w:val="22"/>
          <w:szCs w:val="22"/>
        </w:rPr>
        <w:t>,</w:t>
      </w:r>
      <w:r w:rsidRPr="000B0ED6">
        <w:rPr>
          <w:rFonts w:ascii="Palatino Linotype" w:eastAsia="Palatino Linotype" w:hAnsi="Palatino Linotype" w:cs="Palatino Linotype"/>
          <w:sz w:val="22"/>
          <w:szCs w:val="22"/>
        </w:rPr>
        <w:t xml:space="preserve"> de la Ley de Transparencia y Acceso a la Información Pública del Estado de México y Municipios, porque al </w:t>
      </w:r>
      <w:r w:rsidRPr="000B0ED6">
        <w:rPr>
          <w:rFonts w:ascii="Palatino Linotype" w:eastAsia="Palatino Linotype" w:hAnsi="Palatino Linotype" w:cs="Palatino Linotype"/>
          <w:b/>
          <w:sz w:val="22"/>
          <w:szCs w:val="22"/>
        </w:rPr>
        <w:t xml:space="preserve">modificar la respuesta a través del </w:t>
      </w:r>
      <w:r w:rsidRPr="000B0ED6">
        <w:rPr>
          <w:rFonts w:ascii="Palatino Linotype" w:eastAsia="Palatino Linotype" w:hAnsi="Palatino Linotype" w:cs="Palatino Linotype"/>
          <w:b/>
          <w:sz w:val="22"/>
          <w:szCs w:val="22"/>
        </w:rPr>
        <w:lastRenderedPageBreak/>
        <w:t>informe justificado y atender lo solicitado</w:t>
      </w:r>
      <w:r w:rsidRPr="000B0ED6">
        <w:rPr>
          <w:rFonts w:ascii="Palatino Linotype" w:eastAsia="Palatino Linotype" w:hAnsi="Palatino Linotype" w:cs="Palatino Linotype"/>
          <w:sz w:val="22"/>
          <w:szCs w:val="22"/>
        </w:rPr>
        <w:t xml:space="preserve">, el recurso de revisión quedó sin materia en términos del Considerando </w:t>
      </w:r>
      <w:r w:rsidRPr="000B0ED6">
        <w:rPr>
          <w:rFonts w:ascii="Palatino Linotype" w:eastAsia="Palatino Linotype" w:hAnsi="Palatino Linotype" w:cs="Palatino Linotype"/>
          <w:b/>
          <w:sz w:val="22"/>
          <w:szCs w:val="22"/>
        </w:rPr>
        <w:t>TERCERO</w:t>
      </w:r>
      <w:r w:rsidRPr="000B0ED6">
        <w:rPr>
          <w:rFonts w:ascii="Palatino Linotype" w:eastAsia="Palatino Linotype" w:hAnsi="Palatino Linotype" w:cs="Palatino Linotype"/>
          <w:sz w:val="22"/>
          <w:szCs w:val="22"/>
        </w:rPr>
        <w:t xml:space="preserve"> de la presente resolución.</w:t>
      </w:r>
    </w:p>
    <w:p w:rsidR="00007613" w:rsidRPr="000B0ED6" w:rsidRDefault="00007613" w:rsidP="006D7D4C">
      <w:pPr>
        <w:spacing w:line="360" w:lineRule="auto"/>
        <w:jc w:val="both"/>
        <w:rPr>
          <w:rFonts w:ascii="Palatino Linotype" w:eastAsia="Palatino Linotype" w:hAnsi="Palatino Linotype" w:cs="Palatino Linotype"/>
          <w:b/>
          <w:sz w:val="10"/>
          <w:szCs w:val="22"/>
        </w:rPr>
      </w:pPr>
    </w:p>
    <w:p w:rsidR="00007613" w:rsidRPr="000B0ED6" w:rsidRDefault="00A17F3C" w:rsidP="006D7D4C">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0B0ED6">
        <w:rPr>
          <w:rFonts w:ascii="Palatino Linotype" w:eastAsia="Palatino Linotype" w:hAnsi="Palatino Linotype" w:cs="Palatino Linotype"/>
          <w:b/>
          <w:color w:val="000000"/>
          <w:sz w:val="22"/>
          <w:szCs w:val="22"/>
        </w:rPr>
        <w:t>SEGUNDO. NOTIFIQUESE</w:t>
      </w:r>
      <w:r w:rsidR="00FF4150" w:rsidRPr="000B0ED6">
        <w:rPr>
          <w:rFonts w:ascii="Palatino Linotype" w:eastAsia="Palatino Linotype" w:hAnsi="Palatino Linotype" w:cs="Palatino Linotype"/>
          <w:b/>
          <w:color w:val="000000"/>
          <w:sz w:val="22"/>
          <w:szCs w:val="22"/>
        </w:rPr>
        <w:t xml:space="preserve"> </w:t>
      </w:r>
      <w:r w:rsidR="00FF4150" w:rsidRPr="000B0ED6">
        <w:rPr>
          <w:rFonts w:ascii="Palatino Linotype" w:eastAsia="Palatino Linotype" w:hAnsi="Palatino Linotype" w:cs="Palatino Linotype"/>
          <w:color w:val="000000"/>
          <w:sz w:val="22"/>
          <w:szCs w:val="22"/>
        </w:rPr>
        <w:t xml:space="preserve">a través del Sistema de Acceso a la Información Mexiquense </w:t>
      </w:r>
      <w:r w:rsidR="00FF4150" w:rsidRPr="000B0ED6">
        <w:rPr>
          <w:rFonts w:ascii="Palatino Linotype" w:eastAsia="Palatino Linotype" w:hAnsi="Palatino Linotype" w:cs="Palatino Linotype"/>
          <w:b/>
          <w:color w:val="000000"/>
          <w:sz w:val="22"/>
          <w:szCs w:val="22"/>
        </w:rPr>
        <w:t xml:space="preserve">(SAIMEX) </w:t>
      </w:r>
      <w:r w:rsidR="00FF4150" w:rsidRPr="000B0ED6">
        <w:rPr>
          <w:rFonts w:ascii="Palatino Linotype" w:eastAsia="Palatino Linotype" w:hAnsi="Palatino Linotype" w:cs="Palatino Linotype"/>
          <w:color w:val="000000"/>
          <w:sz w:val="22"/>
          <w:szCs w:val="22"/>
        </w:rPr>
        <w:t>la presente resolución al Titular de la Unidad de Transparencia del</w:t>
      </w:r>
      <w:r w:rsidR="00FF4150" w:rsidRPr="000B0ED6">
        <w:rPr>
          <w:rFonts w:ascii="Palatino Linotype" w:eastAsia="Palatino Linotype" w:hAnsi="Palatino Linotype" w:cs="Palatino Linotype"/>
          <w:b/>
          <w:color w:val="000000"/>
          <w:sz w:val="22"/>
          <w:szCs w:val="22"/>
        </w:rPr>
        <w:t xml:space="preserve"> SUJETO OBLIGADO.</w:t>
      </w:r>
    </w:p>
    <w:p w:rsidR="00007613" w:rsidRPr="000B0ED6" w:rsidRDefault="00007613" w:rsidP="000409CA">
      <w:pPr>
        <w:pBdr>
          <w:top w:val="nil"/>
          <w:left w:val="nil"/>
          <w:bottom w:val="nil"/>
          <w:right w:val="nil"/>
          <w:between w:val="nil"/>
        </w:pBdr>
        <w:jc w:val="both"/>
        <w:rPr>
          <w:rFonts w:ascii="Palatino Linotype" w:eastAsia="Palatino Linotype" w:hAnsi="Palatino Linotype" w:cs="Palatino Linotype"/>
          <w:color w:val="000000"/>
          <w:sz w:val="22"/>
          <w:szCs w:val="22"/>
        </w:rPr>
      </w:pPr>
    </w:p>
    <w:p w:rsidR="00007613" w:rsidRPr="000B0ED6" w:rsidRDefault="00FF4150" w:rsidP="006D7D4C">
      <w:pPr>
        <w:tabs>
          <w:tab w:val="left" w:pos="8080"/>
        </w:tabs>
        <w:spacing w:line="360" w:lineRule="auto"/>
        <w:jc w:val="both"/>
        <w:rPr>
          <w:rFonts w:ascii="Palatino Linotype" w:eastAsia="Palatino Linotype" w:hAnsi="Palatino Linotype" w:cs="Palatino Linotype"/>
          <w:b/>
          <w:sz w:val="22"/>
          <w:szCs w:val="22"/>
        </w:rPr>
      </w:pPr>
      <w:r w:rsidRPr="000B0ED6">
        <w:rPr>
          <w:rFonts w:ascii="Palatino Linotype" w:eastAsia="Palatino Linotype" w:hAnsi="Palatino Linotype" w:cs="Palatino Linotype"/>
          <w:b/>
          <w:sz w:val="22"/>
          <w:szCs w:val="22"/>
        </w:rPr>
        <w:t xml:space="preserve">TERCERO. Notifíquese </w:t>
      </w:r>
      <w:r w:rsidRPr="000B0ED6">
        <w:rPr>
          <w:rFonts w:ascii="Palatino Linotype" w:eastAsia="Palatino Linotype" w:hAnsi="Palatino Linotype" w:cs="Palatino Linotype"/>
          <w:sz w:val="22"/>
          <w:szCs w:val="22"/>
        </w:rPr>
        <w:t>a</w:t>
      </w:r>
      <w:r w:rsidRPr="000B0ED6">
        <w:rPr>
          <w:rFonts w:ascii="Palatino Linotype" w:eastAsia="Palatino Linotype" w:hAnsi="Palatino Linotype" w:cs="Palatino Linotype"/>
          <w:b/>
          <w:sz w:val="22"/>
          <w:szCs w:val="22"/>
        </w:rPr>
        <w:t xml:space="preserve"> </w:t>
      </w:r>
      <w:r w:rsidRPr="000B0ED6">
        <w:rPr>
          <w:rFonts w:ascii="Palatino Linotype" w:eastAsia="Palatino Linotype" w:hAnsi="Palatino Linotype" w:cs="Palatino Linotype"/>
          <w:sz w:val="22"/>
          <w:szCs w:val="22"/>
        </w:rPr>
        <w:t xml:space="preserve">la </w:t>
      </w:r>
      <w:r w:rsidRPr="000B0ED6">
        <w:rPr>
          <w:rFonts w:ascii="Palatino Linotype" w:eastAsia="Palatino Linotype" w:hAnsi="Palatino Linotype" w:cs="Palatino Linotype"/>
          <w:b/>
          <w:sz w:val="22"/>
          <w:szCs w:val="22"/>
        </w:rPr>
        <w:t>RECURRENTE</w:t>
      </w:r>
      <w:r w:rsidRPr="000B0ED6">
        <w:rPr>
          <w:rFonts w:ascii="Palatino Linotype" w:eastAsia="Palatino Linotype" w:hAnsi="Palatino Linotype" w:cs="Palatino Linotype"/>
          <w:sz w:val="22"/>
          <w:szCs w:val="22"/>
        </w:rPr>
        <w:t xml:space="preserve"> la presente resolución a través del Sistema de Acceso a la Información Mexiquense </w:t>
      </w:r>
      <w:r w:rsidRPr="000B0ED6">
        <w:rPr>
          <w:rFonts w:ascii="Palatino Linotype" w:eastAsia="Palatino Linotype" w:hAnsi="Palatino Linotype" w:cs="Palatino Linotype"/>
          <w:b/>
          <w:sz w:val="22"/>
          <w:szCs w:val="22"/>
        </w:rPr>
        <w:t>(SAIMEX).</w:t>
      </w:r>
    </w:p>
    <w:p w:rsidR="00A17F3C" w:rsidRPr="000B0ED6" w:rsidRDefault="00FF4150" w:rsidP="006D7D4C">
      <w:pPr>
        <w:spacing w:before="240" w:after="240" w:line="360" w:lineRule="auto"/>
        <w:jc w:val="both"/>
        <w:rPr>
          <w:rFonts w:ascii="Palatino Linotype" w:eastAsia="Palatino Linotype" w:hAnsi="Palatino Linotype" w:cs="Palatino Linotype"/>
          <w:sz w:val="22"/>
          <w:szCs w:val="22"/>
        </w:rPr>
      </w:pPr>
      <w:r w:rsidRPr="000B0ED6">
        <w:rPr>
          <w:rFonts w:ascii="Palatino Linotype" w:eastAsia="Palatino Linotype" w:hAnsi="Palatino Linotype" w:cs="Palatino Linotype"/>
          <w:b/>
          <w:sz w:val="22"/>
          <w:szCs w:val="22"/>
        </w:rPr>
        <w:t xml:space="preserve">CUARTO. </w:t>
      </w:r>
      <w:r w:rsidRPr="000B0ED6">
        <w:rPr>
          <w:rFonts w:ascii="Palatino Linotype" w:eastAsia="Palatino Linotype" w:hAnsi="Palatino Linotype" w:cs="Palatino Linotype"/>
          <w:sz w:val="22"/>
          <w:szCs w:val="22"/>
        </w:rPr>
        <w:t xml:space="preserve">Se hace del conocimiento de la </w:t>
      </w:r>
      <w:r w:rsidRPr="000B0ED6">
        <w:rPr>
          <w:rFonts w:ascii="Palatino Linotype" w:eastAsia="Palatino Linotype" w:hAnsi="Palatino Linotype" w:cs="Palatino Linotype"/>
          <w:b/>
          <w:sz w:val="22"/>
          <w:szCs w:val="22"/>
        </w:rPr>
        <w:t>RECURRENTE</w:t>
      </w:r>
      <w:r w:rsidRPr="000B0ED6">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A17F3C" w:rsidRPr="003C7186" w:rsidRDefault="00A17F3C" w:rsidP="00A17F3C">
      <w:pPr>
        <w:spacing w:line="360" w:lineRule="auto"/>
        <w:ind w:left="-142" w:right="-234" w:firstLine="1"/>
        <w:jc w:val="both"/>
        <w:rPr>
          <w:rFonts w:ascii="Palatino Linotype" w:hAnsi="Palatino Linotype"/>
        </w:rPr>
      </w:pPr>
      <w:r w:rsidRPr="000B0ED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VEINTISÉIS (26) DE FEBRERO DE DOS MIL VEINTICINCO, ANTE EL SECRETARIO TÉCNICO DEL PLENO ALEXIS TAPIA RAMÍREZ.</w:t>
      </w:r>
      <w:r w:rsidRPr="003C7186">
        <w:rPr>
          <w:rFonts w:ascii="Palatino Linotype" w:hAnsi="Palatino Linotype"/>
        </w:rPr>
        <w:t xml:space="preserve"> </w:t>
      </w: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spacing w:line="360" w:lineRule="auto"/>
        <w:jc w:val="both"/>
        <w:rPr>
          <w:rFonts w:ascii="Palatino Linotype" w:eastAsia="Palatino Linotype" w:hAnsi="Palatino Linotype" w:cs="Palatino Linotype"/>
          <w:sz w:val="22"/>
          <w:szCs w:val="22"/>
        </w:rPr>
      </w:pPr>
    </w:p>
    <w:p w:rsidR="00007613" w:rsidRPr="006D7D4C" w:rsidRDefault="00007613" w:rsidP="006D7D4C">
      <w:pPr>
        <w:rPr>
          <w:rFonts w:ascii="Palatino Linotype" w:eastAsia="Palatino Linotype" w:hAnsi="Palatino Linotype" w:cs="Palatino Linotype"/>
          <w:sz w:val="22"/>
          <w:szCs w:val="22"/>
        </w:rPr>
      </w:pPr>
    </w:p>
    <w:sectPr w:rsidR="00007613" w:rsidRPr="006D7D4C">
      <w:headerReference w:type="default" r:id="rId14"/>
      <w:footerReference w:type="default" r:id="rId15"/>
      <w:headerReference w:type="first" r:id="rId16"/>
      <w:footerReference w:type="first" r:id="rId17"/>
      <w:pgSz w:w="12240" w:h="15840"/>
      <w:pgMar w:top="2552" w:right="1752" w:bottom="255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58D" w:rsidRDefault="0067158D">
      <w:r>
        <w:separator/>
      </w:r>
    </w:p>
  </w:endnote>
  <w:endnote w:type="continuationSeparator" w:id="0">
    <w:p w:rsidR="0067158D" w:rsidRDefault="00671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13" w:rsidRDefault="00FF41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F40189">
      <w:rPr>
        <w:rFonts w:ascii="Palatino Linotype" w:eastAsia="Palatino Linotype" w:hAnsi="Palatino Linotype" w:cs="Palatino Linotype"/>
        <w:b/>
        <w:noProof/>
        <w:color w:val="000000"/>
        <w:sz w:val="22"/>
        <w:szCs w:val="22"/>
      </w:rPr>
      <w:t>3</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F40189">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p>
  <w:p w:rsidR="00007613" w:rsidRDefault="0000761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13" w:rsidRDefault="00FF41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4018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40189">
      <w:rPr>
        <w:rFonts w:ascii="Palatino Linotype" w:eastAsia="Palatino Linotype" w:hAnsi="Palatino Linotype" w:cs="Palatino Linotype"/>
        <w:noProof/>
        <w:color w:val="000000"/>
        <w:sz w:val="22"/>
        <w:szCs w:val="22"/>
      </w:rPr>
      <w:t>22</w:t>
    </w:r>
    <w:r>
      <w:rPr>
        <w:rFonts w:ascii="Palatino Linotype" w:eastAsia="Palatino Linotype" w:hAnsi="Palatino Linotype" w:cs="Palatino Linotype"/>
        <w:color w:val="000000"/>
        <w:sz w:val="22"/>
        <w:szCs w:val="22"/>
      </w:rPr>
      <w:fldChar w:fldCharType="end"/>
    </w:r>
  </w:p>
  <w:p w:rsidR="00007613" w:rsidRDefault="0000761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58D" w:rsidRDefault="0067158D">
      <w:r>
        <w:separator/>
      </w:r>
    </w:p>
  </w:footnote>
  <w:footnote w:type="continuationSeparator" w:id="0">
    <w:p w:rsidR="0067158D" w:rsidRDefault="00671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13" w:rsidRDefault="00FF4150">
    <w:pPr>
      <w:pBdr>
        <w:top w:val="nil"/>
        <w:left w:val="nil"/>
        <w:bottom w:val="nil"/>
        <w:right w:val="nil"/>
        <w:between w:val="nil"/>
      </w:pBdr>
      <w:tabs>
        <w:tab w:val="center" w:pos="4252"/>
        <w:tab w:val="right" w:pos="8504"/>
        <w:tab w:val="left" w:pos="8460"/>
      </w:tabs>
      <w:rPr>
        <w:rFonts w:ascii="Calibri" w:eastAsia="Calibri" w:hAnsi="Calibri" w:cs="Calibri"/>
        <w:color w:val="000000"/>
      </w:rPr>
    </w:pPr>
    <w:r>
      <w:rPr>
        <w:rFonts w:ascii="Calibri" w:eastAsia="Calibri" w:hAnsi="Calibri" w:cs="Calibri"/>
        <w:noProof/>
        <w:color w:val="000000"/>
        <w:lang w:val="es-MX"/>
      </w:rPr>
      <w:drawing>
        <wp:anchor distT="0" distB="0" distL="0" distR="0" simplePos="0" relativeHeight="251657216" behindDoc="1" locked="0" layoutInCell="1" hidden="0" allowOverlap="1">
          <wp:simplePos x="0" y="0"/>
          <wp:positionH relativeFrom="margin">
            <wp:posOffset>-1217294</wp:posOffset>
          </wp:positionH>
          <wp:positionV relativeFrom="margin">
            <wp:posOffset>-1468119</wp:posOffset>
          </wp:positionV>
          <wp:extent cx="7490460" cy="9753600"/>
          <wp:effectExtent l="0" t="0" r="0" b="0"/>
          <wp:wrapNone/>
          <wp:docPr id="12" name="image1.jpg" descr="resolución infoem imagen"/>
          <wp:cNvGraphicFramePr/>
          <a:graphic xmlns:a="http://schemas.openxmlformats.org/drawingml/2006/main">
            <a:graphicData uri="http://schemas.openxmlformats.org/drawingml/2006/picture">
              <pic:pic xmlns:pic="http://schemas.openxmlformats.org/drawingml/2006/picture">
                <pic:nvPicPr>
                  <pic:cNvPr id="0" name="image1.jpg" descr="resolución infoem imagen"/>
                  <pic:cNvPicPr preferRelativeResize="0"/>
                </pic:nvPicPr>
                <pic:blipFill>
                  <a:blip r:embed="rId1"/>
                  <a:srcRect/>
                  <a:stretch>
                    <a:fillRect/>
                  </a:stretch>
                </pic:blipFill>
                <pic:spPr>
                  <a:xfrm>
                    <a:off x="0" y="0"/>
                    <a:ext cx="7490460" cy="9753600"/>
                  </a:xfrm>
                  <a:prstGeom prst="rect">
                    <a:avLst/>
                  </a:prstGeom>
                  <a:ln/>
                </pic:spPr>
              </pic:pic>
            </a:graphicData>
          </a:graphic>
        </wp:anchor>
      </w:drawing>
    </w:r>
    <w:r>
      <w:rPr>
        <w:rFonts w:ascii="Calibri" w:eastAsia="Calibri" w:hAnsi="Calibri" w:cs="Calibri"/>
        <w:color w:val="000000"/>
      </w:rPr>
      <w:tab/>
    </w:r>
  </w:p>
  <w:p w:rsidR="00007613" w:rsidRDefault="00007613">
    <w:pPr>
      <w:pBdr>
        <w:top w:val="nil"/>
        <w:left w:val="nil"/>
        <w:bottom w:val="nil"/>
        <w:right w:val="nil"/>
        <w:between w:val="nil"/>
      </w:pBdr>
      <w:tabs>
        <w:tab w:val="center" w:pos="4252"/>
        <w:tab w:val="right" w:pos="8504"/>
      </w:tabs>
      <w:rPr>
        <w:rFonts w:ascii="Calibri" w:eastAsia="Calibri" w:hAnsi="Calibri" w:cs="Calibri"/>
        <w:color w:val="000000"/>
      </w:rPr>
    </w:pPr>
  </w:p>
  <w:tbl>
    <w:tblPr>
      <w:tblStyle w:val="a"/>
      <w:tblW w:w="7795" w:type="dxa"/>
      <w:tblInd w:w="1554" w:type="dxa"/>
      <w:tblBorders>
        <w:top w:val="nil"/>
        <w:left w:val="nil"/>
        <w:bottom w:val="nil"/>
        <w:right w:val="nil"/>
        <w:insideH w:val="nil"/>
        <w:insideV w:val="nil"/>
      </w:tblBorders>
      <w:tblLayout w:type="fixed"/>
      <w:tblLook w:val="0400" w:firstRow="0" w:lastRow="0" w:firstColumn="0" w:lastColumn="0" w:noHBand="0" w:noVBand="1"/>
    </w:tblPr>
    <w:tblGrid>
      <w:gridCol w:w="3544"/>
      <w:gridCol w:w="4251"/>
    </w:tblGrid>
    <w:tr w:rsidR="00007613">
      <w:trPr>
        <w:trHeight w:val="138"/>
      </w:trPr>
      <w:tc>
        <w:tcPr>
          <w:tcW w:w="3544" w:type="dxa"/>
          <w:vAlign w:val="center"/>
        </w:tcPr>
        <w:p w:rsidR="00007613" w:rsidRDefault="00FF415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02648/INFOEM/IP/RR/2024</w:t>
          </w:r>
        </w:p>
      </w:tc>
    </w:tr>
    <w:tr w:rsidR="00007613">
      <w:trPr>
        <w:trHeight w:val="233"/>
      </w:trPr>
      <w:tc>
        <w:tcPr>
          <w:tcW w:w="3544" w:type="dxa"/>
          <w:vAlign w:val="center"/>
        </w:tcPr>
        <w:p w:rsidR="00007613" w:rsidRDefault="00FF415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Sindicato Único de Trabajadores de Los Poderes, Municipios E Instituciones Descentralizadas del Estado de México</w:t>
          </w:r>
        </w:p>
      </w:tc>
    </w:tr>
    <w:tr w:rsidR="00007613">
      <w:trPr>
        <w:trHeight w:val="321"/>
      </w:trPr>
      <w:tc>
        <w:tcPr>
          <w:tcW w:w="3544" w:type="dxa"/>
          <w:vAlign w:val="center"/>
        </w:tcPr>
        <w:p w:rsidR="00007613" w:rsidRDefault="00FF415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007613" w:rsidRDefault="00FF4150">
    <w:pPr>
      <w:pBdr>
        <w:top w:val="nil"/>
        <w:left w:val="nil"/>
        <w:bottom w:val="nil"/>
        <w:right w:val="nil"/>
        <w:between w:val="nil"/>
      </w:pBdr>
      <w:tabs>
        <w:tab w:val="center" w:pos="4252"/>
        <w:tab w:val="right" w:pos="8504"/>
        <w:tab w:val="left" w:pos="160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613" w:rsidRDefault="0067158D">
    <w:pPr>
      <w:pBdr>
        <w:top w:val="nil"/>
        <w:left w:val="nil"/>
        <w:bottom w:val="nil"/>
        <w:right w:val="nil"/>
        <w:between w:val="nil"/>
      </w:pBdr>
      <w:tabs>
        <w:tab w:val="center" w:pos="4252"/>
        <w:tab w:val="right" w:pos="8504"/>
        <w:tab w:val="left" w:pos="3103"/>
      </w:tabs>
      <w:rPr>
        <w:rFonts w:ascii="Calibri" w:eastAsia="Calibri" w:hAnsi="Calibri" w:cs="Calibri"/>
        <w:color w:val="000000"/>
      </w:rPr>
    </w:pPr>
    <w:r>
      <w:rPr>
        <w:rFonts w:ascii="Calibri" w:eastAsia="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infoem imagen" style="position:absolute;margin-left:-85.35pt;margin-top:-131.95pt;width:589.8pt;height:768pt;z-index:-251658240;mso-position-horizontal:absolute;mso-position-horizontal-relative:margin;mso-position-vertical:absolute;mso-position-vertical-relative:margin">
          <v:imagedata r:id="rId1" o:title="image1"/>
          <w10:wrap anchorx="margin" anchory="margin"/>
        </v:shape>
      </w:pict>
    </w:r>
    <w:r w:rsidR="00FF4150">
      <w:rPr>
        <w:rFonts w:ascii="Calibri" w:eastAsia="Calibri" w:hAnsi="Calibri" w:cs="Calibri"/>
        <w:color w:val="000000"/>
      </w:rPr>
      <w:tab/>
    </w:r>
  </w:p>
  <w:tbl>
    <w:tblPr>
      <w:tblStyle w:val="a0"/>
      <w:tblW w:w="7372" w:type="dxa"/>
      <w:tblInd w:w="1899"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007613">
      <w:trPr>
        <w:trHeight w:val="138"/>
      </w:trPr>
      <w:tc>
        <w:tcPr>
          <w:tcW w:w="3261" w:type="dxa"/>
          <w:shd w:val="clear" w:color="auto" w:fill="auto"/>
          <w:vAlign w:val="center"/>
        </w:tcPr>
        <w:p w:rsidR="00007613" w:rsidRDefault="00FF4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02648/INFOEM/IP/RR/2024</w:t>
          </w:r>
        </w:p>
      </w:tc>
    </w:tr>
    <w:tr w:rsidR="00007613">
      <w:trPr>
        <w:trHeight w:val="233"/>
      </w:trPr>
      <w:tc>
        <w:tcPr>
          <w:tcW w:w="3261" w:type="dxa"/>
          <w:shd w:val="clear" w:color="auto" w:fill="auto"/>
          <w:vAlign w:val="center"/>
        </w:tcPr>
        <w:p w:rsidR="00007613" w:rsidRDefault="00FF4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tcPr>
        <w:p w:rsidR="00007613" w:rsidRDefault="00F40189">
          <w:pPr>
            <w:pBdr>
              <w:top w:val="nil"/>
              <w:left w:val="nil"/>
              <w:bottom w:val="nil"/>
              <w:right w:val="nil"/>
              <w:between w:val="nil"/>
            </w:pBdr>
            <w:tabs>
              <w:tab w:val="center" w:pos="4252"/>
              <w:tab w:val="right" w:pos="8504"/>
            </w:tabs>
            <w:ind w:right="234"/>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XXXX</w:t>
          </w:r>
        </w:p>
      </w:tc>
    </w:tr>
    <w:tr w:rsidR="00007613">
      <w:trPr>
        <w:trHeight w:val="321"/>
      </w:trPr>
      <w:tc>
        <w:tcPr>
          <w:tcW w:w="3261" w:type="dxa"/>
          <w:shd w:val="clear" w:color="auto" w:fill="auto"/>
          <w:vAlign w:val="center"/>
        </w:tcPr>
        <w:p w:rsidR="00007613" w:rsidRDefault="00FF4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Sindicato Único de Trabajadores de Los Poderes, Municipios E Instituciones Descentralizadas del Estado de México</w:t>
          </w:r>
        </w:p>
      </w:tc>
    </w:tr>
    <w:tr w:rsidR="00007613">
      <w:trPr>
        <w:trHeight w:val="321"/>
      </w:trPr>
      <w:tc>
        <w:tcPr>
          <w:tcW w:w="3261" w:type="dxa"/>
          <w:shd w:val="clear" w:color="auto" w:fill="auto"/>
          <w:vAlign w:val="center"/>
        </w:tcPr>
        <w:p w:rsidR="00007613" w:rsidRDefault="00FF415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rsidR="00007613" w:rsidRDefault="00FF4150">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007613" w:rsidRDefault="00007613">
    <w:pPr>
      <w:pBdr>
        <w:top w:val="nil"/>
        <w:left w:val="nil"/>
        <w:bottom w:val="nil"/>
        <w:right w:val="nil"/>
        <w:between w:val="nil"/>
      </w:pBdr>
      <w:tabs>
        <w:tab w:val="center" w:pos="4252"/>
        <w:tab w:val="right" w:pos="8504"/>
        <w:tab w:val="left" w:pos="3103"/>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62363"/>
    <w:multiLevelType w:val="multilevel"/>
    <w:tmpl w:val="A5808C9C"/>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 w15:restartNumberingAfterBreak="0">
    <w:nsid w:val="484D081F"/>
    <w:multiLevelType w:val="multilevel"/>
    <w:tmpl w:val="697AFAE6"/>
    <w:lvl w:ilvl="0">
      <w:start w:val="1"/>
      <w:numFmt w:val="decimal"/>
      <w:lvlText w:val="%1."/>
      <w:lvlJc w:val="left"/>
      <w:pPr>
        <w:ind w:left="360" w:hanging="360"/>
      </w:pPr>
      <w:rPr>
        <w:rFonts w:ascii="Arial" w:eastAsia="Arial" w:hAnsi="Arial" w:cs="Arial"/>
        <w:b/>
        <w:i w:val="0"/>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2B2DD5"/>
    <w:multiLevelType w:val="multilevel"/>
    <w:tmpl w:val="DDB8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0603B4"/>
    <w:multiLevelType w:val="multilevel"/>
    <w:tmpl w:val="6302D3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13"/>
    <w:rsid w:val="00007613"/>
    <w:rsid w:val="000409CA"/>
    <w:rsid w:val="000B0ED6"/>
    <w:rsid w:val="001A4E1F"/>
    <w:rsid w:val="0044032E"/>
    <w:rsid w:val="004E0610"/>
    <w:rsid w:val="00645C73"/>
    <w:rsid w:val="0067158D"/>
    <w:rsid w:val="006B5668"/>
    <w:rsid w:val="006D7D4C"/>
    <w:rsid w:val="00A17F3C"/>
    <w:rsid w:val="00AD38FA"/>
    <w:rsid w:val="00C00CC7"/>
    <w:rsid w:val="00F40189"/>
    <w:rsid w:val="00FF41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5E166F1-1992-4DFD-9151-636666D22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E7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32E7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732E7A"/>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732E7A"/>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732E7A"/>
    <w:rPr>
      <w:rFonts w:eastAsiaTheme="minorEastAsia"/>
      <w:sz w:val="24"/>
      <w:szCs w:val="24"/>
      <w:lang w:val="es-ES_tradnl" w:eastAsia="es-ES"/>
    </w:rPr>
  </w:style>
  <w:style w:type="paragraph" w:styleId="Piedepgina">
    <w:name w:val="footer"/>
    <w:basedOn w:val="Normal"/>
    <w:link w:val="PiedepginaCar"/>
    <w:uiPriority w:val="99"/>
    <w:unhideWhenUsed/>
    <w:rsid w:val="00732E7A"/>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732E7A"/>
    <w:rPr>
      <w:rFonts w:eastAsiaTheme="minorEastAsia"/>
      <w:sz w:val="24"/>
      <w:szCs w:val="24"/>
      <w:lang w:val="es-ES_tradnl" w:eastAsia="es-ES"/>
    </w:rPr>
  </w:style>
  <w:style w:type="table" w:styleId="Tablaconcuadrcula">
    <w:name w:val="Table Grid"/>
    <w:basedOn w:val="Tablanormal"/>
    <w:uiPriority w:val="39"/>
    <w:rsid w:val="00732E7A"/>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2E7A"/>
    <w:pPr>
      <w:ind w:left="720"/>
      <w:contextualSpacing/>
    </w:pPr>
    <w:rPr>
      <w:rFonts w:asciiTheme="minorHAnsi" w:eastAsiaTheme="minorEastAsia" w:hAnsiTheme="minorHAnsi" w:cstheme="minorBidi"/>
      <w:lang w:eastAsia="es-ES"/>
    </w:rPr>
  </w:style>
  <w:style w:type="paragraph" w:styleId="Sinespaciado">
    <w:name w:val="No Spacing"/>
    <w:aliases w:val="Francesa,INAI,Fundamentos"/>
    <w:link w:val="SinespaciadoCar"/>
    <w:uiPriority w:val="1"/>
    <w:qFormat/>
    <w:rsid w:val="00732E7A"/>
    <w:rPr>
      <w:rFonts w:eastAsiaTheme="minorEastAsia"/>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2E7A"/>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32E7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2E7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32E7A"/>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32E7A"/>
    <w:rPr>
      <w:vertAlign w:val="superscript"/>
    </w:rPr>
  </w:style>
  <w:style w:type="character" w:customStyle="1" w:styleId="SinespaciadoCar">
    <w:name w:val="Sin espaciado Car"/>
    <w:aliases w:val="Francesa Car,INAI Car,Fundamentos Car"/>
    <w:link w:val="Sinespaciado"/>
    <w:uiPriority w:val="1"/>
    <w:qFormat/>
    <w:locked/>
    <w:rsid w:val="00732E7A"/>
    <w:rPr>
      <w:rFonts w:eastAsiaTheme="minorEastAsia"/>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4E0610"/>
    <w:pPr>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9719">
      <w:bodyDiv w:val="1"/>
      <w:marLeft w:val="0"/>
      <w:marRight w:val="0"/>
      <w:marTop w:val="0"/>
      <w:marBottom w:val="0"/>
      <w:divBdr>
        <w:top w:val="none" w:sz="0" w:space="0" w:color="auto"/>
        <w:left w:val="none" w:sz="0" w:space="0" w:color="auto"/>
        <w:bottom w:val="none" w:sz="0" w:space="0" w:color="auto"/>
        <w:right w:val="none" w:sz="0" w:space="0" w:color="auto"/>
      </w:divBdr>
    </w:div>
    <w:div w:id="1457486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092396.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07623.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2107623.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107622.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5lJXZY4UdOuhcu0s5XKjiiUUkw==">CgMxLjAyCGguZ2pkZ3hzMgloLjMwajB6bGwyCWguMWZvYjl0ZTIJaC4zem55c2g3MgloLjJldDkycDAyCGgudHlqY3d0MgloLjNkeTZ2a20yCWguMXQzaDVzZjIJaC40ZDM0b2c4MgloLjJzOGV5bzE4AHIhMUhyY3FRV3ZqWXFTYV8zdk5Yb21HRW9LZTY0R1dtREUz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4883</Words>
  <Characters>26860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INFOEM-434</dc:creator>
  <cp:lastModifiedBy>Cuenta Microsoft</cp:lastModifiedBy>
  <cp:revision>6</cp:revision>
  <cp:lastPrinted>2025-02-27T17:11:00Z</cp:lastPrinted>
  <dcterms:created xsi:type="dcterms:W3CDTF">2025-02-24T20:50:00Z</dcterms:created>
  <dcterms:modified xsi:type="dcterms:W3CDTF">2025-04-04T19:47:00Z</dcterms:modified>
</cp:coreProperties>
</file>