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F6EF8" w:rsidRDefault="00AE3DA7" w:rsidP="00141876">
          <w:pPr>
            <w:pStyle w:val="TtulodeTDC"/>
            <w:spacing w:before="0" w:line="240" w:lineRule="auto"/>
            <w:rPr>
              <w:rFonts w:ascii="Palatino Linotype" w:hAnsi="Palatino Linotype"/>
              <w:sz w:val="24"/>
              <w:szCs w:val="24"/>
              <w:lang w:val="es-ES"/>
            </w:rPr>
          </w:pPr>
          <w:r w:rsidRPr="001F6EF8">
            <w:rPr>
              <w:rFonts w:ascii="Palatino Linotype" w:hAnsi="Palatino Linotype"/>
              <w:sz w:val="24"/>
              <w:szCs w:val="24"/>
              <w:lang w:val="es-ES"/>
            </w:rPr>
            <w:t>Contenido</w:t>
          </w:r>
        </w:p>
        <w:p w14:paraId="3EB312A7" w14:textId="77777777" w:rsidR="00AA6EA9" w:rsidRPr="001F6EF8" w:rsidRDefault="00AA6EA9" w:rsidP="00141876">
          <w:pPr>
            <w:spacing w:line="240" w:lineRule="auto"/>
            <w:rPr>
              <w:sz w:val="16"/>
              <w:szCs w:val="16"/>
              <w:lang w:val="es-ES" w:eastAsia="es-MX"/>
            </w:rPr>
          </w:pPr>
        </w:p>
        <w:p w14:paraId="25431E91" w14:textId="7DDDFA0D" w:rsidR="000D59EB" w:rsidRDefault="00AE3DA7">
          <w:pPr>
            <w:pStyle w:val="TDC1"/>
            <w:tabs>
              <w:tab w:val="right" w:leader="dot" w:pos="9034"/>
            </w:tabs>
            <w:rPr>
              <w:rFonts w:asciiTheme="minorHAnsi" w:eastAsiaTheme="minorEastAsia" w:hAnsiTheme="minorHAnsi" w:cstheme="minorBidi"/>
              <w:noProof/>
              <w:szCs w:val="22"/>
              <w:lang w:eastAsia="es-MX"/>
            </w:rPr>
          </w:pPr>
          <w:r w:rsidRPr="001F6EF8">
            <w:rPr>
              <w:sz w:val="16"/>
              <w:szCs w:val="16"/>
            </w:rPr>
            <w:fldChar w:fldCharType="begin"/>
          </w:r>
          <w:r w:rsidRPr="001F6EF8">
            <w:rPr>
              <w:sz w:val="16"/>
              <w:szCs w:val="16"/>
            </w:rPr>
            <w:instrText xml:space="preserve"> TOC \o "1-3" \h \z \u </w:instrText>
          </w:r>
          <w:r w:rsidRPr="001F6EF8">
            <w:rPr>
              <w:sz w:val="16"/>
              <w:szCs w:val="16"/>
            </w:rPr>
            <w:fldChar w:fldCharType="separate"/>
          </w:r>
          <w:hyperlink w:anchor="_Toc200541427" w:history="1">
            <w:r w:rsidR="000D59EB" w:rsidRPr="00285DC5">
              <w:rPr>
                <w:rStyle w:val="Hipervnculo"/>
                <w:noProof/>
              </w:rPr>
              <w:t>ANTECEDENTES</w:t>
            </w:r>
            <w:r w:rsidR="000D59EB">
              <w:rPr>
                <w:noProof/>
                <w:webHidden/>
              </w:rPr>
              <w:tab/>
            </w:r>
            <w:r w:rsidR="000D59EB">
              <w:rPr>
                <w:noProof/>
                <w:webHidden/>
              </w:rPr>
              <w:fldChar w:fldCharType="begin"/>
            </w:r>
            <w:r w:rsidR="000D59EB">
              <w:rPr>
                <w:noProof/>
                <w:webHidden/>
              </w:rPr>
              <w:instrText xml:space="preserve"> PAGEREF _Toc200541427 \h </w:instrText>
            </w:r>
            <w:r w:rsidR="000D59EB">
              <w:rPr>
                <w:noProof/>
                <w:webHidden/>
              </w:rPr>
            </w:r>
            <w:r w:rsidR="000D59EB">
              <w:rPr>
                <w:noProof/>
                <w:webHidden/>
              </w:rPr>
              <w:fldChar w:fldCharType="separate"/>
            </w:r>
            <w:r w:rsidR="00133EC5">
              <w:rPr>
                <w:noProof/>
                <w:webHidden/>
              </w:rPr>
              <w:t>1</w:t>
            </w:r>
            <w:r w:rsidR="000D59EB">
              <w:rPr>
                <w:noProof/>
                <w:webHidden/>
              </w:rPr>
              <w:fldChar w:fldCharType="end"/>
            </w:r>
          </w:hyperlink>
        </w:p>
        <w:p w14:paraId="1AF877F8" w14:textId="1EE8E8C3" w:rsidR="000D59EB" w:rsidRDefault="00133EC5">
          <w:pPr>
            <w:pStyle w:val="TDC2"/>
            <w:rPr>
              <w:rFonts w:asciiTheme="minorHAnsi" w:eastAsiaTheme="minorEastAsia" w:hAnsiTheme="minorHAnsi" w:cstheme="minorBidi"/>
              <w:noProof/>
              <w:szCs w:val="22"/>
              <w:lang w:eastAsia="es-MX"/>
            </w:rPr>
          </w:pPr>
          <w:hyperlink w:anchor="_Toc200541428" w:history="1">
            <w:r w:rsidR="000D59EB" w:rsidRPr="00285DC5">
              <w:rPr>
                <w:rStyle w:val="Hipervnculo"/>
                <w:noProof/>
              </w:rPr>
              <w:t>DE LA SOLICITUD DE INFORMACIÓN</w:t>
            </w:r>
            <w:r w:rsidR="000D59EB">
              <w:rPr>
                <w:noProof/>
                <w:webHidden/>
              </w:rPr>
              <w:tab/>
            </w:r>
            <w:r w:rsidR="000D59EB">
              <w:rPr>
                <w:noProof/>
                <w:webHidden/>
              </w:rPr>
              <w:fldChar w:fldCharType="begin"/>
            </w:r>
            <w:r w:rsidR="000D59EB">
              <w:rPr>
                <w:noProof/>
                <w:webHidden/>
              </w:rPr>
              <w:instrText xml:space="preserve"> PAGEREF _Toc200541428 \h </w:instrText>
            </w:r>
            <w:r w:rsidR="000D59EB">
              <w:rPr>
                <w:noProof/>
                <w:webHidden/>
              </w:rPr>
            </w:r>
            <w:r w:rsidR="000D59EB">
              <w:rPr>
                <w:noProof/>
                <w:webHidden/>
              </w:rPr>
              <w:fldChar w:fldCharType="separate"/>
            </w:r>
            <w:r>
              <w:rPr>
                <w:noProof/>
                <w:webHidden/>
              </w:rPr>
              <w:t>1</w:t>
            </w:r>
            <w:r w:rsidR="000D59EB">
              <w:rPr>
                <w:noProof/>
                <w:webHidden/>
              </w:rPr>
              <w:fldChar w:fldCharType="end"/>
            </w:r>
          </w:hyperlink>
        </w:p>
        <w:p w14:paraId="491F3006" w14:textId="5DB74392" w:rsidR="000D59EB" w:rsidRDefault="00133EC5">
          <w:pPr>
            <w:pStyle w:val="TDC3"/>
            <w:rPr>
              <w:rFonts w:asciiTheme="minorHAnsi" w:eastAsiaTheme="minorEastAsia" w:hAnsiTheme="minorHAnsi" w:cstheme="minorBidi"/>
              <w:noProof/>
              <w:szCs w:val="22"/>
              <w:lang w:eastAsia="es-MX"/>
            </w:rPr>
          </w:pPr>
          <w:hyperlink w:anchor="_Toc200541429" w:history="1">
            <w:r w:rsidR="000D59EB" w:rsidRPr="00285DC5">
              <w:rPr>
                <w:rStyle w:val="Hipervnculo"/>
                <w:noProof/>
              </w:rPr>
              <w:t>a) Solicitud de información</w:t>
            </w:r>
            <w:r w:rsidR="000D59EB">
              <w:rPr>
                <w:noProof/>
                <w:webHidden/>
              </w:rPr>
              <w:tab/>
            </w:r>
            <w:r w:rsidR="000D59EB">
              <w:rPr>
                <w:noProof/>
                <w:webHidden/>
              </w:rPr>
              <w:fldChar w:fldCharType="begin"/>
            </w:r>
            <w:r w:rsidR="000D59EB">
              <w:rPr>
                <w:noProof/>
                <w:webHidden/>
              </w:rPr>
              <w:instrText xml:space="preserve"> PAGEREF _Toc200541429 \h </w:instrText>
            </w:r>
            <w:r w:rsidR="000D59EB">
              <w:rPr>
                <w:noProof/>
                <w:webHidden/>
              </w:rPr>
            </w:r>
            <w:r w:rsidR="000D59EB">
              <w:rPr>
                <w:noProof/>
                <w:webHidden/>
              </w:rPr>
              <w:fldChar w:fldCharType="separate"/>
            </w:r>
            <w:r>
              <w:rPr>
                <w:noProof/>
                <w:webHidden/>
              </w:rPr>
              <w:t>1</w:t>
            </w:r>
            <w:r w:rsidR="000D59EB">
              <w:rPr>
                <w:noProof/>
                <w:webHidden/>
              </w:rPr>
              <w:fldChar w:fldCharType="end"/>
            </w:r>
          </w:hyperlink>
        </w:p>
        <w:p w14:paraId="4C82223B" w14:textId="2B963E83" w:rsidR="000D59EB" w:rsidRDefault="00133EC5">
          <w:pPr>
            <w:pStyle w:val="TDC3"/>
            <w:rPr>
              <w:rFonts w:asciiTheme="minorHAnsi" w:eastAsiaTheme="minorEastAsia" w:hAnsiTheme="minorHAnsi" w:cstheme="minorBidi"/>
              <w:noProof/>
              <w:szCs w:val="22"/>
              <w:lang w:eastAsia="es-MX"/>
            </w:rPr>
          </w:pPr>
          <w:hyperlink w:anchor="_Toc200541430" w:history="1">
            <w:r w:rsidR="000D59EB" w:rsidRPr="00285DC5">
              <w:rPr>
                <w:rStyle w:val="Hipervnculo"/>
                <w:noProof/>
              </w:rPr>
              <w:t>b) Turno de la solicitud de información</w:t>
            </w:r>
            <w:r w:rsidR="000D59EB">
              <w:rPr>
                <w:noProof/>
                <w:webHidden/>
              </w:rPr>
              <w:tab/>
            </w:r>
            <w:r w:rsidR="000D59EB">
              <w:rPr>
                <w:noProof/>
                <w:webHidden/>
              </w:rPr>
              <w:fldChar w:fldCharType="begin"/>
            </w:r>
            <w:r w:rsidR="000D59EB">
              <w:rPr>
                <w:noProof/>
                <w:webHidden/>
              </w:rPr>
              <w:instrText xml:space="preserve"> PAGEREF _Toc200541430 \h </w:instrText>
            </w:r>
            <w:r w:rsidR="000D59EB">
              <w:rPr>
                <w:noProof/>
                <w:webHidden/>
              </w:rPr>
            </w:r>
            <w:r w:rsidR="000D59EB">
              <w:rPr>
                <w:noProof/>
                <w:webHidden/>
              </w:rPr>
              <w:fldChar w:fldCharType="separate"/>
            </w:r>
            <w:r>
              <w:rPr>
                <w:noProof/>
                <w:webHidden/>
              </w:rPr>
              <w:t>2</w:t>
            </w:r>
            <w:r w:rsidR="000D59EB">
              <w:rPr>
                <w:noProof/>
                <w:webHidden/>
              </w:rPr>
              <w:fldChar w:fldCharType="end"/>
            </w:r>
          </w:hyperlink>
        </w:p>
        <w:p w14:paraId="37681949" w14:textId="60D7C2FC" w:rsidR="000D59EB" w:rsidRDefault="00133EC5">
          <w:pPr>
            <w:pStyle w:val="TDC3"/>
            <w:rPr>
              <w:rFonts w:asciiTheme="minorHAnsi" w:eastAsiaTheme="minorEastAsia" w:hAnsiTheme="minorHAnsi" w:cstheme="minorBidi"/>
              <w:noProof/>
              <w:szCs w:val="22"/>
              <w:lang w:eastAsia="es-MX"/>
            </w:rPr>
          </w:pPr>
          <w:hyperlink w:anchor="_Toc200541431" w:history="1">
            <w:r w:rsidR="000D59EB" w:rsidRPr="00285DC5">
              <w:rPr>
                <w:rStyle w:val="Hipervnculo"/>
                <w:noProof/>
                <w:lang w:val="es-ES"/>
              </w:rPr>
              <w:t xml:space="preserve">c) Respuesta </w:t>
            </w:r>
            <w:r w:rsidR="000D59EB" w:rsidRPr="00285DC5">
              <w:rPr>
                <w:rStyle w:val="Hipervnculo"/>
                <w:rFonts w:eastAsia="Calibri"/>
                <w:noProof/>
                <w:lang w:eastAsia="en-US"/>
              </w:rPr>
              <w:t>del Sujeto Obligado</w:t>
            </w:r>
            <w:r w:rsidR="000D59EB">
              <w:rPr>
                <w:noProof/>
                <w:webHidden/>
              </w:rPr>
              <w:tab/>
            </w:r>
            <w:r w:rsidR="000D59EB">
              <w:rPr>
                <w:noProof/>
                <w:webHidden/>
              </w:rPr>
              <w:fldChar w:fldCharType="begin"/>
            </w:r>
            <w:r w:rsidR="000D59EB">
              <w:rPr>
                <w:noProof/>
                <w:webHidden/>
              </w:rPr>
              <w:instrText xml:space="preserve"> PAGEREF _Toc200541431 \h </w:instrText>
            </w:r>
            <w:r w:rsidR="000D59EB">
              <w:rPr>
                <w:noProof/>
                <w:webHidden/>
              </w:rPr>
            </w:r>
            <w:r w:rsidR="000D59EB">
              <w:rPr>
                <w:noProof/>
                <w:webHidden/>
              </w:rPr>
              <w:fldChar w:fldCharType="separate"/>
            </w:r>
            <w:r>
              <w:rPr>
                <w:noProof/>
                <w:webHidden/>
              </w:rPr>
              <w:t>2</w:t>
            </w:r>
            <w:r w:rsidR="000D59EB">
              <w:rPr>
                <w:noProof/>
                <w:webHidden/>
              </w:rPr>
              <w:fldChar w:fldCharType="end"/>
            </w:r>
          </w:hyperlink>
        </w:p>
        <w:p w14:paraId="2F9ED5EB" w14:textId="6928596B" w:rsidR="000D59EB" w:rsidRDefault="00133EC5">
          <w:pPr>
            <w:pStyle w:val="TDC2"/>
            <w:rPr>
              <w:rFonts w:asciiTheme="minorHAnsi" w:eastAsiaTheme="minorEastAsia" w:hAnsiTheme="minorHAnsi" w:cstheme="minorBidi"/>
              <w:noProof/>
              <w:szCs w:val="22"/>
              <w:lang w:eastAsia="es-MX"/>
            </w:rPr>
          </w:pPr>
          <w:hyperlink w:anchor="_Toc200541432" w:history="1">
            <w:r w:rsidR="000D59EB" w:rsidRPr="00285DC5">
              <w:rPr>
                <w:rStyle w:val="Hipervnculo"/>
                <w:noProof/>
              </w:rPr>
              <w:t>DEL RECURSO DE REVISIÓN</w:t>
            </w:r>
            <w:r w:rsidR="000D59EB">
              <w:rPr>
                <w:noProof/>
                <w:webHidden/>
              </w:rPr>
              <w:tab/>
            </w:r>
            <w:r w:rsidR="000D59EB">
              <w:rPr>
                <w:noProof/>
                <w:webHidden/>
              </w:rPr>
              <w:fldChar w:fldCharType="begin"/>
            </w:r>
            <w:r w:rsidR="000D59EB">
              <w:rPr>
                <w:noProof/>
                <w:webHidden/>
              </w:rPr>
              <w:instrText xml:space="preserve"> PAGEREF _Toc200541432 \h </w:instrText>
            </w:r>
            <w:r w:rsidR="000D59EB">
              <w:rPr>
                <w:noProof/>
                <w:webHidden/>
              </w:rPr>
            </w:r>
            <w:r w:rsidR="000D59EB">
              <w:rPr>
                <w:noProof/>
                <w:webHidden/>
              </w:rPr>
              <w:fldChar w:fldCharType="separate"/>
            </w:r>
            <w:r>
              <w:rPr>
                <w:noProof/>
                <w:webHidden/>
              </w:rPr>
              <w:t>4</w:t>
            </w:r>
            <w:r w:rsidR="000D59EB">
              <w:rPr>
                <w:noProof/>
                <w:webHidden/>
              </w:rPr>
              <w:fldChar w:fldCharType="end"/>
            </w:r>
          </w:hyperlink>
        </w:p>
        <w:p w14:paraId="7B816E63" w14:textId="08F6F379" w:rsidR="000D59EB" w:rsidRDefault="00133EC5">
          <w:pPr>
            <w:pStyle w:val="TDC3"/>
            <w:rPr>
              <w:rFonts w:asciiTheme="minorHAnsi" w:eastAsiaTheme="minorEastAsia" w:hAnsiTheme="minorHAnsi" w:cstheme="minorBidi"/>
              <w:noProof/>
              <w:szCs w:val="22"/>
              <w:lang w:eastAsia="es-MX"/>
            </w:rPr>
          </w:pPr>
          <w:hyperlink w:anchor="_Toc200541433" w:history="1">
            <w:r w:rsidR="000D59EB" w:rsidRPr="00285DC5">
              <w:rPr>
                <w:rStyle w:val="Hipervnculo"/>
                <w:noProof/>
              </w:rPr>
              <w:t>a) Interposición del Recurso de Revisión</w:t>
            </w:r>
            <w:r w:rsidR="000D59EB">
              <w:rPr>
                <w:noProof/>
                <w:webHidden/>
              </w:rPr>
              <w:tab/>
            </w:r>
            <w:r w:rsidR="000D59EB">
              <w:rPr>
                <w:noProof/>
                <w:webHidden/>
              </w:rPr>
              <w:fldChar w:fldCharType="begin"/>
            </w:r>
            <w:r w:rsidR="000D59EB">
              <w:rPr>
                <w:noProof/>
                <w:webHidden/>
              </w:rPr>
              <w:instrText xml:space="preserve"> PAGEREF _Toc200541433 \h </w:instrText>
            </w:r>
            <w:r w:rsidR="000D59EB">
              <w:rPr>
                <w:noProof/>
                <w:webHidden/>
              </w:rPr>
            </w:r>
            <w:r w:rsidR="000D59EB">
              <w:rPr>
                <w:noProof/>
                <w:webHidden/>
              </w:rPr>
              <w:fldChar w:fldCharType="separate"/>
            </w:r>
            <w:r>
              <w:rPr>
                <w:noProof/>
                <w:webHidden/>
              </w:rPr>
              <w:t>4</w:t>
            </w:r>
            <w:r w:rsidR="000D59EB">
              <w:rPr>
                <w:noProof/>
                <w:webHidden/>
              </w:rPr>
              <w:fldChar w:fldCharType="end"/>
            </w:r>
          </w:hyperlink>
        </w:p>
        <w:p w14:paraId="2F74B9E3" w14:textId="62F9B16C" w:rsidR="000D59EB" w:rsidRDefault="00133EC5">
          <w:pPr>
            <w:pStyle w:val="TDC3"/>
            <w:rPr>
              <w:rFonts w:asciiTheme="minorHAnsi" w:eastAsiaTheme="minorEastAsia" w:hAnsiTheme="minorHAnsi" w:cstheme="minorBidi"/>
              <w:noProof/>
              <w:szCs w:val="22"/>
              <w:lang w:eastAsia="es-MX"/>
            </w:rPr>
          </w:pPr>
          <w:hyperlink w:anchor="_Toc200541434" w:history="1">
            <w:r w:rsidR="000D59EB" w:rsidRPr="00285DC5">
              <w:rPr>
                <w:rStyle w:val="Hipervnculo"/>
                <w:noProof/>
              </w:rPr>
              <w:t>b) Turno del Recurso de Revisión</w:t>
            </w:r>
            <w:r w:rsidR="000D59EB">
              <w:rPr>
                <w:noProof/>
                <w:webHidden/>
              </w:rPr>
              <w:tab/>
            </w:r>
            <w:r w:rsidR="000D59EB">
              <w:rPr>
                <w:noProof/>
                <w:webHidden/>
              </w:rPr>
              <w:fldChar w:fldCharType="begin"/>
            </w:r>
            <w:r w:rsidR="000D59EB">
              <w:rPr>
                <w:noProof/>
                <w:webHidden/>
              </w:rPr>
              <w:instrText xml:space="preserve"> PAGEREF _Toc200541434 \h </w:instrText>
            </w:r>
            <w:r w:rsidR="000D59EB">
              <w:rPr>
                <w:noProof/>
                <w:webHidden/>
              </w:rPr>
            </w:r>
            <w:r w:rsidR="000D59EB">
              <w:rPr>
                <w:noProof/>
                <w:webHidden/>
              </w:rPr>
              <w:fldChar w:fldCharType="separate"/>
            </w:r>
            <w:r>
              <w:rPr>
                <w:noProof/>
                <w:webHidden/>
              </w:rPr>
              <w:t>5</w:t>
            </w:r>
            <w:r w:rsidR="000D59EB">
              <w:rPr>
                <w:noProof/>
                <w:webHidden/>
              </w:rPr>
              <w:fldChar w:fldCharType="end"/>
            </w:r>
          </w:hyperlink>
        </w:p>
        <w:p w14:paraId="2C0BFEED" w14:textId="701EF923" w:rsidR="000D59EB" w:rsidRDefault="00133EC5">
          <w:pPr>
            <w:pStyle w:val="TDC3"/>
            <w:rPr>
              <w:rFonts w:asciiTheme="minorHAnsi" w:eastAsiaTheme="minorEastAsia" w:hAnsiTheme="minorHAnsi" w:cstheme="minorBidi"/>
              <w:noProof/>
              <w:szCs w:val="22"/>
              <w:lang w:eastAsia="es-MX"/>
            </w:rPr>
          </w:pPr>
          <w:hyperlink w:anchor="_Toc200541435" w:history="1">
            <w:r w:rsidR="000D59EB" w:rsidRPr="00285DC5">
              <w:rPr>
                <w:rStyle w:val="Hipervnculo"/>
                <w:noProof/>
              </w:rPr>
              <w:t>c) Admisión del Recurso de Revisión</w:t>
            </w:r>
            <w:r w:rsidR="000D59EB">
              <w:rPr>
                <w:noProof/>
                <w:webHidden/>
              </w:rPr>
              <w:tab/>
            </w:r>
            <w:r w:rsidR="000D59EB">
              <w:rPr>
                <w:noProof/>
                <w:webHidden/>
              </w:rPr>
              <w:fldChar w:fldCharType="begin"/>
            </w:r>
            <w:r w:rsidR="000D59EB">
              <w:rPr>
                <w:noProof/>
                <w:webHidden/>
              </w:rPr>
              <w:instrText xml:space="preserve"> PAGEREF _Toc200541435 \h </w:instrText>
            </w:r>
            <w:r w:rsidR="000D59EB">
              <w:rPr>
                <w:noProof/>
                <w:webHidden/>
              </w:rPr>
            </w:r>
            <w:r w:rsidR="000D59EB">
              <w:rPr>
                <w:noProof/>
                <w:webHidden/>
              </w:rPr>
              <w:fldChar w:fldCharType="separate"/>
            </w:r>
            <w:r>
              <w:rPr>
                <w:noProof/>
                <w:webHidden/>
              </w:rPr>
              <w:t>5</w:t>
            </w:r>
            <w:r w:rsidR="000D59EB">
              <w:rPr>
                <w:noProof/>
                <w:webHidden/>
              </w:rPr>
              <w:fldChar w:fldCharType="end"/>
            </w:r>
          </w:hyperlink>
        </w:p>
        <w:p w14:paraId="633F8C2F" w14:textId="7CAADC9E" w:rsidR="000D59EB" w:rsidRDefault="00133EC5">
          <w:pPr>
            <w:pStyle w:val="TDC3"/>
            <w:rPr>
              <w:rFonts w:asciiTheme="minorHAnsi" w:eastAsiaTheme="minorEastAsia" w:hAnsiTheme="minorHAnsi" w:cstheme="minorBidi"/>
              <w:noProof/>
              <w:szCs w:val="22"/>
              <w:lang w:eastAsia="es-MX"/>
            </w:rPr>
          </w:pPr>
          <w:hyperlink w:anchor="_Toc200541436" w:history="1">
            <w:r w:rsidR="000D59EB" w:rsidRPr="00285DC5">
              <w:rPr>
                <w:rStyle w:val="Hipervnculo"/>
                <w:noProof/>
              </w:rPr>
              <w:t>d) Informe Justificado del Sujeto Obligado</w:t>
            </w:r>
            <w:r w:rsidR="000D59EB">
              <w:rPr>
                <w:noProof/>
                <w:webHidden/>
              </w:rPr>
              <w:tab/>
            </w:r>
            <w:r w:rsidR="000D59EB">
              <w:rPr>
                <w:noProof/>
                <w:webHidden/>
              </w:rPr>
              <w:fldChar w:fldCharType="begin"/>
            </w:r>
            <w:r w:rsidR="000D59EB">
              <w:rPr>
                <w:noProof/>
                <w:webHidden/>
              </w:rPr>
              <w:instrText xml:space="preserve"> PAGEREF _Toc200541436 \h </w:instrText>
            </w:r>
            <w:r w:rsidR="000D59EB">
              <w:rPr>
                <w:noProof/>
                <w:webHidden/>
              </w:rPr>
            </w:r>
            <w:r w:rsidR="000D59EB">
              <w:rPr>
                <w:noProof/>
                <w:webHidden/>
              </w:rPr>
              <w:fldChar w:fldCharType="separate"/>
            </w:r>
            <w:r>
              <w:rPr>
                <w:noProof/>
                <w:webHidden/>
              </w:rPr>
              <w:t>5</w:t>
            </w:r>
            <w:r w:rsidR="000D59EB">
              <w:rPr>
                <w:noProof/>
                <w:webHidden/>
              </w:rPr>
              <w:fldChar w:fldCharType="end"/>
            </w:r>
          </w:hyperlink>
        </w:p>
        <w:p w14:paraId="17F1C8DC" w14:textId="5B7A3559" w:rsidR="000D59EB" w:rsidRDefault="00133EC5">
          <w:pPr>
            <w:pStyle w:val="TDC3"/>
            <w:rPr>
              <w:rFonts w:asciiTheme="minorHAnsi" w:eastAsiaTheme="minorEastAsia" w:hAnsiTheme="minorHAnsi" w:cstheme="minorBidi"/>
              <w:noProof/>
              <w:szCs w:val="22"/>
              <w:lang w:eastAsia="es-MX"/>
            </w:rPr>
          </w:pPr>
          <w:hyperlink w:anchor="_Toc200541437" w:history="1">
            <w:r w:rsidR="000D59EB" w:rsidRPr="00285DC5">
              <w:rPr>
                <w:rStyle w:val="Hipervnculo"/>
                <w:rFonts w:eastAsia="Calibri"/>
                <w:bCs/>
                <w:noProof/>
                <w:lang w:eastAsia="en-US"/>
              </w:rPr>
              <w:t>e)</w:t>
            </w:r>
            <w:r w:rsidR="000D59EB" w:rsidRPr="00285DC5">
              <w:rPr>
                <w:rStyle w:val="Hipervnculo"/>
                <w:noProof/>
              </w:rPr>
              <w:t xml:space="preserve"> </w:t>
            </w:r>
            <w:r w:rsidR="000D59EB" w:rsidRPr="00285DC5">
              <w:rPr>
                <w:rStyle w:val="Hipervnculo"/>
                <w:noProof/>
                <w:lang w:val="es-ES"/>
              </w:rPr>
              <w:t>Manifestaciones de la Parte Recurrente</w:t>
            </w:r>
            <w:r w:rsidR="000D59EB">
              <w:rPr>
                <w:noProof/>
                <w:webHidden/>
              </w:rPr>
              <w:tab/>
            </w:r>
            <w:r w:rsidR="000D59EB">
              <w:rPr>
                <w:noProof/>
                <w:webHidden/>
              </w:rPr>
              <w:fldChar w:fldCharType="begin"/>
            </w:r>
            <w:r w:rsidR="000D59EB">
              <w:rPr>
                <w:noProof/>
                <w:webHidden/>
              </w:rPr>
              <w:instrText xml:space="preserve"> PAGEREF _Toc200541437 \h </w:instrText>
            </w:r>
            <w:r w:rsidR="000D59EB">
              <w:rPr>
                <w:noProof/>
                <w:webHidden/>
              </w:rPr>
            </w:r>
            <w:r w:rsidR="000D59EB">
              <w:rPr>
                <w:noProof/>
                <w:webHidden/>
              </w:rPr>
              <w:fldChar w:fldCharType="separate"/>
            </w:r>
            <w:r>
              <w:rPr>
                <w:noProof/>
                <w:webHidden/>
              </w:rPr>
              <w:t>5</w:t>
            </w:r>
            <w:r w:rsidR="000D59EB">
              <w:rPr>
                <w:noProof/>
                <w:webHidden/>
              </w:rPr>
              <w:fldChar w:fldCharType="end"/>
            </w:r>
          </w:hyperlink>
        </w:p>
        <w:p w14:paraId="31B354F9" w14:textId="3FFC37FB" w:rsidR="000D59EB" w:rsidRDefault="00133EC5">
          <w:pPr>
            <w:pStyle w:val="TDC3"/>
            <w:rPr>
              <w:rFonts w:asciiTheme="minorHAnsi" w:eastAsiaTheme="minorEastAsia" w:hAnsiTheme="minorHAnsi" w:cstheme="minorBidi"/>
              <w:noProof/>
              <w:szCs w:val="22"/>
              <w:lang w:eastAsia="es-MX"/>
            </w:rPr>
          </w:pPr>
          <w:hyperlink w:anchor="_Toc200541438" w:history="1">
            <w:r w:rsidR="000D59EB" w:rsidRPr="00285DC5">
              <w:rPr>
                <w:rStyle w:val="Hipervnculo"/>
                <w:rFonts w:eastAsia="Calibri"/>
                <w:noProof/>
              </w:rPr>
              <w:t>f) Ampliación de Plazo para Resolver</w:t>
            </w:r>
            <w:r w:rsidR="000D59EB">
              <w:rPr>
                <w:noProof/>
                <w:webHidden/>
              </w:rPr>
              <w:tab/>
            </w:r>
            <w:r w:rsidR="000D59EB">
              <w:rPr>
                <w:noProof/>
                <w:webHidden/>
              </w:rPr>
              <w:fldChar w:fldCharType="begin"/>
            </w:r>
            <w:r w:rsidR="000D59EB">
              <w:rPr>
                <w:noProof/>
                <w:webHidden/>
              </w:rPr>
              <w:instrText xml:space="preserve"> PAGEREF _Toc200541438 \h </w:instrText>
            </w:r>
            <w:r w:rsidR="000D59EB">
              <w:rPr>
                <w:noProof/>
                <w:webHidden/>
              </w:rPr>
            </w:r>
            <w:r w:rsidR="000D59EB">
              <w:rPr>
                <w:noProof/>
                <w:webHidden/>
              </w:rPr>
              <w:fldChar w:fldCharType="separate"/>
            </w:r>
            <w:r>
              <w:rPr>
                <w:noProof/>
                <w:webHidden/>
              </w:rPr>
              <w:t>6</w:t>
            </w:r>
            <w:r w:rsidR="000D59EB">
              <w:rPr>
                <w:noProof/>
                <w:webHidden/>
              </w:rPr>
              <w:fldChar w:fldCharType="end"/>
            </w:r>
          </w:hyperlink>
        </w:p>
        <w:p w14:paraId="47CF9F03" w14:textId="4ABE0D83" w:rsidR="000D59EB" w:rsidRDefault="00133EC5">
          <w:pPr>
            <w:pStyle w:val="TDC3"/>
            <w:rPr>
              <w:rFonts w:asciiTheme="minorHAnsi" w:eastAsiaTheme="minorEastAsia" w:hAnsiTheme="minorHAnsi" w:cstheme="minorBidi"/>
              <w:noProof/>
              <w:szCs w:val="22"/>
              <w:lang w:eastAsia="es-MX"/>
            </w:rPr>
          </w:pPr>
          <w:hyperlink w:anchor="_Toc200541439" w:history="1">
            <w:r w:rsidR="000D59EB" w:rsidRPr="00285DC5">
              <w:rPr>
                <w:rStyle w:val="Hipervnculo"/>
                <w:noProof/>
              </w:rPr>
              <w:t>g) Cierre de instrucción</w:t>
            </w:r>
            <w:r w:rsidR="000D59EB">
              <w:rPr>
                <w:noProof/>
                <w:webHidden/>
              </w:rPr>
              <w:tab/>
            </w:r>
            <w:r w:rsidR="000D59EB">
              <w:rPr>
                <w:noProof/>
                <w:webHidden/>
              </w:rPr>
              <w:fldChar w:fldCharType="begin"/>
            </w:r>
            <w:r w:rsidR="000D59EB">
              <w:rPr>
                <w:noProof/>
                <w:webHidden/>
              </w:rPr>
              <w:instrText xml:space="preserve"> PAGEREF _Toc200541439 \h </w:instrText>
            </w:r>
            <w:r w:rsidR="000D59EB">
              <w:rPr>
                <w:noProof/>
                <w:webHidden/>
              </w:rPr>
            </w:r>
            <w:r w:rsidR="000D59EB">
              <w:rPr>
                <w:noProof/>
                <w:webHidden/>
              </w:rPr>
              <w:fldChar w:fldCharType="separate"/>
            </w:r>
            <w:r>
              <w:rPr>
                <w:noProof/>
                <w:webHidden/>
              </w:rPr>
              <w:t>6</w:t>
            </w:r>
            <w:r w:rsidR="000D59EB">
              <w:rPr>
                <w:noProof/>
                <w:webHidden/>
              </w:rPr>
              <w:fldChar w:fldCharType="end"/>
            </w:r>
          </w:hyperlink>
        </w:p>
        <w:p w14:paraId="031405AB" w14:textId="4F20F57D" w:rsidR="000D59EB" w:rsidRDefault="00133EC5">
          <w:pPr>
            <w:pStyle w:val="TDC1"/>
            <w:tabs>
              <w:tab w:val="right" w:leader="dot" w:pos="9034"/>
            </w:tabs>
            <w:rPr>
              <w:rFonts w:asciiTheme="minorHAnsi" w:eastAsiaTheme="minorEastAsia" w:hAnsiTheme="minorHAnsi" w:cstheme="minorBidi"/>
              <w:noProof/>
              <w:szCs w:val="22"/>
              <w:lang w:eastAsia="es-MX"/>
            </w:rPr>
          </w:pPr>
          <w:hyperlink w:anchor="_Toc200541440" w:history="1">
            <w:r w:rsidR="000D59EB" w:rsidRPr="00285DC5">
              <w:rPr>
                <w:rStyle w:val="Hipervnculo"/>
                <w:rFonts w:eastAsiaTheme="minorHAnsi"/>
                <w:noProof/>
                <w:lang w:eastAsia="en-US"/>
              </w:rPr>
              <w:t>CONSIDERANDOS</w:t>
            </w:r>
            <w:r w:rsidR="000D59EB">
              <w:rPr>
                <w:noProof/>
                <w:webHidden/>
              </w:rPr>
              <w:tab/>
            </w:r>
            <w:r w:rsidR="000D59EB">
              <w:rPr>
                <w:noProof/>
                <w:webHidden/>
              </w:rPr>
              <w:fldChar w:fldCharType="begin"/>
            </w:r>
            <w:r w:rsidR="000D59EB">
              <w:rPr>
                <w:noProof/>
                <w:webHidden/>
              </w:rPr>
              <w:instrText xml:space="preserve"> PAGEREF _Toc200541440 \h </w:instrText>
            </w:r>
            <w:r w:rsidR="000D59EB">
              <w:rPr>
                <w:noProof/>
                <w:webHidden/>
              </w:rPr>
            </w:r>
            <w:r w:rsidR="000D59EB">
              <w:rPr>
                <w:noProof/>
                <w:webHidden/>
              </w:rPr>
              <w:fldChar w:fldCharType="separate"/>
            </w:r>
            <w:r>
              <w:rPr>
                <w:noProof/>
                <w:webHidden/>
              </w:rPr>
              <w:t>6</w:t>
            </w:r>
            <w:r w:rsidR="000D59EB">
              <w:rPr>
                <w:noProof/>
                <w:webHidden/>
              </w:rPr>
              <w:fldChar w:fldCharType="end"/>
            </w:r>
          </w:hyperlink>
        </w:p>
        <w:p w14:paraId="322A20DA" w14:textId="13E79DEB" w:rsidR="000D59EB" w:rsidRDefault="00133EC5">
          <w:pPr>
            <w:pStyle w:val="TDC2"/>
            <w:rPr>
              <w:rFonts w:asciiTheme="minorHAnsi" w:eastAsiaTheme="minorEastAsia" w:hAnsiTheme="minorHAnsi" w:cstheme="minorBidi"/>
              <w:noProof/>
              <w:szCs w:val="22"/>
              <w:lang w:eastAsia="es-MX"/>
            </w:rPr>
          </w:pPr>
          <w:hyperlink w:anchor="_Toc200541441" w:history="1">
            <w:r w:rsidR="000D59EB" w:rsidRPr="00285DC5">
              <w:rPr>
                <w:rStyle w:val="Hipervnculo"/>
                <w:rFonts w:eastAsia="Batang"/>
                <w:noProof/>
              </w:rPr>
              <w:t>PRIMERO. Procedibilidad</w:t>
            </w:r>
            <w:r w:rsidR="000D59EB">
              <w:rPr>
                <w:noProof/>
                <w:webHidden/>
              </w:rPr>
              <w:tab/>
            </w:r>
            <w:r w:rsidR="000D59EB">
              <w:rPr>
                <w:noProof/>
                <w:webHidden/>
              </w:rPr>
              <w:fldChar w:fldCharType="begin"/>
            </w:r>
            <w:r w:rsidR="000D59EB">
              <w:rPr>
                <w:noProof/>
                <w:webHidden/>
              </w:rPr>
              <w:instrText xml:space="preserve"> PAGEREF _Toc200541441 \h </w:instrText>
            </w:r>
            <w:r w:rsidR="000D59EB">
              <w:rPr>
                <w:noProof/>
                <w:webHidden/>
              </w:rPr>
            </w:r>
            <w:r w:rsidR="000D59EB">
              <w:rPr>
                <w:noProof/>
                <w:webHidden/>
              </w:rPr>
              <w:fldChar w:fldCharType="separate"/>
            </w:r>
            <w:r>
              <w:rPr>
                <w:noProof/>
                <w:webHidden/>
              </w:rPr>
              <w:t>6</w:t>
            </w:r>
            <w:r w:rsidR="000D59EB">
              <w:rPr>
                <w:noProof/>
                <w:webHidden/>
              </w:rPr>
              <w:fldChar w:fldCharType="end"/>
            </w:r>
          </w:hyperlink>
        </w:p>
        <w:p w14:paraId="153B19BA" w14:textId="273F68D3" w:rsidR="000D59EB" w:rsidRDefault="00133EC5">
          <w:pPr>
            <w:pStyle w:val="TDC3"/>
            <w:rPr>
              <w:rFonts w:asciiTheme="minorHAnsi" w:eastAsiaTheme="minorEastAsia" w:hAnsiTheme="minorHAnsi" w:cstheme="minorBidi"/>
              <w:noProof/>
              <w:szCs w:val="22"/>
              <w:lang w:eastAsia="es-MX"/>
            </w:rPr>
          </w:pPr>
          <w:hyperlink w:anchor="_Toc200541442" w:history="1">
            <w:r w:rsidR="000D59EB" w:rsidRPr="00285DC5">
              <w:rPr>
                <w:rStyle w:val="Hipervnculo"/>
                <w:noProof/>
              </w:rPr>
              <w:t>a) Competencia del Instituto</w:t>
            </w:r>
            <w:r w:rsidR="000D59EB">
              <w:rPr>
                <w:noProof/>
                <w:webHidden/>
              </w:rPr>
              <w:tab/>
            </w:r>
            <w:r w:rsidR="000D59EB">
              <w:rPr>
                <w:noProof/>
                <w:webHidden/>
              </w:rPr>
              <w:fldChar w:fldCharType="begin"/>
            </w:r>
            <w:r w:rsidR="000D59EB">
              <w:rPr>
                <w:noProof/>
                <w:webHidden/>
              </w:rPr>
              <w:instrText xml:space="preserve"> PAGEREF _Toc200541442 \h </w:instrText>
            </w:r>
            <w:r w:rsidR="000D59EB">
              <w:rPr>
                <w:noProof/>
                <w:webHidden/>
              </w:rPr>
            </w:r>
            <w:r w:rsidR="000D59EB">
              <w:rPr>
                <w:noProof/>
                <w:webHidden/>
              </w:rPr>
              <w:fldChar w:fldCharType="separate"/>
            </w:r>
            <w:r>
              <w:rPr>
                <w:noProof/>
                <w:webHidden/>
              </w:rPr>
              <w:t>6</w:t>
            </w:r>
            <w:r w:rsidR="000D59EB">
              <w:rPr>
                <w:noProof/>
                <w:webHidden/>
              </w:rPr>
              <w:fldChar w:fldCharType="end"/>
            </w:r>
          </w:hyperlink>
        </w:p>
        <w:p w14:paraId="1756A67A" w14:textId="047E7D36" w:rsidR="000D59EB" w:rsidRDefault="00133EC5">
          <w:pPr>
            <w:pStyle w:val="TDC3"/>
            <w:rPr>
              <w:rFonts w:asciiTheme="minorHAnsi" w:eastAsiaTheme="minorEastAsia" w:hAnsiTheme="minorHAnsi" w:cstheme="minorBidi"/>
              <w:noProof/>
              <w:szCs w:val="22"/>
              <w:lang w:eastAsia="es-MX"/>
            </w:rPr>
          </w:pPr>
          <w:hyperlink w:anchor="_Toc200541443" w:history="1">
            <w:r w:rsidR="000D59EB" w:rsidRPr="00285DC5">
              <w:rPr>
                <w:rStyle w:val="Hipervnculo"/>
                <w:noProof/>
              </w:rPr>
              <w:t>b) Legitimidad de la parte recurrente</w:t>
            </w:r>
            <w:r w:rsidR="000D59EB">
              <w:rPr>
                <w:noProof/>
                <w:webHidden/>
              </w:rPr>
              <w:tab/>
            </w:r>
            <w:r w:rsidR="000D59EB">
              <w:rPr>
                <w:noProof/>
                <w:webHidden/>
              </w:rPr>
              <w:fldChar w:fldCharType="begin"/>
            </w:r>
            <w:r w:rsidR="000D59EB">
              <w:rPr>
                <w:noProof/>
                <w:webHidden/>
              </w:rPr>
              <w:instrText xml:space="preserve"> PAGEREF _Toc200541443 \h </w:instrText>
            </w:r>
            <w:r w:rsidR="000D59EB">
              <w:rPr>
                <w:noProof/>
                <w:webHidden/>
              </w:rPr>
            </w:r>
            <w:r w:rsidR="000D59EB">
              <w:rPr>
                <w:noProof/>
                <w:webHidden/>
              </w:rPr>
              <w:fldChar w:fldCharType="separate"/>
            </w:r>
            <w:r>
              <w:rPr>
                <w:noProof/>
                <w:webHidden/>
              </w:rPr>
              <w:t>7</w:t>
            </w:r>
            <w:r w:rsidR="000D59EB">
              <w:rPr>
                <w:noProof/>
                <w:webHidden/>
              </w:rPr>
              <w:fldChar w:fldCharType="end"/>
            </w:r>
          </w:hyperlink>
        </w:p>
        <w:p w14:paraId="723D48BF" w14:textId="5B3C3104" w:rsidR="000D59EB" w:rsidRDefault="00133EC5">
          <w:pPr>
            <w:pStyle w:val="TDC3"/>
            <w:rPr>
              <w:rFonts w:asciiTheme="minorHAnsi" w:eastAsiaTheme="minorEastAsia" w:hAnsiTheme="minorHAnsi" w:cstheme="minorBidi"/>
              <w:noProof/>
              <w:szCs w:val="22"/>
              <w:lang w:eastAsia="es-MX"/>
            </w:rPr>
          </w:pPr>
          <w:hyperlink w:anchor="_Toc200541444" w:history="1">
            <w:r w:rsidR="000D59EB" w:rsidRPr="00285DC5">
              <w:rPr>
                <w:rStyle w:val="Hipervnculo"/>
                <w:rFonts w:eastAsia="Calibri"/>
                <w:noProof/>
                <w:lang w:eastAsia="es-ES_tradnl"/>
              </w:rPr>
              <w:t>c) Plazo para interponer el recurso</w:t>
            </w:r>
            <w:r w:rsidR="000D59EB">
              <w:rPr>
                <w:noProof/>
                <w:webHidden/>
              </w:rPr>
              <w:tab/>
            </w:r>
            <w:r w:rsidR="000D59EB">
              <w:rPr>
                <w:noProof/>
                <w:webHidden/>
              </w:rPr>
              <w:fldChar w:fldCharType="begin"/>
            </w:r>
            <w:r w:rsidR="000D59EB">
              <w:rPr>
                <w:noProof/>
                <w:webHidden/>
              </w:rPr>
              <w:instrText xml:space="preserve"> PAGEREF _Toc200541444 \h </w:instrText>
            </w:r>
            <w:r w:rsidR="000D59EB">
              <w:rPr>
                <w:noProof/>
                <w:webHidden/>
              </w:rPr>
            </w:r>
            <w:r w:rsidR="000D59EB">
              <w:rPr>
                <w:noProof/>
                <w:webHidden/>
              </w:rPr>
              <w:fldChar w:fldCharType="separate"/>
            </w:r>
            <w:r>
              <w:rPr>
                <w:noProof/>
                <w:webHidden/>
              </w:rPr>
              <w:t>7</w:t>
            </w:r>
            <w:r w:rsidR="000D59EB">
              <w:rPr>
                <w:noProof/>
                <w:webHidden/>
              </w:rPr>
              <w:fldChar w:fldCharType="end"/>
            </w:r>
          </w:hyperlink>
        </w:p>
        <w:p w14:paraId="341CAA98" w14:textId="62D37050" w:rsidR="000D59EB" w:rsidRDefault="00133EC5">
          <w:pPr>
            <w:pStyle w:val="TDC3"/>
            <w:rPr>
              <w:rFonts w:asciiTheme="minorHAnsi" w:eastAsiaTheme="minorEastAsia" w:hAnsiTheme="minorHAnsi" w:cstheme="minorBidi"/>
              <w:noProof/>
              <w:szCs w:val="22"/>
              <w:lang w:eastAsia="es-MX"/>
            </w:rPr>
          </w:pPr>
          <w:hyperlink w:anchor="_Toc200541445" w:history="1">
            <w:r w:rsidR="000D59EB" w:rsidRPr="00285DC5">
              <w:rPr>
                <w:rStyle w:val="Hipervnculo"/>
                <w:rFonts w:eastAsia="Calibri"/>
                <w:noProof/>
                <w:lang w:eastAsia="es-ES_tradnl"/>
              </w:rPr>
              <w:t>d) Causal de procedencia</w:t>
            </w:r>
            <w:r w:rsidR="000D59EB">
              <w:rPr>
                <w:noProof/>
                <w:webHidden/>
              </w:rPr>
              <w:tab/>
            </w:r>
            <w:r w:rsidR="000D59EB">
              <w:rPr>
                <w:noProof/>
                <w:webHidden/>
              </w:rPr>
              <w:fldChar w:fldCharType="begin"/>
            </w:r>
            <w:r w:rsidR="000D59EB">
              <w:rPr>
                <w:noProof/>
                <w:webHidden/>
              </w:rPr>
              <w:instrText xml:space="preserve"> PAGEREF _Toc200541445 \h </w:instrText>
            </w:r>
            <w:r w:rsidR="000D59EB">
              <w:rPr>
                <w:noProof/>
                <w:webHidden/>
              </w:rPr>
            </w:r>
            <w:r w:rsidR="000D59EB">
              <w:rPr>
                <w:noProof/>
                <w:webHidden/>
              </w:rPr>
              <w:fldChar w:fldCharType="separate"/>
            </w:r>
            <w:r>
              <w:rPr>
                <w:noProof/>
                <w:webHidden/>
              </w:rPr>
              <w:t>7</w:t>
            </w:r>
            <w:r w:rsidR="000D59EB">
              <w:rPr>
                <w:noProof/>
                <w:webHidden/>
              </w:rPr>
              <w:fldChar w:fldCharType="end"/>
            </w:r>
          </w:hyperlink>
        </w:p>
        <w:p w14:paraId="4AC94F93" w14:textId="5618F49C" w:rsidR="000D59EB" w:rsidRDefault="00133EC5">
          <w:pPr>
            <w:pStyle w:val="TDC3"/>
            <w:rPr>
              <w:rFonts w:asciiTheme="minorHAnsi" w:eastAsiaTheme="minorEastAsia" w:hAnsiTheme="minorHAnsi" w:cstheme="minorBidi"/>
              <w:noProof/>
              <w:szCs w:val="22"/>
              <w:lang w:eastAsia="es-MX"/>
            </w:rPr>
          </w:pPr>
          <w:hyperlink w:anchor="_Toc200541446" w:history="1">
            <w:r w:rsidR="000D59EB" w:rsidRPr="00285DC5">
              <w:rPr>
                <w:rStyle w:val="Hipervnculo"/>
                <w:noProof/>
              </w:rPr>
              <w:t>e) Requisitos formales para la interposición del recurso</w:t>
            </w:r>
            <w:r w:rsidR="000D59EB">
              <w:rPr>
                <w:noProof/>
                <w:webHidden/>
              </w:rPr>
              <w:tab/>
            </w:r>
            <w:r w:rsidR="000D59EB">
              <w:rPr>
                <w:noProof/>
                <w:webHidden/>
              </w:rPr>
              <w:fldChar w:fldCharType="begin"/>
            </w:r>
            <w:r w:rsidR="000D59EB">
              <w:rPr>
                <w:noProof/>
                <w:webHidden/>
              </w:rPr>
              <w:instrText xml:space="preserve"> PAGEREF _Toc200541446 \h </w:instrText>
            </w:r>
            <w:r w:rsidR="000D59EB">
              <w:rPr>
                <w:noProof/>
                <w:webHidden/>
              </w:rPr>
            </w:r>
            <w:r w:rsidR="000D59EB">
              <w:rPr>
                <w:noProof/>
                <w:webHidden/>
              </w:rPr>
              <w:fldChar w:fldCharType="separate"/>
            </w:r>
            <w:r>
              <w:rPr>
                <w:noProof/>
                <w:webHidden/>
              </w:rPr>
              <w:t>7</w:t>
            </w:r>
            <w:r w:rsidR="000D59EB">
              <w:rPr>
                <w:noProof/>
                <w:webHidden/>
              </w:rPr>
              <w:fldChar w:fldCharType="end"/>
            </w:r>
          </w:hyperlink>
        </w:p>
        <w:p w14:paraId="27FEA9BF" w14:textId="7FC88BBE" w:rsidR="000D59EB" w:rsidRDefault="00133EC5">
          <w:pPr>
            <w:pStyle w:val="TDC2"/>
            <w:rPr>
              <w:rFonts w:asciiTheme="minorHAnsi" w:eastAsiaTheme="minorEastAsia" w:hAnsiTheme="minorHAnsi" w:cstheme="minorBidi"/>
              <w:noProof/>
              <w:szCs w:val="22"/>
              <w:lang w:eastAsia="es-MX"/>
            </w:rPr>
          </w:pPr>
          <w:hyperlink w:anchor="_Toc200541447" w:history="1">
            <w:r w:rsidR="000D59EB" w:rsidRPr="00285DC5">
              <w:rPr>
                <w:rStyle w:val="Hipervnculo"/>
                <w:noProof/>
              </w:rPr>
              <w:t>SEGUNDO. Estudio de Fondo</w:t>
            </w:r>
            <w:r w:rsidR="000D59EB">
              <w:rPr>
                <w:noProof/>
                <w:webHidden/>
              </w:rPr>
              <w:tab/>
            </w:r>
            <w:r w:rsidR="000D59EB">
              <w:rPr>
                <w:noProof/>
                <w:webHidden/>
              </w:rPr>
              <w:fldChar w:fldCharType="begin"/>
            </w:r>
            <w:r w:rsidR="000D59EB">
              <w:rPr>
                <w:noProof/>
                <w:webHidden/>
              </w:rPr>
              <w:instrText xml:space="preserve"> PAGEREF _Toc200541447 \h </w:instrText>
            </w:r>
            <w:r w:rsidR="000D59EB">
              <w:rPr>
                <w:noProof/>
                <w:webHidden/>
              </w:rPr>
            </w:r>
            <w:r w:rsidR="000D59EB">
              <w:rPr>
                <w:noProof/>
                <w:webHidden/>
              </w:rPr>
              <w:fldChar w:fldCharType="separate"/>
            </w:r>
            <w:r>
              <w:rPr>
                <w:noProof/>
                <w:webHidden/>
              </w:rPr>
              <w:t>8</w:t>
            </w:r>
            <w:r w:rsidR="000D59EB">
              <w:rPr>
                <w:noProof/>
                <w:webHidden/>
              </w:rPr>
              <w:fldChar w:fldCharType="end"/>
            </w:r>
          </w:hyperlink>
        </w:p>
        <w:p w14:paraId="6FC2DB13" w14:textId="67028381" w:rsidR="000D59EB" w:rsidRDefault="00133EC5">
          <w:pPr>
            <w:pStyle w:val="TDC3"/>
            <w:rPr>
              <w:rFonts w:asciiTheme="minorHAnsi" w:eastAsiaTheme="minorEastAsia" w:hAnsiTheme="minorHAnsi" w:cstheme="minorBidi"/>
              <w:noProof/>
              <w:szCs w:val="22"/>
              <w:lang w:eastAsia="es-MX"/>
            </w:rPr>
          </w:pPr>
          <w:hyperlink w:anchor="_Toc200541448" w:history="1">
            <w:r w:rsidR="000D59EB" w:rsidRPr="00285DC5">
              <w:rPr>
                <w:rStyle w:val="Hipervnculo"/>
                <w:noProof/>
              </w:rPr>
              <w:t>a) Mandato de transparencia y responsabilidad del Sujeto Obligado</w:t>
            </w:r>
            <w:r w:rsidR="000D59EB">
              <w:rPr>
                <w:noProof/>
                <w:webHidden/>
              </w:rPr>
              <w:tab/>
            </w:r>
            <w:r w:rsidR="000D59EB">
              <w:rPr>
                <w:noProof/>
                <w:webHidden/>
              </w:rPr>
              <w:fldChar w:fldCharType="begin"/>
            </w:r>
            <w:r w:rsidR="000D59EB">
              <w:rPr>
                <w:noProof/>
                <w:webHidden/>
              </w:rPr>
              <w:instrText xml:space="preserve"> PAGEREF _Toc200541448 \h </w:instrText>
            </w:r>
            <w:r w:rsidR="000D59EB">
              <w:rPr>
                <w:noProof/>
                <w:webHidden/>
              </w:rPr>
            </w:r>
            <w:r w:rsidR="000D59EB">
              <w:rPr>
                <w:noProof/>
                <w:webHidden/>
              </w:rPr>
              <w:fldChar w:fldCharType="separate"/>
            </w:r>
            <w:r>
              <w:rPr>
                <w:noProof/>
                <w:webHidden/>
              </w:rPr>
              <w:t>8</w:t>
            </w:r>
            <w:r w:rsidR="000D59EB">
              <w:rPr>
                <w:noProof/>
                <w:webHidden/>
              </w:rPr>
              <w:fldChar w:fldCharType="end"/>
            </w:r>
          </w:hyperlink>
        </w:p>
        <w:p w14:paraId="215B6E2D" w14:textId="2CF2BDB1" w:rsidR="000D59EB" w:rsidRDefault="00133EC5">
          <w:pPr>
            <w:pStyle w:val="TDC3"/>
            <w:rPr>
              <w:rFonts w:asciiTheme="minorHAnsi" w:eastAsiaTheme="minorEastAsia" w:hAnsiTheme="minorHAnsi" w:cstheme="minorBidi"/>
              <w:noProof/>
              <w:szCs w:val="22"/>
              <w:lang w:eastAsia="es-MX"/>
            </w:rPr>
          </w:pPr>
          <w:hyperlink w:anchor="_Toc200541449" w:history="1">
            <w:r w:rsidR="000D59EB" w:rsidRPr="00285DC5">
              <w:rPr>
                <w:rStyle w:val="Hipervnculo"/>
                <w:rFonts w:eastAsia="Calibri"/>
                <w:noProof/>
                <w:lang w:eastAsia="es-ES_tradnl"/>
              </w:rPr>
              <w:t>b) Controversia a resolver</w:t>
            </w:r>
            <w:r w:rsidR="000D59EB">
              <w:rPr>
                <w:noProof/>
                <w:webHidden/>
              </w:rPr>
              <w:tab/>
            </w:r>
            <w:r w:rsidR="000D59EB">
              <w:rPr>
                <w:noProof/>
                <w:webHidden/>
              </w:rPr>
              <w:fldChar w:fldCharType="begin"/>
            </w:r>
            <w:r w:rsidR="000D59EB">
              <w:rPr>
                <w:noProof/>
                <w:webHidden/>
              </w:rPr>
              <w:instrText xml:space="preserve"> PAGEREF _Toc200541449 \h </w:instrText>
            </w:r>
            <w:r w:rsidR="000D59EB">
              <w:rPr>
                <w:noProof/>
                <w:webHidden/>
              </w:rPr>
            </w:r>
            <w:r w:rsidR="000D59EB">
              <w:rPr>
                <w:noProof/>
                <w:webHidden/>
              </w:rPr>
              <w:fldChar w:fldCharType="separate"/>
            </w:r>
            <w:r>
              <w:rPr>
                <w:noProof/>
                <w:webHidden/>
              </w:rPr>
              <w:t>11</w:t>
            </w:r>
            <w:r w:rsidR="000D59EB">
              <w:rPr>
                <w:noProof/>
                <w:webHidden/>
              </w:rPr>
              <w:fldChar w:fldCharType="end"/>
            </w:r>
          </w:hyperlink>
        </w:p>
        <w:p w14:paraId="4B9E7B01" w14:textId="5C3A34EE" w:rsidR="000D59EB" w:rsidRDefault="00133EC5">
          <w:pPr>
            <w:pStyle w:val="TDC3"/>
            <w:rPr>
              <w:rFonts w:asciiTheme="minorHAnsi" w:eastAsiaTheme="minorEastAsia" w:hAnsiTheme="minorHAnsi" w:cstheme="minorBidi"/>
              <w:noProof/>
              <w:szCs w:val="22"/>
              <w:lang w:eastAsia="es-MX"/>
            </w:rPr>
          </w:pPr>
          <w:hyperlink w:anchor="_Toc200541450" w:history="1">
            <w:r w:rsidR="000D59EB" w:rsidRPr="00285DC5">
              <w:rPr>
                <w:rStyle w:val="Hipervnculo"/>
                <w:noProof/>
              </w:rPr>
              <w:t>c) Estudio de la controversia</w:t>
            </w:r>
            <w:r w:rsidR="000D59EB">
              <w:rPr>
                <w:noProof/>
                <w:webHidden/>
              </w:rPr>
              <w:tab/>
            </w:r>
            <w:r w:rsidR="000D59EB">
              <w:rPr>
                <w:noProof/>
                <w:webHidden/>
              </w:rPr>
              <w:fldChar w:fldCharType="begin"/>
            </w:r>
            <w:r w:rsidR="000D59EB">
              <w:rPr>
                <w:noProof/>
                <w:webHidden/>
              </w:rPr>
              <w:instrText xml:space="preserve"> PAGEREF _Toc200541450 \h </w:instrText>
            </w:r>
            <w:r w:rsidR="000D59EB">
              <w:rPr>
                <w:noProof/>
                <w:webHidden/>
              </w:rPr>
            </w:r>
            <w:r w:rsidR="000D59EB">
              <w:rPr>
                <w:noProof/>
                <w:webHidden/>
              </w:rPr>
              <w:fldChar w:fldCharType="separate"/>
            </w:r>
            <w:r>
              <w:rPr>
                <w:noProof/>
                <w:webHidden/>
              </w:rPr>
              <w:t>12</w:t>
            </w:r>
            <w:r w:rsidR="000D59EB">
              <w:rPr>
                <w:noProof/>
                <w:webHidden/>
              </w:rPr>
              <w:fldChar w:fldCharType="end"/>
            </w:r>
          </w:hyperlink>
        </w:p>
        <w:p w14:paraId="19E1BA38" w14:textId="7F5AA2A6" w:rsidR="000D59EB" w:rsidRDefault="00133EC5">
          <w:pPr>
            <w:pStyle w:val="TDC3"/>
            <w:rPr>
              <w:rFonts w:asciiTheme="minorHAnsi" w:eastAsiaTheme="minorEastAsia" w:hAnsiTheme="minorHAnsi" w:cstheme="minorBidi"/>
              <w:noProof/>
              <w:szCs w:val="22"/>
              <w:lang w:eastAsia="es-MX"/>
            </w:rPr>
          </w:pPr>
          <w:hyperlink w:anchor="_Toc200541451" w:history="1">
            <w:r w:rsidR="000D59EB" w:rsidRPr="00285DC5">
              <w:rPr>
                <w:rStyle w:val="Hipervnculo"/>
                <w:noProof/>
              </w:rPr>
              <w:t>d) Versión pública</w:t>
            </w:r>
            <w:r w:rsidR="000D59EB">
              <w:rPr>
                <w:noProof/>
                <w:webHidden/>
              </w:rPr>
              <w:tab/>
            </w:r>
            <w:r w:rsidR="000D59EB">
              <w:rPr>
                <w:noProof/>
                <w:webHidden/>
              </w:rPr>
              <w:fldChar w:fldCharType="begin"/>
            </w:r>
            <w:r w:rsidR="000D59EB">
              <w:rPr>
                <w:noProof/>
                <w:webHidden/>
              </w:rPr>
              <w:instrText xml:space="preserve"> PAGEREF _Toc200541451 \h </w:instrText>
            </w:r>
            <w:r w:rsidR="000D59EB">
              <w:rPr>
                <w:noProof/>
                <w:webHidden/>
              </w:rPr>
            </w:r>
            <w:r w:rsidR="000D59EB">
              <w:rPr>
                <w:noProof/>
                <w:webHidden/>
              </w:rPr>
              <w:fldChar w:fldCharType="separate"/>
            </w:r>
            <w:r>
              <w:rPr>
                <w:noProof/>
                <w:webHidden/>
              </w:rPr>
              <w:t>28</w:t>
            </w:r>
            <w:r w:rsidR="000D59EB">
              <w:rPr>
                <w:noProof/>
                <w:webHidden/>
              </w:rPr>
              <w:fldChar w:fldCharType="end"/>
            </w:r>
          </w:hyperlink>
        </w:p>
        <w:p w14:paraId="03B1BC8E" w14:textId="3FEB4EDE" w:rsidR="000D59EB" w:rsidRDefault="00133EC5">
          <w:pPr>
            <w:pStyle w:val="TDC3"/>
            <w:rPr>
              <w:rFonts w:asciiTheme="minorHAnsi" w:eastAsiaTheme="minorEastAsia" w:hAnsiTheme="minorHAnsi" w:cstheme="minorBidi"/>
              <w:noProof/>
              <w:szCs w:val="22"/>
              <w:lang w:eastAsia="es-MX"/>
            </w:rPr>
          </w:pPr>
          <w:hyperlink w:anchor="_Toc200541452" w:history="1">
            <w:r w:rsidR="000D59EB" w:rsidRPr="00285DC5">
              <w:rPr>
                <w:rStyle w:val="Hipervnculo"/>
                <w:noProof/>
              </w:rPr>
              <w:t>e) Conclusión</w:t>
            </w:r>
            <w:r w:rsidR="000D59EB">
              <w:rPr>
                <w:noProof/>
                <w:webHidden/>
              </w:rPr>
              <w:tab/>
            </w:r>
            <w:r w:rsidR="000D59EB">
              <w:rPr>
                <w:noProof/>
                <w:webHidden/>
              </w:rPr>
              <w:fldChar w:fldCharType="begin"/>
            </w:r>
            <w:r w:rsidR="000D59EB">
              <w:rPr>
                <w:noProof/>
                <w:webHidden/>
              </w:rPr>
              <w:instrText xml:space="preserve"> PAGEREF _Toc200541452 \h </w:instrText>
            </w:r>
            <w:r w:rsidR="000D59EB">
              <w:rPr>
                <w:noProof/>
                <w:webHidden/>
              </w:rPr>
            </w:r>
            <w:r w:rsidR="000D59EB">
              <w:rPr>
                <w:noProof/>
                <w:webHidden/>
              </w:rPr>
              <w:fldChar w:fldCharType="separate"/>
            </w:r>
            <w:r>
              <w:rPr>
                <w:noProof/>
                <w:webHidden/>
              </w:rPr>
              <w:t>40</w:t>
            </w:r>
            <w:r w:rsidR="000D59EB">
              <w:rPr>
                <w:noProof/>
                <w:webHidden/>
              </w:rPr>
              <w:fldChar w:fldCharType="end"/>
            </w:r>
          </w:hyperlink>
        </w:p>
        <w:p w14:paraId="549B4EA1" w14:textId="722A1551" w:rsidR="000D59EB" w:rsidRDefault="00133EC5">
          <w:pPr>
            <w:pStyle w:val="TDC1"/>
            <w:tabs>
              <w:tab w:val="right" w:leader="dot" w:pos="9034"/>
            </w:tabs>
            <w:rPr>
              <w:rFonts w:asciiTheme="minorHAnsi" w:eastAsiaTheme="minorEastAsia" w:hAnsiTheme="minorHAnsi" w:cstheme="minorBidi"/>
              <w:noProof/>
              <w:szCs w:val="22"/>
              <w:lang w:eastAsia="es-MX"/>
            </w:rPr>
          </w:pPr>
          <w:hyperlink w:anchor="_Toc200541453" w:history="1">
            <w:r w:rsidR="000D59EB" w:rsidRPr="00285DC5">
              <w:rPr>
                <w:rStyle w:val="Hipervnculo"/>
                <w:noProof/>
              </w:rPr>
              <w:t>RESUELVE</w:t>
            </w:r>
            <w:r w:rsidR="000D59EB">
              <w:rPr>
                <w:noProof/>
                <w:webHidden/>
              </w:rPr>
              <w:tab/>
            </w:r>
            <w:r w:rsidR="000D59EB">
              <w:rPr>
                <w:noProof/>
                <w:webHidden/>
              </w:rPr>
              <w:fldChar w:fldCharType="begin"/>
            </w:r>
            <w:r w:rsidR="000D59EB">
              <w:rPr>
                <w:noProof/>
                <w:webHidden/>
              </w:rPr>
              <w:instrText xml:space="preserve"> PAGEREF _Toc200541453 \h </w:instrText>
            </w:r>
            <w:r w:rsidR="000D59EB">
              <w:rPr>
                <w:noProof/>
                <w:webHidden/>
              </w:rPr>
            </w:r>
            <w:r w:rsidR="000D59EB">
              <w:rPr>
                <w:noProof/>
                <w:webHidden/>
              </w:rPr>
              <w:fldChar w:fldCharType="separate"/>
            </w:r>
            <w:r>
              <w:rPr>
                <w:noProof/>
                <w:webHidden/>
              </w:rPr>
              <w:t>40</w:t>
            </w:r>
            <w:r w:rsidR="000D59EB">
              <w:rPr>
                <w:noProof/>
                <w:webHidden/>
              </w:rPr>
              <w:fldChar w:fldCharType="end"/>
            </w:r>
          </w:hyperlink>
        </w:p>
        <w:p w14:paraId="603A07E2" w14:textId="2207EE06" w:rsidR="00646436" w:rsidRPr="001F6EF8" w:rsidRDefault="00AE3DA7" w:rsidP="003612E6">
          <w:pPr>
            <w:spacing w:line="240" w:lineRule="auto"/>
            <w:rPr>
              <w:b/>
              <w:bCs/>
              <w:lang w:val="es-ES"/>
            </w:rPr>
            <w:sectPr w:rsidR="00646436" w:rsidRPr="001F6EF8"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r w:rsidRPr="001F6EF8">
            <w:rPr>
              <w:b/>
              <w:bCs/>
              <w:sz w:val="16"/>
              <w:szCs w:val="16"/>
              <w:lang w:val="es-ES"/>
            </w:rPr>
            <w:lastRenderedPageBreak/>
            <w:fldChar w:fldCharType="end"/>
          </w:r>
        </w:p>
      </w:sdtContent>
    </w:sdt>
    <w:p w14:paraId="7A9A4270" w14:textId="2A888F00" w:rsidR="00775BFC" w:rsidRPr="001F6EF8" w:rsidRDefault="00775BFC" w:rsidP="00775BFC">
      <w:r w:rsidRPr="001F6EF8">
        <w:lastRenderedPageBreak/>
        <w:t>Resolución del Pleno del Instituto de Transparencia, Acceso a la Información Pública y Protección de Datos Personales del Estado de México y Municipios, con domicilio en Metepec, Estado de México, de</w:t>
      </w:r>
      <w:r w:rsidR="000D59EB">
        <w:t>l</w:t>
      </w:r>
      <w:r w:rsidRPr="001F6EF8">
        <w:t xml:space="preserve"> </w:t>
      </w:r>
      <w:r w:rsidR="00CB3F80" w:rsidRPr="001F6EF8">
        <w:rPr>
          <w:b/>
        </w:rPr>
        <w:t>once de junio</w:t>
      </w:r>
      <w:r w:rsidR="0024160B" w:rsidRPr="001F6EF8">
        <w:rPr>
          <w:b/>
        </w:rPr>
        <w:t xml:space="preserve"> de dos mil veinticinco</w:t>
      </w:r>
      <w:r w:rsidR="00DB02DB" w:rsidRPr="001F6EF8">
        <w:t>.</w:t>
      </w:r>
    </w:p>
    <w:p w14:paraId="0AF3AAC4" w14:textId="77777777" w:rsidR="00775BFC" w:rsidRPr="001F6EF8" w:rsidRDefault="00775BFC" w:rsidP="00775BFC"/>
    <w:p w14:paraId="40EAE038" w14:textId="4795443C" w:rsidR="00775BFC" w:rsidRPr="001F6EF8" w:rsidRDefault="00775BFC" w:rsidP="00775BFC">
      <w:r w:rsidRPr="001F6EF8">
        <w:rPr>
          <w:b/>
        </w:rPr>
        <w:t xml:space="preserve">VISTO </w:t>
      </w:r>
      <w:r w:rsidRPr="001F6EF8">
        <w:t xml:space="preserve">el expediente formado con motivo del Recurso de Revisión </w:t>
      </w:r>
      <w:r w:rsidR="00690058" w:rsidRPr="001F6EF8">
        <w:rPr>
          <w:rFonts w:eastAsia="Calibri"/>
          <w:b/>
          <w:lang w:eastAsia="en-US"/>
        </w:rPr>
        <w:t>04482/INFOEM/IP/RR/2025</w:t>
      </w:r>
      <w:r w:rsidRPr="001F6EF8">
        <w:rPr>
          <w:rFonts w:eastAsia="Calibri"/>
          <w:lang w:eastAsia="en-US"/>
        </w:rPr>
        <w:t xml:space="preserve"> </w:t>
      </w:r>
      <w:r w:rsidRPr="001F6EF8">
        <w:t xml:space="preserve">interpuesto </w:t>
      </w:r>
      <w:r w:rsidR="00B04291" w:rsidRPr="001F6EF8">
        <w:t>de manera anónima</w:t>
      </w:r>
      <w:r w:rsidRPr="001F6EF8">
        <w:t xml:space="preserve">, a quien en lo subsecuente se le denominará </w:t>
      </w:r>
      <w:r w:rsidRPr="001F6EF8">
        <w:rPr>
          <w:b/>
          <w:bCs/>
        </w:rPr>
        <w:t>LA PARTE RECURRENTE</w:t>
      </w:r>
      <w:r w:rsidRPr="001F6EF8">
        <w:t>, en contra de la respuesta emitida por</w:t>
      </w:r>
      <w:r w:rsidR="00DE7EB8" w:rsidRPr="001F6EF8">
        <w:t xml:space="preserve"> el</w:t>
      </w:r>
      <w:r w:rsidRPr="001F6EF8">
        <w:t xml:space="preserve"> </w:t>
      </w:r>
      <w:r w:rsidR="00B04291" w:rsidRPr="001F6EF8">
        <w:rPr>
          <w:b/>
          <w:bCs/>
        </w:rPr>
        <w:t>Ayuntamiento de Toluca</w:t>
      </w:r>
      <w:r w:rsidRPr="001F6EF8">
        <w:t xml:space="preserve">, en adelante </w:t>
      </w:r>
      <w:r w:rsidRPr="001F6EF8">
        <w:rPr>
          <w:b/>
          <w:bCs/>
        </w:rPr>
        <w:t>EL SUJETO OBLIGADO</w:t>
      </w:r>
      <w:r w:rsidRPr="001F6EF8">
        <w:rPr>
          <w:rFonts w:eastAsia="Calibri"/>
          <w:lang w:eastAsia="en-US"/>
        </w:rPr>
        <w:t xml:space="preserve">, </w:t>
      </w:r>
      <w:r w:rsidRPr="001F6EF8">
        <w:t>se emite la presente Resolución con base en los Antecedentes y Considerandos que se exponen a continuación:</w:t>
      </w:r>
    </w:p>
    <w:p w14:paraId="2116968C" w14:textId="77777777" w:rsidR="00775BFC" w:rsidRPr="001F6EF8" w:rsidRDefault="00775BFC" w:rsidP="00775BFC"/>
    <w:p w14:paraId="5A444FB6" w14:textId="639D3567" w:rsidR="00664420" w:rsidRPr="001F6EF8" w:rsidRDefault="00664420" w:rsidP="00664420">
      <w:pPr>
        <w:pStyle w:val="Ttulo1"/>
      </w:pPr>
      <w:bookmarkStart w:id="3" w:name="_Toc200541427"/>
      <w:r w:rsidRPr="001F6EF8">
        <w:t>ANTECEDENTES</w:t>
      </w:r>
      <w:bookmarkEnd w:id="3"/>
    </w:p>
    <w:p w14:paraId="7CE9E53D" w14:textId="77777777" w:rsidR="00E37A3F" w:rsidRPr="001F6EF8" w:rsidRDefault="00E37A3F" w:rsidP="00E37A3F"/>
    <w:p w14:paraId="09B2D38F" w14:textId="6E49D146" w:rsidR="00664420" w:rsidRPr="001F6EF8" w:rsidRDefault="00E37A3F" w:rsidP="00AC2DB8">
      <w:pPr>
        <w:pStyle w:val="Ttulo2"/>
        <w:jc w:val="left"/>
      </w:pPr>
      <w:bookmarkStart w:id="4" w:name="_Toc200541428"/>
      <w:r w:rsidRPr="001F6EF8">
        <w:t>DE LA SOLICITUD DE INFORMACIÓN</w:t>
      </w:r>
      <w:bookmarkEnd w:id="4"/>
    </w:p>
    <w:p w14:paraId="2C6AD1A5" w14:textId="0405B3CD" w:rsidR="00664420" w:rsidRPr="001F6EF8" w:rsidRDefault="00E37A3F" w:rsidP="00E37A3F">
      <w:pPr>
        <w:pStyle w:val="Ttulo3"/>
      </w:pPr>
      <w:bookmarkStart w:id="5" w:name="_Toc200541429"/>
      <w:r w:rsidRPr="001F6EF8">
        <w:t xml:space="preserve">a) </w:t>
      </w:r>
      <w:r w:rsidR="006B10B0" w:rsidRPr="001F6EF8">
        <w:t>S</w:t>
      </w:r>
      <w:r w:rsidR="00664420" w:rsidRPr="001F6EF8">
        <w:t xml:space="preserve">olicitud de </w:t>
      </w:r>
      <w:r w:rsidR="006B10B0" w:rsidRPr="001F6EF8">
        <w:t>i</w:t>
      </w:r>
      <w:r w:rsidR="00664420" w:rsidRPr="001F6EF8">
        <w:t>nformación</w:t>
      </w:r>
      <w:bookmarkEnd w:id="5"/>
    </w:p>
    <w:p w14:paraId="06DCD29D" w14:textId="5EAE15C8" w:rsidR="009A2D78" w:rsidRPr="001F6EF8" w:rsidRDefault="006B10B0" w:rsidP="009A2D78">
      <w:pPr>
        <w:pStyle w:val="Prrafodelista"/>
        <w:tabs>
          <w:tab w:val="left" w:pos="0"/>
        </w:tabs>
        <w:ind w:left="0"/>
        <w:contextualSpacing w:val="0"/>
        <w:rPr>
          <w:rFonts w:cs="Tahoma"/>
        </w:rPr>
      </w:pPr>
      <w:r w:rsidRPr="001F6EF8">
        <w:rPr>
          <w:rFonts w:cs="Tahoma"/>
        </w:rPr>
        <w:t>El</w:t>
      </w:r>
      <w:r w:rsidR="00664420" w:rsidRPr="001F6EF8">
        <w:rPr>
          <w:rFonts w:cs="Tahoma"/>
        </w:rPr>
        <w:t xml:space="preserve"> </w:t>
      </w:r>
      <w:r w:rsidR="00690058" w:rsidRPr="001F6EF8">
        <w:rPr>
          <w:rFonts w:cs="Tahoma"/>
          <w:b/>
          <w:bCs/>
        </w:rPr>
        <w:t>veintiuno de marzo</w:t>
      </w:r>
      <w:r w:rsidR="0024160B" w:rsidRPr="001F6EF8">
        <w:rPr>
          <w:rFonts w:cs="Tahoma"/>
          <w:b/>
          <w:bCs/>
        </w:rPr>
        <w:t xml:space="preserve"> de dos mil veinticinco</w:t>
      </w:r>
      <w:r w:rsidR="00DB02DB" w:rsidRPr="001F6EF8">
        <w:rPr>
          <w:rFonts w:cs="Tahoma"/>
          <w:b/>
          <w:bCs/>
        </w:rPr>
        <w:t>,</w:t>
      </w:r>
      <w:r w:rsidR="00664420" w:rsidRPr="001F6EF8">
        <w:rPr>
          <w:rFonts w:cs="Tahoma"/>
        </w:rPr>
        <w:t xml:space="preserve"> </w:t>
      </w:r>
      <w:r w:rsidRPr="001F6EF8">
        <w:rPr>
          <w:b/>
          <w:bCs/>
        </w:rPr>
        <w:t>LA PARTE RECURRENTE</w:t>
      </w:r>
      <w:r w:rsidR="00664420" w:rsidRPr="001F6EF8">
        <w:rPr>
          <w:rFonts w:cs="Tahoma"/>
        </w:rPr>
        <w:t xml:space="preserve"> presentó una solicitud de acceso a la información pública </w:t>
      </w:r>
      <w:r w:rsidR="001F3515" w:rsidRPr="001F6EF8">
        <w:rPr>
          <w:rFonts w:cs="Tahoma"/>
        </w:rPr>
        <w:t xml:space="preserve">ante el </w:t>
      </w:r>
      <w:r w:rsidR="001F3515" w:rsidRPr="001F6EF8">
        <w:rPr>
          <w:rFonts w:cs="Tahoma"/>
          <w:b/>
          <w:bCs/>
        </w:rPr>
        <w:t>SUJETO OBLIGADO</w:t>
      </w:r>
      <w:r w:rsidR="001F3515" w:rsidRPr="001F6EF8">
        <w:rPr>
          <w:rFonts w:cs="Tahoma"/>
        </w:rPr>
        <w:t xml:space="preserve">, </w:t>
      </w:r>
      <w:r w:rsidR="00664420" w:rsidRPr="001F6EF8">
        <w:rPr>
          <w:rFonts w:cs="Tahoma"/>
        </w:rPr>
        <w:t>a través del Sistema de Acceso a la Información Mexiquense</w:t>
      </w:r>
      <w:r w:rsidRPr="001F6EF8">
        <w:rPr>
          <w:rFonts w:cs="Tahoma"/>
        </w:rPr>
        <w:t xml:space="preserve"> </w:t>
      </w:r>
      <w:r w:rsidR="009A2D78" w:rsidRPr="001F6EF8">
        <w:rPr>
          <w:rFonts w:cs="Tahoma"/>
        </w:rPr>
        <w:t>(</w:t>
      </w:r>
      <w:r w:rsidRPr="001F6EF8">
        <w:rPr>
          <w:rFonts w:cs="Tahoma"/>
          <w:b/>
          <w:bCs/>
        </w:rPr>
        <w:t>SAIMEX</w:t>
      </w:r>
      <w:r w:rsidR="009A2D78" w:rsidRPr="001F6EF8">
        <w:rPr>
          <w:rFonts w:cs="Tahoma"/>
        </w:rPr>
        <w:t>). Dicha solicitud quedó</w:t>
      </w:r>
      <w:r w:rsidRPr="001F6EF8">
        <w:rPr>
          <w:rFonts w:cs="Tahoma"/>
        </w:rPr>
        <w:t xml:space="preserve"> registrada c</w:t>
      </w:r>
      <w:r w:rsidR="00664420" w:rsidRPr="001F6EF8">
        <w:rPr>
          <w:rFonts w:cs="Tahoma"/>
        </w:rPr>
        <w:t>on el número de folio</w:t>
      </w:r>
      <w:r w:rsidR="00664420" w:rsidRPr="001F6EF8">
        <w:rPr>
          <w:rFonts w:cs="Tahoma"/>
          <w:b/>
          <w:bCs/>
        </w:rPr>
        <w:t xml:space="preserve"> </w:t>
      </w:r>
      <w:r w:rsidR="00690058" w:rsidRPr="001F6EF8">
        <w:rPr>
          <w:rFonts w:cs="Tahoma"/>
          <w:b/>
          <w:bCs/>
        </w:rPr>
        <w:t>01756/TOLUCA/IP/2025</w:t>
      </w:r>
      <w:r w:rsidR="002A3601" w:rsidRPr="001F6EF8">
        <w:rPr>
          <w:rFonts w:cs="Tahoma"/>
        </w:rPr>
        <w:t xml:space="preserve"> y en ella </w:t>
      </w:r>
      <w:r w:rsidR="009A2D78" w:rsidRPr="001F6EF8">
        <w:rPr>
          <w:rFonts w:cs="Tahoma"/>
        </w:rPr>
        <w:t>se requirió la siguiente información:</w:t>
      </w:r>
    </w:p>
    <w:p w14:paraId="0459D6AC" w14:textId="77777777" w:rsidR="00664420" w:rsidRPr="001F6EF8" w:rsidRDefault="00664420" w:rsidP="00664420">
      <w:pPr>
        <w:tabs>
          <w:tab w:val="left" w:pos="4667"/>
        </w:tabs>
        <w:ind w:left="567" w:right="567"/>
        <w:rPr>
          <w:rFonts w:cs="Tahoma"/>
          <w:b/>
          <w:bCs/>
        </w:rPr>
      </w:pPr>
    </w:p>
    <w:p w14:paraId="179FB369" w14:textId="73DBF880" w:rsidR="00664420" w:rsidRPr="001F6EF8" w:rsidRDefault="00AF2426" w:rsidP="00C14959">
      <w:pPr>
        <w:pStyle w:val="Puesto"/>
      </w:pPr>
      <w:r w:rsidRPr="001F6EF8">
        <w:t>“</w:t>
      </w:r>
      <w:r w:rsidR="00690058" w:rsidRPr="001F6EF8">
        <w:t>SOLICITO SABER EL PROGRAMA O ACCIONES QUE IMPLEMENTARAN EN RELACION AL al maltrato animal EN EL centro de bienestar animal, ademas quiero saber cuantos perros han estilizado, vacunado desde enero a agosto del año 2024 Y 2025 Cuantos animales tienen en el centro de bienestar animal actualmente y que condiciones se encuentran. Solicito fotos del centro de bienestar animal de las condiciones que se encuentra actualmente, incluyendo el espacio que tienen los perros con fotografias Solicito los nombres de los servidores publicos que trabajan en el centro de bienestar animal, su último recibo de nomina, curriculum vitae de 2025</w:t>
      </w:r>
      <w:r w:rsidR="003B23F8" w:rsidRPr="001F6EF8">
        <w:t>.</w:t>
      </w:r>
      <w:r w:rsidRPr="001F6EF8">
        <w:t>”</w:t>
      </w:r>
    </w:p>
    <w:p w14:paraId="0A47E830" w14:textId="77777777" w:rsidR="00C14959" w:rsidRPr="001F6EF8" w:rsidRDefault="00C14959" w:rsidP="00DE7EB8">
      <w:pPr>
        <w:tabs>
          <w:tab w:val="left" w:pos="4667"/>
        </w:tabs>
        <w:ind w:right="567"/>
        <w:rPr>
          <w:rFonts w:cs="Tahoma"/>
          <w:bCs/>
          <w:i/>
          <w:szCs w:val="22"/>
        </w:rPr>
      </w:pPr>
    </w:p>
    <w:p w14:paraId="2C4045D7" w14:textId="454298C1" w:rsidR="00AF03C4" w:rsidRPr="001F6EF8" w:rsidRDefault="009A2D78" w:rsidP="00AF2426">
      <w:pPr>
        <w:tabs>
          <w:tab w:val="left" w:pos="4667"/>
        </w:tabs>
        <w:ind w:left="567" w:right="567"/>
        <w:rPr>
          <w:rFonts w:cs="Tahoma"/>
          <w:bCs/>
          <w:i/>
          <w:szCs w:val="22"/>
        </w:rPr>
      </w:pPr>
      <w:r w:rsidRPr="001F6EF8">
        <w:rPr>
          <w:rFonts w:cs="Tahoma"/>
          <w:b/>
          <w:bCs/>
          <w:szCs w:val="22"/>
        </w:rPr>
        <w:lastRenderedPageBreak/>
        <w:t>Modalidad de entrega</w:t>
      </w:r>
      <w:r w:rsidRPr="001F6EF8">
        <w:rPr>
          <w:rFonts w:cs="Tahoma"/>
          <w:bCs/>
          <w:szCs w:val="22"/>
        </w:rPr>
        <w:t>: a</w:t>
      </w:r>
      <w:r w:rsidR="00664420" w:rsidRPr="001F6EF8">
        <w:rPr>
          <w:rFonts w:cs="Tahoma"/>
          <w:bCs/>
          <w:i/>
          <w:szCs w:val="22"/>
        </w:rPr>
        <w:t xml:space="preserve"> través del </w:t>
      </w:r>
      <w:r w:rsidR="00664420" w:rsidRPr="001F6EF8">
        <w:rPr>
          <w:rFonts w:cs="Tahoma"/>
          <w:b/>
          <w:i/>
          <w:szCs w:val="22"/>
        </w:rPr>
        <w:t>SAIMEX</w:t>
      </w:r>
      <w:r w:rsidRPr="001F6EF8">
        <w:rPr>
          <w:rFonts w:cs="Tahoma"/>
          <w:bCs/>
          <w:i/>
          <w:szCs w:val="22"/>
        </w:rPr>
        <w:t>.</w:t>
      </w:r>
    </w:p>
    <w:p w14:paraId="26EAF8B6" w14:textId="77777777" w:rsidR="00AF2426" w:rsidRPr="001F6EF8" w:rsidRDefault="00AF2426" w:rsidP="00382A5D">
      <w:pPr>
        <w:tabs>
          <w:tab w:val="left" w:pos="4667"/>
        </w:tabs>
        <w:ind w:right="567"/>
        <w:rPr>
          <w:rFonts w:cs="Tahoma"/>
          <w:bCs/>
          <w:szCs w:val="22"/>
        </w:rPr>
      </w:pPr>
    </w:p>
    <w:p w14:paraId="6D3CC97A" w14:textId="77777777" w:rsidR="00382A5D" w:rsidRPr="001F6EF8" w:rsidRDefault="00382A5D" w:rsidP="00382A5D">
      <w:pPr>
        <w:pStyle w:val="Ttulo3"/>
      </w:pPr>
      <w:bookmarkStart w:id="6" w:name="_Toc170985407"/>
      <w:bookmarkStart w:id="7" w:name="_Toc200541430"/>
      <w:r w:rsidRPr="001F6EF8">
        <w:t>b) Turno de la solicitud de información</w:t>
      </w:r>
      <w:bookmarkEnd w:id="6"/>
      <w:bookmarkEnd w:id="7"/>
    </w:p>
    <w:p w14:paraId="500A3A6A" w14:textId="26B945E2" w:rsidR="00382A5D" w:rsidRPr="001F6EF8" w:rsidRDefault="00382A5D" w:rsidP="00382A5D">
      <w:pPr>
        <w:rPr>
          <w:color w:val="000000" w:themeColor="text1"/>
        </w:rPr>
      </w:pPr>
      <w:r w:rsidRPr="001F6EF8">
        <w:rPr>
          <w:color w:val="000000" w:themeColor="text1"/>
        </w:rPr>
        <w:t xml:space="preserve">En cumplimiento al artículo 162 de la Ley de Transparencia y Acceso a la Información Pública del Estado de México y Municipios, el </w:t>
      </w:r>
      <w:r w:rsidR="00690058" w:rsidRPr="001F6EF8">
        <w:rPr>
          <w:rFonts w:eastAsia="Palatino Linotype" w:cs="Palatino Linotype"/>
          <w:b/>
        </w:rPr>
        <w:t>veinticuatro de marzo</w:t>
      </w:r>
      <w:r w:rsidR="0024160B" w:rsidRPr="001F6EF8">
        <w:rPr>
          <w:rFonts w:eastAsia="Palatino Linotype" w:cs="Palatino Linotype"/>
          <w:b/>
        </w:rPr>
        <w:t xml:space="preserve"> de dos mil veinticinco</w:t>
      </w:r>
      <w:r w:rsidRPr="001F6EF8">
        <w:rPr>
          <w:color w:val="000000" w:themeColor="text1"/>
        </w:rPr>
        <w:t xml:space="preserve">, el Titular de la Unidad de Transparencia del </w:t>
      </w:r>
      <w:r w:rsidRPr="001F6EF8">
        <w:rPr>
          <w:b/>
          <w:color w:val="000000" w:themeColor="text1"/>
        </w:rPr>
        <w:t>SUJETO OBLIGADO</w:t>
      </w:r>
      <w:r w:rsidRPr="001F6EF8">
        <w:rPr>
          <w:color w:val="000000" w:themeColor="text1"/>
        </w:rPr>
        <w:t xml:space="preserve"> turn</w:t>
      </w:r>
      <w:r w:rsidR="0024160B" w:rsidRPr="001F6EF8">
        <w:rPr>
          <w:color w:val="000000" w:themeColor="text1"/>
        </w:rPr>
        <w:t>ó la solicitud de información a</w:t>
      </w:r>
      <w:r w:rsidR="00DE7EB8" w:rsidRPr="001F6EF8">
        <w:rPr>
          <w:color w:val="000000" w:themeColor="text1"/>
        </w:rPr>
        <w:t>l</w:t>
      </w:r>
      <w:r w:rsidR="0024160B" w:rsidRPr="001F6EF8">
        <w:rPr>
          <w:color w:val="000000" w:themeColor="text1"/>
        </w:rPr>
        <w:t xml:space="preserve"> servidor público</w:t>
      </w:r>
      <w:r w:rsidR="00C14959" w:rsidRPr="001F6EF8">
        <w:rPr>
          <w:color w:val="000000" w:themeColor="text1"/>
        </w:rPr>
        <w:t xml:space="preserve"> </w:t>
      </w:r>
      <w:r w:rsidRPr="001F6EF8">
        <w:rPr>
          <w:color w:val="000000" w:themeColor="text1"/>
        </w:rPr>
        <w:t>que estimó pertinente.</w:t>
      </w:r>
    </w:p>
    <w:p w14:paraId="107AC7FC" w14:textId="77777777" w:rsidR="003B23F8" w:rsidRPr="001F6EF8" w:rsidRDefault="003B23F8" w:rsidP="003B23F8"/>
    <w:p w14:paraId="3212BA4D" w14:textId="4DA8F68D" w:rsidR="00664420" w:rsidRPr="001F6EF8" w:rsidRDefault="00B04291" w:rsidP="00E37A3F">
      <w:pPr>
        <w:pStyle w:val="Ttulo3"/>
        <w:rPr>
          <w:rFonts w:eastAsia="Calibri"/>
          <w:lang w:eastAsia="en-US"/>
        </w:rPr>
      </w:pPr>
      <w:bookmarkStart w:id="8" w:name="_Toc200541431"/>
      <w:r w:rsidRPr="001F6EF8">
        <w:rPr>
          <w:lang w:val="es-ES"/>
        </w:rPr>
        <w:t>c</w:t>
      </w:r>
      <w:r w:rsidR="00E37A3F" w:rsidRPr="001F6EF8">
        <w:rPr>
          <w:lang w:val="es-ES"/>
        </w:rPr>
        <w:t xml:space="preserve">) </w:t>
      </w:r>
      <w:r w:rsidR="00664420" w:rsidRPr="001F6EF8">
        <w:rPr>
          <w:lang w:val="es-ES"/>
        </w:rPr>
        <w:t xml:space="preserve">Respuesta </w:t>
      </w:r>
      <w:r w:rsidR="00664420" w:rsidRPr="001F6EF8">
        <w:rPr>
          <w:rFonts w:eastAsia="Calibri"/>
          <w:lang w:eastAsia="en-US"/>
        </w:rPr>
        <w:t>del Sujeto Obligado</w:t>
      </w:r>
      <w:bookmarkEnd w:id="8"/>
    </w:p>
    <w:p w14:paraId="79199CC1" w14:textId="60065BA6" w:rsidR="00664420" w:rsidRPr="001F6EF8" w:rsidRDefault="00664420" w:rsidP="00251911">
      <w:pPr>
        <w:pStyle w:val="Sinespaciado"/>
        <w:spacing w:line="360" w:lineRule="auto"/>
        <w:rPr>
          <w:lang w:val="es-ES"/>
        </w:rPr>
      </w:pPr>
      <w:r w:rsidRPr="001F6EF8">
        <w:rPr>
          <w:lang w:val="es-ES"/>
        </w:rPr>
        <w:t xml:space="preserve">El </w:t>
      </w:r>
      <w:r w:rsidR="00690058" w:rsidRPr="001F6EF8">
        <w:rPr>
          <w:b/>
          <w:bCs/>
          <w:lang w:val="es-ES"/>
        </w:rPr>
        <w:t>diez de abril</w:t>
      </w:r>
      <w:r w:rsidR="0024160B" w:rsidRPr="001F6EF8">
        <w:rPr>
          <w:b/>
          <w:bCs/>
          <w:lang w:val="es-ES"/>
        </w:rPr>
        <w:t xml:space="preserve"> de dos mil veinticinco</w:t>
      </w:r>
      <w:r w:rsidRPr="001F6EF8">
        <w:rPr>
          <w:lang w:val="es-ES"/>
        </w:rPr>
        <w:t xml:space="preserve">, </w:t>
      </w:r>
      <w:r w:rsidR="00F07EE6" w:rsidRPr="001F6EF8">
        <w:rPr>
          <w:lang w:val="es-ES"/>
        </w:rPr>
        <w:t xml:space="preserve">el Titular de la Unidad de Transparencia del </w:t>
      </w:r>
      <w:r w:rsidR="00F07EE6" w:rsidRPr="001F6EF8">
        <w:rPr>
          <w:b/>
          <w:lang w:val="es-ES"/>
        </w:rPr>
        <w:t>SUJETO OBLIGADO</w:t>
      </w:r>
      <w:r w:rsidR="00F07EE6" w:rsidRPr="001F6EF8">
        <w:rPr>
          <w:lang w:val="es-ES"/>
        </w:rPr>
        <w:t xml:space="preserve"> notificó la siguiente respuesta a través del </w:t>
      </w:r>
      <w:r w:rsidRPr="001F6EF8">
        <w:rPr>
          <w:lang w:val="es-ES"/>
        </w:rPr>
        <w:t>SAIMEX</w:t>
      </w:r>
      <w:r w:rsidR="00F07EE6" w:rsidRPr="001F6EF8">
        <w:rPr>
          <w:lang w:val="es-ES"/>
        </w:rPr>
        <w:t>:</w:t>
      </w:r>
    </w:p>
    <w:p w14:paraId="669F7EFD" w14:textId="77777777" w:rsidR="00664420" w:rsidRPr="001F6EF8" w:rsidRDefault="00664420" w:rsidP="00664420">
      <w:pPr>
        <w:tabs>
          <w:tab w:val="left" w:pos="4667"/>
        </w:tabs>
        <w:ind w:left="567" w:right="567"/>
        <w:rPr>
          <w:rFonts w:cs="Tahoma"/>
          <w:b/>
          <w:bCs/>
        </w:rPr>
      </w:pPr>
    </w:p>
    <w:p w14:paraId="315EAB8D" w14:textId="77777777" w:rsidR="00690058" w:rsidRPr="001F6EF8" w:rsidRDefault="00F769AA" w:rsidP="00690058">
      <w:pPr>
        <w:autoSpaceDE w:val="0"/>
        <w:autoSpaceDN w:val="0"/>
        <w:adjustRightInd w:val="0"/>
        <w:spacing w:line="240" w:lineRule="auto"/>
        <w:ind w:left="851" w:right="822"/>
        <w:rPr>
          <w:rFonts w:eastAsiaTheme="majorEastAsia" w:cstheme="majorBidi"/>
          <w:i/>
          <w:kern w:val="28"/>
          <w:szCs w:val="56"/>
        </w:rPr>
      </w:pPr>
      <w:r w:rsidRPr="001F6EF8">
        <w:rPr>
          <w:rFonts w:eastAsiaTheme="majorEastAsia" w:cstheme="majorBidi"/>
          <w:i/>
          <w:kern w:val="28"/>
          <w:szCs w:val="56"/>
        </w:rPr>
        <w:t>“</w:t>
      </w:r>
      <w:r w:rsidR="00690058" w:rsidRPr="001F6EF8">
        <w:rPr>
          <w:rFonts w:eastAsiaTheme="majorEastAsia" w:cstheme="majorBidi"/>
          <w:i/>
          <w:kern w:val="28"/>
          <w:szCs w:val="5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F85AF0" w14:textId="77777777" w:rsidR="00DD046E" w:rsidRPr="001F6EF8" w:rsidRDefault="00DD046E" w:rsidP="00690058">
      <w:pPr>
        <w:autoSpaceDE w:val="0"/>
        <w:autoSpaceDN w:val="0"/>
        <w:adjustRightInd w:val="0"/>
        <w:spacing w:line="240" w:lineRule="auto"/>
        <w:ind w:left="851" w:right="822"/>
        <w:rPr>
          <w:rFonts w:eastAsiaTheme="majorEastAsia" w:cstheme="majorBidi"/>
          <w:i/>
          <w:kern w:val="28"/>
          <w:szCs w:val="56"/>
        </w:rPr>
      </w:pPr>
    </w:p>
    <w:p w14:paraId="17E8108C" w14:textId="77777777" w:rsidR="00690058" w:rsidRPr="001F6EF8" w:rsidRDefault="00690058" w:rsidP="00690058">
      <w:pPr>
        <w:autoSpaceDE w:val="0"/>
        <w:autoSpaceDN w:val="0"/>
        <w:adjustRightInd w:val="0"/>
        <w:spacing w:line="240" w:lineRule="auto"/>
        <w:ind w:left="851" w:right="822"/>
        <w:rPr>
          <w:rFonts w:eastAsiaTheme="majorEastAsia" w:cstheme="majorBidi"/>
          <w:i/>
          <w:kern w:val="28"/>
          <w:szCs w:val="56"/>
        </w:rPr>
      </w:pPr>
      <w:r w:rsidRPr="001F6EF8">
        <w:rPr>
          <w:rFonts w:eastAsiaTheme="majorEastAsia" w:cstheme="majorBidi"/>
          <w:i/>
          <w:kern w:val="28"/>
          <w:szCs w:val="56"/>
        </w:rPr>
        <w:t>En atención a la solicitud con folio 01756/TOLUCA/IP/2025, me permito adjuntar al presente la respuesta correspondiente DE LA DIRECCIÓN GENERAL DE MEDIO AMBIENTE, DIRECCIÓN GENERAL DE ADMINISTRACIÓN, Sin más por el momento, reciba un saludo.</w:t>
      </w:r>
    </w:p>
    <w:p w14:paraId="0BB06EE1" w14:textId="77777777" w:rsidR="00DD046E" w:rsidRPr="001F6EF8" w:rsidRDefault="00DD046E" w:rsidP="00690058">
      <w:pPr>
        <w:autoSpaceDE w:val="0"/>
        <w:autoSpaceDN w:val="0"/>
        <w:adjustRightInd w:val="0"/>
        <w:spacing w:line="240" w:lineRule="auto"/>
        <w:ind w:left="851" w:right="822"/>
        <w:rPr>
          <w:rFonts w:eastAsiaTheme="majorEastAsia" w:cstheme="majorBidi"/>
          <w:i/>
          <w:kern w:val="28"/>
          <w:szCs w:val="56"/>
        </w:rPr>
      </w:pPr>
    </w:p>
    <w:p w14:paraId="3CCF99E9" w14:textId="77777777" w:rsidR="00690058" w:rsidRPr="001F6EF8" w:rsidRDefault="00690058" w:rsidP="00690058">
      <w:pPr>
        <w:autoSpaceDE w:val="0"/>
        <w:autoSpaceDN w:val="0"/>
        <w:adjustRightInd w:val="0"/>
        <w:spacing w:line="240" w:lineRule="auto"/>
        <w:ind w:left="851" w:right="822"/>
        <w:rPr>
          <w:rFonts w:eastAsiaTheme="majorEastAsia" w:cstheme="majorBidi"/>
          <w:i/>
          <w:kern w:val="28"/>
          <w:szCs w:val="56"/>
        </w:rPr>
      </w:pPr>
      <w:r w:rsidRPr="001F6EF8">
        <w:rPr>
          <w:rFonts w:eastAsiaTheme="majorEastAsia" w:cstheme="majorBidi"/>
          <w:i/>
          <w:kern w:val="28"/>
          <w:szCs w:val="56"/>
        </w:rPr>
        <w:t>ATENTAMENTE</w:t>
      </w:r>
    </w:p>
    <w:p w14:paraId="0A9A5BAC" w14:textId="77777777" w:rsidR="00DD046E" w:rsidRPr="001F6EF8" w:rsidRDefault="00DD046E" w:rsidP="00690058">
      <w:pPr>
        <w:autoSpaceDE w:val="0"/>
        <w:autoSpaceDN w:val="0"/>
        <w:adjustRightInd w:val="0"/>
        <w:spacing w:line="240" w:lineRule="auto"/>
        <w:ind w:left="851" w:right="822"/>
        <w:rPr>
          <w:rFonts w:eastAsiaTheme="majorEastAsia" w:cstheme="majorBidi"/>
          <w:i/>
          <w:kern w:val="28"/>
          <w:szCs w:val="56"/>
        </w:rPr>
      </w:pPr>
    </w:p>
    <w:p w14:paraId="5D11024C" w14:textId="03504B53" w:rsidR="00664420" w:rsidRPr="001F6EF8" w:rsidRDefault="00690058" w:rsidP="00690058">
      <w:pPr>
        <w:autoSpaceDE w:val="0"/>
        <w:autoSpaceDN w:val="0"/>
        <w:adjustRightInd w:val="0"/>
        <w:spacing w:line="240" w:lineRule="auto"/>
        <w:ind w:left="851" w:right="822"/>
        <w:rPr>
          <w:rFonts w:eastAsiaTheme="majorEastAsia" w:cstheme="majorBidi"/>
          <w:i/>
          <w:kern w:val="28"/>
          <w:szCs w:val="56"/>
        </w:rPr>
      </w:pPr>
      <w:r w:rsidRPr="001F6EF8">
        <w:rPr>
          <w:rFonts w:eastAsiaTheme="majorEastAsia" w:cstheme="majorBidi"/>
          <w:i/>
          <w:kern w:val="28"/>
          <w:szCs w:val="56"/>
        </w:rPr>
        <w:t>Dr. Nahum Miguel Mendoza Morales</w:t>
      </w:r>
      <w:r w:rsidR="00F769AA" w:rsidRPr="001F6EF8">
        <w:rPr>
          <w:rFonts w:eastAsiaTheme="majorEastAsia" w:cstheme="majorBidi"/>
          <w:i/>
          <w:kern w:val="28"/>
          <w:szCs w:val="56"/>
        </w:rPr>
        <w:t>”</w:t>
      </w:r>
    </w:p>
    <w:p w14:paraId="7EDA5FB3" w14:textId="77777777" w:rsidR="002B64CC" w:rsidRPr="001F6EF8" w:rsidRDefault="002B64CC" w:rsidP="002B64CC">
      <w:pPr>
        <w:autoSpaceDE w:val="0"/>
        <w:autoSpaceDN w:val="0"/>
        <w:adjustRightInd w:val="0"/>
        <w:ind w:right="-28"/>
        <w:rPr>
          <w:rFonts w:cs="Tahoma"/>
          <w:bCs/>
          <w:szCs w:val="22"/>
        </w:rPr>
      </w:pPr>
    </w:p>
    <w:p w14:paraId="70920289" w14:textId="3BA97AC6" w:rsidR="00664420" w:rsidRPr="001F6EF8" w:rsidRDefault="00F07EE6" w:rsidP="00664420">
      <w:pPr>
        <w:autoSpaceDE w:val="0"/>
        <w:autoSpaceDN w:val="0"/>
        <w:adjustRightInd w:val="0"/>
        <w:ind w:right="-28"/>
        <w:rPr>
          <w:rFonts w:cs="Tahoma"/>
          <w:bCs/>
          <w:szCs w:val="22"/>
          <w:lang w:val="es-ES"/>
        </w:rPr>
      </w:pPr>
      <w:r w:rsidRPr="001F6EF8">
        <w:rPr>
          <w:rFonts w:cs="Tahoma"/>
          <w:bCs/>
          <w:szCs w:val="22"/>
          <w:lang w:val="es-ES"/>
        </w:rPr>
        <w:t xml:space="preserve">Asimismo, </w:t>
      </w:r>
      <w:r w:rsidRPr="001F6EF8">
        <w:rPr>
          <w:rFonts w:cs="Tahoma"/>
          <w:b/>
          <w:szCs w:val="22"/>
          <w:lang w:val="es-ES"/>
        </w:rPr>
        <w:t xml:space="preserve">EL SUJETO OBLIGADO </w:t>
      </w:r>
      <w:r w:rsidRPr="001F6EF8">
        <w:rPr>
          <w:rFonts w:cs="Tahoma"/>
          <w:bCs/>
          <w:szCs w:val="22"/>
          <w:lang w:val="es-ES"/>
        </w:rPr>
        <w:t xml:space="preserve">adjuntó a su respuesta </w:t>
      </w:r>
      <w:r w:rsidR="002B64CC" w:rsidRPr="001F6EF8">
        <w:rPr>
          <w:rFonts w:cs="Tahoma"/>
          <w:bCs/>
          <w:szCs w:val="22"/>
          <w:lang w:val="es-ES"/>
        </w:rPr>
        <w:t>lo siguiente</w:t>
      </w:r>
      <w:r w:rsidR="00664420" w:rsidRPr="001F6EF8">
        <w:rPr>
          <w:rFonts w:cs="Tahoma"/>
          <w:bCs/>
          <w:szCs w:val="22"/>
          <w:lang w:val="es-ES"/>
        </w:rPr>
        <w:t>:</w:t>
      </w:r>
    </w:p>
    <w:p w14:paraId="2C78354F" w14:textId="77777777" w:rsidR="00664420" w:rsidRPr="001F6EF8" w:rsidRDefault="00664420" w:rsidP="00664420">
      <w:pPr>
        <w:autoSpaceDE w:val="0"/>
        <w:autoSpaceDN w:val="0"/>
        <w:adjustRightInd w:val="0"/>
        <w:ind w:right="-28"/>
        <w:rPr>
          <w:rFonts w:cs="Tahoma"/>
          <w:bCs/>
          <w:szCs w:val="22"/>
          <w:lang w:val="es-ES"/>
        </w:rPr>
      </w:pPr>
    </w:p>
    <w:p w14:paraId="18890BFD" w14:textId="3BD236F9" w:rsidR="00DE1133" w:rsidRPr="001F6EF8" w:rsidRDefault="00690058" w:rsidP="00690058">
      <w:pPr>
        <w:pStyle w:val="Prrafodelista"/>
        <w:numPr>
          <w:ilvl w:val="0"/>
          <w:numId w:val="23"/>
        </w:numPr>
        <w:autoSpaceDE w:val="0"/>
        <w:autoSpaceDN w:val="0"/>
        <w:adjustRightInd w:val="0"/>
        <w:ind w:right="-28"/>
        <w:rPr>
          <w:rFonts w:cs="Tahoma"/>
          <w:bCs/>
          <w:szCs w:val="22"/>
          <w:lang w:val="es-ES"/>
        </w:rPr>
      </w:pPr>
      <w:r w:rsidRPr="001F6EF8">
        <w:rPr>
          <w:rFonts w:cs="Tahoma"/>
          <w:b/>
          <w:bCs/>
          <w:szCs w:val="22"/>
          <w:lang w:val="es-ES"/>
        </w:rPr>
        <w:t>R. 01756. 2025.pdf</w:t>
      </w:r>
      <w:r w:rsidR="00251911" w:rsidRPr="001F6EF8">
        <w:rPr>
          <w:rFonts w:cs="Tahoma"/>
          <w:bCs/>
          <w:szCs w:val="22"/>
          <w:lang w:val="es-ES"/>
        </w:rPr>
        <w:t xml:space="preserve">: </w:t>
      </w:r>
      <w:r w:rsidR="00850984" w:rsidRPr="001F6EF8">
        <w:rPr>
          <w:rFonts w:cs="Tahoma"/>
          <w:bCs/>
          <w:szCs w:val="22"/>
          <w:lang w:val="es-ES"/>
        </w:rPr>
        <w:t xml:space="preserve">Consiste en el oficio de respuesta, emitido por el </w:t>
      </w:r>
      <w:r w:rsidRPr="001F6EF8">
        <w:rPr>
          <w:rFonts w:cs="Tahoma"/>
          <w:bCs/>
          <w:szCs w:val="22"/>
          <w:lang w:val="es-ES"/>
        </w:rPr>
        <w:t xml:space="preserve">Titular de la Unidad de Transparencia en donde manifiesta adjuntar la información proporcionada </w:t>
      </w:r>
      <w:r w:rsidRPr="001F6EF8">
        <w:rPr>
          <w:rFonts w:cs="Tahoma"/>
          <w:bCs/>
          <w:szCs w:val="22"/>
          <w:lang w:val="es-ES"/>
        </w:rPr>
        <w:lastRenderedPageBreak/>
        <w:t>por la Dirección General de Administración, en donde refiere que después de haber realizado una búsqueda exhaustiva y razonable en los archivos que obran en la Dirección y sus departamentos, los sujetos obligados no deberán proporcionar o hacer pública información que contenga datos personales a concernientes a una persona identificada o identificable</w:t>
      </w:r>
    </w:p>
    <w:p w14:paraId="5EBB9639" w14:textId="77777777" w:rsidR="00DD046E" w:rsidRPr="001F6EF8" w:rsidRDefault="00DD046E" w:rsidP="00DD046E">
      <w:pPr>
        <w:pStyle w:val="Prrafodelista"/>
        <w:autoSpaceDE w:val="0"/>
        <w:autoSpaceDN w:val="0"/>
        <w:adjustRightInd w:val="0"/>
        <w:ind w:right="-28"/>
        <w:rPr>
          <w:rFonts w:cs="Tahoma"/>
          <w:bCs/>
          <w:szCs w:val="22"/>
          <w:lang w:val="es-ES"/>
        </w:rPr>
      </w:pPr>
    </w:p>
    <w:p w14:paraId="629325A1" w14:textId="77777777" w:rsidR="001939A9" w:rsidRPr="001F6EF8" w:rsidRDefault="00690058" w:rsidP="00690058">
      <w:pPr>
        <w:pStyle w:val="Prrafodelista"/>
        <w:numPr>
          <w:ilvl w:val="0"/>
          <w:numId w:val="23"/>
        </w:numPr>
        <w:autoSpaceDE w:val="0"/>
        <w:autoSpaceDN w:val="0"/>
        <w:adjustRightInd w:val="0"/>
        <w:ind w:right="-28"/>
        <w:rPr>
          <w:rFonts w:cs="Tahoma"/>
          <w:b/>
          <w:bCs/>
          <w:szCs w:val="22"/>
          <w:lang w:val="es-ES"/>
        </w:rPr>
      </w:pPr>
      <w:r w:rsidRPr="001F6EF8">
        <w:rPr>
          <w:rFonts w:cs="Tahoma"/>
          <w:b/>
          <w:bCs/>
          <w:szCs w:val="22"/>
          <w:lang w:val="es-ES"/>
        </w:rPr>
        <w:t>RESPUESTA_SAIMEX_01756_TOLUCA_IP_2025.pdf</w:t>
      </w:r>
      <w:r w:rsidR="005E7639" w:rsidRPr="001F6EF8">
        <w:rPr>
          <w:rFonts w:cs="Tahoma"/>
          <w:b/>
          <w:bCs/>
          <w:szCs w:val="22"/>
          <w:lang w:val="es-ES"/>
        </w:rPr>
        <w:t xml:space="preserve">: </w:t>
      </w:r>
    </w:p>
    <w:p w14:paraId="6497DED8" w14:textId="77777777" w:rsidR="001939A9" w:rsidRPr="001F6EF8" w:rsidRDefault="00690058" w:rsidP="001939A9">
      <w:pPr>
        <w:pStyle w:val="Prrafodelista"/>
        <w:numPr>
          <w:ilvl w:val="0"/>
          <w:numId w:val="32"/>
        </w:numPr>
        <w:autoSpaceDE w:val="0"/>
        <w:autoSpaceDN w:val="0"/>
        <w:adjustRightInd w:val="0"/>
        <w:ind w:right="-28"/>
        <w:rPr>
          <w:rFonts w:cs="Tahoma"/>
          <w:b/>
          <w:bCs/>
          <w:szCs w:val="22"/>
          <w:lang w:val="es-ES"/>
        </w:rPr>
      </w:pPr>
      <w:r w:rsidRPr="001F6EF8">
        <w:rPr>
          <w:rFonts w:cs="Tahoma"/>
          <w:bCs/>
          <w:szCs w:val="22"/>
          <w:lang w:val="es-ES"/>
        </w:rPr>
        <w:t xml:space="preserve">Contiene el oficio de respuesta emitido por la Directora General de medio Ambiente en donde precisa que, una vez analizada la información solicitada, </w:t>
      </w:r>
      <w:r w:rsidR="001939A9" w:rsidRPr="001F6EF8">
        <w:rPr>
          <w:rFonts w:cs="Tahoma"/>
          <w:bCs/>
          <w:szCs w:val="22"/>
          <w:lang w:val="es-ES"/>
        </w:rPr>
        <w:t xml:space="preserve">se adjunta en tiempo y forma la respuesta generada por el Centro de Control y Bienestar Animal con número de oficio CCYBA/165/2025 de fecha 27 de marzo de 2025. </w:t>
      </w:r>
    </w:p>
    <w:p w14:paraId="1C6BC908" w14:textId="3EAF5CE8" w:rsidR="003627AB" w:rsidRPr="001F6EF8" w:rsidRDefault="001939A9" w:rsidP="001939A9">
      <w:pPr>
        <w:pStyle w:val="Prrafodelista"/>
        <w:numPr>
          <w:ilvl w:val="0"/>
          <w:numId w:val="32"/>
        </w:numPr>
        <w:autoSpaceDE w:val="0"/>
        <w:autoSpaceDN w:val="0"/>
        <w:adjustRightInd w:val="0"/>
        <w:ind w:right="-28"/>
        <w:rPr>
          <w:rFonts w:cs="Tahoma"/>
          <w:b/>
          <w:bCs/>
          <w:szCs w:val="22"/>
          <w:lang w:val="es-ES"/>
        </w:rPr>
      </w:pPr>
      <w:r w:rsidRPr="001F6EF8">
        <w:rPr>
          <w:rFonts w:cs="Tahoma"/>
          <w:bCs/>
          <w:szCs w:val="22"/>
          <w:lang w:val="es-ES"/>
        </w:rPr>
        <w:t>Se remite al oficio CCYBA/165/2025 signado por el Titular del Centro de Control y Bienestar Animal en donde medularmente responde algunos de los cuestionamientos inmersos en la solicitud de información en el siguiente orden: respecto de las acciones o programas que se implementarán en relación al maltrato animal, se menciona que no ha sido necesario la implementación de lo solicitado en virtud que no hay registro de denuncia o manifestaciones de maltrato animal dentro de las instalaciones del Centro de Control y Bienestar Animal; por cuanto hace al número de perros esterilizados y vacunados desde enero a agosto de</w:t>
      </w:r>
      <w:r w:rsidR="001C69C6" w:rsidRPr="001F6EF8">
        <w:rPr>
          <w:rFonts w:cs="Tahoma"/>
          <w:bCs/>
          <w:szCs w:val="22"/>
          <w:lang w:val="es-ES"/>
        </w:rPr>
        <w:t xml:space="preserve"> 2024 y lo transcurrido de 2025, se menciona que se tiene un total de 3,996 esterilizaciones y 3,320 vacunas en el periodo de enero-agosto 2024 y respecto de enero 2025 a la fecha de la solicitud se han esterilizado 1,432 perros y se tiene un total de 1,262 vacunas aplicadas; por otro lado respecto de la cantidad de animales que se tiene en el centro de bienestar animal y las condiciones en que se encuentran, se hace del conocimiento que actualmente se </w:t>
      </w:r>
      <w:r w:rsidR="001C69C6" w:rsidRPr="001F6EF8">
        <w:rPr>
          <w:rFonts w:cs="Tahoma"/>
          <w:bCs/>
          <w:szCs w:val="22"/>
          <w:lang w:val="es-ES"/>
        </w:rPr>
        <w:lastRenderedPageBreak/>
        <w:t xml:space="preserve">tiene un total de 22 perros y 3 gatos que son parte del programa “Captura, Esterilización, Vacunación, Marcaje y Retorno”, asimismo se indica que, todos se encuentran bajo los cuidados y las atenciones necesarias para garantizar su bienestar e integridad; asimismo se </w:t>
      </w:r>
      <w:r w:rsidR="003627AB" w:rsidRPr="001F6EF8">
        <w:rPr>
          <w:rFonts w:cs="Tahoma"/>
          <w:bCs/>
          <w:szCs w:val="22"/>
          <w:lang w:val="es-ES"/>
        </w:rPr>
        <w:t>menciona que se adjunta un archivo electrónico el cual tiene</w:t>
      </w:r>
      <w:r w:rsidR="001C69C6" w:rsidRPr="001F6EF8">
        <w:rPr>
          <w:rFonts w:cs="Tahoma"/>
          <w:bCs/>
          <w:szCs w:val="22"/>
          <w:lang w:val="es-ES"/>
        </w:rPr>
        <w:t xml:space="preserve"> un concentrado de 10 fotografías a color las cuales dan cuenta de las instalaciones del Centro de Control y Bienestar Animal </w:t>
      </w:r>
      <w:r w:rsidR="003627AB" w:rsidRPr="001F6EF8">
        <w:rPr>
          <w:rFonts w:cs="Tahoma"/>
          <w:bCs/>
          <w:szCs w:val="22"/>
          <w:lang w:val="es-ES"/>
        </w:rPr>
        <w:t>por cuanto hace a tal requerimiento.</w:t>
      </w:r>
    </w:p>
    <w:p w14:paraId="5D7EE026" w14:textId="77777777" w:rsidR="00DD046E" w:rsidRPr="001F6EF8" w:rsidRDefault="00DD046E" w:rsidP="00DD046E">
      <w:pPr>
        <w:pStyle w:val="Prrafodelista"/>
        <w:autoSpaceDE w:val="0"/>
        <w:autoSpaceDN w:val="0"/>
        <w:adjustRightInd w:val="0"/>
        <w:ind w:left="1440" w:right="-28"/>
        <w:rPr>
          <w:rFonts w:cs="Tahoma"/>
          <w:b/>
          <w:bCs/>
          <w:szCs w:val="22"/>
          <w:lang w:val="es-ES"/>
        </w:rPr>
      </w:pPr>
    </w:p>
    <w:p w14:paraId="78B7482A" w14:textId="0BDE61BB" w:rsidR="001939A9" w:rsidRPr="001F6EF8" w:rsidRDefault="003627AB" w:rsidP="003627AB">
      <w:pPr>
        <w:pStyle w:val="Prrafodelista"/>
        <w:numPr>
          <w:ilvl w:val="0"/>
          <w:numId w:val="33"/>
        </w:numPr>
        <w:autoSpaceDE w:val="0"/>
        <w:autoSpaceDN w:val="0"/>
        <w:adjustRightInd w:val="0"/>
        <w:ind w:right="-28"/>
        <w:rPr>
          <w:rFonts w:cs="Tahoma"/>
          <w:b/>
          <w:bCs/>
          <w:szCs w:val="22"/>
          <w:lang w:val="es-ES"/>
        </w:rPr>
      </w:pPr>
      <w:r w:rsidRPr="001F6EF8">
        <w:rPr>
          <w:rFonts w:cs="Tahoma"/>
          <w:b/>
          <w:bCs/>
          <w:szCs w:val="22"/>
          <w:lang w:val="es-ES"/>
        </w:rPr>
        <w:t xml:space="preserve">ANEXO I. FOTOGRAFIAS.pdf: </w:t>
      </w:r>
      <w:r w:rsidRPr="001F6EF8">
        <w:rPr>
          <w:rFonts w:cs="Tahoma"/>
          <w:bCs/>
          <w:szCs w:val="22"/>
          <w:lang w:val="es-ES"/>
        </w:rPr>
        <w:t>Consiste en el documento digital que alberga 10 fotografías a color, las cuales corresponden a las instalaciones del Centro de Control y Bienestar Animal.</w:t>
      </w:r>
    </w:p>
    <w:p w14:paraId="6204B33D" w14:textId="77777777" w:rsidR="00092E46" w:rsidRPr="001F6EF8" w:rsidRDefault="00092E46" w:rsidP="00796211">
      <w:pPr>
        <w:autoSpaceDE w:val="0"/>
        <w:autoSpaceDN w:val="0"/>
        <w:adjustRightInd w:val="0"/>
        <w:ind w:right="-28"/>
        <w:rPr>
          <w:rFonts w:cs="Tahoma"/>
          <w:bCs/>
          <w:szCs w:val="22"/>
          <w:lang w:val="es-ES"/>
        </w:rPr>
      </w:pPr>
    </w:p>
    <w:p w14:paraId="5A5DAB9E" w14:textId="77777777" w:rsidR="00E37A3F" w:rsidRPr="001F6EF8" w:rsidRDefault="00E37A3F" w:rsidP="00DE1133">
      <w:pPr>
        <w:pStyle w:val="Ttulo2"/>
        <w:jc w:val="left"/>
      </w:pPr>
      <w:bookmarkStart w:id="9" w:name="_Toc200541432"/>
      <w:r w:rsidRPr="001F6EF8">
        <w:t>DEL RECURSO DE REVISIÓN</w:t>
      </w:r>
      <w:bookmarkEnd w:id="9"/>
    </w:p>
    <w:p w14:paraId="2B216813" w14:textId="61ADBB2B" w:rsidR="00664420" w:rsidRPr="001F6EF8" w:rsidRDefault="006E25BC" w:rsidP="006E25BC">
      <w:pPr>
        <w:pStyle w:val="Ttulo3"/>
      </w:pPr>
      <w:bookmarkStart w:id="10" w:name="_Toc200541433"/>
      <w:r w:rsidRPr="001F6EF8">
        <w:rPr>
          <w:szCs w:val="32"/>
        </w:rPr>
        <w:t>a)</w:t>
      </w:r>
      <w:r w:rsidRPr="001F6EF8">
        <w:t xml:space="preserve"> </w:t>
      </w:r>
      <w:r w:rsidR="00664420" w:rsidRPr="001F6EF8">
        <w:t>Interposición del Recurso de Revisión</w:t>
      </w:r>
      <w:bookmarkEnd w:id="10"/>
    </w:p>
    <w:p w14:paraId="6279C622" w14:textId="681F1BAA" w:rsidR="00664420" w:rsidRPr="001F6EF8" w:rsidRDefault="00664420" w:rsidP="00664420">
      <w:pPr>
        <w:autoSpaceDE w:val="0"/>
        <w:autoSpaceDN w:val="0"/>
        <w:adjustRightInd w:val="0"/>
        <w:ind w:right="-28"/>
        <w:rPr>
          <w:rFonts w:cs="Tahoma"/>
          <w:szCs w:val="22"/>
        </w:rPr>
      </w:pPr>
      <w:r w:rsidRPr="001F6EF8">
        <w:rPr>
          <w:rFonts w:cs="Tahoma"/>
          <w:szCs w:val="22"/>
        </w:rPr>
        <w:t xml:space="preserve">El </w:t>
      </w:r>
      <w:r w:rsidR="003627AB" w:rsidRPr="001F6EF8">
        <w:rPr>
          <w:rFonts w:cs="Tahoma"/>
          <w:b/>
          <w:bCs/>
          <w:szCs w:val="22"/>
        </w:rPr>
        <w:t>veinte de abril</w:t>
      </w:r>
      <w:r w:rsidR="005E7639" w:rsidRPr="001F6EF8">
        <w:rPr>
          <w:rFonts w:cs="Tahoma"/>
          <w:b/>
          <w:bCs/>
          <w:szCs w:val="22"/>
        </w:rPr>
        <w:t xml:space="preserve"> </w:t>
      </w:r>
      <w:r w:rsidR="00092E46" w:rsidRPr="001F6EF8">
        <w:rPr>
          <w:rFonts w:cs="Tahoma"/>
          <w:b/>
          <w:bCs/>
          <w:szCs w:val="22"/>
        </w:rPr>
        <w:t>de dos mil veinticinco</w:t>
      </w:r>
      <w:r w:rsidR="003627AB" w:rsidRPr="001F6EF8">
        <w:rPr>
          <w:rStyle w:val="Refdenotaalpie"/>
          <w:rFonts w:cs="Tahoma"/>
          <w:b/>
          <w:bCs/>
          <w:szCs w:val="22"/>
        </w:rPr>
        <w:footnoteReference w:id="1"/>
      </w:r>
      <w:r w:rsidR="00092E46" w:rsidRPr="001F6EF8">
        <w:rPr>
          <w:rFonts w:cs="Tahoma"/>
          <w:b/>
          <w:bCs/>
          <w:szCs w:val="22"/>
        </w:rPr>
        <w:t>,</w:t>
      </w:r>
      <w:r w:rsidRPr="001F6EF8">
        <w:rPr>
          <w:rFonts w:cs="Tahoma"/>
          <w:szCs w:val="22"/>
        </w:rPr>
        <w:t xml:space="preserve"> </w:t>
      </w:r>
      <w:r w:rsidR="00F75D23" w:rsidRPr="001F6EF8">
        <w:rPr>
          <w:rFonts w:cs="Tahoma"/>
          <w:b/>
          <w:bCs/>
          <w:szCs w:val="22"/>
        </w:rPr>
        <w:t>LA PARTE RECURRENTE</w:t>
      </w:r>
      <w:r w:rsidR="00F75D23" w:rsidRPr="001F6EF8">
        <w:rPr>
          <w:rFonts w:cs="Tahoma"/>
          <w:szCs w:val="22"/>
        </w:rPr>
        <w:t xml:space="preserve"> interpuso el recurso de revisión en contra de la respuesta emitida por el </w:t>
      </w:r>
      <w:r w:rsidR="00F75D23" w:rsidRPr="001F6EF8">
        <w:rPr>
          <w:rFonts w:cs="Tahoma"/>
          <w:b/>
          <w:bCs/>
          <w:szCs w:val="22"/>
        </w:rPr>
        <w:t>SUJETO OBLIGADO</w:t>
      </w:r>
      <w:r w:rsidR="00953430" w:rsidRPr="001F6EF8">
        <w:rPr>
          <w:rFonts w:cs="Tahoma"/>
          <w:szCs w:val="22"/>
        </w:rPr>
        <w:t xml:space="preserve">, mismo que fue registrado en el SAIMEX con el número de expediente </w:t>
      </w:r>
      <w:r w:rsidR="003627AB" w:rsidRPr="001F6EF8">
        <w:rPr>
          <w:rFonts w:cs="Tahoma"/>
          <w:b/>
          <w:bCs/>
          <w:szCs w:val="22"/>
        </w:rPr>
        <w:t>04482/INFOEM/IP/RR/2025</w:t>
      </w:r>
      <w:r w:rsidR="00953430" w:rsidRPr="001F6EF8">
        <w:rPr>
          <w:rFonts w:cs="Tahoma"/>
          <w:szCs w:val="22"/>
        </w:rPr>
        <w:t>, y en el cual manifiesta lo siguiente</w:t>
      </w:r>
      <w:r w:rsidRPr="001F6EF8">
        <w:rPr>
          <w:rFonts w:cs="Tahoma"/>
          <w:szCs w:val="22"/>
        </w:rPr>
        <w:t>:</w:t>
      </w:r>
    </w:p>
    <w:p w14:paraId="74B30008" w14:textId="77777777" w:rsidR="00664420" w:rsidRPr="001F6EF8" w:rsidRDefault="00664420" w:rsidP="00664420">
      <w:pPr>
        <w:tabs>
          <w:tab w:val="left" w:pos="4667"/>
        </w:tabs>
        <w:ind w:right="539"/>
        <w:rPr>
          <w:rFonts w:cs="Tahoma"/>
          <w:szCs w:val="22"/>
        </w:rPr>
      </w:pPr>
    </w:p>
    <w:p w14:paraId="12153283" w14:textId="77777777" w:rsidR="00664420" w:rsidRPr="001F6EF8" w:rsidRDefault="00664420" w:rsidP="00664420">
      <w:pPr>
        <w:tabs>
          <w:tab w:val="left" w:pos="4667"/>
        </w:tabs>
        <w:ind w:left="567" w:right="539"/>
        <w:rPr>
          <w:rFonts w:cs="Tahoma"/>
          <w:b/>
          <w:iCs/>
        </w:rPr>
      </w:pPr>
      <w:r w:rsidRPr="001F6EF8">
        <w:rPr>
          <w:rFonts w:cs="Tahoma"/>
          <w:b/>
          <w:iCs/>
        </w:rPr>
        <w:t>ACTO IMPUGNADO</w:t>
      </w:r>
      <w:r w:rsidRPr="001F6EF8">
        <w:rPr>
          <w:rFonts w:cs="Tahoma"/>
          <w:b/>
          <w:iCs/>
        </w:rPr>
        <w:tab/>
      </w:r>
    </w:p>
    <w:p w14:paraId="523F8BF4" w14:textId="7F2819B4" w:rsidR="00664420" w:rsidRPr="001F6EF8" w:rsidRDefault="00C135F9" w:rsidP="00DD046E">
      <w:pPr>
        <w:pStyle w:val="Puesto"/>
      </w:pPr>
      <w:r w:rsidRPr="001F6EF8">
        <w:t>“</w:t>
      </w:r>
      <w:r w:rsidR="003627AB" w:rsidRPr="001F6EF8">
        <w:t>La respuesta esta incompleta</w:t>
      </w:r>
      <w:r w:rsidRPr="001F6EF8">
        <w:t>”</w:t>
      </w:r>
    </w:p>
    <w:p w14:paraId="6AE8EA9A" w14:textId="77777777" w:rsidR="00664420" w:rsidRPr="001F6EF8" w:rsidRDefault="00664420" w:rsidP="00664420">
      <w:pPr>
        <w:tabs>
          <w:tab w:val="left" w:pos="4667"/>
        </w:tabs>
        <w:ind w:left="567" w:right="539"/>
        <w:rPr>
          <w:rFonts w:cs="Tahoma"/>
          <w:bCs/>
          <w:i/>
        </w:rPr>
      </w:pPr>
    </w:p>
    <w:p w14:paraId="047D036B" w14:textId="77777777" w:rsidR="00664420" w:rsidRPr="001F6EF8" w:rsidRDefault="00664420" w:rsidP="00664420">
      <w:pPr>
        <w:tabs>
          <w:tab w:val="left" w:pos="4667"/>
        </w:tabs>
        <w:ind w:left="567" w:right="539"/>
        <w:rPr>
          <w:rFonts w:cs="Tahoma"/>
          <w:b/>
          <w:iCs/>
        </w:rPr>
      </w:pPr>
      <w:r w:rsidRPr="001F6EF8">
        <w:rPr>
          <w:rFonts w:cs="Tahoma"/>
          <w:b/>
          <w:iCs/>
        </w:rPr>
        <w:t>RAZONES O MOTIVOS DE LA INCONFORMIDAD</w:t>
      </w:r>
      <w:r w:rsidRPr="001F6EF8">
        <w:rPr>
          <w:rFonts w:cs="Tahoma"/>
          <w:b/>
          <w:iCs/>
        </w:rPr>
        <w:tab/>
      </w:r>
    </w:p>
    <w:p w14:paraId="1DAE2563" w14:textId="25667EE7" w:rsidR="00953430" w:rsidRPr="001F6EF8" w:rsidRDefault="00C135F9" w:rsidP="00DD046E">
      <w:pPr>
        <w:pStyle w:val="Puesto"/>
      </w:pPr>
      <w:r w:rsidRPr="001F6EF8">
        <w:t>“</w:t>
      </w:r>
      <w:r w:rsidR="003627AB" w:rsidRPr="001F6EF8">
        <w:t>nieg</w:t>
      </w:r>
      <w:r w:rsidR="003627AB" w:rsidRPr="001F6EF8">
        <w:rPr>
          <w:rStyle w:val="PuestoCar"/>
        </w:rPr>
        <w:t>a</w:t>
      </w:r>
      <w:r w:rsidR="003627AB" w:rsidRPr="001F6EF8">
        <w:t xml:space="preserve"> la información no esta completa</w:t>
      </w:r>
      <w:r w:rsidR="00AA5FB3" w:rsidRPr="001F6EF8">
        <w:t>.</w:t>
      </w:r>
      <w:r w:rsidRPr="001F6EF8">
        <w:t>”</w:t>
      </w:r>
    </w:p>
    <w:p w14:paraId="48FE75EA" w14:textId="77777777" w:rsidR="00664420" w:rsidRPr="001F6EF8" w:rsidRDefault="00664420" w:rsidP="00664420">
      <w:pPr>
        <w:tabs>
          <w:tab w:val="left" w:pos="4667"/>
        </w:tabs>
        <w:ind w:right="567"/>
        <w:rPr>
          <w:rFonts w:cs="Tahoma"/>
          <w:b/>
          <w:bCs/>
        </w:rPr>
      </w:pPr>
    </w:p>
    <w:p w14:paraId="6804DEF1" w14:textId="3C4F6CB5" w:rsidR="00664420" w:rsidRPr="001F6EF8" w:rsidRDefault="006E25BC" w:rsidP="006E25BC">
      <w:pPr>
        <w:pStyle w:val="Ttulo3"/>
      </w:pPr>
      <w:bookmarkStart w:id="11" w:name="_Toc200541434"/>
      <w:r w:rsidRPr="001F6EF8">
        <w:lastRenderedPageBreak/>
        <w:t>b</w:t>
      </w:r>
      <w:r w:rsidR="00664420" w:rsidRPr="001F6EF8">
        <w:t>) Turno del Recurso de Revisión</w:t>
      </w:r>
      <w:bookmarkEnd w:id="11"/>
    </w:p>
    <w:p w14:paraId="1173671B" w14:textId="4EA131AD" w:rsidR="00C72DAA" w:rsidRPr="001F6EF8" w:rsidRDefault="00C72DAA" w:rsidP="00C72DAA">
      <w:r w:rsidRPr="001F6EF8">
        <w:t>Con fundamento en el artículo 185, fracción I de la Ley de Transparencia y Acceso a la Información Pública del Estado de México y Municipios, el</w:t>
      </w:r>
      <w:r w:rsidRPr="001F6EF8">
        <w:rPr>
          <w:b/>
          <w:bCs/>
        </w:rPr>
        <w:t xml:space="preserve"> </w:t>
      </w:r>
      <w:r w:rsidR="003627AB" w:rsidRPr="001F6EF8">
        <w:rPr>
          <w:rFonts w:eastAsia="Palatino Linotype" w:cs="Palatino Linotype"/>
          <w:b/>
        </w:rPr>
        <w:t>veinte de abril</w:t>
      </w:r>
      <w:r w:rsidR="00092E46" w:rsidRPr="001F6EF8">
        <w:rPr>
          <w:rFonts w:eastAsia="Palatino Linotype" w:cs="Palatino Linotype"/>
          <w:b/>
        </w:rPr>
        <w:t xml:space="preserve"> de dos mil veinticinco</w:t>
      </w:r>
      <w:r w:rsidR="00C135F9" w:rsidRPr="001F6EF8">
        <w:rPr>
          <w:rFonts w:eastAsia="Palatino Linotype" w:cs="Palatino Linotype"/>
          <w:b/>
        </w:rPr>
        <w:t xml:space="preserve"> </w:t>
      </w:r>
      <w:r w:rsidRPr="001F6EF8">
        <w:t>se turnó el recurso de revisión a través del</w:t>
      </w:r>
      <w:r w:rsidRPr="001F6EF8">
        <w:rPr>
          <w:rFonts w:eastAsia="Arial Unicode MS"/>
        </w:rPr>
        <w:t xml:space="preserve"> </w:t>
      </w:r>
      <w:r w:rsidRPr="001F6EF8">
        <w:rPr>
          <w:rFonts w:eastAsia="Arial Unicode MS"/>
          <w:bCs/>
        </w:rPr>
        <w:t>SAIMEX</w:t>
      </w:r>
      <w:r w:rsidRPr="001F6EF8">
        <w:t xml:space="preserve"> a la </w:t>
      </w:r>
      <w:r w:rsidRPr="001F6EF8">
        <w:rPr>
          <w:b/>
        </w:rPr>
        <w:t>Comisionada Sharon Cristina Morales Martínez</w:t>
      </w:r>
      <w:r w:rsidRPr="001F6EF8">
        <w:rPr>
          <w:bCs/>
        </w:rPr>
        <w:t xml:space="preserve">, </w:t>
      </w:r>
      <w:r w:rsidRPr="001F6EF8">
        <w:t xml:space="preserve">a efecto de decretar su admisión o desechamiento. </w:t>
      </w:r>
    </w:p>
    <w:p w14:paraId="18F305CB" w14:textId="77777777" w:rsidR="00664420" w:rsidRPr="001F6EF8" w:rsidRDefault="00664420" w:rsidP="00664420">
      <w:pPr>
        <w:rPr>
          <w:rFonts w:eastAsia="Batang" w:cs="Tahoma"/>
          <w:bCs/>
          <w:szCs w:val="22"/>
        </w:rPr>
      </w:pPr>
    </w:p>
    <w:p w14:paraId="3E31EC2D" w14:textId="295256A1" w:rsidR="00664420" w:rsidRPr="001F6EF8" w:rsidRDefault="006E25BC" w:rsidP="006E25BC">
      <w:pPr>
        <w:pStyle w:val="Ttulo3"/>
      </w:pPr>
      <w:bookmarkStart w:id="12" w:name="_Toc200541435"/>
      <w:r w:rsidRPr="001F6EF8">
        <w:t>c</w:t>
      </w:r>
      <w:r w:rsidR="00664420" w:rsidRPr="001F6EF8">
        <w:t>) Admisión del Recurso de Revisión</w:t>
      </w:r>
      <w:bookmarkEnd w:id="12"/>
    </w:p>
    <w:p w14:paraId="240447D5" w14:textId="27ABEA49" w:rsidR="000E09C4" w:rsidRPr="001F6EF8" w:rsidRDefault="000E09C4" w:rsidP="000E09C4">
      <w:pPr>
        <w:rPr>
          <w:rFonts w:cs="Arial"/>
          <w:color w:val="000000" w:themeColor="text1"/>
        </w:rPr>
      </w:pPr>
      <w:r w:rsidRPr="001F6EF8">
        <w:rPr>
          <w:rFonts w:cs="Arial"/>
          <w:color w:val="000000" w:themeColor="text1"/>
        </w:rPr>
        <w:t xml:space="preserve">El </w:t>
      </w:r>
      <w:r w:rsidR="003627AB" w:rsidRPr="001F6EF8">
        <w:rPr>
          <w:rFonts w:eastAsia="Palatino Linotype" w:cs="Palatino Linotype"/>
          <w:b/>
        </w:rPr>
        <w:t>veintidós de abril</w:t>
      </w:r>
      <w:r w:rsidR="00092E46" w:rsidRPr="001F6EF8">
        <w:rPr>
          <w:rFonts w:eastAsia="Palatino Linotype" w:cs="Palatino Linotype"/>
          <w:b/>
        </w:rPr>
        <w:t xml:space="preserve"> de dos mil veinticinco</w:t>
      </w:r>
      <w:r w:rsidRPr="001F6EF8">
        <w:rPr>
          <w:rFonts w:cs="Arial"/>
          <w:color w:val="000000" w:themeColor="text1"/>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F6EF8">
        <w:rPr>
          <w:rFonts w:cs="Arial"/>
          <w:color w:val="000000" w:themeColor="text1"/>
        </w:rPr>
        <w:t>, fracción II</w:t>
      </w:r>
      <w:r w:rsidRPr="001F6EF8">
        <w:rPr>
          <w:rFonts w:cs="Arial"/>
          <w:color w:val="000000" w:themeColor="text1"/>
        </w:rPr>
        <w:t xml:space="preserve"> de la Ley de Transparencia y Acceso a la Información Pública del Estado de México y Municipios.</w:t>
      </w:r>
    </w:p>
    <w:p w14:paraId="09B589C5" w14:textId="77777777" w:rsidR="00664420" w:rsidRPr="001F6EF8" w:rsidRDefault="00664420" w:rsidP="00664420">
      <w:pPr>
        <w:rPr>
          <w:rFonts w:cs="Tahoma"/>
          <w:b/>
          <w:szCs w:val="22"/>
        </w:rPr>
      </w:pPr>
    </w:p>
    <w:p w14:paraId="66BA6FC7" w14:textId="0C734DEB" w:rsidR="00865CF4" w:rsidRPr="001F6EF8" w:rsidRDefault="00C135F9" w:rsidP="00C135F9">
      <w:pPr>
        <w:pStyle w:val="Ttulo3"/>
      </w:pPr>
      <w:bookmarkStart w:id="13" w:name="_Toc200541436"/>
      <w:r w:rsidRPr="001F6EF8">
        <w:t>d</w:t>
      </w:r>
      <w:r w:rsidR="00664420" w:rsidRPr="001F6EF8">
        <w:t xml:space="preserve">) </w:t>
      </w:r>
      <w:r w:rsidR="00865CF4" w:rsidRPr="001F6EF8">
        <w:t>Informe Justificado del Sujeto Obligado</w:t>
      </w:r>
      <w:bookmarkEnd w:id="13"/>
    </w:p>
    <w:p w14:paraId="195F0D72" w14:textId="24EB8049" w:rsidR="00865CF4" w:rsidRPr="001F6EF8" w:rsidRDefault="00846AF6" w:rsidP="00865CF4">
      <w:pPr>
        <w:rPr>
          <w:rFonts w:eastAsia="Calibri" w:cs="Tahoma"/>
          <w:szCs w:val="22"/>
          <w:lang w:eastAsia="en-US"/>
        </w:rPr>
      </w:pPr>
      <w:r w:rsidRPr="001F6EF8">
        <w:rPr>
          <w:rFonts w:cs="Tahoma"/>
          <w:bCs/>
          <w:szCs w:val="24"/>
        </w:rPr>
        <w:t xml:space="preserve">El </w:t>
      </w:r>
      <w:r w:rsidR="005E7639" w:rsidRPr="001F6EF8">
        <w:rPr>
          <w:rFonts w:cs="Tahoma"/>
          <w:b/>
          <w:szCs w:val="24"/>
        </w:rPr>
        <w:t>dos de mayo</w:t>
      </w:r>
      <w:r w:rsidR="00C24BEB" w:rsidRPr="001F6EF8">
        <w:rPr>
          <w:rFonts w:cs="Tahoma"/>
          <w:b/>
          <w:szCs w:val="24"/>
        </w:rPr>
        <w:t xml:space="preserve"> de dos mil veinticinco</w:t>
      </w:r>
      <w:r w:rsidRPr="001F6EF8">
        <w:rPr>
          <w:rFonts w:cs="Tahoma"/>
          <w:b/>
          <w:szCs w:val="24"/>
        </w:rPr>
        <w:t>, EL SUJETO OBLIGADO</w:t>
      </w:r>
      <w:r w:rsidRPr="001F6EF8">
        <w:rPr>
          <w:rFonts w:cs="Tahoma"/>
          <w:bCs/>
          <w:szCs w:val="24"/>
        </w:rPr>
        <w:t xml:space="preserve"> rindió su informe justificado a través del </w:t>
      </w:r>
      <w:r w:rsidRPr="001F6EF8">
        <w:rPr>
          <w:rFonts w:cs="Tahoma"/>
          <w:b/>
          <w:szCs w:val="24"/>
        </w:rPr>
        <w:t>SAIMEX</w:t>
      </w:r>
      <w:r w:rsidRPr="001F6EF8">
        <w:rPr>
          <w:rFonts w:cs="Tahoma"/>
          <w:bCs/>
          <w:szCs w:val="24"/>
        </w:rPr>
        <w:t xml:space="preserve">, </w:t>
      </w:r>
      <w:r w:rsidR="00C24BEB" w:rsidRPr="001F6EF8">
        <w:rPr>
          <w:rFonts w:eastAsia="Calibri" w:cs="Tahoma"/>
          <w:szCs w:val="22"/>
          <w:lang w:eastAsia="en-US"/>
        </w:rPr>
        <w:t xml:space="preserve">en el cual </w:t>
      </w:r>
      <w:r w:rsidR="00696F24" w:rsidRPr="001F6EF8">
        <w:rPr>
          <w:rFonts w:eastAsia="Calibri" w:cs="Tahoma"/>
          <w:szCs w:val="22"/>
          <w:lang w:eastAsia="en-US"/>
        </w:rPr>
        <w:t>medularmente ratifica la respuesta primigenia</w:t>
      </w:r>
      <w:r w:rsidR="00B9073E" w:rsidRPr="001F6EF8">
        <w:rPr>
          <w:rFonts w:eastAsia="Calibri" w:cs="Tahoma"/>
          <w:szCs w:val="22"/>
          <w:lang w:eastAsia="en-US"/>
        </w:rPr>
        <w:t>.</w:t>
      </w:r>
    </w:p>
    <w:p w14:paraId="6FCD333C" w14:textId="77777777" w:rsidR="00846AF6" w:rsidRPr="001F6EF8" w:rsidRDefault="00846AF6" w:rsidP="00865CF4">
      <w:pPr>
        <w:rPr>
          <w:rFonts w:eastAsia="Calibri" w:cs="Tahoma"/>
          <w:szCs w:val="22"/>
          <w:lang w:eastAsia="en-US"/>
        </w:rPr>
      </w:pPr>
    </w:p>
    <w:p w14:paraId="12546881" w14:textId="65A12877" w:rsidR="00846AF6" w:rsidRPr="001F6EF8" w:rsidRDefault="00846AF6" w:rsidP="00865CF4">
      <w:pPr>
        <w:rPr>
          <w:rFonts w:eastAsia="Calibri" w:cs="Tahoma"/>
          <w:szCs w:val="22"/>
          <w:lang w:eastAsia="en-US"/>
        </w:rPr>
      </w:pPr>
      <w:r w:rsidRPr="001F6EF8">
        <w:rPr>
          <w:rFonts w:cs="Tahoma"/>
          <w:bCs/>
          <w:szCs w:val="24"/>
        </w:rPr>
        <w:t xml:space="preserve">Esta información fue puesta a la vista de </w:t>
      </w:r>
      <w:r w:rsidRPr="001F6EF8">
        <w:rPr>
          <w:rFonts w:cs="Tahoma"/>
          <w:b/>
          <w:szCs w:val="24"/>
        </w:rPr>
        <w:t xml:space="preserve">LA PARTE RECURRENTE </w:t>
      </w:r>
      <w:r w:rsidRPr="001F6EF8">
        <w:rPr>
          <w:rFonts w:cs="Tahoma"/>
          <w:bCs/>
          <w:szCs w:val="24"/>
        </w:rPr>
        <w:t xml:space="preserve">el </w:t>
      </w:r>
      <w:r w:rsidR="00DD046E" w:rsidRPr="001F6EF8">
        <w:rPr>
          <w:rFonts w:cs="Tahoma"/>
          <w:b/>
          <w:szCs w:val="24"/>
        </w:rPr>
        <w:t xml:space="preserve">veintiuno de mayo </w:t>
      </w:r>
      <w:r w:rsidR="00092E46" w:rsidRPr="001F6EF8">
        <w:rPr>
          <w:rFonts w:cs="Tahoma"/>
          <w:b/>
          <w:szCs w:val="24"/>
        </w:rPr>
        <w:t>de dos mil veinticinco</w:t>
      </w:r>
      <w:r w:rsidRPr="001F6EF8">
        <w:rPr>
          <w:rFonts w:cs="Tahoma"/>
          <w:bCs/>
          <w:szCs w:val="24"/>
        </w:rPr>
        <w:t xml:space="preserve"> para que, en un plazo de tres días hábiles, manifestara lo que a su derecho conviniera, de conformidad con lo establecido en el </w:t>
      </w:r>
      <w:r w:rsidRPr="001F6EF8">
        <w:rPr>
          <w:rFonts w:cs="Arial"/>
          <w:color w:val="000000" w:themeColor="text1"/>
        </w:rPr>
        <w:t>artículo 185, fracción III de la Ley de Transparencia y Acceso a la Información Pública del Estado de México y Municipios</w:t>
      </w:r>
      <w:r w:rsidRPr="001F6EF8">
        <w:rPr>
          <w:rFonts w:cs="Tahoma"/>
          <w:bCs/>
          <w:szCs w:val="24"/>
        </w:rPr>
        <w:t>.</w:t>
      </w:r>
    </w:p>
    <w:p w14:paraId="3B386B4C" w14:textId="77777777" w:rsidR="003A40C1" w:rsidRPr="001F6EF8" w:rsidRDefault="003A40C1" w:rsidP="003A40C1">
      <w:pPr>
        <w:ind w:right="539"/>
        <w:rPr>
          <w:rFonts w:cs="Tahoma"/>
          <w:bCs/>
          <w:szCs w:val="24"/>
        </w:rPr>
      </w:pPr>
    </w:p>
    <w:p w14:paraId="755B7730" w14:textId="7A8348ED" w:rsidR="00664420" w:rsidRPr="001F6EF8" w:rsidRDefault="00C135F9" w:rsidP="00664420">
      <w:pPr>
        <w:pStyle w:val="Ttulo3"/>
        <w:rPr>
          <w:lang w:val="es-ES"/>
        </w:rPr>
      </w:pPr>
      <w:bookmarkStart w:id="14" w:name="_Toc200541437"/>
      <w:r w:rsidRPr="001F6EF8">
        <w:rPr>
          <w:rFonts w:eastAsia="Calibri"/>
          <w:bCs/>
          <w:lang w:eastAsia="en-US"/>
        </w:rPr>
        <w:t>e</w:t>
      </w:r>
      <w:r w:rsidR="00664420" w:rsidRPr="001F6EF8">
        <w:rPr>
          <w:rFonts w:eastAsia="Calibri"/>
          <w:bCs/>
          <w:lang w:eastAsia="en-US"/>
        </w:rPr>
        <w:t>)</w:t>
      </w:r>
      <w:r w:rsidR="00664420" w:rsidRPr="001F6EF8">
        <w:t xml:space="preserve"> </w:t>
      </w:r>
      <w:r w:rsidR="00865CF4" w:rsidRPr="001F6EF8">
        <w:rPr>
          <w:lang w:val="es-ES"/>
        </w:rPr>
        <w:t>Manifestaciones de la Parte Recurrente</w:t>
      </w:r>
      <w:bookmarkEnd w:id="14"/>
    </w:p>
    <w:p w14:paraId="4E8AF011" w14:textId="77777777" w:rsidR="00865CF4" w:rsidRPr="001F6EF8" w:rsidRDefault="00865CF4" w:rsidP="00865CF4">
      <w:pPr>
        <w:rPr>
          <w:rFonts w:eastAsia="Arial Unicode MS" w:cs="Arial"/>
          <w:color w:val="000000" w:themeColor="text1"/>
        </w:rPr>
      </w:pPr>
      <w:r w:rsidRPr="001F6EF8">
        <w:rPr>
          <w:rFonts w:cs="Tahoma"/>
          <w:b/>
          <w:szCs w:val="24"/>
        </w:rPr>
        <w:t xml:space="preserve">LA PARTE RECURRENTE </w:t>
      </w:r>
      <w:r w:rsidRPr="001F6EF8">
        <w:rPr>
          <w:rFonts w:eastAsia="Arial Unicode MS" w:cs="Arial"/>
          <w:color w:val="000000" w:themeColor="text1"/>
        </w:rPr>
        <w:t>no realizó manifestación alguna dentro del término legalmente concedido para tal efecto, ni presentó pruebas o alegatos.</w:t>
      </w:r>
    </w:p>
    <w:p w14:paraId="6923684C" w14:textId="77777777" w:rsidR="00664420" w:rsidRPr="001F6EF8" w:rsidRDefault="00664420" w:rsidP="00664420">
      <w:pPr>
        <w:rPr>
          <w:rFonts w:cs="Tahoma"/>
          <w:szCs w:val="22"/>
        </w:rPr>
      </w:pPr>
    </w:p>
    <w:p w14:paraId="489C6DF8" w14:textId="77777777" w:rsidR="00AA248D" w:rsidRPr="001F6EF8" w:rsidRDefault="00AA248D" w:rsidP="00AA248D">
      <w:pPr>
        <w:pStyle w:val="Ttulo3"/>
        <w:rPr>
          <w:rFonts w:eastAsia="Calibri"/>
        </w:rPr>
      </w:pPr>
      <w:bookmarkStart w:id="15" w:name="_Toc171349463"/>
      <w:bookmarkStart w:id="16" w:name="_Toc194501117"/>
      <w:bookmarkStart w:id="17" w:name="_Toc196843280"/>
      <w:bookmarkStart w:id="18" w:name="_Toc197604186"/>
      <w:bookmarkStart w:id="19" w:name="_Toc200541438"/>
      <w:r w:rsidRPr="001F6EF8">
        <w:rPr>
          <w:rFonts w:eastAsia="Calibri"/>
        </w:rPr>
        <w:t>f) Ampliación de Plazo para Resolver</w:t>
      </w:r>
      <w:bookmarkEnd w:id="15"/>
      <w:bookmarkEnd w:id="16"/>
      <w:bookmarkEnd w:id="17"/>
      <w:bookmarkEnd w:id="18"/>
      <w:bookmarkEnd w:id="19"/>
    </w:p>
    <w:p w14:paraId="2AE74488" w14:textId="49E505D3" w:rsidR="00AA248D" w:rsidRPr="001F6EF8" w:rsidRDefault="00AA248D" w:rsidP="00AA248D">
      <w:pPr>
        <w:rPr>
          <w:rFonts w:eastAsia="Palatino Linotype" w:cs="Palatino Linotype"/>
          <w:color w:val="000000" w:themeColor="text1"/>
        </w:rPr>
      </w:pPr>
      <w:r w:rsidRPr="001F6EF8">
        <w:rPr>
          <w:rFonts w:eastAsia="Palatino Linotype" w:cs="Palatino Linotype"/>
          <w:color w:val="000000" w:themeColor="text1"/>
        </w:rPr>
        <w:t xml:space="preserve">El </w:t>
      </w:r>
      <w:r w:rsidR="00896EE9" w:rsidRPr="001F6EF8">
        <w:rPr>
          <w:rFonts w:eastAsia="Palatino Linotype" w:cs="Palatino Linotype"/>
          <w:b/>
          <w:color w:val="000000" w:themeColor="text1"/>
        </w:rPr>
        <w:t xml:space="preserve">seis </w:t>
      </w:r>
      <w:r w:rsidR="00A45039" w:rsidRPr="001F6EF8">
        <w:rPr>
          <w:rFonts w:eastAsia="Palatino Linotype" w:cs="Palatino Linotype"/>
          <w:b/>
          <w:color w:val="000000" w:themeColor="text1"/>
        </w:rPr>
        <w:t>de junio</w:t>
      </w:r>
      <w:r w:rsidRPr="001F6EF8">
        <w:rPr>
          <w:rFonts w:eastAsia="Palatino Linotype" w:cs="Palatino Linotype"/>
          <w:b/>
          <w:color w:val="000000" w:themeColor="text1"/>
        </w:rPr>
        <w:t xml:space="preserve"> de dos mil veinticinco</w:t>
      </w:r>
      <w:r w:rsidRPr="001F6EF8">
        <w:rPr>
          <w:rFonts w:eastAsia="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02A7F4E7" w14:textId="77777777" w:rsidR="00AA248D" w:rsidRPr="001F6EF8" w:rsidRDefault="00AA248D" w:rsidP="00AA248D">
      <w:pPr>
        <w:rPr>
          <w:rFonts w:eastAsia="Calibri"/>
        </w:rPr>
      </w:pPr>
    </w:p>
    <w:p w14:paraId="0E651988" w14:textId="24491EDD" w:rsidR="00664420" w:rsidRPr="001F6EF8" w:rsidRDefault="00AA248D" w:rsidP="00664420">
      <w:pPr>
        <w:pStyle w:val="Ttulo3"/>
      </w:pPr>
      <w:bookmarkStart w:id="20" w:name="_Toc200541439"/>
      <w:r w:rsidRPr="001F6EF8">
        <w:t>g</w:t>
      </w:r>
      <w:r w:rsidR="00664420" w:rsidRPr="001F6EF8">
        <w:t>) Cierre de instrucción</w:t>
      </w:r>
      <w:bookmarkEnd w:id="20"/>
    </w:p>
    <w:p w14:paraId="79AF95DC" w14:textId="5D18C9DE" w:rsidR="00664420" w:rsidRPr="001F6EF8" w:rsidRDefault="00BF091A" w:rsidP="00664420">
      <w:pPr>
        <w:rPr>
          <w:color w:val="000000" w:themeColor="text1"/>
        </w:rPr>
      </w:pPr>
      <w:r w:rsidRPr="001F6EF8">
        <w:rPr>
          <w:rFonts w:cs="Tahoma"/>
          <w:szCs w:val="22"/>
        </w:rPr>
        <w:t>Al no existir diligencias pendientes por desahogar</w:t>
      </w:r>
      <w:r w:rsidRPr="001F6EF8">
        <w:rPr>
          <w:rFonts w:cs="Arial"/>
          <w:color w:val="000000" w:themeColor="text1"/>
        </w:rPr>
        <w:t xml:space="preserve">, el </w:t>
      </w:r>
      <w:r w:rsidR="00A45039" w:rsidRPr="001F6EF8">
        <w:rPr>
          <w:rFonts w:cs="Arial"/>
          <w:b/>
          <w:color w:val="000000" w:themeColor="text1"/>
        </w:rPr>
        <w:t>diez de junio</w:t>
      </w:r>
      <w:r w:rsidR="00092E46" w:rsidRPr="001F6EF8">
        <w:rPr>
          <w:rFonts w:cs="Arial"/>
          <w:b/>
          <w:color w:val="000000" w:themeColor="text1"/>
        </w:rPr>
        <w:t xml:space="preserve"> de dos mil veinticinco</w:t>
      </w:r>
      <w:r w:rsidR="00E25A67" w:rsidRPr="001F6EF8">
        <w:rPr>
          <w:rFonts w:cs="Arial"/>
          <w:b/>
          <w:color w:val="000000" w:themeColor="text1"/>
        </w:rPr>
        <w:t xml:space="preserve"> </w:t>
      </w:r>
      <w:r w:rsidRPr="001F6EF8">
        <w:rPr>
          <w:rFonts w:cs="Arial"/>
          <w:color w:val="000000" w:themeColor="text1"/>
        </w:rPr>
        <w:t xml:space="preserve">la </w:t>
      </w:r>
      <w:r w:rsidRPr="001F6EF8">
        <w:rPr>
          <w:rFonts w:cs="Arial"/>
          <w:b/>
          <w:bCs/>
          <w:color w:val="000000" w:themeColor="text1"/>
        </w:rPr>
        <w:t xml:space="preserve">Comisionada </w:t>
      </w:r>
      <w:r w:rsidRPr="001F6EF8">
        <w:rPr>
          <w:b/>
          <w:color w:val="000000" w:themeColor="text1"/>
        </w:rPr>
        <w:t xml:space="preserve">Sharon Cristina Morales Martínez </w:t>
      </w:r>
      <w:r w:rsidRPr="001F6EF8">
        <w:rPr>
          <w:rFonts w:cs="Arial"/>
          <w:color w:val="000000" w:themeColor="text1"/>
        </w:rPr>
        <w:t>acordó el cierre de instrucción</w:t>
      </w:r>
      <w:r w:rsidR="0011350D" w:rsidRPr="001F6EF8">
        <w:rPr>
          <w:rFonts w:cs="Arial"/>
          <w:color w:val="000000" w:themeColor="text1"/>
        </w:rPr>
        <w:t xml:space="preserve"> y</w:t>
      </w:r>
      <w:r w:rsidRPr="001F6EF8">
        <w:rPr>
          <w:rFonts w:cs="Arial"/>
          <w:color w:val="000000" w:themeColor="text1"/>
        </w:rPr>
        <w:t xml:space="preserve"> </w:t>
      </w:r>
      <w:r w:rsidR="0011350D" w:rsidRPr="001F6EF8">
        <w:rPr>
          <w:rFonts w:cs="Arial"/>
          <w:color w:val="000000" w:themeColor="text1"/>
        </w:rPr>
        <w:t xml:space="preserve">la </w:t>
      </w:r>
      <w:r w:rsidRPr="001F6EF8">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1F6EF8">
        <w:rPr>
          <w:color w:val="000000" w:themeColor="text1"/>
        </w:rPr>
        <w:t>.</w:t>
      </w:r>
      <w:r w:rsidR="0011350D" w:rsidRPr="001F6EF8">
        <w:rPr>
          <w:color w:val="000000" w:themeColor="text1"/>
        </w:rPr>
        <w:t xml:space="preserve"> Dicho acuerdo </w:t>
      </w:r>
      <w:r w:rsidR="00664420" w:rsidRPr="001F6EF8">
        <w:rPr>
          <w:rFonts w:cs="Tahoma"/>
          <w:szCs w:val="22"/>
        </w:rPr>
        <w:t xml:space="preserve">fue notificado a las partes el mismo día a través del </w:t>
      </w:r>
      <w:r w:rsidR="00664420" w:rsidRPr="001F6EF8">
        <w:rPr>
          <w:rFonts w:cs="Tahoma"/>
          <w:b/>
          <w:bCs/>
          <w:szCs w:val="22"/>
          <w:lang w:val="es-ES"/>
        </w:rPr>
        <w:t>SAIMEX</w:t>
      </w:r>
      <w:r w:rsidR="00664420" w:rsidRPr="001F6EF8">
        <w:rPr>
          <w:rFonts w:cs="Tahoma"/>
          <w:szCs w:val="22"/>
        </w:rPr>
        <w:t>.</w:t>
      </w:r>
    </w:p>
    <w:p w14:paraId="741683E3" w14:textId="77777777" w:rsidR="0011350D" w:rsidRPr="001F6EF8" w:rsidRDefault="0011350D" w:rsidP="00664420">
      <w:pPr>
        <w:rPr>
          <w:rFonts w:cs="Tahoma"/>
          <w:color w:val="000000"/>
          <w:szCs w:val="22"/>
        </w:rPr>
      </w:pPr>
    </w:p>
    <w:p w14:paraId="7A9629DE" w14:textId="77777777" w:rsidR="00664420" w:rsidRPr="001F6EF8" w:rsidRDefault="00664420" w:rsidP="00664420">
      <w:pPr>
        <w:pStyle w:val="Ttulo1"/>
        <w:rPr>
          <w:rFonts w:eastAsiaTheme="minorHAnsi"/>
          <w:lang w:eastAsia="en-US"/>
        </w:rPr>
      </w:pPr>
      <w:bookmarkStart w:id="21" w:name="_Toc200541440"/>
      <w:r w:rsidRPr="001F6EF8">
        <w:rPr>
          <w:rFonts w:eastAsiaTheme="minorHAnsi"/>
          <w:lang w:eastAsia="en-US"/>
        </w:rPr>
        <w:t>CONSIDERANDOS</w:t>
      </w:r>
      <w:bookmarkEnd w:id="21"/>
    </w:p>
    <w:p w14:paraId="6DD1243B" w14:textId="77777777" w:rsidR="00664420" w:rsidRPr="001F6EF8" w:rsidRDefault="00664420" w:rsidP="00664420">
      <w:pPr>
        <w:contextualSpacing/>
        <w:jc w:val="center"/>
        <w:rPr>
          <w:rFonts w:eastAsiaTheme="minorHAnsi" w:cs="Tahoma"/>
          <w:b/>
          <w:color w:val="000000" w:themeColor="text1"/>
          <w:szCs w:val="22"/>
          <w:lang w:eastAsia="en-US"/>
        </w:rPr>
      </w:pPr>
    </w:p>
    <w:p w14:paraId="0B67CB92" w14:textId="2E307D3B" w:rsidR="00664420" w:rsidRPr="001F6EF8" w:rsidRDefault="00664420" w:rsidP="00AE3DA7">
      <w:pPr>
        <w:pStyle w:val="Ttulo2"/>
        <w:rPr>
          <w:rFonts w:eastAsia="Batang"/>
        </w:rPr>
      </w:pPr>
      <w:bookmarkStart w:id="22" w:name="_Toc200541441"/>
      <w:r w:rsidRPr="001F6EF8">
        <w:rPr>
          <w:rFonts w:eastAsia="Batang"/>
        </w:rPr>
        <w:t xml:space="preserve">PRIMERO. </w:t>
      </w:r>
      <w:r w:rsidR="00BA55A8" w:rsidRPr="001F6EF8">
        <w:rPr>
          <w:rFonts w:eastAsia="Batang"/>
        </w:rPr>
        <w:t>Procedibilidad</w:t>
      </w:r>
      <w:bookmarkEnd w:id="22"/>
    </w:p>
    <w:p w14:paraId="39C52BC1" w14:textId="56FCC20D" w:rsidR="00BA55A8" w:rsidRPr="001F6EF8" w:rsidRDefault="00BA55A8" w:rsidP="00BA55A8">
      <w:pPr>
        <w:pStyle w:val="Ttulo3"/>
      </w:pPr>
      <w:bookmarkStart w:id="23" w:name="_Toc200541442"/>
      <w:r w:rsidRPr="001F6EF8">
        <w:t>a) Competencia</w:t>
      </w:r>
      <w:r w:rsidR="00150C49" w:rsidRPr="001F6EF8">
        <w:t xml:space="preserve"> del Instituto</w:t>
      </w:r>
      <w:bookmarkEnd w:id="23"/>
    </w:p>
    <w:p w14:paraId="56E64942" w14:textId="3C12F838" w:rsidR="0011350D" w:rsidRPr="001F6EF8" w:rsidRDefault="0011350D" w:rsidP="0011350D">
      <w:pPr>
        <w:rPr>
          <w:rFonts w:cs="Arial"/>
          <w:color w:val="000000" w:themeColor="text1"/>
        </w:rPr>
      </w:pPr>
      <w:r w:rsidRPr="001F6EF8">
        <w:rPr>
          <w:color w:val="000000" w:themeColor="text1"/>
        </w:rPr>
        <w:t xml:space="preserve">Este Instituto de Transparencia, Acceso a la Información Pública y Protección de Datos Personales del Estado de México y Municipios es competente para conocer y resolver </w:t>
      </w:r>
      <w:r w:rsidR="005F65B7" w:rsidRPr="001F6EF8">
        <w:rPr>
          <w:color w:val="000000" w:themeColor="text1"/>
        </w:rPr>
        <w:t xml:space="preserve">el </w:t>
      </w:r>
      <w:r w:rsidRPr="001F6EF8">
        <w:rPr>
          <w:color w:val="000000" w:themeColor="text1"/>
        </w:rPr>
        <w:t xml:space="preserve">presente Recurso de Revisión, conforme a lo dispuesto en los artículos 6, Apartado A de la Constitución Política de los Estados Unidos Mexicanos; 5, párrafos </w:t>
      </w:r>
      <w:r w:rsidR="00092E46" w:rsidRPr="001F6EF8">
        <w:rPr>
          <w:color w:val="000000" w:themeColor="text1"/>
        </w:rPr>
        <w:t>trigésimo séptimo,  trigésimo octavo y trigésimo noveno</w:t>
      </w:r>
      <w:r w:rsidRPr="001F6EF8">
        <w:rPr>
          <w:color w:val="000000" w:themeColor="text1"/>
        </w:rPr>
        <w:t xml:space="preserve">, fracciones IV y V de la Constitución Política del Estado Libre y Soberano de México; ordinal 2, fracción II, 13, 29, 36, fracciones I y II, 176, 178, 179, 181 párrafo tercero y 185 de la Ley de Transparencia y Acceso a la Información Pública del Estado </w:t>
      </w:r>
      <w:r w:rsidRPr="001F6EF8">
        <w:rPr>
          <w:color w:val="000000" w:themeColor="text1"/>
        </w:rPr>
        <w:lastRenderedPageBreak/>
        <w:t>de México y Municipios</w:t>
      </w:r>
      <w:r w:rsidRPr="001F6EF8">
        <w:rPr>
          <w:rFonts w:cs="Arial"/>
          <w:color w:val="000000" w:themeColor="text1"/>
        </w:rPr>
        <w:t>; y 9, fracciones I y XXIII y 11 del Reglamento Interior del Instituto de Transparencia, Acceso a la Información Pública y Protección de Datos Personales del Estado de México y Municipios.</w:t>
      </w:r>
    </w:p>
    <w:p w14:paraId="43A74BC9" w14:textId="77777777" w:rsidR="006946E4" w:rsidRPr="001F6EF8" w:rsidRDefault="006946E4" w:rsidP="0011350D">
      <w:pPr>
        <w:rPr>
          <w:rFonts w:cs="Arial"/>
          <w:color w:val="000000" w:themeColor="text1"/>
        </w:rPr>
      </w:pPr>
    </w:p>
    <w:p w14:paraId="517A2DD6" w14:textId="4169BE4D" w:rsidR="00664420" w:rsidRPr="001F6EF8" w:rsidRDefault="00BA55A8" w:rsidP="00BA55A8">
      <w:pPr>
        <w:pStyle w:val="Ttulo3"/>
      </w:pPr>
      <w:bookmarkStart w:id="24" w:name="_Toc200541443"/>
      <w:r w:rsidRPr="001F6EF8">
        <w:t>b)</w:t>
      </w:r>
      <w:r w:rsidR="00664420" w:rsidRPr="001F6EF8">
        <w:t xml:space="preserve"> </w:t>
      </w:r>
      <w:r w:rsidR="00D91CB4" w:rsidRPr="001F6EF8">
        <w:t>Legitimidad</w:t>
      </w:r>
      <w:r w:rsidRPr="001F6EF8">
        <w:t xml:space="preserve"> de la parte recurrente</w:t>
      </w:r>
      <w:bookmarkEnd w:id="24"/>
    </w:p>
    <w:p w14:paraId="26FEA382" w14:textId="0B06695C" w:rsidR="00D91CB4" w:rsidRPr="001F6EF8" w:rsidRDefault="00D91CB4" w:rsidP="00D91CB4">
      <w:pPr>
        <w:rPr>
          <w:rFonts w:cs="Arial"/>
          <w:bCs/>
          <w:color w:val="000000" w:themeColor="text1"/>
        </w:rPr>
      </w:pPr>
      <w:r w:rsidRPr="001F6EF8">
        <w:rPr>
          <w:rFonts w:cs="Arial"/>
          <w:bCs/>
          <w:color w:val="000000" w:themeColor="text1"/>
        </w:rPr>
        <w:t>El recurso de revisión fue interpuesto por parte legítima, ya que se presentó por la misma persona que formuló la solicitud de acceso a la Información Pública,</w:t>
      </w:r>
      <w:r w:rsidRPr="001F6EF8">
        <w:rPr>
          <w:rFonts w:cs="Arial"/>
          <w:b/>
          <w:bCs/>
          <w:color w:val="000000" w:themeColor="text1"/>
        </w:rPr>
        <w:t xml:space="preserve"> </w:t>
      </w:r>
      <w:r w:rsidRPr="001F6EF8">
        <w:rPr>
          <w:rFonts w:cs="Arial"/>
          <w:color w:val="000000" w:themeColor="text1"/>
        </w:rPr>
        <w:t>debido a que los datos de acceso</w:t>
      </w:r>
      <w:r w:rsidRPr="001F6EF8">
        <w:rPr>
          <w:rFonts w:cs="Arial"/>
          <w:b/>
          <w:bCs/>
          <w:color w:val="000000" w:themeColor="text1"/>
        </w:rPr>
        <w:t xml:space="preserve"> </w:t>
      </w:r>
      <w:r w:rsidRPr="001F6EF8">
        <w:rPr>
          <w:rFonts w:cs="Arial"/>
          <w:b/>
          <w:color w:val="000000" w:themeColor="text1"/>
        </w:rPr>
        <w:t>SAIMEX</w:t>
      </w:r>
      <w:r w:rsidRPr="001F6EF8">
        <w:rPr>
          <w:rFonts w:eastAsia="Calibri" w:cs="Arial"/>
          <w:color w:val="000000" w:themeColor="text1"/>
          <w:lang w:eastAsia="en-US"/>
        </w:rPr>
        <w:t xml:space="preserve"> son personales e irrepetibles.</w:t>
      </w:r>
    </w:p>
    <w:p w14:paraId="2C367810" w14:textId="77777777" w:rsidR="00D91CB4" w:rsidRPr="001F6EF8" w:rsidRDefault="00D91CB4" w:rsidP="00D91CB4"/>
    <w:p w14:paraId="496490FC" w14:textId="1A5F3FDB" w:rsidR="00D91CB4" w:rsidRPr="001F6EF8" w:rsidRDefault="00BA55A8" w:rsidP="00BA55A8">
      <w:pPr>
        <w:pStyle w:val="Ttulo3"/>
        <w:rPr>
          <w:rFonts w:eastAsia="Calibri"/>
          <w:lang w:eastAsia="es-ES_tradnl"/>
        </w:rPr>
      </w:pPr>
      <w:bookmarkStart w:id="25" w:name="_Toc200541444"/>
      <w:r w:rsidRPr="001F6EF8">
        <w:rPr>
          <w:rFonts w:eastAsia="Calibri"/>
          <w:lang w:eastAsia="es-ES_tradnl"/>
        </w:rPr>
        <w:t>c)</w:t>
      </w:r>
      <w:r w:rsidR="00664420" w:rsidRPr="001F6EF8">
        <w:rPr>
          <w:rFonts w:eastAsia="Calibri"/>
          <w:lang w:eastAsia="es-ES_tradnl"/>
        </w:rPr>
        <w:t xml:space="preserve"> </w:t>
      </w:r>
      <w:r w:rsidR="00D91CB4" w:rsidRPr="001F6EF8">
        <w:rPr>
          <w:rFonts w:eastAsia="Calibri"/>
          <w:lang w:eastAsia="es-ES_tradnl"/>
        </w:rPr>
        <w:t>Plazo para interponer el recurso</w:t>
      </w:r>
      <w:bookmarkEnd w:id="25"/>
    </w:p>
    <w:p w14:paraId="106D37EE" w14:textId="47E22A40" w:rsidR="00D91CB4" w:rsidRPr="001F6EF8" w:rsidRDefault="00D91CB4" w:rsidP="00D91CB4">
      <w:pPr>
        <w:rPr>
          <w:rFonts w:eastAsia="Calibri"/>
          <w:lang w:eastAsia="es-ES_tradnl"/>
        </w:rPr>
      </w:pPr>
      <w:r w:rsidRPr="001F6EF8">
        <w:rPr>
          <w:rFonts w:cs="Arial"/>
          <w:b/>
          <w:color w:val="000000" w:themeColor="text1"/>
        </w:rPr>
        <w:t>EL SUJETO OBLIGADO</w:t>
      </w:r>
      <w:r w:rsidRPr="001F6EF8">
        <w:rPr>
          <w:rFonts w:cs="Arial"/>
          <w:color w:val="000000" w:themeColor="text1"/>
        </w:rPr>
        <w:t xml:space="preserve"> notificó la respuesta a la solicitud de acceso a la Información Pública el </w:t>
      </w:r>
      <w:r w:rsidR="00A45039" w:rsidRPr="001F6EF8">
        <w:rPr>
          <w:rFonts w:eastAsia="Palatino Linotype" w:cs="Palatino Linotype"/>
          <w:b/>
        </w:rPr>
        <w:t>diez de abril</w:t>
      </w:r>
      <w:r w:rsidR="00092E46" w:rsidRPr="001F6EF8">
        <w:rPr>
          <w:rFonts w:eastAsia="Palatino Linotype" w:cs="Palatino Linotype"/>
          <w:b/>
        </w:rPr>
        <w:t xml:space="preserve"> de dos mil veinticinco</w:t>
      </w:r>
      <w:r w:rsidRPr="001F6EF8">
        <w:rPr>
          <w:rFonts w:cs="Arial"/>
          <w:color w:val="000000" w:themeColor="text1"/>
        </w:rPr>
        <w:t xml:space="preserve"> </w:t>
      </w:r>
      <w:r w:rsidR="00A53315" w:rsidRPr="001F6EF8">
        <w:rPr>
          <w:rFonts w:cs="Arial"/>
          <w:color w:val="000000" w:themeColor="text1"/>
        </w:rPr>
        <w:t xml:space="preserve">y el recurso </w:t>
      </w:r>
      <w:r w:rsidR="00A53315" w:rsidRPr="001F6EF8">
        <w:rPr>
          <w:rFonts w:eastAsia="Palatino Linotype" w:cs="Palatino Linotype"/>
          <w:color w:val="000000" w:themeColor="text1"/>
        </w:rPr>
        <w:t xml:space="preserve">que nos ocupa se interpuso el </w:t>
      </w:r>
      <w:r w:rsidR="00471E75" w:rsidRPr="001F6EF8">
        <w:rPr>
          <w:rFonts w:eastAsia="Palatino Linotype" w:cs="Palatino Linotype"/>
          <w:b/>
          <w:color w:val="000000" w:themeColor="text1"/>
        </w:rPr>
        <w:t>veinte</w:t>
      </w:r>
      <w:r w:rsidR="00DA5597" w:rsidRPr="001F6EF8">
        <w:rPr>
          <w:rFonts w:eastAsia="Palatino Linotype" w:cs="Palatino Linotype"/>
          <w:b/>
          <w:color w:val="000000" w:themeColor="text1"/>
        </w:rPr>
        <w:t xml:space="preserve"> de abril</w:t>
      </w:r>
      <w:r w:rsidR="00AA248D" w:rsidRPr="001F6EF8">
        <w:rPr>
          <w:rFonts w:eastAsia="Palatino Linotype" w:cs="Palatino Linotype"/>
          <w:b/>
          <w:color w:val="000000" w:themeColor="text1"/>
        </w:rPr>
        <w:t xml:space="preserve"> </w:t>
      </w:r>
      <w:r w:rsidR="00092E46" w:rsidRPr="001F6EF8">
        <w:rPr>
          <w:rFonts w:eastAsia="Palatino Linotype" w:cs="Palatino Linotype"/>
          <w:b/>
          <w:color w:val="000000" w:themeColor="text1"/>
        </w:rPr>
        <w:t>de dos mil veinticinco</w:t>
      </w:r>
      <w:r w:rsidR="00A53315" w:rsidRPr="001F6EF8">
        <w:rPr>
          <w:rFonts w:eastAsia="Palatino Linotype" w:cs="Palatino Linotype"/>
          <w:bCs/>
          <w:color w:val="000000" w:themeColor="text1"/>
        </w:rPr>
        <w:t>;</w:t>
      </w:r>
      <w:r w:rsidR="00A53315" w:rsidRPr="001F6EF8">
        <w:rPr>
          <w:rFonts w:eastAsia="Palatino Linotype" w:cs="Palatino Linotype"/>
          <w:color w:val="000000" w:themeColor="text1"/>
        </w:rPr>
        <w:t xml:space="preserve"> por lo tanto, éste se encuentra dentro del margen temporal previsto en el artículo 178 de la </w:t>
      </w:r>
      <w:r w:rsidR="00A53315" w:rsidRPr="001F6EF8">
        <w:rPr>
          <w:rFonts w:cs="Arial"/>
          <w:color w:val="000000" w:themeColor="text1"/>
        </w:rPr>
        <w:t>Ley de Transparencia y Acceso a la Información Pública del Estado de México y Municipios</w:t>
      </w:r>
      <w:r w:rsidRPr="001F6EF8">
        <w:rPr>
          <w:rFonts w:eastAsiaTheme="minorEastAsia" w:cs="Arial"/>
          <w:color w:val="000000" w:themeColor="text1"/>
          <w:lang w:val="es-ES_tradnl"/>
        </w:rPr>
        <w:t>.</w:t>
      </w:r>
    </w:p>
    <w:p w14:paraId="06998AF2" w14:textId="77777777" w:rsidR="00E5042F" w:rsidRPr="001F6EF8" w:rsidRDefault="00E5042F" w:rsidP="00E5042F">
      <w:pPr>
        <w:rPr>
          <w:color w:val="000000"/>
        </w:rPr>
      </w:pPr>
    </w:p>
    <w:p w14:paraId="46C0EB3A" w14:textId="040C9154" w:rsidR="00A53315" w:rsidRPr="001F6EF8" w:rsidRDefault="00BA55A8" w:rsidP="00362A11">
      <w:pPr>
        <w:pStyle w:val="Ttulo3"/>
        <w:rPr>
          <w:rFonts w:eastAsia="Calibri"/>
          <w:lang w:eastAsia="es-ES_tradnl"/>
        </w:rPr>
      </w:pPr>
      <w:bookmarkStart w:id="26" w:name="_Toc200541445"/>
      <w:r w:rsidRPr="001F6EF8">
        <w:rPr>
          <w:rFonts w:eastAsia="Calibri"/>
          <w:lang w:eastAsia="es-ES_tradnl"/>
        </w:rPr>
        <w:t>d)</w:t>
      </w:r>
      <w:r w:rsidR="00D91CB4" w:rsidRPr="001F6EF8">
        <w:rPr>
          <w:rFonts w:eastAsia="Calibri"/>
          <w:lang w:eastAsia="es-ES_tradnl"/>
        </w:rPr>
        <w:t xml:space="preserve"> </w:t>
      </w:r>
      <w:r w:rsidR="00B06AB1" w:rsidRPr="001F6EF8">
        <w:rPr>
          <w:rFonts w:eastAsia="Calibri"/>
          <w:lang w:eastAsia="es-ES_tradnl"/>
        </w:rPr>
        <w:t>Causal de procedencia</w:t>
      </w:r>
      <w:bookmarkEnd w:id="26"/>
      <w:r w:rsidR="00B06AB1" w:rsidRPr="001F6EF8">
        <w:rPr>
          <w:rFonts w:eastAsia="Calibri"/>
          <w:lang w:eastAsia="es-ES_tradnl"/>
        </w:rPr>
        <w:t xml:space="preserve"> </w:t>
      </w:r>
    </w:p>
    <w:p w14:paraId="190404A6" w14:textId="22245B2E" w:rsidR="00BA55A8" w:rsidRPr="001F6EF8" w:rsidRDefault="00BA55A8" w:rsidP="00BA55A8">
      <w:r w:rsidRPr="001F6EF8">
        <w:rPr>
          <w:rFonts w:cs="Arial"/>
        </w:rPr>
        <w:t xml:space="preserve">Resulta procedente la interposición del recurso de revisión, ya que </w:t>
      </w:r>
      <w:r w:rsidRPr="001F6EF8">
        <w:rPr>
          <w:rFonts w:eastAsia="Calibri" w:cs="Tahoma"/>
          <w:color w:val="000000"/>
          <w:szCs w:val="22"/>
          <w:lang w:eastAsia="es-MX"/>
        </w:rPr>
        <w:t xml:space="preserve">se actualiza la causal de procedencia señalada en el artículo 179, fracción </w:t>
      </w:r>
      <w:r w:rsidR="00471E75" w:rsidRPr="001F6EF8">
        <w:rPr>
          <w:rFonts w:eastAsia="Calibri" w:cs="Tahoma"/>
          <w:color w:val="000000"/>
          <w:szCs w:val="22"/>
          <w:lang w:eastAsia="es-MX"/>
        </w:rPr>
        <w:t>V</w:t>
      </w:r>
      <w:r w:rsidRPr="001F6EF8">
        <w:rPr>
          <w:rFonts w:cs="Arial"/>
        </w:rPr>
        <w:t xml:space="preserve"> de la </w:t>
      </w:r>
      <w:r w:rsidRPr="001F6EF8">
        <w:t>Ley de Transparencia y Acceso a la Información Pública del Estado de México y Municipios.</w:t>
      </w:r>
    </w:p>
    <w:p w14:paraId="0EFF7141" w14:textId="77777777" w:rsidR="00362A11" w:rsidRPr="001F6EF8" w:rsidRDefault="00362A11" w:rsidP="00BA55A8"/>
    <w:p w14:paraId="2284D7EB" w14:textId="3EE1D036" w:rsidR="00BA55A8" w:rsidRPr="001F6EF8" w:rsidRDefault="00362A11" w:rsidP="00362A11">
      <w:pPr>
        <w:pStyle w:val="Ttulo3"/>
      </w:pPr>
      <w:bookmarkStart w:id="27" w:name="_Toc200541446"/>
      <w:r w:rsidRPr="001F6EF8">
        <w:t>e) Requisitos formales para la interposición del recurso</w:t>
      </w:r>
      <w:bookmarkEnd w:id="27"/>
    </w:p>
    <w:p w14:paraId="6390674A" w14:textId="78A894DD" w:rsidR="00BA55A8" w:rsidRPr="001F6EF8" w:rsidRDefault="00BA55A8" w:rsidP="00BA55A8">
      <w:pPr>
        <w:rPr>
          <w:rFonts w:cs="Arial"/>
        </w:rPr>
      </w:pPr>
      <w:r w:rsidRPr="001F6EF8">
        <w:rPr>
          <w:rFonts w:cs="Arial"/>
          <w:b/>
          <w:bCs/>
        </w:rPr>
        <w:t xml:space="preserve">LA PARTE RECURRENTE </w:t>
      </w:r>
      <w:r w:rsidRPr="001F6EF8">
        <w:rPr>
          <w:rFonts w:cs="Arial"/>
        </w:rPr>
        <w:t>acreditó todos y cada uno de los elementos formales exigidos por el artículo 180 de la misma normatividad.</w:t>
      </w:r>
    </w:p>
    <w:p w14:paraId="31DE01E2" w14:textId="77777777" w:rsidR="00092E46" w:rsidRPr="001F6EF8" w:rsidRDefault="00092E46" w:rsidP="00BA55A8">
      <w:pPr>
        <w:rPr>
          <w:rFonts w:cs="Arial"/>
        </w:rPr>
      </w:pPr>
    </w:p>
    <w:p w14:paraId="34377790" w14:textId="77777777" w:rsidR="00092E46" w:rsidRPr="001F6EF8" w:rsidRDefault="00092E46" w:rsidP="00092E46">
      <w:pPr>
        <w:rPr>
          <w:rFonts w:cs="Arial"/>
          <w:color w:val="000000"/>
          <w:szCs w:val="24"/>
          <w:lang w:val="es-ES"/>
        </w:rPr>
      </w:pPr>
      <w:r w:rsidRPr="001F6EF8">
        <w:rPr>
          <w:szCs w:val="24"/>
          <w:lang w:val="es-ES"/>
        </w:rPr>
        <w:lastRenderedPageBreak/>
        <w:t xml:space="preserve">Es importante mencionar que, de la revisión del expediente electrónico del </w:t>
      </w:r>
      <w:r w:rsidRPr="001F6EF8">
        <w:rPr>
          <w:bCs/>
          <w:szCs w:val="24"/>
          <w:lang w:val="es-ES"/>
        </w:rPr>
        <w:t>SAIMEX,</w:t>
      </w:r>
      <w:r w:rsidRPr="001F6EF8">
        <w:rPr>
          <w:szCs w:val="24"/>
          <w:lang w:val="es-ES"/>
        </w:rPr>
        <w:t xml:space="preserve"> se observa que </w:t>
      </w:r>
      <w:r w:rsidRPr="001F6EF8">
        <w:rPr>
          <w:b/>
          <w:bCs/>
          <w:szCs w:val="24"/>
          <w:lang w:val="es-ES"/>
        </w:rPr>
        <w:t>LA PARTE RECURRENTE</w:t>
      </w:r>
      <w:r w:rsidRPr="001F6EF8">
        <w:rPr>
          <w:szCs w:val="24"/>
          <w:lang w:val="es-ES"/>
        </w:rPr>
        <w:t xml:space="preserve"> no proporcionó su nombre para ser identificado, lo que en estricto sentido provoca que </w:t>
      </w:r>
      <w:r w:rsidRPr="001F6EF8">
        <w:rPr>
          <w:rFonts w:cs="Arial"/>
          <w:szCs w:val="24"/>
          <w:lang w:val="es-ES"/>
        </w:rPr>
        <w:t>no</w:t>
      </w:r>
      <w:r w:rsidRPr="001F6EF8">
        <w:rPr>
          <w:szCs w:val="24"/>
          <w:lang w:val="es-ES"/>
        </w:rPr>
        <w:t xml:space="preserve"> se colmen los requisitos establecidos en el artículo 180 de la Ley de Transparencia; sin embargo, el artículo 15 de </w:t>
      </w:r>
      <w:r w:rsidRPr="001F6EF8">
        <w:rPr>
          <w:rFonts w:cs="Arial"/>
          <w:szCs w:val="24"/>
          <w:lang w:val="es-ES" w:eastAsia="es-MX"/>
        </w:rPr>
        <w:t xml:space="preserve">Ley de Transparencia y Acceso a la </w:t>
      </w:r>
      <w:r w:rsidRPr="001F6EF8">
        <w:rPr>
          <w:rFonts w:cs="Arial"/>
          <w:szCs w:val="24"/>
          <w:lang w:val="es-ES"/>
        </w:rPr>
        <w:t>Información</w:t>
      </w:r>
      <w:r w:rsidRPr="001F6EF8">
        <w:rPr>
          <w:rFonts w:cs="Arial"/>
          <w:szCs w:val="24"/>
          <w:lang w:val="es-ES" w:eastAsia="es-MX"/>
        </w:rPr>
        <w:t xml:space="preserve"> Pública del Estado de México y Municipios </w:t>
      </w:r>
      <w:r w:rsidRPr="001F6EF8">
        <w:rPr>
          <w:rFonts w:cs="Arial"/>
          <w:iCs/>
          <w:szCs w:val="24"/>
          <w:lang w:val="es-ES"/>
        </w:rPr>
        <w:t xml:space="preserve">prevé que </w:t>
      </w:r>
      <w:r w:rsidRPr="001F6EF8">
        <w:rPr>
          <w:szCs w:val="24"/>
          <w:lang w:val="es-ES"/>
        </w:rPr>
        <w:t xml:space="preserve">toda persona tendrá acceso a la información </w:t>
      </w:r>
      <w:r w:rsidRPr="001F6EF8">
        <w:rPr>
          <w:rFonts w:cs="Arial"/>
          <w:color w:val="000000"/>
          <w:szCs w:val="24"/>
          <w:lang w:val="es-ES"/>
        </w:rPr>
        <w:t xml:space="preserve">sin necesidad de acreditar interés alguno o justificar su utilización, de lo que se infiere que </w:t>
      </w:r>
      <w:r w:rsidRPr="001F6EF8">
        <w:rPr>
          <w:rFonts w:cs="Arial"/>
          <w:b/>
          <w:color w:val="000000"/>
          <w:szCs w:val="24"/>
          <w:u w:val="single"/>
          <w:lang w:val="es-ES"/>
        </w:rPr>
        <w:t xml:space="preserve">el nombre no es un requisito </w:t>
      </w:r>
      <w:r w:rsidRPr="001F6EF8">
        <w:rPr>
          <w:rFonts w:cs="Arial"/>
          <w:b/>
          <w:iCs/>
          <w:color w:val="000000"/>
          <w:szCs w:val="24"/>
          <w:u w:val="single"/>
          <w:lang w:val="es-ES"/>
        </w:rPr>
        <w:t>indispensable</w:t>
      </w:r>
      <w:r w:rsidRPr="001F6EF8">
        <w:rPr>
          <w:rFonts w:cs="Arial"/>
          <w:color w:val="000000"/>
          <w:szCs w:val="24"/>
          <w:lang w:val="es-ES"/>
        </w:rPr>
        <w:t xml:space="preserve"> para que las y los ciudadanos ejerzan el derecho de acceso a la información pública. </w:t>
      </w:r>
    </w:p>
    <w:p w14:paraId="4EF2AFD2" w14:textId="77777777" w:rsidR="00092E46" w:rsidRPr="001F6EF8" w:rsidRDefault="00092E46" w:rsidP="00092E46">
      <w:pPr>
        <w:rPr>
          <w:rFonts w:cs="Arial"/>
          <w:color w:val="000000"/>
          <w:szCs w:val="24"/>
          <w:lang w:val="es-ES"/>
        </w:rPr>
      </w:pPr>
    </w:p>
    <w:p w14:paraId="2CFAFFE3" w14:textId="46D0F7C4" w:rsidR="00092E46" w:rsidRPr="001F6EF8" w:rsidRDefault="00092E46" w:rsidP="00092E46">
      <w:pPr>
        <w:rPr>
          <w:rFonts w:cs="Arial"/>
        </w:rPr>
      </w:pPr>
      <w:r w:rsidRPr="001F6EF8">
        <w:rPr>
          <w:rFonts w:cs="Arial"/>
          <w:color w:val="000000"/>
          <w:szCs w:val="24"/>
          <w:lang w:val="es-ES"/>
        </w:rPr>
        <w:t>Asimismo, la Ley de la materia prevé en su artículo 155, párrafo segundo la posibilidad de que las solicitudes de información sean anónimas, al utilizar un nombre incompleto o, inclusive un seudónimo.</w:t>
      </w:r>
      <w:r w:rsidRPr="001F6EF8">
        <w:rPr>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1F6EF8">
        <w:rPr>
          <w:b/>
          <w:bCs/>
          <w:szCs w:val="24"/>
          <w:lang w:val="es-ES"/>
        </w:rPr>
        <w:t>LA PARTE RECURRENTE</w:t>
      </w:r>
      <w:r w:rsidRPr="001F6EF8">
        <w:rPr>
          <w:rFonts w:cs="Arial"/>
          <w:b/>
          <w:szCs w:val="24"/>
          <w:lang w:val="es-ES"/>
        </w:rPr>
        <w:t>;</w:t>
      </w:r>
      <w:r w:rsidRPr="001F6EF8">
        <w:rPr>
          <w:szCs w:val="24"/>
          <w:lang w:val="es-ES"/>
        </w:rPr>
        <w:t xml:space="preserve"> por lo que, en el presente caso, al haber sido presentado el recurso de revisión vía </w:t>
      </w:r>
      <w:r w:rsidRPr="001F6EF8">
        <w:rPr>
          <w:bCs/>
          <w:szCs w:val="24"/>
          <w:lang w:val="es-ES"/>
        </w:rPr>
        <w:t>SAIMEX</w:t>
      </w:r>
      <w:r w:rsidRPr="001F6EF8">
        <w:rPr>
          <w:szCs w:val="24"/>
          <w:lang w:val="es-ES"/>
        </w:rPr>
        <w:t>, dicho requisito resulta innecesario.</w:t>
      </w:r>
    </w:p>
    <w:p w14:paraId="3A121826" w14:textId="77777777" w:rsidR="00C461EC" w:rsidRPr="001F6EF8" w:rsidRDefault="00C461EC" w:rsidP="00652EE8">
      <w:pPr>
        <w:rPr>
          <w:bCs/>
          <w:lang w:val="es-ES_tradnl"/>
        </w:rPr>
      </w:pPr>
    </w:p>
    <w:p w14:paraId="457548E9" w14:textId="3F7AF03B" w:rsidR="00C71CEF" w:rsidRPr="001F6EF8" w:rsidRDefault="00C71CEF" w:rsidP="00C71CEF">
      <w:pPr>
        <w:pStyle w:val="Ttulo2"/>
      </w:pPr>
      <w:bookmarkStart w:id="28" w:name="_Toc200541447"/>
      <w:r w:rsidRPr="001F6EF8">
        <w:t>SEGUNDO. Estudio de Fondo</w:t>
      </w:r>
      <w:bookmarkEnd w:id="28"/>
    </w:p>
    <w:p w14:paraId="2A308F59" w14:textId="0FF373F0" w:rsidR="00C049E2" w:rsidRPr="001F6EF8" w:rsidRDefault="00C71CEF" w:rsidP="00A21A20">
      <w:pPr>
        <w:pStyle w:val="Ttulo3"/>
      </w:pPr>
      <w:bookmarkStart w:id="29" w:name="_Toc200541448"/>
      <w:r w:rsidRPr="001F6EF8">
        <w:t>a</w:t>
      </w:r>
      <w:r w:rsidR="00C049E2" w:rsidRPr="001F6EF8">
        <w:t>) Mandato de transparencia y responsabilidad del Sujeto Obligado</w:t>
      </w:r>
      <w:bookmarkEnd w:id="29"/>
    </w:p>
    <w:p w14:paraId="6901A889" w14:textId="59EEDAE1" w:rsidR="00C049E2" w:rsidRPr="001F6EF8" w:rsidRDefault="00C049E2" w:rsidP="00C049E2">
      <w:pPr>
        <w:rPr>
          <w:rFonts w:eastAsia="Palatino Linotype"/>
        </w:rPr>
      </w:pPr>
      <w:r w:rsidRPr="001F6EF8">
        <w:rPr>
          <w:rFonts w:eastAsia="Palatino Linotype"/>
        </w:rPr>
        <w:t xml:space="preserve">El </w:t>
      </w:r>
      <w:r w:rsidR="00717E59" w:rsidRPr="001F6EF8">
        <w:rPr>
          <w:rFonts w:eastAsia="Palatino Linotype"/>
        </w:rPr>
        <w:t>d</w:t>
      </w:r>
      <w:r w:rsidRPr="001F6EF8">
        <w:rPr>
          <w:rFonts w:eastAsia="Palatino Linotype"/>
        </w:rPr>
        <w:t xml:space="preserve">erecho de </w:t>
      </w:r>
      <w:r w:rsidR="00717E59" w:rsidRPr="001F6EF8">
        <w:rPr>
          <w:rFonts w:eastAsia="Palatino Linotype"/>
        </w:rPr>
        <w:t>a</w:t>
      </w:r>
      <w:r w:rsidRPr="001F6EF8">
        <w:rPr>
          <w:rFonts w:eastAsia="Palatino Linotype"/>
        </w:rPr>
        <w:t xml:space="preserve">cceso a la </w:t>
      </w:r>
      <w:r w:rsidR="00717E59" w:rsidRPr="001F6EF8">
        <w:rPr>
          <w:rFonts w:eastAsia="Palatino Linotype"/>
        </w:rPr>
        <w:t>i</w:t>
      </w:r>
      <w:r w:rsidRPr="001F6EF8">
        <w:rPr>
          <w:rFonts w:eastAsia="Palatino Linotype"/>
        </w:rPr>
        <w:t xml:space="preserve">nformación </w:t>
      </w:r>
      <w:r w:rsidR="00717E59" w:rsidRPr="001F6EF8">
        <w:rPr>
          <w:rFonts w:eastAsia="Palatino Linotype"/>
        </w:rPr>
        <w:t>p</w:t>
      </w:r>
      <w:r w:rsidRPr="001F6EF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F6EF8">
        <w:rPr>
          <w:rFonts w:eastAsia="Palatino Linotype"/>
        </w:rPr>
        <w:t>:</w:t>
      </w:r>
    </w:p>
    <w:p w14:paraId="7FAB8D32" w14:textId="77777777" w:rsidR="00C049E2" w:rsidRPr="001F6EF8" w:rsidRDefault="00C049E2" w:rsidP="00C049E2">
      <w:pPr>
        <w:rPr>
          <w:rFonts w:eastAsia="Palatino Linotype"/>
        </w:rPr>
      </w:pPr>
    </w:p>
    <w:p w14:paraId="05320813" w14:textId="77777777" w:rsidR="00C049E2" w:rsidRPr="001F6EF8" w:rsidRDefault="00C049E2" w:rsidP="00C71CEF">
      <w:pPr>
        <w:spacing w:line="240" w:lineRule="auto"/>
        <w:ind w:left="567" w:right="539"/>
        <w:rPr>
          <w:rFonts w:eastAsia="Palatino Linotype"/>
          <w:b/>
          <w:i/>
        </w:rPr>
      </w:pPr>
      <w:r w:rsidRPr="001F6EF8">
        <w:rPr>
          <w:rFonts w:eastAsia="Palatino Linotype"/>
          <w:b/>
          <w:i/>
        </w:rPr>
        <w:t>Constitución Política de los Estados Unidos Mexicanos</w:t>
      </w:r>
    </w:p>
    <w:p w14:paraId="6B6C67B6" w14:textId="77777777" w:rsidR="00C049E2" w:rsidRPr="001F6EF8" w:rsidRDefault="00C049E2" w:rsidP="00C71CEF">
      <w:pPr>
        <w:spacing w:line="240" w:lineRule="auto"/>
        <w:ind w:left="567" w:right="539"/>
        <w:rPr>
          <w:rFonts w:eastAsia="Palatino Linotype"/>
          <w:b/>
          <w:i/>
        </w:rPr>
      </w:pPr>
      <w:r w:rsidRPr="001F6EF8">
        <w:rPr>
          <w:rFonts w:eastAsia="Palatino Linotype"/>
          <w:b/>
          <w:i/>
        </w:rPr>
        <w:t>“Artículo 6.</w:t>
      </w:r>
    </w:p>
    <w:p w14:paraId="38D3B4C4" w14:textId="77777777" w:rsidR="00C049E2" w:rsidRPr="001F6EF8" w:rsidRDefault="00C049E2" w:rsidP="00C71CEF">
      <w:pPr>
        <w:spacing w:line="240" w:lineRule="auto"/>
        <w:ind w:left="567" w:right="539"/>
        <w:rPr>
          <w:rFonts w:eastAsia="Palatino Linotype"/>
          <w:i/>
        </w:rPr>
      </w:pPr>
      <w:r w:rsidRPr="001F6EF8">
        <w:rPr>
          <w:rFonts w:eastAsia="Palatino Linotype"/>
          <w:i/>
        </w:rPr>
        <w:t>(…)</w:t>
      </w:r>
    </w:p>
    <w:p w14:paraId="2CCAA297" w14:textId="6602827B" w:rsidR="00C049E2" w:rsidRPr="001F6EF8" w:rsidRDefault="00C049E2" w:rsidP="00C71CEF">
      <w:pPr>
        <w:spacing w:line="240" w:lineRule="auto"/>
        <w:ind w:left="567" w:right="539"/>
        <w:rPr>
          <w:rFonts w:eastAsia="Palatino Linotype"/>
          <w:i/>
        </w:rPr>
      </w:pPr>
      <w:r w:rsidRPr="001F6EF8">
        <w:rPr>
          <w:rFonts w:eastAsia="Palatino Linotype"/>
          <w:i/>
        </w:rPr>
        <w:t>Para efectos de lo dispuesto en el presente artículo se observará lo siguiente:</w:t>
      </w:r>
    </w:p>
    <w:p w14:paraId="74CC3718" w14:textId="77777777" w:rsidR="00C049E2" w:rsidRPr="001F6EF8" w:rsidRDefault="00C049E2" w:rsidP="00C71CEF">
      <w:pPr>
        <w:spacing w:line="240" w:lineRule="auto"/>
        <w:ind w:left="567" w:right="539"/>
        <w:rPr>
          <w:rFonts w:eastAsia="Palatino Linotype"/>
          <w:b/>
          <w:i/>
        </w:rPr>
      </w:pPr>
      <w:r w:rsidRPr="001F6EF8">
        <w:rPr>
          <w:rFonts w:eastAsia="Palatino Linotype"/>
          <w:b/>
          <w:i/>
        </w:rPr>
        <w:lastRenderedPageBreak/>
        <w:t>A</w:t>
      </w:r>
      <w:r w:rsidRPr="001F6EF8">
        <w:rPr>
          <w:rFonts w:eastAsia="Palatino Linotype"/>
          <w:i/>
        </w:rPr>
        <w:t xml:space="preserve">. </w:t>
      </w:r>
      <w:r w:rsidRPr="001F6EF8">
        <w:rPr>
          <w:rFonts w:eastAsia="Palatino Linotype"/>
          <w:b/>
          <w:i/>
        </w:rPr>
        <w:t>Para el ejercicio del derecho de acceso a la información</w:t>
      </w:r>
      <w:r w:rsidRPr="001F6EF8">
        <w:rPr>
          <w:rFonts w:eastAsia="Palatino Linotype"/>
          <w:i/>
        </w:rPr>
        <w:t xml:space="preserve">, la Federación y </w:t>
      </w:r>
      <w:r w:rsidRPr="001F6EF8">
        <w:rPr>
          <w:rFonts w:eastAsia="Palatino Linotype"/>
          <w:b/>
          <w:i/>
        </w:rPr>
        <w:t>las entidades federativas, en el ámbito de sus respectivas competencias, se regirán por los siguientes principios y bases:</w:t>
      </w:r>
    </w:p>
    <w:p w14:paraId="596A956B" w14:textId="77777777" w:rsidR="00C049E2" w:rsidRPr="001F6EF8" w:rsidRDefault="00C049E2" w:rsidP="00C71CEF">
      <w:pPr>
        <w:spacing w:line="240" w:lineRule="auto"/>
        <w:ind w:left="567" w:right="539"/>
        <w:rPr>
          <w:rFonts w:eastAsia="Palatino Linotype"/>
          <w:i/>
        </w:rPr>
      </w:pPr>
      <w:r w:rsidRPr="001F6EF8">
        <w:rPr>
          <w:rFonts w:eastAsia="Palatino Linotype"/>
          <w:b/>
          <w:i/>
        </w:rPr>
        <w:t xml:space="preserve">I. </w:t>
      </w:r>
      <w:r w:rsidRPr="001F6EF8">
        <w:rPr>
          <w:rFonts w:eastAsia="Palatino Linotype"/>
          <w:b/>
          <w:i/>
        </w:rPr>
        <w:tab/>
        <w:t>Toda la información en posesión de cualquier</w:t>
      </w:r>
      <w:r w:rsidRPr="001F6EF8">
        <w:rPr>
          <w:rFonts w:eastAsia="Palatino Linotype"/>
          <w:i/>
        </w:rPr>
        <w:t xml:space="preserve"> </w:t>
      </w:r>
      <w:r w:rsidRPr="001F6EF8">
        <w:rPr>
          <w:rFonts w:eastAsia="Palatino Linotype"/>
          <w:b/>
          <w:i/>
        </w:rPr>
        <w:t>autoridad</w:t>
      </w:r>
      <w:r w:rsidRPr="001F6EF8">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6EF8">
        <w:rPr>
          <w:rFonts w:eastAsia="Palatino Linotype"/>
          <w:b/>
          <w:i/>
        </w:rPr>
        <w:t>municipal</w:t>
      </w:r>
      <w:r w:rsidRPr="001F6EF8">
        <w:rPr>
          <w:rFonts w:eastAsia="Palatino Linotype"/>
          <w:i/>
        </w:rPr>
        <w:t xml:space="preserve">, </w:t>
      </w:r>
      <w:r w:rsidRPr="001F6EF8">
        <w:rPr>
          <w:rFonts w:eastAsia="Palatino Linotype"/>
          <w:b/>
          <w:i/>
        </w:rPr>
        <w:t>es pública</w:t>
      </w:r>
      <w:r w:rsidRPr="001F6EF8">
        <w:rPr>
          <w:rFonts w:eastAsia="Palatino Linotype"/>
          <w:i/>
        </w:rPr>
        <w:t xml:space="preserve"> y sólo podrá ser reservada temporalmente por razones de interés público y seguridad nacional, en los términos que fijen las leyes. </w:t>
      </w:r>
      <w:r w:rsidRPr="001F6EF8">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1F6EF8">
        <w:rPr>
          <w:rFonts w:eastAsia="Palatino Linotype"/>
          <w:i/>
        </w:rPr>
        <w:t>, la ley determinará los supuestos específicos bajo los cuales procederá la declaración de inexistencia de la información.”</w:t>
      </w:r>
    </w:p>
    <w:p w14:paraId="68F313E4" w14:textId="77777777" w:rsidR="00C049E2" w:rsidRPr="001F6EF8" w:rsidRDefault="00C049E2" w:rsidP="00C71CEF">
      <w:pPr>
        <w:spacing w:line="240" w:lineRule="auto"/>
        <w:ind w:left="567" w:right="539"/>
        <w:rPr>
          <w:rFonts w:eastAsia="Palatino Linotype"/>
          <w:b/>
          <w:i/>
        </w:rPr>
      </w:pPr>
    </w:p>
    <w:p w14:paraId="504F12DB" w14:textId="77777777" w:rsidR="00C049E2" w:rsidRPr="001F6EF8" w:rsidRDefault="00C049E2" w:rsidP="00C71CEF">
      <w:pPr>
        <w:spacing w:line="240" w:lineRule="auto"/>
        <w:ind w:left="567" w:right="539"/>
        <w:rPr>
          <w:rFonts w:eastAsia="Palatino Linotype"/>
          <w:b/>
          <w:i/>
        </w:rPr>
      </w:pPr>
      <w:r w:rsidRPr="001F6EF8">
        <w:rPr>
          <w:rFonts w:eastAsia="Palatino Linotype"/>
          <w:b/>
          <w:i/>
        </w:rPr>
        <w:t>Constitución Política del Estado Libre y Soberano de México</w:t>
      </w:r>
    </w:p>
    <w:p w14:paraId="04932D29" w14:textId="77777777" w:rsidR="00C049E2" w:rsidRPr="001F6EF8" w:rsidRDefault="00C049E2" w:rsidP="00C71CEF">
      <w:pPr>
        <w:spacing w:line="240" w:lineRule="auto"/>
        <w:ind w:left="567" w:right="539"/>
        <w:rPr>
          <w:rFonts w:eastAsia="Palatino Linotype"/>
          <w:i/>
        </w:rPr>
      </w:pPr>
      <w:r w:rsidRPr="001F6EF8">
        <w:rPr>
          <w:rFonts w:eastAsia="Palatino Linotype"/>
          <w:b/>
          <w:i/>
        </w:rPr>
        <w:t>“Artículo 5</w:t>
      </w:r>
      <w:r w:rsidRPr="001F6EF8">
        <w:rPr>
          <w:rFonts w:eastAsia="Palatino Linotype"/>
          <w:i/>
        </w:rPr>
        <w:t xml:space="preserve">.- </w:t>
      </w:r>
    </w:p>
    <w:p w14:paraId="1D3829F4" w14:textId="77777777" w:rsidR="00C049E2" w:rsidRPr="001F6EF8" w:rsidRDefault="00C049E2" w:rsidP="00C71CEF">
      <w:pPr>
        <w:spacing w:line="240" w:lineRule="auto"/>
        <w:ind w:left="567" w:right="539"/>
        <w:rPr>
          <w:rFonts w:eastAsia="Palatino Linotype"/>
          <w:i/>
        </w:rPr>
      </w:pPr>
      <w:r w:rsidRPr="001F6EF8">
        <w:rPr>
          <w:rFonts w:eastAsia="Palatino Linotype"/>
          <w:i/>
        </w:rPr>
        <w:t>(…)</w:t>
      </w:r>
    </w:p>
    <w:p w14:paraId="0EAE47FD" w14:textId="77777777" w:rsidR="00C049E2" w:rsidRPr="001F6EF8" w:rsidRDefault="00C049E2" w:rsidP="00C71CEF">
      <w:pPr>
        <w:spacing w:line="240" w:lineRule="auto"/>
        <w:ind w:left="567" w:right="539"/>
        <w:rPr>
          <w:rFonts w:eastAsia="Palatino Linotype"/>
          <w:i/>
        </w:rPr>
      </w:pPr>
      <w:r w:rsidRPr="001F6EF8">
        <w:rPr>
          <w:rFonts w:eastAsia="Palatino Linotype"/>
          <w:b/>
          <w:i/>
        </w:rPr>
        <w:t>El derecho a la información será garantizado por el Estado. La ley establecerá las previsiones que permitan asegurar la protección, el respeto y la difusión de este derecho</w:t>
      </w:r>
      <w:r w:rsidRPr="001F6EF8">
        <w:rPr>
          <w:rFonts w:eastAsia="Palatino Linotype"/>
          <w:i/>
        </w:rPr>
        <w:t>.</w:t>
      </w:r>
    </w:p>
    <w:p w14:paraId="4F0C804A" w14:textId="77777777" w:rsidR="00C049E2" w:rsidRPr="001F6EF8" w:rsidRDefault="00C049E2" w:rsidP="00C71CEF">
      <w:pPr>
        <w:spacing w:line="240" w:lineRule="auto"/>
        <w:ind w:left="567" w:right="539"/>
        <w:rPr>
          <w:rFonts w:eastAsia="Palatino Linotype"/>
          <w:i/>
        </w:rPr>
      </w:pPr>
      <w:r w:rsidRPr="001F6EF8">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F6EF8" w:rsidRDefault="00C049E2" w:rsidP="00C71CEF">
      <w:pPr>
        <w:spacing w:line="240" w:lineRule="auto"/>
        <w:ind w:left="567" w:right="539"/>
        <w:rPr>
          <w:rFonts w:eastAsia="Palatino Linotype"/>
          <w:i/>
        </w:rPr>
      </w:pPr>
      <w:r w:rsidRPr="001F6EF8">
        <w:rPr>
          <w:rFonts w:eastAsia="Palatino Linotype"/>
          <w:b/>
          <w:i/>
        </w:rPr>
        <w:t>Este derecho se regirá por los principios y bases siguientes</w:t>
      </w:r>
      <w:r w:rsidRPr="001F6EF8">
        <w:rPr>
          <w:rFonts w:eastAsia="Palatino Linotype"/>
          <w:i/>
        </w:rPr>
        <w:t>:</w:t>
      </w:r>
    </w:p>
    <w:p w14:paraId="4A3E8CBA" w14:textId="77777777" w:rsidR="00C049E2" w:rsidRPr="001F6EF8" w:rsidRDefault="00C049E2" w:rsidP="00C71CEF">
      <w:pPr>
        <w:spacing w:line="240" w:lineRule="auto"/>
        <w:ind w:left="567" w:right="539"/>
        <w:rPr>
          <w:rFonts w:eastAsia="Palatino Linotype"/>
          <w:i/>
        </w:rPr>
      </w:pPr>
      <w:r w:rsidRPr="001F6EF8">
        <w:rPr>
          <w:rFonts w:eastAsia="Palatino Linotype"/>
          <w:b/>
          <w:i/>
        </w:rPr>
        <w:t>I. Toda la información en posesión de cualquier autoridad, entidad, órgano y organismos de los</w:t>
      </w:r>
      <w:r w:rsidRPr="001F6EF8">
        <w:rPr>
          <w:rFonts w:eastAsia="Palatino Linotype"/>
          <w:i/>
        </w:rPr>
        <w:t xml:space="preserve"> Poderes Ejecutivo, Legislativo y Judicial, órganos autónomos, partidos políticos, fideicomisos y fondos públicos estatales y </w:t>
      </w:r>
      <w:r w:rsidRPr="001F6EF8">
        <w:rPr>
          <w:rFonts w:eastAsia="Palatino Linotype"/>
          <w:b/>
          <w:i/>
        </w:rPr>
        <w:t>municipales</w:t>
      </w:r>
      <w:r w:rsidRPr="001F6EF8">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6EF8">
        <w:rPr>
          <w:rFonts w:eastAsia="Palatino Linotype"/>
          <w:b/>
          <w:i/>
        </w:rPr>
        <w:t>es pública</w:t>
      </w:r>
      <w:r w:rsidRPr="001F6EF8">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F6EF8">
        <w:rPr>
          <w:rFonts w:eastAsia="Palatino Linotype"/>
          <w:b/>
          <w:i/>
        </w:rPr>
        <w:t>En la interpretación de este derecho deberá prevalecer el principio de máxima publicidad</w:t>
      </w:r>
      <w:r w:rsidRPr="001F6EF8">
        <w:rPr>
          <w:rFonts w:eastAsia="Palatino Linotype"/>
          <w:i/>
        </w:rPr>
        <w:t xml:space="preserve">. </w:t>
      </w:r>
      <w:r w:rsidRPr="001F6EF8">
        <w:rPr>
          <w:rFonts w:eastAsia="Palatino Linotype"/>
          <w:b/>
          <w:i/>
        </w:rPr>
        <w:t>Los sujetos obligados deberán documentar todo acto que derive del ejercicio de sus facultades, competencias o funciones</w:t>
      </w:r>
      <w:r w:rsidRPr="001F6EF8">
        <w:rPr>
          <w:rFonts w:eastAsia="Palatino Linotype"/>
          <w:i/>
        </w:rPr>
        <w:t>, la ley determinará los supuestos específicos bajo los cuales procederá la declaración de inexistencia de la información.”</w:t>
      </w:r>
    </w:p>
    <w:p w14:paraId="5CA98E37" w14:textId="77777777" w:rsidR="00C049E2" w:rsidRPr="001F6EF8" w:rsidRDefault="00C049E2" w:rsidP="00C049E2">
      <w:pPr>
        <w:rPr>
          <w:rFonts w:eastAsia="Palatino Linotype"/>
          <w:b/>
          <w:i/>
        </w:rPr>
      </w:pPr>
    </w:p>
    <w:p w14:paraId="6FC1BB3B" w14:textId="3BF4A33D" w:rsidR="00C049E2" w:rsidRPr="001F6EF8" w:rsidRDefault="00717E59" w:rsidP="00331F35">
      <w:pPr>
        <w:rPr>
          <w:rFonts w:eastAsia="Palatino Linotype"/>
          <w:i/>
        </w:rPr>
      </w:pPr>
      <w:r w:rsidRPr="001F6EF8">
        <w:rPr>
          <w:rFonts w:eastAsia="Palatino Linotype"/>
        </w:rPr>
        <w:lastRenderedPageBreak/>
        <w:t xml:space="preserve">Asimismo, </w:t>
      </w:r>
      <w:r w:rsidR="00C049E2" w:rsidRPr="001F6EF8">
        <w:rPr>
          <w:rFonts w:eastAsia="Palatino Linotype"/>
        </w:rPr>
        <w:t>el artículo 150 de la Ley de Transparencia y Acceso a la Información Pública del Estado de México y Municipios</w:t>
      </w:r>
      <w:r w:rsidR="00057B2D" w:rsidRPr="001F6EF8">
        <w:rPr>
          <w:rFonts w:eastAsia="Palatino Linotype"/>
        </w:rPr>
        <w:t xml:space="preserve"> </w:t>
      </w:r>
      <w:r w:rsidR="00E9335C" w:rsidRPr="001F6EF8">
        <w:rPr>
          <w:rFonts w:eastAsia="Palatino Linotype"/>
        </w:rPr>
        <w:t xml:space="preserve">indica </w:t>
      </w:r>
      <w:r w:rsidR="00057B2D" w:rsidRPr="001F6EF8">
        <w:rPr>
          <w:rFonts w:eastAsia="Palatino Linotype"/>
        </w:rPr>
        <w:t>que</w:t>
      </w:r>
      <w:r w:rsidR="00C049E2" w:rsidRPr="001F6EF8">
        <w:rPr>
          <w:rFonts w:eastAsia="Palatino Linotype"/>
        </w:rPr>
        <w:t xml:space="preserve"> la solicitud es la garantía primaria del Derecho de Acceso a la Información, además, establece que se regirá </w:t>
      </w:r>
      <w:r w:rsidR="00C049E2" w:rsidRPr="001F6EF8">
        <w:rPr>
          <w:rFonts w:eastAsia="Palatino Linotype"/>
          <w:i/>
        </w:rPr>
        <w:t>por los principios de simplicidad, rapidez</w:t>
      </w:r>
      <w:r w:rsidR="005F65B7" w:rsidRPr="001F6EF8">
        <w:rPr>
          <w:rFonts w:eastAsia="Palatino Linotype"/>
          <w:i/>
        </w:rPr>
        <w:t>,</w:t>
      </w:r>
      <w:r w:rsidR="00C049E2" w:rsidRPr="001F6EF8">
        <w:rPr>
          <w:rFonts w:eastAsia="Palatino Linotype"/>
          <w:i/>
        </w:rPr>
        <w:t xml:space="preserve"> gratuidad del procedimiento, auxilio y orientación a los particulare</w:t>
      </w:r>
      <w:r w:rsidR="001A58B3" w:rsidRPr="001F6EF8">
        <w:rPr>
          <w:rFonts w:eastAsia="Palatino Linotype"/>
          <w:i/>
        </w:rPr>
        <w:t>s.</w:t>
      </w:r>
    </w:p>
    <w:p w14:paraId="033466A6" w14:textId="77777777" w:rsidR="001A58B3" w:rsidRPr="001F6EF8" w:rsidRDefault="001A58B3" w:rsidP="00331F35">
      <w:pPr>
        <w:rPr>
          <w:rFonts w:eastAsia="Palatino Linotype"/>
          <w:i/>
        </w:rPr>
      </w:pPr>
    </w:p>
    <w:p w14:paraId="04ADA10B" w14:textId="574A944A" w:rsidR="001A58B3" w:rsidRPr="001F6EF8" w:rsidRDefault="00233F17" w:rsidP="00331F35">
      <w:pPr>
        <w:rPr>
          <w:rFonts w:eastAsia="Palatino Linotype" w:cs="Palatino Linotype"/>
          <w:i/>
          <w:szCs w:val="22"/>
        </w:rPr>
      </w:pPr>
      <w:r w:rsidRPr="001F6EF8">
        <w:rPr>
          <w:rFonts w:eastAsia="Palatino Linotype" w:cs="Palatino Linotype"/>
        </w:rPr>
        <w:t xml:space="preserve">Por su parte, el artículo 4 de </w:t>
      </w:r>
      <w:r w:rsidR="001A58B3" w:rsidRPr="001F6EF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F6EF8">
        <w:rPr>
          <w:rFonts w:eastAsia="Palatino Linotype" w:cs="Palatino Linotype"/>
        </w:rPr>
        <w:t>.</w:t>
      </w:r>
    </w:p>
    <w:p w14:paraId="1407DBB8" w14:textId="77777777" w:rsidR="001A58B3" w:rsidRPr="001F6EF8" w:rsidRDefault="001A58B3" w:rsidP="00331F35">
      <w:pPr>
        <w:rPr>
          <w:rFonts w:eastAsia="Palatino Linotype" w:cs="Palatino Linotype"/>
        </w:rPr>
      </w:pPr>
    </w:p>
    <w:p w14:paraId="7552AA79" w14:textId="5C52E4A4" w:rsidR="001A58B3" w:rsidRPr="001F6EF8" w:rsidRDefault="001A58B3" w:rsidP="00331F35">
      <w:pPr>
        <w:rPr>
          <w:rFonts w:eastAsia="Palatino Linotype" w:cs="Palatino Linotype"/>
        </w:rPr>
      </w:pPr>
      <w:r w:rsidRPr="001F6EF8">
        <w:rPr>
          <w:rFonts w:eastAsia="Palatino Linotype" w:cs="Palatino Linotype"/>
        </w:rPr>
        <w:t xml:space="preserve">Esto es, que los Sujetos Obligados </w:t>
      </w:r>
      <w:r w:rsidR="00FA5957" w:rsidRPr="001F6EF8">
        <w:rPr>
          <w:rFonts w:eastAsia="Palatino Linotype" w:cs="Palatino Linotype"/>
        </w:rPr>
        <w:t>deben</w:t>
      </w:r>
      <w:r w:rsidRPr="001F6EF8">
        <w:rPr>
          <w:rFonts w:eastAsia="Palatino Linotype" w:cs="Palatino Linotype"/>
        </w:rPr>
        <w:t xml:space="preserve"> atender las solicitudes de acceso a la información pública que se les </w:t>
      </w:r>
      <w:r w:rsidR="00FA5957" w:rsidRPr="001F6EF8">
        <w:rPr>
          <w:rFonts w:eastAsia="Palatino Linotype" w:cs="Palatino Linotype"/>
        </w:rPr>
        <w:t>sean realizadas,</w:t>
      </w:r>
      <w:r w:rsidRPr="001F6EF8">
        <w:rPr>
          <w:rFonts w:eastAsia="Palatino Linotype" w:cs="Palatino Linotype"/>
        </w:rPr>
        <w:t xml:space="preserve"> y proporcionar la información pública que obre en su poder</w:t>
      </w:r>
      <w:r w:rsidR="00FA5957" w:rsidRPr="001F6EF8">
        <w:rPr>
          <w:rFonts w:eastAsia="Palatino Linotype" w:cs="Palatino Linotype"/>
        </w:rPr>
        <w:t>,</w:t>
      </w:r>
      <w:r w:rsidRPr="001F6EF8">
        <w:rPr>
          <w:rFonts w:eastAsia="Palatino Linotype" w:cs="Palatino Linotype"/>
        </w:rPr>
        <w:t xml:space="preserve"> conforme </w:t>
      </w:r>
      <w:r w:rsidR="00FA5957" w:rsidRPr="001F6EF8">
        <w:rPr>
          <w:rFonts w:eastAsia="Palatino Linotype" w:cs="Palatino Linotype"/>
        </w:rPr>
        <w:t>a</w:t>
      </w:r>
      <w:r w:rsidRPr="001F6EF8">
        <w:rPr>
          <w:rFonts w:eastAsia="Palatino Linotype" w:cs="Palatino Linotype"/>
        </w:rPr>
        <w:t xml:space="preserve">l estado </w:t>
      </w:r>
      <w:r w:rsidR="00FA5957" w:rsidRPr="001F6EF8">
        <w:rPr>
          <w:rFonts w:eastAsia="Palatino Linotype" w:cs="Palatino Linotype"/>
        </w:rPr>
        <w:t xml:space="preserve">en </w:t>
      </w:r>
      <w:r w:rsidRPr="001F6EF8">
        <w:rPr>
          <w:rFonts w:eastAsia="Palatino Linotype" w:cs="Palatino Linotype"/>
        </w:rPr>
        <w:t>que se encuentr</w:t>
      </w:r>
      <w:r w:rsidR="00FA5957" w:rsidRPr="001F6EF8">
        <w:rPr>
          <w:rFonts w:eastAsia="Palatino Linotype" w:cs="Palatino Linotype"/>
        </w:rPr>
        <w:t>e, sin que sea necesario</w:t>
      </w:r>
      <w:r w:rsidRPr="001F6EF8">
        <w:rPr>
          <w:rFonts w:eastAsia="Palatino Linotype" w:cs="Palatino Linotype"/>
        </w:rPr>
        <w:t xml:space="preserve"> </w:t>
      </w:r>
      <w:r w:rsidR="00FA5957" w:rsidRPr="001F6EF8">
        <w:rPr>
          <w:rFonts w:eastAsia="Palatino Linotype" w:cs="Palatino Linotype"/>
        </w:rPr>
        <w:t>procesar</w:t>
      </w:r>
      <w:r w:rsidRPr="001F6EF8">
        <w:rPr>
          <w:rFonts w:eastAsia="Palatino Linotype" w:cs="Palatino Linotype"/>
        </w:rPr>
        <w:t xml:space="preserve"> la misma, ni presentarla conforme al interés del solicitante; </w:t>
      </w:r>
      <w:r w:rsidR="00FA5957" w:rsidRPr="001F6EF8">
        <w:rPr>
          <w:rFonts w:eastAsia="Palatino Linotype" w:cs="Palatino Linotype"/>
        </w:rPr>
        <w:t>tal y como</w:t>
      </w:r>
      <w:r w:rsidRPr="001F6EF8">
        <w:rPr>
          <w:rFonts w:eastAsia="Palatino Linotype" w:cs="Palatino Linotype"/>
        </w:rPr>
        <w:t xml:space="preserve"> lo establece el artículo 12 de la Ley de Transparencia y Acceso a la Información Pública del Estado de México y Municipios</w:t>
      </w:r>
      <w:r w:rsidR="00970EB3" w:rsidRPr="001F6EF8">
        <w:rPr>
          <w:rFonts w:eastAsia="Palatino Linotype" w:cs="Palatino Linotype"/>
        </w:rPr>
        <w:t>.</w:t>
      </w:r>
    </w:p>
    <w:p w14:paraId="73245195" w14:textId="77777777" w:rsidR="00970EB3" w:rsidRPr="001F6EF8" w:rsidRDefault="00970EB3" w:rsidP="00331F35">
      <w:pPr>
        <w:rPr>
          <w:rFonts w:eastAsia="Palatino Linotype" w:cs="Palatino Linotype"/>
        </w:rPr>
      </w:pPr>
    </w:p>
    <w:p w14:paraId="7F62D4DF" w14:textId="775730E1" w:rsidR="001A58B3" w:rsidRPr="001F6EF8" w:rsidRDefault="001A58B3" w:rsidP="00331F35">
      <w:pPr>
        <w:rPr>
          <w:rFonts w:eastAsia="Palatino Linotype" w:cs="Palatino Linotype"/>
        </w:rPr>
      </w:pPr>
      <w:r w:rsidRPr="001F6EF8">
        <w:rPr>
          <w:rFonts w:eastAsia="Palatino Linotype" w:cs="Palatino Linotype"/>
        </w:rPr>
        <w:t>Es decir, que todo sujeto obligado que genere, recopile, administre, procese, archive, posea o conserven, son responsables de la misma</w:t>
      </w:r>
      <w:r w:rsidR="00970EB3" w:rsidRPr="001F6EF8">
        <w:rPr>
          <w:rFonts w:eastAsia="Palatino Linotype" w:cs="Palatino Linotype"/>
        </w:rPr>
        <w:t>,</w:t>
      </w:r>
      <w:r w:rsidRPr="001F6EF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F6EF8">
        <w:rPr>
          <w:rFonts w:eastAsia="Palatino Linotype" w:cs="Palatino Linotype"/>
        </w:rPr>
        <w:t>o</w:t>
      </w:r>
      <w:r w:rsidRPr="001F6EF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F6EF8" w:rsidRDefault="001A58B3" w:rsidP="00331F35">
      <w:pPr>
        <w:rPr>
          <w:rFonts w:eastAsia="Palatino Linotype" w:cs="Palatino Linotype"/>
        </w:rPr>
      </w:pPr>
    </w:p>
    <w:p w14:paraId="04E42DFE" w14:textId="573F1198" w:rsidR="001A58B3" w:rsidRPr="001F6EF8" w:rsidRDefault="001A58B3" w:rsidP="00331F35">
      <w:pPr>
        <w:rPr>
          <w:rFonts w:eastAsia="Palatino Linotype" w:cs="Palatino Linotype"/>
        </w:rPr>
      </w:pPr>
      <w:r w:rsidRPr="001F6EF8">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1F6EF8">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1F6EF8">
        <w:rPr>
          <w:rFonts w:eastAsia="Palatino Linotype" w:cs="Palatino Linotype"/>
        </w:rPr>
        <w:t>, s</w:t>
      </w:r>
      <w:r w:rsidRPr="001F6EF8">
        <w:rPr>
          <w:rFonts w:eastAsia="Palatino Linotype" w:cs="Palatino Linotype"/>
        </w:rPr>
        <w:t xml:space="preserve">iempre y cuando no se trate de información reservada o </w:t>
      </w:r>
      <w:r w:rsidR="00331F35" w:rsidRPr="001F6EF8">
        <w:rPr>
          <w:rFonts w:eastAsia="Palatino Linotype" w:cs="Palatino Linotype"/>
        </w:rPr>
        <w:t>confidencial.</w:t>
      </w:r>
    </w:p>
    <w:p w14:paraId="40C5219F" w14:textId="77777777" w:rsidR="001A58B3" w:rsidRPr="001F6EF8" w:rsidRDefault="001A58B3" w:rsidP="00331F35">
      <w:pPr>
        <w:rPr>
          <w:rFonts w:eastAsia="Palatino Linotype" w:cs="Palatino Linotype"/>
        </w:rPr>
      </w:pPr>
    </w:p>
    <w:p w14:paraId="2E629608" w14:textId="65942529" w:rsidR="00C049E2" w:rsidRPr="001F6EF8" w:rsidRDefault="006067C7" w:rsidP="00331F35">
      <w:pPr>
        <w:rPr>
          <w:rFonts w:eastAsia="Palatino Linotype"/>
        </w:rPr>
      </w:pPr>
      <w:bookmarkStart w:id="30" w:name="_heading=h.2s8eyo1" w:colFirst="0" w:colLast="0"/>
      <w:bookmarkEnd w:id="30"/>
      <w:r w:rsidRPr="001F6EF8">
        <w:rPr>
          <w:rFonts w:eastAsia="Palatino Linotype"/>
        </w:rPr>
        <w:t>Con base en lo anterior</w:t>
      </w:r>
      <w:r w:rsidR="00B22A80" w:rsidRPr="001F6EF8">
        <w:rPr>
          <w:rFonts w:eastAsia="Palatino Linotype"/>
        </w:rPr>
        <w:t>, se considera que</w:t>
      </w:r>
      <w:r w:rsidR="00C049E2" w:rsidRPr="001F6EF8">
        <w:rPr>
          <w:rFonts w:eastAsia="Palatino Linotype"/>
        </w:rPr>
        <w:t xml:space="preserve"> </w:t>
      </w:r>
      <w:r w:rsidR="005C1CD1" w:rsidRPr="001F6EF8">
        <w:rPr>
          <w:rFonts w:eastAsia="Palatino Linotype"/>
          <w:b/>
          <w:bCs/>
        </w:rPr>
        <w:t>la autoridad</w:t>
      </w:r>
      <w:r w:rsidR="00C049E2" w:rsidRPr="001F6EF8">
        <w:rPr>
          <w:rFonts w:eastAsia="Palatino Linotype"/>
        </w:rPr>
        <w:t xml:space="preserve"> </w:t>
      </w:r>
      <w:r w:rsidR="00B22A80" w:rsidRPr="001F6EF8">
        <w:rPr>
          <w:rFonts w:eastAsia="Palatino Linotype"/>
        </w:rPr>
        <w:t xml:space="preserve">se </w:t>
      </w:r>
      <w:r w:rsidR="00717E59" w:rsidRPr="001F6EF8">
        <w:rPr>
          <w:rFonts w:eastAsia="Palatino Linotype"/>
        </w:rPr>
        <w:t>encontraba</w:t>
      </w:r>
      <w:r w:rsidR="005C1CD1" w:rsidRPr="001F6EF8">
        <w:rPr>
          <w:rFonts w:eastAsia="Palatino Linotype"/>
        </w:rPr>
        <w:t xml:space="preserve"> obligada</w:t>
      </w:r>
      <w:r w:rsidR="00B22A80" w:rsidRPr="001F6EF8">
        <w:rPr>
          <w:rFonts w:eastAsia="Palatino Linotype"/>
        </w:rPr>
        <w:t xml:space="preserve"> a</w:t>
      </w:r>
      <w:r w:rsidR="00C049E2" w:rsidRPr="001F6EF8">
        <w:rPr>
          <w:rFonts w:eastAsia="Palatino Linotype"/>
        </w:rPr>
        <w:t xml:space="preserve"> atender la solicitud de acceso a la información </w:t>
      </w:r>
      <w:r w:rsidR="00B22A80" w:rsidRPr="001F6EF8">
        <w:rPr>
          <w:rFonts w:eastAsia="Palatino Linotype"/>
        </w:rPr>
        <w:t xml:space="preserve">realizada por </w:t>
      </w:r>
      <w:r w:rsidR="00B22A80" w:rsidRPr="001F6EF8">
        <w:rPr>
          <w:rFonts w:eastAsia="Palatino Linotype"/>
          <w:b/>
          <w:bCs/>
        </w:rPr>
        <w:t>LA PARTE RECURRENTE</w:t>
      </w:r>
      <w:r w:rsidR="00331F35" w:rsidRPr="001F6EF8">
        <w:rPr>
          <w:rFonts w:eastAsia="Palatino Linotype"/>
        </w:rPr>
        <w:t>.</w:t>
      </w:r>
    </w:p>
    <w:p w14:paraId="3AFB9FAE" w14:textId="77777777" w:rsidR="00AA26B0" w:rsidRPr="001F6EF8" w:rsidRDefault="00AA26B0" w:rsidP="00331F35">
      <w:pPr>
        <w:rPr>
          <w:rFonts w:eastAsia="Palatino Linotype"/>
        </w:rPr>
      </w:pPr>
    </w:p>
    <w:p w14:paraId="51A0E8B4" w14:textId="676DCA47" w:rsidR="00664420" w:rsidRPr="001F6EF8" w:rsidRDefault="00C71CEF" w:rsidP="00C71CEF">
      <w:pPr>
        <w:pStyle w:val="Ttulo3"/>
        <w:rPr>
          <w:rFonts w:eastAsia="Calibri"/>
          <w:lang w:eastAsia="es-ES_tradnl"/>
        </w:rPr>
      </w:pPr>
      <w:bookmarkStart w:id="31" w:name="_Toc200541449"/>
      <w:r w:rsidRPr="001F6EF8">
        <w:rPr>
          <w:rFonts w:eastAsia="Calibri"/>
          <w:lang w:eastAsia="es-ES_tradnl"/>
        </w:rPr>
        <w:t>b)</w:t>
      </w:r>
      <w:r w:rsidR="00A53315" w:rsidRPr="001F6EF8">
        <w:rPr>
          <w:rFonts w:eastAsia="Calibri"/>
          <w:lang w:eastAsia="es-ES_tradnl"/>
        </w:rPr>
        <w:t xml:space="preserve"> </w:t>
      </w:r>
      <w:r w:rsidR="00A21A20" w:rsidRPr="001F6EF8">
        <w:rPr>
          <w:rFonts w:eastAsia="Calibri"/>
          <w:lang w:eastAsia="es-ES_tradnl"/>
        </w:rPr>
        <w:t>Controversia a resolver</w:t>
      </w:r>
      <w:bookmarkEnd w:id="31"/>
    </w:p>
    <w:p w14:paraId="5DAE2A65" w14:textId="382C31A9" w:rsidR="00664420" w:rsidRPr="001F6EF8" w:rsidRDefault="00664420" w:rsidP="00AA6EA9">
      <w:pPr>
        <w:rPr>
          <w:rFonts w:eastAsia="Calibri"/>
          <w:lang w:eastAsia="es-ES_tradnl"/>
        </w:rPr>
      </w:pPr>
      <w:r w:rsidRPr="001F6EF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1F6EF8">
        <w:rPr>
          <w:rFonts w:eastAsia="Calibri"/>
          <w:b/>
          <w:bCs/>
          <w:lang w:eastAsia="es-ES_tradnl"/>
        </w:rPr>
        <w:t>LA PARTE RECURRENTE</w:t>
      </w:r>
      <w:r w:rsidRPr="001F6EF8">
        <w:rPr>
          <w:rFonts w:eastAsia="Calibri"/>
          <w:lang w:eastAsia="es-ES_tradnl"/>
        </w:rPr>
        <w:t xml:space="preserve"> solicitó lo siguiente:</w:t>
      </w:r>
    </w:p>
    <w:p w14:paraId="7D9D559B" w14:textId="77777777" w:rsidR="00664420" w:rsidRPr="001F6EF8" w:rsidRDefault="00664420" w:rsidP="00664420">
      <w:pPr>
        <w:tabs>
          <w:tab w:val="left" w:pos="4962"/>
        </w:tabs>
        <w:contextualSpacing/>
        <w:rPr>
          <w:rFonts w:eastAsia="Calibri" w:cs="Tahoma"/>
          <w:iCs/>
          <w:color w:val="000000" w:themeColor="text1"/>
          <w:szCs w:val="22"/>
          <w:lang w:eastAsia="es-ES_tradnl"/>
        </w:rPr>
      </w:pPr>
    </w:p>
    <w:p w14:paraId="5F00D46E" w14:textId="2C3593FD" w:rsidR="007A2599" w:rsidRPr="001F6EF8" w:rsidRDefault="00471E75" w:rsidP="00471E75">
      <w:pPr>
        <w:pStyle w:val="Prrafodelista"/>
        <w:numPr>
          <w:ilvl w:val="0"/>
          <w:numId w:val="34"/>
        </w:numPr>
        <w:tabs>
          <w:tab w:val="left" w:pos="4962"/>
        </w:tabs>
        <w:rPr>
          <w:rFonts w:eastAsia="Calibri" w:cs="Tahoma"/>
          <w:iCs/>
          <w:color w:val="000000" w:themeColor="text1"/>
          <w:szCs w:val="22"/>
          <w:lang w:eastAsia="es-ES_tradnl"/>
        </w:rPr>
      </w:pPr>
      <w:r w:rsidRPr="001F6EF8">
        <w:rPr>
          <w:rFonts w:eastAsia="Calibri" w:cs="Tahoma"/>
          <w:iCs/>
          <w:color w:val="000000" w:themeColor="text1"/>
          <w:szCs w:val="22"/>
          <w:lang w:eastAsia="es-ES_tradnl"/>
        </w:rPr>
        <w:t>Programa o acciones que implementarán en relación al maltrato animal;</w:t>
      </w:r>
    </w:p>
    <w:p w14:paraId="1E7B1E63" w14:textId="50340492" w:rsidR="00471E75" w:rsidRPr="001F6EF8" w:rsidRDefault="00471E75" w:rsidP="00471E75">
      <w:pPr>
        <w:pStyle w:val="Prrafodelista"/>
        <w:numPr>
          <w:ilvl w:val="0"/>
          <w:numId w:val="34"/>
        </w:numPr>
        <w:tabs>
          <w:tab w:val="left" w:pos="4962"/>
        </w:tabs>
        <w:rPr>
          <w:rFonts w:eastAsia="Calibri" w:cs="Tahoma"/>
          <w:iCs/>
          <w:color w:val="000000" w:themeColor="text1"/>
          <w:szCs w:val="22"/>
          <w:lang w:eastAsia="es-ES_tradnl"/>
        </w:rPr>
      </w:pPr>
      <w:r w:rsidRPr="001F6EF8">
        <w:rPr>
          <w:rFonts w:eastAsia="Calibri" w:cs="Tahoma"/>
          <w:iCs/>
          <w:color w:val="000000" w:themeColor="text1"/>
          <w:szCs w:val="22"/>
          <w:lang w:eastAsia="es-ES_tradnl"/>
        </w:rPr>
        <w:t>En el periodo comprendido del mes de enero a agosto 2024 y lo transcurrido de 2025: cantidad de perros esterilizados</w:t>
      </w:r>
      <w:r w:rsidR="00202072" w:rsidRPr="001F6EF8">
        <w:rPr>
          <w:rFonts w:eastAsia="Calibri" w:cs="Tahoma"/>
          <w:iCs/>
          <w:color w:val="000000" w:themeColor="text1"/>
          <w:szCs w:val="22"/>
          <w:lang w:eastAsia="es-ES_tradnl"/>
        </w:rPr>
        <w:t xml:space="preserve"> y vacunados;</w:t>
      </w:r>
    </w:p>
    <w:p w14:paraId="76A02296" w14:textId="6FC5A301" w:rsidR="00202072" w:rsidRPr="001F6EF8" w:rsidRDefault="00202072" w:rsidP="00471E75">
      <w:pPr>
        <w:pStyle w:val="Prrafodelista"/>
        <w:numPr>
          <w:ilvl w:val="0"/>
          <w:numId w:val="34"/>
        </w:numPr>
        <w:tabs>
          <w:tab w:val="left" w:pos="4962"/>
        </w:tabs>
        <w:rPr>
          <w:rFonts w:eastAsia="Calibri" w:cs="Tahoma"/>
          <w:iCs/>
          <w:color w:val="000000" w:themeColor="text1"/>
          <w:szCs w:val="22"/>
          <w:lang w:eastAsia="es-ES_tradnl"/>
        </w:rPr>
      </w:pPr>
      <w:r w:rsidRPr="001F6EF8">
        <w:rPr>
          <w:rFonts w:eastAsia="Calibri" w:cs="Tahoma"/>
          <w:iCs/>
          <w:color w:val="000000" w:themeColor="text1"/>
          <w:szCs w:val="22"/>
          <w:lang w:eastAsia="es-ES_tradnl"/>
        </w:rPr>
        <w:t>Cantidad de animales que se encuentran en el Centro de Control y Bienestar Animal y las condiciones en las que se encuentran;</w:t>
      </w:r>
    </w:p>
    <w:p w14:paraId="1956E033" w14:textId="2D2F4813" w:rsidR="00202072" w:rsidRPr="001F6EF8" w:rsidRDefault="00202072" w:rsidP="00471E75">
      <w:pPr>
        <w:pStyle w:val="Prrafodelista"/>
        <w:numPr>
          <w:ilvl w:val="0"/>
          <w:numId w:val="34"/>
        </w:numPr>
        <w:tabs>
          <w:tab w:val="left" w:pos="4962"/>
        </w:tabs>
        <w:rPr>
          <w:rFonts w:eastAsia="Calibri" w:cs="Tahoma"/>
          <w:iCs/>
          <w:color w:val="000000" w:themeColor="text1"/>
          <w:szCs w:val="22"/>
          <w:lang w:eastAsia="es-ES_tradnl"/>
        </w:rPr>
      </w:pPr>
      <w:r w:rsidRPr="001F6EF8">
        <w:rPr>
          <w:rFonts w:eastAsia="Calibri" w:cs="Tahoma"/>
          <w:iCs/>
          <w:color w:val="000000" w:themeColor="text1"/>
          <w:szCs w:val="22"/>
          <w:lang w:eastAsia="es-ES_tradnl"/>
        </w:rPr>
        <w:t>Fotografías del Centro de Control y Bienestar Animal;</w:t>
      </w:r>
    </w:p>
    <w:p w14:paraId="09ECD713" w14:textId="7DD0CDEA" w:rsidR="00202072" w:rsidRPr="001F6EF8" w:rsidRDefault="00202072" w:rsidP="00471E75">
      <w:pPr>
        <w:pStyle w:val="Prrafodelista"/>
        <w:numPr>
          <w:ilvl w:val="0"/>
          <w:numId w:val="34"/>
        </w:numPr>
        <w:tabs>
          <w:tab w:val="left" w:pos="4962"/>
        </w:tabs>
        <w:rPr>
          <w:rFonts w:eastAsia="Calibri" w:cs="Tahoma"/>
          <w:iCs/>
          <w:color w:val="000000" w:themeColor="text1"/>
          <w:szCs w:val="22"/>
          <w:lang w:eastAsia="es-ES_tradnl"/>
        </w:rPr>
      </w:pPr>
      <w:r w:rsidRPr="001F6EF8">
        <w:rPr>
          <w:rFonts w:eastAsia="Calibri" w:cs="Tahoma"/>
          <w:iCs/>
          <w:color w:val="000000" w:themeColor="text1"/>
          <w:szCs w:val="22"/>
          <w:lang w:eastAsia="es-ES_tradnl"/>
        </w:rPr>
        <w:t>Nombre de los servidores públicos que se encuentran adscritos al Centro de Control y Bienestar Animal;</w:t>
      </w:r>
    </w:p>
    <w:p w14:paraId="4E789752" w14:textId="0F4AE75A" w:rsidR="00202072" w:rsidRPr="001F6EF8" w:rsidRDefault="00202072" w:rsidP="00471E75">
      <w:pPr>
        <w:pStyle w:val="Prrafodelista"/>
        <w:numPr>
          <w:ilvl w:val="0"/>
          <w:numId w:val="34"/>
        </w:numPr>
        <w:tabs>
          <w:tab w:val="left" w:pos="4962"/>
        </w:tabs>
        <w:rPr>
          <w:rFonts w:eastAsia="Calibri" w:cs="Tahoma"/>
          <w:iCs/>
          <w:color w:val="000000" w:themeColor="text1"/>
          <w:szCs w:val="22"/>
          <w:lang w:eastAsia="es-ES_tradnl"/>
        </w:rPr>
      </w:pPr>
      <w:r w:rsidRPr="001F6EF8">
        <w:rPr>
          <w:rFonts w:eastAsia="Calibri" w:cs="Tahoma"/>
          <w:iCs/>
          <w:color w:val="000000" w:themeColor="text1"/>
          <w:szCs w:val="22"/>
          <w:lang w:eastAsia="es-ES_tradnl"/>
        </w:rPr>
        <w:t>Último recibo de nómina y CV de los servidores públicos señalados en el inciso anterior.</w:t>
      </w:r>
    </w:p>
    <w:p w14:paraId="4EA35EFE" w14:textId="77777777" w:rsidR="00471E75" w:rsidRPr="001F6EF8" w:rsidRDefault="00471E75" w:rsidP="00471E75">
      <w:pPr>
        <w:tabs>
          <w:tab w:val="left" w:pos="4962"/>
        </w:tabs>
        <w:rPr>
          <w:rFonts w:eastAsia="Calibri" w:cs="Tahoma"/>
          <w:iCs/>
          <w:color w:val="000000" w:themeColor="text1"/>
          <w:szCs w:val="22"/>
          <w:lang w:eastAsia="es-ES_tradnl"/>
        </w:rPr>
      </w:pPr>
    </w:p>
    <w:p w14:paraId="6C802670" w14:textId="77777777" w:rsidR="00471E75" w:rsidRPr="001F6EF8" w:rsidRDefault="00471E75" w:rsidP="00471E75">
      <w:pPr>
        <w:tabs>
          <w:tab w:val="left" w:pos="4962"/>
        </w:tabs>
        <w:rPr>
          <w:rFonts w:eastAsia="Calibri" w:cs="Tahoma"/>
          <w:iCs/>
          <w:color w:val="000000" w:themeColor="text1"/>
          <w:szCs w:val="22"/>
          <w:lang w:eastAsia="es-ES_tradnl"/>
        </w:rPr>
      </w:pPr>
    </w:p>
    <w:p w14:paraId="328859D3" w14:textId="2C8D8119" w:rsidR="00FE1777" w:rsidRPr="001F6EF8" w:rsidRDefault="00664420" w:rsidP="002E58DF">
      <w:pPr>
        <w:autoSpaceDE w:val="0"/>
        <w:autoSpaceDN w:val="0"/>
        <w:adjustRightInd w:val="0"/>
        <w:ind w:right="-28"/>
        <w:rPr>
          <w:rFonts w:eastAsiaTheme="minorHAnsi" w:cs="Tahoma"/>
          <w:bCs/>
          <w:iCs/>
          <w:color w:val="000000" w:themeColor="text1"/>
          <w:szCs w:val="22"/>
          <w:lang w:eastAsia="en-US"/>
        </w:rPr>
      </w:pPr>
      <w:r w:rsidRPr="001F6EF8">
        <w:rPr>
          <w:rFonts w:eastAsiaTheme="minorHAnsi" w:cs="Tahoma"/>
          <w:bCs/>
          <w:iCs/>
          <w:color w:val="000000" w:themeColor="text1"/>
          <w:szCs w:val="22"/>
          <w:lang w:eastAsia="en-US"/>
        </w:rPr>
        <w:lastRenderedPageBreak/>
        <w:t xml:space="preserve">En respuesta, </w:t>
      </w:r>
      <w:r w:rsidR="005D5A50" w:rsidRPr="001F6EF8">
        <w:rPr>
          <w:rFonts w:eastAsiaTheme="minorHAnsi" w:cs="Tahoma"/>
          <w:b/>
          <w:iCs/>
          <w:color w:val="000000" w:themeColor="text1"/>
          <w:szCs w:val="22"/>
          <w:lang w:eastAsia="en-US"/>
        </w:rPr>
        <w:t>EL SUJETO OBLIGADO</w:t>
      </w:r>
      <w:r w:rsidRPr="001F6EF8">
        <w:rPr>
          <w:rFonts w:eastAsiaTheme="minorHAnsi" w:cs="Tahoma"/>
          <w:bCs/>
          <w:iCs/>
          <w:color w:val="000000" w:themeColor="text1"/>
          <w:szCs w:val="22"/>
          <w:lang w:eastAsia="en-US"/>
        </w:rPr>
        <w:t xml:space="preserve"> se pronunció por conducto de</w:t>
      </w:r>
      <w:r w:rsidR="00FE1777" w:rsidRPr="001F6EF8">
        <w:rPr>
          <w:rFonts w:eastAsiaTheme="minorHAnsi" w:cs="Tahoma"/>
          <w:bCs/>
          <w:iCs/>
          <w:color w:val="000000" w:themeColor="text1"/>
          <w:szCs w:val="22"/>
          <w:lang w:eastAsia="en-US"/>
        </w:rPr>
        <w:t xml:space="preserve">l </w:t>
      </w:r>
      <w:r w:rsidR="00202072" w:rsidRPr="001F6EF8">
        <w:rPr>
          <w:rFonts w:cs="Tahoma"/>
          <w:bCs/>
          <w:szCs w:val="22"/>
          <w:lang w:val="es-ES"/>
        </w:rPr>
        <w:t>Titular del Centro de Control y Bienestar Animal quien da respuesta a parte de los cuestionamientos inmersos en la solicitud de información, proporcionando los datos específicos, fotografías, entre otros</w:t>
      </w:r>
      <w:r w:rsidR="003A64BD" w:rsidRPr="001F6EF8">
        <w:rPr>
          <w:rFonts w:eastAsiaTheme="minorHAnsi" w:cs="Tahoma"/>
          <w:bCs/>
          <w:iCs/>
          <w:color w:val="000000" w:themeColor="text1"/>
          <w:szCs w:val="22"/>
          <w:lang w:eastAsia="en-US"/>
        </w:rPr>
        <w:t>.</w:t>
      </w:r>
    </w:p>
    <w:p w14:paraId="29F89359" w14:textId="77777777" w:rsidR="00E5042F" w:rsidRPr="001F6EF8" w:rsidRDefault="00E5042F" w:rsidP="003A64BD">
      <w:pPr>
        <w:tabs>
          <w:tab w:val="left" w:pos="4962"/>
        </w:tabs>
        <w:rPr>
          <w:rFonts w:eastAsiaTheme="minorHAnsi" w:cs="Tahoma"/>
          <w:bCs/>
          <w:iCs/>
          <w:color w:val="000000" w:themeColor="text1"/>
          <w:szCs w:val="22"/>
          <w:lang w:eastAsia="en-US"/>
        </w:rPr>
      </w:pPr>
    </w:p>
    <w:p w14:paraId="31DD81D7" w14:textId="59B17F93" w:rsidR="00664420" w:rsidRPr="001F6EF8" w:rsidRDefault="00CF7586" w:rsidP="00664420">
      <w:pPr>
        <w:tabs>
          <w:tab w:val="left" w:pos="4962"/>
        </w:tabs>
        <w:contextualSpacing/>
        <w:rPr>
          <w:rFonts w:eastAsiaTheme="minorHAnsi" w:cs="Tahoma"/>
          <w:bCs/>
          <w:iCs/>
          <w:color w:val="000000" w:themeColor="text1"/>
          <w:szCs w:val="22"/>
          <w:lang w:eastAsia="en-US"/>
        </w:rPr>
      </w:pPr>
      <w:r w:rsidRPr="001F6EF8">
        <w:rPr>
          <w:rFonts w:eastAsiaTheme="minorHAnsi" w:cs="Tahoma"/>
          <w:bCs/>
          <w:iCs/>
          <w:color w:val="000000" w:themeColor="text1"/>
          <w:szCs w:val="22"/>
          <w:lang w:eastAsia="en-US"/>
        </w:rPr>
        <w:t xml:space="preserve">Ahora bien, en la interposición del presente recurso </w:t>
      </w:r>
      <w:r w:rsidRPr="001F6EF8">
        <w:rPr>
          <w:rFonts w:eastAsiaTheme="minorHAnsi" w:cs="Tahoma"/>
          <w:b/>
          <w:iCs/>
          <w:color w:val="000000" w:themeColor="text1"/>
          <w:szCs w:val="22"/>
          <w:lang w:eastAsia="en-US"/>
        </w:rPr>
        <w:t>LA PARTE RECURRENTE</w:t>
      </w:r>
      <w:r w:rsidR="00664420" w:rsidRPr="001F6EF8">
        <w:rPr>
          <w:rFonts w:eastAsiaTheme="minorHAnsi" w:cs="Tahoma"/>
          <w:bCs/>
          <w:iCs/>
          <w:color w:val="000000" w:themeColor="text1"/>
          <w:szCs w:val="22"/>
          <w:lang w:eastAsia="en-US"/>
        </w:rPr>
        <w:t xml:space="preserve"> se inconformó de </w:t>
      </w:r>
      <w:r w:rsidR="00FB181D" w:rsidRPr="001F6EF8">
        <w:rPr>
          <w:rFonts w:eastAsiaTheme="minorHAnsi" w:cs="Tahoma"/>
          <w:bCs/>
          <w:iCs/>
          <w:color w:val="000000" w:themeColor="text1"/>
          <w:szCs w:val="22"/>
          <w:lang w:eastAsia="en-US"/>
        </w:rPr>
        <w:t>la entrega de información</w:t>
      </w:r>
      <w:r w:rsidR="00202072" w:rsidRPr="001F6EF8">
        <w:rPr>
          <w:rFonts w:eastAsiaTheme="minorHAnsi" w:cs="Tahoma"/>
          <w:bCs/>
          <w:iCs/>
          <w:color w:val="000000" w:themeColor="text1"/>
          <w:szCs w:val="22"/>
          <w:lang w:eastAsia="en-US"/>
        </w:rPr>
        <w:t xml:space="preserve">  incompleta</w:t>
      </w:r>
      <w:r w:rsidR="002D50A3" w:rsidRPr="001F6EF8">
        <w:rPr>
          <w:rFonts w:eastAsiaTheme="minorHAnsi" w:cs="Tahoma"/>
          <w:bCs/>
          <w:iCs/>
          <w:color w:val="000000" w:themeColor="text1"/>
          <w:szCs w:val="22"/>
          <w:lang w:eastAsia="en-US"/>
        </w:rPr>
        <w:t>.</w:t>
      </w:r>
      <w:r w:rsidR="00D2790D" w:rsidRPr="001F6EF8">
        <w:rPr>
          <w:rFonts w:eastAsiaTheme="minorHAnsi" w:cs="Tahoma"/>
          <w:bCs/>
          <w:iCs/>
          <w:color w:val="000000" w:themeColor="text1"/>
          <w:szCs w:val="22"/>
          <w:lang w:eastAsia="en-US"/>
        </w:rPr>
        <w:t xml:space="preserve"> </w:t>
      </w:r>
    </w:p>
    <w:p w14:paraId="6AD151E6" w14:textId="645564D6" w:rsidR="005552BE" w:rsidRPr="001F6EF8" w:rsidRDefault="005552BE" w:rsidP="00664420">
      <w:pPr>
        <w:tabs>
          <w:tab w:val="left" w:pos="4962"/>
        </w:tabs>
        <w:contextualSpacing/>
        <w:rPr>
          <w:rFonts w:eastAsiaTheme="minorHAnsi" w:cs="Tahoma"/>
          <w:bCs/>
          <w:iCs/>
          <w:color w:val="000000" w:themeColor="text1"/>
          <w:szCs w:val="22"/>
          <w:lang w:eastAsia="en-US"/>
        </w:rPr>
      </w:pPr>
    </w:p>
    <w:p w14:paraId="3B0A5443" w14:textId="3CB0D834" w:rsidR="005552BE" w:rsidRPr="001F6EF8" w:rsidRDefault="005552BE" w:rsidP="00664420">
      <w:pPr>
        <w:tabs>
          <w:tab w:val="left" w:pos="4962"/>
        </w:tabs>
        <w:contextualSpacing/>
        <w:rPr>
          <w:rFonts w:eastAsiaTheme="minorHAnsi"/>
        </w:rPr>
      </w:pPr>
      <w:r w:rsidRPr="001F6EF8">
        <w:rPr>
          <w:rFonts w:eastAsiaTheme="minorHAnsi" w:cs="Tahoma"/>
          <w:bCs/>
          <w:iCs/>
          <w:color w:val="000000" w:themeColor="text1"/>
          <w:szCs w:val="22"/>
          <w:lang w:eastAsia="en-US"/>
        </w:rPr>
        <w:t xml:space="preserve">De manera posterior, abierta la etapa de manifestaciones, </w:t>
      </w:r>
      <w:r w:rsidRPr="001F6EF8">
        <w:rPr>
          <w:rFonts w:eastAsiaTheme="minorHAnsi" w:cs="Tahoma"/>
          <w:b/>
          <w:bCs/>
          <w:iCs/>
          <w:color w:val="000000" w:themeColor="text1"/>
          <w:szCs w:val="22"/>
          <w:lang w:eastAsia="en-US"/>
        </w:rPr>
        <w:t>EL SUJETO OBLIGADO</w:t>
      </w:r>
      <w:r w:rsidRPr="001F6EF8">
        <w:rPr>
          <w:rFonts w:eastAsiaTheme="minorHAnsi"/>
        </w:rPr>
        <w:t xml:space="preserve"> remitió el informe justificado ratificando la respuesta primigenia.</w:t>
      </w:r>
    </w:p>
    <w:p w14:paraId="35586E5E" w14:textId="77777777" w:rsidR="002E0CF7" w:rsidRPr="001F6EF8" w:rsidRDefault="002E0CF7" w:rsidP="00664420">
      <w:pPr>
        <w:tabs>
          <w:tab w:val="left" w:pos="4962"/>
        </w:tabs>
        <w:contextualSpacing/>
        <w:rPr>
          <w:rFonts w:eastAsiaTheme="minorHAnsi"/>
        </w:rPr>
      </w:pPr>
    </w:p>
    <w:p w14:paraId="1C8EE132" w14:textId="3061F4DC" w:rsidR="002E0CF7" w:rsidRPr="001F6EF8" w:rsidRDefault="002E0CF7" w:rsidP="00664420">
      <w:pPr>
        <w:tabs>
          <w:tab w:val="left" w:pos="4962"/>
        </w:tabs>
        <w:contextualSpacing/>
        <w:rPr>
          <w:rFonts w:eastAsiaTheme="minorHAnsi"/>
        </w:rPr>
      </w:pPr>
      <w:r w:rsidRPr="001F6EF8">
        <w:t xml:space="preserve">Bajo las premisas anteriores, se concluye que la controversia a dilucidar en el presente medio de impugnación será verificar si la información proporcionada en respuesta y en informe justificado por </w:t>
      </w:r>
      <w:r w:rsidRPr="001F6EF8">
        <w:rPr>
          <w:b/>
        </w:rPr>
        <w:t xml:space="preserve">EL SUJETO OBLIGADO </w:t>
      </w:r>
      <w:r w:rsidRPr="001F6EF8">
        <w:t xml:space="preserve">es adecuada y suficiente para tener por satisfecho el derecho de acceso a la información pública de </w:t>
      </w:r>
      <w:r w:rsidRPr="001F6EF8">
        <w:rPr>
          <w:b/>
        </w:rPr>
        <w:t>LA PARTE RECURRENTE</w:t>
      </w:r>
      <w:r w:rsidRPr="001F6EF8">
        <w:t>, o en su caso, ordenar la entrega de la información que corresponda.</w:t>
      </w:r>
    </w:p>
    <w:p w14:paraId="3F1C720B" w14:textId="77777777" w:rsidR="00664420" w:rsidRPr="001F6EF8" w:rsidRDefault="00664420" w:rsidP="00664420">
      <w:pPr>
        <w:contextualSpacing/>
        <w:rPr>
          <w:rFonts w:cs="Tahoma"/>
          <w:color w:val="000000" w:themeColor="text1"/>
          <w:szCs w:val="22"/>
          <w:lang w:eastAsia="es-MX"/>
        </w:rPr>
      </w:pPr>
    </w:p>
    <w:p w14:paraId="0DD80230" w14:textId="096CBE14" w:rsidR="00156AB4" w:rsidRPr="001F6EF8" w:rsidRDefault="00A21A20" w:rsidP="009B78E9">
      <w:pPr>
        <w:pStyle w:val="Ttulo3"/>
      </w:pPr>
      <w:bookmarkStart w:id="32" w:name="_Toc200541450"/>
      <w:r w:rsidRPr="001F6EF8">
        <w:t>c)</w:t>
      </w:r>
      <w:r w:rsidR="00664420" w:rsidRPr="001F6EF8">
        <w:t xml:space="preserve"> </w:t>
      </w:r>
      <w:r w:rsidRPr="001F6EF8">
        <w:t>Estudio de la controversia</w:t>
      </w:r>
      <w:bookmarkEnd w:id="32"/>
    </w:p>
    <w:p w14:paraId="0D5350EB" w14:textId="04308BB0" w:rsidR="00855E58" w:rsidRPr="001F6EF8" w:rsidRDefault="005F2F4C" w:rsidP="005552BE">
      <w:pPr>
        <w:ind w:right="-28"/>
        <w:rPr>
          <w:rFonts w:eastAsiaTheme="minorEastAsia" w:cs="Arial"/>
          <w:color w:val="000000" w:themeColor="text1"/>
          <w:lang w:val="es-ES_tradnl"/>
        </w:rPr>
      </w:pPr>
      <w:r w:rsidRPr="001F6EF8">
        <w:rPr>
          <w:rFonts w:eastAsiaTheme="minorEastAsia" w:cs="Arial"/>
          <w:color w:val="000000" w:themeColor="text1"/>
          <w:lang w:val="es-ES_tradnl"/>
        </w:rPr>
        <w:t xml:space="preserve">Una vez señalado lo anterior, </w:t>
      </w:r>
      <w:r w:rsidR="00202072" w:rsidRPr="001F6EF8">
        <w:rPr>
          <w:rFonts w:eastAsiaTheme="minorEastAsia" w:cs="Arial"/>
          <w:color w:val="000000" w:themeColor="text1"/>
          <w:lang w:val="es-ES_tradnl"/>
        </w:rPr>
        <w:t xml:space="preserve">es necesario delimitar la competencia de la unidad administrativa que pronunció su respuesta ante los requerimientos inmersos en la solicitud de información, para lo cual tenemos que, el Código </w:t>
      </w:r>
      <w:r w:rsidR="00471682" w:rsidRPr="001F6EF8">
        <w:rPr>
          <w:rFonts w:eastAsiaTheme="minorEastAsia" w:cs="Arial"/>
          <w:color w:val="000000" w:themeColor="text1"/>
          <w:lang w:val="es-ES_tradnl"/>
        </w:rPr>
        <w:t xml:space="preserve">Reglamentario del Municipio de Toluca, el cual dentro del precepto normativo 3.51 señala que, la o el Titular del </w:t>
      </w:r>
      <w:r w:rsidR="00471682" w:rsidRPr="001F6EF8">
        <w:t>Centro de Control y Bienestar Animal tendrá las siguientes atribuciones</w:t>
      </w:r>
      <w:r w:rsidR="00471682" w:rsidRPr="001F6EF8">
        <w:rPr>
          <w:rFonts w:eastAsiaTheme="minorEastAsia" w:cs="Arial"/>
          <w:color w:val="000000" w:themeColor="text1"/>
          <w:lang w:val="es-ES_tradnl"/>
        </w:rPr>
        <w:t>:</w:t>
      </w:r>
    </w:p>
    <w:p w14:paraId="556B854D" w14:textId="77777777" w:rsidR="00471682" w:rsidRPr="001F6EF8" w:rsidRDefault="00471682" w:rsidP="005552BE">
      <w:pPr>
        <w:ind w:right="-28"/>
        <w:rPr>
          <w:rFonts w:eastAsiaTheme="minorEastAsia" w:cs="Arial"/>
          <w:color w:val="000000" w:themeColor="text1"/>
          <w:lang w:val="es-ES_tradnl"/>
        </w:rPr>
      </w:pPr>
    </w:p>
    <w:p w14:paraId="346BBA01" w14:textId="77777777" w:rsidR="00471682" w:rsidRPr="001F6EF8" w:rsidRDefault="00471682" w:rsidP="00471682">
      <w:pPr>
        <w:spacing w:line="240" w:lineRule="auto"/>
        <w:ind w:left="567" w:right="539"/>
        <w:rPr>
          <w:i/>
        </w:rPr>
      </w:pPr>
      <w:r w:rsidRPr="001F6EF8">
        <w:rPr>
          <w:i/>
        </w:rPr>
        <w:t xml:space="preserve">I. </w:t>
      </w:r>
      <w:r w:rsidRPr="001F6EF8">
        <w:rPr>
          <w:b/>
          <w:i/>
        </w:rPr>
        <w:t>Garantizar las libertades animales</w:t>
      </w:r>
      <w:r w:rsidRPr="001F6EF8">
        <w:rPr>
          <w:i/>
        </w:rPr>
        <w:t xml:space="preserve"> siendo estas: libre de hambre, sed y desnutrición, miedos y angustias; de incomodidades físicas o térmicas; de dolor, lesiones o enfermedades; y de expresar las pautas propias de comportamiento; </w:t>
      </w:r>
    </w:p>
    <w:p w14:paraId="53F103D9" w14:textId="77777777" w:rsidR="00471682" w:rsidRPr="001F6EF8" w:rsidRDefault="00471682" w:rsidP="00471682">
      <w:pPr>
        <w:spacing w:line="240" w:lineRule="auto"/>
        <w:ind w:left="567" w:right="539"/>
        <w:rPr>
          <w:i/>
        </w:rPr>
      </w:pPr>
      <w:r w:rsidRPr="001F6EF8">
        <w:rPr>
          <w:b/>
          <w:i/>
        </w:rPr>
        <w:lastRenderedPageBreak/>
        <w:t>II.</w:t>
      </w:r>
      <w:r w:rsidRPr="001F6EF8">
        <w:rPr>
          <w:i/>
        </w:rPr>
        <w:t xml:space="preserve"> </w:t>
      </w:r>
      <w:r w:rsidRPr="001F6EF8">
        <w:rPr>
          <w:b/>
          <w:i/>
        </w:rPr>
        <w:t>Difundir entre la población, las disposiciones jurídicas y técnicas, que fomenten un trato digno y respetuoso hacía los perros y gatos y su tenencia responsable</w:t>
      </w:r>
      <w:r w:rsidRPr="001F6EF8">
        <w:rPr>
          <w:i/>
        </w:rPr>
        <w:t xml:space="preserve">; </w:t>
      </w:r>
    </w:p>
    <w:p w14:paraId="497E4AE0" w14:textId="77777777" w:rsidR="00471682" w:rsidRPr="001F6EF8" w:rsidRDefault="00471682" w:rsidP="00471682">
      <w:pPr>
        <w:spacing w:line="240" w:lineRule="auto"/>
        <w:ind w:left="567" w:right="539"/>
        <w:rPr>
          <w:i/>
        </w:rPr>
      </w:pPr>
      <w:r w:rsidRPr="001F6EF8">
        <w:rPr>
          <w:i/>
        </w:rPr>
        <w:t xml:space="preserve">III. Realizar la vigilancia epidemiológica de la rabia, a través del monitoreo del virus rábico; </w:t>
      </w:r>
    </w:p>
    <w:p w14:paraId="03EBFC2F" w14:textId="77777777" w:rsidR="00471682" w:rsidRPr="001F6EF8" w:rsidRDefault="00471682" w:rsidP="00471682">
      <w:pPr>
        <w:spacing w:line="240" w:lineRule="auto"/>
        <w:ind w:left="567" w:right="539"/>
        <w:rPr>
          <w:i/>
        </w:rPr>
      </w:pPr>
      <w:r w:rsidRPr="001F6EF8">
        <w:rPr>
          <w:i/>
        </w:rPr>
        <w:t xml:space="preserve">IV. Proporcionar el servicio de esterilización quirúrgica de forma masiva, gratuita, permanente, extensiva, sistemática y de calidad; </w:t>
      </w:r>
    </w:p>
    <w:p w14:paraId="320A670F" w14:textId="77777777" w:rsidR="00471682" w:rsidRPr="001F6EF8" w:rsidRDefault="00471682" w:rsidP="00471682">
      <w:pPr>
        <w:spacing w:line="240" w:lineRule="auto"/>
        <w:ind w:left="567" w:right="539"/>
        <w:rPr>
          <w:i/>
        </w:rPr>
      </w:pPr>
      <w:r w:rsidRPr="001F6EF8">
        <w:rPr>
          <w:i/>
        </w:rPr>
        <w:t xml:space="preserve">V. Difundir entre la población, la importancia de la esterilización quirúrgica como única forma ética para el control de los animales de compañía, mediante los diferentes medios de comunicación y a través de pláticas de tenencia responsable y bienestar animal; </w:t>
      </w:r>
    </w:p>
    <w:p w14:paraId="7B975E0C" w14:textId="77777777" w:rsidR="00471682" w:rsidRPr="001F6EF8" w:rsidRDefault="00471682" w:rsidP="00471682">
      <w:pPr>
        <w:spacing w:line="240" w:lineRule="auto"/>
        <w:ind w:left="567" w:right="539"/>
        <w:rPr>
          <w:i/>
        </w:rPr>
      </w:pPr>
      <w:r w:rsidRPr="001F6EF8">
        <w:rPr>
          <w:i/>
        </w:rPr>
        <w:t xml:space="preserve">VI. Control poblacional de perros y gatos en situación de calle, por medio de la esterilización; </w:t>
      </w:r>
    </w:p>
    <w:p w14:paraId="0CF27CAF" w14:textId="77777777" w:rsidR="00471682" w:rsidRPr="001F6EF8" w:rsidRDefault="00471682" w:rsidP="00471682">
      <w:pPr>
        <w:spacing w:line="240" w:lineRule="auto"/>
        <w:ind w:left="567" w:right="539"/>
        <w:rPr>
          <w:i/>
        </w:rPr>
      </w:pPr>
      <w:r w:rsidRPr="001F6EF8">
        <w:rPr>
          <w:i/>
        </w:rPr>
        <w:t xml:space="preserve">VII. Exigir a los propietarios o poseedores de animales agresores o sospechosos de rabia, que los presenten para su observación clínica-veterinaria en el Centro o de forma particular, por los veterinarios autorizados por éste; </w:t>
      </w:r>
    </w:p>
    <w:p w14:paraId="7202C865" w14:textId="77777777" w:rsidR="00471682" w:rsidRPr="001F6EF8" w:rsidRDefault="00471682" w:rsidP="00471682">
      <w:pPr>
        <w:spacing w:line="240" w:lineRule="auto"/>
        <w:ind w:left="567" w:right="539"/>
        <w:rPr>
          <w:i/>
        </w:rPr>
      </w:pPr>
      <w:r w:rsidRPr="001F6EF8">
        <w:rPr>
          <w:i/>
        </w:rPr>
        <w:t xml:space="preserve">VIII. Esterilizar a los perros agresores que se encuentren en resguardo del centro, antes de devolverlos a sus dueños; </w:t>
      </w:r>
    </w:p>
    <w:p w14:paraId="681FE968" w14:textId="77777777" w:rsidR="00471682" w:rsidRPr="001F6EF8" w:rsidRDefault="00471682" w:rsidP="00471682">
      <w:pPr>
        <w:spacing w:line="240" w:lineRule="auto"/>
        <w:ind w:left="567" w:right="539"/>
        <w:rPr>
          <w:i/>
        </w:rPr>
      </w:pPr>
      <w:r w:rsidRPr="001F6EF8">
        <w:rPr>
          <w:i/>
        </w:rPr>
        <w:t xml:space="preserve">IX. Determinar el destino de perros y gatos en situación de calle, o abandonados, cuando no sean reclamados dentro de los tres días siguientes a su ingreso al Centro; </w:t>
      </w:r>
    </w:p>
    <w:p w14:paraId="56B20AA7" w14:textId="77777777" w:rsidR="00471682" w:rsidRPr="001F6EF8" w:rsidRDefault="00471682" w:rsidP="00471682">
      <w:pPr>
        <w:spacing w:line="240" w:lineRule="auto"/>
        <w:ind w:left="567" w:right="539"/>
        <w:rPr>
          <w:i/>
        </w:rPr>
      </w:pPr>
      <w:r w:rsidRPr="001F6EF8">
        <w:rPr>
          <w:i/>
        </w:rPr>
        <w:t xml:space="preserve">X. Aplicar eutanasia a través de sobredosis de barbitúricos, previa tranquilización o sedación a los perros y gatos sujetos a su disposición, que sean agresivos y no puedan ser resocializados, cuando representen un peligro para la salud pública o cuando tengan una enfermedad grave que no pueda ser tratada; </w:t>
      </w:r>
    </w:p>
    <w:p w14:paraId="12BB6AF8" w14:textId="77777777" w:rsidR="00471682" w:rsidRPr="001F6EF8" w:rsidRDefault="00471682" w:rsidP="00471682">
      <w:pPr>
        <w:spacing w:line="240" w:lineRule="auto"/>
        <w:ind w:left="567" w:right="539"/>
        <w:rPr>
          <w:i/>
        </w:rPr>
      </w:pPr>
      <w:r w:rsidRPr="001F6EF8">
        <w:rPr>
          <w:i/>
        </w:rPr>
        <w:t xml:space="preserve">XI. Proporcionar el servicio de vacunación antirrábica para perros y gatos en las instalaciones del Centro de Control y Bienestar Animal de Toluca y por medio de campañas de forma masiva, gratuita, permanente, extensiva, sistemática y de calidad; </w:t>
      </w:r>
    </w:p>
    <w:p w14:paraId="0A3A03F1" w14:textId="77777777" w:rsidR="00471682" w:rsidRPr="001F6EF8" w:rsidRDefault="00471682" w:rsidP="00471682">
      <w:pPr>
        <w:spacing w:line="240" w:lineRule="auto"/>
        <w:ind w:left="567" w:right="539"/>
        <w:rPr>
          <w:i/>
        </w:rPr>
      </w:pPr>
      <w:r w:rsidRPr="001F6EF8">
        <w:rPr>
          <w:i/>
        </w:rPr>
        <w:t xml:space="preserve">XII. Incinerar a los perros y gatos muertos que ponga a su disposición la Dirección General de Servicios Públicos; </w:t>
      </w:r>
    </w:p>
    <w:p w14:paraId="5273B326" w14:textId="77777777" w:rsidR="00471682" w:rsidRPr="001F6EF8" w:rsidRDefault="00471682" w:rsidP="00471682">
      <w:pPr>
        <w:spacing w:line="240" w:lineRule="auto"/>
        <w:ind w:left="567" w:right="539"/>
        <w:rPr>
          <w:i/>
        </w:rPr>
      </w:pPr>
      <w:r w:rsidRPr="001F6EF8">
        <w:rPr>
          <w:i/>
        </w:rPr>
        <w:t xml:space="preserve">XIII. Difundir y fomentar el Programa de adopción responsable de perros y gatos; </w:t>
      </w:r>
    </w:p>
    <w:p w14:paraId="18E5B4D0" w14:textId="3BAC8874" w:rsidR="00471682" w:rsidRPr="001F6EF8" w:rsidRDefault="00471682" w:rsidP="00471682">
      <w:pPr>
        <w:spacing w:line="240" w:lineRule="auto"/>
        <w:ind w:left="567" w:right="539"/>
        <w:rPr>
          <w:rFonts w:eastAsiaTheme="minorEastAsia" w:cs="Arial"/>
          <w:color w:val="000000" w:themeColor="text1"/>
          <w:lang w:val="es-ES_tradnl"/>
        </w:rPr>
      </w:pPr>
      <w:r w:rsidRPr="001F6EF8">
        <w:rPr>
          <w:i/>
        </w:rPr>
        <w:t>XIV. Las demás que le asignen otros ordenamientos, el Presidente Municipal y la o el Director General de Medio Ambiente.</w:t>
      </w:r>
    </w:p>
    <w:p w14:paraId="33200592" w14:textId="2F636896" w:rsidR="00BD7C10" w:rsidRPr="001F6EF8" w:rsidRDefault="00BD7C10" w:rsidP="009B78E9">
      <w:pPr>
        <w:ind w:right="-28"/>
        <w:rPr>
          <w:rFonts w:eastAsiaTheme="minorEastAsia" w:cs="Arial"/>
          <w:color w:val="000000" w:themeColor="text1"/>
          <w:lang w:val="es-ES_tradnl"/>
        </w:rPr>
      </w:pPr>
    </w:p>
    <w:p w14:paraId="586850D6" w14:textId="79F50019" w:rsidR="00954254" w:rsidRPr="001F6EF8" w:rsidRDefault="00954254" w:rsidP="005552BE">
      <w:pPr>
        <w:ind w:right="-28"/>
        <w:rPr>
          <w:rFonts w:eastAsiaTheme="minorEastAsia" w:cs="Arial"/>
          <w:color w:val="000000" w:themeColor="text1"/>
          <w:lang w:val="es-ES_tradnl"/>
        </w:rPr>
      </w:pPr>
      <w:r w:rsidRPr="001F6EF8">
        <w:rPr>
          <w:rFonts w:eastAsiaTheme="minorEastAsia" w:cs="Arial"/>
          <w:color w:val="000000" w:themeColor="text1"/>
          <w:lang w:val="es-ES_tradnl"/>
        </w:rPr>
        <w:t>Por su parte, el marco normativo en referencia, contempla en su artículo 3.40 que, la Dirección General de Administración a través de su Titular, tendrá diversas atribuciones, de las cuales toman relevancia las siguientes:</w:t>
      </w:r>
    </w:p>
    <w:p w14:paraId="18EEEE68" w14:textId="77777777" w:rsidR="005C46A8" w:rsidRPr="001F6EF8" w:rsidRDefault="005C46A8" w:rsidP="005C46A8">
      <w:pPr>
        <w:ind w:left="567" w:right="539"/>
        <w:rPr>
          <w:rFonts w:eastAsiaTheme="minorEastAsia" w:cs="Arial"/>
          <w:i/>
          <w:color w:val="000000" w:themeColor="text1"/>
          <w:lang w:val="es-ES_tradnl"/>
        </w:rPr>
      </w:pPr>
    </w:p>
    <w:p w14:paraId="213CBA8A" w14:textId="77777777" w:rsidR="005C46A8" w:rsidRPr="001F6EF8" w:rsidRDefault="005C46A8" w:rsidP="005C46A8">
      <w:pPr>
        <w:ind w:left="567" w:right="539"/>
        <w:rPr>
          <w:rFonts w:eastAsiaTheme="minorEastAsia" w:cs="Arial"/>
          <w:i/>
          <w:color w:val="000000" w:themeColor="text1"/>
          <w:lang w:val="es-ES_tradnl"/>
        </w:rPr>
      </w:pPr>
    </w:p>
    <w:p w14:paraId="31CD00CC" w14:textId="2A74009F" w:rsidR="005C46A8" w:rsidRPr="001F6EF8" w:rsidRDefault="005C46A8" w:rsidP="005C46A8">
      <w:pPr>
        <w:spacing w:line="240" w:lineRule="auto"/>
        <w:ind w:left="567" w:right="539"/>
        <w:rPr>
          <w:rFonts w:eastAsiaTheme="minorEastAsia" w:cs="Arial"/>
          <w:i/>
          <w:color w:val="000000" w:themeColor="text1"/>
          <w:lang w:val="es-ES_tradnl"/>
        </w:rPr>
      </w:pPr>
      <w:r w:rsidRPr="001F6EF8">
        <w:rPr>
          <w:rFonts w:eastAsiaTheme="minorEastAsia" w:cs="Arial"/>
          <w:i/>
          <w:color w:val="000000" w:themeColor="text1"/>
        </w:rPr>
        <w:lastRenderedPageBreak/>
        <w:t>I. Coordinar y dirigir los sistemas de reclutamiento, selección, contratación e inducción y desarrollo de personal;</w:t>
      </w:r>
    </w:p>
    <w:p w14:paraId="454CD245" w14:textId="3FB02144" w:rsidR="00954254" w:rsidRPr="001F6EF8" w:rsidRDefault="00954254" w:rsidP="005C46A8">
      <w:pPr>
        <w:spacing w:line="240" w:lineRule="auto"/>
        <w:ind w:left="567" w:right="539"/>
        <w:rPr>
          <w:rFonts w:eastAsiaTheme="minorEastAsia" w:cs="Arial"/>
          <w:i/>
          <w:color w:val="000000" w:themeColor="text1"/>
          <w:lang w:val="es-ES_tradnl"/>
        </w:rPr>
      </w:pPr>
      <w:r w:rsidRPr="001F6EF8">
        <w:rPr>
          <w:rFonts w:eastAsiaTheme="minorEastAsia" w:cs="Arial"/>
          <w:i/>
          <w:color w:val="000000" w:themeColor="text1"/>
          <w:lang w:val="es-ES_tradnl"/>
        </w:rPr>
        <w:t>(…)</w:t>
      </w:r>
    </w:p>
    <w:p w14:paraId="4711BEE9" w14:textId="7CC78516" w:rsidR="00954254" w:rsidRPr="001F6EF8" w:rsidRDefault="00954254" w:rsidP="005C46A8">
      <w:pPr>
        <w:spacing w:line="240" w:lineRule="auto"/>
        <w:ind w:left="567" w:right="539"/>
      </w:pPr>
      <w:r w:rsidRPr="001F6EF8">
        <w:rPr>
          <w:i/>
        </w:rPr>
        <w:t>IV. Autorizar la elaboración y distribución oportuna de la nómina al personal que labora en el Ayuntamiento, apegándose a la normatividad en la materia y al presupuesto autorizado;</w:t>
      </w:r>
    </w:p>
    <w:p w14:paraId="62F8FCAD" w14:textId="77777777" w:rsidR="00954254" w:rsidRPr="001F6EF8" w:rsidRDefault="00954254" w:rsidP="005C46A8">
      <w:pPr>
        <w:ind w:right="-28"/>
      </w:pPr>
    </w:p>
    <w:p w14:paraId="0F8A0981" w14:textId="5DBD9125" w:rsidR="005C46A8" w:rsidRPr="001F6EF8" w:rsidRDefault="005C46A8" w:rsidP="005552BE">
      <w:pPr>
        <w:ind w:right="-28"/>
      </w:pPr>
      <w:r w:rsidRPr="001F6EF8">
        <w:t>De igual forma por cuanto hace a la Dirección de Recursos Humanos, la o el titular de dicha dependencia, de entre sus atribuciones resalta las siguientes:</w:t>
      </w:r>
    </w:p>
    <w:p w14:paraId="4C7610E5" w14:textId="77777777" w:rsidR="005C46A8" w:rsidRPr="001F6EF8" w:rsidRDefault="005C46A8" w:rsidP="005552BE">
      <w:pPr>
        <w:ind w:right="-28"/>
      </w:pPr>
    </w:p>
    <w:p w14:paraId="1067483F" w14:textId="2383F853" w:rsidR="005C46A8" w:rsidRPr="001F6EF8" w:rsidRDefault="005C46A8" w:rsidP="005C46A8">
      <w:pPr>
        <w:spacing w:line="240" w:lineRule="auto"/>
        <w:ind w:left="567" w:right="539"/>
        <w:rPr>
          <w:i/>
        </w:rPr>
      </w:pPr>
      <w:r w:rsidRPr="001F6EF8">
        <w:rPr>
          <w:i/>
        </w:rPr>
        <w:t>I. Elaborar, operar y mejorar los procedimientos administrativos de control para la selección, reclutamiento, contratación, escalafón, capacitación, retiro, sanción, comisión y desarrollo del personal al servicio del Municipio;</w:t>
      </w:r>
    </w:p>
    <w:p w14:paraId="18DA4692" w14:textId="39E1D9A9" w:rsidR="005C46A8" w:rsidRPr="001F6EF8" w:rsidRDefault="005C46A8" w:rsidP="005C46A8">
      <w:pPr>
        <w:spacing w:line="240" w:lineRule="auto"/>
        <w:ind w:left="567" w:right="539"/>
        <w:rPr>
          <w:i/>
        </w:rPr>
      </w:pPr>
      <w:r w:rsidRPr="001F6EF8">
        <w:rPr>
          <w:i/>
        </w:rPr>
        <w:t>(…)</w:t>
      </w:r>
    </w:p>
    <w:p w14:paraId="6872F842" w14:textId="5D04B734" w:rsidR="005C46A8" w:rsidRPr="001F6EF8" w:rsidRDefault="005C46A8" w:rsidP="005C46A8">
      <w:pPr>
        <w:spacing w:line="240" w:lineRule="auto"/>
        <w:ind w:left="567" w:right="539"/>
        <w:rPr>
          <w:i/>
        </w:rPr>
      </w:pPr>
      <w:r w:rsidRPr="001F6EF8">
        <w:rPr>
          <w:i/>
        </w:rPr>
        <w:t>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p>
    <w:p w14:paraId="51FC49AD" w14:textId="17D1C774" w:rsidR="005C46A8" w:rsidRPr="001F6EF8" w:rsidRDefault="005C46A8" w:rsidP="005C46A8">
      <w:pPr>
        <w:spacing w:line="240" w:lineRule="auto"/>
        <w:ind w:left="567" w:right="539"/>
        <w:rPr>
          <w:i/>
        </w:rPr>
      </w:pPr>
      <w:r w:rsidRPr="001F6EF8">
        <w:rPr>
          <w:i/>
        </w:rPr>
        <w:t>(…)</w:t>
      </w:r>
    </w:p>
    <w:p w14:paraId="66152252" w14:textId="77777777" w:rsidR="00BD7C10" w:rsidRPr="001F6EF8" w:rsidRDefault="00BD7C10" w:rsidP="005552BE">
      <w:pPr>
        <w:ind w:right="-28"/>
        <w:rPr>
          <w:rFonts w:eastAsiaTheme="minorEastAsia" w:cs="Arial"/>
          <w:color w:val="000000" w:themeColor="text1"/>
          <w:lang w:val="es-ES_tradnl"/>
        </w:rPr>
      </w:pPr>
    </w:p>
    <w:p w14:paraId="0E10A0C7" w14:textId="77777777" w:rsidR="00FE5DDE" w:rsidRPr="001F6EF8" w:rsidRDefault="00FE5DDE" w:rsidP="00FE5DDE">
      <w:pPr>
        <w:rPr>
          <w:lang w:val="es-ES"/>
        </w:rPr>
      </w:pPr>
      <w:r w:rsidRPr="001F6EF8">
        <w:t xml:space="preserve">Precisado lo anterior, resulta necesario hacer referencia al </w:t>
      </w:r>
      <w:r w:rsidRPr="001F6EF8">
        <w:rPr>
          <w:b/>
          <w:bCs/>
          <w:lang w:val="es-ES"/>
        </w:rPr>
        <w:t>procedimiento de búsqueda que deben de seguir los Sujetos Obligados para localizar la información que le sea solicitada mediante el derecho de acceso a la información pública</w:t>
      </w:r>
      <w:r w:rsidRPr="001F6EF8">
        <w:rPr>
          <w:lang w:val="es-ES"/>
        </w:rPr>
        <w:t>, el cual se encuentra previsto en los artículos 160 y 162 de la Ley de Transparencia y Acceso a la Información Pública del Estado de México y Municipios, mismo que es el siguiente:</w:t>
      </w:r>
    </w:p>
    <w:p w14:paraId="2EF4B55B" w14:textId="77777777" w:rsidR="00FE5DDE" w:rsidRPr="001F6EF8" w:rsidRDefault="00FE5DDE" w:rsidP="00FE5DDE">
      <w:pPr>
        <w:rPr>
          <w:lang w:val="es-ES"/>
        </w:rPr>
      </w:pPr>
    </w:p>
    <w:p w14:paraId="7CDE2D56" w14:textId="77777777" w:rsidR="00FE5DDE" w:rsidRPr="001F6EF8" w:rsidRDefault="00FE5DDE" w:rsidP="00FE5DDE">
      <w:pPr>
        <w:numPr>
          <w:ilvl w:val="0"/>
          <w:numId w:val="28"/>
        </w:numPr>
        <w:rPr>
          <w:lang w:val="es-ES"/>
        </w:rPr>
      </w:pPr>
      <w:r w:rsidRPr="001F6EF8">
        <w:rPr>
          <w:lang w:val="es-ES"/>
        </w:rPr>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727E2ECE" w14:textId="77777777" w:rsidR="00FE5DDE" w:rsidRPr="001F6EF8" w:rsidRDefault="00FE5DDE" w:rsidP="00FE5DDE">
      <w:pPr>
        <w:rPr>
          <w:lang w:val="es-ES"/>
        </w:rPr>
      </w:pPr>
    </w:p>
    <w:p w14:paraId="6DD68AB2" w14:textId="77777777" w:rsidR="00FE5DDE" w:rsidRPr="001F6EF8" w:rsidRDefault="00FE5DDE" w:rsidP="00FE5DDE">
      <w:pPr>
        <w:numPr>
          <w:ilvl w:val="0"/>
          <w:numId w:val="28"/>
        </w:numPr>
        <w:rPr>
          <w:lang w:val="es-ES"/>
        </w:rPr>
      </w:pPr>
      <w:r w:rsidRPr="001F6EF8">
        <w:rPr>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A93C43A" w14:textId="77777777" w:rsidR="00FE5DDE" w:rsidRPr="001F6EF8" w:rsidRDefault="00FE5DDE" w:rsidP="00FE5DDE"/>
    <w:p w14:paraId="71DBBEC2" w14:textId="77777777" w:rsidR="00FE5DDE" w:rsidRPr="001F6EF8" w:rsidRDefault="00FE5DDE" w:rsidP="00FE5DDE">
      <w:pPr>
        <w:rPr>
          <w:b/>
        </w:rPr>
      </w:pPr>
      <w:r w:rsidRPr="001F6EF8">
        <w:t>En ese tenor,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1F6EF8">
        <w:rPr>
          <w:b/>
        </w:rPr>
        <w:t xml:space="preserve"> </w:t>
      </w:r>
    </w:p>
    <w:p w14:paraId="16320294" w14:textId="77777777" w:rsidR="00FE5DDE" w:rsidRPr="001F6EF8" w:rsidRDefault="00FE5DDE" w:rsidP="00FE5DDE"/>
    <w:p w14:paraId="1799A309" w14:textId="77777777" w:rsidR="00FE5DDE" w:rsidRPr="001F6EF8" w:rsidRDefault="00FE5DDE" w:rsidP="00FE5DDE">
      <w:pPr>
        <w:pStyle w:val="Puesto"/>
        <w:jc w:val="center"/>
        <w:rPr>
          <w:b/>
        </w:rPr>
      </w:pPr>
      <w:r w:rsidRPr="001F6EF8">
        <w:rPr>
          <w:b/>
        </w:rPr>
        <w:t>“Ley de Transparencia y Acceso a la Información Pública del Estado de México y Municipios</w:t>
      </w:r>
    </w:p>
    <w:p w14:paraId="7C105DBE" w14:textId="77777777" w:rsidR="00FE5DDE" w:rsidRPr="001F6EF8" w:rsidRDefault="00FE5DDE" w:rsidP="00FE5DDE">
      <w:pPr>
        <w:pStyle w:val="Puesto"/>
      </w:pPr>
      <w:r w:rsidRPr="001F6EF8">
        <w:t xml:space="preserve">“Artículo 50. Los sujetos obligados contarán con un área responsable para la atención de las solicitudes de información, a la que se le denominará Unidad de Transparencia. </w:t>
      </w:r>
    </w:p>
    <w:p w14:paraId="1AE93B2F" w14:textId="77777777" w:rsidR="00FE5DDE" w:rsidRPr="001F6EF8" w:rsidRDefault="00FE5DDE" w:rsidP="00FE5DDE">
      <w:pPr>
        <w:pStyle w:val="Puesto"/>
      </w:pPr>
      <w:r w:rsidRPr="001F6EF8">
        <w:t xml:space="preserve">Artículo 51. Los sujetos obligados designaran a un responsable para atender la Unidad de Transparencia, quien fungirá como enlace entre éstos y los solicitantes. </w:t>
      </w:r>
      <w:r w:rsidRPr="001F6EF8">
        <w:rPr>
          <w:b/>
          <w:u w:val="single"/>
        </w:rPr>
        <w:t>Dicha Unidad será la encargada de tramitar internamente la solicitud de información</w:t>
      </w:r>
      <w:r w:rsidRPr="001F6EF8">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09048FA" w14:textId="77777777" w:rsidR="00FE5DDE" w:rsidRPr="001F6EF8" w:rsidRDefault="00FE5DDE" w:rsidP="00FE5DDE">
      <w:pPr>
        <w:pStyle w:val="Puesto"/>
      </w:pPr>
      <w:r w:rsidRPr="001F6EF8">
        <w:t>…</w:t>
      </w:r>
    </w:p>
    <w:p w14:paraId="3A4C5C90" w14:textId="77777777" w:rsidR="00FE5DDE" w:rsidRPr="001F6EF8" w:rsidRDefault="00FE5DDE" w:rsidP="00FE5DDE">
      <w:pPr>
        <w:pStyle w:val="Puesto"/>
      </w:pPr>
      <w:r w:rsidRPr="001F6EF8">
        <w:t>Artículo 53. Las Unidades de Transparencia tendrán las siguientes funciones:</w:t>
      </w:r>
    </w:p>
    <w:p w14:paraId="1E87CD91" w14:textId="77777777" w:rsidR="00FE5DDE" w:rsidRPr="001F6EF8" w:rsidRDefault="00FE5DDE" w:rsidP="00FE5DDE">
      <w:pPr>
        <w:pStyle w:val="Puesto"/>
      </w:pPr>
      <w:r w:rsidRPr="001F6EF8">
        <w:t>…</w:t>
      </w:r>
    </w:p>
    <w:p w14:paraId="5AE5FD07" w14:textId="77777777" w:rsidR="00FE5DDE" w:rsidRPr="001F6EF8" w:rsidRDefault="00FE5DDE" w:rsidP="00FE5DDE">
      <w:pPr>
        <w:pStyle w:val="Puesto"/>
      </w:pPr>
      <w:r w:rsidRPr="001F6EF8">
        <w:t xml:space="preserve">II. Recibir, tramitar y dar respuesta a las solicitudes de acceso a la información; </w:t>
      </w:r>
    </w:p>
    <w:p w14:paraId="4428EF14" w14:textId="77777777" w:rsidR="00FE5DDE" w:rsidRPr="001F6EF8" w:rsidRDefault="00FE5DDE" w:rsidP="00FE5DDE">
      <w:pPr>
        <w:pStyle w:val="Puesto"/>
      </w:pPr>
      <w:r w:rsidRPr="001F6EF8">
        <w:t>…</w:t>
      </w:r>
    </w:p>
    <w:p w14:paraId="71689D91" w14:textId="77777777" w:rsidR="00FE5DDE" w:rsidRPr="001F6EF8" w:rsidRDefault="00FE5DDE" w:rsidP="00FE5DDE">
      <w:pPr>
        <w:pStyle w:val="Puesto"/>
        <w:rPr>
          <w:b/>
          <w:u w:val="single"/>
        </w:rPr>
      </w:pPr>
      <w:r w:rsidRPr="001F6EF8">
        <w:rPr>
          <w:b/>
          <w:u w:val="single"/>
        </w:rPr>
        <w:lastRenderedPageBreak/>
        <w:t xml:space="preserve">IV. Realizar, con efectividad, los trámites internos necesarios para la atención de las solicitudes de acceso a la información; </w:t>
      </w:r>
    </w:p>
    <w:p w14:paraId="5571B292" w14:textId="77777777" w:rsidR="00FE5DDE" w:rsidRPr="001F6EF8" w:rsidRDefault="00FE5DDE" w:rsidP="00FE5DDE">
      <w:pPr>
        <w:pStyle w:val="Puesto"/>
      </w:pPr>
      <w:r w:rsidRPr="001F6EF8">
        <w:t xml:space="preserve">V. Entregar, en su caso, a los particulares la información solicitada; </w:t>
      </w:r>
    </w:p>
    <w:p w14:paraId="05DC5E4A" w14:textId="77777777" w:rsidR="00FE5DDE" w:rsidRPr="001F6EF8" w:rsidRDefault="00FE5DDE" w:rsidP="00FE5DDE">
      <w:pPr>
        <w:pStyle w:val="Puesto"/>
      </w:pPr>
      <w:r w:rsidRPr="001F6EF8">
        <w:t>VI. Efectuar las notificaciones a los solicitantes;” (Sic)</w:t>
      </w:r>
    </w:p>
    <w:p w14:paraId="7219E8CA" w14:textId="77777777" w:rsidR="00FE5DDE" w:rsidRPr="001F6EF8" w:rsidRDefault="00FE5DDE" w:rsidP="00FE5DDE"/>
    <w:p w14:paraId="67047827" w14:textId="77777777" w:rsidR="00FE5DDE" w:rsidRPr="001F6EF8" w:rsidRDefault="00FE5DDE" w:rsidP="00FE5DDE">
      <w:r w:rsidRPr="001F6EF8">
        <w:t xml:space="preserve">Aunado a lo anterior, se debe señalar que aunque la solicitud de información y la respuesta estén dirigidas y atendidas por un </w:t>
      </w:r>
      <w:r w:rsidRPr="001F6EF8">
        <w:rPr>
          <w:b/>
        </w:rPr>
        <w:t>SUJETO OBLIGADO</w:t>
      </w:r>
      <w:r w:rsidRPr="001F6EF8">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1826A3A" w14:textId="77777777" w:rsidR="00FE5DDE" w:rsidRPr="001F6EF8" w:rsidRDefault="00FE5DDE" w:rsidP="00FE5DDE"/>
    <w:p w14:paraId="733208C9" w14:textId="77777777" w:rsidR="00FE5DDE" w:rsidRPr="001F6EF8" w:rsidRDefault="00FE5DDE" w:rsidP="00FE5DDE">
      <w:pPr>
        <w:pStyle w:val="Puesto"/>
      </w:pPr>
      <w:r w:rsidRPr="001F6EF8">
        <w:rPr>
          <w:b/>
        </w:rPr>
        <w:t>“Artículo 3.</w:t>
      </w:r>
      <w:r w:rsidRPr="001F6EF8">
        <w:t xml:space="preserve"> Para los efectos de la presente Ley se entenderá por:</w:t>
      </w:r>
    </w:p>
    <w:p w14:paraId="6187FF6D" w14:textId="77777777" w:rsidR="00FE5DDE" w:rsidRPr="001F6EF8" w:rsidRDefault="00FE5DDE" w:rsidP="00FE5DDE">
      <w:pPr>
        <w:pStyle w:val="Puesto"/>
      </w:pPr>
      <w:r w:rsidRPr="001F6EF8">
        <w:t>…</w:t>
      </w:r>
    </w:p>
    <w:p w14:paraId="395EF4E8" w14:textId="77777777" w:rsidR="00FE5DDE" w:rsidRPr="001F6EF8" w:rsidRDefault="00FE5DDE" w:rsidP="00FE5DDE">
      <w:pPr>
        <w:pStyle w:val="Puesto"/>
      </w:pPr>
      <w:r w:rsidRPr="001F6EF8">
        <w:rPr>
          <w:b/>
        </w:rPr>
        <w:t xml:space="preserve">XXXIX. Servidor público habilitado: </w:t>
      </w:r>
      <w:r w:rsidRPr="001F6EF8">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AE628DF" w14:textId="77777777" w:rsidR="00FE5DDE" w:rsidRPr="001F6EF8" w:rsidRDefault="00FE5DDE" w:rsidP="00FE5DDE">
      <w:pPr>
        <w:pStyle w:val="Puesto"/>
      </w:pPr>
      <w:r w:rsidRPr="001F6EF8">
        <w:t>…</w:t>
      </w:r>
    </w:p>
    <w:p w14:paraId="3ABABC84" w14:textId="77777777" w:rsidR="00FE5DDE" w:rsidRPr="001F6EF8" w:rsidRDefault="00FE5DDE" w:rsidP="00FE5DDE">
      <w:pPr>
        <w:pStyle w:val="Puesto"/>
      </w:pPr>
      <w:r w:rsidRPr="001F6EF8">
        <w:rPr>
          <w:b/>
        </w:rPr>
        <w:t>Artículo 58.</w:t>
      </w:r>
      <w:r w:rsidRPr="001F6EF8">
        <w:t xml:space="preserve"> Los servidores públicos habilitados serán designados por el titular del sujeto obligado a propuesta del responsable de la Unidad de Transparencia.</w:t>
      </w:r>
    </w:p>
    <w:p w14:paraId="28DEF510" w14:textId="77777777" w:rsidR="00FE5DDE" w:rsidRPr="001F6EF8" w:rsidRDefault="00FE5DDE" w:rsidP="00FE5DDE">
      <w:pPr>
        <w:pStyle w:val="Puesto"/>
      </w:pPr>
      <w:r w:rsidRPr="001F6EF8">
        <w:rPr>
          <w:b/>
        </w:rPr>
        <w:t>Artículo 59.</w:t>
      </w:r>
      <w:r w:rsidRPr="001F6EF8">
        <w:t xml:space="preserve"> </w:t>
      </w:r>
      <w:r w:rsidRPr="001F6EF8">
        <w:rPr>
          <w:b/>
        </w:rPr>
        <w:t>Los servidores públicos habilitados</w:t>
      </w:r>
      <w:r w:rsidRPr="001F6EF8">
        <w:t xml:space="preserve"> tendrán las funciones siguientes:</w:t>
      </w:r>
    </w:p>
    <w:p w14:paraId="0C6C29E0" w14:textId="77777777" w:rsidR="00FE5DDE" w:rsidRPr="001F6EF8" w:rsidRDefault="00FE5DDE" w:rsidP="00FE5DDE">
      <w:pPr>
        <w:pStyle w:val="Puesto"/>
        <w:rPr>
          <w:b/>
        </w:rPr>
      </w:pPr>
      <w:r w:rsidRPr="001F6EF8">
        <w:rPr>
          <w:b/>
        </w:rPr>
        <w:t>I. Localizar la información que le solicite la Unidad de Transparencia;</w:t>
      </w:r>
    </w:p>
    <w:p w14:paraId="2C8F3FA8" w14:textId="77777777" w:rsidR="00FE5DDE" w:rsidRPr="001F6EF8" w:rsidRDefault="00FE5DDE" w:rsidP="00FE5DDE">
      <w:pPr>
        <w:pStyle w:val="Puesto"/>
        <w:rPr>
          <w:b/>
        </w:rPr>
      </w:pPr>
      <w:r w:rsidRPr="001F6EF8">
        <w:rPr>
          <w:b/>
        </w:rPr>
        <w:t>II. Proporcionar la información que obre en los archivos y que le sea solicitada por la Unidad de Transparencia;</w:t>
      </w:r>
    </w:p>
    <w:p w14:paraId="0E89DC3D" w14:textId="77777777" w:rsidR="00FE5DDE" w:rsidRPr="001F6EF8" w:rsidRDefault="00FE5DDE" w:rsidP="00FE5DDE">
      <w:pPr>
        <w:pStyle w:val="Puesto"/>
      </w:pPr>
      <w:r w:rsidRPr="001F6EF8">
        <w:t>III. Apoyar a la Unidad de Transparencia en lo que esta le solicite para el cumplimiento de sus funciones;</w:t>
      </w:r>
    </w:p>
    <w:p w14:paraId="59D2B938" w14:textId="77777777" w:rsidR="00FE5DDE" w:rsidRPr="001F6EF8" w:rsidRDefault="00FE5DDE" w:rsidP="00FE5DDE">
      <w:pPr>
        <w:pStyle w:val="Puesto"/>
      </w:pPr>
      <w:r w:rsidRPr="001F6EF8">
        <w:t>IV. Proporcionar a la Unidad de Transparencia, las modificaciones a la información pública de oficio que obre en su poder;</w:t>
      </w:r>
    </w:p>
    <w:p w14:paraId="041887DE" w14:textId="77777777" w:rsidR="00FE5DDE" w:rsidRPr="001F6EF8" w:rsidRDefault="00FE5DDE" w:rsidP="00FE5DDE">
      <w:pPr>
        <w:pStyle w:val="Puesto"/>
      </w:pPr>
      <w:r w:rsidRPr="001F6EF8">
        <w:lastRenderedPageBreak/>
        <w:t>V. Integrar y presentar al responsable de la Unidad de Transparencia la propuesta de clasificación de información, la cual tendrá los fundamentos y argumentos en que se basa dicha propuesta;</w:t>
      </w:r>
    </w:p>
    <w:p w14:paraId="3C21000D" w14:textId="77777777" w:rsidR="00FE5DDE" w:rsidRPr="001F6EF8" w:rsidRDefault="00FE5DDE" w:rsidP="00FE5DDE">
      <w:pPr>
        <w:pStyle w:val="Puesto"/>
      </w:pPr>
      <w:r w:rsidRPr="001F6EF8">
        <w:t>VI. Verificar, una vez analizado el contenido de la información, que no se encuentre en los supuestos de información clasificada; y</w:t>
      </w:r>
    </w:p>
    <w:p w14:paraId="590BD999" w14:textId="77777777" w:rsidR="00FE5DDE" w:rsidRPr="001F6EF8" w:rsidRDefault="00FE5DDE" w:rsidP="00FE5DDE">
      <w:pPr>
        <w:pStyle w:val="Puesto"/>
      </w:pPr>
      <w:r w:rsidRPr="001F6EF8">
        <w:t>VII. Dar cuenta a la Unidad de Transparencia del vencimiento de los plazos de reserva.” (Sic)</w:t>
      </w:r>
    </w:p>
    <w:p w14:paraId="36A7AB7C" w14:textId="77777777" w:rsidR="00FE5DDE" w:rsidRPr="001F6EF8" w:rsidRDefault="00FE5DDE" w:rsidP="00FE5DDE">
      <w:pPr>
        <w:rPr>
          <w:i/>
        </w:rPr>
      </w:pPr>
    </w:p>
    <w:p w14:paraId="596A72E9" w14:textId="77777777" w:rsidR="00FE5DDE" w:rsidRPr="001F6EF8" w:rsidRDefault="00FE5DDE" w:rsidP="00FE5DDE">
      <w:r w:rsidRPr="001F6EF8">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63C73DB1" w14:textId="77777777" w:rsidR="00FE5DDE" w:rsidRPr="001F6EF8" w:rsidRDefault="00FE5DDE" w:rsidP="00FE5DDE"/>
    <w:p w14:paraId="6D96A277" w14:textId="77777777" w:rsidR="00FE5DDE" w:rsidRPr="001F6EF8" w:rsidRDefault="00FE5DDE" w:rsidP="00FE5DDE">
      <w:r w:rsidRPr="001F6EF8">
        <w:t>En ese sentido, podemos dilucidar que, se cumplió con lo dispuesto en el artículo 162 de la Ley de Transparencia y Acceso a la Información Pública del Estado de México y Municipios, que índica:</w:t>
      </w:r>
    </w:p>
    <w:p w14:paraId="46E3900A" w14:textId="77777777" w:rsidR="00FE5DDE" w:rsidRPr="001F6EF8" w:rsidRDefault="00FE5DDE" w:rsidP="00FE5DDE"/>
    <w:p w14:paraId="73A13387" w14:textId="23199D30" w:rsidR="00BD7C10" w:rsidRPr="001F6EF8" w:rsidRDefault="00FE5DDE" w:rsidP="00656312">
      <w:pPr>
        <w:spacing w:line="240" w:lineRule="auto"/>
        <w:ind w:left="567" w:right="539"/>
        <w:rPr>
          <w:rFonts w:eastAsiaTheme="minorEastAsia" w:cs="Arial"/>
          <w:color w:val="000000" w:themeColor="text1"/>
          <w:lang w:val="es-ES_tradnl"/>
        </w:rPr>
      </w:pPr>
      <w:r w:rsidRPr="001F6EF8">
        <w:rPr>
          <w:i/>
        </w:rPr>
        <w:t>“</w:t>
      </w:r>
      <w:r w:rsidRPr="001F6EF8">
        <w:rPr>
          <w:b/>
          <w:bCs/>
          <w:i/>
        </w:rPr>
        <w:t>Artículo 162.</w:t>
      </w:r>
      <w:r w:rsidRPr="001F6EF8">
        <w:rPr>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16D5AB3A" w14:textId="77777777" w:rsidR="00BD7C10" w:rsidRPr="001F6EF8" w:rsidRDefault="00BD7C10" w:rsidP="005552BE">
      <w:pPr>
        <w:ind w:right="-28"/>
        <w:rPr>
          <w:rFonts w:eastAsiaTheme="minorEastAsia" w:cs="Arial"/>
          <w:color w:val="000000" w:themeColor="text1"/>
          <w:lang w:val="es-ES_tradnl"/>
        </w:rPr>
      </w:pPr>
    </w:p>
    <w:p w14:paraId="577ACEE8" w14:textId="4148ADDF" w:rsidR="00656312" w:rsidRPr="001F6EF8" w:rsidRDefault="00FC2B2B" w:rsidP="00656312">
      <w:pPr>
        <w:ind w:right="-28"/>
        <w:rPr>
          <w:rFonts w:eastAsiaTheme="minorEastAsia" w:cs="Arial"/>
          <w:color w:val="000000" w:themeColor="text1"/>
          <w:lang w:val="es-ES_tradnl"/>
        </w:rPr>
      </w:pPr>
      <w:r w:rsidRPr="001F6EF8">
        <w:rPr>
          <w:rFonts w:eastAsiaTheme="minorEastAsia" w:cs="Arial"/>
          <w:color w:val="000000" w:themeColor="text1"/>
          <w:lang w:val="es-ES_tradnl"/>
        </w:rPr>
        <w:t xml:space="preserve">Ahora bien, </w:t>
      </w:r>
      <w:r w:rsidR="001C383A" w:rsidRPr="001F6EF8">
        <w:rPr>
          <w:rFonts w:eastAsiaTheme="minorEastAsia" w:cs="Arial"/>
          <w:color w:val="000000" w:themeColor="text1"/>
          <w:lang w:val="es-ES_tradnl"/>
        </w:rPr>
        <w:t xml:space="preserve">a mayor abundamiento, es necesario ejecutar un análisis comparativo de la información solicitada y aquella que fue proporcionada por </w:t>
      </w:r>
      <w:r w:rsidR="001C383A" w:rsidRPr="001F6EF8">
        <w:rPr>
          <w:rFonts w:eastAsiaTheme="minorEastAsia" w:cs="Arial"/>
          <w:b/>
          <w:color w:val="000000" w:themeColor="text1"/>
          <w:lang w:val="es-ES_tradnl"/>
        </w:rPr>
        <w:t xml:space="preserve">EL SUJETO OBLIGADO </w:t>
      </w:r>
      <w:r w:rsidR="001C383A" w:rsidRPr="001F6EF8">
        <w:rPr>
          <w:rFonts w:eastAsiaTheme="minorEastAsia" w:cs="Arial"/>
          <w:color w:val="000000" w:themeColor="text1"/>
          <w:lang w:val="es-ES_tradnl"/>
        </w:rPr>
        <w:t>a través de la respuesta primigenia y el informe justificado, el cual resulta en el tenor siguiente:</w:t>
      </w:r>
    </w:p>
    <w:p w14:paraId="1C431610" w14:textId="77777777" w:rsidR="001C383A" w:rsidRPr="001F6EF8" w:rsidRDefault="001C383A" w:rsidP="00656312">
      <w:pPr>
        <w:ind w:right="-28"/>
        <w:rPr>
          <w:rFonts w:eastAsiaTheme="minorEastAsia" w:cs="Arial"/>
          <w:color w:val="000000" w:themeColor="text1"/>
          <w:lang w:val="es-ES_tradnl"/>
        </w:rPr>
      </w:pPr>
    </w:p>
    <w:tbl>
      <w:tblPr>
        <w:tblStyle w:val="Tablaconcuadrcula"/>
        <w:tblW w:w="0" w:type="auto"/>
        <w:tblLook w:val="04A0" w:firstRow="1" w:lastRow="0" w:firstColumn="1" w:lastColumn="0" w:noHBand="0" w:noVBand="1"/>
      </w:tblPr>
      <w:tblGrid>
        <w:gridCol w:w="3011"/>
        <w:gridCol w:w="3011"/>
        <w:gridCol w:w="3012"/>
      </w:tblGrid>
      <w:tr w:rsidR="001C383A" w:rsidRPr="001F6EF8" w14:paraId="765C027A" w14:textId="77777777" w:rsidTr="001C383A">
        <w:tc>
          <w:tcPr>
            <w:tcW w:w="3011" w:type="dxa"/>
            <w:shd w:val="clear" w:color="auto" w:fill="ADADAD" w:themeFill="background2" w:themeFillShade="BF"/>
          </w:tcPr>
          <w:p w14:paraId="7BAD5316" w14:textId="79B3C0DF" w:rsidR="001C383A" w:rsidRPr="001F6EF8" w:rsidRDefault="001C383A" w:rsidP="00DD046E">
            <w:pPr>
              <w:spacing w:line="276" w:lineRule="auto"/>
              <w:ind w:right="-28"/>
              <w:jc w:val="center"/>
              <w:rPr>
                <w:rFonts w:eastAsiaTheme="minorEastAsia" w:cs="Arial"/>
                <w:color w:val="000000" w:themeColor="text1"/>
                <w:lang w:val="es-ES_tradnl"/>
              </w:rPr>
            </w:pPr>
            <w:r w:rsidRPr="001F6EF8">
              <w:rPr>
                <w:rFonts w:eastAsiaTheme="minorEastAsia" w:cs="Arial"/>
                <w:color w:val="000000" w:themeColor="text1"/>
                <w:lang w:val="es-ES_tradnl"/>
              </w:rPr>
              <w:t>Requerimiento:</w:t>
            </w:r>
          </w:p>
        </w:tc>
        <w:tc>
          <w:tcPr>
            <w:tcW w:w="3011" w:type="dxa"/>
            <w:shd w:val="clear" w:color="auto" w:fill="ADADAD" w:themeFill="background2" w:themeFillShade="BF"/>
          </w:tcPr>
          <w:p w14:paraId="435970B9" w14:textId="2E85ABBC" w:rsidR="001C383A" w:rsidRPr="001F6EF8" w:rsidRDefault="001C383A" w:rsidP="00DD046E">
            <w:pPr>
              <w:spacing w:line="276" w:lineRule="auto"/>
              <w:ind w:right="-28"/>
              <w:jc w:val="center"/>
              <w:rPr>
                <w:rFonts w:eastAsiaTheme="minorEastAsia" w:cs="Arial"/>
                <w:color w:val="000000" w:themeColor="text1"/>
                <w:lang w:val="es-ES_tradnl"/>
              </w:rPr>
            </w:pPr>
            <w:r w:rsidRPr="001F6EF8">
              <w:rPr>
                <w:rFonts w:eastAsiaTheme="minorEastAsia" w:cs="Arial"/>
                <w:color w:val="000000" w:themeColor="text1"/>
                <w:lang w:val="es-ES_tradnl"/>
              </w:rPr>
              <w:t>Información proporcionada:</w:t>
            </w:r>
          </w:p>
        </w:tc>
        <w:tc>
          <w:tcPr>
            <w:tcW w:w="3012" w:type="dxa"/>
            <w:shd w:val="clear" w:color="auto" w:fill="ADADAD" w:themeFill="background2" w:themeFillShade="BF"/>
          </w:tcPr>
          <w:p w14:paraId="59463B41" w14:textId="591A0956" w:rsidR="001C383A" w:rsidRPr="001F6EF8" w:rsidRDefault="001C383A" w:rsidP="00DD046E">
            <w:pPr>
              <w:spacing w:line="276" w:lineRule="auto"/>
              <w:ind w:right="-28"/>
              <w:jc w:val="center"/>
              <w:rPr>
                <w:rFonts w:eastAsiaTheme="minorEastAsia" w:cs="Arial"/>
                <w:color w:val="000000" w:themeColor="text1"/>
                <w:lang w:val="es-ES_tradnl"/>
              </w:rPr>
            </w:pPr>
            <w:r w:rsidRPr="001F6EF8">
              <w:rPr>
                <w:rFonts w:eastAsiaTheme="minorEastAsia" w:cs="Arial"/>
                <w:color w:val="000000" w:themeColor="text1"/>
                <w:lang w:val="es-ES_tradnl"/>
              </w:rPr>
              <w:t>Análisis</w:t>
            </w:r>
          </w:p>
        </w:tc>
      </w:tr>
      <w:tr w:rsidR="001C383A" w:rsidRPr="001F6EF8" w14:paraId="3F8812BC" w14:textId="77777777" w:rsidTr="001C383A">
        <w:tc>
          <w:tcPr>
            <w:tcW w:w="3011" w:type="dxa"/>
          </w:tcPr>
          <w:p w14:paraId="42D808AB" w14:textId="7A322570" w:rsidR="001C383A" w:rsidRPr="001F6EF8" w:rsidRDefault="001C383A" w:rsidP="00DD046E">
            <w:pPr>
              <w:pStyle w:val="Prrafodelista"/>
              <w:numPr>
                <w:ilvl w:val="0"/>
                <w:numId w:val="35"/>
              </w:numPr>
              <w:spacing w:line="276" w:lineRule="auto"/>
              <w:ind w:left="313" w:right="-28"/>
              <w:rPr>
                <w:rFonts w:eastAsiaTheme="minorEastAsia" w:cs="Arial"/>
                <w:color w:val="000000" w:themeColor="text1"/>
                <w:lang w:val="es-ES_tradnl"/>
              </w:rPr>
            </w:pPr>
            <w:r w:rsidRPr="001F6EF8">
              <w:rPr>
                <w:color w:val="000000"/>
                <w:sz w:val="18"/>
                <w:szCs w:val="14"/>
              </w:rPr>
              <w:t xml:space="preserve">Programa o acciones que implementarán en relación al maltrato animal </w:t>
            </w:r>
          </w:p>
        </w:tc>
        <w:tc>
          <w:tcPr>
            <w:tcW w:w="3011" w:type="dxa"/>
          </w:tcPr>
          <w:p w14:paraId="74D155D2" w14:textId="56E722CF" w:rsidR="001C383A" w:rsidRPr="001F6EF8" w:rsidRDefault="001C383A" w:rsidP="00DD046E">
            <w:pPr>
              <w:spacing w:line="276" w:lineRule="auto"/>
              <w:ind w:right="-28"/>
              <w:rPr>
                <w:rFonts w:eastAsiaTheme="minorEastAsia" w:cs="Arial"/>
                <w:color w:val="000000" w:themeColor="text1"/>
                <w:lang w:val="es-ES_tradnl"/>
              </w:rPr>
            </w:pPr>
            <w:r w:rsidRPr="001F6EF8">
              <w:rPr>
                <w:color w:val="000000"/>
                <w:sz w:val="18"/>
                <w:szCs w:val="14"/>
              </w:rPr>
              <w:t xml:space="preserve">No ha sido necesario implementar acciones toda vez que no hay registro de denuncia o manifestación de maltrato animal </w:t>
            </w:r>
          </w:p>
        </w:tc>
        <w:tc>
          <w:tcPr>
            <w:tcW w:w="3012" w:type="dxa"/>
          </w:tcPr>
          <w:p w14:paraId="1DD640FE" w14:textId="4FA01C36" w:rsidR="001C383A" w:rsidRPr="001F6EF8" w:rsidRDefault="001C383A" w:rsidP="00DD046E">
            <w:pPr>
              <w:spacing w:line="276" w:lineRule="auto"/>
              <w:ind w:right="-28"/>
              <w:rPr>
                <w:rFonts w:eastAsiaTheme="minorEastAsia" w:cs="Arial"/>
                <w:color w:val="000000" w:themeColor="text1"/>
                <w:sz w:val="18"/>
                <w:lang w:val="es-ES_tradnl"/>
              </w:rPr>
            </w:pPr>
            <w:r w:rsidRPr="001F6EF8">
              <w:rPr>
                <w:rFonts w:eastAsiaTheme="minorEastAsia" w:cs="Arial"/>
                <w:color w:val="000000" w:themeColor="text1"/>
                <w:sz w:val="18"/>
                <w:lang w:val="es-ES_tradnl"/>
              </w:rPr>
              <w:t>No colma con el requerimiento con base a lo establecido en el Plan de Desarrollo Municipal de Toluca 2025-2027, conforme a lo que se abordará en lo subsecuente.</w:t>
            </w:r>
          </w:p>
        </w:tc>
      </w:tr>
      <w:tr w:rsidR="001C383A" w:rsidRPr="001F6EF8" w14:paraId="3D89E03F" w14:textId="77777777" w:rsidTr="001C383A">
        <w:tc>
          <w:tcPr>
            <w:tcW w:w="3011" w:type="dxa"/>
          </w:tcPr>
          <w:p w14:paraId="6243948E" w14:textId="1065B35B" w:rsidR="001C383A" w:rsidRPr="001F6EF8" w:rsidRDefault="001C383A" w:rsidP="00DD046E">
            <w:pPr>
              <w:pStyle w:val="Prrafodelista"/>
              <w:numPr>
                <w:ilvl w:val="0"/>
                <w:numId w:val="35"/>
              </w:numPr>
              <w:spacing w:line="276" w:lineRule="auto"/>
              <w:ind w:left="313" w:right="-28"/>
              <w:rPr>
                <w:rFonts w:eastAsiaTheme="minorEastAsia" w:cs="Arial"/>
                <w:color w:val="000000" w:themeColor="text1"/>
                <w:lang w:val="es-ES_tradnl"/>
              </w:rPr>
            </w:pPr>
            <w:r w:rsidRPr="001F6EF8">
              <w:rPr>
                <w:color w:val="000000"/>
                <w:sz w:val="18"/>
                <w:szCs w:val="14"/>
              </w:rPr>
              <w:lastRenderedPageBreak/>
              <w:t>Cuántos perros han esterilizado y vacunado en el periodo de enero-agosto 2025 y lo transcurrido en 2025</w:t>
            </w:r>
          </w:p>
        </w:tc>
        <w:tc>
          <w:tcPr>
            <w:tcW w:w="3011" w:type="dxa"/>
          </w:tcPr>
          <w:p w14:paraId="55A6F8C1" w14:textId="7C2F3224" w:rsidR="001C383A" w:rsidRPr="001F6EF8" w:rsidRDefault="001C383A" w:rsidP="00DD046E">
            <w:pPr>
              <w:spacing w:line="276" w:lineRule="auto"/>
              <w:ind w:right="-28"/>
              <w:rPr>
                <w:rFonts w:eastAsiaTheme="minorEastAsia" w:cs="Arial"/>
                <w:color w:val="000000" w:themeColor="text1"/>
                <w:lang w:val="es-ES_tradnl"/>
              </w:rPr>
            </w:pPr>
            <w:r w:rsidRPr="001F6EF8">
              <w:rPr>
                <w:color w:val="000000"/>
                <w:sz w:val="18"/>
                <w:szCs w:val="14"/>
              </w:rPr>
              <w:t>En el periodo de enero-agosto 2024 se realizaron 3,996 esterilizaciones y se aplicaron 3.320 vacunas y de enero de la fecha de la solicitud se han esterilizado 1,432 perros y se han aplicado 1,262 vacunas.</w:t>
            </w:r>
          </w:p>
        </w:tc>
        <w:tc>
          <w:tcPr>
            <w:tcW w:w="3012" w:type="dxa"/>
          </w:tcPr>
          <w:p w14:paraId="01A1F6E8" w14:textId="090A98E5" w:rsidR="001C383A" w:rsidRPr="001F6EF8" w:rsidRDefault="001C383A" w:rsidP="00DD046E">
            <w:pPr>
              <w:spacing w:line="276" w:lineRule="auto"/>
              <w:ind w:right="-28"/>
              <w:rPr>
                <w:rFonts w:eastAsiaTheme="minorEastAsia" w:cs="Arial"/>
                <w:color w:val="000000" w:themeColor="text1"/>
                <w:sz w:val="18"/>
                <w:lang w:val="es-ES_tradnl"/>
              </w:rPr>
            </w:pPr>
            <w:r w:rsidRPr="001F6EF8">
              <w:rPr>
                <w:rFonts w:eastAsiaTheme="minorEastAsia" w:cs="Arial"/>
                <w:color w:val="000000" w:themeColor="text1"/>
                <w:sz w:val="18"/>
                <w:lang w:val="es-ES_tradnl"/>
              </w:rPr>
              <w:t xml:space="preserve">Satisface el derecho de acceso a la información de </w:t>
            </w:r>
            <w:r w:rsidRPr="001F6EF8">
              <w:rPr>
                <w:rFonts w:eastAsiaTheme="minorEastAsia" w:cs="Arial"/>
                <w:b/>
                <w:color w:val="000000" w:themeColor="text1"/>
                <w:sz w:val="18"/>
                <w:lang w:val="es-ES_tradnl"/>
              </w:rPr>
              <w:t>LA PARTE RECURRENTE</w:t>
            </w:r>
            <w:r w:rsidRPr="001F6EF8">
              <w:rPr>
                <w:rFonts w:eastAsiaTheme="minorEastAsia" w:cs="Arial"/>
                <w:color w:val="000000" w:themeColor="text1"/>
                <w:sz w:val="18"/>
                <w:lang w:val="es-ES_tradnl"/>
              </w:rPr>
              <w:t xml:space="preserve"> al haberse remitido el dato específico. </w:t>
            </w:r>
          </w:p>
        </w:tc>
      </w:tr>
      <w:tr w:rsidR="001C383A" w:rsidRPr="001F6EF8" w14:paraId="242DB0D4" w14:textId="77777777" w:rsidTr="001C383A">
        <w:tc>
          <w:tcPr>
            <w:tcW w:w="3011" w:type="dxa"/>
          </w:tcPr>
          <w:p w14:paraId="6D6CB30B" w14:textId="3E86E53A" w:rsidR="001C383A" w:rsidRPr="001F6EF8" w:rsidRDefault="001C383A" w:rsidP="00DD046E">
            <w:pPr>
              <w:pStyle w:val="Prrafodelista"/>
              <w:numPr>
                <w:ilvl w:val="0"/>
                <w:numId w:val="35"/>
              </w:numPr>
              <w:spacing w:line="276" w:lineRule="auto"/>
              <w:ind w:left="313" w:right="-28"/>
              <w:rPr>
                <w:rFonts w:eastAsiaTheme="minorEastAsia" w:cs="Arial"/>
                <w:color w:val="000000" w:themeColor="text1"/>
                <w:lang w:val="es-ES_tradnl"/>
              </w:rPr>
            </w:pPr>
            <w:r w:rsidRPr="001F6EF8">
              <w:rPr>
                <w:color w:val="000000"/>
                <w:sz w:val="18"/>
                <w:szCs w:val="14"/>
              </w:rPr>
              <w:t>Cuántos animales tienen en el centro de bienestar animal y condiciones en las que se encuentran.</w:t>
            </w:r>
          </w:p>
        </w:tc>
        <w:tc>
          <w:tcPr>
            <w:tcW w:w="3011" w:type="dxa"/>
          </w:tcPr>
          <w:p w14:paraId="7E1D9059" w14:textId="5814AF78" w:rsidR="001C383A" w:rsidRPr="001F6EF8" w:rsidRDefault="001C383A" w:rsidP="00DD046E">
            <w:pPr>
              <w:spacing w:line="276" w:lineRule="auto"/>
              <w:ind w:right="-28"/>
              <w:rPr>
                <w:rFonts w:eastAsiaTheme="minorEastAsia" w:cs="Arial"/>
                <w:color w:val="000000" w:themeColor="text1"/>
                <w:lang w:val="es-ES_tradnl"/>
              </w:rPr>
            </w:pPr>
            <w:r w:rsidRPr="001F6EF8">
              <w:rPr>
                <w:color w:val="000000"/>
                <w:sz w:val="18"/>
                <w:szCs w:val="14"/>
              </w:rPr>
              <w:t>22 perros y 3 gatos, los cuales son parte del programa Captura, Esterilización, Vacunación, Marcaje y Retorno; todos se encuentran bajo los cuidados y las atenciones necesarias para garantizar su bienestar e integridad.</w:t>
            </w:r>
          </w:p>
        </w:tc>
        <w:tc>
          <w:tcPr>
            <w:tcW w:w="3012" w:type="dxa"/>
          </w:tcPr>
          <w:p w14:paraId="4F37A124" w14:textId="2C9C80C9" w:rsidR="001C383A" w:rsidRPr="001F6EF8" w:rsidRDefault="001C383A" w:rsidP="00DD046E">
            <w:pPr>
              <w:spacing w:line="276" w:lineRule="auto"/>
              <w:ind w:right="-28"/>
              <w:rPr>
                <w:rFonts w:eastAsiaTheme="minorEastAsia" w:cs="Arial"/>
                <w:color w:val="000000" w:themeColor="text1"/>
                <w:sz w:val="18"/>
                <w:lang w:val="es-ES_tradnl"/>
              </w:rPr>
            </w:pPr>
            <w:r w:rsidRPr="001F6EF8">
              <w:rPr>
                <w:rFonts w:eastAsiaTheme="minorEastAsia" w:cs="Arial"/>
                <w:color w:val="000000" w:themeColor="text1"/>
                <w:sz w:val="18"/>
                <w:lang w:val="es-ES_tradnl"/>
              </w:rPr>
              <w:t xml:space="preserve">Satisface el derecho de acceso a la información de </w:t>
            </w:r>
            <w:r w:rsidRPr="001F6EF8">
              <w:rPr>
                <w:rFonts w:eastAsiaTheme="minorEastAsia" w:cs="Arial"/>
                <w:b/>
                <w:color w:val="000000" w:themeColor="text1"/>
                <w:sz w:val="18"/>
                <w:lang w:val="es-ES_tradnl"/>
              </w:rPr>
              <w:t>LA PARTE RECURRENTE</w:t>
            </w:r>
            <w:r w:rsidRPr="001F6EF8">
              <w:rPr>
                <w:rFonts w:eastAsiaTheme="minorEastAsia" w:cs="Arial"/>
                <w:color w:val="000000" w:themeColor="text1"/>
                <w:sz w:val="18"/>
                <w:lang w:val="es-ES_tradnl"/>
              </w:rPr>
              <w:t xml:space="preserve"> al haberse remitido el dato específico.</w:t>
            </w:r>
          </w:p>
        </w:tc>
      </w:tr>
      <w:tr w:rsidR="001C383A" w:rsidRPr="001F6EF8" w14:paraId="3629C3F1" w14:textId="77777777" w:rsidTr="001C383A">
        <w:tc>
          <w:tcPr>
            <w:tcW w:w="3011" w:type="dxa"/>
          </w:tcPr>
          <w:p w14:paraId="07E58B30" w14:textId="437CA6DE" w:rsidR="001C383A" w:rsidRPr="001F6EF8" w:rsidRDefault="001C383A" w:rsidP="00DD046E">
            <w:pPr>
              <w:pStyle w:val="Prrafodelista"/>
              <w:numPr>
                <w:ilvl w:val="0"/>
                <w:numId w:val="35"/>
              </w:numPr>
              <w:spacing w:line="276" w:lineRule="auto"/>
              <w:ind w:left="313" w:right="-28"/>
              <w:rPr>
                <w:rFonts w:eastAsiaTheme="minorEastAsia" w:cs="Arial"/>
                <w:color w:val="000000" w:themeColor="text1"/>
                <w:lang w:val="es-ES_tradnl"/>
              </w:rPr>
            </w:pPr>
            <w:r w:rsidRPr="001F6EF8">
              <w:rPr>
                <w:color w:val="000000"/>
                <w:sz w:val="18"/>
                <w:szCs w:val="14"/>
              </w:rPr>
              <w:t>Fotografías del centro de bienestar animal</w:t>
            </w:r>
          </w:p>
        </w:tc>
        <w:tc>
          <w:tcPr>
            <w:tcW w:w="3011" w:type="dxa"/>
          </w:tcPr>
          <w:p w14:paraId="0C195F92" w14:textId="532CA9EF" w:rsidR="001C383A" w:rsidRPr="001F6EF8" w:rsidRDefault="001C383A" w:rsidP="00DD046E">
            <w:pPr>
              <w:spacing w:line="276" w:lineRule="auto"/>
              <w:ind w:right="-28"/>
              <w:rPr>
                <w:rFonts w:eastAsiaTheme="minorEastAsia" w:cs="Arial"/>
                <w:color w:val="000000" w:themeColor="text1"/>
                <w:lang w:val="es-ES_tradnl"/>
              </w:rPr>
            </w:pPr>
            <w:r w:rsidRPr="001F6EF8">
              <w:rPr>
                <w:color w:val="000000"/>
                <w:sz w:val="18"/>
                <w:szCs w:val="14"/>
              </w:rPr>
              <w:t>Se remite un total de 10 fotografías a color, las cuales corresponden a las instalaciones del centro de bienestar animal</w:t>
            </w:r>
          </w:p>
        </w:tc>
        <w:tc>
          <w:tcPr>
            <w:tcW w:w="3012" w:type="dxa"/>
          </w:tcPr>
          <w:p w14:paraId="4474212E" w14:textId="0B0571F8" w:rsidR="001C383A" w:rsidRPr="001F6EF8" w:rsidRDefault="001C383A" w:rsidP="00DD046E">
            <w:pPr>
              <w:spacing w:line="276" w:lineRule="auto"/>
              <w:ind w:right="-28"/>
              <w:rPr>
                <w:rFonts w:eastAsiaTheme="minorEastAsia" w:cs="Arial"/>
                <w:color w:val="000000" w:themeColor="text1"/>
                <w:sz w:val="18"/>
                <w:lang w:val="es-ES_tradnl"/>
              </w:rPr>
            </w:pPr>
            <w:r w:rsidRPr="001F6EF8">
              <w:rPr>
                <w:rFonts w:eastAsiaTheme="minorEastAsia" w:cs="Arial"/>
                <w:color w:val="000000" w:themeColor="text1"/>
                <w:sz w:val="18"/>
                <w:lang w:val="es-ES_tradnl"/>
              </w:rPr>
              <w:t xml:space="preserve">Satisface el derecho de acceso a la información de </w:t>
            </w:r>
            <w:r w:rsidRPr="001F6EF8">
              <w:rPr>
                <w:rFonts w:eastAsiaTheme="minorEastAsia" w:cs="Arial"/>
                <w:b/>
                <w:color w:val="000000" w:themeColor="text1"/>
                <w:sz w:val="18"/>
                <w:lang w:val="es-ES_tradnl"/>
              </w:rPr>
              <w:t>LA PARTE RECURRENTE</w:t>
            </w:r>
            <w:r w:rsidRPr="001F6EF8">
              <w:rPr>
                <w:rFonts w:eastAsiaTheme="minorEastAsia" w:cs="Arial"/>
                <w:color w:val="000000" w:themeColor="text1"/>
                <w:sz w:val="18"/>
                <w:lang w:val="es-ES_tradnl"/>
              </w:rPr>
              <w:t xml:space="preserve"> al haberse remitido el dato específico.</w:t>
            </w:r>
          </w:p>
        </w:tc>
      </w:tr>
      <w:tr w:rsidR="001C383A" w:rsidRPr="001F6EF8" w14:paraId="795D4102" w14:textId="77777777" w:rsidTr="001C383A">
        <w:tc>
          <w:tcPr>
            <w:tcW w:w="3011" w:type="dxa"/>
          </w:tcPr>
          <w:p w14:paraId="7B4ED368" w14:textId="201A6A8B" w:rsidR="001C383A" w:rsidRPr="001F6EF8" w:rsidRDefault="001C383A" w:rsidP="00DD046E">
            <w:pPr>
              <w:pStyle w:val="Prrafodelista"/>
              <w:numPr>
                <w:ilvl w:val="0"/>
                <w:numId w:val="35"/>
              </w:numPr>
              <w:spacing w:line="276" w:lineRule="auto"/>
              <w:ind w:left="313" w:right="-28"/>
              <w:rPr>
                <w:rFonts w:eastAsiaTheme="minorEastAsia" w:cs="Arial"/>
                <w:color w:val="000000" w:themeColor="text1"/>
                <w:lang w:val="es-ES_tradnl"/>
              </w:rPr>
            </w:pPr>
            <w:r w:rsidRPr="001F6EF8">
              <w:rPr>
                <w:color w:val="000000"/>
                <w:sz w:val="18"/>
                <w:szCs w:val="14"/>
              </w:rPr>
              <w:t xml:space="preserve">Nombres de los servidores públicos que laboran en el centro de bienestar animal </w:t>
            </w:r>
          </w:p>
        </w:tc>
        <w:tc>
          <w:tcPr>
            <w:tcW w:w="3011" w:type="dxa"/>
          </w:tcPr>
          <w:p w14:paraId="1A113B56" w14:textId="3449CD7F" w:rsidR="001C383A" w:rsidRPr="001F6EF8" w:rsidRDefault="001C383A" w:rsidP="00DD046E">
            <w:pPr>
              <w:spacing w:line="276" w:lineRule="auto"/>
              <w:ind w:right="-28"/>
              <w:rPr>
                <w:rFonts w:eastAsiaTheme="minorEastAsia" w:cs="Arial"/>
                <w:color w:val="000000" w:themeColor="text1"/>
                <w:lang w:val="es-ES_tradnl"/>
              </w:rPr>
            </w:pPr>
            <w:r w:rsidRPr="001F6EF8">
              <w:rPr>
                <w:color w:val="000000"/>
                <w:sz w:val="18"/>
                <w:szCs w:val="14"/>
              </w:rPr>
              <w:t>Se manifiesta que no es posible proporcionar información que contenga datos personales.</w:t>
            </w:r>
            <w:r w:rsidRPr="001F6EF8">
              <w:rPr>
                <w:b/>
                <w:color w:val="000000"/>
                <w:sz w:val="18"/>
                <w:szCs w:val="14"/>
              </w:rPr>
              <w:t xml:space="preserve"> </w:t>
            </w:r>
          </w:p>
        </w:tc>
        <w:tc>
          <w:tcPr>
            <w:tcW w:w="3012" w:type="dxa"/>
          </w:tcPr>
          <w:p w14:paraId="221E2424" w14:textId="001409C9" w:rsidR="001C383A" w:rsidRPr="001F6EF8" w:rsidRDefault="001C383A" w:rsidP="00DD046E">
            <w:pPr>
              <w:spacing w:line="276" w:lineRule="auto"/>
              <w:ind w:right="-28"/>
              <w:rPr>
                <w:rFonts w:eastAsiaTheme="minorEastAsia" w:cs="Arial"/>
                <w:color w:val="000000" w:themeColor="text1"/>
                <w:sz w:val="18"/>
                <w:lang w:val="es-ES_tradnl"/>
              </w:rPr>
            </w:pPr>
            <w:r w:rsidRPr="001F6EF8">
              <w:rPr>
                <w:rFonts w:eastAsiaTheme="minorEastAsia" w:cs="Arial"/>
                <w:color w:val="000000" w:themeColor="text1"/>
                <w:sz w:val="18"/>
                <w:lang w:val="es-ES_tradnl"/>
              </w:rPr>
              <w:t xml:space="preserve">No colma con la pretensión del particular, el nombre de servidores públicos, como lo dice la denominación, </w:t>
            </w:r>
            <w:r w:rsidRPr="001F6EF8">
              <w:rPr>
                <w:rFonts w:eastAsiaTheme="minorEastAsia" w:cs="Arial"/>
                <w:b/>
                <w:color w:val="000000" w:themeColor="text1"/>
                <w:sz w:val="18"/>
                <w:lang w:val="es-ES_tradnl"/>
              </w:rPr>
              <w:t>es público</w:t>
            </w:r>
            <w:r w:rsidRPr="001F6EF8">
              <w:rPr>
                <w:rFonts w:eastAsiaTheme="minorEastAsia" w:cs="Arial"/>
                <w:color w:val="000000" w:themeColor="text1"/>
                <w:sz w:val="18"/>
                <w:lang w:val="es-ES_tradnl"/>
              </w:rPr>
              <w:t>.</w:t>
            </w:r>
          </w:p>
        </w:tc>
      </w:tr>
      <w:tr w:rsidR="001C383A" w:rsidRPr="001F6EF8" w14:paraId="5ADEE641" w14:textId="77777777" w:rsidTr="001C383A">
        <w:tc>
          <w:tcPr>
            <w:tcW w:w="3011" w:type="dxa"/>
          </w:tcPr>
          <w:p w14:paraId="0993D1F5" w14:textId="30760C72" w:rsidR="001C383A" w:rsidRPr="001F6EF8" w:rsidRDefault="001C383A" w:rsidP="00DD046E">
            <w:pPr>
              <w:pStyle w:val="Prrafodelista"/>
              <w:numPr>
                <w:ilvl w:val="0"/>
                <w:numId w:val="35"/>
              </w:numPr>
              <w:spacing w:line="276" w:lineRule="auto"/>
              <w:ind w:left="313" w:right="-28"/>
              <w:rPr>
                <w:rFonts w:eastAsiaTheme="minorEastAsia" w:cs="Arial"/>
                <w:color w:val="000000" w:themeColor="text1"/>
                <w:lang w:val="es-ES_tradnl"/>
              </w:rPr>
            </w:pPr>
            <w:r w:rsidRPr="001F6EF8">
              <w:rPr>
                <w:color w:val="000000"/>
                <w:sz w:val="18"/>
                <w:szCs w:val="14"/>
              </w:rPr>
              <w:t>El último recibo de nómina de dichos servidores públicos</w:t>
            </w:r>
          </w:p>
        </w:tc>
        <w:tc>
          <w:tcPr>
            <w:tcW w:w="3011" w:type="dxa"/>
          </w:tcPr>
          <w:p w14:paraId="06EA4A99" w14:textId="1A843949" w:rsidR="001C383A" w:rsidRPr="001F6EF8" w:rsidRDefault="001C383A" w:rsidP="00DD046E">
            <w:pPr>
              <w:spacing w:line="276" w:lineRule="auto"/>
              <w:ind w:right="-28"/>
              <w:rPr>
                <w:rFonts w:eastAsiaTheme="minorEastAsia" w:cs="Arial"/>
                <w:color w:val="000000" w:themeColor="text1"/>
                <w:lang w:val="es-ES_tradnl"/>
              </w:rPr>
            </w:pPr>
            <w:r w:rsidRPr="001F6EF8">
              <w:rPr>
                <w:color w:val="000000"/>
                <w:sz w:val="18"/>
                <w:szCs w:val="14"/>
              </w:rPr>
              <w:t>Se manifiesta que no es posible proporcionar información que contenga datos personales.</w:t>
            </w:r>
          </w:p>
        </w:tc>
        <w:tc>
          <w:tcPr>
            <w:tcW w:w="3012" w:type="dxa"/>
          </w:tcPr>
          <w:p w14:paraId="653C7199" w14:textId="0608EA5E" w:rsidR="001C383A" w:rsidRPr="001F6EF8" w:rsidRDefault="001C383A" w:rsidP="00DD046E">
            <w:pPr>
              <w:spacing w:line="276" w:lineRule="auto"/>
              <w:ind w:right="-28"/>
              <w:rPr>
                <w:rFonts w:eastAsiaTheme="minorEastAsia" w:cs="Arial"/>
                <w:color w:val="000000" w:themeColor="text1"/>
                <w:sz w:val="18"/>
                <w:lang w:val="es-ES_tradnl"/>
              </w:rPr>
            </w:pPr>
            <w:r w:rsidRPr="001F6EF8">
              <w:rPr>
                <w:rFonts w:eastAsiaTheme="minorEastAsia" w:cs="Arial"/>
                <w:color w:val="000000" w:themeColor="text1"/>
                <w:sz w:val="18"/>
                <w:lang w:val="es-ES_tradnl"/>
              </w:rPr>
              <w:t xml:space="preserve">La documentación respectiva se pudo proporcionar en versión pública, por lo que no se colma dicha pretensión. </w:t>
            </w:r>
          </w:p>
        </w:tc>
      </w:tr>
      <w:tr w:rsidR="001C383A" w:rsidRPr="001F6EF8" w14:paraId="04BF68B2" w14:textId="77777777" w:rsidTr="001C383A">
        <w:tc>
          <w:tcPr>
            <w:tcW w:w="3011" w:type="dxa"/>
          </w:tcPr>
          <w:p w14:paraId="34342621" w14:textId="3BC842DD" w:rsidR="001C383A" w:rsidRPr="001F6EF8" w:rsidRDefault="001C383A" w:rsidP="00DD046E">
            <w:pPr>
              <w:pStyle w:val="Prrafodelista"/>
              <w:numPr>
                <w:ilvl w:val="0"/>
                <w:numId w:val="35"/>
              </w:numPr>
              <w:spacing w:line="276" w:lineRule="auto"/>
              <w:ind w:left="313" w:right="-28"/>
              <w:rPr>
                <w:rFonts w:eastAsiaTheme="minorEastAsia" w:cs="Arial"/>
                <w:color w:val="000000" w:themeColor="text1"/>
                <w:lang w:val="es-ES_tradnl"/>
              </w:rPr>
            </w:pPr>
            <w:r w:rsidRPr="001F6EF8">
              <w:rPr>
                <w:color w:val="000000"/>
                <w:sz w:val="18"/>
                <w:szCs w:val="14"/>
              </w:rPr>
              <w:t xml:space="preserve">Curriculum vitae de los servidores públicos referidos </w:t>
            </w:r>
          </w:p>
        </w:tc>
        <w:tc>
          <w:tcPr>
            <w:tcW w:w="3011" w:type="dxa"/>
          </w:tcPr>
          <w:p w14:paraId="4FA783A6" w14:textId="70506D39" w:rsidR="001C383A" w:rsidRPr="001F6EF8" w:rsidRDefault="001C383A" w:rsidP="00DD046E">
            <w:pPr>
              <w:spacing w:line="276" w:lineRule="auto"/>
              <w:ind w:right="-28"/>
              <w:rPr>
                <w:rFonts w:eastAsiaTheme="minorEastAsia" w:cs="Arial"/>
                <w:color w:val="000000" w:themeColor="text1"/>
                <w:lang w:val="es-ES_tradnl"/>
              </w:rPr>
            </w:pPr>
            <w:r w:rsidRPr="001F6EF8">
              <w:rPr>
                <w:color w:val="000000"/>
                <w:sz w:val="18"/>
                <w:szCs w:val="14"/>
              </w:rPr>
              <w:t>Se manifiesta que no es posible proporcionar información que contenga datos personales.</w:t>
            </w:r>
          </w:p>
        </w:tc>
        <w:tc>
          <w:tcPr>
            <w:tcW w:w="3012" w:type="dxa"/>
          </w:tcPr>
          <w:p w14:paraId="687251F7" w14:textId="4E6810FC" w:rsidR="001C383A" w:rsidRPr="001F6EF8" w:rsidRDefault="001C383A" w:rsidP="00DD046E">
            <w:pPr>
              <w:spacing w:line="276" w:lineRule="auto"/>
              <w:ind w:right="-28"/>
              <w:rPr>
                <w:rFonts w:eastAsiaTheme="minorEastAsia" w:cs="Arial"/>
                <w:color w:val="000000" w:themeColor="text1"/>
                <w:sz w:val="18"/>
                <w:lang w:val="es-ES_tradnl"/>
              </w:rPr>
            </w:pPr>
            <w:r w:rsidRPr="001F6EF8">
              <w:rPr>
                <w:rFonts w:eastAsiaTheme="minorEastAsia" w:cs="Arial"/>
                <w:color w:val="000000" w:themeColor="text1"/>
                <w:sz w:val="18"/>
                <w:lang w:val="es-ES_tradnl"/>
              </w:rPr>
              <w:t>La documentación respectiva se pudo proporcionar en versión pública, por lo que no se colma dicha pretensión.</w:t>
            </w:r>
          </w:p>
        </w:tc>
      </w:tr>
    </w:tbl>
    <w:p w14:paraId="76E98B43" w14:textId="77777777" w:rsidR="00DD046E" w:rsidRPr="001F6EF8" w:rsidRDefault="00DD046E" w:rsidP="00656312">
      <w:pPr>
        <w:ind w:right="-28"/>
        <w:rPr>
          <w:rFonts w:eastAsiaTheme="minorEastAsia" w:cs="Arial"/>
          <w:color w:val="000000" w:themeColor="text1"/>
          <w:lang w:val="es-ES_tradnl"/>
        </w:rPr>
      </w:pPr>
    </w:p>
    <w:p w14:paraId="54B21351" w14:textId="619A012D" w:rsidR="001C383A" w:rsidRPr="001F6EF8" w:rsidRDefault="001C383A" w:rsidP="00656312">
      <w:pPr>
        <w:ind w:right="-28"/>
        <w:rPr>
          <w:rFonts w:eastAsiaTheme="minorEastAsia" w:cs="Arial"/>
          <w:color w:val="000000" w:themeColor="text1"/>
          <w:lang w:val="es-ES_tradnl"/>
        </w:rPr>
      </w:pPr>
      <w:r w:rsidRPr="001F6EF8">
        <w:rPr>
          <w:rFonts w:eastAsiaTheme="minorEastAsia" w:cs="Arial"/>
          <w:color w:val="000000" w:themeColor="text1"/>
          <w:lang w:val="es-ES_tradnl"/>
        </w:rPr>
        <w:t xml:space="preserve">Una vez precisado lo anterior, se tiene que, por cuanto hace al requerimiento señalado con el arábigo 1, </w:t>
      </w:r>
      <w:r w:rsidRPr="001F6EF8">
        <w:rPr>
          <w:rFonts w:eastAsiaTheme="minorEastAsia" w:cs="Arial"/>
          <w:b/>
          <w:color w:val="000000" w:themeColor="text1"/>
          <w:lang w:val="es-ES_tradnl"/>
        </w:rPr>
        <w:t>EL SUJETO OBLIGADO</w:t>
      </w:r>
      <w:r w:rsidRPr="001F6EF8">
        <w:rPr>
          <w:rFonts w:eastAsiaTheme="minorEastAsia" w:cs="Arial"/>
          <w:color w:val="000000" w:themeColor="text1"/>
          <w:lang w:val="es-ES_tradnl"/>
        </w:rPr>
        <w:t xml:space="preserve"> refirió que no se ha tenido la necesidad de llevar a cabo programas o acciones en contra del maltrato animal por no haberse recibido denuncia o manifestación alguna </w:t>
      </w:r>
      <w:r w:rsidR="00DD046E" w:rsidRPr="001F6EF8">
        <w:rPr>
          <w:rFonts w:eastAsiaTheme="minorEastAsia" w:cs="Arial"/>
          <w:color w:val="000000" w:themeColor="text1"/>
          <w:lang w:val="es-ES_tradnl"/>
        </w:rPr>
        <w:t>para tal efecto;</w:t>
      </w:r>
      <w:r w:rsidR="001617F3" w:rsidRPr="001F6EF8">
        <w:rPr>
          <w:rFonts w:eastAsiaTheme="minorEastAsia" w:cs="Arial"/>
          <w:color w:val="000000" w:themeColor="text1"/>
          <w:lang w:val="es-ES_tradnl"/>
        </w:rPr>
        <w:t xml:space="preserve"> sin embargo</w:t>
      </w:r>
      <w:r w:rsidR="00DD046E" w:rsidRPr="001F6EF8">
        <w:rPr>
          <w:rFonts w:eastAsiaTheme="minorEastAsia" w:cs="Arial"/>
          <w:color w:val="000000" w:themeColor="text1"/>
          <w:lang w:val="es-ES_tradnl"/>
        </w:rPr>
        <w:t>,</w:t>
      </w:r>
      <w:r w:rsidR="001617F3" w:rsidRPr="001F6EF8">
        <w:rPr>
          <w:rFonts w:eastAsiaTheme="minorEastAsia" w:cs="Arial"/>
          <w:color w:val="000000" w:themeColor="text1"/>
          <w:lang w:val="es-ES_tradnl"/>
        </w:rPr>
        <w:t xml:space="preserve"> dichas manifestaciones resultan contrarias a lo establecido en el Plan de Desarrollo Municipal consultable en la liga electrónica </w:t>
      </w:r>
      <w:hyperlink r:id="rId14" w:history="1">
        <w:r w:rsidR="001617F3" w:rsidRPr="001F6EF8">
          <w:rPr>
            <w:rStyle w:val="Hipervnculo"/>
            <w:rFonts w:eastAsiaTheme="minorEastAsia" w:cs="Arial"/>
            <w:lang w:val="es-ES_tradnl"/>
          </w:rPr>
          <w:t>https://www2.toluca.gob.mx/wp-content/uploads/2025/03/12-Gaceta-31-de-marzo-de-2025-</w:t>
        </w:r>
        <w:r w:rsidR="001617F3" w:rsidRPr="001F6EF8">
          <w:rPr>
            <w:rStyle w:val="Hipervnculo"/>
            <w:rFonts w:eastAsiaTheme="minorEastAsia" w:cs="Arial"/>
            <w:lang w:val="es-ES_tradnl"/>
          </w:rPr>
          <w:lastRenderedPageBreak/>
          <w:t>Plan-de-Desarrollo.pdf</w:t>
        </w:r>
      </w:hyperlink>
      <w:r w:rsidR="001617F3" w:rsidRPr="001F6EF8">
        <w:rPr>
          <w:rFonts w:eastAsiaTheme="minorEastAsia" w:cs="Arial"/>
          <w:color w:val="000000" w:themeColor="text1"/>
          <w:lang w:val="es-ES_tradnl"/>
        </w:rPr>
        <w:t>, documento que en la foja número 131 contempla de nuestro interés lo siguiente:</w:t>
      </w:r>
    </w:p>
    <w:p w14:paraId="02A1D914" w14:textId="77777777" w:rsidR="001617F3" w:rsidRPr="001F6EF8" w:rsidRDefault="001617F3" w:rsidP="00656312">
      <w:pPr>
        <w:ind w:right="-28"/>
        <w:rPr>
          <w:rFonts w:eastAsiaTheme="minorEastAsia" w:cs="Arial"/>
          <w:color w:val="000000" w:themeColor="text1"/>
          <w:lang w:val="es-ES_tradnl"/>
        </w:rPr>
      </w:pPr>
    </w:p>
    <w:p w14:paraId="16118C3D" w14:textId="22F09593" w:rsidR="001617F3" w:rsidRPr="001F6EF8" w:rsidRDefault="001617F3" w:rsidP="001617F3">
      <w:pPr>
        <w:spacing w:line="240" w:lineRule="auto"/>
        <w:ind w:left="567" w:right="539"/>
        <w:rPr>
          <w:i/>
        </w:rPr>
      </w:pPr>
      <w:r w:rsidRPr="001F6EF8">
        <w:rPr>
          <w:i/>
        </w:rPr>
        <w:t xml:space="preserve">Actualmente en nuestro municipio, la sobrepoblación de perros y gatos, ha generado un incremento significativo en el </w:t>
      </w:r>
      <w:r w:rsidRPr="001F6EF8">
        <w:rPr>
          <w:b/>
          <w:i/>
        </w:rPr>
        <w:t>maltrato y abandono de estos animales</w:t>
      </w:r>
      <w:r w:rsidRPr="001F6EF8">
        <w:rPr>
          <w:i/>
        </w:rPr>
        <w:t>, de la misma forma genera conflictos humano – animal, ya que la presencia exacerbada de estos en la vía pública y las consecuencias implícitas de su sobrepoblación generan problemas de salud, medioambientales y de violencia social.</w:t>
      </w:r>
    </w:p>
    <w:p w14:paraId="02A6FB47" w14:textId="39FAA456" w:rsidR="001617F3" w:rsidRPr="001F6EF8" w:rsidRDefault="001617F3" w:rsidP="001617F3">
      <w:pPr>
        <w:spacing w:line="240" w:lineRule="auto"/>
        <w:ind w:left="567" w:right="539"/>
        <w:rPr>
          <w:i/>
        </w:rPr>
      </w:pPr>
      <w:r w:rsidRPr="001F6EF8">
        <w:rPr>
          <w:i/>
        </w:rPr>
        <w:t>(…)</w:t>
      </w:r>
    </w:p>
    <w:p w14:paraId="5F7F5487" w14:textId="5DB86197" w:rsidR="001617F3" w:rsidRPr="001F6EF8" w:rsidRDefault="001617F3" w:rsidP="001617F3">
      <w:pPr>
        <w:spacing w:line="240" w:lineRule="auto"/>
        <w:ind w:left="567" w:right="539"/>
        <w:rPr>
          <w:i/>
        </w:rPr>
      </w:pPr>
      <w:r w:rsidRPr="001F6EF8">
        <w:rPr>
          <w:i/>
        </w:rPr>
        <w:t xml:space="preserve">Asimismo, la falta de concientización y sensibilización sobre la tutela responsable y el respeto a los animales de compañía se refleja en </w:t>
      </w:r>
      <w:r w:rsidRPr="001F6EF8">
        <w:rPr>
          <w:b/>
          <w:i/>
        </w:rPr>
        <w:t>los altos índices de maltrato animal</w:t>
      </w:r>
      <w:r w:rsidRPr="001F6EF8">
        <w:rPr>
          <w:i/>
        </w:rPr>
        <w:t xml:space="preserve">, mismos que se reflejan en el incremento de los reportes y denuncias ciudadanas atendidas en el último trienio, ya que de 2022 a 2024 </w:t>
      </w:r>
      <w:r w:rsidRPr="001F6EF8">
        <w:rPr>
          <w:b/>
          <w:i/>
        </w:rPr>
        <w:t>se atendió un total de 1,022 denuncias ciudadanas por maltrato animal</w:t>
      </w:r>
      <w:r w:rsidRPr="001F6EF8">
        <w:rPr>
          <w:i/>
        </w:rPr>
        <w:t>.</w:t>
      </w:r>
    </w:p>
    <w:p w14:paraId="0584C57C" w14:textId="77777777" w:rsidR="001617F3" w:rsidRPr="001F6EF8" w:rsidRDefault="001617F3" w:rsidP="001617F3">
      <w:pPr>
        <w:spacing w:line="240" w:lineRule="auto"/>
        <w:ind w:left="567" w:right="539"/>
        <w:rPr>
          <w:i/>
        </w:rPr>
      </w:pPr>
    </w:p>
    <w:p w14:paraId="5198E18A" w14:textId="4F27A62B" w:rsidR="001617F3" w:rsidRPr="001F6EF8" w:rsidRDefault="001617F3" w:rsidP="001617F3">
      <w:pPr>
        <w:spacing w:line="240" w:lineRule="auto"/>
        <w:ind w:left="567" w:right="539"/>
        <w:rPr>
          <w:b/>
        </w:rPr>
      </w:pPr>
      <w:r w:rsidRPr="001F6EF8">
        <w:rPr>
          <w:b/>
          <w:i/>
        </w:rPr>
        <w:t>Nuestro compromiso con el Municipio de Toluca será trabajar permanentemente en el control poblacional, zoonótico y bienestar de perros y gatos. a través de la esterilización quirúrgica, vacunación antirrábica, concientización sobre la tutela responsable y atención a denuncias en materia de maltrato animal.</w:t>
      </w:r>
    </w:p>
    <w:p w14:paraId="5B028239" w14:textId="77777777" w:rsidR="001617F3" w:rsidRPr="001F6EF8" w:rsidRDefault="001617F3" w:rsidP="00656312">
      <w:pPr>
        <w:ind w:right="-28"/>
        <w:rPr>
          <w:rFonts w:eastAsiaTheme="minorEastAsia" w:cs="Arial"/>
          <w:color w:val="000000" w:themeColor="text1"/>
          <w:lang w:val="es-ES_tradnl"/>
        </w:rPr>
      </w:pPr>
    </w:p>
    <w:p w14:paraId="7933B620" w14:textId="0E2C1BC9" w:rsidR="001617F3" w:rsidRPr="001F6EF8" w:rsidRDefault="001617F3" w:rsidP="00656312">
      <w:pPr>
        <w:ind w:right="-28"/>
        <w:rPr>
          <w:rFonts w:eastAsiaTheme="minorEastAsia" w:cs="Arial"/>
          <w:color w:val="000000" w:themeColor="text1"/>
          <w:lang w:val="es-ES_tradnl"/>
        </w:rPr>
      </w:pPr>
      <w:r w:rsidRPr="001F6EF8">
        <w:rPr>
          <w:rFonts w:eastAsiaTheme="minorEastAsia" w:cs="Arial"/>
          <w:color w:val="000000" w:themeColor="text1"/>
          <w:lang w:val="es-ES_tradnl"/>
        </w:rPr>
        <w:t>Por lo anterior, se tiene certeza del siguiente raciocinio:</w:t>
      </w:r>
    </w:p>
    <w:p w14:paraId="2F08F0E7" w14:textId="77777777" w:rsidR="001617F3" w:rsidRPr="001F6EF8" w:rsidRDefault="001617F3" w:rsidP="00656312">
      <w:pPr>
        <w:ind w:right="-28"/>
        <w:rPr>
          <w:rFonts w:eastAsiaTheme="minorEastAsia" w:cs="Arial"/>
          <w:color w:val="000000" w:themeColor="text1"/>
          <w:lang w:val="es-ES_tradnl"/>
        </w:rPr>
      </w:pPr>
    </w:p>
    <w:p w14:paraId="4D32AFE2" w14:textId="48046BEB" w:rsidR="001617F3" w:rsidRPr="001F6EF8" w:rsidRDefault="001617F3" w:rsidP="001617F3">
      <w:pPr>
        <w:pStyle w:val="Prrafodelista"/>
        <w:numPr>
          <w:ilvl w:val="0"/>
          <w:numId w:val="33"/>
        </w:numPr>
        <w:ind w:right="-28"/>
        <w:rPr>
          <w:rFonts w:eastAsiaTheme="minorEastAsia" w:cs="Arial"/>
          <w:color w:val="000000" w:themeColor="text1"/>
          <w:lang w:val="es-ES_tradnl"/>
        </w:rPr>
      </w:pPr>
      <w:r w:rsidRPr="001F6EF8">
        <w:rPr>
          <w:rFonts w:eastAsiaTheme="minorEastAsia" w:cs="Arial"/>
          <w:color w:val="000000" w:themeColor="text1"/>
          <w:lang w:val="es-ES_tradnl"/>
        </w:rPr>
        <w:t>Que han existido 1,022 denuncias ciudadanas por maltrato animal;</w:t>
      </w:r>
    </w:p>
    <w:p w14:paraId="04A43656" w14:textId="6CACE56B" w:rsidR="001617F3" w:rsidRPr="001F6EF8" w:rsidRDefault="001617F3" w:rsidP="001617F3">
      <w:pPr>
        <w:pStyle w:val="Prrafodelista"/>
        <w:numPr>
          <w:ilvl w:val="0"/>
          <w:numId w:val="33"/>
        </w:numPr>
        <w:ind w:right="-28"/>
        <w:rPr>
          <w:rFonts w:eastAsiaTheme="minorEastAsia" w:cs="Arial"/>
          <w:color w:val="000000" w:themeColor="text1"/>
          <w:lang w:val="es-ES_tradnl"/>
        </w:rPr>
      </w:pPr>
      <w:r w:rsidRPr="001F6EF8">
        <w:rPr>
          <w:rFonts w:eastAsiaTheme="minorEastAsia" w:cs="Arial"/>
          <w:color w:val="000000" w:themeColor="text1"/>
          <w:lang w:val="es-ES_tradnl"/>
        </w:rPr>
        <w:t>Que en el municipio de Toluca existe el maltrato animal;</w:t>
      </w:r>
    </w:p>
    <w:p w14:paraId="3FEA2BEA" w14:textId="0E177629" w:rsidR="001617F3" w:rsidRPr="001F6EF8" w:rsidRDefault="001617F3" w:rsidP="001617F3">
      <w:pPr>
        <w:pStyle w:val="Prrafodelista"/>
        <w:numPr>
          <w:ilvl w:val="0"/>
          <w:numId w:val="33"/>
        </w:numPr>
        <w:ind w:right="-28"/>
        <w:rPr>
          <w:rFonts w:eastAsiaTheme="minorEastAsia" w:cs="Arial"/>
          <w:color w:val="000000" w:themeColor="text1"/>
          <w:lang w:val="es-ES_tradnl"/>
        </w:rPr>
      </w:pPr>
      <w:r w:rsidRPr="001F6EF8">
        <w:rPr>
          <w:rFonts w:eastAsiaTheme="minorEastAsia" w:cs="Arial"/>
          <w:color w:val="000000" w:themeColor="text1"/>
          <w:lang w:val="es-ES_tradnl"/>
        </w:rPr>
        <w:t>Que dentro del Plan de Desarrollo Municipal se tiene contemplado el compromiso de trabajar permanentemente en atención a las denuncias en materia de maltrato animal.</w:t>
      </w:r>
    </w:p>
    <w:p w14:paraId="4FBDB93A" w14:textId="77777777" w:rsidR="001617F3" w:rsidRPr="001F6EF8" w:rsidRDefault="001617F3" w:rsidP="001617F3">
      <w:pPr>
        <w:ind w:right="-28"/>
        <w:rPr>
          <w:rFonts w:eastAsiaTheme="minorEastAsia" w:cs="Arial"/>
          <w:color w:val="000000" w:themeColor="text1"/>
          <w:lang w:val="es-ES_tradnl"/>
        </w:rPr>
      </w:pPr>
    </w:p>
    <w:p w14:paraId="01BEEEDB" w14:textId="77777777" w:rsidR="001617F3" w:rsidRPr="001F6EF8" w:rsidRDefault="001617F3" w:rsidP="001617F3">
      <w:pPr>
        <w:ind w:right="-28"/>
        <w:rPr>
          <w:rFonts w:eastAsiaTheme="minorEastAsia" w:cs="Arial"/>
          <w:color w:val="000000" w:themeColor="text1"/>
          <w:lang w:val="es-ES_tradnl"/>
        </w:rPr>
      </w:pPr>
      <w:r w:rsidRPr="001F6EF8">
        <w:rPr>
          <w:rFonts w:eastAsiaTheme="minorEastAsia" w:cs="Arial"/>
          <w:color w:val="000000" w:themeColor="text1"/>
          <w:lang w:val="es-ES_tradnl"/>
        </w:rPr>
        <w:t xml:space="preserve">Por lo anterior, las manifestaciones vertidas en la respuesta, no son suficientes para dar por satisfecho el requerimiento demarcado con el precepto número 1, ya que una de las finalidades y planificación del Ayuntamiento es combatir el maltrato animal, a través de lo señalado en el </w:t>
      </w:r>
      <w:r w:rsidRPr="001F6EF8">
        <w:rPr>
          <w:rFonts w:eastAsiaTheme="minorEastAsia" w:cs="Arial"/>
          <w:color w:val="000000" w:themeColor="text1"/>
          <w:lang w:val="es-ES_tradnl"/>
        </w:rPr>
        <w:lastRenderedPageBreak/>
        <w:t xml:space="preserve">documento descrito con anterioridad. Por ende resulta dable ordenar al </w:t>
      </w:r>
      <w:r w:rsidRPr="001F6EF8">
        <w:rPr>
          <w:rFonts w:eastAsiaTheme="minorEastAsia" w:cs="Arial"/>
          <w:b/>
          <w:color w:val="000000" w:themeColor="text1"/>
          <w:lang w:val="es-ES_tradnl"/>
        </w:rPr>
        <w:t xml:space="preserve">SUJETO OBLIGADO </w:t>
      </w:r>
      <w:r w:rsidRPr="001F6EF8">
        <w:rPr>
          <w:rFonts w:eastAsiaTheme="minorEastAsia" w:cs="Arial"/>
          <w:color w:val="000000" w:themeColor="text1"/>
          <w:lang w:val="es-ES_tradnl"/>
        </w:rPr>
        <w:t>haga entrega de la información respectiva.</w:t>
      </w:r>
    </w:p>
    <w:p w14:paraId="1FEF1CBC" w14:textId="77777777" w:rsidR="001617F3" w:rsidRPr="001F6EF8" w:rsidRDefault="001617F3" w:rsidP="001617F3">
      <w:pPr>
        <w:ind w:right="-28"/>
        <w:rPr>
          <w:rFonts w:eastAsiaTheme="minorEastAsia" w:cs="Arial"/>
          <w:color w:val="000000" w:themeColor="text1"/>
          <w:lang w:val="es-ES_tradnl"/>
        </w:rPr>
      </w:pPr>
    </w:p>
    <w:p w14:paraId="45FA5158" w14:textId="77777777" w:rsidR="007034E0" w:rsidRPr="001F6EF8" w:rsidRDefault="001617F3" w:rsidP="001617F3">
      <w:pPr>
        <w:ind w:right="-28"/>
        <w:rPr>
          <w:rFonts w:eastAsiaTheme="minorEastAsia" w:cs="Arial"/>
          <w:color w:val="000000" w:themeColor="text1"/>
          <w:lang w:val="es-ES_tradnl"/>
        </w:rPr>
      </w:pPr>
      <w:r w:rsidRPr="001F6EF8">
        <w:rPr>
          <w:rFonts w:eastAsiaTheme="minorEastAsia" w:cs="Arial"/>
          <w:color w:val="000000" w:themeColor="text1"/>
          <w:lang w:val="es-ES_tradnl"/>
        </w:rPr>
        <w:t xml:space="preserve">Por otro lado, por cuanto hace al nombre de los servidores públicos que se encuentran adscritos al Centro de Control y Bienestar Animal, este dato por su propia naturaleza es público, ya que </w:t>
      </w:r>
      <w:r w:rsidR="007034E0" w:rsidRPr="001F6EF8">
        <w:rPr>
          <w:rFonts w:eastAsiaTheme="minorEastAsia" w:cs="Arial"/>
          <w:color w:val="000000" w:themeColor="text1"/>
          <w:lang w:val="es-ES_tradnl"/>
        </w:rPr>
        <w:t xml:space="preserve">el hecho de darlo a conocer no vulnera la privacidad de los particulares. Asimismo este requerimiento puede obrar, de manera enunciativa mas no limitativa, en el documento que da cuenta de las percepciones atribuibles a estos, documento que de igual forma fue requerido a través del ejercicio al derecho a la información pública, como lo es el recibo de nómina. </w:t>
      </w:r>
    </w:p>
    <w:p w14:paraId="7FF74D3D" w14:textId="77777777" w:rsidR="007034E0" w:rsidRPr="001F6EF8" w:rsidRDefault="007034E0" w:rsidP="001617F3">
      <w:pPr>
        <w:ind w:right="-28"/>
        <w:rPr>
          <w:rFonts w:eastAsiaTheme="minorEastAsia" w:cs="Arial"/>
          <w:color w:val="000000" w:themeColor="text1"/>
          <w:lang w:val="es-ES_tradnl"/>
        </w:rPr>
      </w:pPr>
    </w:p>
    <w:p w14:paraId="0E4305B4" w14:textId="77777777" w:rsidR="007034E0" w:rsidRPr="001F6EF8" w:rsidRDefault="007034E0" w:rsidP="007034E0">
      <w:pPr>
        <w:ind w:right="-28"/>
        <w:rPr>
          <w:rFonts w:cs="Arial"/>
          <w:szCs w:val="22"/>
        </w:rPr>
      </w:pPr>
      <w:r w:rsidRPr="001F6EF8">
        <w:rPr>
          <w:rFonts w:eastAsiaTheme="minorEastAsia" w:cs="Arial"/>
          <w:color w:val="000000" w:themeColor="text1"/>
          <w:lang w:val="es-ES_tradnl"/>
        </w:rPr>
        <w:t xml:space="preserve">Dada la naturaleza de la información solicitada, </w:t>
      </w:r>
      <w:r w:rsidRPr="001F6EF8">
        <w:rPr>
          <w:szCs w:val="22"/>
        </w:rPr>
        <w:t xml:space="preserve">este Órgano Garante estima conveniente referir </w:t>
      </w:r>
      <w:r w:rsidRPr="001F6EF8">
        <w:rPr>
          <w:rFonts w:cs="Arial"/>
          <w:szCs w:val="22"/>
          <w:lang w:val="es-419"/>
        </w:rPr>
        <w:t>e</w:t>
      </w:r>
      <w:r w:rsidRPr="001F6EF8">
        <w:rPr>
          <w:rFonts w:cs="Arial"/>
          <w:szCs w:val="22"/>
        </w:rPr>
        <w:t xml:space="preserve">l artículo 127 de la </w:t>
      </w:r>
      <w:r w:rsidRPr="001F6EF8">
        <w:rPr>
          <w:rFonts w:cs="Arial"/>
          <w:b/>
          <w:szCs w:val="22"/>
        </w:rPr>
        <w:t>Constitución Política de los Estados Unidos Mexicanos</w:t>
      </w:r>
      <w:r w:rsidRPr="001F6EF8">
        <w:rPr>
          <w:rFonts w:cs="Arial"/>
          <w:szCs w:val="22"/>
        </w:rPr>
        <w:t xml:space="preserve"> que establece:</w:t>
      </w:r>
    </w:p>
    <w:p w14:paraId="3C3E710E" w14:textId="77777777" w:rsidR="007034E0" w:rsidRPr="001F6EF8" w:rsidRDefault="007034E0" w:rsidP="007034E0">
      <w:pPr>
        <w:ind w:right="-28"/>
        <w:rPr>
          <w:rFonts w:cs="Arial"/>
          <w:szCs w:val="22"/>
        </w:rPr>
      </w:pPr>
    </w:p>
    <w:p w14:paraId="4283F56F" w14:textId="77777777" w:rsidR="007034E0" w:rsidRPr="001F6EF8" w:rsidRDefault="007034E0" w:rsidP="007034E0">
      <w:pPr>
        <w:pStyle w:val="Texto"/>
        <w:spacing w:after="0" w:line="240" w:lineRule="auto"/>
        <w:ind w:left="851" w:right="822" w:firstLine="0"/>
        <w:rPr>
          <w:rFonts w:ascii="Palatino Linotype" w:hAnsi="Palatino Linotype"/>
          <w:i/>
          <w:color w:val="000000"/>
          <w:sz w:val="22"/>
          <w:szCs w:val="22"/>
        </w:rPr>
      </w:pPr>
      <w:r w:rsidRPr="001F6EF8">
        <w:rPr>
          <w:rFonts w:ascii="Palatino Linotype" w:hAnsi="Palatino Linotype"/>
          <w:b/>
          <w:i/>
          <w:color w:val="000000"/>
          <w:sz w:val="22"/>
          <w:szCs w:val="22"/>
        </w:rPr>
        <w:t>Artículo 127.</w:t>
      </w:r>
      <w:r w:rsidRPr="001F6EF8">
        <w:rPr>
          <w:rFonts w:ascii="Palatino Linotype" w:hAnsi="Palatino Linotype"/>
          <w:i/>
          <w:color w:val="000000"/>
          <w:sz w:val="22"/>
          <w:szCs w:val="22"/>
        </w:rPr>
        <w:t xml:space="preserve"> Los servidores públicos de la Federación, de los Estados, del Distrito Federal </w:t>
      </w:r>
      <w:r w:rsidRPr="001F6EF8">
        <w:rPr>
          <w:rFonts w:ascii="Palatino Linotype" w:hAnsi="Palatino Linotype"/>
          <w:b/>
          <w:i/>
          <w:color w:val="000000"/>
          <w:sz w:val="22"/>
          <w:szCs w:val="22"/>
        </w:rPr>
        <w:t>y de los Municipios</w:t>
      </w:r>
      <w:r w:rsidRPr="001F6EF8">
        <w:rPr>
          <w:rFonts w:ascii="Palatino Linotype" w:hAnsi="Palatino Linotype"/>
          <w:i/>
          <w:color w:val="000000"/>
          <w:sz w:val="22"/>
          <w:szCs w:val="22"/>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5B6B8AE0" w14:textId="77777777" w:rsidR="007034E0" w:rsidRPr="001F6EF8" w:rsidRDefault="007034E0" w:rsidP="007034E0">
      <w:pPr>
        <w:pStyle w:val="Texto"/>
        <w:spacing w:after="0" w:line="240" w:lineRule="auto"/>
        <w:ind w:left="851" w:right="822" w:firstLine="0"/>
        <w:rPr>
          <w:rFonts w:ascii="Palatino Linotype" w:hAnsi="Palatino Linotype"/>
          <w:i/>
          <w:color w:val="000000"/>
          <w:sz w:val="22"/>
          <w:szCs w:val="22"/>
        </w:rPr>
      </w:pPr>
      <w:r w:rsidRPr="001F6EF8">
        <w:rPr>
          <w:rFonts w:ascii="Palatino Linotype" w:hAnsi="Palatino Linotype"/>
          <w:i/>
          <w:color w:val="000000"/>
          <w:sz w:val="22"/>
          <w:szCs w:val="22"/>
        </w:rPr>
        <w:t xml:space="preserve">Dicha remuneración será determinada anual y equitativamente </w:t>
      </w:r>
      <w:r w:rsidRPr="001F6EF8">
        <w:rPr>
          <w:rFonts w:ascii="Palatino Linotype" w:hAnsi="Palatino Linotype"/>
          <w:b/>
          <w:i/>
          <w:color w:val="000000"/>
          <w:sz w:val="22"/>
          <w:szCs w:val="22"/>
          <w:u w:val="single"/>
        </w:rPr>
        <w:t>en los presupuestos de egresos</w:t>
      </w:r>
      <w:r w:rsidRPr="001F6EF8">
        <w:rPr>
          <w:rFonts w:ascii="Palatino Linotype" w:hAnsi="Palatino Linotype"/>
          <w:i/>
          <w:color w:val="000000"/>
          <w:sz w:val="22"/>
          <w:szCs w:val="22"/>
        </w:rPr>
        <w:t xml:space="preserve"> correspondientes, bajo las siguientes bases:</w:t>
      </w:r>
    </w:p>
    <w:p w14:paraId="47BB8E43" w14:textId="77777777" w:rsidR="007034E0" w:rsidRPr="001F6EF8" w:rsidRDefault="007034E0" w:rsidP="007034E0">
      <w:pPr>
        <w:pStyle w:val="Texto"/>
        <w:spacing w:after="0" w:line="240" w:lineRule="auto"/>
        <w:ind w:left="851" w:right="822" w:firstLine="0"/>
        <w:rPr>
          <w:rFonts w:ascii="Palatino Linotype" w:hAnsi="Palatino Linotype"/>
          <w:b/>
          <w:i/>
          <w:sz w:val="22"/>
          <w:szCs w:val="22"/>
        </w:rPr>
      </w:pPr>
      <w:r w:rsidRPr="001F6EF8">
        <w:rPr>
          <w:rFonts w:ascii="Palatino Linotype" w:hAnsi="Palatino Linotype"/>
          <w:b/>
          <w:i/>
          <w:sz w:val="22"/>
          <w:szCs w:val="22"/>
        </w:rPr>
        <w:t>I.</w:t>
      </w:r>
      <w:r w:rsidRPr="001F6EF8">
        <w:rPr>
          <w:rFonts w:ascii="Palatino Linotype" w:hAnsi="Palatino Linotype"/>
          <w:i/>
          <w:sz w:val="22"/>
          <w:szCs w:val="22"/>
        </w:rPr>
        <w:t xml:space="preserve"> </w:t>
      </w:r>
      <w:r w:rsidRPr="001F6EF8">
        <w:rPr>
          <w:rFonts w:ascii="Palatino Linotype" w:hAnsi="Palatino Linotype"/>
          <w:i/>
          <w:sz w:val="22"/>
          <w:szCs w:val="22"/>
        </w:rPr>
        <w:tab/>
      </w:r>
      <w:r w:rsidRPr="001F6EF8">
        <w:rPr>
          <w:rFonts w:ascii="Palatino Linotype" w:hAnsi="Palatino Linotype"/>
          <w:b/>
          <w:i/>
          <w:sz w:val="22"/>
          <w:szCs w:val="22"/>
        </w:rPr>
        <w:t xml:space="preserve">Se considera remuneración o retribución toda percepción en efectivo o en especie, incluyendo dietas, </w:t>
      </w:r>
      <w:r w:rsidRPr="001F6EF8">
        <w:rPr>
          <w:rFonts w:ascii="Palatino Linotype" w:hAnsi="Palatino Linotype"/>
          <w:b/>
          <w:i/>
          <w:sz w:val="22"/>
          <w:szCs w:val="22"/>
          <w:u w:val="single"/>
        </w:rPr>
        <w:t>aguinaldos</w:t>
      </w:r>
      <w:r w:rsidRPr="001F6EF8">
        <w:rPr>
          <w:rFonts w:ascii="Palatino Linotype" w:hAnsi="Palatino Linotype"/>
          <w:b/>
          <w:i/>
          <w:sz w:val="22"/>
          <w:szCs w:val="22"/>
        </w:rPr>
        <w:t>, gratificaciones, premios, recompensas, bonos, estímulos, comisiones, compensaciones y cualquier otra, con excepción de los apoyos y los gastos sujetos a comprobación que sean propios del desarrollo del trabajo y los gastos de viaje en actividades oficiales.</w:t>
      </w:r>
    </w:p>
    <w:p w14:paraId="014D86D9" w14:textId="77777777" w:rsidR="007034E0" w:rsidRPr="001F6EF8" w:rsidRDefault="007034E0" w:rsidP="007034E0">
      <w:pPr>
        <w:pStyle w:val="Texto"/>
        <w:spacing w:after="0" w:line="240" w:lineRule="auto"/>
        <w:ind w:left="851" w:right="822" w:firstLine="0"/>
        <w:rPr>
          <w:rFonts w:ascii="Palatino Linotype" w:hAnsi="Palatino Linotype"/>
          <w:i/>
          <w:sz w:val="22"/>
          <w:szCs w:val="22"/>
        </w:rPr>
      </w:pPr>
      <w:r w:rsidRPr="001F6EF8">
        <w:rPr>
          <w:rFonts w:ascii="Palatino Linotype" w:hAnsi="Palatino Linotype"/>
          <w:b/>
          <w:i/>
          <w:sz w:val="22"/>
          <w:szCs w:val="22"/>
        </w:rPr>
        <w:t>(…)</w:t>
      </w:r>
    </w:p>
    <w:p w14:paraId="163AD288" w14:textId="77777777" w:rsidR="007034E0" w:rsidRPr="001F6EF8" w:rsidRDefault="007034E0" w:rsidP="007034E0">
      <w:pPr>
        <w:pStyle w:val="Texto"/>
        <w:spacing w:after="0" w:line="240" w:lineRule="auto"/>
        <w:ind w:left="851" w:right="822" w:firstLine="0"/>
        <w:rPr>
          <w:rFonts w:ascii="Palatino Linotype" w:hAnsi="Palatino Linotype"/>
          <w:b/>
          <w:i/>
          <w:sz w:val="22"/>
          <w:szCs w:val="22"/>
        </w:rPr>
      </w:pPr>
      <w:r w:rsidRPr="001F6EF8">
        <w:rPr>
          <w:rFonts w:ascii="Palatino Linotype" w:hAnsi="Palatino Linotype"/>
          <w:b/>
          <w:i/>
          <w:sz w:val="22"/>
          <w:szCs w:val="22"/>
        </w:rPr>
        <w:lastRenderedPageBreak/>
        <w:t>V.</w:t>
      </w:r>
      <w:r w:rsidRPr="001F6EF8">
        <w:rPr>
          <w:rFonts w:ascii="Palatino Linotype" w:hAnsi="Palatino Linotype"/>
          <w:i/>
          <w:sz w:val="22"/>
          <w:szCs w:val="22"/>
        </w:rPr>
        <w:t xml:space="preserve"> </w:t>
      </w:r>
      <w:r w:rsidRPr="001F6EF8">
        <w:rPr>
          <w:rFonts w:ascii="Palatino Linotype" w:hAnsi="Palatino Linotype"/>
          <w:i/>
          <w:sz w:val="22"/>
          <w:szCs w:val="22"/>
        </w:rPr>
        <w:tab/>
      </w:r>
      <w:r w:rsidRPr="001F6EF8">
        <w:rPr>
          <w:rFonts w:ascii="Palatino Linotype" w:hAnsi="Palatino Linotype"/>
          <w:b/>
          <w:i/>
          <w:sz w:val="22"/>
          <w:szCs w:val="22"/>
        </w:rPr>
        <w:t>Las remuneraciones y sus tabuladores serán públicos, y deberán especificar y diferenciar la totalidad de sus elementos fijos y variables tanto en efectivo como en especie.</w:t>
      </w:r>
    </w:p>
    <w:p w14:paraId="69AB5883" w14:textId="77777777" w:rsidR="007034E0" w:rsidRPr="001F6EF8" w:rsidRDefault="007034E0" w:rsidP="007034E0">
      <w:pPr>
        <w:pStyle w:val="Texto"/>
        <w:spacing w:after="0" w:line="240" w:lineRule="auto"/>
        <w:ind w:left="851" w:right="822" w:firstLine="0"/>
        <w:rPr>
          <w:rFonts w:eastAsiaTheme="minorEastAsia"/>
          <w:color w:val="000000" w:themeColor="text1"/>
          <w:lang w:val="es-ES_tradnl"/>
        </w:rPr>
      </w:pPr>
      <w:r w:rsidRPr="001F6EF8">
        <w:rPr>
          <w:rFonts w:ascii="Palatino Linotype" w:hAnsi="Palatino Linotype"/>
          <w:i/>
          <w:sz w:val="22"/>
          <w:szCs w:val="22"/>
        </w:rPr>
        <w:t>(…)</w:t>
      </w:r>
    </w:p>
    <w:p w14:paraId="6D6F8C44" w14:textId="77777777" w:rsidR="007034E0" w:rsidRPr="001F6EF8" w:rsidRDefault="007034E0" w:rsidP="007034E0">
      <w:pPr>
        <w:pStyle w:val="Prrafodelista"/>
        <w:ind w:left="0"/>
        <w:rPr>
          <w:rFonts w:cs="Arial"/>
          <w:szCs w:val="22"/>
        </w:rPr>
      </w:pPr>
    </w:p>
    <w:p w14:paraId="6B64F9CC" w14:textId="77777777" w:rsidR="007034E0" w:rsidRPr="001F6EF8" w:rsidRDefault="007034E0" w:rsidP="007034E0">
      <w:pPr>
        <w:pStyle w:val="Prrafodelista"/>
        <w:ind w:left="0"/>
        <w:rPr>
          <w:rFonts w:cs="Arial"/>
          <w:szCs w:val="22"/>
        </w:rPr>
      </w:pPr>
      <w:r w:rsidRPr="001F6EF8">
        <w:rPr>
          <w:rFonts w:cs="Arial"/>
          <w:szCs w:val="22"/>
        </w:rPr>
        <w:t xml:space="preserve">Aunado a ello el artículo 804 fracción II de la </w:t>
      </w:r>
      <w:r w:rsidRPr="001F6EF8">
        <w:rPr>
          <w:rFonts w:cs="Arial"/>
          <w:b/>
          <w:szCs w:val="22"/>
        </w:rPr>
        <w:t>Ley Federal de Trabajo</w:t>
      </w:r>
      <w:r w:rsidRPr="001F6EF8">
        <w:rPr>
          <w:rFonts w:cs="Arial"/>
          <w:szCs w:val="22"/>
        </w:rPr>
        <w:t>, refiere la obligación que tiene el patrón de conservar y exhibir en juicio entre otros documentos la nómina o recibos de pagos de salarios.</w:t>
      </w:r>
    </w:p>
    <w:p w14:paraId="1BCFF2EF" w14:textId="77777777" w:rsidR="007034E0" w:rsidRPr="001F6EF8" w:rsidRDefault="007034E0" w:rsidP="007034E0">
      <w:pPr>
        <w:pStyle w:val="Prrafodelista"/>
        <w:ind w:left="0"/>
        <w:rPr>
          <w:rFonts w:cs="Arial"/>
          <w:szCs w:val="22"/>
        </w:rPr>
      </w:pPr>
    </w:p>
    <w:p w14:paraId="13A77CFD" w14:textId="77777777" w:rsidR="007034E0" w:rsidRPr="001F6EF8" w:rsidRDefault="007034E0" w:rsidP="007034E0">
      <w:pPr>
        <w:pStyle w:val="Textosinformato"/>
        <w:tabs>
          <w:tab w:val="right" w:leader="dot" w:pos="8828"/>
        </w:tabs>
        <w:ind w:left="851" w:right="822"/>
        <w:jc w:val="both"/>
        <w:rPr>
          <w:rFonts w:ascii="Palatino Linotype" w:eastAsia="MS Mincho" w:hAnsi="Palatino Linotype" w:cs="Arial"/>
          <w:i/>
          <w:sz w:val="22"/>
          <w:szCs w:val="22"/>
        </w:rPr>
      </w:pPr>
      <w:r w:rsidRPr="001F6EF8">
        <w:rPr>
          <w:rFonts w:ascii="Palatino Linotype" w:eastAsia="MS Mincho" w:hAnsi="Palatino Linotype" w:cs="Arial"/>
          <w:b/>
          <w:bCs/>
          <w:i/>
          <w:sz w:val="22"/>
          <w:szCs w:val="22"/>
        </w:rPr>
        <w:t>Artículo 804.-</w:t>
      </w:r>
      <w:r w:rsidRPr="001F6EF8">
        <w:rPr>
          <w:rFonts w:ascii="Palatino Linotype" w:eastAsia="MS Mincho" w:hAnsi="Palatino Linotype" w:cs="Arial"/>
          <w:i/>
          <w:sz w:val="22"/>
          <w:szCs w:val="22"/>
        </w:rPr>
        <w:t xml:space="preserve"> El patrón tiene obligación de conservar y exhibir en juicio los documentos que a continuación se precisan:</w:t>
      </w:r>
    </w:p>
    <w:p w14:paraId="1B72B84D" w14:textId="77777777" w:rsidR="007034E0" w:rsidRPr="001F6EF8" w:rsidRDefault="007034E0" w:rsidP="007034E0">
      <w:pPr>
        <w:pStyle w:val="Textosinformato"/>
        <w:tabs>
          <w:tab w:val="right" w:leader="dot" w:pos="8828"/>
        </w:tabs>
        <w:ind w:left="851" w:right="822"/>
        <w:jc w:val="both"/>
        <w:rPr>
          <w:rFonts w:ascii="Palatino Linotype" w:eastAsia="MS Mincho" w:hAnsi="Palatino Linotype" w:cs="Arial"/>
          <w:i/>
          <w:sz w:val="22"/>
          <w:szCs w:val="22"/>
        </w:rPr>
      </w:pPr>
      <w:r w:rsidRPr="001F6EF8">
        <w:rPr>
          <w:rFonts w:ascii="Palatino Linotype" w:eastAsia="MS Mincho" w:hAnsi="Palatino Linotype" w:cs="Arial"/>
          <w:i/>
          <w:sz w:val="22"/>
          <w:szCs w:val="22"/>
        </w:rPr>
        <w:t>(…)</w:t>
      </w:r>
    </w:p>
    <w:p w14:paraId="1B1512E7" w14:textId="77777777" w:rsidR="007034E0" w:rsidRPr="001F6EF8" w:rsidRDefault="007034E0" w:rsidP="007034E0">
      <w:pPr>
        <w:pStyle w:val="Textosinformato"/>
        <w:tabs>
          <w:tab w:val="right" w:leader="dot" w:pos="8828"/>
        </w:tabs>
        <w:ind w:left="851" w:right="822"/>
        <w:jc w:val="both"/>
        <w:rPr>
          <w:rFonts w:eastAsiaTheme="minorEastAsia" w:cs="Arial"/>
          <w:color w:val="000000" w:themeColor="text1"/>
          <w:lang w:val="es-ES_tradnl"/>
        </w:rPr>
      </w:pPr>
      <w:r w:rsidRPr="001F6EF8">
        <w:rPr>
          <w:rFonts w:ascii="Palatino Linotype" w:eastAsia="MS Mincho" w:hAnsi="Palatino Linotype" w:cs="Arial"/>
          <w:b/>
          <w:i/>
          <w:sz w:val="22"/>
          <w:szCs w:val="22"/>
          <w:u w:val="single"/>
        </w:rPr>
        <w:t xml:space="preserve">Listas </w:t>
      </w:r>
      <w:r w:rsidRPr="001F6EF8">
        <w:rPr>
          <w:rFonts w:ascii="Palatino Linotype" w:eastAsia="MS Mincho" w:hAnsi="Palatino Linotype" w:cs="Arial"/>
          <w:i/>
          <w:sz w:val="22"/>
          <w:szCs w:val="22"/>
        </w:rPr>
        <w:t>de</w:t>
      </w:r>
      <w:r w:rsidRPr="001F6EF8">
        <w:rPr>
          <w:rFonts w:ascii="Palatino Linotype" w:eastAsia="MS Mincho" w:hAnsi="Palatino Linotype" w:cs="Arial"/>
          <w:b/>
          <w:i/>
          <w:sz w:val="22"/>
          <w:szCs w:val="22"/>
          <w:u w:val="single"/>
        </w:rPr>
        <w:t xml:space="preserve"> raya</w:t>
      </w:r>
      <w:r w:rsidRPr="001F6EF8">
        <w:rPr>
          <w:rFonts w:ascii="Palatino Linotype" w:eastAsia="MS Mincho" w:hAnsi="Palatino Linotype" w:cs="Arial"/>
          <w:b/>
          <w:i/>
          <w:sz w:val="22"/>
          <w:szCs w:val="22"/>
        </w:rPr>
        <w:t xml:space="preserve"> o nómina de personal, cuando se lleven en el centro de trabajo; </w:t>
      </w:r>
      <w:r w:rsidRPr="001F6EF8">
        <w:rPr>
          <w:rFonts w:ascii="Palatino Linotype" w:eastAsia="MS Mincho" w:hAnsi="Palatino Linotype" w:cs="Arial"/>
          <w:b/>
          <w:i/>
          <w:sz w:val="22"/>
          <w:szCs w:val="22"/>
          <w:u w:val="single"/>
        </w:rPr>
        <w:t>o recibos de pagos de salarios</w:t>
      </w:r>
      <w:r w:rsidRPr="001F6EF8">
        <w:rPr>
          <w:rFonts w:ascii="Palatino Linotype" w:eastAsia="MS Mincho" w:hAnsi="Palatino Linotype" w:cs="Arial"/>
          <w:i/>
          <w:sz w:val="22"/>
          <w:szCs w:val="22"/>
        </w:rPr>
        <w:t>;”</w:t>
      </w:r>
    </w:p>
    <w:p w14:paraId="1282F2D9" w14:textId="77777777" w:rsidR="007034E0" w:rsidRPr="001F6EF8" w:rsidRDefault="007034E0" w:rsidP="007034E0">
      <w:pPr>
        <w:ind w:right="-28"/>
        <w:rPr>
          <w:rFonts w:eastAsiaTheme="minorEastAsia" w:cs="Arial"/>
          <w:color w:val="000000" w:themeColor="text1"/>
          <w:lang w:val="es-ES_tradnl"/>
        </w:rPr>
      </w:pPr>
    </w:p>
    <w:p w14:paraId="44AB3AE2" w14:textId="77777777" w:rsidR="007034E0" w:rsidRPr="001F6EF8" w:rsidRDefault="007034E0" w:rsidP="007034E0">
      <w:pPr>
        <w:ind w:right="-28"/>
        <w:rPr>
          <w:rFonts w:cs="Arial"/>
          <w:szCs w:val="22"/>
        </w:rPr>
      </w:pPr>
      <w:r w:rsidRPr="001F6EF8">
        <w:rPr>
          <w:rFonts w:cs="Arial"/>
          <w:szCs w:val="22"/>
        </w:rPr>
        <w:t xml:space="preserve">En el mismo sentido, el </w:t>
      </w:r>
      <w:r w:rsidRPr="001F6EF8">
        <w:rPr>
          <w:rFonts w:cs="Arial"/>
          <w:bCs/>
          <w:szCs w:val="22"/>
        </w:rPr>
        <w:t xml:space="preserve">penúltimo párrafo del artículo 125 de la </w:t>
      </w:r>
      <w:r w:rsidRPr="001F6EF8">
        <w:rPr>
          <w:rFonts w:cs="Arial"/>
          <w:b/>
          <w:szCs w:val="22"/>
        </w:rPr>
        <w:t>Constitución Política del Estado Libre y Soberano de México</w:t>
      </w:r>
      <w:r w:rsidRPr="001F6EF8">
        <w:rPr>
          <w:rFonts w:cs="Arial"/>
          <w:szCs w:val="22"/>
        </w:rPr>
        <w:t>, señala que el presupuesto deberá incluir los tabuladores desglosados de las remuneraciones que perciban los servidores públicos municipales, sujetándose a lo dispuesto por el artículo 147 de la Constitución local.</w:t>
      </w:r>
    </w:p>
    <w:p w14:paraId="77FED7F3" w14:textId="77777777" w:rsidR="007034E0" w:rsidRPr="001F6EF8" w:rsidRDefault="007034E0" w:rsidP="007034E0">
      <w:pPr>
        <w:ind w:right="-28"/>
        <w:rPr>
          <w:rFonts w:cs="Arial"/>
          <w:szCs w:val="22"/>
        </w:rPr>
      </w:pPr>
    </w:p>
    <w:p w14:paraId="06AF7C0B" w14:textId="77777777" w:rsidR="007034E0" w:rsidRPr="001F6EF8" w:rsidRDefault="007034E0" w:rsidP="007034E0">
      <w:pPr>
        <w:pStyle w:val="Prrafodelista"/>
        <w:ind w:left="0"/>
        <w:rPr>
          <w:rFonts w:cs="Arial"/>
          <w:szCs w:val="22"/>
        </w:rPr>
      </w:pPr>
      <w:r w:rsidRPr="001F6EF8">
        <w:rPr>
          <w:rFonts w:cs="Arial"/>
          <w:szCs w:val="22"/>
        </w:rPr>
        <w:t xml:space="preserve">Por su parte, el artículo 147 de la </w:t>
      </w:r>
      <w:r w:rsidRPr="001F6EF8">
        <w:rPr>
          <w:rFonts w:cs="Arial"/>
          <w:b/>
          <w:szCs w:val="22"/>
        </w:rPr>
        <w:t>Constitución Política del Estado Libre y Soberano de México</w:t>
      </w:r>
      <w:r w:rsidRPr="001F6EF8">
        <w:rPr>
          <w:rFonts w:cs="Arial"/>
          <w:szCs w:val="22"/>
        </w:rPr>
        <w:t xml:space="preserve"> dispone en lo relativo a las remuneraciones de los servidores públicos estatales y municipales lo siguiente:</w:t>
      </w:r>
    </w:p>
    <w:p w14:paraId="153661BA" w14:textId="77777777" w:rsidR="007034E0" w:rsidRPr="001F6EF8" w:rsidRDefault="007034E0" w:rsidP="007034E0">
      <w:pPr>
        <w:pStyle w:val="Prrafodelista"/>
        <w:ind w:left="0"/>
        <w:rPr>
          <w:rFonts w:cs="Arial"/>
          <w:szCs w:val="22"/>
        </w:rPr>
      </w:pPr>
    </w:p>
    <w:p w14:paraId="624FEB18" w14:textId="77777777" w:rsidR="007034E0" w:rsidRPr="001F6EF8" w:rsidRDefault="007034E0" w:rsidP="007034E0">
      <w:pPr>
        <w:spacing w:line="240" w:lineRule="auto"/>
        <w:ind w:left="851" w:right="822"/>
        <w:rPr>
          <w:i/>
          <w:szCs w:val="22"/>
        </w:rPr>
      </w:pPr>
      <w:r w:rsidRPr="001F6EF8">
        <w:rPr>
          <w:b/>
          <w:i/>
          <w:szCs w:val="22"/>
        </w:rPr>
        <w:t>Artículo 147</w:t>
      </w:r>
      <w:r w:rsidRPr="001F6EF8">
        <w:rPr>
          <w:i/>
          <w:szCs w:val="22"/>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1F6EF8">
        <w:rPr>
          <w:b/>
          <w:i/>
          <w:szCs w:val="22"/>
          <w:u w:val="single"/>
        </w:rPr>
        <w:t>los miembros de los ayuntamientos</w:t>
      </w:r>
      <w:r w:rsidRPr="001F6EF8">
        <w:rPr>
          <w:i/>
          <w:szCs w:val="22"/>
        </w:rPr>
        <w:t xml:space="preserve"> </w:t>
      </w:r>
      <w:r w:rsidRPr="001F6EF8">
        <w:rPr>
          <w:b/>
          <w:i/>
          <w:szCs w:val="22"/>
          <w:u w:val="single"/>
        </w:rPr>
        <w:t>y demás servidores públicos municipales recibirán una retribución adecuada e irrenunciable</w:t>
      </w:r>
      <w:r w:rsidRPr="001F6EF8">
        <w:rPr>
          <w:i/>
          <w:szCs w:val="22"/>
        </w:rPr>
        <w:t xml:space="preserve"> por el desempeño de su empleo, cargo o comisión, que será determinada </w:t>
      </w:r>
      <w:r w:rsidRPr="001F6EF8">
        <w:rPr>
          <w:b/>
          <w:i/>
          <w:szCs w:val="22"/>
          <w:u w:val="single"/>
        </w:rPr>
        <w:t>en el presupuesto de egresos</w:t>
      </w:r>
      <w:r w:rsidRPr="001F6EF8">
        <w:rPr>
          <w:i/>
          <w:szCs w:val="22"/>
        </w:rPr>
        <w:t xml:space="preserve"> que corresponda. </w:t>
      </w:r>
      <w:r w:rsidRPr="001F6EF8">
        <w:rPr>
          <w:b/>
          <w:i/>
          <w:szCs w:val="22"/>
        </w:rPr>
        <w:t>Las remuneraciones</w:t>
      </w:r>
      <w:r w:rsidRPr="001F6EF8">
        <w:rPr>
          <w:i/>
          <w:szCs w:val="22"/>
        </w:rPr>
        <w:t xml:space="preserve"> </w:t>
      </w:r>
      <w:r w:rsidRPr="001F6EF8">
        <w:rPr>
          <w:i/>
          <w:szCs w:val="22"/>
        </w:rPr>
        <w:lastRenderedPageBreak/>
        <w:t xml:space="preserve">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1F6EF8">
        <w:rPr>
          <w:b/>
          <w:i/>
          <w:szCs w:val="22"/>
        </w:rPr>
        <w:t>La remuneración será determinada anual y equitativamente</w:t>
      </w:r>
      <w:r w:rsidRPr="001F6EF8">
        <w:rPr>
          <w:i/>
          <w:szCs w:val="22"/>
        </w:rPr>
        <w:t xml:space="preserve"> en el Presupuesto de Egresos correspondiente bajo las bases siguientes: </w:t>
      </w:r>
    </w:p>
    <w:p w14:paraId="2EFADF59" w14:textId="77777777" w:rsidR="007034E0" w:rsidRPr="001F6EF8" w:rsidRDefault="007034E0" w:rsidP="007034E0">
      <w:pPr>
        <w:pStyle w:val="Prrafodelista"/>
        <w:spacing w:line="240" w:lineRule="auto"/>
        <w:ind w:left="851" w:right="822"/>
        <w:rPr>
          <w:i/>
          <w:szCs w:val="22"/>
        </w:rPr>
      </w:pPr>
      <w:r w:rsidRPr="001F6EF8">
        <w:rPr>
          <w:i/>
          <w:szCs w:val="22"/>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695714D3" w14:textId="77777777" w:rsidR="007034E0" w:rsidRPr="001F6EF8" w:rsidRDefault="007034E0" w:rsidP="007034E0">
      <w:pPr>
        <w:pStyle w:val="Prrafodelista"/>
        <w:spacing w:line="240" w:lineRule="auto"/>
        <w:ind w:left="851" w:right="822"/>
        <w:rPr>
          <w:rFonts w:cs="Arial"/>
          <w:bCs/>
          <w:i/>
          <w:szCs w:val="22"/>
        </w:rPr>
      </w:pPr>
      <w:r w:rsidRPr="001F6EF8">
        <w:rPr>
          <w:rFonts w:cs="Arial"/>
          <w:bCs/>
          <w:i/>
          <w:szCs w:val="22"/>
        </w:rPr>
        <w:t>(…)</w:t>
      </w:r>
    </w:p>
    <w:p w14:paraId="4CC6C508" w14:textId="77777777" w:rsidR="007034E0" w:rsidRPr="001F6EF8" w:rsidRDefault="007034E0" w:rsidP="007034E0">
      <w:pPr>
        <w:pStyle w:val="Prrafodelista"/>
        <w:spacing w:line="240" w:lineRule="auto"/>
        <w:ind w:left="851" w:right="822"/>
        <w:rPr>
          <w:rFonts w:cs="Arial"/>
          <w:bCs/>
          <w:i/>
          <w:szCs w:val="22"/>
        </w:rPr>
      </w:pPr>
      <w:r w:rsidRPr="001F6EF8">
        <w:rPr>
          <w:i/>
          <w:szCs w:val="22"/>
        </w:rPr>
        <w:t xml:space="preserve">V. Las remuneraciones y sus tabuladores </w:t>
      </w:r>
      <w:r w:rsidRPr="001F6EF8">
        <w:rPr>
          <w:b/>
          <w:i/>
          <w:szCs w:val="22"/>
        </w:rPr>
        <w:t>serán públicos</w:t>
      </w:r>
      <w:r w:rsidRPr="001F6EF8">
        <w:rPr>
          <w:i/>
          <w:szCs w:val="22"/>
        </w:rPr>
        <w:t>, y deberán especificar y diferenciar la totalidad de sus elementos fijos y variables tanto en efectivo como en especie.</w:t>
      </w:r>
    </w:p>
    <w:p w14:paraId="0081B0B5" w14:textId="77777777" w:rsidR="007034E0" w:rsidRPr="001F6EF8" w:rsidRDefault="007034E0" w:rsidP="007034E0">
      <w:pPr>
        <w:pStyle w:val="Prrafodelista"/>
        <w:ind w:left="851"/>
        <w:rPr>
          <w:rFonts w:cs="Arial"/>
          <w:szCs w:val="22"/>
        </w:rPr>
      </w:pPr>
    </w:p>
    <w:p w14:paraId="0A64B958" w14:textId="77777777" w:rsidR="007034E0" w:rsidRPr="001F6EF8" w:rsidRDefault="007034E0" w:rsidP="007034E0">
      <w:pPr>
        <w:pStyle w:val="Prrafodelista"/>
        <w:ind w:left="0"/>
        <w:rPr>
          <w:rFonts w:cs="Arial"/>
          <w:szCs w:val="22"/>
        </w:rPr>
      </w:pPr>
      <w:r w:rsidRPr="001F6EF8">
        <w:rPr>
          <w:rFonts w:cs="Arial"/>
          <w:bCs/>
          <w:szCs w:val="22"/>
        </w:rPr>
        <w:t xml:space="preserve">Al respecto, el </w:t>
      </w:r>
      <w:r w:rsidRPr="001F6EF8">
        <w:rPr>
          <w:rFonts w:cs="Arial"/>
          <w:szCs w:val="22"/>
        </w:rPr>
        <w:t xml:space="preserve">artículo 3, fracción XXXII del </w:t>
      </w:r>
      <w:r w:rsidRPr="001F6EF8">
        <w:rPr>
          <w:rFonts w:cs="Arial"/>
          <w:b/>
          <w:szCs w:val="22"/>
        </w:rPr>
        <w:t xml:space="preserve">Código Financiero del Estado de México y Municipios </w:t>
      </w:r>
      <w:r w:rsidRPr="001F6EF8">
        <w:rPr>
          <w:rFonts w:cs="Arial"/>
          <w:szCs w:val="22"/>
        </w:rPr>
        <w:t>establece lo siguiente:</w:t>
      </w:r>
    </w:p>
    <w:p w14:paraId="5527112D" w14:textId="77777777" w:rsidR="007034E0" w:rsidRPr="001F6EF8" w:rsidRDefault="007034E0" w:rsidP="007034E0">
      <w:pPr>
        <w:pStyle w:val="Prrafodelista"/>
        <w:ind w:left="567" w:right="567"/>
        <w:rPr>
          <w:rFonts w:cs="Arial"/>
          <w:szCs w:val="22"/>
        </w:rPr>
      </w:pPr>
    </w:p>
    <w:p w14:paraId="56CAD722" w14:textId="77777777" w:rsidR="007034E0" w:rsidRPr="001F6EF8" w:rsidRDefault="007034E0" w:rsidP="007034E0">
      <w:pPr>
        <w:pStyle w:val="Prrafodelista"/>
        <w:tabs>
          <w:tab w:val="left" w:pos="8222"/>
        </w:tabs>
        <w:spacing w:line="240" w:lineRule="auto"/>
        <w:ind w:left="851" w:right="822"/>
        <w:rPr>
          <w:rFonts w:cs="Arial"/>
          <w:bCs/>
          <w:i/>
          <w:szCs w:val="22"/>
        </w:rPr>
      </w:pPr>
      <w:r w:rsidRPr="001F6EF8">
        <w:rPr>
          <w:rFonts w:cs="Arial"/>
          <w:b/>
          <w:bCs/>
          <w:i/>
          <w:szCs w:val="22"/>
        </w:rPr>
        <w:t>Artículo 3.-</w:t>
      </w:r>
      <w:r w:rsidRPr="001F6EF8">
        <w:rPr>
          <w:rFonts w:cs="Arial"/>
          <w:bCs/>
          <w:i/>
          <w:szCs w:val="22"/>
        </w:rPr>
        <w:t xml:space="preserve"> Para efectos de este Código, Ley de Ingresos del Estado y del Presupuesto de Egresos se entenderá por:</w:t>
      </w:r>
    </w:p>
    <w:p w14:paraId="3EAC052C" w14:textId="77777777" w:rsidR="007034E0" w:rsidRPr="001F6EF8" w:rsidRDefault="007034E0" w:rsidP="007034E0">
      <w:pPr>
        <w:pStyle w:val="Prrafodelista"/>
        <w:tabs>
          <w:tab w:val="left" w:pos="8222"/>
        </w:tabs>
        <w:spacing w:line="240" w:lineRule="auto"/>
        <w:ind w:left="851" w:right="822"/>
        <w:rPr>
          <w:rFonts w:cs="Arial"/>
          <w:bCs/>
          <w:i/>
          <w:szCs w:val="22"/>
        </w:rPr>
      </w:pPr>
      <w:r w:rsidRPr="001F6EF8">
        <w:rPr>
          <w:rFonts w:cs="Arial"/>
          <w:bCs/>
          <w:i/>
          <w:szCs w:val="22"/>
        </w:rPr>
        <w:t>(…)</w:t>
      </w:r>
    </w:p>
    <w:p w14:paraId="684F504F" w14:textId="77777777" w:rsidR="007034E0" w:rsidRPr="001F6EF8" w:rsidRDefault="007034E0" w:rsidP="007034E0">
      <w:pPr>
        <w:pStyle w:val="Prrafodelista"/>
        <w:tabs>
          <w:tab w:val="left" w:pos="8222"/>
        </w:tabs>
        <w:spacing w:line="240" w:lineRule="auto"/>
        <w:ind w:left="851" w:right="822"/>
        <w:rPr>
          <w:b/>
          <w:i/>
          <w:szCs w:val="22"/>
        </w:rPr>
      </w:pPr>
      <w:r w:rsidRPr="001F6EF8">
        <w:rPr>
          <w:b/>
          <w:i/>
          <w:szCs w:val="22"/>
        </w:rPr>
        <w:t xml:space="preserve">XXXII. Remuneración: A los pagos hechos por concepto de sueldo, compensaciones, gratificaciones, habitación, primas, comisiones, prestaciones en especie y </w:t>
      </w:r>
      <w:r w:rsidRPr="001F6EF8">
        <w:rPr>
          <w:b/>
          <w:i/>
          <w:szCs w:val="22"/>
          <w:u w:val="single"/>
        </w:rPr>
        <w:t>cualquier otra percepción o prestación que se entregue al servidor público por su trabajo</w:t>
      </w:r>
      <w:r w:rsidRPr="001F6EF8">
        <w:rPr>
          <w:b/>
          <w:i/>
          <w:szCs w:val="22"/>
        </w:rPr>
        <w:t>. Esta definición no será aplicable para los efectos del Impuesto sobre Erogaciones por Remuneraciones al Trabajo Personal;</w:t>
      </w:r>
    </w:p>
    <w:p w14:paraId="45C8D30C" w14:textId="77777777" w:rsidR="007034E0" w:rsidRPr="001F6EF8" w:rsidRDefault="007034E0" w:rsidP="007034E0">
      <w:pPr>
        <w:pStyle w:val="Prrafodelista"/>
        <w:tabs>
          <w:tab w:val="left" w:pos="8222"/>
        </w:tabs>
        <w:spacing w:line="240" w:lineRule="auto"/>
        <w:ind w:left="851" w:right="822"/>
        <w:rPr>
          <w:b/>
          <w:i/>
          <w:szCs w:val="22"/>
        </w:rPr>
      </w:pPr>
      <w:r w:rsidRPr="001F6EF8">
        <w:rPr>
          <w:b/>
          <w:i/>
          <w:szCs w:val="22"/>
        </w:rPr>
        <w:t>(…)</w:t>
      </w:r>
    </w:p>
    <w:p w14:paraId="44553FDC" w14:textId="77777777" w:rsidR="007034E0" w:rsidRPr="001F6EF8" w:rsidRDefault="007034E0" w:rsidP="007034E0">
      <w:pPr>
        <w:pStyle w:val="Prrafodelista"/>
        <w:ind w:left="0"/>
        <w:rPr>
          <w:rFonts w:cs="Arial"/>
          <w:szCs w:val="22"/>
        </w:rPr>
      </w:pPr>
    </w:p>
    <w:p w14:paraId="157FC639" w14:textId="77777777" w:rsidR="007034E0" w:rsidRPr="001F6EF8" w:rsidRDefault="007034E0" w:rsidP="007034E0">
      <w:pPr>
        <w:pStyle w:val="Prrafodelista"/>
        <w:ind w:left="0"/>
        <w:rPr>
          <w:rFonts w:cs="Arial"/>
          <w:szCs w:val="22"/>
        </w:rPr>
      </w:pPr>
      <w:r w:rsidRPr="001F6EF8">
        <w:rPr>
          <w:rFonts w:cs="Arial"/>
          <w:szCs w:val="22"/>
        </w:rPr>
        <w:t xml:space="preserve">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entre las </w:t>
      </w:r>
      <w:r w:rsidRPr="001F6EF8">
        <w:rPr>
          <w:rFonts w:cs="Arial"/>
          <w:szCs w:val="22"/>
        </w:rPr>
        <w:lastRenderedPageBreak/>
        <w:t>que se encuentra el aguinaldo; remuneraciones que según el texto constitucional serán públicas.</w:t>
      </w:r>
    </w:p>
    <w:p w14:paraId="61E43061" w14:textId="77777777" w:rsidR="007034E0" w:rsidRPr="001F6EF8" w:rsidRDefault="007034E0" w:rsidP="007034E0">
      <w:pPr>
        <w:pStyle w:val="Prrafodelista"/>
        <w:ind w:left="0"/>
        <w:rPr>
          <w:rFonts w:cs="Arial"/>
          <w:szCs w:val="22"/>
        </w:rPr>
      </w:pPr>
    </w:p>
    <w:p w14:paraId="0A20D182" w14:textId="77777777" w:rsidR="007034E0" w:rsidRPr="001F6EF8" w:rsidRDefault="007034E0" w:rsidP="007034E0">
      <w:pPr>
        <w:pStyle w:val="Prrafodelista"/>
        <w:ind w:left="0"/>
        <w:rPr>
          <w:rFonts w:cs="Arial"/>
          <w:szCs w:val="22"/>
        </w:rPr>
      </w:pPr>
      <w:r w:rsidRPr="001F6EF8">
        <w:rPr>
          <w:rFonts w:cs="Arial"/>
          <w:szCs w:val="22"/>
        </w:rPr>
        <w:t xml:space="preserve">Así mismo, la </w:t>
      </w:r>
      <w:r w:rsidRPr="001F6EF8">
        <w:rPr>
          <w:rFonts w:cs="Arial"/>
          <w:b/>
          <w:szCs w:val="22"/>
        </w:rPr>
        <w:t>Ley del Trabajo de los Servidores Públicos del Estado y Municipios</w:t>
      </w:r>
      <w:r w:rsidRPr="001F6EF8">
        <w:rPr>
          <w:rFonts w:cs="Arial"/>
          <w:szCs w:val="22"/>
        </w:rPr>
        <w:t>, en su artículo 220-K fracciones II y IV y último párrafo, establecen lo siguiente:</w:t>
      </w:r>
    </w:p>
    <w:p w14:paraId="28121AA8" w14:textId="77777777" w:rsidR="007034E0" w:rsidRPr="001F6EF8" w:rsidRDefault="007034E0" w:rsidP="007034E0">
      <w:pPr>
        <w:pStyle w:val="Prrafodelista"/>
        <w:ind w:left="0"/>
        <w:rPr>
          <w:rFonts w:cs="Arial"/>
          <w:szCs w:val="22"/>
        </w:rPr>
      </w:pPr>
    </w:p>
    <w:p w14:paraId="59955BDF" w14:textId="77777777" w:rsidR="007034E0" w:rsidRPr="001F6EF8" w:rsidRDefault="007034E0" w:rsidP="007034E0">
      <w:pPr>
        <w:spacing w:line="240" w:lineRule="auto"/>
        <w:ind w:left="851" w:right="822"/>
        <w:rPr>
          <w:bCs/>
          <w:i/>
          <w:szCs w:val="22"/>
        </w:rPr>
      </w:pPr>
      <w:r w:rsidRPr="001F6EF8">
        <w:rPr>
          <w:b/>
          <w:bCs/>
          <w:i/>
          <w:szCs w:val="22"/>
        </w:rPr>
        <w:t>ARTÍCULO 220 K.-</w:t>
      </w:r>
      <w:r w:rsidRPr="001F6EF8">
        <w:rPr>
          <w:bCs/>
          <w:i/>
          <w:szCs w:val="22"/>
        </w:rPr>
        <w:t xml:space="preserve"> La institución o dependencia pública tiene la obligación de conservar y exhibir en el proceso los documentos que a continuación se precisan:</w:t>
      </w:r>
    </w:p>
    <w:p w14:paraId="51F266BB" w14:textId="77777777" w:rsidR="007034E0" w:rsidRPr="001F6EF8" w:rsidRDefault="007034E0" w:rsidP="007034E0">
      <w:pPr>
        <w:spacing w:line="240" w:lineRule="auto"/>
        <w:ind w:left="851" w:right="822"/>
        <w:rPr>
          <w:bCs/>
          <w:i/>
          <w:szCs w:val="22"/>
        </w:rPr>
      </w:pPr>
      <w:r w:rsidRPr="001F6EF8">
        <w:rPr>
          <w:b/>
          <w:bCs/>
          <w:i/>
          <w:szCs w:val="22"/>
        </w:rPr>
        <w:t>II.</w:t>
      </w:r>
      <w:r w:rsidRPr="001F6EF8">
        <w:rPr>
          <w:bCs/>
          <w:i/>
          <w:szCs w:val="22"/>
        </w:rPr>
        <w:t xml:space="preserve"> </w:t>
      </w:r>
      <w:r w:rsidRPr="001F6EF8">
        <w:rPr>
          <w:b/>
          <w:bCs/>
          <w:i/>
          <w:szCs w:val="22"/>
        </w:rPr>
        <w:t>Recibos de pagos de salarios</w:t>
      </w:r>
      <w:r w:rsidRPr="001F6EF8">
        <w:rPr>
          <w:bCs/>
          <w:i/>
          <w:szCs w:val="22"/>
        </w:rPr>
        <w:t xml:space="preserve"> o las constancias documentales del pago de salario cuando sea por depósito o mediante información electrónica;</w:t>
      </w:r>
    </w:p>
    <w:p w14:paraId="5B5C0347" w14:textId="77777777" w:rsidR="007034E0" w:rsidRPr="001F6EF8" w:rsidRDefault="007034E0" w:rsidP="007034E0">
      <w:pPr>
        <w:spacing w:line="240" w:lineRule="auto"/>
        <w:ind w:left="851" w:right="822"/>
        <w:rPr>
          <w:b/>
          <w:bCs/>
          <w:i/>
          <w:szCs w:val="22"/>
        </w:rPr>
      </w:pPr>
      <w:r w:rsidRPr="001F6EF8">
        <w:rPr>
          <w:b/>
          <w:bCs/>
          <w:i/>
          <w:szCs w:val="22"/>
        </w:rPr>
        <w:t>(…)</w:t>
      </w:r>
    </w:p>
    <w:p w14:paraId="73F6917B" w14:textId="77777777" w:rsidR="007034E0" w:rsidRPr="001F6EF8" w:rsidRDefault="007034E0" w:rsidP="007034E0">
      <w:pPr>
        <w:spacing w:line="240" w:lineRule="auto"/>
        <w:ind w:left="851" w:right="822"/>
        <w:rPr>
          <w:b/>
          <w:bCs/>
          <w:i/>
          <w:szCs w:val="22"/>
        </w:rPr>
      </w:pPr>
      <w:r w:rsidRPr="001F6EF8">
        <w:rPr>
          <w:b/>
          <w:bCs/>
          <w:i/>
          <w:szCs w:val="22"/>
        </w:rPr>
        <w:t>IV.</w:t>
      </w:r>
      <w:r w:rsidRPr="001F6EF8">
        <w:rPr>
          <w:bCs/>
          <w:i/>
          <w:szCs w:val="22"/>
        </w:rPr>
        <w:t xml:space="preserve"> </w:t>
      </w:r>
      <w:r w:rsidRPr="001F6EF8">
        <w:rPr>
          <w:b/>
          <w:bCs/>
          <w:i/>
          <w:szCs w:val="22"/>
        </w:rPr>
        <w:t xml:space="preserve">Recibos o las constancias de depósito o del medio de información magnética o electrónica que sean utilizadas para el pago de salarios, prima vacacional, </w:t>
      </w:r>
      <w:r w:rsidRPr="001F6EF8">
        <w:rPr>
          <w:b/>
          <w:bCs/>
          <w:i/>
          <w:szCs w:val="22"/>
          <w:u w:val="single"/>
        </w:rPr>
        <w:t>aguinaldo</w:t>
      </w:r>
      <w:r w:rsidRPr="001F6EF8">
        <w:rPr>
          <w:b/>
          <w:bCs/>
          <w:i/>
          <w:szCs w:val="22"/>
        </w:rPr>
        <w:t xml:space="preserve"> y demás prestaciones establecidas en la presente ley; y</w:t>
      </w:r>
    </w:p>
    <w:p w14:paraId="553821F4" w14:textId="77777777" w:rsidR="007034E0" w:rsidRPr="001F6EF8" w:rsidRDefault="007034E0" w:rsidP="007034E0">
      <w:pPr>
        <w:pStyle w:val="Prrafodelista"/>
        <w:spacing w:line="240" w:lineRule="auto"/>
        <w:ind w:left="851" w:right="822"/>
        <w:rPr>
          <w:bCs/>
          <w:i/>
          <w:szCs w:val="22"/>
        </w:rPr>
      </w:pPr>
      <w:r w:rsidRPr="001F6EF8">
        <w:rPr>
          <w:b/>
          <w:bCs/>
          <w:i/>
          <w:szCs w:val="22"/>
        </w:rPr>
        <w:t>Los documentos señalados en la fracción I de este artículo, deberán conservarse mientras dure la relación laboral y hasta un año después;</w:t>
      </w:r>
      <w:r w:rsidRPr="001F6EF8">
        <w:rPr>
          <w:bCs/>
          <w:i/>
          <w:szCs w:val="22"/>
        </w:rPr>
        <w:t xml:space="preserve"> los señalados por las fracciones II, III, IV durante el último año y un año después de que se extinga la relación laboral, y los mencionados en la fracción V, conforme lo señalen las leyes que los rijan.</w:t>
      </w:r>
    </w:p>
    <w:p w14:paraId="657B7AA9" w14:textId="77777777" w:rsidR="007034E0" w:rsidRPr="001F6EF8" w:rsidRDefault="007034E0" w:rsidP="007034E0">
      <w:pPr>
        <w:pStyle w:val="Prrafodelista"/>
        <w:spacing w:line="240" w:lineRule="auto"/>
        <w:ind w:left="851" w:right="822"/>
        <w:rPr>
          <w:bCs/>
          <w:i/>
          <w:szCs w:val="22"/>
        </w:rPr>
      </w:pPr>
      <w:r w:rsidRPr="001F6EF8">
        <w:rPr>
          <w:b/>
          <w:bCs/>
          <w:i/>
          <w:szCs w:val="22"/>
        </w:rPr>
        <w:t>Los documentos y constancias aquí señalados, la institución o dependencia</w:t>
      </w:r>
      <w:r w:rsidRPr="001F6EF8">
        <w:rPr>
          <w:b/>
          <w:bCs/>
          <w:i/>
          <w:szCs w:val="22"/>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1F6EF8">
        <w:rPr>
          <w:bCs/>
          <w:i/>
          <w:szCs w:val="22"/>
        </w:rPr>
        <w:t>, harán prueba plena.</w:t>
      </w:r>
    </w:p>
    <w:p w14:paraId="4D1D8A3F" w14:textId="77777777" w:rsidR="007034E0" w:rsidRPr="001F6EF8" w:rsidRDefault="007034E0" w:rsidP="007034E0">
      <w:pPr>
        <w:pStyle w:val="Prrafodelista"/>
        <w:spacing w:line="240" w:lineRule="auto"/>
        <w:ind w:left="851" w:right="822"/>
        <w:rPr>
          <w:bCs/>
          <w:i/>
          <w:szCs w:val="22"/>
        </w:rPr>
      </w:pPr>
      <w:r w:rsidRPr="001F6EF8">
        <w:rPr>
          <w:bCs/>
          <w:i/>
          <w:szCs w:val="22"/>
        </w:rPr>
        <w:t>El incumplimiento por lo dispuesto por este artículo, establecerá la presunción de ser ciertos los hechos que el actor exprese en su demanda, en relación con tales documentos, salvo prueba en contrario.</w:t>
      </w:r>
    </w:p>
    <w:p w14:paraId="014D7F76" w14:textId="77777777" w:rsidR="007034E0" w:rsidRPr="001F6EF8" w:rsidRDefault="007034E0" w:rsidP="007034E0">
      <w:pPr>
        <w:pStyle w:val="Prrafodelista"/>
        <w:ind w:left="851"/>
        <w:rPr>
          <w:rFonts w:cs="Arial"/>
          <w:szCs w:val="22"/>
        </w:rPr>
      </w:pPr>
    </w:p>
    <w:p w14:paraId="151F8CEA" w14:textId="77777777" w:rsidR="007034E0" w:rsidRPr="001F6EF8" w:rsidRDefault="007034E0" w:rsidP="007034E0">
      <w:pPr>
        <w:pStyle w:val="Prrafodelista"/>
        <w:ind w:left="0"/>
        <w:rPr>
          <w:rFonts w:cs="Arial"/>
          <w:szCs w:val="22"/>
        </w:rPr>
      </w:pPr>
      <w:r w:rsidRPr="001F6EF8">
        <w:rPr>
          <w:rFonts w:cs="Arial"/>
          <w:szCs w:val="22"/>
        </w:rPr>
        <w:t xml:space="preserve">De lo anterior, se advierte que toda institución pública o dependencia pública del Estado de México debe conservar las constancias de pago </w:t>
      </w:r>
      <w:r w:rsidRPr="001F6EF8">
        <w:rPr>
          <w:rFonts w:cs="Arial"/>
          <w:szCs w:val="22"/>
          <w:u w:val="single"/>
        </w:rPr>
        <w:t>de salarios</w:t>
      </w:r>
      <w:r w:rsidRPr="001F6EF8">
        <w:rPr>
          <w:rFonts w:cs="Arial"/>
          <w:szCs w:val="22"/>
        </w:rPr>
        <w:t xml:space="preserve">, prima vacacional, </w:t>
      </w:r>
      <w:r w:rsidRPr="001F6EF8">
        <w:rPr>
          <w:rFonts w:cs="Arial"/>
          <w:szCs w:val="22"/>
          <w:u w:val="single"/>
        </w:rPr>
        <w:t xml:space="preserve">aguinaldo </w:t>
      </w:r>
      <w:r w:rsidRPr="001F6EF8">
        <w:rPr>
          <w:rFonts w:cs="Arial"/>
          <w:szCs w:val="22"/>
        </w:rPr>
        <w:t xml:space="preserve">y demás prestaciones legales de acuerdo con la forma en que se haya realizado el pago; así como, los recibos de pago por honorarios; es decir, en efectivo, cheque, depósito, transferencia u otra, </w:t>
      </w:r>
      <w:r w:rsidRPr="001F6EF8">
        <w:rPr>
          <w:rFonts w:cs="Arial"/>
          <w:szCs w:val="22"/>
        </w:rPr>
        <w:lastRenderedPageBreak/>
        <w:t>debiendo conservar dicha documentación durante el último año y un año después de que se extingue la relación laboral a través de los sistemas de digitalización o de información magnética o electrónica.</w:t>
      </w:r>
    </w:p>
    <w:p w14:paraId="766DA594" w14:textId="77777777" w:rsidR="007034E0" w:rsidRPr="001F6EF8" w:rsidRDefault="007034E0" w:rsidP="007034E0">
      <w:pPr>
        <w:pStyle w:val="Prrafodelista"/>
        <w:ind w:left="0"/>
        <w:rPr>
          <w:rFonts w:cs="Arial"/>
          <w:szCs w:val="22"/>
        </w:rPr>
      </w:pPr>
    </w:p>
    <w:p w14:paraId="6776096D" w14:textId="77777777" w:rsidR="007034E0" w:rsidRPr="001F6EF8" w:rsidRDefault="007034E0" w:rsidP="007034E0">
      <w:pPr>
        <w:pStyle w:val="Prrafodelista"/>
        <w:ind w:left="0"/>
        <w:rPr>
          <w:rFonts w:cs="Arial"/>
          <w:szCs w:val="22"/>
        </w:rPr>
      </w:pPr>
      <w:r w:rsidRPr="001F6EF8">
        <w:rPr>
          <w:rFonts w:cs="Arial"/>
          <w:szCs w:val="22"/>
        </w:rPr>
        <w:t xml:space="preserve">Ahora bien, el artículo 92, fracción VIII de la </w:t>
      </w:r>
      <w:r w:rsidRPr="001F6EF8">
        <w:rPr>
          <w:rFonts w:cs="Arial"/>
          <w:b/>
          <w:szCs w:val="22"/>
        </w:rPr>
        <w:t>Ley de Transparencia y Acceso a la Información Pública del Estado de México y Municipios</w:t>
      </w:r>
      <w:r w:rsidRPr="001F6EF8">
        <w:rPr>
          <w:rFonts w:cs="Arial"/>
          <w:szCs w:val="22"/>
        </w:rPr>
        <w:t>, señala:</w:t>
      </w:r>
    </w:p>
    <w:p w14:paraId="365476FC" w14:textId="77777777" w:rsidR="007034E0" w:rsidRPr="001F6EF8" w:rsidRDefault="007034E0" w:rsidP="007034E0">
      <w:pPr>
        <w:pStyle w:val="Prrafodelista"/>
        <w:ind w:left="0"/>
        <w:rPr>
          <w:rFonts w:cs="Arial"/>
          <w:szCs w:val="22"/>
        </w:rPr>
      </w:pPr>
    </w:p>
    <w:p w14:paraId="616579F6" w14:textId="77777777" w:rsidR="007034E0" w:rsidRPr="001F6EF8" w:rsidRDefault="007034E0" w:rsidP="007034E0">
      <w:pPr>
        <w:spacing w:line="240" w:lineRule="auto"/>
        <w:ind w:left="851" w:right="822"/>
        <w:rPr>
          <w:i/>
          <w:szCs w:val="22"/>
        </w:rPr>
      </w:pPr>
      <w:r w:rsidRPr="001F6EF8">
        <w:rPr>
          <w:b/>
          <w:i/>
          <w:szCs w:val="22"/>
        </w:rPr>
        <w:t>Artículo 92.</w:t>
      </w:r>
      <w:r w:rsidRPr="001F6EF8">
        <w:rPr>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D04B919" w14:textId="77777777" w:rsidR="007034E0" w:rsidRPr="001F6EF8" w:rsidRDefault="007034E0" w:rsidP="007034E0">
      <w:pPr>
        <w:spacing w:line="240" w:lineRule="auto"/>
        <w:ind w:left="851" w:right="822"/>
        <w:rPr>
          <w:i/>
          <w:szCs w:val="22"/>
        </w:rPr>
      </w:pPr>
      <w:r w:rsidRPr="001F6EF8">
        <w:rPr>
          <w:i/>
          <w:szCs w:val="22"/>
        </w:rPr>
        <w:t>(…)</w:t>
      </w:r>
    </w:p>
    <w:p w14:paraId="093DA8AF" w14:textId="77777777" w:rsidR="007034E0" w:rsidRPr="001F6EF8" w:rsidRDefault="007034E0" w:rsidP="007034E0">
      <w:pPr>
        <w:spacing w:line="240" w:lineRule="auto"/>
        <w:ind w:left="851" w:right="822"/>
        <w:rPr>
          <w:i/>
          <w:szCs w:val="22"/>
        </w:rPr>
      </w:pPr>
      <w:r w:rsidRPr="001F6EF8">
        <w:rPr>
          <w:i/>
          <w:szCs w:val="22"/>
        </w:rPr>
        <w:t>VIII</w:t>
      </w:r>
      <w:r w:rsidRPr="001F6EF8">
        <w:rPr>
          <w:b/>
          <w:i/>
          <w:szCs w:val="22"/>
        </w:rPr>
        <w:t>. La remuneración bruta y neta de todos los servidores públicos</w:t>
      </w:r>
      <w:r w:rsidRPr="001F6EF8">
        <w:rPr>
          <w:i/>
          <w:szCs w:val="22"/>
        </w:rPr>
        <w:t xml:space="preserve"> de base o de confianza, de todas las percepciones, incluyendo sueldos, prestaciones, gratificaciones, primas, comisiones, dietas, bonos, estímulos, ingresos y sistemas de compensación, señalando la periodicidad de dicha remuneración;</w:t>
      </w:r>
    </w:p>
    <w:p w14:paraId="1D7D08AF" w14:textId="77777777" w:rsidR="007034E0" w:rsidRPr="001F6EF8" w:rsidRDefault="007034E0" w:rsidP="007034E0">
      <w:pPr>
        <w:rPr>
          <w:rFonts w:cs="Arial"/>
          <w:szCs w:val="22"/>
        </w:rPr>
      </w:pPr>
    </w:p>
    <w:p w14:paraId="60C2E382" w14:textId="77777777" w:rsidR="007034E0" w:rsidRPr="001F6EF8" w:rsidRDefault="007034E0" w:rsidP="007034E0">
      <w:pPr>
        <w:pStyle w:val="Prrafodelista"/>
        <w:ind w:left="0"/>
        <w:rPr>
          <w:rFonts w:cs="Arial"/>
          <w:szCs w:val="22"/>
        </w:rPr>
      </w:pPr>
      <w:r w:rsidRPr="001F6EF8">
        <w:rPr>
          <w:rFonts w:cs="Arial"/>
          <w:szCs w:val="22"/>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1F6EF8">
        <w:rPr>
          <w:rFonts w:cs="Arial"/>
          <w:b/>
          <w:szCs w:val="22"/>
          <w:u w:val="single"/>
        </w:rPr>
        <w:t>las remuneraciones</w:t>
      </w:r>
      <w:r w:rsidRPr="001F6EF8">
        <w:rPr>
          <w:rFonts w:cs="Arial"/>
          <w:szCs w:val="22"/>
        </w:rPr>
        <w:t xml:space="preserve"> que perciban los servidores públicos de acuerdo con lo establecido en el </w:t>
      </w:r>
      <w:r w:rsidRPr="001F6EF8">
        <w:rPr>
          <w:rFonts w:cs="Arial"/>
          <w:b/>
          <w:szCs w:val="22"/>
        </w:rPr>
        <w:t>Código Financiero del Estado de México y Municipios</w:t>
      </w:r>
      <w:r w:rsidRPr="001F6EF8">
        <w:rPr>
          <w:rFonts w:cs="Arial"/>
          <w:szCs w:val="22"/>
        </w:rPr>
        <w:t xml:space="preserve">. </w:t>
      </w:r>
    </w:p>
    <w:p w14:paraId="2F9EEC70" w14:textId="77777777" w:rsidR="007034E0" w:rsidRPr="001F6EF8" w:rsidRDefault="007034E0" w:rsidP="007034E0">
      <w:pPr>
        <w:rPr>
          <w:rFonts w:eastAsia="Palatino Linotype" w:cs="Palatino Linotype"/>
          <w:szCs w:val="22"/>
        </w:rPr>
      </w:pPr>
    </w:p>
    <w:p w14:paraId="7EE141FA" w14:textId="77777777" w:rsidR="007034E0" w:rsidRPr="001F6EF8" w:rsidRDefault="007034E0" w:rsidP="007034E0">
      <w:pPr>
        <w:pStyle w:val="Prrafodelista"/>
        <w:spacing w:after="240"/>
        <w:ind w:left="0"/>
        <w:rPr>
          <w:rFonts w:eastAsia="Palatino Linotype" w:cs="Palatino Linotype"/>
          <w:szCs w:val="22"/>
        </w:rPr>
      </w:pPr>
      <w:r w:rsidRPr="001F6EF8">
        <w:rPr>
          <w:rFonts w:eastAsia="Palatino Linotype" w:cs="Palatino Linotype"/>
          <w:szCs w:val="22"/>
        </w:rPr>
        <w:t xml:space="preserve">Sirve de sustento por analogía, para justificar la publicidad sobre los datos relativos a los montos por concepto de pago de las remuneraciones, los criterios </w:t>
      </w:r>
      <w:r w:rsidRPr="001F6EF8">
        <w:rPr>
          <w:rFonts w:eastAsia="Palatino Linotype" w:cs="Palatino Linotype"/>
          <w:b/>
          <w:szCs w:val="22"/>
        </w:rPr>
        <w:t>01/2003</w:t>
      </w:r>
      <w:r w:rsidRPr="001F6EF8">
        <w:rPr>
          <w:rFonts w:eastAsia="Palatino Linotype" w:cs="Palatino Linotype"/>
          <w:szCs w:val="22"/>
        </w:rPr>
        <w:t xml:space="preserve"> y </w:t>
      </w:r>
      <w:r w:rsidRPr="001F6EF8">
        <w:rPr>
          <w:rFonts w:eastAsia="Palatino Linotype" w:cs="Palatino Linotype"/>
          <w:b/>
          <w:szCs w:val="22"/>
        </w:rPr>
        <w:t>02/2003</w:t>
      </w:r>
      <w:r w:rsidRPr="001F6EF8">
        <w:rPr>
          <w:rFonts w:eastAsia="Palatino Linotype" w:cs="Palatino Linotype"/>
          <w:szCs w:val="22"/>
        </w:rPr>
        <w:t xml:space="preserve"> emitidos por el Comité de Acceso a la Información Pública y Protección de Datos Personales de la Suprema Corte de Justicia de la Nación que a continuación se citan: </w:t>
      </w:r>
    </w:p>
    <w:p w14:paraId="22AD03FD" w14:textId="77777777" w:rsidR="007034E0" w:rsidRPr="001F6EF8" w:rsidRDefault="007034E0" w:rsidP="007034E0">
      <w:pPr>
        <w:tabs>
          <w:tab w:val="left" w:pos="8222"/>
        </w:tabs>
        <w:spacing w:line="240" w:lineRule="auto"/>
        <w:ind w:left="851" w:right="851"/>
        <w:rPr>
          <w:rFonts w:eastAsia="Palatino Linotype" w:cs="Palatino Linotype"/>
          <w:b/>
          <w:i/>
          <w:szCs w:val="22"/>
        </w:rPr>
      </w:pPr>
      <w:r w:rsidRPr="001F6EF8">
        <w:rPr>
          <w:rFonts w:eastAsia="Palatino Linotype" w:cs="Palatino Linotype"/>
          <w:b/>
          <w:i/>
          <w:szCs w:val="22"/>
        </w:rPr>
        <w:t>“Criterio 01/2003.</w:t>
      </w:r>
    </w:p>
    <w:p w14:paraId="627ED79A" w14:textId="77777777" w:rsidR="007034E0" w:rsidRPr="001F6EF8" w:rsidRDefault="007034E0" w:rsidP="007034E0">
      <w:pPr>
        <w:tabs>
          <w:tab w:val="left" w:pos="8222"/>
        </w:tabs>
        <w:spacing w:line="240" w:lineRule="auto"/>
        <w:ind w:left="851" w:right="851"/>
        <w:rPr>
          <w:rFonts w:eastAsia="Palatino Linotype" w:cs="Palatino Linotype"/>
          <w:i/>
          <w:szCs w:val="22"/>
        </w:rPr>
      </w:pPr>
      <w:r w:rsidRPr="001F6EF8">
        <w:rPr>
          <w:rFonts w:eastAsia="Palatino Linotype" w:cs="Palatino Linotype"/>
          <w:b/>
          <w:i/>
          <w:szCs w:val="22"/>
        </w:rPr>
        <w:lastRenderedPageBreak/>
        <w:t>INGRESOS DE LOS SERVIDORES PÚBLICOS. CONSTITUYEN INFORMACIÓN PÚBLICA AÚN Y CUANDO SU DIFUSIÓN PUEDE AFECTAR LA VIDA O LA SEGURIDAD DE AQUELLOS.</w:t>
      </w:r>
      <w:r w:rsidRPr="001F6EF8">
        <w:rPr>
          <w:rFonts w:eastAsia="Palatino Linotype" w:cs="Palatino Linotype"/>
          <w:i/>
          <w:szCs w:val="22"/>
        </w:rPr>
        <w:t xml:space="preserve"> </w:t>
      </w:r>
    </w:p>
    <w:p w14:paraId="37220EDB" w14:textId="77777777" w:rsidR="007034E0" w:rsidRPr="001F6EF8" w:rsidRDefault="007034E0" w:rsidP="007034E0">
      <w:pPr>
        <w:tabs>
          <w:tab w:val="left" w:pos="8222"/>
        </w:tabs>
        <w:spacing w:line="240" w:lineRule="auto"/>
        <w:ind w:left="851" w:right="851"/>
        <w:rPr>
          <w:rFonts w:eastAsia="Palatino Linotype" w:cs="Palatino Linotype"/>
          <w:i/>
          <w:szCs w:val="22"/>
          <w:u w:val="single"/>
        </w:rPr>
      </w:pPr>
      <w:r w:rsidRPr="001F6EF8">
        <w:rPr>
          <w:rFonts w:eastAsia="Palatino Linotype" w:cs="Palatino Linotype"/>
          <w:i/>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F6EF8">
        <w:rPr>
          <w:rFonts w:eastAsia="Palatino Linotype" w:cs="Palatino Linotype"/>
          <w:b/>
          <w:i/>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F6EF8">
        <w:rPr>
          <w:rFonts w:eastAsia="Palatino Linotype" w:cs="Palatino Linotype"/>
          <w:i/>
          <w:szCs w:val="22"/>
          <w:u w:val="single"/>
        </w:rPr>
        <w:t>…”</w:t>
      </w:r>
    </w:p>
    <w:p w14:paraId="30A0AE38" w14:textId="77777777" w:rsidR="007034E0" w:rsidRPr="001F6EF8" w:rsidRDefault="007034E0" w:rsidP="007034E0">
      <w:pPr>
        <w:tabs>
          <w:tab w:val="left" w:pos="8222"/>
        </w:tabs>
        <w:spacing w:line="240" w:lineRule="auto"/>
        <w:ind w:left="851" w:right="851"/>
        <w:rPr>
          <w:rFonts w:eastAsia="Palatino Linotype" w:cs="Palatino Linotype"/>
          <w:i/>
          <w:szCs w:val="22"/>
        </w:rPr>
      </w:pPr>
    </w:p>
    <w:p w14:paraId="1F4858D6" w14:textId="77777777" w:rsidR="007034E0" w:rsidRPr="001F6EF8" w:rsidRDefault="007034E0" w:rsidP="007034E0">
      <w:pPr>
        <w:tabs>
          <w:tab w:val="left" w:pos="8222"/>
        </w:tabs>
        <w:spacing w:line="240" w:lineRule="auto"/>
        <w:ind w:left="851" w:right="851"/>
        <w:rPr>
          <w:rFonts w:eastAsia="Palatino Linotype" w:cs="Palatino Linotype"/>
          <w:b/>
          <w:i/>
          <w:szCs w:val="22"/>
        </w:rPr>
      </w:pPr>
      <w:r w:rsidRPr="001F6EF8">
        <w:rPr>
          <w:rFonts w:eastAsia="Palatino Linotype" w:cs="Palatino Linotype"/>
          <w:b/>
          <w:i/>
          <w:szCs w:val="22"/>
        </w:rPr>
        <w:t>“Criterio 02/2003.</w:t>
      </w:r>
    </w:p>
    <w:p w14:paraId="3584CFF3" w14:textId="77777777" w:rsidR="007034E0" w:rsidRPr="001F6EF8" w:rsidRDefault="007034E0" w:rsidP="007034E0">
      <w:pPr>
        <w:tabs>
          <w:tab w:val="left" w:pos="8222"/>
        </w:tabs>
        <w:spacing w:line="240" w:lineRule="auto"/>
        <w:ind w:left="851" w:right="851"/>
        <w:rPr>
          <w:rFonts w:eastAsia="Palatino Linotype" w:cs="Palatino Linotype"/>
          <w:i/>
          <w:szCs w:val="22"/>
        </w:rPr>
      </w:pPr>
      <w:r w:rsidRPr="001F6EF8">
        <w:rPr>
          <w:rFonts w:eastAsia="Palatino Linotype" w:cs="Palatino Linotype"/>
          <w:b/>
          <w:i/>
          <w:szCs w:val="22"/>
        </w:rPr>
        <w:t>INGRESOS DE LOS SERVIDORES PÚBLICOS, SON INFORMACIÓN PÚBLICA AÚN Y CUANDO CONSTITUYEN DATOS PERSONALES QUE SE REFIEREN AL PATRIMONIO DE AQUÉLLOS.</w:t>
      </w:r>
      <w:r w:rsidRPr="001F6EF8">
        <w:rPr>
          <w:rFonts w:eastAsia="Palatino Linotype" w:cs="Palatino Linotype"/>
          <w:i/>
          <w:szCs w:val="22"/>
        </w:rPr>
        <w:t xml:space="preserve"> </w:t>
      </w:r>
    </w:p>
    <w:p w14:paraId="351CB5A0" w14:textId="432A7EAF" w:rsidR="001617F3" w:rsidRPr="001F6EF8" w:rsidRDefault="007034E0" w:rsidP="007034E0">
      <w:pPr>
        <w:tabs>
          <w:tab w:val="left" w:pos="8222"/>
        </w:tabs>
        <w:spacing w:line="240" w:lineRule="auto"/>
        <w:ind w:left="851" w:right="851"/>
        <w:rPr>
          <w:rFonts w:eastAsiaTheme="minorEastAsia" w:cs="Arial"/>
          <w:color w:val="000000" w:themeColor="text1"/>
          <w:lang w:val="es-ES_tradnl"/>
        </w:rPr>
      </w:pPr>
      <w:r w:rsidRPr="001F6EF8">
        <w:rPr>
          <w:rFonts w:eastAsia="Palatino Linotype" w:cs="Palatino Linotype"/>
          <w:i/>
          <w:szCs w:val="22"/>
        </w:rPr>
        <w:t>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 (Sic)</w:t>
      </w:r>
      <w:r w:rsidR="001617F3" w:rsidRPr="001F6EF8">
        <w:rPr>
          <w:rFonts w:eastAsiaTheme="minorEastAsia" w:cs="Arial"/>
          <w:color w:val="000000" w:themeColor="text1"/>
          <w:lang w:val="es-ES_tradnl"/>
        </w:rPr>
        <w:t xml:space="preserve"> </w:t>
      </w:r>
    </w:p>
    <w:p w14:paraId="050E8D9C" w14:textId="77777777" w:rsidR="001617F3" w:rsidRPr="001F6EF8" w:rsidRDefault="001617F3" w:rsidP="00656312">
      <w:pPr>
        <w:ind w:right="-28"/>
        <w:rPr>
          <w:rFonts w:eastAsiaTheme="minorEastAsia" w:cs="Arial"/>
          <w:color w:val="000000" w:themeColor="text1"/>
          <w:lang w:val="es-ES_tradnl"/>
        </w:rPr>
      </w:pPr>
    </w:p>
    <w:p w14:paraId="74C52FE3" w14:textId="54A469B4" w:rsidR="007034E0" w:rsidRPr="001F6EF8" w:rsidRDefault="007034E0" w:rsidP="00656312">
      <w:pPr>
        <w:ind w:right="-28"/>
        <w:rPr>
          <w:rFonts w:eastAsiaTheme="minorEastAsia" w:cs="Arial"/>
          <w:color w:val="000000" w:themeColor="text1"/>
          <w:lang w:val="es-ES_tradnl"/>
        </w:rPr>
      </w:pPr>
      <w:r w:rsidRPr="001F6EF8">
        <w:rPr>
          <w:rFonts w:eastAsiaTheme="minorEastAsia" w:cs="Arial"/>
          <w:color w:val="000000" w:themeColor="text1"/>
          <w:lang w:val="es-ES_tradnl"/>
        </w:rPr>
        <w:t xml:space="preserve">Atento a lo anterior, es posible visualizar que la remuneración de los servidores públicos, como lo establece dicha denominación es pública, ya que fortalece la rendición de cuentas y la manera de ejercer el recurso público otorgado a las dependencias, en este caso, municipales, </w:t>
      </w:r>
      <w:r w:rsidRPr="001F6EF8">
        <w:rPr>
          <w:rFonts w:eastAsiaTheme="minorEastAsia" w:cs="Arial"/>
          <w:color w:val="000000" w:themeColor="text1"/>
          <w:lang w:val="es-ES_tradnl"/>
        </w:rPr>
        <w:lastRenderedPageBreak/>
        <w:t xml:space="preserve">por ello, resulta inaplicable clasificar en su totalidad como confidencial o reservada el documento consistente en los recibos de nómina del personal adscrito al Centro de Control y Bienestar Animal, </w:t>
      </w:r>
      <w:r w:rsidR="00D1122E" w:rsidRPr="001F6EF8">
        <w:rPr>
          <w:rFonts w:eastAsiaTheme="minorEastAsia" w:cs="Arial"/>
          <w:color w:val="000000" w:themeColor="text1"/>
          <w:lang w:val="es-ES_tradnl"/>
        </w:rPr>
        <w:t xml:space="preserve">servidores públicos que no desempeñan funciones en materia de seguridad o relacionados. </w:t>
      </w:r>
    </w:p>
    <w:p w14:paraId="65BFEEB7" w14:textId="77777777" w:rsidR="00CE0D99" w:rsidRPr="001F6EF8" w:rsidRDefault="00CE0D99" w:rsidP="00656312">
      <w:pPr>
        <w:ind w:right="-28"/>
        <w:rPr>
          <w:rFonts w:eastAsiaTheme="minorEastAsia" w:cs="Arial"/>
          <w:color w:val="000000" w:themeColor="text1"/>
          <w:lang w:val="es-ES_tradnl"/>
        </w:rPr>
      </w:pPr>
    </w:p>
    <w:p w14:paraId="55AF8D89" w14:textId="098EF228" w:rsidR="00CE0D99" w:rsidRPr="001F6EF8" w:rsidRDefault="00CE0D99" w:rsidP="00CE0D99">
      <w:pPr>
        <w:ind w:right="-28"/>
        <w:rPr>
          <w:rFonts w:cs="Arial"/>
          <w:color w:val="000000" w:themeColor="text1"/>
        </w:rPr>
      </w:pPr>
      <w:r w:rsidRPr="001F6EF8">
        <w:rPr>
          <w:rFonts w:eastAsiaTheme="minorEastAsia" w:cs="Arial"/>
          <w:color w:val="000000" w:themeColor="text1"/>
          <w:lang w:val="es-ES_tradnl"/>
        </w:rPr>
        <w:t xml:space="preserve">Por otro lado, respecto al requerimiento realizado por </w:t>
      </w:r>
      <w:r w:rsidRPr="001F6EF8">
        <w:rPr>
          <w:rFonts w:eastAsiaTheme="minorEastAsia" w:cs="Arial"/>
          <w:b/>
          <w:color w:val="000000" w:themeColor="text1"/>
          <w:lang w:val="es-ES_tradnl"/>
        </w:rPr>
        <w:t xml:space="preserve">LA PARTE RECURRENTE </w:t>
      </w:r>
      <w:r w:rsidRPr="001F6EF8">
        <w:rPr>
          <w:rFonts w:eastAsiaTheme="minorEastAsia" w:cs="Arial"/>
          <w:color w:val="000000" w:themeColor="text1"/>
          <w:lang w:val="es-ES_tradnl"/>
        </w:rPr>
        <w:t xml:space="preserve">relacionado con el </w:t>
      </w:r>
      <w:r w:rsidRPr="001F6EF8">
        <w:rPr>
          <w:rFonts w:eastAsiaTheme="minorEastAsia" w:cs="Arial"/>
          <w:b/>
          <w:color w:val="000000" w:themeColor="text1"/>
          <w:lang w:val="es-ES_tradnl"/>
        </w:rPr>
        <w:t xml:space="preserve">currículum vitae, </w:t>
      </w:r>
      <w:r w:rsidRPr="001F6EF8">
        <w:rPr>
          <w:rFonts w:eastAsia="Calibri" w:cs="Calibri"/>
          <w:bCs/>
          <w:color w:val="000000" w:themeColor="text1"/>
          <w:lang w:eastAsia="en-US"/>
        </w:rPr>
        <w:t xml:space="preserve">es importante referir que éste corresponde a </w:t>
      </w:r>
      <w:r w:rsidRPr="001F6EF8">
        <w:rPr>
          <w:rFonts w:cs="Arial"/>
          <w:color w:val="000000" w:themeColor="text1"/>
        </w:rPr>
        <w:t>una locución latina que literalmente significa “carrera de la vida”, y que la Real Academia Española de la Lengua</w:t>
      </w:r>
      <w:r w:rsidRPr="001F6EF8">
        <w:rPr>
          <w:rStyle w:val="Refdenotaalpie"/>
          <w:rFonts w:cs="Arial"/>
          <w:color w:val="000000" w:themeColor="text1"/>
        </w:rPr>
        <w:footnoteReference w:id="2"/>
      </w:r>
      <w:r w:rsidRPr="001F6EF8">
        <w:rPr>
          <w:rFonts w:cs="Arial"/>
          <w:color w:val="000000" w:themeColor="text1"/>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4AD5B13D" w14:textId="77777777" w:rsidR="00CE0D99" w:rsidRPr="001F6EF8" w:rsidRDefault="00CE0D99" w:rsidP="00CE0D99">
      <w:pPr>
        <w:rPr>
          <w:color w:val="000000" w:themeColor="text1"/>
          <w:lang w:eastAsia="es-MX"/>
        </w:rPr>
      </w:pPr>
    </w:p>
    <w:p w14:paraId="02FD3D4B" w14:textId="77777777" w:rsidR="00CE0D99" w:rsidRPr="001F6EF8" w:rsidRDefault="00CE0D99" w:rsidP="00CE0D99">
      <w:pPr>
        <w:rPr>
          <w:rFonts w:eastAsia="Arial Unicode MS" w:cs="Arial"/>
          <w:color w:val="000000" w:themeColor="text1"/>
          <w:lang w:val="es-ES"/>
        </w:rPr>
      </w:pPr>
      <w:r w:rsidRPr="001F6EF8">
        <w:rPr>
          <w:rFonts w:eastAsiaTheme="minorEastAsia" w:cs="Arial"/>
          <w:color w:val="000000" w:themeColor="text1"/>
          <w:lang w:val="es-ES_tradnl"/>
        </w:rPr>
        <w:t xml:space="preserve">Asimismo, es necesario subrayar que no existe norma jurídica que obligue a presentar su currículum ante la institución pública en la que prestan sus servicios; esto es, </w:t>
      </w:r>
      <w:r w:rsidRPr="001F6EF8">
        <w:rPr>
          <w:rFonts w:eastAsiaTheme="minorEastAsia" w:cs="Arial"/>
          <w:b/>
          <w:color w:val="000000" w:themeColor="text1"/>
          <w:lang w:val="es-ES_tradnl"/>
        </w:rPr>
        <w:t>que no constituye un requisito indispensable para desempeñar un empleo, cargo o comisión en la administración pública</w:t>
      </w:r>
      <w:r w:rsidRPr="001F6EF8">
        <w:rPr>
          <w:rFonts w:eastAsiaTheme="minorEastAsia" w:cs="Arial"/>
          <w:color w:val="000000" w:themeColor="text1"/>
          <w:lang w:val="es-ES_tradnl"/>
        </w:rPr>
        <w:t xml:space="preserve">; sin embargo, para el caso de que </w:t>
      </w:r>
      <w:r w:rsidRPr="001F6EF8">
        <w:rPr>
          <w:rFonts w:eastAsiaTheme="minorEastAsia" w:cs="Arial"/>
          <w:b/>
          <w:color w:val="000000" w:themeColor="text1"/>
          <w:lang w:val="es-ES_tradnl"/>
        </w:rPr>
        <w:t>EL SUJETO OBLIGADO</w:t>
      </w:r>
      <w:r w:rsidRPr="001F6EF8">
        <w:rPr>
          <w:rFonts w:cs="Arial"/>
          <w:noProof/>
          <w:color w:val="000000" w:themeColor="text1"/>
          <w:lang w:eastAsia="es-MX"/>
        </w:rPr>
        <w:t xml:space="preserve">, no posea o administre el currículum del servidor público solicitado por </w:t>
      </w:r>
      <w:r w:rsidRPr="001F6EF8">
        <w:rPr>
          <w:rFonts w:cs="Arial"/>
          <w:b/>
          <w:noProof/>
          <w:color w:val="000000" w:themeColor="text1"/>
          <w:lang w:eastAsia="es-MX"/>
        </w:rPr>
        <w:t>LA RECURRENTE</w:t>
      </w:r>
      <w:r w:rsidRPr="001F6EF8">
        <w:rPr>
          <w:rFonts w:cs="Arial"/>
          <w:noProof/>
          <w:color w:val="000000" w:themeColor="text1"/>
          <w:lang w:eastAsia="es-MX"/>
        </w:rPr>
        <w:t>, sí debe poseer y administrar el documento análogo</w:t>
      </w:r>
      <w:r w:rsidRPr="001F6EF8">
        <w:rPr>
          <w:rFonts w:eastAsia="Arial Unicode MS" w:cs="Arial"/>
          <w:color w:val="000000" w:themeColor="text1"/>
          <w:lang w:val="es-ES"/>
        </w:rPr>
        <w:t>.</w:t>
      </w:r>
    </w:p>
    <w:p w14:paraId="48250857" w14:textId="77777777" w:rsidR="00CE0D99" w:rsidRPr="001F6EF8" w:rsidRDefault="00CE0D99" w:rsidP="00CE0D99">
      <w:pPr>
        <w:autoSpaceDE w:val="0"/>
        <w:autoSpaceDN w:val="0"/>
        <w:adjustRightInd w:val="0"/>
        <w:rPr>
          <w:rFonts w:eastAsia="Arial Unicode MS" w:cs="Arial"/>
          <w:color w:val="000000" w:themeColor="text1"/>
          <w:lang w:val="es-ES"/>
        </w:rPr>
      </w:pPr>
    </w:p>
    <w:p w14:paraId="4FBDBDE2" w14:textId="77777777" w:rsidR="00CE0D99" w:rsidRPr="001F6EF8" w:rsidRDefault="00CE0D99" w:rsidP="00CE0D99">
      <w:pPr>
        <w:autoSpaceDE w:val="0"/>
        <w:autoSpaceDN w:val="0"/>
        <w:adjustRightInd w:val="0"/>
        <w:rPr>
          <w:rFonts w:eastAsia="Arial Unicode MS" w:cs="Arial"/>
          <w:color w:val="000000" w:themeColor="text1"/>
          <w:lang w:val="es-ES"/>
        </w:rPr>
      </w:pPr>
      <w:r w:rsidRPr="001F6EF8">
        <w:rPr>
          <w:rFonts w:cs="Arial"/>
          <w:noProof/>
          <w:color w:val="000000" w:themeColor="text1"/>
          <w:lang w:eastAsia="es-MX"/>
        </w:rPr>
        <w:t xml:space="preserve">Bajo estas condiciones, es importante </w:t>
      </w:r>
      <w:r w:rsidRPr="001F6EF8">
        <w:rPr>
          <w:rFonts w:eastAsia="Arial Unicode MS" w:cs="Arial"/>
          <w:color w:val="000000" w:themeColor="text1"/>
          <w:lang w:val="es-ES"/>
        </w:rPr>
        <w:t>citar el artículo 47, fracción I de la Ley del Trabajo de los Servidores Públicos del Estado de México y Municipios, que prevé:</w:t>
      </w:r>
    </w:p>
    <w:p w14:paraId="3D2A747F" w14:textId="77777777" w:rsidR="00CE0D99" w:rsidRPr="001F6EF8" w:rsidRDefault="00CE0D99" w:rsidP="00CE0D99">
      <w:pPr>
        <w:autoSpaceDE w:val="0"/>
        <w:autoSpaceDN w:val="0"/>
        <w:adjustRightInd w:val="0"/>
        <w:rPr>
          <w:rFonts w:eastAsia="Arial Unicode MS" w:cs="Arial"/>
          <w:color w:val="000000" w:themeColor="text1"/>
          <w:lang w:val="es-ES"/>
        </w:rPr>
      </w:pPr>
    </w:p>
    <w:p w14:paraId="20C40D79" w14:textId="77777777" w:rsidR="00CE0D99" w:rsidRPr="001F6EF8" w:rsidRDefault="00CE0D99" w:rsidP="00CE0D99">
      <w:pPr>
        <w:pStyle w:val="Puesto"/>
        <w:rPr>
          <w:lang w:val="es-ES"/>
        </w:rPr>
      </w:pPr>
      <w:r w:rsidRPr="001F6EF8">
        <w:rPr>
          <w:b/>
          <w:lang w:val="es-ES"/>
        </w:rPr>
        <w:t>“ARTÍCULO 47.</w:t>
      </w:r>
      <w:r w:rsidRPr="001F6EF8">
        <w:rPr>
          <w:lang w:val="es-ES"/>
        </w:rPr>
        <w:t xml:space="preserve"> Para ingresar al servicio público se requiere: </w:t>
      </w:r>
    </w:p>
    <w:p w14:paraId="1C458C90" w14:textId="77777777" w:rsidR="00CE0D99" w:rsidRPr="001F6EF8" w:rsidRDefault="00CE0D99" w:rsidP="00CE0D99">
      <w:pPr>
        <w:pStyle w:val="Puesto"/>
        <w:rPr>
          <w:lang w:val="es-ES"/>
        </w:rPr>
      </w:pPr>
      <w:r w:rsidRPr="001F6EF8">
        <w:rPr>
          <w:b/>
          <w:lang w:val="es-ES"/>
        </w:rPr>
        <w:lastRenderedPageBreak/>
        <w:t>I.</w:t>
      </w:r>
      <w:r w:rsidRPr="001F6EF8">
        <w:rPr>
          <w:lang w:val="es-ES"/>
        </w:rPr>
        <w:t xml:space="preserve"> Presentar una solicitud utilizando la forma oficial que se autorice por la institución pública o dependencia correspondiente; </w:t>
      </w:r>
    </w:p>
    <w:p w14:paraId="332E2D3B" w14:textId="77777777" w:rsidR="00CE0D99" w:rsidRPr="001F6EF8" w:rsidRDefault="00CE0D99" w:rsidP="00CE0D99">
      <w:pPr>
        <w:pStyle w:val="Puesto"/>
        <w:rPr>
          <w:lang w:val="es-ES"/>
        </w:rPr>
      </w:pPr>
      <w:r w:rsidRPr="001F6EF8">
        <w:rPr>
          <w:lang w:val="es-ES"/>
        </w:rPr>
        <w:t>(...)”</w:t>
      </w:r>
    </w:p>
    <w:p w14:paraId="0D89FDC3" w14:textId="77777777" w:rsidR="00CE0D99" w:rsidRPr="001F6EF8" w:rsidRDefault="00CE0D99" w:rsidP="00CE0D99">
      <w:pPr>
        <w:pStyle w:val="Puesto"/>
        <w:rPr>
          <w:lang w:val="es-ES"/>
        </w:rPr>
      </w:pPr>
      <w:r w:rsidRPr="001F6EF8">
        <w:rPr>
          <w:lang w:val="es-ES"/>
        </w:rPr>
        <w:t>(Énfasis añadido.)</w:t>
      </w:r>
    </w:p>
    <w:p w14:paraId="01D8E6B4" w14:textId="77777777" w:rsidR="00CE0D99" w:rsidRPr="001F6EF8" w:rsidRDefault="00CE0D99" w:rsidP="00CE0D99">
      <w:pPr>
        <w:widowControl w:val="0"/>
        <w:autoSpaceDE w:val="0"/>
        <w:autoSpaceDN w:val="0"/>
        <w:adjustRightInd w:val="0"/>
        <w:ind w:right="850"/>
        <w:rPr>
          <w:rFonts w:cs="Arial"/>
          <w:i/>
          <w:color w:val="000000" w:themeColor="text1"/>
          <w:szCs w:val="22"/>
          <w:lang w:val="es-ES"/>
        </w:rPr>
      </w:pPr>
    </w:p>
    <w:p w14:paraId="79173817" w14:textId="1D55F821" w:rsidR="00CE0D99" w:rsidRPr="001F6EF8" w:rsidRDefault="00CE0D99" w:rsidP="00CE0D99">
      <w:pPr>
        <w:rPr>
          <w:rFonts w:cs="Arial"/>
          <w:color w:val="000000" w:themeColor="text1"/>
        </w:rPr>
      </w:pPr>
      <w:r w:rsidRPr="001F6EF8">
        <w:rPr>
          <w:rFonts w:eastAsia="Cambria"/>
          <w:color w:val="000000" w:themeColor="text1"/>
          <w:lang w:eastAsia="en-US"/>
        </w:rPr>
        <w:t xml:space="preserve">De lo anterior, podemos advertir que para ingresar al servicio público es necesario presentar una solicitud utilizando la forma oficial que se autorice por la institución pública o dependencia correspondiente; por lo que, </w:t>
      </w:r>
      <w:r w:rsidRPr="001F6EF8">
        <w:rPr>
          <w:rFonts w:eastAsia="Arial Unicode MS" w:cs="Arial"/>
          <w:color w:val="000000" w:themeColor="text1"/>
        </w:rPr>
        <w:t>debe obrar el currículum vitae o documento análogo</w:t>
      </w:r>
      <w:r w:rsidRPr="001F6EF8">
        <w:rPr>
          <w:rFonts w:cs="Arial"/>
          <w:color w:val="000000" w:themeColor="text1"/>
        </w:rPr>
        <w:t xml:space="preserve">. </w:t>
      </w:r>
    </w:p>
    <w:p w14:paraId="0ACFCD1C" w14:textId="77777777" w:rsidR="00CE0D99" w:rsidRPr="001F6EF8" w:rsidRDefault="00CE0D99" w:rsidP="00CE0D99">
      <w:pPr>
        <w:pStyle w:val="Prrafodelista"/>
        <w:widowControl w:val="0"/>
        <w:autoSpaceDE w:val="0"/>
        <w:autoSpaceDN w:val="0"/>
        <w:adjustRightInd w:val="0"/>
        <w:ind w:left="0"/>
        <w:rPr>
          <w:rFonts w:eastAsia="Arial Unicode MS" w:cs="Arial"/>
          <w:color w:val="000000" w:themeColor="text1"/>
        </w:rPr>
      </w:pPr>
    </w:p>
    <w:p w14:paraId="60FC743A" w14:textId="77777777" w:rsidR="00CE0D99" w:rsidRPr="001F6EF8" w:rsidRDefault="00CE0D99" w:rsidP="00CE0D99">
      <w:pPr>
        <w:pStyle w:val="Prrafodelista"/>
        <w:widowControl w:val="0"/>
        <w:autoSpaceDE w:val="0"/>
        <w:autoSpaceDN w:val="0"/>
        <w:adjustRightInd w:val="0"/>
        <w:ind w:left="0"/>
        <w:rPr>
          <w:rFonts w:cs="Arial"/>
          <w:noProof/>
          <w:lang w:eastAsia="es-MX"/>
        </w:rPr>
      </w:pPr>
      <w:r w:rsidRPr="001F6EF8">
        <w:rPr>
          <w:rFonts w:eastAsia="Arial Unicode MS" w:cs="Arial"/>
          <w:color w:val="000000" w:themeColor="text1"/>
        </w:rPr>
        <w:t xml:space="preserve">Aunado a lo anterior, </w:t>
      </w:r>
      <w:r w:rsidRPr="001F6EF8">
        <w:rPr>
          <w:color w:val="000000"/>
        </w:rPr>
        <w:t xml:space="preserve">es importante referir que la información curricular desde el nivel de jefes de departamento o equivales; así como de los superiores jerárquicos, es información que debe obrar en los archivos del Sujeto Obligado, pues corresponde a información que </w:t>
      </w:r>
      <w:r w:rsidRPr="001F6EF8">
        <w:rPr>
          <w:rFonts w:cs="Arial"/>
        </w:rPr>
        <w:t>se encuentra considerada como una de las obligaciones de transparencia comunes que l</w:t>
      </w:r>
      <w:r w:rsidRPr="001F6EF8">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1F6EF8">
        <w:rPr>
          <w:rFonts w:cs="Arial"/>
          <w:color w:val="000000"/>
        </w:rPr>
        <w:t xml:space="preserve">el </w:t>
      </w:r>
      <w:r w:rsidRPr="001F6EF8">
        <w:rPr>
          <w:rFonts w:cs="Arial"/>
        </w:rPr>
        <w:t xml:space="preserve">artículo 92 de la de la Ley de Transparencia y Acceso a la Información Pública del Estado de México y Municipios, en su fracción XXI, dispone lo siguiente: </w:t>
      </w:r>
    </w:p>
    <w:p w14:paraId="5003B2BB" w14:textId="77777777" w:rsidR="00CE0D99" w:rsidRPr="001F6EF8" w:rsidRDefault="00CE0D99" w:rsidP="00CE0D99">
      <w:pPr>
        <w:spacing w:after="120"/>
        <w:ind w:left="851" w:right="899"/>
        <w:rPr>
          <w:rFonts w:eastAsiaTheme="minorEastAsia" w:cstheme="minorBidi"/>
          <w:i/>
          <w:szCs w:val="22"/>
          <w:lang w:val="es-ES_tradnl"/>
        </w:rPr>
      </w:pPr>
    </w:p>
    <w:p w14:paraId="38EC8BB9" w14:textId="77777777" w:rsidR="00CE0D99" w:rsidRPr="001F6EF8" w:rsidRDefault="00CE0D99" w:rsidP="00A6198B">
      <w:pPr>
        <w:pStyle w:val="Puesto"/>
        <w:rPr>
          <w:lang w:val="es-ES"/>
        </w:rPr>
      </w:pPr>
      <w:r w:rsidRPr="001F6EF8">
        <w:rPr>
          <w:lang w:val="es-ES"/>
        </w:rPr>
        <w:t>“</w:t>
      </w:r>
      <w:r w:rsidRPr="001F6EF8">
        <w:rPr>
          <w:b/>
          <w:lang w:val="es-ES"/>
        </w:rPr>
        <w:t>Artículo 92.</w:t>
      </w:r>
      <w:r w:rsidRPr="001F6EF8">
        <w:rPr>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5B8FF3D" w14:textId="77777777" w:rsidR="00CE0D99" w:rsidRPr="001F6EF8" w:rsidRDefault="00CE0D99" w:rsidP="00A6198B">
      <w:pPr>
        <w:pStyle w:val="Puesto"/>
        <w:rPr>
          <w:lang w:val="es-ES"/>
        </w:rPr>
      </w:pPr>
      <w:r w:rsidRPr="001F6EF8">
        <w:rPr>
          <w:lang w:val="es-ES"/>
        </w:rPr>
        <w:t>…</w:t>
      </w:r>
    </w:p>
    <w:p w14:paraId="0524A87F" w14:textId="77777777" w:rsidR="00CE0D99" w:rsidRPr="001F6EF8" w:rsidRDefault="00CE0D99" w:rsidP="00A6198B">
      <w:pPr>
        <w:pStyle w:val="Puesto"/>
        <w:rPr>
          <w:rFonts w:eastAsiaTheme="minorEastAsia" w:cstheme="minorBidi"/>
          <w:lang w:val="es-ES_tradnl"/>
        </w:rPr>
      </w:pPr>
      <w:r w:rsidRPr="001F6EF8">
        <w:rPr>
          <w:rFonts w:eastAsiaTheme="minorEastAsia" w:cstheme="minorBidi"/>
          <w:lang w:val="es-ES_tradnl"/>
        </w:rPr>
        <w:t xml:space="preserve">XXI. La </w:t>
      </w:r>
      <w:r w:rsidRPr="001F6EF8">
        <w:rPr>
          <w:rFonts w:eastAsiaTheme="minorEastAsia" w:cstheme="minorBidi"/>
          <w:b/>
          <w:lang w:val="es-ES_tradnl"/>
        </w:rPr>
        <w:t>información curricular</w:t>
      </w:r>
      <w:r w:rsidRPr="001F6EF8">
        <w:rPr>
          <w:rFonts w:eastAsiaTheme="minorEastAsia" w:cstheme="minorBidi"/>
          <w:lang w:val="es-ES_tradnl"/>
        </w:rPr>
        <w:t xml:space="preserve">, </w:t>
      </w:r>
      <w:r w:rsidRPr="001F6EF8">
        <w:rPr>
          <w:rFonts w:eastAsiaTheme="minorEastAsia" w:cstheme="minorBidi"/>
          <w:b/>
          <w:lang w:val="es-ES_tradnl"/>
        </w:rPr>
        <w:t>desde el nivel de jefe de departamento o equivalente, hasta el titular del sujeto obligado</w:t>
      </w:r>
      <w:r w:rsidRPr="001F6EF8">
        <w:rPr>
          <w:rFonts w:eastAsiaTheme="minorEastAsia" w:cstheme="minorBidi"/>
          <w:lang w:val="es-ES_tradnl"/>
        </w:rPr>
        <w:t>, así como, en su caso, las sanciones administrativas de que haya sido objeto;</w:t>
      </w:r>
    </w:p>
    <w:p w14:paraId="6A60C1BD" w14:textId="77777777" w:rsidR="00CE0D99" w:rsidRPr="001F6EF8" w:rsidRDefault="00CE0D99" w:rsidP="00A6198B">
      <w:pPr>
        <w:pStyle w:val="Puesto"/>
        <w:rPr>
          <w:rFonts w:eastAsiaTheme="minorEastAsia" w:cstheme="minorBidi"/>
          <w:lang w:val="es-ES_tradnl"/>
        </w:rPr>
      </w:pPr>
      <w:r w:rsidRPr="001F6EF8">
        <w:rPr>
          <w:rFonts w:eastAsiaTheme="minorEastAsia" w:cstheme="minorBidi"/>
          <w:lang w:val="es-ES_tradnl"/>
        </w:rPr>
        <w:lastRenderedPageBreak/>
        <w:t>…”</w:t>
      </w:r>
    </w:p>
    <w:p w14:paraId="1CF552F1" w14:textId="77777777" w:rsidR="00CE0D99" w:rsidRPr="001F6EF8" w:rsidRDefault="00CE0D99" w:rsidP="00A6198B">
      <w:pPr>
        <w:pStyle w:val="Puesto"/>
        <w:rPr>
          <w:rFonts w:eastAsiaTheme="minorEastAsia" w:cstheme="minorBidi"/>
          <w:lang w:val="es-ES_tradnl"/>
        </w:rPr>
      </w:pPr>
      <w:r w:rsidRPr="001F6EF8">
        <w:rPr>
          <w:rFonts w:eastAsiaTheme="minorEastAsia" w:cstheme="minorBidi"/>
          <w:lang w:val="es-ES_tradnl"/>
        </w:rPr>
        <w:t>(Énfasis añadido)</w:t>
      </w:r>
    </w:p>
    <w:p w14:paraId="0A7BB4E1" w14:textId="77777777" w:rsidR="00CE0D99" w:rsidRPr="001F6EF8" w:rsidRDefault="00CE0D99" w:rsidP="00CE0D99">
      <w:pPr>
        <w:pStyle w:val="Prrafodelista"/>
        <w:widowControl w:val="0"/>
        <w:autoSpaceDE w:val="0"/>
        <w:autoSpaceDN w:val="0"/>
        <w:adjustRightInd w:val="0"/>
        <w:ind w:left="0"/>
        <w:rPr>
          <w:rFonts w:eastAsia="Arial Unicode MS" w:cs="Arial"/>
          <w:color w:val="000000" w:themeColor="text1"/>
        </w:rPr>
      </w:pPr>
    </w:p>
    <w:p w14:paraId="12AD3D9E" w14:textId="0407A45D" w:rsidR="00A6198B" w:rsidRPr="001F6EF8" w:rsidRDefault="00CE0D99" w:rsidP="00CE0D99">
      <w:pPr>
        <w:ind w:right="-28"/>
        <w:rPr>
          <w:rFonts w:eastAsia="Arial Unicode MS" w:cs="Arial"/>
          <w:color w:val="000000" w:themeColor="text1"/>
        </w:rPr>
      </w:pPr>
      <w:r w:rsidRPr="001F6EF8">
        <w:rPr>
          <w:rFonts w:eastAsia="Arial Unicode MS" w:cs="Arial"/>
          <w:color w:val="000000" w:themeColor="text1"/>
        </w:rPr>
        <w:t xml:space="preserve">Es así que, al existir fuente obligacional para contar con un documento análogo al currículum vitae, este Órgano Garante determina ordenar la entrega el documento análogo que contenga la información curricular </w:t>
      </w:r>
      <w:r w:rsidR="00A6198B" w:rsidRPr="001F6EF8">
        <w:t>de los servidores públicos adscritos al Centro de Control y Bienestar Animal</w:t>
      </w:r>
      <w:r w:rsidR="00A6198B" w:rsidRPr="001F6EF8">
        <w:rPr>
          <w:b/>
        </w:rPr>
        <w:t xml:space="preserve"> </w:t>
      </w:r>
      <w:r w:rsidR="00A6198B" w:rsidRPr="001F6EF8">
        <w:t>al veintiuno de marzo de dos mil veinticinco.</w:t>
      </w:r>
    </w:p>
    <w:p w14:paraId="742B6015" w14:textId="77777777" w:rsidR="00A6198B" w:rsidRPr="001F6EF8" w:rsidRDefault="00A6198B" w:rsidP="00CE0D99">
      <w:pPr>
        <w:ind w:right="-28"/>
        <w:rPr>
          <w:rFonts w:eastAsia="Arial Unicode MS" w:cs="Arial"/>
          <w:color w:val="000000" w:themeColor="text1"/>
        </w:rPr>
      </w:pPr>
    </w:p>
    <w:p w14:paraId="25BF39D2" w14:textId="77777777" w:rsidR="00D5640A" w:rsidRPr="001F6EF8" w:rsidRDefault="00D5640A" w:rsidP="00D5640A">
      <w:pPr>
        <w:pStyle w:val="Ttulo3"/>
      </w:pPr>
      <w:bookmarkStart w:id="33" w:name="_Toc198757745"/>
      <w:bookmarkStart w:id="34" w:name="_Toc198819013"/>
      <w:bookmarkStart w:id="35" w:name="_Toc199179388"/>
      <w:bookmarkStart w:id="36" w:name="_Toc200541451"/>
      <w:r w:rsidRPr="001F6EF8">
        <w:t>d) Versión pública</w:t>
      </w:r>
      <w:bookmarkEnd w:id="33"/>
      <w:bookmarkEnd w:id="34"/>
      <w:bookmarkEnd w:id="35"/>
      <w:bookmarkEnd w:id="36"/>
    </w:p>
    <w:p w14:paraId="3419F4B2" w14:textId="77777777" w:rsidR="00D5640A" w:rsidRPr="001F6EF8" w:rsidRDefault="00D5640A" w:rsidP="00D5640A">
      <w:pPr>
        <w:rPr>
          <w:bCs/>
        </w:rPr>
      </w:pPr>
      <w:r w:rsidRPr="001F6EF8">
        <w:t xml:space="preserve">Para el caso de que el o los documentos de los cuales se ordena su entrega contengan datos personales susceptibles de ser testados, deberán ser entregados en </w:t>
      </w:r>
      <w:r w:rsidRPr="001F6EF8">
        <w:rPr>
          <w:b/>
        </w:rPr>
        <w:t>versión pública</w:t>
      </w:r>
      <w:r w:rsidRPr="001F6EF8">
        <w:t>, pues el</w:t>
      </w:r>
      <w:r w:rsidRPr="001F6EF8">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CD2E79" w14:textId="77777777" w:rsidR="00D5640A" w:rsidRPr="001F6EF8" w:rsidRDefault="00D5640A" w:rsidP="00D5640A">
      <w:pPr>
        <w:rPr>
          <w:rFonts w:eastAsia="Calibri"/>
          <w:bCs/>
          <w:lang w:eastAsia="en-US"/>
        </w:rPr>
      </w:pPr>
    </w:p>
    <w:p w14:paraId="747CC1AE" w14:textId="77777777" w:rsidR="00D5640A" w:rsidRPr="001F6EF8" w:rsidRDefault="00D5640A" w:rsidP="00D5640A">
      <w:pPr>
        <w:rPr>
          <w:bCs/>
        </w:rPr>
      </w:pPr>
      <w:r w:rsidRPr="001F6EF8">
        <w:rPr>
          <w:bCs/>
        </w:rPr>
        <w:t>A este respecto, los artículos 3, fracciones IX, XX, XXI y XLV; 51 y 52 de la Ley de Transparencia y Acceso a la Información Pública del Estado de México y Municipios establecen:</w:t>
      </w:r>
    </w:p>
    <w:p w14:paraId="711F155D" w14:textId="77777777" w:rsidR="00D5640A" w:rsidRPr="001F6EF8" w:rsidRDefault="00D5640A" w:rsidP="00D5640A"/>
    <w:p w14:paraId="50837304" w14:textId="77777777" w:rsidR="00D5640A" w:rsidRPr="001F6EF8" w:rsidRDefault="00D5640A" w:rsidP="00D5640A">
      <w:pPr>
        <w:pStyle w:val="Puesto"/>
      </w:pPr>
      <w:r w:rsidRPr="001F6EF8">
        <w:rPr>
          <w:b/>
          <w:bCs/>
          <w:noProof/>
        </w:rPr>
        <w:t>“</w:t>
      </w:r>
      <w:r w:rsidRPr="001F6EF8">
        <w:rPr>
          <w:b/>
          <w:bCs/>
        </w:rPr>
        <w:t xml:space="preserve">Artículo 3. </w:t>
      </w:r>
      <w:r w:rsidRPr="001F6EF8">
        <w:t xml:space="preserve">Para los efectos de la presente Ley se entenderá por: </w:t>
      </w:r>
    </w:p>
    <w:p w14:paraId="5DE03F63" w14:textId="77777777" w:rsidR="00D5640A" w:rsidRPr="001F6EF8" w:rsidRDefault="00D5640A" w:rsidP="00D5640A">
      <w:pPr>
        <w:pStyle w:val="Puesto"/>
      </w:pPr>
      <w:r w:rsidRPr="001F6EF8">
        <w:rPr>
          <w:b/>
        </w:rPr>
        <w:t>IX.</w:t>
      </w:r>
      <w:r w:rsidRPr="001F6EF8">
        <w:t xml:space="preserve"> </w:t>
      </w:r>
      <w:r w:rsidRPr="001F6EF8">
        <w:rPr>
          <w:b/>
        </w:rPr>
        <w:t xml:space="preserve">Datos personales: </w:t>
      </w:r>
      <w:r w:rsidRPr="001F6EF8">
        <w:t xml:space="preserve">La información concerniente a una persona, identificada o identificable según lo dispuesto por la Ley de Protección de Datos Personales del Estado de México; </w:t>
      </w:r>
    </w:p>
    <w:p w14:paraId="7EEC981F" w14:textId="77777777" w:rsidR="00D5640A" w:rsidRPr="001F6EF8" w:rsidRDefault="00D5640A" w:rsidP="00D5640A"/>
    <w:p w14:paraId="5594D153" w14:textId="77777777" w:rsidR="00D5640A" w:rsidRPr="001F6EF8" w:rsidRDefault="00D5640A" w:rsidP="00D5640A">
      <w:pPr>
        <w:pStyle w:val="Puesto"/>
      </w:pPr>
      <w:r w:rsidRPr="001F6EF8">
        <w:rPr>
          <w:b/>
        </w:rPr>
        <w:lastRenderedPageBreak/>
        <w:t>XX.</w:t>
      </w:r>
      <w:r w:rsidRPr="001F6EF8">
        <w:t xml:space="preserve"> </w:t>
      </w:r>
      <w:r w:rsidRPr="001F6EF8">
        <w:rPr>
          <w:b/>
        </w:rPr>
        <w:t>Información clasificada:</w:t>
      </w:r>
      <w:r w:rsidRPr="001F6EF8">
        <w:t xml:space="preserve"> Aquella considerada por la presente Ley como reservada o confidencial; </w:t>
      </w:r>
    </w:p>
    <w:p w14:paraId="492F44EE" w14:textId="77777777" w:rsidR="00D5640A" w:rsidRPr="001F6EF8" w:rsidRDefault="00D5640A" w:rsidP="00D5640A"/>
    <w:p w14:paraId="357427E4" w14:textId="77777777" w:rsidR="00D5640A" w:rsidRPr="001F6EF8" w:rsidRDefault="00D5640A" w:rsidP="00D5640A">
      <w:pPr>
        <w:pStyle w:val="Puesto"/>
      </w:pPr>
      <w:r w:rsidRPr="001F6EF8">
        <w:rPr>
          <w:b/>
        </w:rPr>
        <w:t>XXI.</w:t>
      </w:r>
      <w:r w:rsidRPr="001F6EF8">
        <w:t xml:space="preserve"> </w:t>
      </w:r>
      <w:r w:rsidRPr="001F6EF8">
        <w:rPr>
          <w:b/>
        </w:rPr>
        <w:t>Información confidencial</w:t>
      </w:r>
      <w:r w:rsidRPr="001F6EF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42B2FF8" w14:textId="77777777" w:rsidR="00D5640A" w:rsidRPr="001F6EF8" w:rsidRDefault="00D5640A" w:rsidP="00D5640A"/>
    <w:p w14:paraId="47DC0447" w14:textId="77777777" w:rsidR="00D5640A" w:rsidRPr="001F6EF8" w:rsidRDefault="00D5640A" w:rsidP="00D5640A">
      <w:pPr>
        <w:pStyle w:val="Puesto"/>
      </w:pPr>
      <w:r w:rsidRPr="001F6EF8">
        <w:rPr>
          <w:b/>
        </w:rPr>
        <w:t>XLV. Versión pública:</w:t>
      </w:r>
      <w:r w:rsidRPr="001F6EF8">
        <w:t xml:space="preserve"> Documento en el que se elimine, suprime o borra la información clasificada como reservada o confidencial para permitir su acceso. </w:t>
      </w:r>
    </w:p>
    <w:p w14:paraId="5E9CE0B2" w14:textId="77777777" w:rsidR="00D5640A" w:rsidRPr="001F6EF8" w:rsidRDefault="00D5640A" w:rsidP="00D5640A"/>
    <w:p w14:paraId="436502C0" w14:textId="77777777" w:rsidR="00D5640A" w:rsidRPr="001F6EF8" w:rsidRDefault="00D5640A" w:rsidP="00D5640A">
      <w:pPr>
        <w:pStyle w:val="Puesto"/>
      </w:pPr>
      <w:r w:rsidRPr="001F6EF8">
        <w:rPr>
          <w:b/>
        </w:rPr>
        <w:t>Artículo 51.</w:t>
      </w:r>
      <w:r w:rsidRPr="001F6EF8">
        <w:t xml:space="preserve"> Los sujetos obligados designaran a un responsable para atender la Unidad de Transparencia, quien fungirá como enlace entre éstos y los solicitantes. Dicha Unidad será la encargada de tramitar internamente la solicitud de información </w:t>
      </w:r>
      <w:r w:rsidRPr="001F6EF8">
        <w:rPr>
          <w:b/>
        </w:rPr>
        <w:t xml:space="preserve">y tendrá la responsabilidad de verificar en cada caso que la misma no sea confidencial o reservada. </w:t>
      </w:r>
      <w:r w:rsidRPr="001F6EF8">
        <w:t>Dicha Unidad contará con las facultades internas necesarias para gestionar la atención a las solicitudes de información en los términos de la Ley General y la presente Ley.</w:t>
      </w:r>
    </w:p>
    <w:p w14:paraId="152763C8" w14:textId="77777777" w:rsidR="00D5640A" w:rsidRPr="001F6EF8" w:rsidRDefault="00D5640A" w:rsidP="00D5640A"/>
    <w:p w14:paraId="232BB5F1" w14:textId="77777777" w:rsidR="00D5640A" w:rsidRPr="001F6EF8" w:rsidRDefault="00D5640A" w:rsidP="00D5640A">
      <w:pPr>
        <w:pStyle w:val="Puesto"/>
      </w:pPr>
      <w:r w:rsidRPr="001F6EF8">
        <w:rPr>
          <w:b/>
        </w:rPr>
        <w:t>Artículo 52.</w:t>
      </w:r>
      <w:r w:rsidRPr="001F6EF8">
        <w:t xml:space="preserve"> Las solicitudes de acceso a la información y las respuestas que se les dé, incluyendo, en su caso, </w:t>
      </w:r>
      <w:r w:rsidRPr="001F6EF8">
        <w:rPr>
          <w:u w:val="single"/>
        </w:rPr>
        <w:t>la información entregada, así como las resoluciones a los recursos que en su caso se promuevan serán públicas, y de ser el caso que contenga datos personales que deban ser protegidos se podrá dar su acceso en su versión pública</w:t>
      </w:r>
      <w:r w:rsidRPr="001F6EF8">
        <w:t>, siempre y cuando la resolución de referencia se someta a un proceso de disociación, es decir, no haga identificable al titular de tales datos personales.</w:t>
      </w:r>
      <w:r w:rsidRPr="001F6EF8">
        <w:rPr>
          <w:bCs/>
          <w:noProof/>
        </w:rPr>
        <w:t xml:space="preserve">” </w:t>
      </w:r>
      <w:r w:rsidRPr="001F6EF8">
        <w:rPr>
          <w:i w:val="0"/>
          <w:iCs/>
        </w:rPr>
        <w:t>(Énfasis añadido)</w:t>
      </w:r>
    </w:p>
    <w:p w14:paraId="5EEFA090" w14:textId="77777777" w:rsidR="00D5640A" w:rsidRPr="001F6EF8" w:rsidRDefault="00D5640A" w:rsidP="00D5640A"/>
    <w:p w14:paraId="29EF8F21" w14:textId="77777777" w:rsidR="00D5640A" w:rsidRPr="001F6EF8" w:rsidRDefault="00D5640A" w:rsidP="00D5640A">
      <w:r w:rsidRPr="001F6EF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1F6EF8">
        <w:lastRenderedPageBreak/>
        <w:t xml:space="preserve">Datos Personales en Posesión de Sujetos Obligados del Estado de México y Municipios, los cuales se transcriben para mayor referencia: </w:t>
      </w:r>
    </w:p>
    <w:p w14:paraId="66529E28" w14:textId="77777777" w:rsidR="00D5640A" w:rsidRPr="001F6EF8" w:rsidRDefault="00D5640A" w:rsidP="00D5640A"/>
    <w:p w14:paraId="0A8A5514" w14:textId="77777777" w:rsidR="00D5640A" w:rsidRPr="001F6EF8" w:rsidRDefault="00D5640A" w:rsidP="00D5640A">
      <w:pPr>
        <w:pStyle w:val="Puesto"/>
        <w:rPr>
          <w:rFonts w:eastAsia="Arial Unicode MS"/>
        </w:rPr>
      </w:pPr>
      <w:r w:rsidRPr="001F6EF8">
        <w:rPr>
          <w:rFonts w:eastAsia="Arial Unicode MS"/>
          <w:b/>
        </w:rPr>
        <w:t>“Artículo 22.</w:t>
      </w:r>
      <w:r w:rsidRPr="001F6EF8">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77EE8CFF" w14:textId="77777777" w:rsidR="00D5640A" w:rsidRPr="001F6EF8" w:rsidRDefault="00D5640A" w:rsidP="00D5640A">
      <w:pPr>
        <w:rPr>
          <w:rFonts w:eastAsia="Arial Unicode MS"/>
        </w:rPr>
      </w:pPr>
    </w:p>
    <w:p w14:paraId="15A3FD56" w14:textId="77777777" w:rsidR="00D5640A" w:rsidRPr="001F6EF8" w:rsidRDefault="00D5640A" w:rsidP="00D5640A">
      <w:pPr>
        <w:pStyle w:val="Puesto"/>
        <w:rPr>
          <w:rFonts w:eastAsia="Arial Unicode MS"/>
        </w:rPr>
      </w:pPr>
      <w:r w:rsidRPr="001F6EF8">
        <w:rPr>
          <w:rFonts w:eastAsia="Arial Unicode MS"/>
          <w:b/>
        </w:rPr>
        <w:t>Artículo 38.</w:t>
      </w:r>
      <w:r w:rsidRPr="001F6EF8">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F6EF8">
        <w:rPr>
          <w:rFonts w:eastAsia="Arial Unicode MS"/>
          <w:b/>
        </w:rPr>
        <w:t>”</w:t>
      </w:r>
      <w:r w:rsidRPr="001F6EF8">
        <w:rPr>
          <w:rFonts w:eastAsia="Arial Unicode MS"/>
        </w:rPr>
        <w:t xml:space="preserve"> </w:t>
      </w:r>
    </w:p>
    <w:p w14:paraId="4F3A98E5" w14:textId="77777777" w:rsidR="00D5640A" w:rsidRPr="001F6EF8" w:rsidRDefault="00D5640A" w:rsidP="00D5640A">
      <w:pPr>
        <w:rPr>
          <w:rFonts w:eastAsia="Arial Unicode MS"/>
          <w:i/>
        </w:rPr>
      </w:pPr>
    </w:p>
    <w:p w14:paraId="16085C11" w14:textId="77777777" w:rsidR="00D5640A" w:rsidRPr="001F6EF8" w:rsidRDefault="00D5640A" w:rsidP="00D5640A">
      <w:r w:rsidRPr="001F6EF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9C0A79B" w14:textId="77777777" w:rsidR="00D5640A" w:rsidRPr="001F6EF8" w:rsidRDefault="00D5640A" w:rsidP="00D5640A"/>
    <w:p w14:paraId="4EEABE53" w14:textId="77777777" w:rsidR="00D5640A" w:rsidRPr="001F6EF8" w:rsidRDefault="00D5640A" w:rsidP="00D5640A">
      <w:r w:rsidRPr="001F6EF8">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F6EF8">
        <w:rPr>
          <w:rFonts w:eastAsia="Arial Unicode MS"/>
        </w:rPr>
        <w:t xml:space="preserve"> que debe ser protegida por </w:t>
      </w:r>
      <w:r w:rsidRPr="001F6EF8">
        <w:rPr>
          <w:rFonts w:eastAsia="Arial Unicode MS"/>
          <w:b/>
        </w:rPr>
        <w:t>EL SUJETO OBLIGADO,</w:t>
      </w:r>
      <w:r w:rsidRPr="001F6EF8">
        <w:rPr>
          <w:rFonts w:eastAsia="Arial Unicode MS"/>
        </w:rPr>
        <w:t xml:space="preserve"> por lo </w:t>
      </w:r>
      <w:r w:rsidRPr="001F6EF8">
        <w:t>que, todo dato personal susceptible de clasificación debe ser protegido.</w:t>
      </w:r>
    </w:p>
    <w:p w14:paraId="1E9447E7" w14:textId="77777777" w:rsidR="00D5640A" w:rsidRPr="001F6EF8" w:rsidRDefault="00D5640A" w:rsidP="00D5640A"/>
    <w:p w14:paraId="399722EA" w14:textId="77777777" w:rsidR="00D5640A" w:rsidRPr="001F6EF8" w:rsidRDefault="00D5640A" w:rsidP="00D5640A">
      <w:r w:rsidRPr="001F6EF8">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623351C" w14:textId="77777777" w:rsidR="00D5640A" w:rsidRPr="001F6EF8" w:rsidRDefault="00D5640A" w:rsidP="00D5640A"/>
    <w:p w14:paraId="3FB965AA" w14:textId="77777777" w:rsidR="00D5640A" w:rsidRPr="001F6EF8" w:rsidRDefault="00D5640A" w:rsidP="00D5640A">
      <w:r w:rsidRPr="001F6EF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67DF337" w14:textId="77777777" w:rsidR="00D5640A" w:rsidRPr="001F6EF8" w:rsidRDefault="00D5640A" w:rsidP="00D5640A"/>
    <w:p w14:paraId="68E85141" w14:textId="77777777" w:rsidR="00D5640A" w:rsidRPr="001F6EF8" w:rsidRDefault="00D5640A" w:rsidP="00D5640A">
      <w:pPr>
        <w:pStyle w:val="Puesto"/>
        <w:jc w:val="center"/>
        <w:rPr>
          <w:b/>
        </w:rPr>
      </w:pPr>
      <w:r w:rsidRPr="001F6EF8">
        <w:rPr>
          <w:b/>
        </w:rPr>
        <w:t>Ley de Transparencia y Acceso a la Información Pública del Estado de México y Municipios</w:t>
      </w:r>
    </w:p>
    <w:p w14:paraId="3382275F" w14:textId="77777777" w:rsidR="00D5640A" w:rsidRPr="001F6EF8" w:rsidRDefault="00D5640A" w:rsidP="00D5640A">
      <w:pPr>
        <w:pStyle w:val="Puesto"/>
      </w:pPr>
    </w:p>
    <w:p w14:paraId="232D2B8C" w14:textId="77777777" w:rsidR="00D5640A" w:rsidRPr="001F6EF8" w:rsidRDefault="00D5640A" w:rsidP="00D5640A">
      <w:pPr>
        <w:pStyle w:val="Puesto"/>
      </w:pPr>
      <w:r w:rsidRPr="001F6EF8">
        <w:t>“</w:t>
      </w:r>
      <w:r w:rsidRPr="001F6EF8">
        <w:rPr>
          <w:b/>
        </w:rPr>
        <w:t>Artículo 49.</w:t>
      </w:r>
      <w:r w:rsidRPr="001F6EF8">
        <w:t xml:space="preserve"> Los Comités de Transparencia tendrán las siguientes atribuciones:</w:t>
      </w:r>
    </w:p>
    <w:p w14:paraId="16EC7101" w14:textId="77777777" w:rsidR="00D5640A" w:rsidRPr="001F6EF8" w:rsidRDefault="00D5640A" w:rsidP="00D5640A">
      <w:pPr>
        <w:pStyle w:val="Puesto"/>
      </w:pPr>
      <w:r w:rsidRPr="001F6EF8">
        <w:t>VIII. Aprobar, modificar o revocar la clasificación de la información;</w:t>
      </w:r>
    </w:p>
    <w:p w14:paraId="07B7F05C" w14:textId="77777777" w:rsidR="00D5640A" w:rsidRPr="001F6EF8" w:rsidRDefault="00D5640A" w:rsidP="00D5640A">
      <w:pPr>
        <w:pStyle w:val="Puesto"/>
      </w:pPr>
    </w:p>
    <w:p w14:paraId="368CA75B" w14:textId="77777777" w:rsidR="00D5640A" w:rsidRPr="001F6EF8" w:rsidRDefault="00D5640A" w:rsidP="00D5640A">
      <w:pPr>
        <w:pStyle w:val="Puesto"/>
      </w:pPr>
      <w:r w:rsidRPr="001F6EF8">
        <w:rPr>
          <w:b/>
        </w:rPr>
        <w:t>Artículo 132.</w:t>
      </w:r>
      <w:r w:rsidRPr="001F6EF8">
        <w:t xml:space="preserve"> La clasificación de la información se llevará a cabo en el momento en que:</w:t>
      </w:r>
    </w:p>
    <w:p w14:paraId="4CFD0ECC" w14:textId="77777777" w:rsidR="00D5640A" w:rsidRPr="001F6EF8" w:rsidRDefault="00D5640A" w:rsidP="00D5640A">
      <w:pPr>
        <w:pStyle w:val="Puesto"/>
      </w:pPr>
      <w:r w:rsidRPr="001F6EF8">
        <w:t>I. Se reciba una solicitud de acceso a la información;</w:t>
      </w:r>
    </w:p>
    <w:p w14:paraId="232D7F8E" w14:textId="77777777" w:rsidR="00D5640A" w:rsidRPr="001F6EF8" w:rsidRDefault="00D5640A" w:rsidP="00D5640A">
      <w:pPr>
        <w:pStyle w:val="Puesto"/>
      </w:pPr>
      <w:r w:rsidRPr="001F6EF8">
        <w:t>II. Se determine mediante resolución de autoridad competente; o</w:t>
      </w:r>
    </w:p>
    <w:p w14:paraId="23831D17" w14:textId="77777777" w:rsidR="00D5640A" w:rsidRPr="001F6EF8" w:rsidRDefault="00D5640A" w:rsidP="00D5640A">
      <w:pPr>
        <w:pStyle w:val="Puesto"/>
      </w:pPr>
      <w:r w:rsidRPr="001F6EF8">
        <w:t>III. Se generen versiones públicas para dar cumplimiento a las obligaciones de transparencia previstas en esta Ley.”</w:t>
      </w:r>
    </w:p>
    <w:p w14:paraId="77FFBF2A" w14:textId="77777777" w:rsidR="00D5640A" w:rsidRPr="001F6EF8" w:rsidRDefault="00D5640A" w:rsidP="00D5640A">
      <w:pPr>
        <w:pStyle w:val="Puesto"/>
      </w:pPr>
    </w:p>
    <w:p w14:paraId="295596DC" w14:textId="77777777" w:rsidR="00D5640A" w:rsidRPr="001F6EF8" w:rsidRDefault="00D5640A" w:rsidP="00D5640A">
      <w:pPr>
        <w:pStyle w:val="Puesto"/>
      </w:pPr>
      <w:r w:rsidRPr="001F6EF8">
        <w:t>“</w:t>
      </w:r>
      <w:r w:rsidRPr="001F6EF8">
        <w:rPr>
          <w:b/>
        </w:rPr>
        <w:t>Segundo. -</w:t>
      </w:r>
      <w:r w:rsidRPr="001F6EF8">
        <w:t xml:space="preserve"> Para efectos de los presentes Lineamientos Generales, se entenderá por:</w:t>
      </w:r>
    </w:p>
    <w:p w14:paraId="53893F47" w14:textId="77777777" w:rsidR="00D5640A" w:rsidRPr="001F6EF8" w:rsidRDefault="00D5640A" w:rsidP="00D5640A">
      <w:pPr>
        <w:pStyle w:val="Puesto"/>
      </w:pPr>
      <w:r w:rsidRPr="001F6EF8">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34D59F6" w14:textId="77777777" w:rsidR="00D5640A" w:rsidRPr="001F6EF8" w:rsidRDefault="00D5640A" w:rsidP="00D5640A">
      <w:pPr>
        <w:pStyle w:val="Puesto"/>
      </w:pPr>
    </w:p>
    <w:p w14:paraId="59812408" w14:textId="77777777" w:rsidR="00D5640A" w:rsidRPr="001F6EF8" w:rsidRDefault="00D5640A" w:rsidP="00D5640A">
      <w:pPr>
        <w:pStyle w:val="Puesto"/>
        <w:jc w:val="center"/>
        <w:rPr>
          <w:b/>
        </w:rPr>
      </w:pPr>
      <w:r w:rsidRPr="001F6EF8">
        <w:rPr>
          <w:b/>
        </w:rPr>
        <w:lastRenderedPageBreak/>
        <w:t>Lineamientos Generales en materia de Clasificación y Desclasificación de la Información</w:t>
      </w:r>
    </w:p>
    <w:p w14:paraId="4A5035CD" w14:textId="77777777" w:rsidR="00D5640A" w:rsidRPr="001F6EF8" w:rsidRDefault="00D5640A" w:rsidP="00D5640A">
      <w:pPr>
        <w:pStyle w:val="Puesto"/>
        <w:jc w:val="center"/>
        <w:rPr>
          <w:b/>
        </w:rPr>
      </w:pPr>
    </w:p>
    <w:p w14:paraId="022CCCB9" w14:textId="77777777" w:rsidR="00D5640A" w:rsidRPr="001F6EF8" w:rsidRDefault="00D5640A" w:rsidP="00D5640A">
      <w:pPr>
        <w:pStyle w:val="Puesto"/>
      </w:pPr>
      <w:r w:rsidRPr="001F6EF8">
        <w:rPr>
          <w:b/>
        </w:rPr>
        <w:t>Cuarto.</w:t>
      </w:r>
      <w:r w:rsidRPr="001F6EF8">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B6811E" w14:textId="77777777" w:rsidR="00D5640A" w:rsidRPr="001F6EF8" w:rsidRDefault="00D5640A" w:rsidP="00D5640A">
      <w:pPr>
        <w:pStyle w:val="Puesto"/>
      </w:pPr>
      <w:r w:rsidRPr="001F6EF8">
        <w:t>Los sujetos obligados deberán aplicar, de manera estricta, las excepciones al derecho de acceso a la información y sólo podrán invocarlas cuando acrediten su procedencia.</w:t>
      </w:r>
    </w:p>
    <w:p w14:paraId="7384204F" w14:textId="77777777" w:rsidR="00D5640A" w:rsidRPr="001F6EF8" w:rsidRDefault="00D5640A" w:rsidP="00D5640A">
      <w:pPr>
        <w:pStyle w:val="Puesto"/>
      </w:pPr>
    </w:p>
    <w:p w14:paraId="2ED86150" w14:textId="77777777" w:rsidR="00D5640A" w:rsidRPr="001F6EF8" w:rsidRDefault="00D5640A" w:rsidP="00D5640A">
      <w:pPr>
        <w:pStyle w:val="Puesto"/>
      </w:pPr>
      <w:r w:rsidRPr="001F6EF8">
        <w:rPr>
          <w:b/>
        </w:rPr>
        <w:t>Quinto.</w:t>
      </w:r>
      <w:r w:rsidRPr="001F6EF8">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E1A16E6" w14:textId="77777777" w:rsidR="00D5640A" w:rsidRPr="001F6EF8" w:rsidRDefault="00D5640A" w:rsidP="00D5640A">
      <w:pPr>
        <w:pStyle w:val="Puesto"/>
      </w:pPr>
    </w:p>
    <w:p w14:paraId="09ED516C" w14:textId="77777777" w:rsidR="00D5640A" w:rsidRPr="001F6EF8" w:rsidRDefault="00D5640A" w:rsidP="00D5640A">
      <w:pPr>
        <w:pStyle w:val="Puesto"/>
      </w:pPr>
      <w:r w:rsidRPr="001F6EF8">
        <w:rPr>
          <w:b/>
        </w:rPr>
        <w:t>Sexto.</w:t>
      </w:r>
      <w:r w:rsidRPr="001F6EF8">
        <w:t xml:space="preserve"> Se deroga.</w:t>
      </w:r>
    </w:p>
    <w:p w14:paraId="705943DE" w14:textId="77777777" w:rsidR="00D5640A" w:rsidRPr="001F6EF8" w:rsidRDefault="00D5640A" w:rsidP="00D5640A">
      <w:pPr>
        <w:pStyle w:val="Puesto"/>
      </w:pPr>
    </w:p>
    <w:p w14:paraId="2B8D9F39" w14:textId="77777777" w:rsidR="00D5640A" w:rsidRPr="001F6EF8" w:rsidRDefault="00D5640A" w:rsidP="00D5640A">
      <w:pPr>
        <w:pStyle w:val="Puesto"/>
      </w:pPr>
      <w:r w:rsidRPr="001F6EF8">
        <w:rPr>
          <w:b/>
        </w:rPr>
        <w:t>Séptimo.</w:t>
      </w:r>
      <w:r w:rsidRPr="001F6EF8">
        <w:t xml:space="preserve"> La clasificación de la información se llevará a cabo en el momento en que:</w:t>
      </w:r>
    </w:p>
    <w:p w14:paraId="7322260B" w14:textId="77777777" w:rsidR="00D5640A" w:rsidRPr="001F6EF8" w:rsidRDefault="00D5640A" w:rsidP="00D5640A">
      <w:pPr>
        <w:pStyle w:val="Puesto"/>
      </w:pPr>
      <w:r w:rsidRPr="001F6EF8">
        <w:t>I.        Se reciba una solicitud de acceso a la información;</w:t>
      </w:r>
    </w:p>
    <w:p w14:paraId="001A7A1F" w14:textId="77777777" w:rsidR="00D5640A" w:rsidRPr="001F6EF8" w:rsidRDefault="00D5640A" w:rsidP="00D5640A">
      <w:pPr>
        <w:pStyle w:val="Puesto"/>
      </w:pPr>
      <w:r w:rsidRPr="001F6EF8">
        <w:t>II.       Se determine mediante resolución del Comité de Transparencia, el órgano garante competente, o en cumplimiento a una sentencia del Poder Judicial; o</w:t>
      </w:r>
    </w:p>
    <w:p w14:paraId="12CBB023" w14:textId="77777777" w:rsidR="00D5640A" w:rsidRPr="001F6EF8" w:rsidRDefault="00D5640A" w:rsidP="00D5640A">
      <w:pPr>
        <w:pStyle w:val="Puesto"/>
      </w:pPr>
      <w:r w:rsidRPr="001F6EF8">
        <w:t>III.      Se generen versiones públicas para dar cumplimiento a las obligaciones de transparencia previstas en la Ley General, la Ley Federal y las correspondientes de las entidades federativas.</w:t>
      </w:r>
    </w:p>
    <w:p w14:paraId="2B30DD06" w14:textId="77777777" w:rsidR="00D5640A" w:rsidRPr="001F6EF8" w:rsidRDefault="00D5640A" w:rsidP="00D5640A">
      <w:pPr>
        <w:pStyle w:val="Puesto"/>
      </w:pPr>
      <w:r w:rsidRPr="001F6EF8">
        <w:t xml:space="preserve">Los titulares de las áreas deberán revisar la información requerida al momento de la recepción de una solicitud de acceso, para verificar, conforme a su naturaleza, si encuadra en una causal de reserva o de confidencialidad. </w:t>
      </w:r>
    </w:p>
    <w:p w14:paraId="0C9BFAC4" w14:textId="77777777" w:rsidR="00D5640A" w:rsidRPr="001F6EF8" w:rsidRDefault="00D5640A" w:rsidP="00D5640A">
      <w:pPr>
        <w:pStyle w:val="Puesto"/>
      </w:pPr>
    </w:p>
    <w:p w14:paraId="56EFF71C" w14:textId="77777777" w:rsidR="00D5640A" w:rsidRPr="001F6EF8" w:rsidRDefault="00D5640A" w:rsidP="00D5640A">
      <w:pPr>
        <w:pStyle w:val="Puesto"/>
      </w:pPr>
      <w:r w:rsidRPr="001F6EF8">
        <w:rPr>
          <w:b/>
        </w:rPr>
        <w:t>Octavo.</w:t>
      </w:r>
      <w:r w:rsidRPr="001F6EF8">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E7D911" w14:textId="77777777" w:rsidR="00D5640A" w:rsidRPr="001F6EF8" w:rsidRDefault="00D5640A" w:rsidP="00D5640A">
      <w:pPr>
        <w:pStyle w:val="Puesto"/>
      </w:pPr>
      <w:r w:rsidRPr="001F6EF8">
        <w:t>Para motivar la clasificación se deberán señalar las razones o circunstancias especiales que lo llevaron a concluir que el caso particular se ajusta al supuesto previsto por la norma legal invocada como fundamento.</w:t>
      </w:r>
    </w:p>
    <w:p w14:paraId="2F7F5098" w14:textId="77777777" w:rsidR="00D5640A" w:rsidRPr="001F6EF8" w:rsidRDefault="00D5640A" w:rsidP="00D5640A">
      <w:pPr>
        <w:pStyle w:val="Puesto"/>
      </w:pPr>
      <w:r w:rsidRPr="001F6EF8">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243B4E1" w14:textId="77777777" w:rsidR="00D5640A" w:rsidRPr="001F6EF8" w:rsidRDefault="00D5640A" w:rsidP="00D5640A">
      <w:pPr>
        <w:pStyle w:val="Puesto"/>
      </w:pPr>
    </w:p>
    <w:p w14:paraId="3A7EF787" w14:textId="77777777" w:rsidR="00D5640A" w:rsidRPr="001F6EF8" w:rsidRDefault="00D5640A" w:rsidP="00D5640A">
      <w:pPr>
        <w:pStyle w:val="Puesto"/>
      </w:pPr>
      <w:r w:rsidRPr="001F6EF8">
        <w:rPr>
          <w:b/>
        </w:rPr>
        <w:t>Noveno.</w:t>
      </w:r>
      <w:r w:rsidRPr="001F6EF8">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3EABD13" w14:textId="77777777" w:rsidR="00D5640A" w:rsidRPr="001F6EF8" w:rsidRDefault="00D5640A" w:rsidP="00D5640A">
      <w:pPr>
        <w:pStyle w:val="Puesto"/>
      </w:pPr>
    </w:p>
    <w:p w14:paraId="4F64633C" w14:textId="77777777" w:rsidR="00D5640A" w:rsidRPr="001F6EF8" w:rsidRDefault="00D5640A" w:rsidP="00D5640A">
      <w:pPr>
        <w:pStyle w:val="Puesto"/>
      </w:pPr>
      <w:r w:rsidRPr="001F6EF8">
        <w:rPr>
          <w:b/>
        </w:rPr>
        <w:t>Décimo.</w:t>
      </w:r>
      <w:r w:rsidRPr="001F6EF8">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93FCCC3" w14:textId="77777777" w:rsidR="00D5640A" w:rsidRPr="001F6EF8" w:rsidRDefault="00D5640A" w:rsidP="00D5640A">
      <w:pPr>
        <w:pStyle w:val="Puesto"/>
      </w:pPr>
      <w:r w:rsidRPr="001F6EF8">
        <w:t>En ausencia de los titulares de las áreas, la información será clasificada o desclasificada por la persona que lo supla, en términos de la normativa que rija la actuación del sujeto obligado.</w:t>
      </w:r>
    </w:p>
    <w:p w14:paraId="7F9F381E" w14:textId="77777777" w:rsidR="00D5640A" w:rsidRPr="001F6EF8" w:rsidRDefault="00D5640A" w:rsidP="00D5640A">
      <w:pPr>
        <w:pStyle w:val="Puesto"/>
      </w:pPr>
      <w:r w:rsidRPr="001F6EF8">
        <w:rPr>
          <w:b/>
        </w:rPr>
        <w:t xml:space="preserve">Décimo primero. </w:t>
      </w:r>
      <w:r w:rsidRPr="001F6EF8">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A38CA97" w14:textId="77777777" w:rsidR="00D5640A" w:rsidRPr="001F6EF8" w:rsidRDefault="00D5640A" w:rsidP="00D5640A"/>
    <w:p w14:paraId="0FC0C7B8" w14:textId="77777777" w:rsidR="00D5640A" w:rsidRPr="001F6EF8" w:rsidRDefault="00D5640A" w:rsidP="00D5640A">
      <w:pPr>
        <w:ind w:right="-28"/>
        <w:rPr>
          <w:lang w:eastAsia="es-CO"/>
        </w:rPr>
      </w:pPr>
      <w:r w:rsidRPr="001F6EF8">
        <w:t xml:space="preserve">Consecuentemente, se destaca que la versión pública que elabore </w:t>
      </w:r>
      <w:r w:rsidRPr="001F6EF8">
        <w:rPr>
          <w:b/>
        </w:rPr>
        <w:t>EL SUJETO OBLIGADO</w:t>
      </w:r>
      <w:r w:rsidRPr="001F6EF8">
        <w:t xml:space="preserve"> debe cumplir con las formalidades exigidas en la Ley, por lo que para tal efecto emitirá el </w:t>
      </w:r>
      <w:r w:rsidRPr="001F6EF8">
        <w:rPr>
          <w:b/>
        </w:rPr>
        <w:t>Acuerdo del Comité de Transparencia</w:t>
      </w:r>
      <w:r w:rsidRPr="001F6EF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F6EF8">
        <w:rPr>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1F6EF8">
        <w:rPr>
          <w:lang w:eastAsia="es-CO"/>
        </w:rPr>
        <w:lastRenderedPageBreak/>
        <w:t>exponen de manera puntual las razones, se estaría violentando desde un inicio el derecho de acceso a la información del solicitante.</w:t>
      </w:r>
    </w:p>
    <w:p w14:paraId="71BA8E8B" w14:textId="77777777" w:rsidR="00D5640A" w:rsidRPr="001F6EF8" w:rsidRDefault="00D5640A" w:rsidP="00D5640A">
      <w:pPr>
        <w:ind w:right="-28"/>
        <w:rPr>
          <w:lang w:eastAsia="es-CO"/>
        </w:rPr>
      </w:pPr>
    </w:p>
    <w:p w14:paraId="1CFB6D40" w14:textId="77777777" w:rsidR="00D5640A" w:rsidRPr="001F6EF8" w:rsidRDefault="00D5640A" w:rsidP="00D5640A">
      <w:r w:rsidRPr="001F6EF8">
        <w:t>Es importante señalar que, para el caso en concreto, se deben tomar en consideración adicional  a lo anterior, los siguientes criterios respecto a la información que debe ser, o no, clasificada como confidencial:</w:t>
      </w:r>
    </w:p>
    <w:p w14:paraId="749AE260" w14:textId="77777777" w:rsidR="00D5640A" w:rsidRPr="001F6EF8" w:rsidRDefault="00D5640A" w:rsidP="00D5640A">
      <w:pPr>
        <w:spacing w:before="240" w:after="240"/>
      </w:pPr>
      <w:r w:rsidRPr="001F6EF8">
        <w:t xml:space="preserve">Respecto de los </w:t>
      </w:r>
      <w:r w:rsidRPr="001F6EF8">
        <w:rPr>
          <w:b/>
        </w:rPr>
        <w:t>números de cuentas bancari</w:t>
      </w:r>
      <w:r w:rsidRPr="001F6EF8">
        <w:t xml:space="preserve">as, </w:t>
      </w:r>
      <w:r w:rsidRPr="001F6EF8">
        <w:rPr>
          <w:b/>
        </w:rPr>
        <w:t>claves estandarizadas –interbancarias- (CLABES) y de tarjetas</w:t>
      </w:r>
      <w:r w:rsidRPr="001F6EF8">
        <w:t>, el Pleno de este Instituto ha determinado que esa información debe clasificarse como confidencial, y elaborarse una versión pública en la que se teste la misma.</w:t>
      </w:r>
    </w:p>
    <w:p w14:paraId="74EB6A91" w14:textId="77777777" w:rsidR="00D5640A" w:rsidRPr="001F6EF8" w:rsidRDefault="00D5640A" w:rsidP="00D5640A">
      <w:pPr>
        <w:spacing w:before="240" w:after="240"/>
      </w:pPr>
      <w:r w:rsidRPr="001F6EF8">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66439E3" w14:textId="77777777" w:rsidR="00D5640A" w:rsidRPr="001F6EF8" w:rsidRDefault="00D5640A" w:rsidP="00D5640A">
      <w:pPr>
        <w:spacing w:before="240" w:after="240"/>
      </w:pPr>
      <w:r w:rsidRPr="001F6EF8">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E0D5AA8" w14:textId="77777777" w:rsidR="00D5640A" w:rsidRPr="001F6EF8" w:rsidRDefault="00D5640A" w:rsidP="00D5640A">
      <w:pPr>
        <w:pBdr>
          <w:top w:val="nil"/>
          <w:left w:val="nil"/>
          <w:bottom w:val="nil"/>
          <w:right w:val="nil"/>
          <w:between w:val="nil"/>
        </w:pBdr>
        <w:spacing w:before="240" w:after="240"/>
      </w:pPr>
      <w:r w:rsidRPr="001F6EF8">
        <w:t xml:space="preserve">En esa virtud, este Pleno determina que dicha información no puede ser del dominio público, toda vez que se podría dar un uso inadecuado a la misma o cometer algún ilícito o fraude como ya ha sido expuesto. </w:t>
      </w:r>
    </w:p>
    <w:p w14:paraId="715BCAC7" w14:textId="77777777" w:rsidR="00D5640A" w:rsidRPr="001F6EF8" w:rsidRDefault="00D5640A" w:rsidP="00D5640A">
      <w:pPr>
        <w:spacing w:before="240" w:after="240"/>
      </w:pPr>
      <w:r w:rsidRPr="001F6EF8">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697F15C6" w14:textId="77777777" w:rsidR="00D5640A" w:rsidRPr="001F6EF8" w:rsidRDefault="00D5640A" w:rsidP="00D5640A">
      <w:pPr>
        <w:spacing w:before="240" w:after="240"/>
      </w:pPr>
      <w:r w:rsidRPr="001F6EF8">
        <w:t>Lo argumentado encuentra sustento en los Criterios de interpretación con clave de control SO/010/2017 y SO/011/2017, emitidos por el entonces Instituto Nacional de Transparencia, Acceso a la Información y Protección de Datos Personales, INAI, que llevan por rubro y texto los siguientes:</w:t>
      </w:r>
    </w:p>
    <w:p w14:paraId="4B7332E8" w14:textId="77777777" w:rsidR="00D5640A" w:rsidRPr="001F6EF8" w:rsidRDefault="00D5640A" w:rsidP="00D5640A">
      <w:pPr>
        <w:pStyle w:val="Puesto"/>
        <w:ind w:firstLine="567"/>
      </w:pPr>
      <w:r w:rsidRPr="001F6EF8">
        <w:t>“</w:t>
      </w:r>
      <w:r w:rsidRPr="001F6EF8">
        <w:rPr>
          <w:b/>
        </w:rPr>
        <w:t>Cuentas bancarias y/o CLABE interbancaria de personas físicas y morales privadas.</w:t>
      </w:r>
      <w:r w:rsidRPr="001F6EF8">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D74D04A" w14:textId="77777777" w:rsidR="00D5640A" w:rsidRPr="001F6EF8" w:rsidRDefault="00D5640A" w:rsidP="00D5640A">
      <w:pPr>
        <w:pStyle w:val="Puesto"/>
        <w:ind w:firstLine="567"/>
      </w:pPr>
      <w:r w:rsidRPr="001F6EF8">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56770D7" w14:textId="77777777" w:rsidR="00D5640A" w:rsidRPr="001F6EF8" w:rsidRDefault="00D5640A" w:rsidP="00D5640A">
      <w:pPr>
        <w:spacing w:before="240" w:after="240"/>
      </w:pPr>
      <w:r w:rsidRPr="001F6EF8">
        <w:t xml:space="preserve">Con relación al </w:t>
      </w:r>
      <w:r w:rsidRPr="001F6EF8">
        <w:rPr>
          <w:b/>
        </w:rPr>
        <w:t>número de empleado</w:t>
      </w:r>
      <w:r w:rsidRPr="001F6EF8">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1F6EF8">
        <w:rPr>
          <w:vertAlign w:val="superscript"/>
        </w:rPr>
        <w:footnoteReference w:id="3"/>
      </w:r>
      <w:r w:rsidRPr="001F6EF8">
        <w:t>.</w:t>
      </w:r>
    </w:p>
    <w:p w14:paraId="0C60A64D" w14:textId="77777777" w:rsidR="00D5640A" w:rsidRPr="001F6EF8" w:rsidRDefault="00D5640A" w:rsidP="00D5640A">
      <w:pPr>
        <w:spacing w:before="240" w:after="240"/>
      </w:pPr>
      <w:r w:rsidRPr="001F6EF8">
        <w:lastRenderedPageBreak/>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de interpretación con Clave de control SO/006/2019, que indica lo siguiente:</w:t>
      </w:r>
    </w:p>
    <w:p w14:paraId="72D8824E" w14:textId="77777777" w:rsidR="00D5640A" w:rsidRPr="001F6EF8" w:rsidRDefault="00D5640A" w:rsidP="00D5640A">
      <w:pPr>
        <w:pStyle w:val="Puesto"/>
        <w:ind w:firstLine="567"/>
      </w:pPr>
      <w:r w:rsidRPr="001F6EF8">
        <w:rPr>
          <w:b/>
        </w:rPr>
        <w:t xml:space="preserve">“Número de empleado. </w:t>
      </w:r>
      <w:r w:rsidRPr="001F6EF8">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70BDC39" w14:textId="77777777" w:rsidR="00D5640A" w:rsidRPr="001F6EF8" w:rsidRDefault="00D5640A" w:rsidP="00D5640A">
      <w:pPr>
        <w:spacing w:before="240" w:after="240"/>
      </w:pPr>
      <w:r w:rsidRPr="001F6EF8">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1F6EF8">
        <w:rPr>
          <w:b/>
        </w:rPr>
        <w:t>Sujeto Obligado</w:t>
      </w:r>
      <w:r w:rsidRPr="001F6EF8">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D0C7A82" w14:textId="77777777" w:rsidR="00D5640A" w:rsidRPr="001F6EF8" w:rsidRDefault="00D5640A" w:rsidP="00D5640A">
      <w:pPr>
        <w:spacing w:before="240" w:after="240"/>
      </w:pPr>
      <w:r w:rsidRPr="001F6EF8">
        <w:rPr>
          <w:b/>
        </w:rPr>
        <w:t>De la información fiscal</w:t>
      </w:r>
      <w:r w:rsidRPr="001F6EF8">
        <w:t xml:space="preserve">: </w:t>
      </w:r>
    </w:p>
    <w:p w14:paraId="02C49430" w14:textId="77777777" w:rsidR="00D5640A" w:rsidRPr="001F6EF8" w:rsidRDefault="00D5640A" w:rsidP="00D5640A">
      <w:pPr>
        <w:spacing w:before="240" w:after="240"/>
      </w:pPr>
      <w:r w:rsidRPr="001F6EF8">
        <w:t xml:space="preserve">La </w:t>
      </w:r>
      <w:r w:rsidRPr="001F6EF8">
        <w:rPr>
          <w:b/>
        </w:rPr>
        <w:t>Cadena Original</w:t>
      </w:r>
      <w:r w:rsidRPr="001F6EF8">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1F6EF8">
        <w:rPr>
          <w:b/>
        </w:rPr>
        <w:lastRenderedPageBreak/>
        <w:t>Sujeto Obligado</w:t>
      </w:r>
      <w:r w:rsidRPr="001F6EF8">
        <w:t xml:space="preserve"> analizar dicha circunstancia con la finalidad de proteger, de ser el caso, la información a través de su clasificación por actualizarse el supuesto de confidencialidad.</w:t>
      </w:r>
    </w:p>
    <w:p w14:paraId="4A75A970" w14:textId="77777777" w:rsidR="00D5640A" w:rsidRPr="001F6EF8" w:rsidRDefault="00D5640A" w:rsidP="00D5640A">
      <w:pPr>
        <w:spacing w:before="240" w:after="240"/>
      </w:pPr>
      <w:r w:rsidRPr="001F6EF8">
        <w:t xml:space="preserve">Los </w:t>
      </w:r>
      <w:r w:rsidRPr="001F6EF8">
        <w:rPr>
          <w:b/>
        </w:rPr>
        <w:t>códigos bidimensionales</w:t>
      </w:r>
      <w:r w:rsidRPr="001F6EF8">
        <w:t xml:space="preserve"> o </w:t>
      </w:r>
      <w:r w:rsidRPr="001F6EF8">
        <w:rPr>
          <w:b/>
        </w:rPr>
        <w:t xml:space="preserve">códigos QR, </w:t>
      </w:r>
      <w:r w:rsidRPr="001F6EF8">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1F6EF8">
        <w:rPr>
          <w:b/>
        </w:rPr>
        <w:t>Sujeto Obligado</w:t>
      </w:r>
      <w:r w:rsidRPr="001F6EF8">
        <w:t xml:space="preserve"> analizar dicha circunstancia con la finalidad de determinar si se actualiza algún supuesto de confidencialidad.</w:t>
      </w:r>
    </w:p>
    <w:p w14:paraId="189234EA" w14:textId="1EF209C7" w:rsidR="001C4AD1" w:rsidRPr="001F6EF8" w:rsidRDefault="00D5640A" w:rsidP="00F36792">
      <w:pPr>
        <w:spacing w:before="240" w:after="240"/>
      </w:pPr>
      <w:r w:rsidRPr="001F6EF8">
        <w:t>En tal sentido, si derivado del análisis efectuado por el Sujeto Obligado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0FBA2653" w14:textId="77777777" w:rsidR="00F36792" w:rsidRPr="001F6EF8" w:rsidRDefault="00F36792" w:rsidP="00F36792">
      <w:pPr>
        <w:numPr>
          <w:ilvl w:val="0"/>
          <w:numId w:val="37"/>
        </w:numPr>
        <w:rPr>
          <w:b/>
          <w:color w:val="000000" w:themeColor="text1"/>
        </w:rPr>
      </w:pPr>
      <w:r w:rsidRPr="001F6EF8">
        <w:rPr>
          <w:b/>
          <w:color w:val="000000" w:themeColor="text1"/>
        </w:rPr>
        <w:t>Fotografía.</w:t>
      </w:r>
    </w:p>
    <w:p w14:paraId="735CE81C" w14:textId="77777777" w:rsidR="00F36792" w:rsidRPr="001F6EF8" w:rsidRDefault="00F36792" w:rsidP="00F36792">
      <w:pPr>
        <w:spacing w:before="240" w:after="240"/>
        <w:rPr>
          <w:color w:val="000000" w:themeColor="text1"/>
        </w:rPr>
      </w:pPr>
      <w:r w:rsidRPr="001F6EF8">
        <w:rPr>
          <w:color w:val="000000" w:themeColor="text1"/>
        </w:rPr>
        <w:t>Resulta necesario señalar que el Pleno de este Instituto emitió el criterio 03/2019 cuyo rubro dispone lo siguiente: “Servidores públicos con categoría de mando medio y superior. La fotografía de aquellos es de carácter público”; no obstante, dicho criterio fue interrumpido en términos del artículo 9, fracción XXVII del Reglamento Interior del Instituto de Transparencia, Acceso a la Información Pública y Protección de Datos Personales del Estado de México y Municipios.</w:t>
      </w:r>
    </w:p>
    <w:p w14:paraId="4E416F95" w14:textId="77777777" w:rsidR="00F36792" w:rsidRPr="001F6EF8" w:rsidRDefault="00F36792" w:rsidP="00F36792">
      <w:pPr>
        <w:spacing w:before="240" w:after="240"/>
        <w:rPr>
          <w:color w:val="000000" w:themeColor="text1"/>
        </w:rPr>
      </w:pPr>
      <w:r w:rsidRPr="001F6EF8">
        <w:rPr>
          <w:color w:val="000000" w:themeColor="text1"/>
        </w:rPr>
        <w:lastRenderedPageBreak/>
        <w:t xml:space="preserve">Debido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w:t>
      </w:r>
    </w:p>
    <w:p w14:paraId="3F62993F" w14:textId="77777777" w:rsidR="00F36792" w:rsidRPr="001F6EF8" w:rsidRDefault="00F36792" w:rsidP="00F36792">
      <w:pPr>
        <w:pStyle w:val="NormalWeb"/>
        <w:spacing w:before="240" w:beforeAutospacing="0" w:after="240" w:afterAutospacing="0" w:line="360" w:lineRule="auto"/>
        <w:jc w:val="both"/>
        <w:rPr>
          <w:rFonts w:ascii="Palatino Linotype" w:hAnsi="Palatino Linotype"/>
          <w:color w:val="000000" w:themeColor="text1"/>
          <w:sz w:val="22"/>
          <w:szCs w:val="22"/>
        </w:rPr>
      </w:pPr>
      <w:r w:rsidRPr="001F6EF8">
        <w:rPr>
          <w:rFonts w:ascii="Palatino Linotype" w:hAnsi="Palatino Linotype"/>
          <w:color w:val="000000" w:themeColor="text1"/>
          <w:sz w:val="22"/>
          <w:szCs w:val="22"/>
        </w:rPr>
        <w:t>Asimismo, es de señalar que los documentos que dan cuenta de la preparación académica, sirven como medios de identificación, para que a su titular lo relacionen con el nivel de estudios con que cuenta, es decir, permite verificar el nivel conocimientos con los que cuenta una determinada persona, para ocupar un cargo público; por lo que, acceder a un documento que acredite preparación en algún campo del conocimiento, con la fotografía, proporciona información valiosa sobre la experiencia académica de quienes ocupan cargos en la administración pública, ya que permite conocer con toda certeza y de manera indudable si las personas que se desempeñan como servidores públicos tienen el perfil idóneo para desarrollar las actividades y atribuciones que se deriven de su encargo.</w:t>
      </w:r>
    </w:p>
    <w:p w14:paraId="449DD1DD" w14:textId="77777777" w:rsidR="00F36792" w:rsidRPr="001F6EF8" w:rsidRDefault="00F36792" w:rsidP="00F36792">
      <w:pPr>
        <w:pStyle w:val="NormalWeb"/>
        <w:spacing w:before="240" w:beforeAutospacing="0" w:after="240" w:afterAutospacing="0" w:line="360" w:lineRule="auto"/>
        <w:jc w:val="both"/>
        <w:rPr>
          <w:rFonts w:ascii="Palatino Linotype" w:hAnsi="Palatino Linotype"/>
          <w:color w:val="000000" w:themeColor="text1"/>
          <w:sz w:val="22"/>
          <w:szCs w:val="22"/>
        </w:rPr>
      </w:pPr>
      <w:r w:rsidRPr="001F6EF8">
        <w:rPr>
          <w:rFonts w:ascii="Palatino Linotype" w:hAnsi="Palatino Linotype"/>
          <w:color w:val="000000" w:themeColor="text1"/>
          <w:sz w:val="22"/>
          <w:szCs w:val="22"/>
        </w:rPr>
        <w:t>En este orden de ideas, la entrega con el mayor número de elementos en los documentos que acreditan el nivel académico o de preparación en algún área del conocimiento, aporta elementos de convicción sobre su legalidad y legitimidad, además de que permite verificar que los servidores públicos que ocupan cargos en la administración pública acreditaron el nivel académico que ostentan y en muchas ocasiones esta información también permite verificar su idoneidad para el cargo.</w:t>
      </w:r>
    </w:p>
    <w:p w14:paraId="7588EC2A" w14:textId="77777777" w:rsidR="00F36792" w:rsidRPr="001F6EF8" w:rsidRDefault="00F36792" w:rsidP="00F36792">
      <w:pPr>
        <w:pStyle w:val="NormalWeb"/>
        <w:spacing w:before="240" w:beforeAutospacing="0" w:after="240" w:afterAutospacing="0" w:line="360" w:lineRule="auto"/>
        <w:ind w:right="49"/>
        <w:jc w:val="both"/>
        <w:rPr>
          <w:rFonts w:ascii="Palatino Linotype" w:hAnsi="Palatino Linotype"/>
          <w:color w:val="000000" w:themeColor="text1"/>
          <w:sz w:val="22"/>
          <w:szCs w:val="22"/>
        </w:rPr>
      </w:pPr>
      <w:r w:rsidRPr="001F6EF8">
        <w:rPr>
          <w:rFonts w:ascii="Palatino Linotype" w:hAnsi="Palatino Linotype"/>
          <w:color w:val="000000" w:themeColor="text1"/>
          <w:sz w:val="22"/>
          <w:szCs w:val="22"/>
        </w:rPr>
        <w:t>Además, resulta necesario traer a colación, el Criterio orientador 15/17 emitido por el entonces Instituto Nacional de Transparencia, Acceso a la Información y Protección de Datos Personales, que precisa, que la fotografía localizada en título o cédula profesional guarda la naturaleza de pública, pues existe un interés público de conocer, de manera clara y específica, a la persona que se ostenta con una calidad profesional, tal como se muestra a continuación:</w:t>
      </w:r>
    </w:p>
    <w:p w14:paraId="20D90224" w14:textId="77777777" w:rsidR="00F36792" w:rsidRPr="001F6EF8" w:rsidRDefault="00F36792" w:rsidP="00F36792">
      <w:pPr>
        <w:pStyle w:val="NormalWeb"/>
        <w:spacing w:before="120" w:beforeAutospacing="0" w:after="120" w:afterAutospacing="0"/>
        <w:ind w:left="851" w:right="902"/>
        <w:jc w:val="both"/>
        <w:rPr>
          <w:rFonts w:ascii="Palatino Linotype" w:hAnsi="Palatino Linotype"/>
          <w:i/>
          <w:iCs/>
          <w:color w:val="000000" w:themeColor="text1"/>
          <w:sz w:val="22"/>
          <w:szCs w:val="22"/>
        </w:rPr>
      </w:pPr>
      <w:r w:rsidRPr="001F6EF8">
        <w:rPr>
          <w:rFonts w:ascii="Palatino Linotype" w:hAnsi="Palatino Linotype"/>
          <w:b/>
          <w:bCs/>
          <w:i/>
          <w:iCs/>
          <w:color w:val="000000" w:themeColor="text1"/>
          <w:sz w:val="22"/>
          <w:szCs w:val="22"/>
        </w:rPr>
        <w:lastRenderedPageBreak/>
        <w:t>“Fotografía en título o cédula profesional es de acceso público.</w:t>
      </w:r>
      <w:r w:rsidRPr="001F6EF8">
        <w:rPr>
          <w:rFonts w:ascii="Palatino Linotype" w:hAnsi="Palatino Linotype"/>
          <w:i/>
          <w:iCs/>
          <w:color w:val="000000" w:themeColor="text1"/>
          <w:sz w:val="22"/>
          <w:szCs w:val="22"/>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4033F4B9" w14:textId="77777777" w:rsidR="00F36792" w:rsidRPr="001F6EF8" w:rsidRDefault="00F36792" w:rsidP="00F36792">
      <w:pPr>
        <w:pStyle w:val="NormalWeb"/>
        <w:spacing w:before="240" w:beforeAutospacing="0" w:after="240" w:afterAutospacing="0" w:line="360" w:lineRule="auto"/>
        <w:ind w:right="51"/>
        <w:jc w:val="both"/>
        <w:rPr>
          <w:rFonts w:ascii="Palatino Linotype" w:hAnsi="Palatino Linotype"/>
          <w:color w:val="000000" w:themeColor="text1"/>
          <w:sz w:val="22"/>
          <w:szCs w:val="22"/>
        </w:rPr>
      </w:pPr>
      <w:r w:rsidRPr="001F6EF8">
        <w:rPr>
          <w:rFonts w:ascii="Palatino Linotype" w:hAnsi="Palatino Linotype"/>
          <w:color w:val="000000" w:themeColor="text1"/>
          <w:sz w:val="22"/>
          <w:szCs w:val="22"/>
        </w:rPr>
        <w:t>Conforme al criterio establecido, se podría mencionar que la fotografía de cualquier persona que se encuentre en un título o cédula profesional, no es confidencial; por lo que, dicho dato, para cualquier documento que acredite el nivel de estudios de servidores públicos, tampoco podría considerarse clasificado, ya que permite conocer a la ciudadanía de manera clara al trabajador que se ostenta con una calidad profesional específica; lo anterior, toma hincapié pues entregar la fotografía permite identificar plenamente a su titular, como el profesional capacitado para ejercer la profesión para la cual se le ha autorizado o el que tiene la trayectoria laboral que se indica y, por ende, valorar su idoneidad en la función pública que desempeñe.</w:t>
      </w:r>
    </w:p>
    <w:p w14:paraId="65086FE9" w14:textId="2440284A" w:rsidR="00F36792" w:rsidRPr="001F6EF8" w:rsidRDefault="00F36792" w:rsidP="00F36792">
      <w:pPr>
        <w:spacing w:before="240" w:after="240"/>
        <w:rPr>
          <w:rFonts w:eastAsiaTheme="minorEastAsia" w:cs="Arial"/>
          <w:color w:val="000000" w:themeColor="text1"/>
          <w:lang w:val="es-ES_tradnl"/>
        </w:rPr>
      </w:pPr>
      <w:r w:rsidRPr="001F6EF8">
        <w:rPr>
          <w:color w:val="000000" w:themeColor="text1"/>
          <w:szCs w:val="22"/>
        </w:rPr>
        <w:t>En ese orden de ideas, el actuar de los servidores públicos incide de manera específica en los derechos de los particulares, pues el acto realizado por un trabajador gubernamental en ejercicio de sus funciones, genera derechos y obligaciones, al ser de carácter administrativo, en este sentido, todas las fotografías de los servidores públicos, sin importar su cargo o puesto, es un dato personal, que no puede ser clasificado como confidencial, pues existe un interés público de conocer si en realidad, la persona que se ostenta como trabajador gubernamental, se encuentra en ese encargo; sin que se considere como factor diferenciador el cargo o nivel jerárquico en el que se desempeñe el servidor público. </w:t>
      </w:r>
    </w:p>
    <w:p w14:paraId="7A014736" w14:textId="09606A64" w:rsidR="006A21B4" w:rsidRPr="001F6EF8" w:rsidRDefault="006A21B4" w:rsidP="006A21B4">
      <w:pPr>
        <w:spacing w:line="240" w:lineRule="auto"/>
        <w:ind w:right="539"/>
        <w:jc w:val="center"/>
        <w:rPr>
          <w:rFonts w:eastAsiaTheme="minorEastAsia" w:cs="Arial"/>
          <w:i/>
          <w:color w:val="000000" w:themeColor="text1"/>
          <w:lang w:val="es-ES_tradnl"/>
        </w:rPr>
      </w:pPr>
    </w:p>
    <w:p w14:paraId="57C95B3A" w14:textId="4260EE12" w:rsidR="00D2063D" w:rsidRPr="001F6EF8" w:rsidRDefault="00D2063D" w:rsidP="00460F48">
      <w:pPr>
        <w:rPr>
          <w:rFonts w:cs="Arial"/>
          <w:bCs/>
          <w:szCs w:val="22"/>
          <w:lang w:val="es-ES"/>
        </w:rPr>
      </w:pPr>
    </w:p>
    <w:p w14:paraId="08265D41" w14:textId="24BA9A53" w:rsidR="00876DBC" w:rsidRPr="001F6EF8" w:rsidRDefault="00D5640A" w:rsidP="00A21A20">
      <w:pPr>
        <w:pStyle w:val="Ttulo3"/>
      </w:pPr>
      <w:bookmarkStart w:id="37" w:name="_Toc200541452"/>
      <w:r w:rsidRPr="001F6EF8">
        <w:lastRenderedPageBreak/>
        <w:t>e</w:t>
      </w:r>
      <w:r w:rsidR="00A21A20" w:rsidRPr="001F6EF8">
        <w:t>) Conclusión</w:t>
      </w:r>
      <w:bookmarkEnd w:id="37"/>
    </w:p>
    <w:p w14:paraId="4EBA914A" w14:textId="088557A3" w:rsidR="00091619" w:rsidRPr="001F6EF8" w:rsidRDefault="00460F48" w:rsidP="002568F8">
      <w:pPr>
        <w:ind w:right="-93"/>
        <w:rPr>
          <w:rFonts w:cs="Tahoma"/>
          <w:bCs/>
          <w:szCs w:val="22"/>
        </w:rPr>
      </w:pPr>
      <w:r w:rsidRPr="001F6EF8">
        <w:rPr>
          <w:color w:val="000000"/>
        </w:rPr>
        <w:t xml:space="preserve">En razón de lo anteriormente expuesto, este Instituto estima que las razones o motivos de inconformidad hechos valer por </w:t>
      </w:r>
      <w:r w:rsidRPr="001F6EF8">
        <w:rPr>
          <w:b/>
          <w:color w:val="000000"/>
        </w:rPr>
        <w:t>LA PARTE RECURRENTE</w:t>
      </w:r>
      <w:r w:rsidRPr="001F6EF8">
        <w:rPr>
          <w:color w:val="000000"/>
        </w:rPr>
        <w:t xml:space="preserve"> devienen </w:t>
      </w:r>
      <w:r w:rsidR="006A21B4" w:rsidRPr="001F6EF8">
        <w:rPr>
          <w:color w:val="000000"/>
        </w:rPr>
        <w:t xml:space="preserve">parcialmente </w:t>
      </w:r>
      <w:r w:rsidRPr="001F6EF8">
        <w:rPr>
          <w:b/>
          <w:color w:val="000000"/>
        </w:rPr>
        <w:t>fundadas</w:t>
      </w:r>
      <w:r w:rsidRPr="001F6EF8">
        <w:rPr>
          <w:color w:val="000000"/>
        </w:rPr>
        <w:t xml:space="preserve"> y suficientes para </w:t>
      </w:r>
      <w:r w:rsidR="006A21B4" w:rsidRPr="001F6EF8">
        <w:rPr>
          <w:b/>
          <w:color w:val="000000"/>
        </w:rPr>
        <w:t>MODIFICA</w:t>
      </w:r>
      <w:r w:rsidRPr="001F6EF8">
        <w:rPr>
          <w:color w:val="000000"/>
        </w:rPr>
        <w:t xml:space="preserve"> la respuesta del </w:t>
      </w:r>
      <w:r w:rsidRPr="001F6EF8">
        <w:rPr>
          <w:b/>
          <w:color w:val="000000"/>
        </w:rPr>
        <w:t>SUJETO OBLIGADO</w:t>
      </w:r>
      <w:r w:rsidRPr="001F6EF8">
        <w:rPr>
          <w:color w:val="000000"/>
        </w:rPr>
        <w:t xml:space="preserve"> y ordenarle haga entrega de la información materia de la solicitud.</w:t>
      </w:r>
    </w:p>
    <w:p w14:paraId="6C62B55B" w14:textId="77777777" w:rsidR="002568F8" w:rsidRPr="001F6EF8" w:rsidRDefault="002568F8" w:rsidP="002568F8">
      <w:pPr>
        <w:ind w:right="-93"/>
        <w:rPr>
          <w:rFonts w:cs="Tahoma"/>
          <w:bCs/>
          <w:szCs w:val="22"/>
        </w:rPr>
      </w:pPr>
    </w:p>
    <w:p w14:paraId="6B187DC8" w14:textId="62F5F716" w:rsidR="002568F8" w:rsidRPr="001F6EF8" w:rsidRDefault="002568F8" w:rsidP="002568F8">
      <w:pPr>
        <w:ind w:right="-93"/>
        <w:rPr>
          <w:rFonts w:cs="Tahoma"/>
          <w:bCs/>
          <w:szCs w:val="22"/>
        </w:rPr>
      </w:pPr>
      <w:r w:rsidRPr="001F6EF8">
        <w:rPr>
          <w:rFonts w:cs="Tahoma"/>
          <w:bCs/>
          <w:szCs w:val="22"/>
        </w:rPr>
        <w:t xml:space="preserve">Así, con fundamento en lo establecido en los artículos 5, </w:t>
      </w:r>
      <w:r w:rsidR="00145467" w:rsidRPr="001F6EF8">
        <w:rPr>
          <w:color w:val="000000" w:themeColor="text1"/>
        </w:rPr>
        <w:t>párrafos trigésimo séptimo,  trigésimo octavo y trigésimo noveno</w:t>
      </w:r>
      <w:r w:rsidRPr="001F6EF8">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74F0164" w14:textId="77777777" w:rsidR="00FE78C8" w:rsidRPr="001F6EF8" w:rsidRDefault="00FE78C8" w:rsidP="00A21A20">
      <w:pPr>
        <w:ind w:right="-93"/>
        <w:rPr>
          <w:rFonts w:cs="Tahoma"/>
          <w:bCs/>
          <w:szCs w:val="22"/>
        </w:rPr>
      </w:pPr>
    </w:p>
    <w:p w14:paraId="5C396097" w14:textId="2AC71BBE" w:rsidR="00664420" w:rsidRPr="001F6EF8" w:rsidRDefault="00664420" w:rsidP="00A21A20">
      <w:pPr>
        <w:pStyle w:val="Ttulo1"/>
      </w:pPr>
      <w:bookmarkStart w:id="38" w:name="_Toc200541453"/>
      <w:r w:rsidRPr="001F6EF8">
        <w:t>RESUELVE</w:t>
      </w:r>
      <w:bookmarkEnd w:id="38"/>
    </w:p>
    <w:p w14:paraId="203B7093" w14:textId="77777777" w:rsidR="00664420" w:rsidRPr="001F6EF8" w:rsidRDefault="00664420" w:rsidP="00664420">
      <w:pPr>
        <w:ind w:right="113"/>
        <w:rPr>
          <w:rFonts w:cs="Arial"/>
          <w:b/>
          <w:szCs w:val="22"/>
        </w:rPr>
      </w:pPr>
    </w:p>
    <w:p w14:paraId="40DE562B" w14:textId="3018281E" w:rsidR="00FC3CE0" w:rsidRPr="001F6EF8" w:rsidRDefault="00FC3CE0" w:rsidP="00FC3CE0">
      <w:pPr>
        <w:widowControl w:val="0"/>
        <w:rPr>
          <w:rFonts w:eastAsia="Calibri" w:cs="Tahoma"/>
          <w:bCs/>
          <w:szCs w:val="22"/>
          <w:lang w:eastAsia="en-US"/>
        </w:rPr>
      </w:pPr>
      <w:r w:rsidRPr="001F6EF8">
        <w:rPr>
          <w:b/>
          <w:bCs/>
        </w:rPr>
        <w:t>PRIMERO.</w:t>
      </w:r>
      <w:r w:rsidRPr="001F6EF8">
        <w:t xml:space="preserve"> </w:t>
      </w:r>
      <w:r w:rsidR="00460F48" w:rsidRPr="001F6EF8">
        <w:t xml:space="preserve">Se </w:t>
      </w:r>
      <w:r w:rsidR="006A21B4" w:rsidRPr="001F6EF8">
        <w:rPr>
          <w:b/>
        </w:rPr>
        <w:t>MODIFICA</w:t>
      </w:r>
      <w:r w:rsidR="00460F48" w:rsidRPr="001F6EF8">
        <w:rPr>
          <w:b/>
        </w:rPr>
        <w:t xml:space="preserve"> </w:t>
      </w:r>
      <w:r w:rsidR="00460F48" w:rsidRPr="001F6EF8">
        <w:t xml:space="preserve">la respuesta entregada por el </w:t>
      </w:r>
      <w:r w:rsidR="00460F48" w:rsidRPr="001F6EF8">
        <w:rPr>
          <w:b/>
        </w:rPr>
        <w:t>SUJETO OBLIGADO</w:t>
      </w:r>
      <w:r w:rsidR="00460F48" w:rsidRPr="001F6EF8">
        <w:t xml:space="preserve"> en la solicitud de información </w:t>
      </w:r>
      <w:r w:rsidR="00D5640A" w:rsidRPr="001F6EF8">
        <w:rPr>
          <w:rFonts w:cs="Tahoma"/>
          <w:b/>
        </w:rPr>
        <w:t>01756/TOLUCA/IP/2025</w:t>
      </w:r>
      <w:r w:rsidR="00460F48" w:rsidRPr="001F6EF8">
        <w:t xml:space="preserve">, por resultar </w:t>
      </w:r>
      <w:r w:rsidR="00460F48" w:rsidRPr="001F6EF8">
        <w:rPr>
          <w:b/>
        </w:rPr>
        <w:t>FUNDADAS</w:t>
      </w:r>
      <w:r w:rsidR="00460F48" w:rsidRPr="001F6EF8">
        <w:t xml:space="preserve"> las razones o motivos de inconformidad hechos valer por </w:t>
      </w:r>
      <w:r w:rsidR="00460F48" w:rsidRPr="001F6EF8">
        <w:rPr>
          <w:b/>
        </w:rPr>
        <w:t>LA PARTE RECURRENTE</w:t>
      </w:r>
      <w:r w:rsidR="00460F48" w:rsidRPr="001F6EF8">
        <w:t xml:space="preserve"> en el Recurso de Revisión </w:t>
      </w:r>
      <w:r w:rsidR="00D5640A" w:rsidRPr="001F6EF8">
        <w:rPr>
          <w:rFonts w:eastAsiaTheme="minorHAnsi" w:cstheme="minorBidi"/>
          <w:b/>
          <w:bCs/>
          <w:color w:val="000000" w:themeColor="text1"/>
          <w:szCs w:val="22"/>
          <w:lang w:eastAsia="en-US"/>
        </w:rPr>
        <w:t>04482/INFOEM/IP/RR/2025</w:t>
      </w:r>
      <w:r w:rsidR="00460F48" w:rsidRPr="001F6EF8">
        <w:t>,</w:t>
      </w:r>
      <w:r w:rsidR="00460F48" w:rsidRPr="001F6EF8">
        <w:rPr>
          <w:b/>
        </w:rPr>
        <w:t xml:space="preserve"> </w:t>
      </w:r>
      <w:r w:rsidR="00460F48" w:rsidRPr="001F6EF8">
        <w:t xml:space="preserve">en términos del considerando </w:t>
      </w:r>
      <w:r w:rsidR="00460F48" w:rsidRPr="001F6EF8">
        <w:rPr>
          <w:b/>
        </w:rPr>
        <w:t>SEGUNDO</w:t>
      </w:r>
      <w:r w:rsidR="00460F48" w:rsidRPr="001F6EF8">
        <w:t xml:space="preserve"> de la presente Resolución</w:t>
      </w:r>
      <w:r w:rsidRPr="001F6EF8">
        <w:rPr>
          <w:rFonts w:eastAsia="Calibri" w:cs="Tahoma"/>
          <w:bCs/>
          <w:szCs w:val="22"/>
          <w:lang w:eastAsia="en-US"/>
        </w:rPr>
        <w:t>.</w:t>
      </w:r>
    </w:p>
    <w:p w14:paraId="78D4A482" w14:textId="77777777" w:rsidR="00FC3CE0" w:rsidRPr="001F6EF8" w:rsidRDefault="00FC3CE0" w:rsidP="00FC3CE0">
      <w:pPr>
        <w:widowControl w:val="0"/>
        <w:rPr>
          <w:rFonts w:eastAsia="Calibri" w:cs="Tahoma"/>
          <w:bCs/>
          <w:szCs w:val="22"/>
          <w:lang w:eastAsia="en-US"/>
        </w:rPr>
      </w:pPr>
    </w:p>
    <w:p w14:paraId="0B820921" w14:textId="0052144D" w:rsidR="00FC3CE0" w:rsidRPr="001F6EF8" w:rsidRDefault="00460F48" w:rsidP="00DD5F50">
      <w:pPr>
        <w:ind w:right="-93"/>
      </w:pPr>
      <w:r w:rsidRPr="001F6EF8">
        <w:rPr>
          <w:rFonts w:eastAsia="Calibri" w:cs="Tahoma"/>
          <w:b/>
          <w:bCs/>
          <w:szCs w:val="22"/>
          <w:lang w:eastAsia="en-US"/>
        </w:rPr>
        <w:t>SEGUNDO.</w:t>
      </w:r>
      <w:r w:rsidRPr="001F6EF8">
        <w:rPr>
          <w:rFonts w:eastAsia="Calibri" w:cs="Tahoma"/>
          <w:szCs w:val="22"/>
          <w:lang w:eastAsia="es-MX"/>
        </w:rPr>
        <w:t xml:space="preserve"> </w:t>
      </w:r>
      <w:r w:rsidRPr="001F6EF8">
        <w:t xml:space="preserve">Se </w:t>
      </w:r>
      <w:r w:rsidRPr="001F6EF8">
        <w:rPr>
          <w:b/>
        </w:rPr>
        <w:t xml:space="preserve">ORDENA </w:t>
      </w:r>
      <w:r w:rsidRPr="001F6EF8">
        <w:t xml:space="preserve">al </w:t>
      </w:r>
      <w:r w:rsidRPr="001F6EF8">
        <w:rPr>
          <w:b/>
        </w:rPr>
        <w:t>SUJETO OBLIGADO</w:t>
      </w:r>
      <w:r w:rsidRPr="001F6EF8">
        <w:t xml:space="preserve">, a efecto de que entregue a través del </w:t>
      </w:r>
      <w:r w:rsidRPr="001F6EF8">
        <w:rPr>
          <w:b/>
        </w:rPr>
        <w:t>SAIMEX</w:t>
      </w:r>
      <w:r w:rsidRPr="001F6EF8">
        <w:t>, lo siguiente:</w:t>
      </w:r>
    </w:p>
    <w:p w14:paraId="1A990A26" w14:textId="77777777" w:rsidR="00460F48" w:rsidRPr="001F6EF8" w:rsidRDefault="00460F48" w:rsidP="00DD5F50">
      <w:pPr>
        <w:ind w:right="-93"/>
      </w:pPr>
    </w:p>
    <w:p w14:paraId="2703F477" w14:textId="019A8C2B" w:rsidR="001C4AD1" w:rsidRDefault="00D5640A" w:rsidP="000D59EB">
      <w:pPr>
        <w:pStyle w:val="Puesto"/>
        <w:numPr>
          <w:ilvl w:val="0"/>
          <w:numId w:val="38"/>
        </w:numPr>
      </w:pPr>
      <w:r w:rsidRPr="001F6EF8">
        <w:t xml:space="preserve">Las acciones o programas implementados para combatir el maltrato animal en el municipio de Toluca del </w:t>
      </w:r>
      <w:r w:rsidR="00567890" w:rsidRPr="001F6EF8">
        <w:t>21</w:t>
      </w:r>
      <w:r w:rsidRPr="001F6EF8">
        <w:t xml:space="preserve"> de </w:t>
      </w:r>
      <w:r w:rsidR="00567890" w:rsidRPr="001F6EF8">
        <w:t>marzo de 2024 al 21 de marzo de 2025</w:t>
      </w:r>
      <w:r w:rsidR="001C4AD1" w:rsidRPr="001F6EF8">
        <w:t>.</w:t>
      </w:r>
    </w:p>
    <w:p w14:paraId="667D62A8" w14:textId="77777777" w:rsidR="000D59EB" w:rsidRPr="000D59EB" w:rsidRDefault="000D59EB" w:rsidP="000D59EB"/>
    <w:p w14:paraId="62C7C6EC" w14:textId="6505F187" w:rsidR="00D5640A" w:rsidRPr="001F6EF8" w:rsidRDefault="00DD046E" w:rsidP="00DD046E">
      <w:pPr>
        <w:pStyle w:val="Puesto"/>
      </w:pPr>
      <w:r w:rsidRPr="001F6EF8">
        <w:rPr>
          <w:b/>
        </w:rPr>
        <w:lastRenderedPageBreak/>
        <w:t xml:space="preserve">b) </w:t>
      </w:r>
      <w:r w:rsidR="00D5640A" w:rsidRPr="001F6EF8">
        <w:t xml:space="preserve">El recibo de nómina correspondiente a la primera quincena del mes de marzo de </w:t>
      </w:r>
      <w:r w:rsidR="00567890" w:rsidRPr="001F6EF8">
        <w:t xml:space="preserve">2025 </w:t>
      </w:r>
      <w:r w:rsidR="00D5640A" w:rsidRPr="001F6EF8">
        <w:t>de los servidores públicos adscrito al Centro de Control y Bienestar Animal.</w:t>
      </w:r>
    </w:p>
    <w:p w14:paraId="2491222E" w14:textId="77777777" w:rsidR="00567890" w:rsidRPr="001F6EF8" w:rsidRDefault="00567890" w:rsidP="00567890"/>
    <w:p w14:paraId="69899BE9" w14:textId="650E018B" w:rsidR="00D5640A" w:rsidRPr="001F6EF8" w:rsidRDefault="00DD046E" w:rsidP="00DD046E">
      <w:pPr>
        <w:pStyle w:val="Puesto"/>
      </w:pPr>
      <w:r w:rsidRPr="001F6EF8">
        <w:rPr>
          <w:b/>
        </w:rPr>
        <w:t>c)</w:t>
      </w:r>
      <w:r w:rsidRPr="001F6EF8">
        <w:t xml:space="preserve"> </w:t>
      </w:r>
      <w:r w:rsidR="00567890" w:rsidRPr="001F6EF8">
        <w:t>El currí</w:t>
      </w:r>
      <w:r w:rsidR="00D5640A" w:rsidRPr="001F6EF8">
        <w:t xml:space="preserve">culum vitae </w:t>
      </w:r>
      <w:r w:rsidR="00567890" w:rsidRPr="001F6EF8">
        <w:t xml:space="preserve">o documento análogo </w:t>
      </w:r>
      <w:r w:rsidR="00D5640A" w:rsidRPr="001F6EF8">
        <w:t>de los servidores públicos adscritos al Centro de Control y Bienestar Animal</w:t>
      </w:r>
      <w:r w:rsidR="00D5640A" w:rsidRPr="001F6EF8">
        <w:rPr>
          <w:b/>
        </w:rPr>
        <w:t xml:space="preserve"> </w:t>
      </w:r>
      <w:r w:rsidR="00D5640A" w:rsidRPr="001F6EF8">
        <w:t>al</w:t>
      </w:r>
      <w:r w:rsidR="00567890" w:rsidRPr="001F6EF8">
        <w:t xml:space="preserve"> 21 de marzo de 2025</w:t>
      </w:r>
      <w:r w:rsidR="00D5640A" w:rsidRPr="001F6EF8">
        <w:t>.</w:t>
      </w:r>
    </w:p>
    <w:p w14:paraId="392B1E7C" w14:textId="77777777" w:rsidR="006F36BA" w:rsidRPr="001F6EF8" w:rsidRDefault="006F36BA" w:rsidP="00DD5F50">
      <w:pPr>
        <w:ind w:right="-93"/>
      </w:pPr>
    </w:p>
    <w:p w14:paraId="14DE9E39" w14:textId="77777777" w:rsidR="00D5640A" w:rsidRPr="001F6EF8" w:rsidRDefault="00D5640A" w:rsidP="00DD046E">
      <w:pPr>
        <w:ind w:right="-93"/>
      </w:pPr>
      <w:r w:rsidRPr="001F6EF8">
        <w:t>De ser necesarias las versiones públicas, deberá hacer entrega del Acuerdo del Comité de Transparencia mediante el cual se apruebe la clasificación de información, en términos del artículo 49, fracción VIII de la Ley de Transparencia y Acceso a la Información Pública del Estado de México y Municipios.</w:t>
      </w:r>
    </w:p>
    <w:p w14:paraId="3B68A0F6" w14:textId="77777777" w:rsidR="00D5640A" w:rsidRPr="001F6EF8" w:rsidRDefault="00D5640A" w:rsidP="00D5640A">
      <w:pPr>
        <w:pStyle w:val="Prrafodelista"/>
        <w:ind w:right="-93"/>
        <w:rPr>
          <w:rFonts w:eastAsia="Calibri" w:cs="Tahoma"/>
          <w:bCs/>
          <w:color w:val="000000" w:themeColor="text1"/>
          <w:szCs w:val="22"/>
          <w:lang w:eastAsia="en-US"/>
        </w:rPr>
      </w:pPr>
    </w:p>
    <w:p w14:paraId="16A4F4E2" w14:textId="634115DD" w:rsidR="00FC3CE0" w:rsidRPr="001F6EF8" w:rsidRDefault="00460F48" w:rsidP="00FC3CE0">
      <w:r w:rsidRPr="001F6EF8">
        <w:rPr>
          <w:b/>
          <w:bCs/>
        </w:rPr>
        <w:t>TERCERO.</w:t>
      </w:r>
      <w:r w:rsidRPr="001F6EF8">
        <w:t xml:space="preserve"> </w:t>
      </w:r>
      <w:r w:rsidRPr="001F6EF8">
        <w:rPr>
          <w:b/>
        </w:rPr>
        <w:t xml:space="preserve">Notifíquese </w:t>
      </w:r>
      <w:r w:rsidRPr="001F6EF8">
        <w:t xml:space="preserve">vía Sistema de Acceso a la Información Mexiquense </w:t>
      </w:r>
      <w:r w:rsidRPr="001F6EF8">
        <w:rPr>
          <w:b/>
        </w:rPr>
        <w:t>(SAIMEX)</w:t>
      </w:r>
      <w:r w:rsidRPr="001F6EF8">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15336ED" w14:textId="77777777" w:rsidR="00FC3CE0" w:rsidRPr="001F6EF8" w:rsidRDefault="00FC3CE0" w:rsidP="00FC3CE0"/>
    <w:p w14:paraId="006EFE1D" w14:textId="39E16949" w:rsidR="00FC3CE0" w:rsidRPr="001F6EF8" w:rsidRDefault="00460F48" w:rsidP="00FC3CE0">
      <w:pPr>
        <w:rPr>
          <w:b/>
        </w:rPr>
      </w:pPr>
      <w:r w:rsidRPr="001F6EF8">
        <w:rPr>
          <w:b/>
          <w:bCs/>
        </w:rPr>
        <w:t>CUARTO</w:t>
      </w:r>
      <w:r w:rsidRPr="001F6EF8">
        <w:t xml:space="preserve">. Notifíquese a </w:t>
      </w:r>
      <w:r w:rsidRPr="001F6EF8">
        <w:rPr>
          <w:b/>
        </w:rPr>
        <w:t>LA PARTE RECURRENTE</w:t>
      </w:r>
      <w:r w:rsidRPr="001F6EF8">
        <w:t xml:space="preserve"> la presente resolución vía Sistema de Acceso a la Información Mexiquense </w:t>
      </w:r>
      <w:r w:rsidRPr="001F6EF8">
        <w:rPr>
          <w:b/>
        </w:rPr>
        <w:t>(SAIMEX).</w:t>
      </w:r>
    </w:p>
    <w:p w14:paraId="1790DF1A" w14:textId="77777777" w:rsidR="00460F48" w:rsidRPr="001F6EF8" w:rsidRDefault="00460F48" w:rsidP="00FC3CE0">
      <w:pPr>
        <w:rPr>
          <w:b/>
        </w:rPr>
      </w:pPr>
    </w:p>
    <w:p w14:paraId="2BCBAA29" w14:textId="491F2DBC" w:rsidR="00460F48" w:rsidRPr="001F6EF8" w:rsidRDefault="00460F48" w:rsidP="00FC3CE0">
      <w:r w:rsidRPr="001F6EF8">
        <w:rPr>
          <w:b/>
        </w:rPr>
        <w:t>QUINTO</w:t>
      </w:r>
      <w:r w:rsidRPr="001F6EF8">
        <w:t xml:space="preserve">. Hágase del conocimiento a </w:t>
      </w:r>
      <w:r w:rsidRPr="001F6EF8">
        <w:rPr>
          <w:b/>
        </w:rPr>
        <w:t>LA PARTE RECURRENTE</w:t>
      </w:r>
      <w:r w:rsidRPr="001F6EF8">
        <w:t xml:space="preserve"> que, de conformidad con lo establecido en el artículo 196 de la Ley de Transparencia y Acceso a la Información Pública </w:t>
      </w:r>
      <w:r w:rsidRPr="001F6EF8">
        <w:lastRenderedPageBreak/>
        <w:t>del Estado de México y Municipios, podrá impugnar la presente resolución vía Juicio de Amparo en los términos de las leyes aplicables.</w:t>
      </w:r>
    </w:p>
    <w:p w14:paraId="4C2A667A" w14:textId="77777777" w:rsidR="00460F48" w:rsidRPr="001F6EF8" w:rsidRDefault="00460F48" w:rsidP="00FC3CE0"/>
    <w:p w14:paraId="11AA46B7" w14:textId="22A58170" w:rsidR="00460F48" w:rsidRPr="001F6EF8" w:rsidRDefault="00460F48" w:rsidP="00FC3CE0">
      <w:r w:rsidRPr="001F6EF8">
        <w:rPr>
          <w:b/>
        </w:rPr>
        <w:t>SEXTO.</w:t>
      </w:r>
      <w:r w:rsidRPr="001F6EF8">
        <w:t xml:space="preserve"> De conformidad con el artículo 198 de la Ley de Transparencia y Acceso a la Información Pública del Estado de México y Municipios, el </w:t>
      </w:r>
      <w:r w:rsidRPr="001F6EF8">
        <w:rPr>
          <w:b/>
        </w:rPr>
        <w:t>SUJETO OBLIGADO</w:t>
      </w:r>
      <w:r w:rsidRPr="001F6EF8">
        <w:t xml:space="preserve"> podrá solicitar una ampliación de plazo de manera fundada y motivada, para el cumplimiento de la presente resolución.</w:t>
      </w:r>
    </w:p>
    <w:p w14:paraId="2BC8564F" w14:textId="77777777" w:rsidR="00FC3CE0" w:rsidRPr="001F6EF8" w:rsidRDefault="00FC3CE0" w:rsidP="00664420">
      <w:pPr>
        <w:ind w:right="113"/>
        <w:rPr>
          <w:rFonts w:cs="Arial"/>
          <w:b/>
          <w:szCs w:val="22"/>
        </w:rPr>
      </w:pPr>
    </w:p>
    <w:p w14:paraId="719A5C63" w14:textId="5BC36B23" w:rsidR="00664420" w:rsidRPr="001F6EF8" w:rsidRDefault="00664420" w:rsidP="00664420">
      <w:pPr>
        <w:rPr>
          <w:rFonts w:eastAsia="Palatino Linotype" w:cs="Palatino Linotype"/>
          <w:color w:val="000000"/>
          <w:szCs w:val="22"/>
        </w:rPr>
      </w:pPr>
      <w:r w:rsidRPr="001F6EF8">
        <w:rPr>
          <w:rFonts w:eastAsia="Palatino Linotype" w:cs="Palatino Linotype"/>
          <w:color w:val="000000"/>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1C70B6">
        <w:rPr>
          <w:rFonts w:eastAsia="Palatino Linotype" w:cs="Palatino Linotype"/>
          <w:color w:val="000000"/>
          <w:szCs w:val="22"/>
        </w:rPr>
        <w:t xml:space="preserve"> </w:t>
      </w:r>
      <w:r w:rsidR="001C70B6">
        <w:t>EMITIENDO VOTO PARTICULAR</w:t>
      </w:r>
      <w:r w:rsidRPr="001F6EF8">
        <w:rPr>
          <w:rFonts w:eastAsia="Palatino Linotype" w:cs="Palatino Linotype"/>
          <w:color w:val="000000"/>
          <w:szCs w:val="22"/>
        </w:rPr>
        <w:t xml:space="preserve">, EN LA </w:t>
      </w:r>
      <w:r w:rsidR="00D5640A" w:rsidRPr="001F6EF8">
        <w:rPr>
          <w:rFonts w:eastAsia="Palatino Linotype" w:cs="Palatino Linotype"/>
          <w:color w:val="000000"/>
          <w:szCs w:val="22"/>
        </w:rPr>
        <w:t>VIGÉSIMA PRIMERA</w:t>
      </w:r>
      <w:r w:rsidR="00A343B5" w:rsidRPr="001F6EF8">
        <w:rPr>
          <w:rFonts w:eastAsia="Palatino Linotype" w:cs="Palatino Linotype"/>
          <w:color w:val="000000"/>
          <w:szCs w:val="22"/>
        </w:rPr>
        <w:t xml:space="preserve"> SESIÓN ORDINARIA, CELEBRADA EL </w:t>
      </w:r>
      <w:r w:rsidR="00D5640A" w:rsidRPr="001F6EF8">
        <w:rPr>
          <w:rFonts w:eastAsia="Palatino Linotype" w:cs="Palatino Linotype"/>
          <w:color w:val="000000"/>
          <w:szCs w:val="22"/>
        </w:rPr>
        <w:t>ONCE DE JUNIO</w:t>
      </w:r>
      <w:r w:rsidR="00A343B5" w:rsidRPr="001F6EF8">
        <w:rPr>
          <w:rFonts w:eastAsia="Palatino Linotype" w:cs="Palatino Linotype"/>
          <w:color w:val="000000"/>
          <w:szCs w:val="22"/>
        </w:rPr>
        <w:t xml:space="preserve"> DE DOS MIL VEINTICINCO</w:t>
      </w:r>
      <w:r w:rsidRPr="001F6EF8">
        <w:rPr>
          <w:rFonts w:eastAsia="Palatino Linotype" w:cs="Palatino Linotype"/>
          <w:color w:val="000000"/>
          <w:szCs w:val="22"/>
        </w:rPr>
        <w:t>, ANTE EL SECRETARIO TÉCNICO DEL PLENO, ALEXIS TAPIA RAMÍREZ.</w:t>
      </w:r>
    </w:p>
    <w:p w14:paraId="49D72DA3" w14:textId="2AF1031A" w:rsidR="00664420" w:rsidRPr="009334C7" w:rsidRDefault="006F36BA" w:rsidP="00664420">
      <w:pPr>
        <w:ind w:right="-93"/>
        <w:rPr>
          <w:rFonts w:eastAsia="Calibri" w:cs="Tahoma"/>
          <w:bCs/>
          <w:color w:val="000000"/>
          <w:szCs w:val="22"/>
          <w:lang w:eastAsia="en-US"/>
        </w:rPr>
      </w:pPr>
      <w:r w:rsidRPr="001F6EF8">
        <w:rPr>
          <w:rFonts w:eastAsia="Palatino Linotype" w:cs="Palatino Linotype"/>
          <w:color w:val="000000"/>
          <w:sz w:val="20"/>
        </w:rPr>
        <w:t>SCMM/AGZ/DEMF/CDFE</w:t>
      </w:r>
    </w:p>
    <w:p w14:paraId="5EFEA0CD" w14:textId="77777777" w:rsidR="00664420" w:rsidRPr="00885298" w:rsidRDefault="00664420" w:rsidP="00664420">
      <w:pPr>
        <w:ind w:right="-93"/>
        <w:rPr>
          <w:rFonts w:eastAsia="Calibri" w:cs="Tahoma"/>
          <w:szCs w:val="22"/>
          <w:lang w:val="es-ES"/>
        </w:rPr>
      </w:pPr>
    </w:p>
    <w:p w14:paraId="696BC976" w14:textId="77777777" w:rsidR="00664420" w:rsidRPr="00885298" w:rsidRDefault="00664420" w:rsidP="00664420">
      <w:pPr>
        <w:ind w:right="-93"/>
        <w:rPr>
          <w:rFonts w:eastAsia="Calibri" w:cs="Tahoma"/>
          <w:bCs/>
          <w:szCs w:val="22"/>
          <w:lang w:val="es-ES" w:eastAsia="en-US"/>
        </w:rPr>
      </w:pPr>
    </w:p>
    <w:p w14:paraId="671CB0C5" w14:textId="77777777" w:rsidR="00664420" w:rsidRPr="00885298" w:rsidRDefault="00664420" w:rsidP="00664420">
      <w:pPr>
        <w:ind w:right="-93"/>
        <w:rPr>
          <w:rFonts w:eastAsia="Calibri" w:cs="Tahoma"/>
          <w:bCs/>
          <w:szCs w:val="22"/>
          <w:lang w:val="es-ES_tradnl" w:eastAsia="en-US"/>
        </w:rPr>
      </w:pPr>
    </w:p>
    <w:p w14:paraId="52B66DE7" w14:textId="77777777" w:rsidR="00664420" w:rsidRPr="00885298" w:rsidRDefault="00664420" w:rsidP="00664420">
      <w:pPr>
        <w:ind w:right="-93"/>
        <w:rPr>
          <w:rFonts w:eastAsia="Calibri" w:cs="Tahoma"/>
          <w:bCs/>
          <w:szCs w:val="22"/>
          <w:lang w:val="es-ES_tradnl" w:eastAsia="en-US"/>
        </w:rPr>
      </w:pPr>
    </w:p>
    <w:p w14:paraId="3BA305D1" w14:textId="77777777" w:rsidR="00664420" w:rsidRPr="00885298" w:rsidRDefault="00664420" w:rsidP="00664420">
      <w:pPr>
        <w:ind w:right="-93"/>
        <w:rPr>
          <w:rFonts w:eastAsia="Calibri" w:cs="Tahoma"/>
          <w:bCs/>
          <w:szCs w:val="22"/>
          <w:lang w:val="es-ES_tradnl" w:eastAsia="en-US"/>
        </w:rPr>
      </w:pPr>
    </w:p>
    <w:p w14:paraId="78230707" w14:textId="77777777" w:rsidR="00664420" w:rsidRPr="00885298" w:rsidRDefault="00664420" w:rsidP="00664420">
      <w:pPr>
        <w:ind w:right="-93"/>
        <w:rPr>
          <w:rFonts w:eastAsia="Calibri" w:cs="Tahoma"/>
          <w:bCs/>
          <w:szCs w:val="22"/>
          <w:lang w:val="es-ES_tradnl" w:eastAsia="en-US"/>
        </w:rPr>
      </w:pPr>
    </w:p>
    <w:p w14:paraId="72D18B28" w14:textId="77777777" w:rsidR="00664420" w:rsidRPr="00885298" w:rsidRDefault="00664420" w:rsidP="00664420">
      <w:pPr>
        <w:ind w:right="-93"/>
        <w:rPr>
          <w:rFonts w:eastAsia="Calibri" w:cs="Tahoma"/>
          <w:bCs/>
          <w:szCs w:val="22"/>
          <w:lang w:val="es-ES_tradnl" w:eastAsia="en-US"/>
        </w:rPr>
      </w:pPr>
    </w:p>
    <w:p w14:paraId="6BD461DC" w14:textId="77777777" w:rsidR="00664420" w:rsidRPr="00885298" w:rsidRDefault="00664420" w:rsidP="00664420">
      <w:pPr>
        <w:tabs>
          <w:tab w:val="center" w:pos="4568"/>
        </w:tabs>
        <w:ind w:right="-93"/>
        <w:rPr>
          <w:rFonts w:eastAsia="Calibri" w:cs="Tahoma"/>
          <w:bCs/>
          <w:szCs w:val="22"/>
          <w:lang w:eastAsia="en-US"/>
        </w:rPr>
      </w:pPr>
    </w:p>
    <w:p w14:paraId="4DBB1727" w14:textId="77777777" w:rsidR="00664420" w:rsidRPr="00885298" w:rsidRDefault="00664420" w:rsidP="00664420">
      <w:pPr>
        <w:tabs>
          <w:tab w:val="center" w:pos="4568"/>
        </w:tabs>
        <w:ind w:right="-93"/>
        <w:rPr>
          <w:rFonts w:eastAsia="Calibri" w:cs="Tahoma"/>
          <w:bCs/>
          <w:szCs w:val="22"/>
          <w:lang w:eastAsia="en-US"/>
        </w:rPr>
      </w:pPr>
    </w:p>
    <w:p w14:paraId="1D74121B" w14:textId="77777777" w:rsidR="00664420" w:rsidRPr="00885298" w:rsidRDefault="00664420" w:rsidP="00664420">
      <w:pPr>
        <w:tabs>
          <w:tab w:val="center" w:pos="4568"/>
        </w:tabs>
        <w:ind w:right="-93"/>
        <w:rPr>
          <w:rFonts w:eastAsia="Calibri" w:cs="Tahoma"/>
          <w:bCs/>
          <w:szCs w:val="22"/>
          <w:lang w:eastAsia="en-US"/>
        </w:rPr>
      </w:pPr>
    </w:p>
    <w:p w14:paraId="7147F06B" w14:textId="77777777" w:rsidR="00664420" w:rsidRPr="00885298" w:rsidRDefault="00664420" w:rsidP="00664420">
      <w:pPr>
        <w:tabs>
          <w:tab w:val="center" w:pos="4568"/>
        </w:tabs>
        <w:ind w:right="-93"/>
        <w:rPr>
          <w:rFonts w:eastAsia="Calibri" w:cs="Tahoma"/>
          <w:bCs/>
          <w:szCs w:val="22"/>
          <w:lang w:eastAsia="en-US"/>
        </w:rPr>
      </w:pPr>
    </w:p>
    <w:p w14:paraId="6FDF3D7E" w14:textId="77777777" w:rsidR="00664420" w:rsidRPr="00885298" w:rsidRDefault="00664420" w:rsidP="00664420">
      <w:pPr>
        <w:tabs>
          <w:tab w:val="center" w:pos="4568"/>
        </w:tabs>
        <w:ind w:right="-93"/>
        <w:rPr>
          <w:rFonts w:eastAsia="Calibri" w:cs="Tahoma"/>
          <w:bCs/>
          <w:szCs w:val="22"/>
          <w:lang w:eastAsia="en-US"/>
        </w:rPr>
      </w:pPr>
    </w:p>
    <w:p w14:paraId="6246F818" w14:textId="77777777" w:rsidR="00664420" w:rsidRPr="00885298" w:rsidRDefault="00664420" w:rsidP="00664420">
      <w:pPr>
        <w:tabs>
          <w:tab w:val="center" w:pos="4568"/>
        </w:tabs>
        <w:ind w:right="-93"/>
        <w:rPr>
          <w:rFonts w:eastAsia="Calibri" w:cs="Tahoma"/>
          <w:bCs/>
          <w:szCs w:val="22"/>
          <w:lang w:eastAsia="en-US"/>
        </w:rPr>
      </w:pPr>
    </w:p>
    <w:p w14:paraId="57A88B28" w14:textId="77777777" w:rsidR="00664420" w:rsidRPr="00885298" w:rsidRDefault="00664420" w:rsidP="00664420">
      <w:pPr>
        <w:tabs>
          <w:tab w:val="center" w:pos="4568"/>
        </w:tabs>
        <w:ind w:right="-93"/>
        <w:rPr>
          <w:rFonts w:eastAsia="Calibri" w:cs="Tahoma"/>
          <w:bCs/>
          <w:szCs w:val="22"/>
          <w:lang w:eastAsia="en-US"/>
        </w:rPr>
      </w:pPr>
    </w:p>
    <w:p w14:paraId="77EF6095" w14:textId="77777777" w:rsidR="00664420" w:rsidRPr="00885298" w:rsidRDefault="00664420" w:rsidP="00664420">
      <w:pPr>
        <w:tabs>
          <w:tab w:val="center" w:pos="4568"/>
        </w:tabs>
        <w:ind w:right="-93"/>
        <w:rPr>
          <w:rFonts w:eastAsia="Calibri" w:cs="Tahoma"/>
          <w:bCs/>
          <w:szCs w:val="22"/>
          <w:lang w:eastAsia="en-US"/>
        </w:rPr>
      </w:pPr>
    </w:p>
    <w:p w14:paraId="35593947" w14:textId="77777777" w:rsidR="00664420" w:rsidRPr="00885298" w:rsidRDefault="00664420" w:rsidP="00664420">
      <w:pPr>
        <w:tabs>
          <w:tab w:val="center" w:pos="4568"/>
        </w:tabs>
        <w:ind w:right="-93"/>
        <w:rPr>
          <w:rFonts w:eastAsia="Calibri" w:cs="Tahoma"/>
          <w:bCs/>
          <w:szCs w:val="22"/>
          <w:lang w:eastAsia="en-US"/>
        </w:rPr>
      </w:pPr>
    </w:p>
    <w:p w14:paraId="3AF72A17" w14:textId="77777777" w:rsidR="00664420" w:rsidRDefault="00664420" w:rsidP="00664420">
      <w:pPr>
        <w:tabs>
          <w:tab w:val="center" w:pos="4568"/>
        </w:tabs>
        <w:ind w:right="-93"/>
        <w:rPr>
          <w:rFonts w:eastAsia="Calibri" w:cs="Tahoma"/>
          <w:bCs/>
          <w:szCs w:val="22"/>
          <w:lang w:eastAsia="en-US"/>
        </w:rPr>
      </w:pPr>
    </w:p>
    <w:p w14:paraId="180D7A0A" w14:textId="77777777" w:rsidR="0051696F" w:rsidRDefault="0051696F" w:rsidP="00664420">
      <w:pPr>
        <w:tabs>
          <w:tab w:val="center" w:pos="4568"/>
        </w:tabs>
        <w:ind w:right="-93"/>
        <w:rPr>
          <w:rFonts w:eastAsia="Calibri" w:cs="Tahoma"/>
          <w:bCs/>
          <w:szCs w:val="22"/>
          <w:lang w:eastAsia="en-US"/>
        </w:rPr>
      </w:pPr>
    </w:p>
    <w:p w14:paraId="580F7FB6" w14:textId="77777777" w:rsidR="0051696F" w:rsidRDefault="0051696F" w:rsidP="00664420">
      <w:pPr>
        <w:tabs>
          <w:tab w:val="center" w:pos="4568"/>
        </w:tabs>
        <w:ind w:right="-93"/>
        <w:rPr>
          <w:rFonts w:eastAsia="Calibri" w:cs="Tahoma"/>
          <w:bCs/>
          <w:szCs w:val="22"/>
          <w:lang w:eastAsia="en-US"/>
        </w:rPr>
      </w:pPr>
    </w:p>
    <w:p w14:paraId="65A35E27" w14:textId="77777777" w:rsidR="0051696F" w:rsidRDefault="0051696F" w:rsidP="00664420">
      <w:pPr>
        <w:tabs>
          <w:tab w:val="center" w:pos="4568"/>
        </w:tabs>
        <w:ind w:right="-93"/>
        <w:rPr>
          <w:rFonts w:eastAsia="Calibri" w:cs="Tahoma"/>
          <w:bCs/>
          <w:szCs w:val="22"/>
          <w:lang w:eastAsia="en-US"/>
        </w:rPr>
      </w:pPr>
    </w:p>
    <w:p w14:paraId="475FF3BB" w14:textId="77777777" w:rsidR="0051696F" w:rsidRDefault="0051696F" w:rsidP="00664420">
      <w:pPr>
        <w:tabs>
          <w:tab w:val="center" w:pos="4568"/>
        </w:tabs>
        <w:ind w:right="-93"/>
        <w:rPr>
          <w:rFonts w:eastAsia="Calibri" w:cs="Tahoma"/>
          <w:bCs/>
          <w:szCs w:val="22"/>
          <w:lang w:eastAsia="en-US"/>
        </w:rPr>
      </w:pPr>
    </w:p>
    <w:p w14:paraId="4716268C" w14:textId="77777777" w:rsidR="0051696F" w:rsidRDefault="0051696F" w:rsidP="00664420">
      <w:pPr>
        <w:tabs>
          <w:tab w:val="center" w:pos="4568"/>
        </w:tabs>
        <w:ind w:right="-93"/>
        <w:rPr>
          <w:rFonts w:eastAsia="Calibri" w:cs="Tahoma"/>
          <w:bCs/>
          <w:szCs w:val="22"/>
          <w:lang w:eastAsia="en-US"/>
        </w:rPr>
      </w:pPr>
    </w:p>
    <w:p w14:paraId="37D1ABFE" w14:textId="77777777" w:rsidR="0051696F" w:rsidRDefault="0051696F" w:rsidP="00664420">
      <w:pPr>
        <w:tabs>
          <w:tab w:val="center" w:pos="4568"/>
        </w:tabs>
        <w:ind w:right="-93"/>
        <w:rPr>
          <w:rFonts w:eastAsia="Calibri" w:cs="Tahoma"/>
          <w:bCs/>
          <w:szCs w:val="22"/>
          <w:lang w:eastAsia="en-US"/>
        </w:rPr>
      </w:pPr>
    </w:p>
    <w:p w14:paraId="01BFEEAB" w14:textId="77777777" w:rsidR="0051696F" w:rsidRDefault="0051696F" w:rsidP="00664420">
      <w:pPr>
        <w:tabs>
          <w:tab w:val="center" w:pos="4568"/>
        </w:tabs>
        <w:ind w:right="-93"/>
        <w:rPr>
          <w:rFonts w:eastAsia="Calibri" w:cs="Tahoma"/>
          <w:bCs/>
          <w:szCs w:val="22"/>
          <w:lang w:eastAsia="en-US"/>
        </w:rPr>
      </w:pPr>
    </w:p>
    <w:p w14:paraId="3B33BCDC" w14:textId="77777777" w:rsidR="0051696F" w:rsidRPr="00885298" w:rsidRDefault="0051696F" w:rsidP="00664420">
      <w:pPr>
        <w:tabs>
          <w:tab w:val="center" w:pos="4568"/>
        </w:tabs>
        <w:ind w:right="-93"/>
        <w:rPr>
          <w:rFonts w:eastAsia="Calibri" w:cs="Tahoma"/>
          <w:bCs/>
          <w:szCs w:val="22"/>
          <w:lang w:eastAsia="en-US"/>
        </w:rPr>
      </w:pPr>
    </w:p>
    <w:p w14:paraId="37169144" w14:textId="77777777" w:rsidR="00664420" w:rsidRPr="00885298" w:rsidRDefault="00664420" w:rsidP="00664420">
      <w:pPr>
        <w:tabs>
          <w:tab w:val="center" w:pos="4568"/>
        </w:tabs>
        <w:ind w:right="-93"/>
        <w:rPr>
          <w:rFonts w:eastAsia="Calibri" w:cs="Tahoma"/>
          <w:bCs/>
          <w:szCs w:val="22"/>
          <w:lang w:eastAsia="en-US"/>
        </w:rPr>
      </w:pPr>
    </w:p>
    <w:p w14:paraId="77CFC088" w14:textId="77777777" w:rsidR="00664420" w:rsidRPr="00885298" w:rsidRDefault="00664420" w:rsidP="00664420">
      <w:pPr>
        <w:tabs>
          <w:tab w:val="center" w:pos="4568"/>
        </w:tabs>
        <w:ind w:right="-93"/>
        <w:rPr>
          <w:rFonts w:eastAsia="Calibri" w:cs="Tahoma"/>
          <w:bCs/>
          <w:szCs w:val="22"/>
          <w:lang w:eastAsia="en-US"/>
        </w:rPr>
      </w:pPr>
    </w:p>
    <w:p w14:paraId="781A11A5" w14:textId="77777777" w:rsidR="00664420" w:rsidRPr="00885298" w:rsidRDefault="00664420" w:rsidP="00664420">
      <w:pPr>
        <w:tabs>
          <w:tab w:val="center" w:pos="4568"/>
        </w:tabs>
        <w:ind w:right="-93"/>
        <w:rPr>
          <w:rFonts w:eastAsia="Calibri" w:cs="Tahoma"/>
          <w:bCs/>
          <w:szCs w:val="22"/>
          <w:lang w:eastAsia="en-US"/>
        </w:rPr>
      </w:pPr>
    </w:p>
    <w:p w14:paraId="5B4ADFF3" w14:textId="77777777" w:rsidR="00A131AC" w:rsidRDefault="00A131AC"/>
    <w:sectPr w:rsidR="00A131AC" w:rsidSect="008B09E4">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78374" w14:textId="77777777" w:rsidR="00304363" w:rsidRDefault="00304363" w:rsidP="00664420">
      <w:pPr>
        <w:spacing w:line="240" w:lineRule="auto"/>
      </w:pPr>
      <w:r>
        <w:separator/>
      </w:r>
    </w:p>
  </w:endnote>
  <w:endnote w:type="continuationSeparator" w:id="0">
    <w:p w14:paraId="529BB9F2" w14:textId="77777777" w:rsidR="00304363" w:rsidRDefault="0030436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DD046E" w:rsidRDefault="00DD046E">
    <w:pPr>
      <w:tabs>
        <w:tab w:val="center" w:pos="4550"/>
        <w:tab w:val="left" w:pos="5818"/>
      </w:tabs>
      <w:ind w:right="260"/>
      <w:jc w:val="right"/>
      <w:rPr>
        <w:color w:val="071320" w:themeColor="text2" w:themeShade="80"/>
        <w:sz w:val="24"/>
        <w:szCs w:val="24"/>
      </w:rPr>
    </w:pPr>
  </w:p>
  <w:p w14:paraId="1BCA7F23" w14:textId="77777777" w:rsidR="00DD046E" w:rsidRDefault="00DD04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5E15CB4" w:rsidR="00DD046E" w:rsidRDefault="00DD046E">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133EC5" w:rsidRPr="00133EC5">
      <w:rPr>
        <w:noProof/>
        <w:color w:val="0A1D30" w:themeColor="text2" w:themeShade="BF"/>
        <w:sz w:val="24"/>
        <w:szCs w:val="24"/>
        <w:lang w:val="es-ES"/>
      </w:rPr>
      <w:t>43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133EC5" w:rsidRPr="00133EC5">
      <w:rPr>
        <w:noProof/>
        <w:color w:val="0A1D30" w:themeColor="text2" w:themeShade="BF"/>
        <w:sz w:val="24"/>
        <w:szCs w:val="24"/>
        <w:lang w:val="es-ES"/>
      </w:rPr>
      <w:t>45</w:t>
    </w:r>
    <w:r>
      <w:rPr>
        <w:color w:val="0A1D30" w:themeColor="text2" w:themeShade="BF"/>
        <w:sz w:val="24"/>
        <w:szCs w:val="24"/>
      </w:rPr>
      <w:fldChar w:fldCharType="end"/>
    </w:r>
  </w:p>
  <w:p w14:paraId="310E15C0" w14:textId="77777777" w:rsidR="00DD046E" w:rsidRDefault="00DD04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DF83E" w14:textId="77777777" w:rsidR="00304363" w:rsidRDefault="00304363" w:rsidP="00664420">
      <w:pPr>
        <w:spacing w:line="240" w:lineRule="auto"/>
      </w:pPr>
      <w:r>
        <w:separator/>
      </w:r>
    </w:p>
  </w:footnote>
  <w:footnote w:type="continuationSeparator" w:id="0">
    <w:p w14:paraId="5F06B3ED" w14:textId="77777777" w:rsidR="00304363" w:rsidRDefault="00304363" w:rsidP="00664420">
      <w:pPr>
        <w:spacing w:line="240" w:lineRule="auto"/>
      </w:pPr>
      <w:r>
        <w:continuationSeparator/>
      </w:r>
    </w:p>
  </w:footnote>
  <w:footnote w:id="1">
    <w:p w14:paraId="0C7527FF" w14:textId="4BBEEF39" w:rsidR="00DD046E" w:rsidRPr="003627AB" w:rsidRDefault="00DD046E">
      <w:pPr>
        <w:pStyle w:val="Textonotapie"/>
        <w:rPr>
          <w:rFonts w:ascii="Palatino Linotype" w:hAnsi="Palatino Linotype"/>
        </w:rPr>
      </w:pPr>
      <w:r>
        <w:rPr>
          <w:rStyle w:val="Refdenotaalpie"/>
        </w:rPr>
        <w:footnoteRef/>
      </w:r>
      <w:r>
        <w:t xml:space="preserve"> </w:t>
      </w:r>
      <w:r w:rsidRPr="003627AB">
        <w:rPr>
          <w:rFonts w:ascii="Palatino Linotype" w:hAnsi="Palatino Linotype"/>
        </w:rPr>
        <w:t xml:space="preserve">Fecha de recepción </w:t>
      </w:r>
      <w:r>
        <w:rPr>
          <w:rFonts w:ascii="Palatino Linotype" w:hAnsi="Palatino Linotype"/>
        </w:rPr>
        <w:t>veintuni</w:t>
      </w:r>
      <w:r w:rsidRPr="003627AB">
        <w:rPr>
          <w:rFonts w:ascii="Palatino Linotype" w:hAnsi="Palatino Linotype"/>
        </w:rPr>
        <w:t xml:space="preserve"> de abril de 2025 al haber formulado en día inhábil</w:t>
      </w:r>
    </w:p>
  </w:footnote>
  <w:footnote w:id="2">
    <w:p w14:paraId="3C7324A6" w14:textId="77777777" w:rsidR="00CE0D99" w:rsidRDefault="00CE0D99" w:rsidP="00CE0D99">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3">
    <w:p w14:paraId="466DEAD7" w14:textId="77777777" w:rsidR="00DD046E" w:rsidRDefault="00DD046E" w:rsidP="00D5640A">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entonces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D046E" w:rsidRPr="00330DA7" w14:paraId="070A4B18" w14:textId="77777777" w:rsidTr="003F35FD">
      <w:trPr>
        <w:trHeight w:val="144"/>
        <w:jc w:val="right"/>
      </w:trPr>
      <w:tc>
        <w:tcPr>
          <w:tcW w:w="2727" w:type="dxa"/>
        </w:tcPr>
        <w:p w14:paraId="62B7493A" w14:textId="77777777" w:rsidR="00DD046E" w:rsidRPr="00330DA7" w:rsidRDefault="00DD046E" w:rsidP="00DD046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46F1FF8" w:rsidR="00DD046E" w:rsidRPr="00A90C72" w:rsidRDefault="00DD046E" w:rsidP="00DD046E">
          <w:pPr>
            <w:tabs>
              <w:tab w:val="right" w:pos="8838"/>
            </w:tabs>
            <w:spacing w:line="240" w:lineRule="auto"/>
            <w:ind w:left="-74" w:right="-105"/>
            <w:rPr>
              <w:rFonts w:eastAsia="Calibri" w:cs="Tahoma"/>
              <w:szCs w:val="22"/>
              <w:lang w:eastAsia="en-US"/>
            </w:rPr>
          </w:pPr>
          <w:r w:rsidRPr="00690058">
            <w:rPr>
              <w:rFonts w:eastAsia="Calibri" w:cs="Tahoma"/>
              <w:szCs w:val="22"/>
              <w:lang w:eastAsia="en-US"/>
            </w:rPr>
            <w:t>04482/INFOEM/IP/RR/2025</w:t>
          </w:r>
        </w:p>
      </w:tc>
    </w:tr>
    <w:tr w:rsidR="00DD046E" w:rsidRPr="00330DA7" w14:paraId="4521E058" w14:textId="77777777" w:rsidTr="003F35FD">
      <w:trPr>
        <w:trHeight w:val="283"/>
        <w:jc w:val="right"/>
      </w:trPr>
      <w:tc>
        <w:tcPr>
          <w:tcW w:w="2727" w:type="dxa"/>
        </w:tcPr>
        <w:p w14:paraId="0B68C086" w14:textId="77777777" w:rsidR="00DD046E" w:rsidRPr="00330DA7" w:rsidRDefault="00DD046E" w:rsidP="00DD046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74677E1" w:rsidR="00DD046E" w:rsidRPr="00952DD0" w:rsidRDefault="00DD046E" w:rsidP="00DD046E">
          <w:pPr>
            <w:tabs>
              <w:tab w:val="left" w:pos="2834"/>
              <w:tab w:val="right" w:pos="8838"/>
            </w:tabs>
            <w:spacing w:line="240" w:lineRule="auto"/>
            <w:ind w:left="-108" w:right="-105"/>
            <w:rPr>
              <w:rFonts w:eastAsia="Calibri" w:cs="Tahoma"/>
              <w:szCs w:val="22"/>
              <w:lang w:eastAsia="en-US"/>
            </w:rPr>
          </w:pPr>
          <w:r w:rsidRPr="00B04291">
            <w:rPr>
              <w:rFonts w:eastAsia="Calibri" w:cs="Tahoma"/>
              <w:szCs w:val="22"/>
              <w:lang w:eastAsia="en-US"/>
            </w:rPr>
            <w:t>Ayuntamiento de Toluca</w:t>
          </w:r>
        </w:p>
      </w:tc>
    </w:tr>
    <w:tr w:rsidR="00DD046E" w:rsidRPr="00330DA7" w14:paraId="6331D9B6" w14:textId="77777777" w:rsidTr="003F35FD">
      <w:trPr>
        <w:trHeight w:val="283"/>
        <w:jc w:val="right"/>
      </w:trPr>
      <w:tc>
        <w:tcPr>
          <w:tcW w:w="2727" w:type="dxa"/>
        </w:tcPr>
        <w:p w14:paraId="3FA86BAE" w14:textId="208D2DD3" w:rsidR="00DD046E" w:rsidRPr="00330DA7" w:rsidRDefault="00DD046E" w:rsidP="00DD046E">
          <w:pPr>
            <w:tabs>
              <w:tab w:val="right" w:pos="8838"/>
            </w:tabs>
            <w:spacing w:line="240" w:lineRule="auto"/>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B37D8A3" w14:textId="77777777" w:rsidR="00DD046E" w:rsidRPr="00EA66FC" w:rsidRDefault="00DD046E" w:rsidP="00DD046E">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36C0C439" w:rsidR="00DD046E" w:rsidRPr="00443C6B" w:rsidRDefault="00DD046E"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179249B8">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DD046E" w:rsidRPr="00330DA7" w14:paraId="29CFF901" w14:textId="77777777" w:rsidTr="00251911">
      <w:trPr>
        <w:trHeight w:val="1435"/>
      </w:trPr>
      <w:tc>
        <w:tcPr>
          <w:tcW w:w="283" w:type="dxa"/>
          <w:shd w:val="clear" w:color="auto" w:fill="auto"/>
        </w:tcPr>
        <w:p w14:paraId="046B9F8F" w14:textId="77777777" w:rsidR="00DD046E" w:rsidRPr="00330DA7" w:rsidRDefault="00DD046E" w:rsidP="00DD046E">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DD046E" w:rsidRPr="00330DA7" w14:paraId="04F272D2" w14:textId="77777777" w:rsidTr="00251911">
            <w:trPr>
              <w:trHeight w:val="144"/>
            </w:trPr>
            <w:tc>
              <w:tcPr>
                <w:tcW w:w="2727" w:type="dxa"/>
              </w:tcPr>
              <w:p w14:paraId="2FD4DBF6" w14:textId="77777777" w:rsidR="00DD046E" w:rsidRPr="00330DA7" w:rsidRDefault="00DD046E" w:rsidP="00DD046E">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3451FE4B" w:rsidR="00DD046E" w:rsidRPr="00A90C72" w:rsidRDefault="00DD046E" w:rsidP="00DD046E">
                <w:pPr>
                  <w:tabs>
                    <w:tab w:val="right" w:pos="8838"/>
                  </w:tabs>
                  <w:spacing w:line="240" w:lineRule="auto"/>
                  <w:ind w:left="-74" w:right="-105"/>
                  <w:rPr>
                    <w:rFonts w:eastAsia="Calibri" w:cs="Tahoma"/>
                    <w:szCs w:val="22"/>
                    <w:lang w:eastAsia="en-US"/>
                  </w:rPr>
                </w:pPr>
                <w:r w:rsidRPr="00690058">
                  <w:rPr>
                    <w:rFonts w:eastAsia="Calibri" w:cs="Tahoma"/>
                    <w:szCs w:val="22"/>
                    <w:lang w:eastAsia="en-US"/>
                  </w:rPr>
                  <w:t>04482/INFOEM/IP/RR/2025</w:t>
                </w:r>
              </w:p>
            </w:tc>
            <w:tc>
              <w:tcPr>
                <w:tcW w:w="3402" w:type="dxa"/>
              </w:tcPr>
              <w:p w14:paraId="71DEA1CF" w14:textId="77777777" w:rsidR="00DD046E" w:rsidRDefault="00DD046E" w:rsidP="00DD046E">
                <w:pPr>
                  <w:tabs>
                    <w:tab w:val="right" w:pos="8838"/>
                  </w:tabs>
                  <w:spacing w:line="240" w:lineRule="auto"/>
                  <w:ind w:left="-74" w:right="-105"/>
                  <w:rPr>
                    <w:rFonts w:eastAsia="Calibri" w:cs="Tahoma"/>
                    <w:szCs w:val="22"/>
                    <w:lang w:eastAsia="en-US"/>
                  </w:rPr>
                </w:pPr>
              </w:p>
            </w:tc>
          </w:tr>
          <w:tr w:rsidR="00DD046E" w:rsidRPr="00330DA7" w14:paraId="05C58951" w14:textId="77777777" w:rsidTr="00251911">
            <w:trPr>
              <w:trHeight w:val="144"/>
            </w:trPr>
            <w:tc>
              <w:tcPr>
                <w:tcW w:w="2727" w:type="dxa"/>
              </w:tcPr>
              <w:p w14:paraId="642B9610" w14:textId="77777777" w:rsidR="00DD046E" w:rsidRPr="00330DA7" w:rsidRDefault="00DD046E" w:rsidP="00DD046E">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578640A3" w:rsidR="00DD046E" w:rsidRPr="005F19B1" w:rsidRDefault="00DD046E" w:rsidP="00DD046E">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DD046E" w:rsidRPr="005F19B1" w:rsidRDefault="00DD046E" w:rsidP="00DD046E">
                <w:pPr>
                  <w:tabs>
                    <w:tab w:val="left" w:pos="3122"/>
                    <w:tab w:val="right" w:pos="8838"/>
                  </w:tabs>
                  <w:spacing w:line="240" w:lineRule="auto"/>
                  <w:ind w:left="-105" w:right="-105"/>
                  <w:rPr>
                    <w:rFonts w:eastAsia="Calibri" w:cs="Tahoma"/>
                    <w:szCs w:val="22"/>
                    <w:lang w:eastAsia="en-US"/>
                  </w:rPr>
                </w:pPr>
              </w:p>
            </w:tc>
          </w:tr>
          <w:bookmarkEnd w:id="2"/>
          <w:tr w:rsidR="00DD046E" w:rsidRPr="00330DA7" w14:paraId="00E6CDC1" w14:textId="77777777" w:rsidTr="00251911">
            <w:trPr>
              <w:trHeight w:val="283"/>
            </w:trPr>
            <w:tc>
              <w:tcPr>
                <w:tcW w:w="2727" w:type="dxa"/>
              </w:tcPr>
              <w:p w14:paraId="0631AD24" w14:textId="77777777" w:rsidR="00DD046E" w:rsidRPr="00330DA7" w:rsidRDefault="00DD046E" w:rsidP="00DD046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9FB0F71" w:rsidR="00DD046E" w:rsidRPr="00952DD0" w:rsidRDefault="00DD046E" w:rsidP="00DD046E">
                <w:pPr>
                  <w:tabs>
                    <w:tab w:val="left" w:pos="2834"/>
                    <w:tab w:val="right" w:pos="8838"/>
                  </w:tabs>
                  <w:spacing w:line="240" w:lineRule="auto"/>
                  <w:ind w:left="-108" w:right="-105"/>
                  <w:rPr>
                    <w:rFonts w:eastAsia="Calibri" w:cs="Tahoma"/>
                    <w:szCs w:val="22"/>
                    <w:lang w:eastAsia="en-US"/>
                  </w:rPr>
                </w:pPr>
                <w:r w:rsidRPr="00B04291">
                  <w:rPr>
                    <w:rFonts w:eastAsia="Calibri" w:cs="Tahoma"/>
                    <w:szCs w:val="22"/>
                    <w:lang w:eastAsia="en-US"/>
                  </w:rPr>
                  <w:t>Ayuntamiento de Toluca</w:t>
                </w:r>
              </w:p>
            </w:tc>
            <w:tc>
              <w:tcPr>
                <w:tcW w:w="3402" w:type="dxa"/>
              </w:tcPr>
              <w:p w14:paraId="3A7DA319" w14:textId="77777777" w:rsidR="00DD046E" w:rsidRPr="00A90C72" w:rsidRDefault="00DD046E" w:rsidP="00DD046E">
                <w:pPr>
                  <w:tabs>
                    <w:tab w:val="left" w:pos="2834"/>
                    <w:tab w:val="right" w:pos="8838"/>
                  </w:tabs>
                  <w:spacing w:line="240" w:lineRule="auto"/>
                  <w:ind w:left="-108" w:right="-105"/>
                  <w:rPr>
                    <w:rFonts w:eastAsia="Calibri" w:cs="Tahoma"/>
                    <w:szCs w:val="22"/>
                    <w:lang w:eastAsia="en-US"/>
                  </w:rPr>
                </w:pPr>
              </w:p>
            </w:tc>
          </w:tr>
          <w:tr w:rsidR="00DD046E" w:rsidRPr="00330DA7" w14:paraId="0F6CD8D2" w14:textId="77777777" w:rsidTr="00251911">
            <w:trPr>
              <w:trHeight w:val="283"/>
            </w:trPr>
            <w:tc>
              <w:tcPr>
                <w:tcW w:w="2727" w:type="dxa"/>
              </w:tcPr>
              <w:p w14:paraId="31700628" w14:textId="0B445BA5" w:rsidR="00DD046E" w:rsidRPr="00330DA7" w:rsidRDefault="00DD046E" w:rsidP="00DD046E">
                <w:pPr>
                  <w:tabs>
                    <w:tab w:val="right" w:pos="8838"/>
                  </w:tabs>
                  <w:spacing w:line="240" w:lineRule="auto"/>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1A90A58" w14:textId="75878977" w:rsidR="00DD046E" w:rsidRPr="00EA66FC" w:rsidRDefault="00DD046E" w:rsidP="00DD046E">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DD046E" w:rsidRPr="00330DA7" w:rsidRDefault="00DD046E" w:rsidP="00DD046E">
                <w:pPr>
                  <w:tabs>
                    <w:tab w:val="right" w:pos="8838"/>
                  </w:tabs>
                  <w:spacing w:line="240" w:lineRule="auto"/>
                  <w:ind w:left="-108" w:right="-105"/>
                  <w:rPr>
                    <w:rFonts w:eastAsia="Calibri" w:cs="Tahoma"/>
                    <w:szCs w:val="22"/>
                    <w:lang w:eastAsia="en-US"/>
                  </w:rPr>
                </w:pPr>
              </w:p>
            </w:tc>
          </w:tr>
        </w:tbl>
        <w:p w14:paraId="5DC6AC61" w14:textId="77777777" w:rsidR="00DD046E" w:rsidRPr="00330DA7" w:rsidRDefault="00DD046E" w:rsidP="00DD046E">
          <w:pPr>
            <w:tabs>
              <w:tab w:val="right" w:pos="8838"/>
            </w:tabs>
            <w:spacing w:line="240" w:lineRule="auto"/>
            <w:ind w:left="-28"/>
            <w:rPr>
              <w:rFonts w:ascii="Arial" w:eastAsia="Calibri" w:hAnsi="Arial" w:cs="Arial"/>
              <w:b/>
              <w:szCs w:val="22"/>
              <w:lang w:eastAsia="en-US"/>
            </w:rPr>
          </w:pPr>
        </w:p>
      </w:tc>
    </w:tr>
  </w:tbl>
  <w:p w14:paraId="2A906731" w14:textId="77777777" w:rsidR="00DD046E" w:rsidRPr="00765661" w:rsidRDefault="00133EC5" w:rsidP="00251911">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5E5"/>
    <w:multiLevelType w:val="hybridMultilevel"/>
    <w:tmpl w:val="E95C2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C037F4"/>
    <w:multiLevelType w:val="hybridMultilevel"/>
    <w:tmpl w:val="6F44FF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4F06E0"/>
    <w:multiLevelType w:val="hybridMultilevel"/>
    <w:tmpl w:val="F7FE79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BB03A7"/>
    <w:multiLevelType w:val="hybridMultilevel"/>
    <w:tmpl w:val="4658272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FF4B03"/>
    <w:multiLevelType w:val="hybridMultilevel"/>
    <w:tmpl w:val="9C528F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0FF18CC"/>
    <w:multiLevelType w:val="hybridMultilevel"/>
    <w:tmpl w:val="28FE0DDA"/>
    <w:lvl w:ilvl="0" w:tplc="2294E46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997646"/>
    <w:multiLevelType w:val="hybridMultilevel"/>
    <w:tmpl w:val="5F06FD6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DF12209"/>
    <w:multiLevelType w:val="hybridMultilevel"/>
    <w:tmpl w:val="592202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4D0820"/>
    <w:multiLevelType w:val="hybridMultilevel"/>
    <w:tmpl w:val="A73E91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0E292A"/>
    <w:multiLevelType w:val="hybridMultilevel"/>
    <w:tmpl w:val="CA5CB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ED5002D"/>
    <w:multiLevelType w:val="hybridMultilevel"/>
    <w:tmpl w:val="9D2AD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327DD2"/>
    <w:multiLevelType w:val="hybridMultilevel"/>
    <w:tmpl w:val="794256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AC39BE"/>
    <w:multiLevelType w:val="hybridMultilevel"/>
    <w:tmpl w:val="4EE40C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495A25"/>
    <w:multiLevelType w:val="hybridMultilevel"/>
    <w:tmpl w:val="2E20D26E"/>
    <w:lvl w:ilvl="0" w:tplc="39F833E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9042762"/>
    <w:multiLevelType w:val="hybridMultilevel"/>
    <w:tmpl w:val="16E224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AF0140"/>
    <w:multiLevelType w:val="multilevel"/>
    <w:tmpl w:val="438EEE3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FD07910"/>
    <w:multiLevelType w:val="hybridMultilevel"/>
    <w:tmpl w:val="8EB4F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6315ED"/>
    <w:multiLevelType w:val="hybridMultilevel"/>
    <w:tmpl w:val="CC128D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3035D5"/>
    <w:multiLevelType w:val="hybridMultilevel"/>
    <w:tmpl w:val="95A2DFC6"/>
    <w:lvl w:ilvl="0" w:tplc="1190034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1E826BA"/>
    <w:multiLevelType w:val="hybridMultilevel"/>
    <w:tmpl w:val="CF92D2F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2"/>
  </w:num>
  <w:num w:numId="3">
    <w:abstractNumId w:val="34"/>
  </w:num>
  <w:num w:numId="4">
    <w:abstractNumId w:val="10"/>
  </w:num>
  <w:num w:numId="5">
    <w:abstractNumId w:val="5"/>
  </w:num>
  <w:num w:numId="6">
    <w:abstractNumId w:val="36"/>
  </w:num>
  <w:num w:numId="7">
    <w:abstractNumId w:val="20"/>
  </w:num>
  <w:num w:numId="8">
    <w:abstractNumId w:val="7"/>
  </w:num>
  <w:num w:numId="9">
    <w:abstractNumId w:val="19"/>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3"/>
  </w:num>
  <w:num w:numId="12">
    <w:abstractNumId w:val="12"/>
  </w:num>
  <w:num w:numId="13">
    <w:abstractNumId w:val="2"/>
  </w:num>
  <w:num w:numId="14">
    <w:abstractNumId w:val="6"/>
  </w:num>
  <w:num w:numId="15">
    <w:abstractNumId w:val="21"/>
  </w:num>
  <w:num w:numId="16">
    <w:abstractNumId w:val="24"/>
  </w:num>
  <w:num w:numId="17">
    <w:abstractNumId w:val="32"/>
  </w:num>
  <w:num w:numId="18">
    <w:abstractNumId w:val="17"/>
  </w:num>
  <w:num w:numId="19">
    <w:abstractNumId w:val="28"/>
  </w:num>
  <w:num w:numId="20">
    <w:abstractNumId w:val="23"/>
  </w:num>
  <w:num w:numId="21">
    <w:abstractNumId w:val="11"/>
  </w:num>
  <w:num w:numId="22">
    <w:abstractNumId w:val="16"/>
  </w:num>
  <w:num w:numId="23">
    <w:abstractNumId w:val="25"/>
  </w:num>
  <w:num w:numId="24">
    <w:abstractNumId w:val="33"/>
  </w:num>
  <w:num w:numId="25">
    <w:abstractNumId w:val="29"/>
  </w:num>
  <w:num w:numId="26">
    <w:abstractNumId w:val="30"/>
  </w:num>
  <w:num w:numId="27">
    <w:abstractNumId w:val="35"/>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4"/>
  </w:num>
  <w:num w:numId="31">
    <w:abstractNumId w:val="27"/>
  </w:num>
  <w:num w:numId="32">
    <w:abstractNumId w:val="8"/>
  </w:num>
  <w:num w:numId="33">
    <w:abstractNumId w:val="14"/>
  </w:num>
  <w:num w:numId="34">
    <w:abstractNumId w:val="3"/>
  </w:num>
  <w:num w:numId="35">
    <w:abstractNumId w:val="1"/>
  </w:num>
  <w:num w:numId="36">
    <w:abstractNumId w:val="26"/>
  </w:num>
  <w:num w:numId="37">
    <w:abstractNumId w:val="15"/>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500A"/>
    <w:rsid w:val="000318BC"/>
    <w:rsid w:val="00033E0C"/>
    <w:rsid w:val="000356AC"/>
    <w:rsid w:val="000359F6"/>
    <w:rsid w:val="00057B2D"/>
    <w:rsid w:val="00084EAB"/>
    <w:rsid w:val="00091619"/>
    <w:rsid w:val="00092E46"/>
    <w:rsid w:val="000D0D67"/>
    <w:rsid w:val="000D59EB"/>
    <w:rsid w:val="000E052E"/>
    <w:rsid w:val="000E09C4"/>
    <w:rsid w:val="00102659"/>
    <w:rsid w:val="00107885"/>
    <w:rsid w:val="0011350D"/>
    <w:rsid w:val="00133EC5"/>
    <w:rsid w:val="00137801"/>
    <w:rsid w:val="00141876"/>
    <w:rsid w:val="00142578"/>
    <w:rsid w:val="00143410"/>
    <w:rsid w:val="00145467"/>
    <w:rsid w:val="00150C49"/>
    <w:rsid w:val="00156AB4"/>
    <w:rsid w:val="001617F3"/>
    <w:rsid w:val="0018069B"/>
    <w:rsid w:val="001806BC"/>
    <w:rsid w:val="001939A9"/>
    <w:rsid w:val="001A58B3"/>
    <w:rsid w:val="001A633B"/>
    <w:rsid w:val="001C383A"/>
    <w:rsid w:val="001C4AD1"/>
    <w:rsid w:val="001C69C6"/>
    <w:rsid w:val="001C70B6"/>
    <w:rsid w:val="001C7688"/>
    <w:rsid w:val="001F3515"/>
    <w:rsid w:val="001F6EF8"/>
    <w:rsid w:val="00202072"/>
    <w:rsid w:val="00210776"/>
    <w:rsid w:val="0022409E"/>
    <w:rsid w:val="0023177F"/>
    <w:rsid w:val="00233005"/>
    <w:rsid w:val="002338D4"/>
    <w:rsid w:val="00233F17"/>
    <w:rsid w:val="0024160B"/>
    <w:rsid w:val="00251911"/>
    <w:rsid w:val="002568F8"/>
    <w:rsid w:val="00260F00"/>
    <w:rsid w:val="00276715"/>
    <w:rsid w:val="002A3601"/>
    <w:rsid w:val="002B64CC"/>
    <w:rsid w:val="002B7C6F"/>
    <w:rsid w:val="002C2588"/>
    <w:rsid w:val="002D50A3"/>
    <w:rsid w:val="002E0CF7"/>
    <w:rsid w:val="002E58DF"/>
    <w:rsid w:val="002F51F5"/>
    <w:rsid w:val="00302476"/>
    <w:rsid w:val="00304363"/>
    <w:rsid w:val="00331F35"/>
    <w:rsid w:val="00341F1F"/>
    <w:rsid w:val="0034218F"/>
    <w:rsid w:val="003612E6"/>
    <w:rsid w:val="003627AB"/>
    <w:rsid w:val="00362A11"/>
    <w:rsid w:val="00380417"/>
    <w:rsid w:val="00382A5D"/>
    <w:rsid w:val="00383FA0"/>
    <w:rsid w:val="003A40C1"/>
    <w:rsid w:val="003A64BD"/>
    <w:rsid w:val="003B23F8"/>
    <w:rsid w:val="003F35FD"/>
    <w:rsid w:val="0040558E"/>
    <w:rsid w:val="00411AD5"/>
    <w:rsid w:val="0041385B"/>
    <w:rsid w:val="00433954"/>
    <w:rsid w:val="00441BFA"/>
    <w:rsid w:val="00454FBD"/>
    <w:rsid w:val="00460F48"/>
    <w:rsid w:val="00471682"/>
    <w:rsid w:val="00471E75"/>
    <w:rsid w:val="004D7CD8"/>
    <w:rsid w:val="004E5068"/>
    <w:rsid w:val="004F7A00"/>
    <w:rsid w:val="0051696F"/>
    <w:rsid w:val="005365FA"/>
    <w:rsid w:val="00542E0E"/>
    <w:rsid w:val="005552BE"/>
    <w:rsid w:val="00567890"/>
    <w:rsid w:val="005723CB"/>
    <w:rsid w:val="00574037"/>
    <w:rsid w:val="00575400"/>
    <w:rsid w:val="005941FB"/>
    <w:rsid w:val="005A0A5F"/>
    <w:rsid w:val="005B18AF"/>
    <w:rsid w:val="005C1CD1"/>
    <w:rsid w:val="005C46A8"/>
    <w:rsid w:val="005D5A50"/>
    <w:rsid w:val="005E7639"/>
    <w:rsid w:val="005F2F4C"/>
    <w:rsid w:val="005F5301"/>
    <w:rsid w:val="005F65B7"/>
    <w:rsid w:val="006067C7"/>
    <w:rsid w:val="00615506"/>
    <w:rsid w:val="006159AD"/>
    <w:rsid w:val="006276BD"/>
    <w:rsid w:val="00646436"/>
    <w:rsid w:val="00652EE8"/>
    <w:rsid w:val="00656312"/>
    <w:rsid w:val="00664420"/>
    <w:rsid w:val="00685AD3"/>
    <w:rsid w:val="00690058"/>
    <w:rsid w:val="006946E4"/>
    <w:rsid w:val="00696F24"/>
    <w:rsid w:val="006A21B4"/>
    <w:rsid w:val="006B10B0"/>
    <w:rsid w:val="006E25BC"/>
    <w:rsid w:val="006E6BBC"/>
    <w:rsid w:val="006F36BA"/>
    <w:rsid w:val="006F7768"/>
    <w:rsid w:val="007034E0"/>
    <w:rsid w:val="00717E59"/>
    <w:rsid w:val="00760141"/>
    <w:rsid w:val="00764CEC"/>
    <w:rsid w:val="00775BFC"/>
    <w:rsid w:val="00796211"/>
    <w:rsid w:val="007A2599"/>
    <w:rsid w:val="007B6074"/>
    <w:rsid w:val="007C1F86"/>
    <w:rsid w:val="007C4DFA"/>
    <w:rsid w:val="007C5C93"/>
    <w:rsid w:val="007D1C55"/>
    <w:rsid w:val="007D317F"/>
    <w:rsid w:val="007F5D06"/>
    <w:rsid w:val="00823050"/>
    <w:rsid w:val="00840166"/>
    <w:rsid w:val="0084341B"/>
    <w:rsid w:val="00846AF6"/>
    <w:rsid w:val="00850984"/>
    <w:rsid w:val="00855E58"/>
    <w:rsid w:val="00863CAE"/>
    <w:rsid w:val="00865CF4"/>
    <w:rsid w:val="00876DBC"/>
    <w:rsid w:val="00896EE9"/>
    <w:rsid w:val="008A2BD7"/>
    <w:rsid w:val="008A6003"/>
    <w:rsid w:val="008A6F88"/>
    <w:rsid w:val="008B09E4"/>
    <w:rsid w:val="008B1E16"/>
    <w:rsid w:val="008B7286"/>
    <w:rsid w:val="008C48EE"/>
    <w:rsid w:val="008F2575"/>
    <w:rsid w:val="008F5667"/>
    <w:rsid w:val="00900C44"/>
    <w:rsid w:val="009109D8"/>
    <w:rsid w:val="00910FD2"/>
    <w:rsid w:val="0092176B"/>
    <w:rsid w:val="00931437"/>
    <w:rsid w:val="009507A3"/>
    <w:rsid w:val="00953430"/>
    <w:rsid w:val="00954254"/>
    <w:rsid w:val="009578F9"/>
    <w:rsid w:val="00970EB3"/>
    <w:rsid w:val="00974636"/>
    <w:rsid w:val="00981CBD"/>
    <w:rsid w:val="00987A72"/>
    <w:rsid w:val="009950D7"/>
    <w:rsid w:val="00995B2B"/>
    <w:rsid w:val="009A2D78"/>
    <w:rsid w:val="009A7C10"/>
    <w:rsid w:val="009B2945"/>
    <w:rsid w:val="009B78E9"/>
    <w:rsid w:val="009D0146"/>
    <w:rsid w:val="009F797C"/>
    <w:rsid w:val="00A131AC"/>
    <w:rsid w:val="00A16D85"/>
    <w:rsid w:val="00A17059"/>
    <w:rsid w:val="00A203C6"/>
    <w:rsid w:val="00A21A20"/>
    <w:rsid w:val="00A343B5"/>
    <w:rsid w:val="00A45039"/>
    <w:rsid w:val="00A53315"/>
    <w:rsid w:val="00A6198B"/>
    <w:rsid w:val="00A65695"/>
    <w:rsid w:val="00A713F6"/>
    <w:rsid w:val="00A9208D"/>
    <w:rsid w:val="00AA248D"/>
    <w:rsid w:val="00AA26B0"/>
    <w:rsid w:val="00AA5FB3"/>
    <w:rsid w:val="00AA6EA9"/>
    <w:rsid w:val="00AB3FCD"/>
    <w:rsid w:val="00AC2DB8"/>
    <w:rsid w:val="00AC3CA0"/>
    <w:rsid w:val="00AD4CAB"/>
    <w:rsid w:val="00AD4F69"/>
    <w:rsid w:val="00AE3DA7"/>
    <w:rsid w:val="00AF03C4"/>
    <w:rsid w:val="00AF2426"/>
    <w:rsid w:val="00B04291"/>
    <w:rsid w:val="00B06AB1"/>
    <w:rsid w:val="00B13300"/>
    <w:rsid w:val="00B22A80"/>
    <w:rsid w:val="00B62B67"/>
    <w:rsid w:val="00B72D9A"/>
    <w:rsid w:val="00B81E4E"/>
    <w:rsid w:val="00B9073E"/>
    <w:rsid w:val="00B92FAD"/>
    <w:rsid w:val="00B9741D"/>
    <w:rsid w:val="00B97C3C"/>
    <w:rsid w:val="00BA55A8"/>
    <w:rsid w:val="00BB1E1E"/>
    <w:rsid w:val="00BB2ABF"/>
    <w:rsid w:val="00BB64F4"/>
    <w:rsid w:val="00BD3F4F"/>
    <w:rsid w:val="00BD7C10"/>
    <w:rsid w:val="00BF0221"/>
    <w:rsid w:val="00BF091A"/>
    <w:rsid w:val="00BF7653"/>
    <w:rsid w:val="00C021D6"/>
    <w:rsid w:val="00C049E2"/>
    <w:rsid w:val="00C135F9"/>
    <w:rsid w:val="00C14959"/>
    <w:rsid w:val="00C16270"/>
    <w:rsid w:val="00C24BEB"/>
    <w:rsid w:val="00C36795"/>
    <w:rsid w:val="00C461EC"/>
    <w:rsid w:val="00C507D4"/>
    <w:rsid w:val="00C56FE7"/>
    <w:rsid w:val="00C66918"/>
    <w:rsid w:val="00C71CEF"/>
    <w:rsid w:val="00C72DAA"/>
    <w:rsid w:val="00C908A3"/>
    <w:rsid w:val="00CA0D44"/>
    <w:rsid w:val="00CB3F80"/>
    <w:rsid w:val="00CC73E5"/>
    <w:rsid w:val="00CD0B92"/>
    <w:rsid w:val="00CD598F"/>
    <w:rsid w:val="00CE0D99"/>
    <w:rsid w:val="00CE29D3"/>
    <w:rsid w:val="00CF2D8B"/>
    <w:rsid w:val="00CF7586"/>
    <w:rsid w:val="00D036D3"/>
    <w:rsid w:val="00D1122E"/>
    <w:rsid w:val="00D2063D"/>
    <w:rsid w:val="00D2556A"/>
    <w:rsid w:val="00D2790D"/>
    <w:rsid w:val="00D51285"/>
    <w:rsid w:val="00D51ECD"/>
    <w:rsid w:val="00D5640A"/>
    <w:rsid w:val="00D6170E"/>
    <w:rsid w:val="00D91CB4"/>
    <w:rsid w:val="00DA5597"/>
    <w:rsid w:val="00DB02DB"/>
    <w:rsid w:val="00DD046E"/>
    <w:rsid w:val="00DD5CAF"/>
    <w:rsid w:val="00DD5F50"/>
    <w:rsid w:val="00DD697B"/>
    <w:rsid w:val="00DD6EF3"/>
    <w:rsid w:val="00DE1133"/>
    <w:rsid w:val="00DE7EB8"/>
    <w:rsid w:val="00DF03AD"/>
    <w:rsid w:val="00E06F53"/>
    <w:rsid w:val="00E16BF5"/>
    <w:rsid w:val="00E25A67"/>
    <w:rsid w:val="00E35B42"/>
    <w:rsid w:val="00E37A3F"/>
    <w:rsid w:val="00E5042F"/>
    <w:rsid w:val="00E62E6A"/>
    <w:rsid w:val="00E652F0"/>
    <w:rsid w:val="00E83EF5"/>
    <w:rsid w:val="00E85115"/>
    <w:rsid w:val="00E9335C"/>
    <w:rsid w:val="00E937AE"/>
    <w:rsid w:val="00EA0D03"/>
    <w:rsid w:val="00ED1C1E"/>
    <w:rsid w:val="00EE4791"/>
    <w:rsid w:val="00F02239"/>
    <w:rsid w:val="00F07EE6"/>
    <w:rsid w:val="00F1385D"/>
    <w:rsid w:val="00F335DA"/>
    <w:rsid w:val="00F33CC8"/>
    <w:rsid w:val="00F36792"/>
    <w:rsid w:val="00F4085B"/>
    <w:rsid w:val="00F75D23"/>
    <w:rsid w:val="00F769AA"/>
    <w:rsid w:val="00F8195E"/>
    <w:rsid w:val="00FA3B31"/>
    <w:rsid w:val="00FA5957"/>
    <w:rsid w:val="00FB181D"/>
    <w:rsid w:val="00FC2B2B"/>
    <w:rsid w:val="00FC3CE0"/>
    <w:rsid w:val="00FD06A8"/>
    <w:rsid w:val="00FE078E"/>
    <w:rsid w:val="00FE1777"/>
    <w:rsid w:val="00FE5DDE"/>
    <w:rsid w:val="00FE78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9E"/>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34218F"/>
    <w:rPr>
      <w:vertAlign w:val="superscript"/>
    </w:rPr>
  </w:style>
  <w:style w:type="paragraph" w:styleId="Textodeglobo">
    <w:name w:val="Balloon Text"/>
    <w:basedOn w:val="Normal"/>
    <w:link w:val="TextodegloboCar"/>
    <w:uiPriority w:val="99"/>
    <w:semiHidden/>
    <w:unhideWhenUsed/>
    <w:rsid w:val="006F36B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6BA"/>
    <w:rPr>
      <w:rFonts w:ascii="Segoe UI" w:eastAsia="Times New Roman" w:hAnsi="Segoe UI" w:cs="Segoe UI"/>
      <w:kern w:val="0"/>
      <w:sz w:val="18"/>
      <w:szCs w:val="18"/>
      <w:lang w:eastAsia="es-ES"/>
      <w14:ligatures w14:val="none"/>
    </w:rPr>
  </w:style>
  <w:style w:type="paragraph" w:customStyle="1" w:styleId="Citas">
    <w:name w:val="Citas"/>
    <w:basedOn w:val="Normal"/>
    <w:qFormat/>
    <w:rsid w:val="006276BD"/>
    <w:pPr>
      <w:spacing w:before="240" w:after="160"/>
      <w:ind w:left="851" w:right="851"/>
    </w:pPr>
    <w:rPr>
      <w:rFonts w:eastAsiaTheme="minorHAnsi" w:cs="Arial"/>
      <w:i/>
      <w:szCs w:val="22"/>
      <w:lang w:eastAsia="en-US"/>
    </w:rPr>
  </w:style>
  <w:style w:type="character" w:customStyle="1" w:styleId="Mencinsinresolver1">
    <w:name w:val="Mención sin resolver1"/>
    <w:basedOn w:val="Fuentedeprrafopredeter"/>
    <w:uiPriority w:val="99"/>
    <w:semiHidden/>
    <w:unhideWhenUsed/>
    <w:rsid w:val="00974636"/>
    <w:rPr>
      <w:color w:val="605E5C"/>
      <w:shd w:val="clear" w:color="auto" w:fill="E1DFDD"/>
    </w:rPr>
  </w:style>
  <w:style w:type="paragraph" w:customStyle="1" w:styleId="Texto">
    <w:name w:val="Texto"/>
    <w:basedOn w:val="Normal"/>
    <w:link w:val="TextoCar"/>
    <w:rsid w:val="007034E0"/>
    <w:pPr>
      <w:spacing w:after="101" w:line="216" w:lineRule="exact"/>
      <w:ind w:firstLine="288"/>
    </w:pPr>
    <w:rPr>
      <w:rFonts w:ascii="Arial" w:hAnsi="Arial" w:cs="Arial"/>
      <w:sz w:val="18"/>
      <w:lang w:val="es-ES"/>
    </w:rPr>
  </w:style>
  <w:style w:type="character" w:customStyle="1" w:styleId="TextoCar">
    <w:name w:val="Texto Car"/>
    <w:link w:val="Texto"/>
    <w:locked/>
    <w:rsid w:val="007034E0"/>
    <w:rPr>
      <w:rFonts w:ascii="Arial" w:eastAsia="Times New Roman" w:hAnsi="Arial" w:cs="Arial"/>
      <w:kern w:val="0"/>
      <w:sz w:val="18"/>
      <w:szCs w:val="20"/>
      <w:lang w:val="es-ES" w:eastAsia="es-ES"/>
      <w14:ligatures w14:val="none"/>
    </w:rPr>
  </w:style>
  <w:style w:type="paragraph" w:styleId="Textosinformato">
    <w:name w:val="Plain Text"/>
    <w:basedOn w:val="Normal"/>
    <w:link w:val="TextosinformatoCar"/>
    <w:rsid w:val="007034E0"/>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7034E0"/>
    <w:rPr>
      <w:rFonts w:ascii="Courier New" w:eastAsia="Times New Roman" w:hAnsi="Courier New" w:cs="Times New Roman"/>
      <w:kern w:val="0"/>
      <w:sz w:val="20"/>
      <w:szCs w:val="20"/>
      <w:lang w:val="es-ES" w:eastAsia="es-ES"/>
      <w14:ligatures w14:val="none"/>
    </w:rPr>
  </w:style>
  <w:style w:type="paragraph" w:styleId="NormalWeb">
    <w:name w:val="Normal (Web)"/>
    <w:basedOn w:val="Normal"/>
    <w:uiPriority w:val="99"/>
    <w:unhideWhenUsed/>
    <w:rsid w:val="00F36792"/>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906667">
      <w:bodyDiv w:val="1"/>
      <w:marLeft w:val="0"/>
      <w:marRight w:val="0"/>
      <w:marTop w:val="0"/>
      <w:marBottom w:val="0"/>
      <w:divBdr>
        <w:top w:val="none" w:sz="0" w:space="0" w:color="auto"/>
        <w:left w:val="none" w:sz="0" w:space="0" w:color="auto"/>
        <w:bottom w:val="none" w:sz="0" w:space="0" w:color="auto"/>
        <w:right w:val="none" w:sz="0" w:space="0" w:color="auto"/>
      </w:divBdr>
    </w:div>
    <w:div w:id="277567294">
      <w:bodyDiv w:val="1"/>
      <w:marLeft w:val="0"/>
      <w:marRight w:val="0"/>
      <w:marTop w:val="0"/>
      <w:marBottom w:val="0"/>
      <w:divBdr>
        <w:top w:val="none" w:sz="0" w:space="0" w:color="auto"/>
        <w:left w:val="none" w:sz="0" w:space="0" w:color="auto"/>
        <w:bottom w:val="none" w:sz="0" w:space="0" w:color="auto"/>
        <w:right w:val="none" w:sz="0" w:space="0" w:color="auto"/>
      </w:divBdr>
    </w:div>
    <w:div w:id="533230140">
      <w:bodyDiv w:val="1"/>
      <w:marLeft w:val="0"/>
      <w:marRight w:val="0"/>
      <w:marTop w:val="0"/>
      <w:marBottom w:val="0"/>
      <w:divBdr>
        <w:top w:val="none" w:sz="0" w:space="0" w:color="auto"/>
        <w:left w:val="none" w:sz="0" w:space="0" w:color="auto"/>
        <w:bottom w:val="none" w:sz="0" w:space="0" w:color="auto"/>
        <w:right w:val="none" w:sz="0" w:space="0" w:color="auto"/>
      </w:divBdr>
    </w:div>
    <w:div w:id="578447656">
      <w:bodyDiv w:val="1"/>
      <w:marLeft w:val="0"/>
      <w:marRight w:val="0"/>
      <w:marTop w:val="0"/>
      <w:marBottom w:val="0"/>
      <w:divBdr>
        <w:top w:val="none" w:sz="0" w:space="0" w:color="auto"/>
        <w:left w:val="none" w:sz="0" w:space="0" w:color="auto"/>
        <w:bottom w:val="none" w:sz="0" w:space="0" w:color="auto"/>
        <w:right w:val="none" w:sz="0" w:space="0" w:color="auto"/>
      </w:divBdr>
    </w:div>
    <w:div w:id="707730119">
      <w:bodyDiv w:val="1"/>
      <w:marLeft w:val="0"/>
      <w:marRight w:val="0"/>
      <w:marTop w:val="0"/>
      <w:marBottom w:val="0"/>
      <w:divBdr>
        <w:top w:val="none" w:sz="0" w:space="0" w:color="auto"/>
        <w:left w:val="none" w:sz="0" w:space="0" w:color="auto"/>
        <w:bottom w:val="none" w:sz="0" w:space="0" w:color="auto"/>
        <w:right w:val="none" w:sz="0" w:space="0" w:color="auto"/>
      </w:divBdr>
    </w:div>
    <w:div w:id="957368522">
      <w:bodyDiv w:val="1"/>
      <w:marLeft w:val="0"/>
      <w:marRight w:val="0"/>
      <w:marTop w:val="0"/>
      <w:marBottom w:val="0"/>
      <w:divBdr>
        <w:top w:val="none" w:sz="0" w:space="0" w:color="auto"/>
        <w:left w:val="none" w:sz="0" w:space="0" w:color="auto"/>
        <w:bottom w:val="none" w:sz="0" w:space="0" w:color="auto"/>
        <w:right w:val="none" w:sz="0" w:space="0" w:color="auto"/>
      </w:divBdr>
    </w:div>
    <w:div w:id="1000810872">
      <w:bodyDiv w:val="1"/>
      <w:marLeft w:val="0"/>
      <w:marRight w:val="0"/>
      <w:marTop w:val="0"/>
      <w:marBottom w:val="0"/>
      <w:divBdr>
        <w:top w:val="none" w:sz="0" w:space="0" w:color="auto"/>
        <w:left w:val="none" w:sz="0" w:space="0" w:color="auto"/>
        <w:bottom w:val="none" w:sz="0" w:space="0" w:color="auto"/>
        <w:right w:val="none" w:sz="0" w:space="0" w:color="auto"/>
      </w:divBdr>
    </w:div>
    <w:div w:id="1290088331">
      <w:bodyDiv w:val="1"/>
      <w:marLeft w:val="0"/>
      <w:marRight w:val="0"/>
      <w:marTop w:val="0"/>
      <w:marBottom w:val="0"/>
      <w:divBdr>
        <w:top w:val="none" w:sz="0" w:space="0" w:color="auto"/>
        <w:left w:val="none" w:sz="0" w:space="0" w:color="auto"/>
        <w:bottom w:val="none" w:sz="0" w:space="0" w:color="auto"/>
        <w:right w:val="none" w:sz="0" w:space="0" w:color="auto"/>
      </w:divBdr>
    </w:div>
    <w:div w:id="1399866394">
      <w:bodyDiv w:val="1"/>
      <w:marLeft w:val="0"/>
      <w:marRight w:val="0"/>
      <w:marTop w:val="0"/>
      <w:marBottom w:val="0"/>
      <w:divBdr>
        <w:top w:val="none" w:sz="0" w:space="0" w:color="auto"/>
        <w:left w:val="none" w:sz="0" w:space="0" w:color="auto"/>
        <w:bottom w:val="none" w:sz="0" w:space="0" w:color="auto"/>
        <w:right w:val="none" w:sz="0" w:space="0" w:color="auto"/>
      </w:divBdr>
    </w:div>
    <w:div w:id="1643268530">
      <w:bodyDiv w:val="1"/>
      <w:marLeft w:val="0"/>
      <w:marRight w:val="0"/>
      <w:marTop w:val="0"/>
      <w:marBottom w:val="0"/>
      <w:divBdr>
        <w:top w:val="none" w:sz="0" w:space="0" w:color="auto"/>
        <w:left w:val="none" w:sz="0" w:space="0" w:color="auto"/>
        <w:bottom w:val="none" w:sz="0" w:space="0" w:color="auto"/>
        <w:right w:val="none" w:sz="0" w:space="0" w:color="auto"/>
      </w:divBdr>
    </w:div>
    <w:div w:id="1648779893">
      <w:bodyDiv w:val="1"/>
      <w:marLeft w:val="0"/>
      <w:marRight w:val="0"/>
      <w:marTop w:val="0"/>
      <w:marBottom w:val="0"/>
      <w:divBdr>
        <w:top w:val="none" w:sz="0" w:space="0" w:color="auto"/>
        <w:left w:val="none" w:sz="0" w:space="0" w:color="auto"/>
        <w:bottom w:val="none" w:sz="0" w:space="0" w:color="auto"/>
        <w:right w:val="none" w:sz="0" w:space="0" w:color="auto"/>
      </w:divBdr>
    </w:div>
    <w:div w:id="1698848670">
      <w:bodyDiv w:val="1"/>
      <w:marLeft w:val="0"/>
      <w:marRight w:val="0"/>
      <w:marTop w:val="0"/>
      <w:marBottom w:val="0"/>
      <w:divBdr>
        <w:top w:val="none" w:sz="0" w:space="0" w:color="auto"/>
        <w:left w:val="none" w:sz="0" w:space="0" w:color="auto"/>
        <w:bottom w:val="none" w:sz="0" w:space="0" w:color="auto"/>
        <w:right w:val="none" w:sz="0" w:space="0" w:color="auto"/>
      </w:divBdr>
    </w:div>
    <w:div w:id="1714042117">
      <w:bodyDiv w:val="1"/>
      <w:marLeft w:val="0"/>
      <w:marRight w:val="0"/>
      <w:marTop w:val="0"/>
      <w:marBottom w:val="0"/>
      <w:divBdr>
        <w:top w:val="none" w:sz="0" w:space="0" w:color="auto"/>
        <w:left w:val="none" w:sz="0" w:space="0" w:color="auto"/>
        <w:bottom w:val="none" w:sz="0" w:space="0" w:color="auto"/>
        <w:right w:val="none" w:sz="0" w:space="0" w:color="auto"/>
      </w:divBdr>
    </w:div>
    <w:div w:id="1795517566">
      <w:bodyDiv w:val="1"/>
      <w:marLeft w:val="0"/>
      <w:marRight w:val="0"/>
      <w:marTop w:val="0"/>
      <w:marBottom w:val="0"/>
      <w:divBdr>
        <w:top w:val="none" w:sz="0" w:space="0" w:color="auto"/>
        <w:left w:val="none" w:sz="0" w:space="0" w:color="auto"/>
        <w:bottom w:val="none" w:sz="0" w:space="0" w:color="auto"/>
        <w:right w:val="none" w:sz="0" w:space="0" w:color="auto"/>
      </w:divBdr>
    </w:div>
    <w:div w:id="1939869638">
      <w:bodyDiv w:val="1"/>
      <w:marLeft w:val="0"/>
      <w:marRight w:val="0"/>
      <w:marTop w:val="0"/>
      <w:marBottom w:val="0"/>
      <w:divBdr>
        <w:top w:val="none" w:sz="0" w:space="0" w:color="auto"/>
        <w:left w:val="none" w:sz="0" w:space="0" w:color="auto"/>
        <w:bottom w:val="none" w:sz="0" w:space="0" w:color="auto"/>
        <w:right w:val="none" w:sz="0" w:space="0" w:color="auto"/>
      </w:divBdr>
    </w:div>
    <w:div w:id="1947153609">
      <w:bodyDiv w:val="1"/>
      <w:marLeft w:val="0"/>
      <w:marRight w:val="0"/>
      <w:marTop w:val="0"/>
      <w:marBottom w:val="0"/>
      <w:divBdr>
        <w:top w:val="none" w:sz="0" w:space="0" w:color="auto"/>
        <w:left w:val="none" w:sz="0" w:space="0" w:color="auto"/>
        <w:bottom w:val="none" w:sz="0" w:space="0" w:color="auto"/>
        <w:right w:val="none" w:sz="0" w:space="0" w:color="auto"/>
      </w:divBdr>
    </w:div>
    <w:div w:id="1947537818">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3000137">
      <w:bodyDiv w:val="1"/>
      <w:marLeft w:val="0"/>
      <w:marRight w:val="0"/>
      <w:marTop w:val="0"/>
      <w:marBottom w:val="0"/>
      <w:divBdr>
        <w:top w:val="none" w:sz="0" w:space="0" w:color="auto"/>
        <w:left w:val="none" w:sz="0" w:space="0" w:color="auto"/>
        <w:bottom w:val="none" w:sz="0" w:space="0" w:color="auto"/>
        <w:right w:val="none" w:sz="0" w:space="0" w:color="auto"/>
      </w:divBdr>
    </w:div>
    <w:div w:id="2015763854">
      <w:bodyDiv w:val="1"/>
      <w:marLeft w:val="0"/>
      <w:marRight w:val="0"/>
      <w:marTop w:val="0"/>
      <w:marBottom w:val="0"/>
      <w:divBdr>
        <w:top w:val="none" w:sz="0" w:space="0" w:color="auto"/>
        <w:left w:val="none" w:sz="0" w:space="0" w:color="auto"/>
        <w:bottom w:val="none" w:sz="0" w:space="0" w:color="auto"/>
        <w:right w:val="none" w:sz="0" w:space="0" w:color="auto"/>
      </w:divBdr>
    </w:div>
    <w:div w:id="20385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toluca.gob.mx/wp-content/uploads/2025/03/12-Gaceta-31-de-marzo-de-2025-Plan-de-Desarroll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www.w3.org/XML/1998/namespace"/>
    <ds:schemaRef ds:uri="http://schemas.microsoft.com/office/infopath/2007/PartnerControls"/>
    <ds:schemaRef ds:uri="http://schemas.microsoft.com/office/2006/documentManagement/types"/>
    <ds:schemaRef ds:uri="http://purl.org/dc/elements/1.1/"/>
    <ds:schemaRef ds:uri="76b08bab-a17d-419c-8fa8-b7b9c3c33fd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2BD7F-8133-4D37-BA70-0CDC5075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12455</Words>
  <Characters>68503</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8</cp:revision>
  <cp:lastPrinted>2025-06-12T18:11:00Z</cp:lastPrinted>
  <dcterms:created xsi:type="dcterms:W3CDTF">2025-06-09T23:57:00Z</dcterms:created>
  <dcterms:modified xsi:type="dcterms:W3CDTF">2025-06-12T18:11:00Z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