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D06528" w:rsidRDefault="00AE3DA7" w:rsidP="00D06528">
          <w:pPr>
            <w:pStyle w:val="TtulodeTDC"/>
            <w:spacing w:before="0" w:line="240" w:lineRule="auto"/>
            <w:rPr>
              <w:rFonts w:ascii="Palatino Linotype" w:hAnsi="Palatino Linotype"/>
              <w:color w:val="auto"/>
              <w:sz w:val="24"/>
              <w:szCs w:val="24"/>
              <w:lang w:val="es-ES"/>
            </w:rPr>
          </w:pPr>
          <w:r w:rsidRPr="00D06528">
            <w:rPr>
              <w:rFonts w:ascii="Palatino Linotype" w:hAnsi="Palatino Linotype"/>
              <w:color w:val="auto"/>
              <w:sz w:val="24"/>
              <w:szCs w:val="24"/>
              <w:lang w:val="es-ES"/>
            </w:rPr>
            <w:t>Contenido</w:t>
          </w:r>
        </w:p>
        <w:p w14:paraId="3EB312A7" w14:textId="77777777" w:rsidR="00AA6EA9" w:rsidRPr="00D06528" w:rsidRDefault="00AA6EA9" w:rsidP="00D06528">
          <w:pPr>
            <w:spacing w:line="240" w:lineRule="auto"/>
            <w:rPr>
              <w:sz w:val="16"/>
              <w:szCs w:val="16"/>
              <w:lang w:val="es-ES" w:eastAsia="es-MX"/>
            </w:rPr>
          </w:pPr>
        </w:p>
        <w:p w14:paraId="08F093C7" w14:textId="7E57BF7D" w:rsidR="00D06528" w:rsidRPr="00D06528" w:rsidRDefault="00AE3DA7" w:rsidP="00D06528">
          <w:pPr>
            <w:pStyle w:val="TDC1"/>
            <w:tabs>
              <w:tab w:val="right" w:leader="dot" w:pos="9034"/>
            </w:tabs>
            <w:rPr>
              <w:rFonts w:asciiTheme="minorHAnsi" w:eastAsiaTheme="minorEastAsia" w:hAnsiTheme="minorHAnsi" w:cstheme="minorBidi"/>
              <w:noProof/>
              <w:szCs w:val="22"/>
              <w:lang w:eastAsia="es-MX"/>
            </w:rPr>
          </w:pPr>
          <w:r w:rsidRPr="00D06528">
            <w:rPr>
              <w:sz w:val="16"/>
              <w:szCs w:val="16"/>
            </w:rPr>
            <w:fldChar w:fldCharType="begin"/>
          </w:r>
          <w:r w:rsidRPr="00D06528">
            <w:rPr>
              <w:sz w:val="16"/>
              <w:szCs w:val="16"/>
            </w:rPr>
            <w:instrText xml:space="preserve"> TOC \o "1-3" \h \z \u </w:instrText>
          </w:r>
          <w:r w:rsidRPr="00D06528">
            <w:rPr>
              <w:sz w:val="16"/>
              <w:szCs w:val="16"/>
            </w:rPr>
            <w:fldChar w:fldCharType="separate"/>
          </w:r>
          <w:hyperlink w:anchor="_Toc199973339" w:history="1">
            <w:r w:rsidR="00D06528" w:rsidRPr="00D06528">
              <w:rPr>
                <w:rStyle w:val="Hipervnculo"/>
                <w:noProof/>
                <w:color w:val="auto"/>
              </w:rPr>
              <w:t>ANTECEDENTES</w:t>
            </w:r>
            <w:r w:rsidR="00D06528" w:rsidRPr="00D06528">
              <w:rPr>
                <w:noProof/>
                <w:webHidden/>
              </w:rPr>
              <w:tab/>
            </w:r>
            <w:r w:rsidR="00D06528" w:rsidRPr="00D06528">
              <w:rPr>
                <w:noProof/>
                <w:webHidden/>
              </w:rPr>
              <w:fldChar w:fldCharType="begin"/>
            </w:r>
            <w:r w:rsidR="00D06528" w:rsidRPr="00D06528">
              <w:rPr>
                <w:noProof/>
                <w:webHidden/>
              </w:rPr>
              <w:instrText xml:space="preserve"> PAGEREF _Toc199973339 \h </w:instrText>
            </w:r>
            <w:r w:rsidR="00D06528" w:rsidRPr="00D06528">
              <w:rPr>
                <w:noProof/>
                <w:webHidden/>
              </w:rPr>
            </w:r>
            <w:r w:rsidR="00D06528" w:rsidRPr="00D06528">
              <w:rPr>
                <w:noProof/>
                <w:webHidden/>
              </w:rPr>
              <w:fldChar w:fldCharType="separate"/>
            </w:r>
            <w:r w:rsidR="00FF5E29">
              <w:rPr>
                <w:noProof/>
                <w:webHidden/>
              </w:rPr>
              <w:t>1</w:t>
            </w:r>
            <w:r w:rsidR="00D06528" w:rsidRPr="00D06528">
              <w:rPr>
                <w:noProof/>
                <w:webHidden/>
              </w:rPr>
              <w:fldChar w:fldCharType="end"/>
            </w:r>
          </w:hyperlink>
        </w:p>
        <w:p w14:paraId="1061FBC2" w14:textId="5D4608A5" w:rsidR="00D06528" w:rsidRPr="00D06528" w:rsidRDefault="00E35B54" w:rsidP="00D06528">
          <w:pPr>
            <w:pStyle w:val="TDC2"/>
            <w:rPr>
              <w:rFonts w:asciiTheme="minorHAnsi" w:eastAsiaTheme="minorEastAsia" w:hAnsiTheme="minorHAnsi" w:cstheme="minorBidi"/>
              <w:noProof/>
              <w:szCs w:val="22"/>
              <w:lang w:eastAsia="es-MX"/>
            </w:rPr>
          </w:pPr>
          <w:hyperlink w:anchor="_Toc199973340" w:history="1">
            <w:r w:rsidR="00D06528" w:rsidRPr="00D06528">
              <w:rPr>
                <w:rStyle w:val="Hipervnculo"/>
                <w:noProof/>
                <w:color w:val="auto"/>
              </w:rPr>
              <w:t>DE LA SOLICITUD DE INFORMACIÓN</w:t>
            </w:r>
            <w:r w:rsidR="00D06528" w:rsidRPr="00D06528">
              <w:rPr>
                <w:noProof/>
                <w:webHidden/>
              </w:rPr>
              <w:tab/>
            </w:r>
            <w:r w:rsidR="00D06528" w:rsidRPr="00D06528">
              <w:rPr>
                <w:noProof/>
                <w:webHidden/>
              </w:rPr>
              <w:fldChar w:fldCharType="begin"/>
            </w:r>
            <w:r w:rsidR="00D06528" w:rsidRPr="00D06528">
              <w:rPr>
                <w:noProof/>
                <w:webHidden/>
              </w:rPr>
              <w:instrText xml:space="preserve"> PAGEREF _Toc199973340 \h </w:instrText>
            </w:r>
            <w:r w:rsidR="00D06528" w:rsidRPr="00D06528">
              <w:rPr>
                <w:noProof/>
                <w:webHidden/>
              </w:rPr>
            </w:r>
            <w:r w:rsidR="00D06528" w:rsidRPr="00D06528">
              <w:rPr>
                <w:noProof/>
                <w:webHidden/>
              </w:rPr>
              <w:fldChar w:fldCharType="separate"/>
            </w:r>
            <w:r w:rsidR="00FF5E29">
              <w:rPr>
                <w:noProof/>
                <w:webHidden/>
              </w:rPr>
              <w:t>1</w:t>
            </w:r>
            <w:r w:rsidR="00D06528" w:rsidRPr="00D06528">
              <w:rPr>
                <w:noProof/>
                <w:webHidden/>
              </w:rPr>
              <w:fldChar w:fldCharType="end"/>
            </w:r>
          </w:hyperlink>
        </w:p>
        <w:p w14:paraId="1A03F960" w14:textId="744953BC" w:rsidR="00D06528" w:rsidRPr="00D06528" w:rsidRDefault="00E35B54" w:rsidP="00D06528">
          <w:pPr>
            <w:pStyle w:val="TDC3"/>
            <w:rPr>
              <w:rFonts w:asciiTheme="minorHAnsi" w:eastAsiaTheme="minorEastAsia" w:hAnsiTheme="minorHAnsi" w:cstheme="minorBidi"/>
              <w:noProof/>
              <w:szCs w:val="22"/>
              <w:lang w:eastAsia="es-MX"/>
            </w:rPr>
          </w:pPr>
          <w:hyperlink w:anchor="_Toc199973341" w:history="1">
            <w:r w:rsidR="00D06528" w:rsidRPr="00D06528">
              <w:rPr>
                <w:rStyle w:val="Hipervnculo"/>
                <w:noProof/>
                <w:color w:val="auto"/>
              </w:rPr>
              <w:t>a) Solicitud de información</w:t>
            </w:r>
            <w:r w:rsidR="00D06528" w:rsidRPr="00D06528">
              <w:rPr>
                <w:noProof/>
                <w:webHidden/>
              </w:rPr>
              <w:tab/>
            </w:r>
            <w:r w:rsidR="00D06528" w:rsidRPr="00D06528">
              <w:rPr>
                <w:noProof/>
                <w:webHidden/>
              </w:rPr>
              <w:fldChar w:fldCharType="begin"/>
            </w:r>
            <w:r w:rsidR="00D06528" w:rsidRPr="00D06528">
              <w:rPr>
                <w:noProof/>
                <w:webHidden/>
              </w:rPr>
              <w:instrText xml:space="preserve"> PAGEREF _Toc199973341 \h </w:instrText>
            </w:r>
            <w:r w:rsidR="00D06528" w:rsidRPr="00D06528">
              <w:rPr>
                <w:noProof/>
                <w:webHidden/>
              </w:rPr>
            </w:r>
            <w:r w:rsidR="00D06528" w:rsidRPr="00D06528">
              <w:rPr>
                <w:noProof/>
                <w:webHidden/>
              </w:rPr>
              <w:fldChar w:fldCharType="separate"/>
            </w:r>
            <w:r w:rsidR="00FF5E29">
              <w:rPr>
                <w:noProof/>
                <w:webHidden/>
              </w:rPr>
              <w:t>1</w:t>
            </w:r>
            <w:r w:rsidR="00D06528" w:rsidRPr="00D06528">
              <w:rPr>
                <w:noProof/>
                <w:webHidden/>
              </w:rPr>
              <w:fldChar w:fldCharType="end"/>
            </w:r>
          </w:hyperlink>
        </w:p>
        <w:p w14:paraId="25829EAF" w14:textId="2CDBDF8B" w:rsidR="00D06528" w:rsidRPr="00D06528" w:rsidRDefault="00E35B54" w:rsidP="00D06528">
          <w:pPr>
            <w:pStyle w:val="TDC3"/>
            <w:rPr>
              <w:rFonts w:asciiTheme="minorHAnsi" w:eastAsiaTheme="minorEastAsia" w:hAnsiTheme="minorHAnsi" w:cstheme="minorBidi"/>
              <w:noProof/>
              <w:szCs w:val="22"/>
              <w:lang w:eastAsia="es-MX"/>
            </w:rPr>
          </w:pPr>
          <w:hyperlink w:anchor="_Toc199973342" w:history="1">
            <w:r w:rsidR="00D06528" w:rsidRPr="00D06528">
              <w:rPr>
                <w:rStyle w:val="Hipervnculo"/>
                <w:noProof/>
                <w:color w:val="auto"/>
              </w:rPr>
              <w:t>b) Turno de la solicitud de información</w:t>
            </w:r>
            <w:r w:rsidR="00D06528" w:rsidRPr="00D06528">
              <w:rPr>
                <w:noProof/>
                <w:webHidden/>
              </w:rPr>
              <w:tab/>
            </w:r>
            <w:r w:rsidR="00D06528" w:rsidRPr="00D06528">
              <w:rPr>
                <w:noProof/>
                <w:webHidden/>
              </w:rPr>
              <w:fldChar w:fldCharType="begin"/>
            </w:r>
            <w:r w:rsidR="00D06528" w:rsidRPr="00D06528">
              <w:rPr>
                <w:noProof/>
                <w:webHidden/>
              </w:rPr>
              <w:instrText xml:space="preserve"> PAGEREF _Toc199973342 \h </w:instrText>
            </w:r>
            <w:r w:rsidR="00D06528" w:rsidRPr="00D06528">
              <w:rPr>
                <w:noProof/>
                <w:webHidden/>
              </w:rPr>
            </w:r>
            <w:r w:rsidR="00D06528" w:rsidRPr="00D06528">
              <w:rPr>
                <w:noProof/>
                <w:webHidden/>
              </w:rPr>
              <w:fldChar w:fldCharType="separate"/>
            </w:r>
            <w:r w:rsidR="00FF5E29">
              <w:rPr>
                <w:noProof/>
                <w:webHidden/>
              </w:rPr>
              <w:t>2</w:t>
            </w:r>
            <w:r w:rsidR="00D06528" w:rsidRPr="00D06528">
              <w:rPr>
                <w:noProof/>
                <w:webHidden/>
              </w:rPr>
              <w:fldChar w:fldCharType="end"/>
            </w:r>
          </w:hyperlink>
        </w:p>
        <w:p w14:paraId="1F0E6C01" w14:textId="4F80C69C" w:rsidR="00D06528" w:rsidRPr="00D06528" w:rsidRDefault="00E35B54" w:rsidP="00D06528">
          <w:pPr>
            <w:pStyle w:val="TDC3"/>
            <w:rPr>
              <w:rFonts w:asciiTheme="minorHAnsi" w:eastAsiaTheme="minorEastAsia" w:hAnsiTheme="minorHAnsi" w:cstheme="minorBidi"/>
              <w:noProof/>
              <w:szCs w:val="22"/>
              <w:lang w:eastAsia="es-MX"/>
            </w:rPr>
          </w:pPr>
          <w:hyperlink w:anchor="_Toc199973343" w:history="1">
            <w:r w:rsidR="00D06528" w:rsidRPr="00D06528">
              <w:rPr>
                <w:rStyle w:val="Hipervnculo"/>
                <w:noProof/>
                <w:color w:val="auto"/>
                <w:lang w:val="es-ES"/>
              </w:rPr>
              <w:t xml:space="preserve">c) Respuesta </w:t>
            </w:r>
            <w:r w:rsidR="00D06528" w:rsidRPr="00D06528">
              <w:rPr>
                <w:rStyle w:val="Hipervnculo"/>
                <w:rFonts w:eastAsia="Calibri"/>
                <w:noProof/>
                <w:color w:val="auto"/>
                <w:lang w:eastAsia="en-US"/>
              </w:rPr>
              <w:t>del Sujeto Obligado</w:t>
            </w:r>
            <w:r w:rsidR="00D06528" w:rsidRPr="00D06528">
              <w:rPr>
                <w:noProof/>
                <w:webHidden/>
              </w:rPr>
              <w:tab/>
            </w:r>
            <w:r w:rsidR="00D06528" w:rsidRPr="00D06528">
              <w:rPr>
                <w:noProof/>
                <w:webHidden/>
              </w:rPr>
              <w:fldChar w:fldCharType="begin"/>
            </w:r>
            <w:r w:rsidR="00D06528" w:rsidRPr="00D06528">
              <w:rPr>
                <w:noProof/>
                <w:webHidden/>
              </w:rPr>
              <w:instrText xml:space="preserve"> PAGEREF _Toc199973343 \h </w:instrText>
            </w:r>
            <w:r w:rsidR="00D06528" w:rsidRPr="00D06528">
              <w:rPr>
                <w:noProof/>
                <w:webHidden/>
              </w:rPr>
            </w:r>
            <w:r w:rsidR="00D06528" w:rsidRPr="00D06528">
              <w:rPr>
                <w:noProof/>
                <w:webHidden/>
              </w:rPr>
              <w:fldChar w:fldCharType="separate"/>
            </w:r>
            <w:r w:rsidR="00FF5E29">
              <w:rPr>
                <w:noProof/>
                <w:webHidden/>
              </w:rPr>
              <w:t>2</w:t>
            </w:r>
            <w:r w:rsidR="00D06528" w:rsidRPr="00D06528">
              <w:rPr>
                <w:noProof/>
                <w:webHidden/>
              </w:rPr>
              <w:fldChar w:fldCharType="end"/>
            </w:r>
          </w:hyperlink>
        </w:p>
        <w:p w14:paraId="07522055" w14:textId="3CCB53B8" w:rsidR="00D06528" w:rsidRPr="00D06528" w:rsidRDefault="00E35B54" w:rsidP="00D06528">
          <w:pPr>
            <w:pStyle w:val="TDC2"/>
            <w:rPr>
              <w:rFonts w:asciiTheme="minorHAnsi" w:eastAsiaTheme="minorEastAsia" w:hAnsiTheme="minorHAnsi" w:cstheme="minorBidi"/>
              <w:noProof/>
              <w:szCs w:val="22"/>
              <w:lang w:eastAsia="es-MX"/>
            </w:rPr>
          </w:pPr>
          <w:hyperlink w:anchor="_Toc199973344" w:history="1">
            <w:r w:rsidR="00D06528" w:rsidRPr="00D06528">
              <w:rPr>
                <w:rStyle w:val="Hipervnculo"/>
                <w:noProof/>
                <w:color w:val="auto"/>
              </w:rPr>
              <w:t>DEL RECURSO DE REVISIÓN</w:t>
            </w:r>
            <w:r w:rsidR="00D06528" w:rsidRPr="00D06528">
              <w:rPr>
                <w:noProof/>
                <w:webHidden/>
              </w:rPr>
              <w:tab/>
            </w:r>
            <w:r w:rsidR="00D06528" w:rsidRPr="00D06528">
              <w:rPr>
                <w:noProof/>
                <w:webHidden/>
              </w:rPr>
              <w:fldChar w:fldCharType="begin"/>
            </w:r>
            <w:r w:rsidR="00D06528" w:rsidRPr="00D06528">
              <w:rPr>
                <w:noProof/>
                <w:webHidden/>
              </w:rPr>
              <w:instrText xml:space="preserve"> PAGEREF _Toc199973344 \h </w:instrText>
            </w:r>
            <w:r w:rsidR="00D06528" w:rsidRPr="00D06528">
              <w:rPr>
                <w:noProof/>
                <w:webHidden/>
              </w:rPr>
            </w:r>
            <w:r w:rsidR="00D06528" w:rsidRPr="00D06528">
              <w:rPr>
                <w:noProof/>
                <w:webHidden/>
              </w:rPr>
              <w:fldChar w:fldCharType="separate"/>
            </w:r>
            <w:r w:rsidR="00FF5E29">
              <w:rPr>
                <w:noProof/>
                <w:webHidden/>
              </w:rPr>
              <w:t>3</w:t>
            </w:r>
            <w:r w:rsidR="00D06528" w:rsidRPr="00D06528">
              <w:rPr>
                <w:noProof/>
                <w:webHidden/>
              </w:rPr>
              <w:fldChar w:fldCharType="end"/>
            </w:r>
          </w:hyperlink>
        </w:p>
        <w:p w14:paraId="74AF18AB" w14:textId="1DF2DAE8" w:rsidR="00D06528" w:rsidRPr="00D06528" w:rsidRDefault="00E35B54" w:rsidP="00D06528">
          <w:pPr>
            <w:pStyle w:val="TDC3"/>
            <w:rPr>
              <w:rFonts w:asciiTheme="minorHAnsi" w:eastAsiaTheme="minorEastAsia" w:hAnsiTheme="minorHAnsi" w:cstheme="minorBidi"/>
              <w:noProof/>
              <w:szCs w:val="22"/>
              <w:lang w:eastAsia="es-MX"/>
            </w:rPr>
          </w:pPr>
          <w:hyperlink w:anchor="_Toc199973345" w:history="1">
            <w:r w:rsidR="00D06528" w:rsidRPr="00D06528">
              <w:rPr>
                <w:rStyle w:val="Hipervnculo"/>
                <w:noProof/>
                <w:color w:val="auto"/>
              </w:rPr>
              <w:t>a) Interposición del Recurso de Revisión</w:t>
            </w:r>
            <w:r w:rsidR="00D06528" w:rsidRPr="00D06528">
              <w:rPr>
                <w:noProof/>
                <w:webHidden/>
              </w:rPr>
              <w:tab/>
            </w:r>
            <w:r w:rsidR="00D06528" w:rsidRPr="00D06528">
              <w:rPr>
                <w:noProof/>
                <w:webHidden/>
              </w:rPr>
              <w:fldChar w:fldCharType="begin"/>
            </w:r>
            <w:r w:rsidR="00D06528" w:rsidRPr="00D06528">
              <w:rPr>
                <w:noProof/>
                <w:webHidden/>
              </w:rPr>
              <w:instrText xml:space="preserve"> PAGEREF _Toc199973345 \h </w:instrText>
            </w:r>
            <w:r w:rsidR="00D06528" w:rsidRPr="00D06528">
              <w:rPr>
                <w:noProof/>
                <w:webHidden/>
              </w:rPr>
            </w:r>
            <w:r w:rsidR="00D06528" w:rsidRPr="00D06528">
              <w:rPr>
                <w:noProof/>
                <w:webHidden/>
              </w:rPr>
              <w:fldChar w:fldCharType="separate"/>
            </w:r>
            <w:r w:rsidR="00FF5E29">
              <w:rPr>
                <w:noProof/>
                <w:webHidden/>
              </w:rPr>
              <w:t>3</w:t>
            </w:r>
            <w:r w:rsidR="00D06528" w:rsidRPr="00D06528">
              <w:rPr>
                <w:noProof/>
                <w:webHidden/>
              </w:rPr>
              <w:fldChar w:fldCharType="end"/>
            </w:r>
          </w:hyperlink>
        </w:p>
        <w:p w14:paraId="7C52565F" w14:textId="44B62179" w:rsidR="00D06528" w:rsidRPr="00D06528" w:rsidRDefault="00E35B54" w:rsidP="00D06528">
          <w:pPr>
            <w:pStyle w:val="TDC3"/>
            <w:rPr>
              <w:rFonts w:asciiTheme="minorHAnsi" w:eastAsiaTheme="minorEastAsia" w:hAnsiTheme="minorHAnsi" w:cstheme="minorBidi"/>
              <w:noProof/>
              <w:szCs w:val="22"/>
              <w:lang w:eastAsia="es-MX"/>
            </w:rPr>
          </w:pPr>
          <w:hyperlink w:anchor="_Toc199973346" w:history="1">
            <w:r w:rsidR="00D06528" w:rsidRPr="00D06528">
              <w:rPr>
                <w:rStyle w:val="Hipervnculo"/>
                <w:noProof/>
                <w:color w:val="auto"/>
              </w:rPr>
              <w:t>b) Turno del Recurso de Revisión</w:t>
            </w:r>
            <w:r w:rsidR="00D06528" w:rsidRPr="00D06528">
              <w:rPr>
                <w:noProof/>
                <w:webHidden/>
              </w:rPr>
              <w:tab/>
            </w:r>
            <w:r w:rsidR="00D06528" w:rsidRPr="00D06528">
              <w:rPr>
                <w:noProof/>
                <w:webHidden/>
              </w:rPr>
              <w:fldChar w:fldCharType="begin"/>
            </w:r>
            <w:r w:rsidR="00D06528" w:rsidRPr="00D06528">
              <w:rPr>
                <w:noProof/>
                <w:webHidden/>
              </w:rPr>
              <w:instrText xml:space="preserve"> PAGEREF _Toc199973346 \h </w:instrText>
            </w:r>
            <w:r w:rsidR="00D06528" w:rsidRPr="00D06528">
              <w:rPr>
                <w:noProof/>
                <w:webHidden/>
              </w:rPr>
            </w:r>
            <w:r w:rsidR="00D06528" w:rsidRPr="00D06528">
              <w:rPr>
                <w:noProof/>
                <w:webHidden/>
              </w:rPr>
              <w:fldChar w:fldCharType="separate"/>
            </w:r>
            <w:r w:rsidR="00FF5E29">
              <w:rPr>
                <w:noProof/>
                <w:webHidden/>
              </w:rPr>
              <w:t>3</w:t>
            </w:r>
            <w:r w:rsidR="00D06528" w:rsidRPr="00D06528">
              <w:rPr>
                <w:noProof/>
                <w:webHidden/>
              </w:rPr>
              <w:fldChar w:fldCharType="end"/>
            </w:r>
          </w:hyperlink>
        </w:p>
        <w:p w14:paraId="7DC87D42" w14:textId="398B0E97" w:rsidR="00D06528" w:rsidRPr="00D06528" w:rsidRDefault="00E35B54" w:rsidP="00D06528">
          <w:pPr>
            <w:pStyle w:val="TDC3"/>
            <w:rPr>
              <w:rFonts w:asciiTheme="minorHAnsi" w:eastAsiaTheme="minorEastAsia" w:hAnsiTheme="minorHAnsi" w:cstheme="minorBidi"/>
              <w:noProof/>
              <w:szCs w:val="22"/>
              <w:lang w:eastAsia="es-MX"/>
            </w:rPr>
          </w:pPr>
          <w:hyperlink w:anchor="_Toc199973347" w:history="1">
            <w:r w:rsidR="00D06528" w:rsidRPr="00D06528">
              <w:rPr>
                <w:rStyle w:val="Hipervnculo"/>
                <w:noProof/>
                <w:color w:val="auto"/>
              </w:rPr>
              <w:t>c) Admisión del Recurso de Revisión</w:t>
            </w:r>
            <w:r w:rsidR="00D06528" w:rsidRPr="00D06528">
              <w:rPr>
                <w:noProof/>
                <w:webHidden/>
              </w:rPr>
              <w:tab/>
            </w:r>
            <w:r w:rsidR="00D06528" w:rsidRPr="00D06528">
              <w:rPr>
                <w:noProof/>
                <w:webHidden/>
              </w:rPr>
              <w:fldChar w:fldCharType="begin"/>
            </w:r>
            <w:r w:rsidR="00D06528" w:rsidRPr="00D06528">
              <w:rPr>
                <w:noProof/>
                <w:webHidden/>
              </w:rPr>
              <w:instrText xml:space="preserve"> PAGEREF _Toc199973347 \h </w:instrText>
            </w:r>
            <w:r w:rsidR="00D06528" w:rsidRPr="00D06528">
              <w:rPr>
                <w:noProof/>
                <w:webHidden/>
              </w:rPr>
            </w:r>
            <w:r w:rsidR="00D06528" w:rsidRPr="00D06528">
              <w:rPr>
                <w:noProof/>
                <w:webHidden/>
              </w:rPr>
              <w:fldChar w:fldCharType="separate"/>
            </w:r>
            <w:r w:rsidR="00FF5E29">
              <w:rPr>
                <w:noProof/>
                <w:webHidden/>
              </w:rPr>
              <w:t>3</w:t>
            </w:r>
            <w:r w:rsidR="00D06528" w:rsidRPr="00D06528">
              <w:rPr>
                <w:noProof/>
                <w:webHidden/>
              </w:rPr>
              <w:fldChar w:fldCharType="end"/>
            </w:r>
          </w:hyperlink>
        </w:p>
        <w:p w14:paraId="0F7A4BD5" w14:textId="303805CB" w:rsidR="00D06528" w:rsidRPr="00D06528" w:rsidRDefault="00E35B54" w:rsidP="00D06528">
          <w:pPr>
            <w:pStyle w:val="TDC3"/>
            <w:rPr>
              <w:rFonts w:asciiTheme="minorHAnsi" w:eastAsiaTheme="minorEastAsia" w:hAnsiTheme="minorHAnsi" w:cstheme="minorBidi"/>
              <w:noProof/>
              <w:szCs w:val="22"/>
              <w:lang w:eastAsia="es-MX"/>
            </w:rPr>
          </w:pPr>
          <w:hyperlink w:anchor="_Toc199973348" w:history="1">
            <w:r w:rsidR="00D06528" w:rsidRPr="00D06528">
              <w:rPr>
                <w:rStyle w:val="Hipervnculo"/>
                <w:noProof/>
                <w:color w:val="auto"/>
              </w:rPr>
              <w:t>d) Informe Justificado del Sujeto Obligado</w:t>
            </w:r>
            <w:r w:rsidR="00D06528" w:rsidRPr="00D06528">
              <w:rPr>
                <w:noProof/>
                <w:webHidden/>
              </w:rPr>
              <w:tab/>
            </w:r>
            <w:r w:rsidR="00D06528" w:rsidRPr="00D06528">
              <w:rPr>
                <w:noProof/>
                <w:webHidden/>
              </w:rPr>
              <w:fldChar w:fldCharType="begin"/>
            </w:r>
            <w:r w:rsidR="00D06528" w:rsidRPr="00D06528">
              <w:rPr>
                <w:noProof/>
                <w:webHidden/>
              </w:rPr>
              <w:instrText xml:space="preserve"> PAGEREF _Toc199973348 \h </w:instrText>
            </w:r>
            <w:r w:rsidR="00D06528" w:rsidRPr="00D06528">
              <w:rPr>
                <w:noProof/>
                <w:webHidden/>
              </w:rPr>
            </w:r>
            <w:r w:rsidR="00D06528" w:rsidRPr="00D06528">
              <w:rPr>
                <w:noProof/>
                <w:webHidden/>
              </w:rPr>
              <w:fldChar w:fldCharType="separate"/>
            </w:r>
            <w:r w:rsidR="00FF5E29">
              <w:rPr>
                <w:noProof/>
                <w:webHidden/>
              </w:rPr>
              <w:t>4</w:t>
            </w:r>
            <w:r w:rsidR="00D06528" w:rsidRPr="00D06528">
              <w:rPr>
                <w:noProof/>
                <w:webHidden/>
              </w:rPr>
              <w:fldChar w:fldCharType="end"/>
            </w:r>
          </w:hyperlink>
        </w:p>
        <w:p w14:paraId="61BBF1C9" w14:textId="544CB3DB" w:rsidR="00D06528" w:rsidRPr="00D06528" w:rsidRDefault="00E35B54" w:rsidP="00D06528">
          <w:pPr>
            <w:pStyle w:val="TDC3"/>
            <w:rPr>
              <w:rFonts w:asciiTheme="minorHAnsi" w:eastAsiaTheme="minorEastAsia" w:hAnsiTheme="minorHAnsi" w:cstheme="minorBidi"/>
              <w:noProof/>
              <w:szCs w:val="22"/>
              <w:lang w:eastAsia="es-MX"/>
            </w:rPr>
          </w:pPr>
          <w:hyperlink w:anchor="_Toc199973349" w:history="1">
            <w:r w:rsidR="00D06528" w:rsidRPr="00D06528">
              <w:rPr>
                <w:rStyle w:val="Hipervnculo"/>
                <w:rFonts w:eastAsia="Calibri"/>
                <w:bCs/>
                <w:noProof/>
                <w:color w:val="auto"/>
                <w:lang w:eastAsia="en-US"/>
              </w:rPr>
              <w:t>e)</w:t>
            </w:r>
            <w:r w:rsidR="00D06528" w:rsidRPr="00D06528">
              <w:rPr>
                <w:rStyle w:val="Hipervnculo"/>
                <w:noProof/>
                <w:color w:val="auto"/>
              </w:rPr>
              <w:t xml:space="preserve"> </w:t>
            </w:r>
            <w:r w:rsidR="00D06528" w:rsidRPr="00D06528">
              <w:rPr>
                <w:rStyle w:val="Hipervnculo"/>
                <w:noProof/>
                <w:color w:val="auto"/>
                <w:lang w:val="es-ES"/>
              </w:rPr>
              <w:t>Manifestaciones de la Parte Recurrente</w:t>
            </w:r>
            <w:r w:rsidR="00D06528" w:rsidRPr="00D06528">
              <w:rPr>
                <w:noProof/>
                <w:webHidden/>
              </w:rPr>
              <w:tab/>
            </w:r>
            <w:r w:rsidR="00D06528" w:rsidRPr="00D06528">
              <w:rPr>
                <w:noProof/>
                <w:webHidden/>
              </w:rPr>
              <w:fldChar w:fldCharType="begin"/>
            </w:r>
            <w:r w:rsidR="00D06528" w:rsidRPr="00D06528">
              <w:rPr>
                <w:noProof/>
                <w:webHidden/>
              </w:rPr>
              <w:instrText xml:space="preserve"> PAGEREF _Toc199973349 \h </w:instrText>
            </w:r>
            <w:r w:rsidR="00D06528" w:rsidRPr="00D06528">
              <w:rPr>
                <w:noProof/>
                <w:webHidden/>
              </w:rPr>
            </w:r>
            <w:r w:rsidR="00D06528" w:rsidRPr="00D06528">
              <w:rPr>
                <w:noProof/>
                <w:webHidden/>
              </w:rPr>
              <w:fldChar w:fldCharType="separate"/>
            </w:r>
            <w:r w:rsidR="00FF5E29">
              <w:rPr>
                <w:noProof/>
                <w:webHidden/>
              </w:rPr>
              <w:t>4</w:t>
            </w:r>
            <w:r w:rsidR="00D06528" w:rsidRPr="00D06528">
              <w:rPr>
                <w:noProof/>
                <w:webHidden/>
              </w:rPr>
              <w:fldChar w:fldCharType="end"/>
            </w:r>
          </w:hyperlink>
        </w:p>
        <w:p w14:paraId="023789D5" w14:textId="773919E4" w:rsidR="00D06528" w:rsidRPr="00D06528" w:rsidRDefault="00E35B54" w:rsidP="00D06528">
          <w:pPr>
            <w:pStyle w:val="TDC3"/>
            <w:rPr>
              <w:rFonts w:asciiTheme="minorHAnsi" w:eastAsiaTheme="minorEastAsia" w:hAnsiTheme="minorHAnsi" w:cstheme="minorBidi"/>
              <w:noProof/>
              <w:szCs w:val="22"/>
              <w:lang w:eastAsia="es-MX"/>
            </w:rPr>
          </w:pPr>
          <w:hyperlink w:anchor="_Toc199973350" w:history="1">
            <w:r w:rsidR="00D06528" w:rsidRPr="00D06528">
              <w:rPr>
                <w:rStyle w:val="Hipervnculo"/>
                <w:noProof/>
                <w:color w:val="auto"/>
              </w:rPr>
              <w:t>f) Cierre de instrucción</w:t>
            </w:r>
            <w:r w:rsidR="00D06528" w:rsidRPr="00D06528">
              <w:rPr>
                <w:noProof/>
                <w:webHidden/>
              </w:rPr>
              <w:tab/>
            </w:r>
            <w:r w:rsidR="00D06528" w:rsidRPr="00D06528">
              <w:rPr>
                <w:noProof/>
                <w:webHidden/>
              </w:rPr>
              <w:fldChar w:fldCharType="begin"/>
            </w:r>
            <w:r w:rsidR="00D06528" w:rsidRPr="00D06528">
              <w:rPr>
                <w:noProof/>
                <w:webHidden/>
              </w:rPr>
              <w:instrText xml:space="preserve"> PAGEREF _Toc199973350 \h </w:instrText>
            </w:r>
            <w:r w:rsidR="00D06528" w:rsidRPr="00D06528">
              <w:rPr>
                <w:noProof/>
                <w:webHidden/>
              </w:rPr>
            </w:r>
            <w:r w:rsidR="00D06528" w:rsidRPr="00D06528">
              <w:rPr>
                <w:noProof/>
                <w:webHidden/>
              </w:rPr>
              <w:fldChar w:fldCharType="separate"/>
            </w:r>
            <w:r w:rsidR="00FF5E29">
              <w:rPr>
                <w:noProof/>
                <w:webHidden/>
              </w:rPr>
              <w:t>4</w:t>
            </w:r>
            <w:r w:rsidR="00D06528" w:rsidRPr="00D06528">
              <w:rPr>
                <w:noProof/>
                <w:webHidden/>
              </w:rPr>
              <w:fldChar w:fldCharType="end"/>
            </w:r>
          </w:hyperlink>
        </w:p>
        <w:p w14:paraId="27AF73BE" w14:textId="49CCC431" w:rsidR="00D06528" w:rsidRPr="00D06528" w:rsidRDefault="00E35B54" w:rsidP="00D06528">
          <w:pPr>
            <w:pStyle w:val="TDC1"/>
            <w:tabs>
              <w:tab w:val="right" w:leader="dot" w:pos="9034"/>
            </w:tabs>
            <w:rPr>
              <w:rFonts w:asciiTheme="minorHAnsi" w:eastAsiaTheme="minorEastAsia" w:hAnsiTheme="minorHAnsi" w:cstheme="minorBidi"/>
              <w:noProof/>
              <w:szCs w:val="22"/>
              <w:lang w:eastAsia="es-MX"/>
            </w:rPr>
          </w:pPr>
          <w:hyperlink w:anchor="_Toc199973351" w:history="1">
            <w:r w:rsidR="00D06528" w:rsidRPr="00D06528">
              <w:rPr>
                <w:rStyle w:val="Hipervnculo"/>
                <w:rFonts w:eastAsiaTheme="minorHAnsi"/>
                <w:noProof/>
                <w:color w:val="auto"/>
                <w:lang w:eastAsia="en-US"/>
              </w:rPr>
              <w:t>CONSIDERANDOS</w:t>
            </w:r>
            <w:r w:rsidR="00D06528" w:rsidRPr="00D06528">
              <w:rPr>
                <w:noProof/>
                <w:webHidden/>
              </w:rPr>
              <w:tab/>
            </w:r>
            <w:r w:rsidR="00D06528" w:rsidRPr="00D06528">
              <w:rPr>
                <w:noProof/>
                <w:webHidden/>
              </w:rPr>
              <w:fldChar w:fldCharType="begin"/>
            </w:r>
            <w:r w:rsidR="00D06528" w:rsidRPr="00D06528">
              <w:rPr>
                <w:noProof/>
                <w:webHidden/>
              </w:rPr>
              <w:instrText xml:space="preserve"> PAGEREF _Toc199973351 \h </w:instrText>
            </w:r>
            <w:r w:rsidR="00D06528" w:rsidRPr="00D06528">
              <w:rPr>
                <w:noProof/>
                <w:webHidden/>
              </w:rPr>
            </w:r>
            <w:r w:rsidR="00D06528" w:rsidRPr="00D06528">
              <w:rPr>
                <w:noProof/>
                <w:webHidden/>
              </w:rPr>
              <w:fldChar w:fldCharType="separate"/>
            </w:r>
            <w:r w:rsidR="00FF5E29">
              <w:rPr>
                <w:noProof/>
                <w:webHidden/>
              </w:rPr>
              <w:t>5</w:t>
            </w:r>
            <w:r w:rsidR="00D06528" w:rsidRPr="00D06528">
              <w:rPr>
                <w:noProof/>
                <w:webHidden/>
              </w:rPr>
              <w:fldChar w:fldCharType="end"/>
            </w:r>
          </w:hyperlink>
        </w:p>
        <w:p w14:paraId="10F7FED2" w14:textId="00E63167" w:rsidR="00D06528" w:rsidRPr="00D06528" w:rsidRDefault="00E35B54" w:rsidP="00D06528">
          <w:pPr>
            <w:pStyle w:val="TDC2"/>
            <w:rPr>
              <w:rFonts w:asciiTheme="minorHAnsi" w:eastAsiaTheme="minorEastAsia" w:hAnsiTheme="minorHAnsi" w:cstheme="minorBidi"/>
              <w:noProof/>
              <w:szCs w:val="22"/>
              <w:lang w:eastAsia="es-MX"/>
            </w:rPr>
          </w:pPr>
          <w:hyperlink w:anchor="_Toc199973352" w:history="1">
            <w:r w:rsidR="00D06528" w:rsidRPr="00D06528">
              <w:rPr>
                <w:rStyle w:val="Hipervnculo"/>
                <w:rFonts w:eastAsia="Batang"/>
                <w:noProof/>
                <w:color w:val="auto"/>
              </w:rPr>
              <w:t>PRIMERO. Procedibilidad</w:t>
            </w:r>
            <w:r w:rsidR="00D06528" w:rsidRPr="00D06528">
              <w:rPr>
                <w:noProof/>
                <w:webHidden/>
              </w:rPr>
              <w:tab/>
            </w:r>
            <w:r w:rsidR="00D06528" w:rsidRPr="00D06528">
              <w:rPr>
                <w:noProof/>
                <w:webHidden/>
              </w:rPr>
              <w:fldChar w:fldCharType="begin"/>
            </w:r>
            <w:r w:rsidR="00D06528" w:rsidRPr="00D06528">
              <w:rPr>
                <w:noProof/>
                <w:webHidden/>
              </w:rPr>
              <w:instrText xml:space="preserve"> PAGEREF _Toc199973352 \h </w:instrText>
            </w:r>
            <w:r w:rsidR="00D06528" w:rsidRPr="00D06528">
              <w:rPr>
                <w:noProof/>
                <w:webHidden/>
              </w:rPr>
            </w:r>
            <w:r w:rsidR="00D06528" w:rsidRPr="00D06528">
              <w:rPr>
                <w:noProof/>
                <w:webHidden/>
              </w:rPr>
              <w:fldChar w:fldCharType="separate"/>
            </w:r>
            <w:r w:rsidR="00FF5E29">
              <w:rPr>
                <w:noProof/>
                <w:webHidden/>
              </w:rPr>
              <w:t>5</w:t>
            </w:r>
            <w:r w:rsidR="00D06528" w:rsidRPr="00D06528">
              <w:rPr>
                <w:noProof/>
                <w:webHidden/>
              </w:rPr>
              <w:fldChar w:fldCharType="end"/>
            </w:r>
          </w:hyperlink>
        </w:p>
        <w:p w14:paraId="14F76AA6" w14:textId="6338F33F" w:rsidR="00D06528" w:rsidRPr="00D06528" w:rsidRDefault="00E35B54" w:rsidP="00D06528">
          <w:pPr>
            <w:pStyle w:val="TDC3"/>
            <w:rPr>
              <w:rFonts w:asciiTheme="minorHAnsi" w:eastAsiaTheme="minorEastAsia" w:hAnsiTheme="minorHAnsi" w:cstheme="minorBidi"/>
              <w:noProof/>
              <w:szCs w:val="22"/>
              <w:lang w:eastAsia="es-MX"/>
            </w:rPr>
          </w:pPr>
          <w:hyperlink w:anchor="_Toc199973353" w:history="1">
            <w:r w:rsidR="00D06528" w:rsidRPr="00D06528">
              <w:rPr>
                <w:rStyle w:val="Hipervnculo"/>
                <w:noProof/>
                <w:color w:val="auto"/>
              </w:rPr>
              <w:t>a) Competencia del Instituto</w:t>
            </w:r>
            <w:r w:rsidR="00D06528" w:rsidRPr="00D06528">
              <w:rPr>
                <w:noProof/>
                <w:webHidden/>
              </w:rPr>
              <w:tab/>
            </w:r>
            <w:r w:rsidR="00D06528" w:rsidRPr="00D06528">
              <w:rPr>
                <w:noProof/>
                <w:webHidden/>
              </w:rPr>
              <w:fldChar w:fldCharType="begin"/>
            </w:r>
            <w:r w:rsidR="00D06528" w:rsidRPr="00D06528">
              <w:rPr>
                <w:noProof/>
                <w:webHidden/>
              </w:rPr>
              <w:instrText xml:space="preserve"> PAGEREF _Toc199973353 \h </w:instrText>
            </w:r>
            <w:r w:rsidR="00D06528" w:rsidRPr="00D06528">
              <w:rPr>
                <w:noProof/>
                <w:webHidden/>
              </w:rPr>
            </w:r>
            <w:r w:rsidR="00D06528" w:rsidRPr="00D06528">
              <w:rPr>
                <w:noProof/>
                <w:webHidden/>
              </w:rPr>
              <w:fldChar w:fldCharType="separate"/>
            </w:r>
            <w:r w:rsidR="00FF5E29">
              <w:rPr>
                <w:noProof/>
                <w:webHidden/>
              </w:rPr>
              <w:t>5</w:t>
            </w:r>
            <w:r w:rsidR="00D06528" w:rsidRPr="00D06528">
              <w:rPr>
                <w:noProof/>
                <w:webHidden/>
              </w:rPr>
              <w:fldChar w:fldCharType="end"/>
            </w:r>
          </w:hyperlink>
        </w:p>
        <w:p w14:paraId="72C32A28" w14:textId="672FCD85" w:rsidR="00D06528" w:rsidRPr="00D06528" w:rsidRDefault="00E35B54" w:rsidP="00D06528">
          <w:pPr>
            <w:pStyle w:val="TDC3"/>
            <w:rPr>
              <w:rFonts w:asciiTheme="minorHAnsi" w:eastAsiaTheme="minorEastAsia" w:hAnsiTheme="minorHAnsi" w:cstheme="minorBidi"/>
              <w:noProof/>
              <w:szCs w:val="22"/>
              <w:lang w:eastAsia="es-MX"/>
            </w:rPr>
          </w:pPr>
          <w:hyperlink w:anchor="_Toc199973354" w:history="1">
            <w:r w:rsidR="00D06528" w:rsidRPr="00D06528">
              <w:rPr>
                <w:rStyle w:val="Hipervnculo"/>
                <w:noProof/>
                <w:color w:val="auto"/>
              </w:rPr>
              <w:t>b) Legitimidad de la parte recurrente</w:t>
            </w:r>
            <w:r w:rsidR="00D06528" w:rsidRPr="00D06528">
              <w:rPr>
                <w:noProof/>
                <w:webHidden/>
              </w:rPr>
              <w:tab/>
            </w:r>
            <w:r w:rsidR="00D06528" w:rsidRPr="00D06528">
              <w:rPr>
                <w:noProof/>
                <w:webHidden/>
              </w:rPr>
              <w:fldChar w:fldCharType="begin"/>
            </w:r>
            <w:r w:rsidR="00D06528" w:rsidRPr="00D06528">
              <w:rPr>
                <w:noProof/>
                <w:webHidden/>
              </w:rPr>
              <w:instrText xml:space="preserve"> PAGEREF _Toc199973354 \h </w:instrText>
            </w:r>
            <w:r w:rsidR="00D06528" w:rsidRPr="00D06528">
              <w:rPr>
                <w:noProof/>
                <w:webHidden/>
              </w:rPr>
            </w:r>
            <w:r w:rsidR="00D06528" w:rsidRPr="00D06528">
              <w:rPr>
                <w:noProof/>
                <w:webHidden/>
              </w:rPr>
              <w:fldChar w:fldCharType="separate"/>
            </w:r>
            <w:r w:rsidR="00FF5E29">
              <w:rPr>
                <w:noProof/>
                <w:webHidden/>
              </w:rPr>
              <w:t>5</w:t>
            </w:r>
            <w:r w:rsidR="00D06528" w:rsidRPr="00D06528">
              <w:rPr>
                <w:noProof/>
                <w:webHidden/>
              </w:rPr>
              <w:fldChar w:fldCharType="end"/>
            </w:r>
          </w:hyperlink>
        </w:p>
        <w:p w14:paraId="44354827" w14:textId="400E1F34" w:rsidR="00D06528" w:rsidRPr="00D06528" w:rsidRDefault="00E35B54" w:rsidP="00D06528">
          <w:pPr>
            <w:pStyle w:val="TDC3"/>
            <w:rPr>
              <w:rFonts w:asciiTheme="minorHAnsi" w:eastAsiaTheme="minorEastAsia" w:hAnsiTheme="minorHAnsi" w:cstheme="minorBidi"/>
              <w:noProof/>
              <w:szCs w:val="22"/>
              <w:lang w:eastAsia="es-MX"/>
            </w:rPr>
          </w:pPr>
          <w:hyperlink w:anchor="_Toc199973355" w:history="1">
            <w:r w:rsidR="00D06528" w:rsidRPr="00D06528">
              <w:rPr>
                <w:rStyle w:val="Hipervnculo"/>
                <w:rFonts w:eastAsia="Calibri"/>
                <w:noProof/>
                <w:color w:val="auto"/>
                <w:lang w:eastAsia="es-ES_tradnl"/>
              </w:rPr>
              <w:t>c) Plazo para interponer el recurso</w:t>
            </w:r>
            <w:r w:rsidR="00D06528" w:rsidRPr="00D06528">
              <w:rPr>
                <w:noProof/>
                <w:webHidden/>
              </w:rPr>
              <w:tab/>
            </w:r>
            <w:r w:rsidR="00D06528" w:rsidRPr="00D06528">
              <w:rPr>
                <w:noProof/>
                <w:webHidden/>
              </w:rPr>
              <w:fldChar w:fldCharType="begin"/>
            </w:r>
            <w:r w:rsidR="00D06528" w:rsidRPr="00D06528">
              <w:rPr>
                <w:noProof/>
                <w:webHidden/>
              </w:rPr>
              <w:instrText xml:space="preserve"> PAGEREF _Toc199973355 \h </w:instrText>
            </w:r>
            <w:r w:rsidR="00D06528" w:rsidRPr="00D06528">
              <w:rPr>
                <w:noProof/>
                <w:webHidden/>
              </w:rPr>
            </w:r>
            <w:r w:rsidR="00D06528" w:rsidRPr="00D06528">
              <w:rPr>
                <w:noProof/>
                <w:webHidden/>
              </w:rPr>
              <w:fldChar w:fldCharType="separate"/>
            </w:r>
            <w:r w:rsidR="00FF5E29">
              <w:rPr>
                <w:noProof/>
                <w:webHidden/>
              </w:rPr>
              <w:t>5</w:t>
            </w:r>
            <w:r w:rsidR="00D06528" w:rsidRPr="00D06528">
              <w:rPr>
                <w:noProof/>
                <w:webHidden/>
              </w:rPr>
              <w:fldChar w:fldCharType="end"/>
            </w:r>
          </w:hyperlink>
        </w:p>
        <w:p w14:paraId="4B1DD151" w14:textId="4101AA60" w:rsidR="00D06528" w:rsidRPr="00D06528" w:rsidRDefault="00E35B54" w:rsidP="00D06528">
          <w:pPr>
            <w:pStyle w:val="TDC3"/>
            <w:rPr>
              <w:rFonts w:asciiTheme="minorHAnsi" w:eastAsiaTheme="minorEastAsia" w:hAnsiTheme="minorHAnsi" w:cstheme="minorBidi"/>
              <w:noProof/>
              <w:szCs w:val="22"/>
              <w:lang w:eastAsia="es-MX"/>
            </w:rPr>
          </w:pPr>
          <w:hyperlink w:anchor="_Toc199973356" w:history="1">
            <w:r w:rsidR="00D06528" w:rsidRPr="00D06528">
              <w:rPr>
                <w:rStyle w:val="Hipervnculo"/>
                <w:noProof/>
                <w:color w:val="auto"/>
              </w:rPr>
              <w:t>d) Requisitos formales para la interposición del recurso</w:t>
            </w:r>
            <w:r w:rsidR="00D06528" w:rsidRPr="00D06528">
              <w:rPr>
                <w:noProof/>
                <w:webHidden/>
              </w:rPr>
              <w:tab/>
            </w:r>
            <w:r w:rsidR="00D06528" w:rsidRPr="00D06528">
              <w:rPr>
                <w:noProof/>
                <w:webHidden/>
              </w:rPr>
              <w:fldChar w:fldCharType="begin"/>
            </w:r>
            <w:r w:rsidR="00D06528" w:rsidRPr="00D06528">
              <w:rPr>
                <w:noProof/>
                <w:webHidden/>
              </w:rPr>
              <w:instrText xml:space="preserve"> PAGEREF _Toc199973356 \h </w:instrText>
            </w:r>
            <w:r w:rsidR="00D06528" w:rsidRPr="00D06528">
              <w:rPr>
                <w:noProof/>
                <w:webHidden/>
              </w:rPr>
            </w:r>
            <w:r w:rsidR="00D06528" w:rsidRPr="00D06528">
              <w:rPr>
                <w:noProof/>
                <w:webHidden/>
              </w:rPr>
              <w:fldChar w:fldCharType="separate"/>
            </w:r>
            <w:r w:rsidR="00FF5E29">
              <w:rPr>
                <w:noProof/>
                <w:webHidden/>
              </w:rPr>
              <w:t>7</w:t>
            </w:r>
            <w:r w:rsidR="00D06528" w:rsidRPr="00D06528">
              <w:rPr>
                <w:noProof/>
                <w:webHidden/>
              </w:rPr>
              <w:fldChar w:fldCharType="end"/>
            </w:r>
          </w:hyperlink>
        </w:p>
        <w:p w14:paraId="51F3DF66" w14:textId="5A0EB76C" w:rsidR="00D06528" w:rsidRPr="00D06528" w:rsidRDefault="00E35B54" w:rsidP="00D06528">
          <w:pPr>
            <w:pStyle w:val="TDC2"/>
            <w:rPr>
              <w:rFonts w:asciiTheme="minorHAnsi" w:eastAsiaTheme="minorEastAsia" w:hAnsiTheme="minorHAnsi" w:cstheme="minorBidi"/>
              <w:noProof/>
              <w:szCs w:val="22"/>
              <w:lang w:eastAsia="es-MX"/>
            </w:rPr>
          </w:pPr>
          <w:hyperlink w:anchor="_Toc199973357" w:history="1">
            <w:r w:rsidR="00D06528" w:rsidRPr="00D06528">
              <w:rPr>
                <w:rStyle w:val="Hipervnculo"/>
                <w:noProof/>
                <w:color w:val="auto"/>
              </w:rPr>
              <w:t>SEGUNDO. Estudio de Fondo</w:t>
            </w:r>
            <w:r w:rsidR="00D06528" w:rsidRPr="00D06528">
              <w:rPr>
                <w:noProof/>
                <w:webHidden/>
              </w:rPr>
              <w:tab/>
            </w:r>
            <w:r w:rsidR="00D06528" w:rsidRPr="00D06528">
              <w:rPr>
                <w:noProof/>
                <w:webHidden/>
              </w:rPr>
              <w:fldChar w:fldCharType="begin"/>
            </w:r>
            <w:r w:rsidR="00D06528" w:rsidRPr="00D06528">
              <w:rPr>
                <w:noProof/>
                <w:webHidden/>
              </w:rPr>
              <w:instrText xml:space="preserve"> PAGEREF _Toc199973357 \h </w:instrText>
            </w:r>
            <w:r w:rsidR="00D06528" w:rsidRPr="00D06528">
              <w:rPr>
                <w:noProof/>
                <w:webHidden/>
              </w:rPr>
            </w:r>
            <w:r w:rsidR="00D06528" w:rsidRPr="00D06528">
              <w:rPr>
                <w:noProof/>
                <w:webHidden/>
              </w:rPr>
              <w:fldChar w:fldCharType="separate"/>
            </w:r>
            <w:r w:rsidR="00FF5E29">
              <w:rPr>
                <w:noProof/>
                <w:webHidden/>
              </w:rPr>
              <w:t>8</w:t>
            </w:r>
            <w:r w:rsidR="00D06528" w:rsidRPr="00D06528">
              <w:rPr>
                <w:noProof/>
                <w:webHidden/>
              </w:rPr>
              <w:fldChar w:fldCharType="end"/>
            </w:r>
          </w:hyperlink>
        </w:p>
        <w:p w14:paraId="13CE3721" w14:textId="48270E0E" w:rsidR="00D06528" w:rsidRPr="00D06528" w:rsidRDefault="00E35B54" w:rsidP="00D06528">
          <w:pPr>
            <w:pStyle w:val="TDC3"/>
            <w:rPr>
              <w:rFonts w:asciiTheme="minorHAnsi" w:eastAsiaTheme="minorEastAsia" w:hAnsiTheme="minorHAnsi" w:cstheme="minorBidi"/>
              <w:noProof/>
              <w:szCs w:val="22"/>
              <w:lang w:eastAsia="es-MX"/>
            </w:rPr>
          </w:pPr>
          <w:hyperlink w:anchor="_Toc199973358" w:history="1">
            <w:r w:rsidR="00D06528" w:rsidRPr="00D06528">
              <w:rPr>
                <w:rStyle w:val="Hipervnculo"/>
                <w:noProof/>
                <w:color w:val="auto"/>
              </w:rPr>
              <w:t>a) Mandato de transparencia y responsabilidad del Sujeto Obligado</w:t>
            </w:r>
            <w:r w:rsidR="00D06528" w:rsidRPr="00D06528">
              <w:rPr>
                <w:noProof/>
                <w:webHidden/>
              </w:rPr>
              <w:tab/>
            </w:r>
            <w:r w:rsidR="00D06528" w:rsidRPr="00D06528">
              <w:rPr>
                <w:noProof/>
                <w:webHidden/>
              </w:rPr>
              <w:fldChar w:fldCharType="begin"/>
            </w:r>
            <w:r w:rsidR="00D06528" w:rsidRPr="00D06528">
              <w:rPr>
                <w:noProof/>
                <w:webHidden/>
              </w:rPr>
              <w:instrText xml:space="preserve"> PAGEREF _Toc199973358 \h </w:instrText>
            </w:r>
            <w:r w:rsidR="00D06528" w:rsidRPr="00D06528">
              <w:rPr>
                <w:noProof/>
                <w:webHidden/>
              </w:rPr>
            </w:r>
            <w:r w:rsidR="00D06528" w:rsidRPr="00D06528">
              <w:rPr>
                <w:noProof/>
                <w:webHidden/>
              </w:rPr>
              <w:fldChar w:fldCharType="separate"/>
            </w:r>
            <w:r w:rsidR="00FF5E29">
              <w:rPr>
                <w:noProof/>
                <w:webHidden/>
              </w:rPr>
              <w:t>8</w:t>
            </w:r>
            <w:r w:rsidR="00D06528" w:rsidRPr="00D06528">
              <w:rPr>
                <w:noProof/>
                <w:webHidden/>
              </w:rPr>
              <w:fldChar w:fldCharType="end"/>
            </w:r>
          </w:hyperlink>
        </w:p>
        <w:p w14:paraId="6925B61E" w14:textId="42978203" w:rsidR="00D06528" w:rsidRPr="00D06528" w:rsidRDefault="00E35B54" w:rsidP="00D06528">
          <w:pPr>
            <w:pStyle w:val="TDC3"/>
            <w:rPr>
              <w:rFonts w:asciiTheme="minorHAnsi" w:eastAsiaTheme="minorEastAsia" w:hAnsiTheme="minorHAnsi" w:cstheme="minorBidi"/>
              <w:noProof/>
              <w:szCs w:val="22"/>
              <w:lang w:eastAsia="es-MX"/>
            </w:rPr>
          </w:pPr>
          <w:hyperlink w:anchor="_Toc199973359" w:history="1">
            <w:r w:rsidR="00D06528" w:rsidRPr="00D06528">
              <w:rPr>
                <w:rStyle w:val="Hipervnculo"/>
                <w:rFonts w:eastAsia="Calibri"/>
                <w:noProof/>
                <w:color w:val="auto"/>
                <w:lang w:eastAsia="es-ES_tradnl"/>
              </w:rPr>
              <w:t>b) Controversia a resolver</w:t>
            </w:r>
            <w:r w:rsidR="00D06528" w:rsidRPr="00D06528">
              <w:rPr>
                <w:noProof/>
                <w:webHidden/>
              </w:rPr>
              <w:tab/>
            </w:r>
            <w:r w:rsidR="00D06528" w:rsidRPr="00D06528">
              <w:rPr>
                <w:noProof/>
                <w:webHidden/>
              </w:rPr>
              <w:fldChar w:fldCharType="begin"/>
            </w:r>
            <w:r w:rsidR="00D06528" w:rsidRPr="00D06528">
              <w:rPr>
                <w:noProof/>
                <w:webHidden/>
              </w:rPr>
              <w:instrText xml:space="preserve"> PAGEREF _Toc199973359 \h </w:instrText>
            </w:r>
            <w:r w:rsidR="00D06528" w:rsidRPr="00D06528">
              <w:rPr>
                <w:noProof/>
                <w:webHidden/>
              </w:rPr>
            </w:r>
            <w:r w:rsidR="00D06528" w:rsidRPr="00D06528">
              <w:rPr>
                <w:noProof/>
                <w:webHidden/>
              </w:rPr>
              <w:fldChar w:fldCharType="separate"/>
            </w:r>
            <w:r w:rsidR="00FF5E29">
              <w:rPr>
                <w:noProof/>
                <w:webHidden/>
              </w:rPr>
              <w:t>10</w:t>
            </w:r>
            <w:r w:rsidR="00D06528" w:rsidRPr="00D06528">
              <w:rPr>
                <w:noProof/>
                <w:webHidden/>
              </w:rPr>
              <w:fldChar w:fldCharType="end"/>
            </w:r>
          </w:hyperlink>
        </w:p>
        <w:p w14:paraId="66C88186" w14:textId="381E69B0" w:rsidR="00D06528" w:rsidRPr="00D06528" w:rsidRDefault="00E35B54" w:rsidP="00D06528">
          <w:pPr>
            <w:pStyle w:val="TDC3"/>
            <w:rPr>
              <w:rFonts w:asciiTheme="minorHAnsi" w:eastAsiaTheme="minorEastAsia" w:hAnsiTheme="minorHAnsi" w:cstheme="minorBidi"/>
              <w:noProof/>
              <w:szCs w:val="22"/>
              <w:lang w:eastAsia="es-MX"/>
            </w:rPr>
          </w:pPr>
          <w:hyperlink w:anchor="_Toc199973360" w:history="1">
            <w:r w:rsidR="00D06528" w:rsidRPr="00D06528">
              <w:rPr>
                <w:rStyle w:val="Hipervnculo"/>
                <w:noProof/>
                <w:color w:val="auto"/>
              </w:rPr>
              <w:t>c) Estudio de la controversia</w:t>
            </w:r>
            <w:r w:rsidR="00D06528" w:rsidRPr="00D06528">
              <w:rPr>
                <w:noProof/>
                <w:webHidden/>
              </w:rPr>
              <w:tab/>
            </w:r>
            <w:r w:rsidR="00D06528" w:rsidRPr="00D06528">
              <w:rPr>
                <w:noProof/>
                <w:webHidden/>
              </w:rPr>
              <w:fldChar w:fldCharType="begin"/>
            </w:r>
            <w:r w:rsidR="00D06528" w:rsidRPr="00D06528">
              <w:rPr>
                <w:noProof/>
                <w:webHidden/>
              </w:rPr>
              <w:instrText xml:space="preserve"> PAGEREF _Toc199973360 \h </w:instrText>
            </w:r>
            <w:r w:rsidR="00D06528" w:rsidRPr="00D06528">
              <w:rPr>
                <w:noProof/>
                <w:webHidden/>
              </w:rPr>
            </w:r>
            <w:r w:rsidR="00D06528" w:rsidRPr="00D06528">
              <w:rPr>
                <w:noProof/>
                <w:webHidden/>
              </w:rPr>
              <w:fldChar w:fldCharType="separate"/>
            </w:r>
            <w:r w:rsidR="00FF5E29">
              <w:rPr>
                <w:noProof/>
                <w:webHidden/>
              </w:rPr>
              <w:t>11</w:t>
            </w:r>
            <w:r w:rsidR="00D06528" w:rsidRPr="00D06528">
              <w:rPr>
                <w:noProof/>
                <w:webHidden/>
              </w:rPr>
              <w:fldChar w:fldCharType="end"/>
            </w:r>
          </w:hyperlink>
        </w:p>
        <w:p w14:paraId="351DEFB6" w14:textId="6DEB1B8C" w:rsidR="00D06528" w:rsidRPr="00D06528" w:rsidRDefault="00E35B54" w:rsidP="00D06528">
          <w:pPr>
            <w:pStyle w:val="TDC3"/>
            <w:rPr>
              <w:rFonts w:asciiTheme="minorHAnsi" w:eastAsiaTheme="minorEastAsia" w:hAnsiTheme="minorHAnsi" w:cstheme="minorBidi"/>
              <w:noProof/>
              <w:szCs w:val="22"/>
              <w:lang w:eastAsia="es-MX"/>
            </w:rPr>
          </w:pPr>
          <w:hyperlink w:anchor="_Toc199973361" w:history="1">
            <w:r w:rsidR="00D06528" w:rsidRPr="00D06528">
              <w:rPr>
                <w:rStyle w:val="Hipervnculo"/>
                <w:noProof/>
                <w:color w:val="auto"/>
              </w:rPr>
              <w:t>d) Conclusión</w:t>
            </w:r>
            <w:r w:rsidR="00D06528" w:rsidRPr="00D06528">
              <w:rPr>
                <w:noProof/>
                <w:webHidden/>
              </w:rPr>
              <w:tab/>
            </w:r>
            <w:r w:rsidR="00D06528" w:rsidRPr="00D06528">
              <w:rPr>
                <w:noProof/>
                <w:webHidden/>
              </w:rPr>
              <w:fldChar w:fldCharType="begin"/>
            </w:r>
            <w:r w:rsidR="00D06528" w:rsidRPr="00D06528">
              <w:rPr>
                <w:noProof/>
                <w:webHidden/>
              </w:rPr>
              <w:instrText xml:space="preserve"> PAGEREF _Toc199973361 \h </w:instrText>
            </w:r>
            <w:r w:rsidR="00D06528" w:rsidRPr="00D06528">
              <w:rPr>
                <w:noProof/>
                <w:webHidden/>
              </w:rPr>
            </w:r>
            <w:r w:rsidR="00D06528" w:rsidRPr="00D06528">
              <w:rPr>
                <w:noProof/>
                <w:webHidden/>
              </w:rPr>
              <w:fldChar w:fldCharType="separate"/>
            </w:r>
            <w:r w:rsidR="00FF5E29">
              <w:rPr>
                <w:noProof/>
                <w:webHidden/>
              </w:rPr>
              <w:t>16</w:t>
            </w:r>
            <w:r w:rsidR="00D06528" w:rsidRPr="00D06528">
              <w:rPr>
                <w:noProof/>
                <w:webHidden/>
              </w:rPr>
              <w:fldChar w:fldCharType="end"/>
            </w:r>
          </w:hyperlink>
        </w:p>
        <w:p w14:paraId="5881E086" w14:textId="781A3122" w:rsidR="00D06528" w:rsidRPr="00D06528" w:rsidRDefault="00E35B54" w:rsidP="00D06528">
          <w:pPr>
            <w:pStyle w:val="TDC1"/>
            <w:tabs>
              <w:tab w:val="right" w:leader="dot" w:pos="9034"/>
            </w:tabs>
            <w:rPr>
              <w:rFonts w:asciiTheme="minorHAnsi" w:eastAsiaTheme="minorEastAsia" w:hAnsiTheme="minorHAnsi" w:cstheme="minorBidi"/>
              <w:noProof/>
              <w:szCs w:val="22"/>
              <w:lang w:eastAsia="es-MX"/>
            </w:rPr>
          </w:pPr>
          <w:hyperlink w:anchor="_Toc199973362" w:history="1">
            <w:r w:rsidR="00D06528" w:rsidRPr="00D06528">
              <w:rPr>
                <w:rStyle w:val="Hipervnculo"/>
                <w:noProof/>
                <w:color w:val="auto"/>
              </w:rPr>
              <w:t>RESUELVE</w:t>
            </w:r>
            <w:r w:rsidR="00D06528" w:rsidRPr="00D06528">
              <w:rPr>
                <w:noProof/>
                <w:webHidden/>
              </w:rPr>
              <w:tab/>
            </w:r>
            <w:r w:rsidR="00D06528" w:rsidRPr="00D06528">
              <w:rPr>
                <w:noProof/>
                <w:webHidden/>
              </w:rPr>
              <w:fldChar w:fldCharType="begin"/>
            </w:r>
            <w:r w:rsidR="00D06528" w:rsidRPr="00D06528">
              <w:rPr>
                <w:noProof/>
                <w:webHidden/>
              </w:rPr>
              <w:instrText xml:space="preserve"> PAGEREF _Toc199973362 \h </w:instrText>
            </w:r>
            <w:r w:rsidR="00D06528" w:rsidRPr="00D06528">
              <w:rPr>
                <w:noProof/>
                <w:webHidden/>
              </w:rPr>
            </w:r>
            <w:r w:rsidR="00D06528" w:rsidRPr="00D06528">
              <w:rPr>
                <w:noProof/>
                <w:webHidden/>
              </w:rPr>
              <w:fldChar w:fldCharType="separate"/>
            </w:r>
            <w:r w:rsidR="00FF5E29">
              <w:rPr>
                <w:noProof/>
                <w:webHidden/>
              </w:rPr>
              <w:t>16</w:t>
            </w:r>
            <w:r w:rsidR="00D06528" w:rsidRPr="00D06528">
              <w:rPr>
                <w:noProof/>
                <w:webHidden/>
              </w:rPr>
              <w:fldChar w:fldCharType="end"/>
            </w:r>
          </w:hyperlink>
        </w:p>
        <w:p w14:paraId="0C82FD7A" w14:textId="78F92440" w:rsidR="009B2945" w:rsidRPr="00D06528" w:rsidRDefault="00AE3DA7" w:rsidP="00D06528">
          <w:pPr>
            <w:spacing w:line="240" w:lineRule="auto"/>
            <w:rPr>
              <w:b/>
              <w:bCs/>
              <w:lang w:val="es-ES"/>
            </w:rPr>
          </w:pPr>
          <w:r w:rsidRPr="00D06528">
            <w:rPr>
              <w:b/>
              <w:bCs/>
              <w:sz w:val="16"/>
              <w:szCs w:val="16"/>
              <w:lang w:val="es-ES"/>
            </w:rPr>
            <w:fldChar w:fldCharType="end"/>
          </w:r>
        </w:p>
      </w:sdtContent>
    </w:sdt>
    <w:p w14:paraId="603A07E2" w14:textId="77777777" w:rsidR="00646436" w:rsidRPr="00D06528" w:rsidRDefault="00646436" w:rsidP="00D06528">
      <w:pPr>
        <w:rPr>
          <w:rFonts w:cs="Tahoma"/>
          <w:szCs w:val="22"/>
        </w:rPr>
        <w:sectPr w:rsidR="00646436" w:rsidRPr="00D06528"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0808F0F6" w:rsidR="00775BFC" w:rsidRPr="00D06528" w:rsidRDefault="00775BFC" w:rsidP="00D06528">
      <w:pPr>
        <w:rPr>
          <w:b/>
        </w:rPr>
      </w:pPr>
      <w:r w:rsidRPr="00D06528">
        <w:lastRenderedPageBreak/>
        <w:t>Resolución del Pleno del Instituto de Transparencia, Acceso a la Información Pública y Protección de Datos Personales del Estado de México y Municipios, con domicilio en Metepec, Estado de México, de</w:t>
      </w:r>
      <w:r w:rsidR="00D06528" w:rsidRPr="00D06528">
        <w:t>l</w:t>
      </w:r>
      <w:r w:rsidRPr="00D06528">
        <w:t xml:space="preserve"> </w:t>
      </w:r>
      <w:r w:rsidR="00756864" w:rsidRPr="00D06528">
        <w:rPr>
          <w:b/>
        </w:rPr>
        <w:t>cuatro de junio de dos mil veinticinco</w:t>
      </w:r>
      <w:r w:rsidR="004D2924" w:rsidRPr="00D06528">
        <w:rPr>
          <w:b/>
        </w:rPr>
        <w:t>.</w:t>
      </w:r>
    </w:p>
    <w:p w14:paraId="0AF3AAC4" w14:textId="77777777" w:rsidR="00775BFC" w:rsidRPr="00D06528" w:rsidRDefault="00775BFC" w:rsidP="00D06528"/>
    <w:p w14:paraId="40EAE038" w14:textId="123162C7" w:rsidR="00775BFC" w:rsidRPr="00D06528" w:rsidRDefault="00775BFC" w:rsidP="00D06528">
      <w:r w:rsidRPr="00D06528">
        <w:rPr>
          <w:b/>
        </w:rPr>
        <w:t xml:space="preserve">VISTO </w:t>
      </w:r>
      <w:r w:rsidRPr="00D06528">
        <w:t xml:space="preserve">el expediente formado con motivo del Recurso de Revisión </w:t>
      </w:r>
      <w:r w:rsidR="00756864" w:rsidRPr="00D06528">
        <w:rPr>
          <w:rFonts w:eastAsia="Calibri"/>
          <w:b/>
          <w:lang w:eastAsia="en-US"/>
        </w:rPr>
        <w:t>04512/INFOEM/IP/RR/2025</w:t>
      </w:r>
      <w:r w:rsidR="00E85A73" w:rsidRPr="00D06528">
        <w:rPr>
          <w:rFonts w:eastAsia="Calibri"/>
          <w:b/>
          <w:lang w:eastAsia="en-US"/>
        </w:rPr>
        <w:t xml:space="preserve"> </w:t>
      </w:r>
      <w:r w:rsidRPr="00D06528">
        <w:t xml:space="preserve">interpuesto </w:t>
      </w:r>
      <w:r w:rsidR="00A91BC5" w:rsidRPr="00D06528">
        <w:t xml:space="preserve">por </w:t>
      </w:r>
      <w:r w:rsidR="004210F8">
        <w:rPr>
          <w:b/>
        </w:rPr>
        <w:t>XXXX XXXXXXXX</w:t>
      </w:r>
      <w:r w:rsidRPr="00D06528">
        <w:t xml:space="preserve">, a quien en lo subsecuente se le denominará </w:t>
      </w:r>
      <w:r w:rsidRPr="00D06528">
        <w:rPr>
          <w:b/>
          <w:bCs/>
        </w:rPr>
        <w:t>LA PARTE RECURRENTE</w:t>
      </w:r>
      <w:r w:rsidRPr="00D06528">
        <w:t xml:space="preserve">, en contra de la respuesta emitida por </w:t>
      </w:r>
      <w:r w:rsidR="00756864" w:rsidRPr="00D06528">
        <w:rPr>
          <w:b/>
          <w:bCs/>
        </w:rPr>
        <w:t>Ayuntamiento de Huehuetoca</w:t>
      </w:r>
      <w:r w:rsidRPr="00D06528">
        <w:t xml:space="preserve">, en adelante </w:t>
      </w:r>
      <w:r w:rsidRPr="00D06528">
        <w:rPr>
          <w:b/>
          <w:bCs/>
        </w:rPr>
        <w:t>EL SUJETO OBLIGADO</w:t>
      </w:r>
      <w:r w:rsidRPr="00D06528">
        <w:rPr>
          <w:rFonts w:eastAsia="Calibri"/>
          <w:lang w:eastAsia="en-US"/>
        </w:rPr>
        <w:t xml:space="preserve">, </w:t>
      </w:r>
      <w:r w:rsidRPr="00D06528">
        <w:t>se emite la presente Resolución con base en los Antecedentes y Considerandos que se exponen a continuación:</w:t>
      </w:r>
    </w:p>
    <w:p w14:paraId="2116968C" w14:textId="77777777" w:rsidR="00775BFC" w:rsidRPr="00D06528" w:rsidRDefault="00775BFC" w:rsidP="00D06528"/>
    <w:p w14:paraId="5A444FB6" w14:textId="639D3567" w:rsidR="00664420" w:rsidRPr="00D06528" w:rsidRDefault="00664420" w:rsidP="00D06528">
      <w:pPr>
        <w:pStyle w:val="Ttulo1"/>
      </w:pPr>
      <w:bookmarkStart w:id="2" w:name="_Toc199973339"/>
      <w:r w:rsidRPr="00D06528">
        <w:t>ANTECEDENTES</w:t>
      </w:r>
      <w:bookmarkEnd w:id="2"/>
    </w:p>
    <w:p w14:paraId="5CB5034E" w14:textId="77777777" w:rsidR="00AC2DB8" w:rsidRPr="00D06528" w:rsidRDefault="00AC2DB8" w:rsidP="00D06528"/>
    <w:p w14:paraId="09B2D38F" w14:textId="6E49D146" w:rsidR="00664420" w:rsidRPr="00D06528" w:rsidRDefault="00E37A3F" w:rsidP="00D06528">
      <w:pPr>
        <w:pStyle w:val="Ttulo2"/>
      </w:pPr>
      <w:bookmarkStart w:id="3" w:name="_Toc199973340"/>
      <w:r w:rsidRPr="00D06528">
        <w:t>DE LA SOLICITUD DE INFORMACIÓN</w:t>
      </w:r>
      <w:bookmarkEnd w:id="3"/>
    </w:p>
    <w:p w14:paraId="7B7535DF" w14:textId="77777777" w:rsidR="00E37A3F" w:rsidRPr="00D06528" w:rsidRDefault="00E37A3F" w:rsidP="00D06528"/>
    <w:p w14:paraId="2C6AD1A5" w14:textId="0405B3CD" w:rsidR="00664420" w:rsidRPr="00D06528" w:rsidRDefault="00E37A3F" w:rsidP="00D06528">
      <w:pPr>
        <w:pStyle w:val="Ttulo3"/>
      </w:pPr>
      <w:bookmarkStart w:id="4" w:name="_Toc199973341"/>
      <w:r w:rsidRPr="00D06528">
        <w:t xml:space="preserve">a) </w:t>
      </w:r>
      <w:r w:rsidR="006B10B0" w:rsidRPr="00D06528">
        <w:t>S</w:t>
      </w:r>
      <w:r w:rsidR="00664420" w:rsidRPr="00D06528">
        <w:t xml:space="preserve">olicitud de </w:t>
      </w:r>
      <w:r w:rsidR="006B10B0" w:rsidRPr="00D06528">
        <w:t>i</w:t>
      </w:r>
      <w:r w:rsidR="00664420" w:rsidRPr="00D06528">
        <w:t>nformación</w:t>
      </w:r>
      <w:bookmarkEnd w:id="4"/>
    </w:p>
    <w:p w14:paraId="06DCD29D" w14:textId="6C6F5CAE" w:rsidR="009A2D78" w:rsidRPr="00D06528" w:rsidRDefault="006B10B0" w:rsidP="00D06528">
      <w:pPr>
        <w:pStyle w:val="Prrafodelista"/>
        <w:tabs>
          <w:tab w:val="left" w:pos="0"/>
        </w:tabs>
        <w:ind w:left="0"/>
        <w:contextualSpacing w:val="0"/>
        <w:rPr>
          <w:rFonts w:cs="Tahoma"/>
        </w:rPr>
      </w:pPr>
      <w:r w:rsidRPr="00D06528">
        <w:rPr>
          <w:rFonts w:cs="Tahoma"/>
        </w:rPr>
        <w:t>El</w:t>
      </w:r>
      <w:r w:rsidR="00664420" w:rsidRPr="00D06528">
        <w:rPr>
          <w:rFonts w:cs="Tahoma"/>
        </w:rPr>
        <w:t xml:space="preserve"> </w:t>
      </w:r>
      <w:r w:rsidR="00756864" w:rsidRPr="00D06528">
        <w:rPr>
          <w:rFonts w:cs="Tahoma"/>
          <w:b/>
          <w:bCs/>
        </w:rPr>
        <w:t>tres de abril de dos mil veinticinco</w:t>
      </w:r>
      <w:r w:rsidR="00664420" w:rsidRPr="00D06528">
        <w:rPr>
          <w:rFonts w:cs="Tahoma"/>
        </w:rPr>
        <w:t xml:space="preserve">, </w:t>
      </w:r>
      <w:r w:rsidRPr="00D06528">
        <w:rPr>
          <w:b/>
          <w:bCs/>
        </w:rPr>
        <w:t>LA PARTE RECURRENTE</w:t>
      </w:r>
      <w:r w:rsidR="00664420" w:rsidRPr="00D06528">
        <w:rPr>
          <w:rFonts w:cs="Tahoma"/>
        </w:rPr>
        <w:t xml:space="preserve"> presentó una solicitud de acceso a la información pública </w:t>
      </w:r>
      <w:r w:rsidR="001F3515" w:rsidRPr="00D06528">
        <w:rPr>
          <w:rFonts w:cs="Tahoma"/>
        </w:rPr>
        <w:t xml:space="preserve">ante el </w:t>
      </w:r>
      <w:r w:rsidR="001F3515" w:rsidRPr="00D06528">
        <w:rPr>
          <w:rFonts w:cs="Tahoma"/>
          <w:b/>
          <w:bCs/>
        </w:rPr>
        <w:t>SUJETO OBLIGADO</w:t>
      </w:r>
      <w:r w:rsidR="001F3515" w:rsidRPr="00D06528">
        <w:rPr>
          <w:rFonts w:cs="Tahoma"/>
        </w:rPr>
        <w:t xml:space="preserve">, </w:t>
      </w:r>
      <w:r w:rsidR="00E85A73" w:rsidRPr="00D06528">
        <w:rPr>
          <w:rFonts w:cs="Tahoma"/>
        </w:rPr>
        <w:t xml:space="preserve">a través </w:t>
      </w:r>
      <w:r w:rsidRPr="00D06528">
        <w:rPr>
          <w:rFonts w:cs="Tahoma"/>
        </w:rPr>
        <w:t>de</w:t>
      </w:r>
      <w:r w:rsidR="009565E8" w:rsidRPr="00D06528">
        <w:rPr>
          <w:rFonts w:cs="Tahoma"/>
        </w:rPr>
        <w:t>l</w:t>
      </w:r>
      <w:r w:rsidRPr="00D06528">
        <w:rPr>
          <w:rFonts w:cs="Tahoma"/>
        </w:rPr>
        <w:t xml:space="preserve"> Sistema de Acceso a la Información Mexiquense</w:t>
      </w:r>
      <w:r w:rsidR="009A2D78" w:rsidRPr="00D06528">
        <w:rPr>
          <w:rFonts w:cs="Tahoma"/>
        </w:rPr>
        <w:t xml:space="preserve"> (</w:t>
      </w:r>
      <w:r w:rsidRPr="00D06528">
        <w:rPr>
          <w:rFonts w:cs="Tahoma"/>
        </w:rPr>
        <w:t>SAIMEX</w:t>
      </w:r>
      <w:r w:rsidR="009A2D78" w:rsidRPr="00D06528">
        <w:rPr>
          <w:rFonts w:cs="Tahoma"/>
        </w:rPr>
        <w:t>). Dicha solicitud quedó</w:t>
      </w:r>
      <w:r w:rsidRPr="00D06528">
        <w:rPr>
          <w:rFonts w:cs="Tahoma"/>
        </w:rPr>
        <w:t xml:space="preserve"> registrada c</w:t>
      </w:r>
      <w:r w:rsidR="00664420" w:rsidRPr="00D06528">
        <w:rPr>
          <w:rFonts w:cs="Tahoma"/>
        </w:rPr>
        <w:t>on el número de folio</w:t>
      </w:r>
      <w:r w:rsidR="00664420" w:rsidRPr="00D06528">
        <w:rPr>
          <w:rFonts w:cs="Tahoma"/>
          <w:b/>
          <w:bCs/>
        </w:rPr>
        <w:t xml:space="preserve"> </w:t>
      </w:r>
      <w:r w:rsidR="00756864" w:rsidRPr="00D06528">
        <w:rPr>
          <w:rFonts w:cs="Tahoma"/>
          <w:b/>
          <w:bCs/>
        </w:rPr>
        <w:t>00195/HUEHUETO/IP/2025</w:t>
      </w:r>
      <w:r w:rsidR="00307D18" w:rsidRPr="00D06528">
        <w:rPr>
          <w:rFonts w:cs="Tahoma"/>
          <w:b/>
          <w:bCs/>
        </w:rPr>
        <w:t xml:space="preserve"> </w:t>
      </w:r>
      <w:r w:rsidR="002A3601" w:rsidRPr="00D06528">
        <w:rPr>
          <w:rFonts w:cs="Tahoma"/>
        </w:rPr>
        <w:t xml:space="preserve">y en ella </w:t>
      </w:r>
      <w:r w:rsidR="009A2D78" w:rsidRPr="00D06528">
        <w:rPr>
          <w:rFonts w:cs="Tahoma"/>
        </w:rPr>
        <w:t>se requirió la siguiente información:</w:t>
      </w:r>
    </w:p>
    <w:p w14:paraId="0459D6AC" w14:textId="77777777" w:rsidR="00664420" w:rsidRPr="00D06528" w:rsidRDefault="00664420" w:rsidP="00D06528">
      <w:pPr>
        <w:tabs>
          <w:tab w:val="left" w:pos="4667"/>
        </w:tabs>
        <w:ind w:left="567" w:right="567"/>
        <w:rPr>
          <w:rFonts w:cs="Tahoma"/>
          <w:b/>
          <w:bCs/>
        </w:rPr>
      </w:pPr>
    </w:p>
    <w:p w14:paraId="179FB369" w14:textId="265AD027" w:rsidR="00664420" w:rsidRPr="00D06528" w:rsidRDefault="009565E8" w:rsidP="00D06528">
      <w:pPr>
        <w:pStyle w:val="Puesto"/>
      </w:pPr>
      <w:r w:rsidRPr="00D06528">
        <w:t>“</w:t>
      </w:r>
      <w:r w:rsidR="00756864" w:rsidRPr="00D06528">
        <w:t xml:space="preserve">Fundamento legal por el cual se está cometiendo nepotismo en la administración al tener a la regidora Martha López y su </w:t>
      </w:r>
      <w:bookmarkStart w:id="5" w:name="_GoBack"/>
      <w:r w:rsidR="004210F8">
        <w:t>XXXX</w:t>
      </w:r>
      <w:bookmarkEnd w:id="5"/>
      <w:r w:rsidR="00756864" w:rsidRPr="00D06528">
        <w:t xml:space="preserve"> director de ecología trabajando a la par en la administración y justificación por parte de contralores para permitir tal delito</w:t>
      </w:r>
      <w:r w:rsidRPr="00D06528">
        <w:t>”</w:t>
      </w:r>
    </w:p>
    <w:p w14:paraId="64B27DE3" w14:textId="77777777" w:rsidR="00664420" w:rsidRPr="00D06528" w:rsidRDefault="00664420" w:rsidP="00D06528">
      <w:pPr>
        <w:tabs>
          <w:tab w:val="left" w:pos="4667"/>
        </w:tabs>
        <w:ind w:left="567" w:right="567"/>
        <w:rPr>
          <w:rFonts w:cs="Tahoma"/>
          <w:bCs/>
          <w:i/>
          <w:szCs w:val="22"/>
        </w:rPr>
      </w:pPr>
    </w:p>
    <w:p w14:paraId="0BD6321D" w14:textId="0EC6F607" w:rsidR="00664420" w:rsidRPr="00D06528" w:rsidRDefault="009A2D78" w:rsidP="00D06528">
      <w:pPr>
        <w:tabs>
          <w:tab w:val="left" w:pos="4667"/>
        </w:tabs>
        <w:ind w:left="567" w:right="567"/>
        <w:rPr>
          <w:rFonts w:cs="Tahoma"/>
          <w:b/>
          <w:bCs/>
          <w:szCs w:val="22"/>
        </w:rPr>
      </w:pPr>
      <w:r w:rsidRPr="00D06528">
        <w:rPr>
          <w:rFonts w:cs="Tahoma"/>
          <w:b/>
          <w:bCs/>
          <w:szCs w:val="22"/>
        </w:rPr>
        <w:t>Modalidad de entrega</w:t>
      </w:r>
      <w:r w:rsidRPr="00D06528">
        <w:rPr>
          <w:rFonts w:cs="Tahoma"/>
          <w:bCs/>
          <w:szCs w:val="22"/>
        </w:rPr>
        <w:t xml:space="preserve">: </w:t>
      </w:r>
      <w:r w:rsidR="004D2924" w:rsidRPr="00D06528">
        <w:rPr>
          <w:rFonts w:cs="Tahoma"/>
          <w:bCs/>
          <w:szCs w:val="22"/>
        </w:rPr>
        <w:t xml:space="preserve">Vía </w:t>
      </w:r>
      <w:r w:rsidR="004D2924" w:rsidRPr="00D06528">
        <w:rPr>
          <w:rFonts w:cs="Tahoma"/>
          <w:b/>
          <w:bCs/>
          <w:szCs w:val="22"/>
        </w:rPr>
        <w:t xml:space="preserve">SAIMEX. </w:t>
      </w:r>
    </w:p>
    <w:p w14:paraId="766E7150" w14:textId="77777777" w:rsidR="00773AD0" w:rsidRPr="00D06528" w:rsidRDefault="00773AD0" w:rsidP="00D06528">
      <w:pPr>
        <w:rPr>
          <w:lang w:val="es-ES"/>
        </w:rPr>
      </w:pPr>
    </w:p>
    <w:p w14:paraId="4B9D638F" w14:textId="77777777" w:rsidR="00BF467D" w:rsidRPr="00D06528" w:rsidRDefault="00BF467D" w:rsidP="00D06528">
      <w:pPr>
        <w:pStyle w:val="Ttulo3"/>
      </w:pPr>
      <w:bookmarkStart w:id="6" w:name="_Toc165402856"/>
      <w:bookmarkStart w:id="7" w:name="_Toc199973342"/>
      <w:r w:rsidRPr="00D06528">
        <w:lastRenderedPageBreak/>
        <w:t>b) Turno de la solicitud de información</w:t>
      </w:r>
      <w:bookmarkEnd w:id="6"/>
      <w:bookmarkEnd w:id="7"/>
    </w:p>
    <w:p w14:paraId="70014DFF" w14:textId="2F2357E4" w:rsidR="00BF467D" w:rsidRPr="00D06528" w:rsidRDefault="00BF467D" w:rsidP="00D06528">
      <w:r w:rsidRPr="00D06528">
        <w:t xml:space="preserve">En cumplimiento al artículo 162 de la Ley de Transparencia y Acceso a la Información Pública del Estado de México y Municipios, el </w:t>
      </w:r>
      <w:r w:rsidR="00756864" w:rsidRPr="00D06528">
        <w:rPr>
          <w:rFonts w:eastAsia="Palatino Linotype" w:cs="Palatino Linotype"/>
          <w:b/>
        </w:rPr>
        <w:t>cinco de abril de dos mil veinticinco</w:t>
      </w:r>
      <w:r w:rsidRPr="00D06528">
        <w:t xml:space="preserve">, el Titular de la Unidad de Transparencia del </w:t>
      </w:r>
      <w:r w:rsidRPr="00D06528">
        <w:rPr>
          <w:b/>
        </w:rPr>
        <w:t>SUJETO OBLIGADO</w:t>
      </w:r>
      <w:r w:rsidRPr="00D06528">
        <w:t xml:space="preserve"> turnó la solicitud de información a la servidora pública que estimo conveniente.</w:t>
      </w:r>
    </w:p>
    <w:p w14:paraId="4F0D4859" w14:textId="77777777" w:rsidR="00BF467D" w:rsidRPr="00D06528" w:rsidRDefault="00BF467D" w:rsidP="00D06528">
      <w:pPr>
        <w:rPr>
          <w:lang w:val="es-ES"/>
        </w:rPr>
      </w:pPr>
    </w:p>
    <w:p w14:paraId="3212BA4D" w14:textId="0705D185" w:rsidR="00664420" w:rsidRPr="00D06528" w:rsidRDefault="00BF467D" w:rsidP="00D06528">
      <w:pPr>
        <w:pStyle w:val="Ttulo3"/>
        <w:rPr>
          <w:rFonts w:eastAsia="Calibri"/>
          <w:lang w:eastAsia="en-US"/>
        </w:rPr>
      </w:pPr>
      <w:bookmarkStart w:id="8" w:name="_Toc199973343"/>
      <w:r w:rsidRPr="00D06528">
        <w:rPr>
          <w:lang w:val="es-ES"/>
        </w:rPr>
        <w:t>c</w:t>
      </w:r>
      <w:r w:rsidR="00E37A3F" w:rsidRPr="00D06528">
        <w:rPr>
          <w:lang w:val="es-ES"/>
        </w:rPr>
        <w:t xml:space="preserve">) </w:t>
      </w:r>
      <w:r w:rsidR="00664420" w:rsidRPr="00D06528">
        <w:rPr>
          <w:lang w:val="es-ES"/>
        </w:rPr>
        <w:t xml:space="preserve">Respuesta </w:t>
      </w:r>
      <w:r w:rsidR="00664420" w:rsidRPr="00D06528">
        <w:rPr>
          <w:rFonts w:eastAsia="Calibri"/>
          <w:lang w:eastAsia="en-US"/>
        </w:rPr>
        <w:t>del Sujeto Obligado</w:t>
      </w:r>
      <w:bookmarkEnd w:id="8"/>
    </w:p>
    <w:p w14:paraId="79199CC1" w14:textId="011EA547" w:rsidR="00664420" w:rsidRPr="00D06528" w:rsidRDefault="00664420" w:rsidP="00D06528">
      <w:pPr>
        <w:pStyle w:val="Sinespaciado"/>
        <w:spacing w:line="360" w:lineRule="auto"/>
        <w:rPr>
          <w:lang w:val="es-ES"/>
        </w:rPr>
      </w:pPr>
      <w:r w:rsidRPr="00D06528">
        <w:rPr>
          <w:lang w:val="es-ES"/>
        </w:rPr>
        <w:t xml:space="preserve">El </w:t>
      </w:r>
      <w:r w:rsidR="00756864" w:rsidRPr="00D06528">
        <w:rPr>
          <w:b/>
          <w:bCs/>
          <w:lang w:val="es-ES"/>
        </w:rPr>
        <w:t>veintiuno de abril de dos mil veinticinco</w:t>
      </w:r>
      <w:r w:rsidRPr="00D06528">
        <w:rPr>
          <w:lang w:val="es-ES"/>
        </w:rPr>
        <w:t xml:space="preserve"> </w:t>
      </w:r>
      <w:r w:rsidR="00F07EE6" w:rsidRPr="00D06528">
        <w:rPr>
          <w:lang w:val="es-ES"/>
        </w:rPr>
        <w:t xml:space="preserve">el Titular de la Unidad de Transparencia del </w:t>
      </w:r>
      <w:r w:rsidR="00F07EE6" w:rsidRPr="00D06528">
        <w:rPr>
          <w:b/>
          <w:lang w:val="es-ES"/>
        </w:rPr>
        <w:t>SUJETO OBLIGADO</w:t>
      </w:r>
      <w:r w:rsidR="00F07EE6" w:rsidRPr="00D06528">
        <w:rPr>
          <w:lang w:val="es-ES"/>
        </w:rPr>
        <w:t xml:space="preserve"> notificó la siguiente respuesta a través del </w:t>
      </w:r>
      <w:r w:rsidRPr="00D06528">
        <w:rPr>
          <w:lang w:val="es-ES"/>
        </w:rPr>
        <w:t>SAIMEX</w:t>
      </w:r>
      <w:r w:rsidR="00F07EE6" w:rsidRPr="00D06528">
        <w:rPr>
          <w:lang w:val="es-ES"/>
        </w:rPr>
        <w:t>:</w:t>
      </w:r>
    </w:p>
    <w:p w14:paraId="669F7EFD" w14:textId="77777777" w:rsidR="00664420" w:rsidRPr="00D06528" w:rsidRDefault="00664420" w:rsidP="00D06528">
      <w:pPr>
        <w:tabs>
          <w:tab w:val="left" w:pos="4667"/>
        </w:tabs>
        <w:ind w:left="567" w:right="567"/>
        <w:rPr>
          <w:rFonts w:cs="Tahoma"/>
          <w:b/>
          <w:bCs/>
        </w:rPr>
      </w:pPr>
    </w:p>
    <w:p w14:paraId="30ABB175" w14:textId="77777777" w:rsidR="00756864" w:rsidRPr="00D06528" w:rsidRDefault="00756864" w:rsidP="00D06528">
      <w:pPr>
        <w:pStyle w:val="Puesto"/>
      </w:pPr>
      <w:r w:rsidRPr="00D06528">
        <w:t>En respuesta a la solicitud recibida, nos permitimos hacer de su conocimiento que con fundamento en el artículo 53, Fracciones: II, V y VI de la Ley de Transparencia y Acceso a la Información Pública del Estado de México y Municipios, le contestamos que:</w:t>
      </w:r>
    </w:p>
    <w:p w14:paraId="49A1C6B9" w14:textId="77777777" w:rsidR="00AC0DD2" w:rsidRPr="00D06528" w:rsidRDefault="00AC0DD2" w:rsidP="00D06528"/>
    <w:p w14:paraId="45C3A288" w14:textId="77777777" w:rsidR="00756864" w:rsidRPr="00D06528" w:rsidRDefault="00756864" w:rsidP="00D06528">
      <w:pPr>
        <w:pStyle w:val="Puesto"/>
      </w:pPr>
      <w:r w:rsidRPr="00D06528">
        <w:t>ME PERMITO COMPARTIR SU RESPUESTA EN EL SIGUIENTE ARCHIVO ADJUNTO</w:t>
      </w:r>
    </w:p>
    <w:p w14:paraId="78773387" w14:textId="77777777" w:rsidR="00AC0DD2" w:rsidRPr="00D06528" w:rsidRDefault="00AC0DD2" w:rsidP="00D06528"/>
    <w:p w14:paraId="7D3F0AC0" w14:textId="77777777" w:rsidR="00756864" w:rsidRPr="00D06528" w:rsidRDefault="00756864" w:rsidP="00D06528">
      <w:pPr>
        <w:pStyle w:val="Puesto"/>
      </w:pPr>
      <w:r w:rsidRPr="00D06528">
        <w:t>ATENTAMENTE</w:t>
      </w:r>
    </w:p>
    <w:p w14:paraId="06C44CAC" w14:textId="77777777" w:rsidR="00AC0DD2" w:rsidRPr="00D06528" w:rsidRDefault="00AC0DD2" w:rsidP="00D06528"/>
    <w:p w14:paraId="5D11024C" w14:textId="768C75A9" w:rsidR="00664420" w:rsidRPr="00D06528" w:rsidRDefault="00756864" w:rsidP="00D06528">
      <w:pPr>
        <w:pStyle w:val="Puesto"/>
      </w:pPr>
      <w:r w:rsidRPr="00D06528">
        <w:t>DOCTORA ARMINDA CHIMAL PÉREZ</w:t>
      </w:r>
    </w:p>
    <w:p w14:paraId="7FE019C6" w14:textId="77777777" w:rsidR="00475248" w:rsidRPr="00D06528" w:rsidRDefault="00475248" w:rsidP="00D06528">
      <w:pPr>
        <w:autoSpaceDE w:val="0"/>
        <w:autoSpaceDN w:val="0"/>
        <w:adjustRightInd w:val="0"/>
        <w:ind w:right="-28"/>
        <w:rPr>
          <w:rFonts w:cs="Tahoma"/>
          <w:bCs/>
          <w:szCs w:val="22"/>
        </w:rPr>
      </w:pPr>
    </w:p>
    <w:p w14:paraId="70920289" w14:textId="6F844C3A" w:rsidR="00664420" w:rsidRPr="00D06528" w:rsidRDefault="00F07EE6" w:rsidP="00D06528">
      <w:pPr>
        <w:autoSpaceDE w:val="0"/>
        <w:autoSpaceDN w:val="0"/>
        <w:adjustRightInd w:val="0"/>
        <w:ind w:right="-28"/>
        <w:rPr>
          <w:rFonts w:cs="Tahoma"/>
          <w:bCs/>
          <w:szCs w:val="22"/>
          <w:lang w:val="es-ES"/>
        </w:rPr>
      </w:pPr>
      <w:r w:rsidRPr="00D06528">
        <w:rPr>
          <w:rFonts w:cs="Tahoma"/>
          <w:bCs/>
          <w:szCs w:val="22"/>
          <w:lang w:val="es-ES"/>
        </w:rPr>
        <w:t xml:space="preserve">Asimismo, </w:t>
      </w:r>
      <w:r w:rsidRPr="00D06528">
        <w:rPr>
          <w:rFonts w:cs="Tahoma"/>
          <w:b/>
          <w:szCs w:val="22"/>
          <w:lang w:val="es-ES"/>
        </w:rPr>
        <w:t xml:space="preserve">EL SUJETO OBLIGADO </w:t>
      </w:r>
      <w:r w:rsidRPr="00D06528">
        <w:rPr>
          <w:rFonts w:cs="Tahoma"/>
          <w:bCs/>
          <w:szCs w:val="22"/>
          <w:lang w:val="es-ES"/>
        </w:rPr>
        <w:t xml:space="preserve">adjuntó a su respuesta </w:t>
      </w:r>
      <w:r w:rsidR="00A91BC5" w:rsidRPr="00D06528">
        <w:rPr>
          <w:rFonts w:cs="Tahoma"/>
          <w:bCs/>
          <w:szCs w:val="22"/>
          <w:lang w:val="es-ES"/>
        </w:rPr>
        <w:t>los documentos</w:t>
      </w:r>
      <w:r w:rsidRPr="00D06528">
        <w:rPr>
          <w:rFonts w:cs="Tahoma"/>
          <w:bCs/>
          <w:szCs w:val="22"/>
          <w:lang w:val="es-ES"/>
        </w:rPr>
        <w:t xml:space="preserve"> que se describen a continuación</w:t>
      </w:r>
      <w:r w:rsidR="00664420" w:rsidRPr="00D06528">
        <w:rPr>
          <w:rFonts w:cs="Tahoma"/>
          <w:bCs/>
          <w:szCs w:val="22"/>
          <w:lang w:val="es-ES"/>
        </w:rPr>
        <w:t>:</w:t>
      </w:r>
    </w:p>
    <w:p w14:paraId="2C78354F" w14:textId="77777777" w:rsidR="00664420" w:rsidRPr="00D06528" w:rsidRDefault="00664420" w:rsidP="00D06528">
      <w:pPr>
        <w:autoSpaceDE w:val="0"/>
        <w:autoSpaceDN w:val="0"/>
        <w:adjustRightInd w:val="0"/>
        <w:ind w:right="-28"/>
        <w:rPr>
          <w:rFonts w:cs="Tahoma"/>
          <w:bCs/>
          <w:szCs w:val="22"/>
          <w:lang w:val="es-ES"/>
        </w:rPr>
      </w:pPr>
    </w:p>
    <w:p w14:paraId="18890BFD" w14:textId="43D9B216" w:rsidR="00DE1133" w:rsidRPr="00D06528" w:rsidRDefault="00756864" w:rsidP="00D06528">
      <w:pPr>
        <w:pStyle w:val="Prrafodelista"/>
        <w:numPr>
          <w:ilvl w:val="0"/>
          <w:numId w:val="16"/>
        </w:numPr>
        <w:autoSpaceDE w:val="0"/>
        <w:autoSpaceDN w:val="0"/>
        <w:adjustRightInd w:val="0"/>
        <w:ind w:right="-28"/>
        <w:rPr>
          <w:rFonts w:cs="Tahoma"/>
          <w:b/>
          <w:bCs/>
          <w:szCs w:val="22"/>
          <w:lang w:val="es-ES"/>
        </w:rPr>
      </w:pPr>
      <w:r w:rsidRPr="00D06528">
        <w:rPr>
          <w:rFonts w:cs="Tahoma"/>
          <w:b/>
          <w:bCs/>
          <w:szCs w:val="22"/>
          <w:lang w:val="es-ES"/>
        </w:rPr>
        <w:t>00195HUEHUETOIP2025.pdf</w:t>
      </w:r>
      <w:r w:rsidR="00475248" w:rsidRPr="00D06528">
        <w:rPr>
          <w:rFonts w:cs="Tahoma"/>
          <w:b/>
          <w:bCs/>
          <w:szCs w:val="22"/>
          <w:lang w:val="es-ES"/>
        </w:rPr>
        <w:t xml:space="preserve">: </w:t>
      </w:r>
      <w:r w:rsidR="00BF467D" w:rsidRPr="00D06528">
        <w:rPr>
          <w:rFonts w:cs="Tahoma"/>
          <w:bCs/>
          <w:szCs w:val="22"/>
          <w:lang w:val="es-ES"/>
        </w:rPr>
        <w:t xml:space="preserve">Documento digital que </w:t>
      </w:r>
      <w:r w:rsidR="009871EB" w:rsidRPr="00D06528">
        <w:rPr>
          <w:rFonts w:cs="Tahoma"/>
          <w:bCs/>
          <w:szCs w:val="22"/>
          <w:lang w:val="es-ES"/>
        </w:rPr>
        <w:t xml:space="preserve">contiene </w:t>
      </w:r>
      <w:r w:rsidRPr="00D06528">
        <w:rPr>
          <w:rFonts w:cs="Tahoma"/>
          <w:bCs/>
          <w:szCs w:val="22"/>
          <w:lang w:val="es-ES"/>
        </w:rPr>
        <w:t>la respuesta emitida por el Coordinador de Movilidad en donde medularmente</w:t>
      </w:r>
      <w:r w:rsidR="009871EB" w:rsidRPr="00D06528">
        <w:rPr>
          <w:rFonts w:cs="Tahoma"/>
          <w:bCs/>
          <w:szCs w:val="22"/>
          <w:lang w:val="es-ES"/>
        </w:rPr>
        <w:t xml:space="preserve"> menciona que, dicha Coordinación no se cuenta con servidores públicos líderes de ningún transporte o </w:t>
      </w:r>
      <w:r w:rsidR="009871EB" w:rsidRPr="00D06528">
        <w:rPr>
          <w:rFonts w:cs="Tahoma"/>
          <w:bCs/>
          <w:szCs w:val="22"/>
          <w:lang w:val="es-ES"/>
        </w:rPr>
        <w:lastRenderedPageBreak/>
        <w:t>sindicato, por lo que no se han realizado las labores correspondientes al área, motivo por el cual no existe un conflicto de intereses.</w:t>
      </w:r>
    </w:p>
    <w:p w14:paraId="54CEABDC" w14:textId="1191D395" w:rsidR="00F11C00" w:rsidRPr="00D06528" w:rsidRDefault="00F11C00" w:rsidP="00D06528">
      <w:pPr>
        <w:pStyle w:val="Prrafodelista"/>
        <w:autoSpaceDE w:val="0"/>
        <w:autoSpaceDN w:val="0"/>
        <w:adjustRightInd w:val="0"/>
        <w:ind w:right="-28"/>
        <w:rPr>
          <w:rFonts w:cs="Tahoma"/>
          <w:b/>
          <w:bCs/>
          <w:szCs w:val="22"/>
          <w:lang w:val="es-ES"/>
        </w:rPr>
      </w:pPr>
    </w:p>
    <w:p w14:paraId="0B17CD08" w14:textId="42277D6B" w:rsidR="00664420" w:rsidRPr="00D06528" w:rsidRDefault="00E37A3F" w:rsidP="00D06528">
      <w:pPr>
        <w:pStyle w:val="Ttulo2"/>
        <w:jc w:val="left"/>
      </w:pPr>
      <w:bookmarkStart w:id="9" w:name="_Toc199973344"/>
      <w:r w:rsidRPr="00D06528">
        <w:t>DEL RECURSO DE REVISIÓN</w:t>
      </w:r>
      <w:bookmarkEnd w:id="9"/>
    </w:p>
    <w:p w14:paraId="2B216813" w14:textId="61ADBB2B" w:rsidR="00664420" w:rsidRPr="00D06528" w:rsidRDefault="006E25BC" w:rsidP="00D06528">
      <w:pPr>
        <w:pStyle w:val="Ttulo3"/>
      </w:pPr>
      <w:bookmarkStart w:id="10" w:name="_Toc199973345"/>
      <w:r w:rsidRPr="00D06528">
        <w:rPr>
          <w:szCs w:val="32"/>
        </w:rPr>
        <w:t>a)</w:t>
      </w:r>
      <w:r w:rsidRPr="00D06528">
        <w:t xml:space="preserve"> </w:t>
      </w:r>
      <w:r w:rsidR="00664420" w:rsidRPr="00D06528">
        <w:t>Interposición del Recurso de Revisión</w:t>
      </w:r>
      <w:bookmarkEnd w:id="10"/>
    </w:p>
    <w:p w14:paraId="6279C622" w14:textId="69626896" w:rsidR="00664420" w:rsidRPr="00D06528" w:rsidRDefault="00664420" w:rsidP="00D06528">
      <w:pPr>
        <w:autoSpaceDE w:val="0"/>
        <w:autoSpaceDN w:val="0"/>
        <w:adjustRightInd w:val="0"/>
        <w:ind w:right="-28"/>
        <w:rPr>
          <w:rFonts w:cs="Tahoma"/>
          <w:szCs w:val="22"/>
        </w:rPr>
      </w:pPr>
      <w:r w:rsidRPr="00D06528">
        <w:rPr>
          <w:rFonts w:cs="Tahoma"/>
          <w:szCs w:val="22"/>
        </w:rPr>
        <w:t xml:space="preserve">El </w:t>
      </w:r>
      <w:r w:rsidR="009871EB" w:rsidRPr="00D06528">
        <w:rPr>
          <w:rFonts w:cs="Tahoma"/>
          <w:b/>
          <w:bCs/>
          <w:szCs w:val="22"/>
        </w:rPr>
        <w:t>veintiuno de abril de dos mil veinticinco,</w:t>
      </w:r>
      <w:r w:rsidRPr="00D06528">
        <w:rPr>
          <w:rFonts w:cs="Tahoma"/>
          <w:szCs w:val="22"/>
        </w:rPr>
        <w:t xml:space="preserve"> </w:t>
      </w:r>
      <w:r w:rsidR="00F75D23" w:rsidRPr="00D06528">
        <w:rPr>
          <w:rFonts w:cs="Tahoma"/>
          <w:b/>
          <w:bCs/>
          <w:szCs w:val="22"/>
        </w:rPr>
        <w:t>LA PARTE RECURRENTE</w:t>
      </w:r>
      <w:r w:rsidR="00F75D23" w:rsidRPr="00D06528">
        <w:rPr>
          <w:rFonts w:cs="Tahoma"/>
          <w:szCs w:val="22"/>
        </w:rPr>
        <w:t xml:space="preserve"> interpuso el recurso de revisión en contra de la respuesta emitida por el </w:t>
      </w:r>
      <w:r w:rsidR="00F75D23" w:rsidRPr="00D06528">
        <w:rPr>
          <w:rFonts w:cs="Tahoma"/>
          <w:b/>
          <w:bCs/>
          <w:szCs w:val="22"/>
        </w:rPr>
        <w:t>SUJETO OBLIGADO</w:t>
      </w:r>
      <w:r w:rsidR="00953430" w:rsidRPr="00D06528">
        <w:rPr>
          <w:rFonts w:cs="Tahoma"/>
          <w:szCs w:val="22"/>
        </w:rPr>
        <w:t xml:space="preserve">, mismo que fue registrado en el SAIMEX con el número de expediente </w:t>
      </w:r>
      <w:r w:rsidR="009871EB" w:rsidRPr="00D06528">
        <w:rPr>
          <w:rFonts w:cs="Tahoma"/>
          <w:b/>
          <w:bCs/>
          <w:szCs w:val="22"/>
        </w:rPr>
        <w:t>04512/INFOEM/IP/RR/2025</w:t>
      </w:r>
      <w:r w:rsidR="00953430" w:rsidRPr="00D06528">
        <w:rPr>
          <w:rFonts w:cs="Tahoma"/>
          <w:szCs w:val="22"/>
        </w:rPr>
        <w:t>, y en el cual manifiesta lo siguiente</w:t>
      </w:r>
      <w:r w:rsidRPr="00D06528">
        <w:rPr>
          <w:rFonts w:cs="Tahoma"/>
          <w:szCs w:val="22"/>
        </w:rPr>
        <w:t>:</w:t>
      </w:r>
    </w:p>
    <w:p w14:paraId="74B30008" w14:textId="77777777" w:rsidR="00664420" w:rsidRPr="00D06528" w:rsidRDefault="00664420" w:rsidP="00D06528">
      <w:pPr>
        <w:tabs>
          <w:tab w:val="left" w:pos="4667"/>
        </w:tabs>
        <w:ind w:right="539"/>
        <w:rPr>
          <w:rFonts w:cs="Tahoma"/>
          <w:szCs w:val="22"/>
        </w:rPr>
      </w:pPr>
    </w:p>
    <w:p w14:paraId="12153283" w14:textId="30EEB748" w:rsidR="00664420" w:rsidRPr="00D06528" w:rsidRDefault="00664420" w:rsidP="00D06528">
      <w:pPr>
        <w:tabs>
          <w:tab w:val="left" w:pos="4667"/>
        </w:tabs>
        <w:ind w:left="567" w:right="539"/>
        <w:rPr>
          <w:rFonts w:cs="Tahoma"/>
          <w:b/>
          <w:iCs/>
        </w:rPr>
      </w:pPr>
      <w:r w:rsidRPr="00D06528">
        <w:rPr>
          <w:rFonts w:cs="Tahoma"/>
          <w:b/>
          <w:iCs/>
        </w:rPr>
        <w:t>ACTO IMPUGNADO</w:t>
      </w:r>
      <w:r w:rsidRPr="00D06528">
        <w:rPr>
          <w:rFonts w:cs="Tahoma"/>
          <w:b/>
          <w:iCs/>
        </w:rPr>
        <w:tab/>
      </w:r>
    </w:p>
    <w:p w14:paraId="523F8BF4" w14:textId="049A3548" w:rsidR="00664420" w:rsidRPr="00D06528" w:rsidRDefault="00E82927" w:rsidP="00D06528">
      <w:pPr>
        <w:pStyle w:val="Puesto"/>
      </w:pPr>
      <w:r w:rsidRPr="00D06528">
        <w:t>“</w:t>
      </w:r>
      <w:r w:rsidR="009871EB" w:rsidRPr="00D06528">
        <w:t>No me dan informes</w:t>
      </w:r>
      <w:r w:rsidRPr="00D06528">
        <w:t>”</w:t>
      </w:r>
    </w:p>
    <w:p w14:paraId="24A64C18" w14:textId="77777777" w:rsidR="00E82927" w:rsidRPr="00D06528" w:rsidRDefault="00E82927" w:rsidP="00D06528">
      <w:pPr>
        <w:tabs>
          <w:tab w:val="left" w:pos="4667"/>
        </w:tabs>
        <w:ind w:right="539"/>
        <w:rPr>
          <w:rFonts w:cs="Tahoma"/>
          <w:b/>
          <w:iCs/>
        </w:rPr>
      </w:pPr>
    </w:p>
    <w:p w14:paraId="41AC2642" w14:textId="1AC1E859" w:rsidR="00E82927" w:rsidRPr="00D06528" w:rsidRDefault="00E82927" w:rsidP="00D06528">
      <w:pPr>
        <w:tabs>
          <w:tab w:val="left" w:pos="4667"/>
        </w:tabs>
        <w:ind w:left="567" w:right="539"/>
        <w:rPr>
          <w:rFonts w:cs="Tahoma"/>
          <w:b/>
          <w:iCs/>
        </w:rPr>
      </w:pPr>
      <w:r w:rsidRPr="00D06528">
        <w:rPr>
          <w:rFonts w:cs="Tahoma"/>
          <w:b/>
          <w:iCs/>
        </w:rPr>
        <w:t>RAZONES O MOTIVOS DE LA INCONFORMIDAD</w:t>
      </w:r>
      <w:r w:rsidRPr="00D06528">
        <w:rPr>
          <w:rFonts w:cs="Tahoma"/>
          <w:b/>
          <w:iCs/>
        </w:rPr>
        <w:tab/>
      </w:r>
    </w:p>
    <w:p w14:paraId="1B2A5283" w14:textId="70748169" w:rsidR="00E82927" w:rsidRPr="00D06528" w:rsidRDefault="00E82927" w:rsidP="00D06528">
      <w:pPr>
        <w:pStyle w:val="Puesto"/>
      </w:pPr>
      <w:r w:rsidRPr="00D06528">
        <w:t>“</w:t>
      </w:r>
      <w:r w:rsidR="009871EB" w:rsidRPr="00D06528">
        <w:t>No me contestaron lo que solicite</w:t>
      </w:r>
      <w:r w:rsidR="00F11C00" w:rsidRPr="00D06528">
        <w:t>.</w:t>
      </w:r>
      <w:r w:rsidRPr="00D06528">
        <w:t>”</w:t>
      </w:r>
    </w:p>
    <w:p w14:paraId="27436410" w14:textId="77777777" w:rsidR="000C47C5" w:rsidRPr="00D06528" w:rsidRDefault="000C47C5" w:rsidP="00D06528">
      <w:pPr>
        <w:tabs>
          <w:tab w:val="left" w:pos="4667"/>
        </w:tabs>
        <w:ind w:right="567"/>
        <w:rPr>
          <w:rFonts w:cs="Tahoma"/>
          <w:b/>
          <w:bCs/>
        </w:rPr>
      </w:pPr>
    </w:p>
    <w:p w14:paraId="6804DEF1" w14:textId="3C4F6CB5" w:rsidR="00664420" w:rsidRPr="00D06528" w:rsidRDefault="006E25BC" w:rsidP="00D06528">
      <w:pPr>
        <w:pStyle w:val="Ttulo3"/>
      </w:pPr>
      <w:bookmarkStart w:id="11" w:name="_Toc199973346"/>
      <w:r w:rsidRPr="00D06528">
        <w:t>b</w:t>
      </w:r>
      <w:r w:rsidR="00664420" w:rsidRPr="00D06528">
        <w:t>) Turno del Recurso de Revisión</w:t>
      </w:r>
      <w:bookmarkEnd w:id="11"/>
    </w:p>
    <w:p w14:paraId="1173671B" w14:textId="13E1BF80" w:rsidR="00C72DAA" w:rsidRPr="00D06528" w:rsidRDefault="00C72DAA" w:rsidP="00D06528">
      <w:r w:rsidRPr="00D06528">
        <w:t>Con fundamento en el artículo 185, fracción I de la Ley de Transparencia y Acceso a la Información Pública del Estado de México y Municipios, el</w:t>
      </w:r>
      <w:r w:rsidRPr="00D06528">
        <w:rPr>
          <w:b/>
          <w:bCs/>
        </w:rPr>
        <w:t xml:space="preserve"> </w:t>
      </w:r>
      <w:r w:rsidR="009871EB" w:rsidRPr="00D06528">
        <w:rPr>
          <w:rFonts w:eastAsia="Palatino Linotype" w:cs="Palatino Linotype"/>
          <w:b/>
        </w:rPr>
        <w:t>veintiuno de abril de dos mil veinticinco</w:t>
      </w:r>
      <w:r w:rsidRPr="00D06528">
        <w:t xml:space="preserve"> se turnó el recurso de revisión a través del</w:t>
      </w:r>
      <w:r w:rsidRPr="00D06528">
        <w:rPr>
          <w:rFonts w:eastAsia="Arial Unicode MS"/>
        </w:rPr>
        <w:t xml:space="preserve"> </w:t>
      </w:r>
      <w:r w:rsidRPr="00D06528">
        <w:rPr>
          <w:rFonts w:eastAsia="Arial Unicode MS"/>
          <w:bCs/>
        </w:rPr>
        <w:t>SAIMEX</w:t>
      </w:r>
      <w:r w:rsidRPr="00D06528">
        <w:t xml:space="preserve"> a la </w:t>
      </w:r>
      <w:r w:rsidRPr="00D06528">
        <w:rPr>
          <w:b/>
        </w:rPr>
        <w:t>Comisionada Sharon Cristina Morales Martínez</w:t>
      </w:r>
      <w:r w:rsidRPr="00D06528">
        <w:rPr>
          <w:bCs/>
        </w:rPr>
        <w:t xml:space="preserve">, </w:t>
      </w:r>
      <w:r w:rsidRPr="00D06528">
        <w:t xml:space="preserve">a efecto de decretar su admisión o </w:t>
      </w:r>
      <w:proofErr w:type="spellStart"/>
      <w:r w:rsidRPr="00D06528">
        <w:t>desechamiento</w:t>
      </w:r>
      <w:proofErr w:type="spellEnd"/>
      <w:r w:rsidRPr="00D06528">
        <w:t xml:space="preserve">. </w:t>
      </w:r>
    </w:p>
    <w:p w14:paraId="18F305CB" w14:textId="77777777" w:rsidR="00664420" w:rsidRPr="00D06528" w:rsidRDefault="00664420" w:rsidP="00D06528">
      <w:pPr>
        <w:rPr>
          <w:rFonts w:eastAsia="Batang" w:cs="Tahoma"/>
          <w:bCs/>
          <w:szCs w:val="22"/>
        </w:rPr>
      </w:pPr>
    </w:p>
    <w:p w14:paraId="3E31EC2D" w14:textId="295256A1" w:rsidR="00664420" w:rsidRPr="00D06528" w:rsidRDefault="006E25BC" w:rsidP="00D06528">
      <w:pPr>
        <w:pStyle w:val="Ttulo3"/>
      </w:pPr>
      <w:bookmarkStart w:id="12" w:name="_Toc199973347"/>
      <w:r w:rsidRPr="00D06528">
        <w:t>c</w:t>
      </w:r>
      <w:r w:rsidR="00664420" w:rsidRPr="00D06528">
        <w:t>) Admisión del Recurso de Revisión</w:t>
      </w:r>
      <w:bookmarkEnd w:id="12"/>
    </w:p>
    <w:p w14:paraId="240447D5" w14:textId="339CEEE3" w:rsidR="000E09C4" w:rsidRPr="00D06528" w:rsidRDefault="000E09C4" w:rsidP="00D06528">
      <w:pPr>
        <w:rPr>
          <w:rFonts w:cs="Arial"/>
        </w:rPr>
      </w:pPr>
      <w:r w:rsidRPr="00D06528">
        <w:rPr>
          <w:rFonts w:cs="Arial"/>
        </w:rPr>
        <w:t xml:space="preserve">El </w:t>
      </w:r>
      <w:r w:rsidR="009871EB" w:rsidRPr="00D06528">
        <w:rPr>
          <w:rFonts w:eastAsia="Palatino Linotype" w:cs="Palatino Linotype"/>
          <w:b/>
        </w:rPr>
        <w:t>veintidós de abril de dos mil veinticinco</w:t>
      </w:r>
      <w:r w:rsidRPr="00D06528">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w:t>
      </w:r>
      <w:r w:rsidRPr="00D06528">
        <w:rPr>
          <w:rFonts w:cs="Arial"/>
        </w:rPr>
        <w:lastRenderedPageBreak/>
        <w:t>conforme a lo dispuesto por el artículo 185</w:t>
      </w:r>
      <w:r w:rsidR="00865CF4" w:rsidRPr="00D06528">
        <w:rPr>
          <w:rFonts w:cs="Arial"/>
        </w:rPr>
        <w:t>, fracción II</w:t>
      </w:r>
      <w:r w:rsidRPr="00D06528">
        <w:rPr>
          <w:rFonts w:cs="Arial"/>
        </w:rPr>
        <w:t xml:space="preserve"> de la Ley de Transparencia y Acceso a la Información Pública del Estado de México y Municipios.</w:t>
      </w:r>
    </w:p>
    <w:p w14:paraId="09B589C5" w14:textId="77777777" w:rsidR="00664420" w:rsidRPr="00D06528" w:rsidRDefault="00664420" w:rsidP="00D06528">
      <w:pPr>
        <w:rPr>
          <w:rFonts w:cs="Tahoma"/>
          <w:b/>
          <w:szCs w:val="22"/>
        </w:rPr>
      </w:pPr>
    </w:p>
    <w:p w14:paraId="3B820F58" w14:textId="31B2FA39" w:rsidR="00865CF4" w:rsidRPr="00D06528" w:rsidRDefault="002A3D44" w:rsidP="00D06528">
      <w:pPr>
        <w:pStyle w:val="Ttulo3"/>
      </w:pPr>
      <w:bookmarkStart w:id="13" w:name="_Toc199973348"/>
      <w:r w:rsidRPr="00D06528">
        <w:t>d</w:t>
      </w:r>
      <w:r w:rsidR="00664420" w:rsidRPr="00D06528">
        <w:t xml:space="preserve">) </w:t>
      </w:r>
      <w:r w:rsidR="00865CF4" w:rsidRPr="00D06528">
        <w:t>Informe Justificado del Sujeto Obligado</w:t>
      </w:r>
      <w:bookmarkEnd w:id="13"/>
    </w:p>
    <w:p w14:paraId="73386FEF" w14:textId="2E1F41F4" w:rsidR="00BA1782" w:rsidRPr="00D06528" w:rsidRDefault="00F11C00" w:rsidP="00D06528">
      <w:pPr>
        <w:rPr>
          <w:rFonts w:eastAsia="Calibri" w:cs="Tahoma"/>
          <w:b/>
          <w:szCs w:val="22"/>
          <w:lang w:eastAsia="en-US"/>
        </w:rPr>
      </w:pPr>
      <w:r w:rsidRPr="00D06528">
        <w:rPr>
          <w:rFonts w:cs="Tahoma"/>
          <w:b/>
          <w:szCs w:val="24"/>
        </w:rPr>
        <w:t xml:space="preserve">EL SUJETO OBLIGADO </w:t>
      </w:r>
      <w:r w:rsidR="009871EB" w:rsidRPr="00D06528">
        <w:rPr>
          <w:rFonts w:eastAsia="Arial Unicode MS" w:cs="Arial"/>
        </w:rPr>
        <w:t xml:space="preserve">en fecha </w:t>
      </w:r>
      <w:r w:rsidR="009871EB" w:rsidRPr="00D06528">
        <w:rPr>
          <w:rFonts w:eastAsia="Arial Unicode MS" w:cs="Arial"/>
          <w:b/>
          <w:bCs/>
        </w:rPr>
        <w:t>veintiocho de abril de dos mil veinticinco</w:t>
      </w:r>
      <w:r w:rsidR="009871EB" w:rsidRPr="00D06528">
        <w:rPr>
          <w:rFonts w:eastAsia="Arial Unicode MS" w:cs="Arial"/>
        </w:rPr>
        <w:t xml:space="preserve"> remitió un archivo digital en la etapa de manifestaciones en donde de manera medular menciona que la autoridad competente para realizar investigaciones es la Contraloría Municipal y la Contraloría del Poder Legislativo del Estado de México para servidores públicos designados por elección popular.</w:t>
      </w:r>
    </w:p>
    <w:p w14:paraId="24F87764" w14:textId="77777777" w:rsidR="00664420" w:rsidRPr="00D06528" w:rsidRDefault="00664420" w:rsidP="00D06528">
      <w:pPr>
        <w:rPr>
          <w:rFonts w:cs="Tahoma"/>
          <w:bCs/>
          <w:szCs w:val="24"/>
        </w:rPr>
      </w:pPr>
    </w:p>
    <w:p w14:paraId="1F631C0A" w14:textId="7193ECC6" w:rsidR="004D2924" w:rsidRPr="00D06528" w:rsidRDefault="004D2924" w:rsidP="00D06528">
      <w:pPr>
        <w:pStyle w:val="Ttulo3"/>
        <w:rPr>
          <w:lang w:val="es-ES"/>
        </w:rPr>
      </w:pPr>
      <w:bookmarkStart w:id="14" w:name="_Toc165402867"/>
      <w:bookmarkStart w:id="15" w:name="_Toc199973349"/>
      <w:r w:rsidRPr="00D06528">
        <w:rPr>
          <w:rFonts w:eastAsia="Calibri"/>
          <w:bCs/>
          <w:lang w:eastAsia="en-US"/>
        </w:rPr>
        <w:t>e)</w:t>
      </w:r>
      <w:r w:rsidRPr="00D06528">
        <w:t xml:space="preserve"> </w:t>
      </w:r>
      <w:r w:rsidRPr="00D06528">
        <w:rPr>
          <w:lang w:val="es-ES"/>
        </w:rPr>
        <w:t>Manifestaciones de la Parte Recurrente</w:t>
      </w:r>
      <w:bookmarkEnd w:id="14"/>
      <w:bookmarkEnd w:id="15"/>
    </w:p>
    <w:p w14:paraId="6923684C" w14:textId="2CE889B8" w:rsidR="00664420" w:rsidRPr="00D06528" w:rsidRDefault="00551383" w:rsidP="00D06528">
      <w:pPr>
        <w:rPr>
          <w:rFonts w:cs="Tahoma"/>
          <w:szCs w:val="24"/>
        </w:rPr>
      </w:pPr>
      <w:r w:rsidRPr="00D06528">
        <w:rPr>
          <w:rFonts w:cs="Tahoma"/>
          <w:b/>
          <w:szCs w:val="24"/>
        </w:rPr>
        <w:t>LA PARTE RECURRENTE</w:t>
      </w:r>
      <w:r w:rsidRPr="00D06528">
        <w:rPr>
          <w:rFonts w:cs="Tahoma"/>
          <w:szCs w:val="24"/>
        </w:rPr>
        <w:t xml:space="preserve"> no realizó manifestación alguna dentro del término legalmente concedido para tal efecto, ni presentó pruebas o alegatos.</w:t>
      </w:r>
    </w:p>
    <w:p w14:paraId="6FF82205" w14:textId="77777777" w:rsidR="00551383" w:rsidRPr="00D06528" w:rsidRDefault="00551383" w:rsidP="00D06528">
      <w:pPr>
        <w:rPr>
          <w:rFonts w:eastAsia="Arial Unicode MS" w:cs="Arial"/>
        </w:rPr>
      </w:pPr>
    </w:p>
    <w:p w14:paraId="0E651988" w14:textId="234783EB" w:rsidR="00664420" w:rsidRPr="00D06528" w:rsidRDefault="00AA1429" w:rsidP="00D06528">
      <w:pPr>
        <w:pStyle w:val="Ttulo3"/>
      </w:pPr>
      <w:bookmarkStart w:id="16" w:name="_Toc199973350"/>
      <w:r w:rsidRPr="00D06528">
        <w:t>f</w:t>
      </w:r>
      <w:r w:rsidR="00664420" w:rsidRPr="00D06528">
        <w:t>) Cierre de instrucción</w:t>
      </w:r>
      <w:bookmarkEnd w:id="16"/>
    </w:p>
    <w:p w14:paraId="79AF95DC" w14:textId="3FA7238F" w:rsidR="00664420" w:rsidRDefault="00BF091A" w:rsidP="00D06528">
      <w:pPr>
        <w:rPr>
          <w:rFonts w:cs="Tahoma"/>
          <w:szCs w:val="22"/>
        </w:rPr>
      </w:pPr>
      <w:r w:rsidRPr="00D06528">
        <w:rPr>
          <w:rFonts w:cs="Tahoma"/>
          <w:szCs w:val="22"/>
        </w:rPr>
        <w:t>Al no existir diligencias pendientes por desahogar</w:t>
      </w:r>
      <w:r w:rsidRPr="00D06528">
        <w:rPr>
          <w:rFonts w:cs="Arial"/>
        </w:rPr>
        <w:t xml:space="preserve">, el </w:t>
      </w:r>
      <w:r w:rsidR="009871EB" w:rsidRPr="00D06528">
        <w:rPr>
          <w:rFonts w:cs="Arial"/>
          <w:b/>
        </w:rPr>
        <w:t>tres de junio de dos mil veinticinco</w:t>
      </w:r>
      <w:r w:rsidRPr="00D06528">
        <w:rPr>
          <w:rFonts w:cs="Arial"/>
        </w:rPr>
        <w:t xml:space="preserve"> la </w:t>
      </w:r>
      <w:r w:rsidRPr="00D06528">
        <w:rPr>
          <w:rFonts w:cs="Arial"/>
          <w:b/>
          <w:bCs/>
        </w:rPr>
        <w:t xml:space="preserve">Comisionada </w:t>
      </w:r>
      <w:r w:rsidRPr="00D06528">
        <w:rPr>
          <w:b/>
        </w:rPr>
        <w:t xml:space="preserve">Sharon Cristina Morales Martínez </w:t>
      </w:r>
      <w:r w:rsidRPr="00D06528">
        <w:rPr>
          <w:rFonts w:cs="Arial"/>
        </w:rPr>
        <w:t>acordó el cierre de instrucción</w:t>
      </w:r>
      <w:r w:rsidR="0011350D" w:rsidRPr="00D06528">
        <w:rPr>
          <w:rFonts w:cs="Arial"/>
        </w:rPr>
        <w:t xml:space="preserve"> y</w:t>
      </w:r>
      <w:r w:rsidRPr="00D06528">
        <w:rPr>
          <w:rFonts w:cs="Arial"/>
        </w:rPr>
        <w:t xml:space="preserve"> </w:t>
      </w:r>
      <w:r w:rsidR="0011350D" w:rsidRPr="00D06528">
        <w:rPr>
          <w:rFonts w:cs="Arial"/>
        </w:rPr>
        <w:t xml:space="preserve">la </w:t>
      </w:r>
      <w:r w:rsidRPr="00D06528">
        <w:rPr>
          <w:rFonts w:cs="Arial"/>
        </w:rPr>
        <w:t>remisión del expediente a efecto de ser resuelto, de conformidad con lo establecido en el artículo 185 fracciones VI y VIII de la Ley de Transparencia y Acceso a la Información Pública del Estado de México y Municipios</w:t>
      </w:r>
      <w:r w:rsidRPr="00D06528">
        <w:t>.</w:t>
      </w:r>
      <w:r w:rsidR="0011350D" w:rsidRPr="00D06528">
        <w:t xml:space="preserve"> Dicho acuerdo </w:t>
      </w:r>
      <w:r w:rsidR="00664420" w:rsidRPr="00D06528">
        <w:rPr>
          <w:rFonts w:cs="Tahoma"/>
          <w:szCs w:val="22"/>
        </w:rPr>
        <w:t xml:space="preserve">fue notificado a las partes el mismo día a través del </w:t>
      </w:r>
      <w:r w:rsidR="00664420" w:rsidRPr="00D06528">
        <w:rPr>
          <w:rFonts w:cs="Tahoma"/>
          <w:szCs w:val="22"/>
          <w:lang w:val="es-ES"/>
        </w:rPr>
        <w:t>SAIMEX</w:t>
      </w:r>
      <w:r w:rsidR="00664420" w:rsidRPr="00D06528">
        <w:rPr>
          <w:rFonts w:cs="Tahoma"/>
          <w:szCs w:val="22"/>
        </w:rPr>
        <w:t>.</w:t>
      </w:r>
    </w:p>
    <w:p w14:paraId="08A2DFCB" w14:textId="77777777" w:rsidR="004F47D6" w:rsidRDefault="004F47D6" w:rsidP="00D06528">
      <w:pPr>
        <w:rPr>
          <w:rFonts w:cs="Tahoma"/>
          <w:szCs w:val="22"/>
        </w:rPr>
      </w:pPr>
    </w:p>
    <w:p w14:paraId="47455D3C" w14:textId="77777777" w:rsidR="004F47D6" w:rsidRPr="00D06528" w:rsidRDefault="004F47D6" w:rsidP="00D06528">
      <w:pPr>
        <w:rPr>
          <w:rFonts w:cs="Tahoma"/>
          <w:szCs w:val="22"/>
        </w:rPr>
      </w:pPr>
    </w:p>
    <w:p w14:paraId="741683E3" w14:textId="77777777" w:rsidR="0011350D" w:rsidRPr="00D06528" w:rsidRDefault="0011350D" w:rsidP="00D06528">
      <w:pPr>
        <w:rPr>
          <w:rFonts w:cs="Tahoma"/>
          <w:szCs w:val="22"/>
        </w:rPr>
      </w:pPr>
    </w:p>
    <w:p w14:paraId="7A9629DE" w14:textId="77777777" w:rsidR="00664420" w:rsidRPr="00D06528" w:rsidRDefault="00664420" w:rsidP="00D06528">
      <w:pPr>
        <w:pStyle w:val="Ttulo1"/>
        <w:rPr>
          <w:rFonts w:eastAsiaTheme="minorHAnsi"/>
          <w:lang w:eastAsia="en-US"/>
        </w:rPr>
      </w:pPr>
      <w:bookmarkStart w:id="17" w:name="_Toc199973351"/>
      <w:r w:rsidRPr="00D06528">
        <w:rPr>
          <w:rFonts w:eastAsiaTheme="minorHAnsi"/>
          <w:lang w:eastAsia="en-US"/>
        </w:rPr>
        <w:lastRenderedPageBreak/>
        <w:t>CONSIDERANDOS</w:t>
      </w:r>
      <w:bookmarkEnd w:id="17"/>
    </w:p>
    <w:p w14:paraId="6DD1243B" w14:textId="77777777" w:rsidR="00664420" w:rsidRPr="00D06528" w:rsidRDefault="00664420" w:rsidP="00D06528">
      <w:pPr>
        <w:contextualSpacing/>
        <w:jc w:val="center"/>
        <w:rPr>
          <w:rFonts w:eastAsiaTheme="minorHAnsi" w:cs="Tahoma"/>
          <w:b/>
          <w:szCs w:val="22"/>
          <w:lang w:eastAsia="en-US"/>
        </w:rPr>
      </w:pPr>
    </w:p>
    <w:p w14:paraId="0B67CB92" w14:textId="2E307D3B" w:rsidR="00664420" w:rsidRPr="00D06528" w:rsidRDefault="00664420" w:rsidP="00D06528">
      <w:pPr>
        <w:pStyle w:val="Ttulo2"/>
        <w:rPr>
          <w:rFonts w:eastAsia="Batang"/>
        </w:rPr>
      </w:pPr>
      <w:bookmarkStart w:id="18" w:name="_Toc199973352"/>
      <w:r w:rsidRPr="00D06528">
        <w:rPr>
          <w:rFonts w:eastAsia="Batang"/>
        </w:rPr>
        <w:t xml:space="preserve">PRIMERO. </w:t>
      </w:r>
      <w:r w:rsidR="00BA55A8" w:rsidRPr="00D06528">
        <w:rPr>
          <w:rFonts w:eastAsia="Batang"/>
        </w:rPr>
        <w:t>Procedibilidad</w:t>
      </w:r>
      <w:bookmarkEnd w:id="18"/>
    </w:p>
    <w:p w14:paraId="39C52BC1" w14:textId="56FCC20D" w:rsidR="00BA55A8" w:rsidRPr="00D06528" w:rsidRDefault="00BA55A8" w:rsidP="00D06528">
      <w:pPr>
        <w:pStyle w:val="Ttulo3"/>
      </w:pPr>
      <w:bookmarkStart w:id="19" w:name="_Toc199973353"/>
      <w:r w:rsidRPr="00D06528">
        <w:t>a) Competencia</w:t>
      </w:r>
      <w:r w:rsidR="00150C49" w:rsidRPr="00D06528">
        <w:t xml:space="preserve"> del Instituto</w:t>
      </w:r>
      <w:bookmarkEnd w:id="19"/>
    </w:p>
    <w:p w14:paraId="56E64942" w14:textId="608ACF9A" w:rsidR="0011350D" w:rsidRPr="00D06528" w:rsidRDefault="0011350D" w:rsidP="00D06528">
      <w:pPr>
        <w:rPr>
          <w:rFonts w:cs="Arial"/>
        </w:rPr>
      </w:pPr>
      <w:r w:rsidRPr="00D06528">
        <w:t xml:space="preserve">Este Instituto de Transparencia, Acceso a la Información Pública y Protección de Datos Personales del Estado de México y Municipios es competente para conocer y resolver </w:t>
      </w:r>
      <w:r w:rsidR="005F65B7" w:rsidRPr="00D06528">
        <w:t xml:space="preserve">el </w:t>
      </w:r>
      <w:r w:rsidRPr="00D06528">
        <w:t xml:space="preserve">presente Recurso de Revisión, conforme a lo dispuesto en los artículos 6, Apartado A de la Constitución Política de los Estados Unidos Mexicanos; 5, </w:t>
      </w:r>
      <w:r w:rsidR="00AC0DD2" w:rsidRPr="00D06528">
        <w:t>párrafos trigésimo séptimo, trigésimo octavo, trigésimo noveno,</w:t>
      </w:r>
      <w:r w:rsidRPr="00D06528">
        <w:t xml:space="preserve">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D06528">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D06528" w:rsidRDefault="00DB1C09" w:rsidP="00D06528">
      <w:pPr>
        <w:rPr>
          <w:rFonts w:cs="Arial"/>
        </w:rPr>
      </w:pPr>
    </w:p>
    <w:p w14:paraId="517A2DD6" w14:textId="4169BE4D" w:rsidR="00664420" w:rsidRPr="00D06528" w:rsidRDefault="00BA55A8" w:rsidP="00D06528">
      <w:pPr>
        <w:pStyle w:val="Ttulo3"/>
      </w:pPr>
      <w:bookmarkStart w:id="20" w:name="_Toc199973354"/>
      <w:r w:rsidRPr="00D06528">
        <w:t>b)</w:t>
      </w:r>
      <w:r w:rsidR="00664420" w:rsidRPr="00D06528">
        <w:t xml:space="preserve"> </w:t>
      </w:r>
      <w:r w:rsidR="00D91CB4" w:rsidRPr="00D06528">
        <w:t>Legitimidad</w:t>
      </w:r>
      <w:r w:rsidRPr="00D06528">
        <w:t xml:space="preserve"> de la parte recurrente</w:t>
      </w:r>
      <w:bookmarkEnd w:id="20"/>
    </w:p>
    <w:p w14:paraId="26FEA382" w14:textId="0B06695C" w:rsidR="00D91CB4" w:rsidRPr="00D06528" w:rsidRDefault="00D91CB4" w:rsidP="00D06528">
      <w:pPr>
        <w:rPr>
          <w:rFonts w:cs="Arial"/>
          <w:bCs/>
        </w:rPr>
      </w:pPr>
      <w:r w:rsidRPr="00D06528">
        <w:rPr>
          <w:rFonts w:cs="Arial"/>
          <w:bCs/>
        </w:rPr>
        <w:t>El recurso de revisión fue interpuesto por parte legítima, ya que se presentó por la misma persona que formuló la solicitud de acceso a la Información Pública,</w:t>
      </w:r>
      <w:r w:rsidRPr="00D06528">
        <w:rPr>
          <w:rFonts w:cs="Arial"/>
          <w:b/>
          <w:bCs/>
        </w:rPr>
        <w:t xml:space="preserve"> </w:t>
      </w:r>
      <w:r w:rsidRPr="00D06528">
        <w:rPr>
          <w:rFonts w:cs="Arial"/>
        </w:rPr>
        <w:t>debido a que los datos de acceso</w:t>
      </w:r>
      <w:r w:rsidRPr="00D06528">
        <w:rPr>
          <w:rFonts w:cs="Arial"/>
          <w:b/>
          <w:bCs/>
        </w:rPr>
        <w:t xml:space="preserve"> SAIMEX</w:t>
      </w:r>
      <w:r w:rsidRPr="00D06528">
        <w:rPr>
          <w:rFonts w:eastAsia="Calibri" w:cs="Arial"/>
          <w:lang w:eastAsia="en-US"/>
        </w:rPr>
        <w:t xml:space="preserve"> son personales e irrepetibles.</w:t>
      </w:r>
    </w:p>
    <w:p w14:paraId="2C367810" w14:textId="77777777" w:rsidR="00D91CB4" w:rsidRPr="00D06528" w:rsidRDefault="00D91CB4" w:rsidP="00D06528"/>
    <w:p w14:paraId="496490FC" w14:textId="1A5F3FDB" w:rsidR="00D91CB4" w:rsidRPr="00D06528" w:rsidRDefault="00BA55A8" w:rsidP="00D06528">
      <w:pPr>
        <w:pStyle w:val="Ttulo3"/>
        <w:rPr>
          <w:rFonts w:eastAsia="Calibri"/>
          <w:lang w:eastAsia="es-ES_tradnl"/>
        </w:rPr>
      </w:pPr>
      <w:bookmarkStart w:id="21" w:name="_Toc199973355"/>
      <w:r w:rsidRPr="00D06528">
        <w:rPr>
          <w:rFonts w:eastAsia="Calibri"/>
          <w:lang w:eastAsia="es-ES_tradnl"/>
        </w:rPr>
        <w:t>c)</w:t>
      </w:r>
      <w:r w:rsidR="00664420" w:rsidRPr="00D06528">
        <w:rPr>
          <w:rFonts w:eastAsia="Calibri"/>
          <w:lang w:eastAsia="es-ES_tradnl"/>
        </w:rPr>
        <w:t xml:space="preserve"> </w:t>
      </w:r>
      <w:r w:rsidR="00D91CB4" w:rsidRPr="00D06528">
        <w:rPr>
          <w:rFonts w:eastAsia="Calibri"/>
          <w:lang w:eastAsia="es-ES_tradnl"/>
        </w:rPr>
        <w:t>Plazo para interponer el recurso</w:t>
      </w:r>
      <w:bookmarkEnd w:id="21"/>
    </w:p>
    <w:p w14:paraId="106D37EE" w14:textId="5FF6EF2D" w:rsidR="00D91CB4" w:rsidRPr="00D06528" w:rsidRDefault="00D91CB4" w:rsidP="00D06528">
      <w:pPr>
        <w:rPr>
          <w:rFonts w:eastAsiaTheme="minorEastAsia" w:cs="Arial"/>
          <w:lang w:val="es-ES_tradnl"/>
        </w:rPr>
      </w:pPr>
      <w:r w:rsidRPr="00D06528">
        <w:rPr>
          <w:rFonts w:cs="Arial"/>
          <w:b/>
        </w:rPr>
        <w:t>EL SUJETO OBLIGADO</w:t>
      </w:r>
      <w:r w:rsidRPr="00D06528">
        <w:rPr>
          <w:rFonts w:cs="Arial"/>
        </w:rPr>
        <w:t xml:space="preserve"> notificó la respuesta a la solicitud de acceso a la Información Pública el </w:t>
      </w:r>
      <w:r w:rsidR="009871EB" w:rsidRPr="00D06528">
        <w:rPr>
          <w:rFonts w:eastAsia="Palatino Linotype" w:cs="Palatino Linotype"/>
          <w:b/>
        </w:rPr>
        <w:t>veintiuno de abril de dos mil veinticinco</w:t>
      </w:r>
      <w:r w:rsidRPr="00D06528">
        <w:rPr>
          <w:rFonts w:cs="Arial"/>
        </w:rPr>
        <w:t xml:space="preserve"> </w:t>
      </w:r>
      <w:r w:rsidR="00A53315" w:rsidRPr="00D06528">
        <w:rPr>
          <w:rFonts w:cs="Arial"/>
        </w:rPr>
        <w:t xml:space="preserve">y el recurso </w:t>
      </w:r>
      <w:r w:rsidR="00A53315" w:rsidRPr="00D06528">
        <w:rPr>
          <w:rFonts w:eastAsia="Palatino Linotype" w:cs="Palatino Linotype"/>
        </w:rPr>
        <w:t xml:space="preserve">que nos ocupa se interpuso el </w:t>
      </w:r>
      <w:r w:rsidR="009871EB" w:rsidRPr="00D06528">
        <w:rPr>
          <w:rFonts w:eastAsia="Palatino Linotype" w:cs="Palatino Linotype"/>
          <w:b/>
        </w:rPr>
        <w:t>veintiuno de abril de dos mil veinticinco</w:t>
      </w:r>
      <w:r w:rsidR="00A53315" w:rsidRPr="00D06528">
        <w:rPr>
          <w:rFonts w:eastAsia="Palatino Linotype" w:cs="Palatino Linotype"/>
          <w:bCs/>
        </w:rPr>
        <w:t>;</w:t>
      </w:r>
      <w:r w:rsidR="00A53315" w:rsidRPr="00D06528">
        <w:rPr>
          <w:rFonts w:eastAsia="Palatino Linotype" w:cs="Palatino Linotype"/>
        </w:rPr>
        <w:t xml:space="preserve"> por lo tanto, éste se encuentra dentro del margen temporal previsto en el artículo 178 de la </w:t>
      </w:r>
      <w:r w:rsidR="00A53315" w:rsidRPr="00D06528">
        <w:rPr>
          <w:rFonts w:cs="Arial"/>
        </w:rPr>
        <w:t xml:space="preserve">Ley de Transparencia y Acceso a la Información </w:t>
      </w:r>
      <w:r w:rsidR="00A53315" w:rsidRPr="00D06528">
        <w:rPr>
          <w:rFonts w:cs="Arial"/>
        </w:rPr>
        <w:lastRenderedPageBreak/>
        <w:t xml:space="preserve">Pública del Estado de México y Municipios, </w:t>
      </w:r>
      <w:bookmarkStart w:id="22" w:name="_Hlk62134391"/>
      <w:r w:rsidRPr="00D06528">
        <w:rPr>
          <w:rFonts w:eastAsiaTheme="minorEastAsia" w:cs="Arial"/>
          <w:lang w:val="es-ES_tradnl"/>
        </w:rPr>
        <w:t xml:space="preserve">en términos del </w:t>
      </w:r>
      <w:bookmarkEnd w:id="22"/>
      <w:r w:rsidRPr="00D06528">
        <w:rPr>
          <w:rFonts w:eastAsiaTheme="minorEastAsia" w:cs="Arial"/>
          <w:lang w:val="es-ES_tradnl"/>
        </w:rPr>
        <w:t>Calendario oficia</w:t>
      </w:r>
      <w:r w:rsidR="00CB7E9A" w:rsidRPr="00D06528">
        <w:rPr>
          <w:rFonts w:eastAsiaTheme="minorEastAsia" w:cs="Arial"/>
          <w:lang w:val="es-ES_tradnl"/>
        </w:rPr>
        <w:t>l en Materia de Transparencia, Acceso a la Información Pública y Protección de Datos Personales del Estado de México y Municipios, así como de labores del Instituto.</w:t>
      </w:r>
    </w:p>
    <w:p w14:paraId="49076992" w14:textId="77777777" w:rsidR="00D91CB4" w:rsidRPr="00D06528" w:rsidRDefault="00D91CB4" w:rsidP="00D06528">
      <w:pPr>
        <w:rPr>
          <w:rFonts w:eastAsia="Palatino Linotype" w:cs="Palatino Linotype"/>
        </w:rPr>
      </w:pPr>
    </w:p>
    <w:p w14:paraId="6D3ACF2C" w14:textId="77777777" w:rsidR="00AC0DD2" w:rsidRPr="00D06528" w:rsidRDefault="00AC0DD2" w:rsidP="00D06528">
      <w:r w:rsidRPr="00D06528">
        <w:t xml:space="preserve">En ese tenor, se advierte que </w:t>
      </w:r>
      <w:r w:rsidRPr="00D06528">
        <w:rPr>
          <w:b/>
        </w:rPr>
        <w:t>LA PARTE RECURRENTE</w:t>
      </w:r>
      <w:r w:rsidRPr="00D06528">
        <w:t xml:space="preserve"> presentó el medio de impugnación al rubro anotado, el mismo día en que se le notificó la respuesta impugnada; no obstante lo anterior, ello no implica que su interposición sea extemporánea, es decir, fuera del plazo señalado para tales efectos, en razón de que si bien el artículo 178 de la Ley de Transparencia y Acceso a la Información Pública del Estado de México y Municipios, establece que el recurso de revisión se ha de promover dentro de los quince días hábiles siguientes en que el particular tenga conocimiento de la respuesta impugnada, no limita a los particulares para que lo puedan presentar el mismo día en que le sea notificada dicha respuesta; esto es, no implica que de presentarse el recurso de revisión el mismo día de su notificación, deba considerarse como extemporáneo.</w:t>
      </w:r>
    </w:p>
    <w:p w14:paraId="042ABB88" w14:textId="77777777" w:rsidR="00AC0DD2" w:rsidRPr="00D06528" w:rsidRDefault="00AC0DD2" w:rsidP="00D06528"/>
    <w:p w14:paraId="7668FD49" w14:textId="77777777" w:rsidR="00AC0DD2" w:rsidRPr="00D06528" w:rsidRDefault="00AC0DD2" w:rsidP="00D06528">
      <w:r w:rsidRPr="00D06528">
        <w:t>En apoyo a lo anterior, resulta aplicable por analogía la Jurisprudencia número 1a./J. 41/2015 (10a.), Décima Época, sustentada por la Primera Sala de la Suprema Corte de Justicia de la Nación, visible en la página 569, libro 19, tomo I, del Semanario Judicial de la Federación y su de la Gaceta de junio de 2015, cuyo rubro y texto esgrimen:</w:t>
      </w:r>
    </w:p>
    <w:p w14:paraId="34C9D228" w14:textId="77777777" w:rsidR="00AC0DD2" w:rsidRPr="00D06528" w:rsidRDefault="00AC0DD2" w:rsidP="00D06528"/>
    <w:p w14:paraId="3D900D17" w14:textId="77777777" w:rsidR="00AC0DD2" w:rsidRPr="00D06528" w:rsidRDefault="00AC0DD2" w:rsidP="00D06528">
      <w:pPr>
        <w:spacing w:line="240" w:lineRule="auto"/>
        <w:ind w:left="567" w:right="567"/>
        <w:contextualSpacing/>
        <w:rPr>
          <w:i/>
          <w:kern w:val="28"/>
          <w:szCs w:val="56"/>
        </w:rPr>
      </w:pPr>
      <w:r w:rsidRPr="00D06528">
        <w:rPr>
          <w:i/>
          <w:kern w:val="28"/>
          <w:szCs w:val="56"/>
        </w:rPr>
        <w:t>“</w:t>
      </w:r>
      <w:r w:rsidRPr="00D06528">
        <w:rPr>
          <w:b/>
          <w:bCs/>
          <w:i/>
          <w:kern w:val="28"/>
          <w:szCs w:val="56"/>
        </w:rPr>
        <w:t>RECURSO DE RECLAMACIÓN. SU INTERPOSICIÓN NO ES EXTEMPORÁNEA SI SE REALIZA ANTES DE QUE INICIE EL PLAZO PARA HACERLO</w:t>
      </w:r>
      <w:r w:rsidRPr="00D06528">
        <w:rPr>
          <w:i/>
          <w:kern w:val="28"/>
          <w:szCs w:val="56"/>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18FAEBF5" w14:textId="77777777" w:rsidR="00AC0DD2" w:rsidRPr="00D06528" w:rsidRDefault="00AC0DD2" w:rsidP="00D06528">
      <w:pPr>
        <w:rPr>
          <w:rFonts w:eastAsia="Palatino Linotype" w:cs="Palatino Linotype"/>
        </w:rPr>
      </w:pPr>
    </w:p>
    <w:p w14:paraId="2284D7EB" w14:textId="7707FE51" w:rsidR="00BA55A8" w:rsidRPr="00D06528" w:rsidRDefault="00AC0DD2" w:rsidP="00D06528">
      <w:pPr>
        <w:pStyle w:val="Ttulo3"/>
      </w:pPr>
      <w:bookmarkStart w:id="23" w:name="_Toc199973356"/>
      <w:r w:rsidRPr="00D06528">
        <w:t>d</w:t>
      </w:r>
      <w:r w:rsidR="00362A11" w:rsidRPr="00D06528">
        <w:t>) Requisitos formales para la interposición del recurso</w:t>
      </w:r>
      <w:bookmarkEnd w:id="23"/>
    </w:p>
    <w:p w14:paraId="6390674A" w14:textId="78A894DD" w:rsidR="00BA55A8" w:rsidRPr="00D06528" w:rsidRDefault="00BA55A8" w:rsidP="00D06528">
      <w:pPr>
        <w:rPr>
          <w:rFonts w:cs="Arial"/>
        </w:rPr>
      </w:pPr>
      <w:r w:rsidRPr="00D06528">
        <w:rPr>
          <w:rFonts w:cs="Arial"/>
          <w:b/>
          <w:bCs/>
        </w:rPr>
        <w:t xml:space="preserve">LA PARTE RECURRENTE </w:t>
      </w:r>
      <w:r w:rsidRPr="00D06528">
        <w:rPr>
          <w:rFonts w:cs="Arial"/>
        </w:rPr>
        <w:t>acreditó todos y cada uno de los elementos formales exigidos por el artículo 180 de la misma normatividad.</w:t>
      </w:r>
    </w:p>
    <w:p w14:paraId="3A121826" w14:textId="77777777" w:rsidR="00C461EC" w:rsidRPr="00D06528" w:rsidRDefault="00C461EC" w:rsidP="00D06528">
      <w:pPr>
        <w:rPr>
          <w:bCs/>
          <w:lang w:val="es-ES_tradnl"/>
        </w:rPr>
      </w:pPr>
    </w:p>
    <w:p w14:paraId="696F192D" w14:textId="77777777" w:rsidR="00AC0DD2" w:rsidRPr="00D06528" w:rsidRDefault="00AC0DD2" w:rsidP="00D06528">
      <w:pPr>
        <w:rPr>
          <w:rFonts w:cs="Arial"/>
          <w:lang w:val="es-ES"/>
        </w:rPr>
      </w:pPr>
      <w:r w:rsidRPr="00D06528">
        <w:rPr>
          <w:lang w:val="es-ES"/>
        </w:rPr>
        <w:t xml:space="preserve">Sin embargo, es importante mencionar que, de la revisión de los expedientes electrónicos del </w:t>
      </w:r>
      <w:r w:rsidRPr="00D06528">
        <w:rPr>
          <w:b/>
          <w:bCs/>
          <w:lang w:val="es-ES"/>
        </w:rPr>
        <w:t>SAIMEX</w:t>
      </w:r>
      <w:r w:rsidRPr="00D06528">
        <w:rPr>
          <w:bCs/>
          <w:lang w:val="es-ES"/>
        </w:rPr>
        <w:t>,</w:t>
      </w:r>
      <w:r w:rsidRPr="00D06528">
        <w:rPr>
          <w:lang w:val="es-ES"/>
        </w:rPr>
        <w:t xml:space="preserve"> se observa que </w:t>
      </w:r>
      <w:r w:rsidRPr="00D06528">
        <w:rPr>
          <w:b/>
          <w:bCs/>
          <w:lang w:val="es-ES"/>
        </w:rPr>
        <w:t>LA PARTE RECURRENTE</w:t>
      </w:r>
      <w:r w:rsidRPr="00D06528">
        <w:rPr>
          <w:lang w:val="es-ES"/>
        </w:rPr>
        <w:t xml:space="preserve"> no proporcionó su nombre para ser identificado, lo que en estricto sentido provoca que </w:t>
      </w:r>
      <w:r w:rsidRPr="00D06528">
        <w:rPr>
          <w:rFonts w:cs="Arial"/>
          <w:lang w:val="es-ES"/>
        </w:rPr>
        <w:t>no</w:t>
      </w:r>
      <w:r w:rsidRPr="00D06528">
        <w:rPr>
          <w:lang w:val="es-ES"/>
        </w:rPr>
        <w:t xml:space="preserve"> se colmen los requisitos establecidos en el artículo 180 de la Ley de Transparencia; sin embargo, el artículo 15 de </w:t>
      </w:r>
      <w:r w:rsidRPr="00D06528">
        <w:rPr>
          <w:rFonts w:cs="Arial"/>
          <w:lang w:val="es-ES" w:eastAsia="es-MX"/>
        </w:rPr>
        <w:t xml:space="preserve">Ley de Transparencia y Acceso a la </w:t>
      </w:r>
      <w:r w:rsidRPr="00D06528">
        <w:rPr>
          <w:rFonts w:cs="Arial"/>
          <w:lang w:val="es-ES"/>
        </w:rPr>
        <w:t>Información</w:t>
      </w:r>
      <w:r w:rsidRPr="00D06528">
        <w:rPr>
          <w:rFonts w:cs="Arial"/>
          <w:lang w:val="es-ES" w:eastAsia="es-MX"/>
        </w:rPr>
        <w:t xml:space="preserve"> Pública del Estado de México y Municipios </w:t>
      </w:r>
      <w:r w:rsidRPr="00D06528">
        <w:rPr>
          <w:rFonts w:cs="Arial"/>
          <w:iCs/>
          <w:lang w:val="es-ES"/>
        </w:rPr>
        <w:t xml:space="preserve">prevé que </w:t>
      </w:r>
      <w:r w:rsidRPr="00D06528">
        <w:rPr>
          <w:lang w:val="es-ES"/>
        </w:rPr>
        <w:t xml:space="preserve">toda persona tendrá acceso a la información </w:t>
      </w:r>
      <w:r w:rsidRPr="00D06528">
        <w:rPr>
          <w:rFonts w:cs="Arial"/>
          <w:lang w:val="es-ES"/>
        </w:rPr>
        <w:t xml:space="preserve">sin necesidad de acreditar interés alguno o justificar su utilización, de lo que se infiere que </w:t>
      </w:r>
      <w:r w:rsidRPr="00D06528">
        <w:rPr>
          <w:rFonts w:cs="Arial"/>
          <w:b/>
          <w:u w:val="single"/>
          <w:lang w:val="es-ES"/>
        </w:rPr>
        <w:t xml:space="preserve">el nombre no es un requisito </w:t>
      </w:r>
      <w:r w:rsidRPr="00D06528">
        <w:rPr>
          <w:rFonts w:cs="Arial"/>
          <w:b/>
          <w:iCs/>
          <w:u w:val="single"/>
          <w:lang w:val="es-ES"/>
        </w:rPr>
        <w:t>indispensable</w:t>
      </w:r>
      <w:r w:rsidRPr="00D06528">
        <w:rPr>
          <w:rFonts w:cs="Arial"/>
          <w:lang w:val="es-ES"/>
        </w:rPr>
        <w:t xml:space="preserve"> para que las y los ciudadanos ejerzan el derecho de acceso a la información pública. </w:t>
      </w:r>
    </w:p>
    <w:p w14:paraId="6625D4AC" w14:textId="77777777" w:rsidR="00AC0DD2" w:rsidRPr="00D06528" w:rsidRDefault="00AC0DD2" w:rsidP="00D06528">
      <w:pPr>
        <w:rPr>
          <w:rFonts w:cs="Arial"/>
          <w:sz w:val="24"/>
          <w:szCs w:val="24"/>
          <w:lang w:val="es-ES"/>
        </w:rPr>
      </w:pPr>
    </w:p>
    <w:p w14:paraId="545CB7F4" w14:textId="77777777" w:rsidR="00AC0DD2" w:rsidRPr="00D06528" w:rsidRDefault="00AC0DD2" w:rsidP="00D06528">
      <w:pPr>
        <w:rPr>
          <w:lang w:val="es-ES"/>
        </w:rPr>
      </w:pPr>
      <w:r w:rsidRPr="00D06528">
        <w:rPr>
          <w:lang w:val="es-ES"/>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D06528">
        <w:rPr>
          <w:b/>
          <w:bCs/>
          <w:lang w:val="es-ES"/>
        </w:rPr>
        <w:t>LA PARTE RECURRENTE</w:t>
      </w:r>
      <w:r w:rsidRPr="00D06528">
        <w:rPr>
          <w:b/>
          <w:lang w:val="es-ES"/>
        </w:rPr>
        <w:t>;</w:t>
      </w:r>
      <w:r w:rsidRPr="00D06528">
        <w:rPr>
          <w:lang w:val="es-ES"/>
        </w:rPr>
        <w:t xml:space="preserve"> por lo que, en el presente caso, al haber sido presentado el recurso de revisión vía </w:t>
      </w:r>
      <w:r w:rsidRPr="00D06528">
        <w:rPr>
          <w:b/>
          <w:bCs/>
          <w:lang w:val="es-ES"/>
        </w:rPr>
        <w:t>SAIMEX</w:t>
      </w:r>
      <w:r w:rsidRPr="00D06528">
        <w:rPr>
          <w:lang w:val="es-ES"/>
        </w:rPr>
        <w:t>, dicho requisito resulta innecesario.</w:t>
      </w:r>
    </w:p>
    <w:p w14:paraId="3D7C6D04" w14:textId="77777777" w:rsidR="00AC0DD2" w:rsidRPr="00D06528" w:rsidRDefault="00AC0DD2" w:rsidP="00D06528">
      <w:pPr>
        <w:rPr>
          <w:bCs/>
          <w:lang w:val="es-ES_tradnl"/>
        </w:rPr>
      </w:pPr>
    </w:p>
    <w:p w14:paraId="457548E9" w14:textId="3F7AF03B" w:rsidR="00C71CEF" w:rsidRPr="00D06528" w:rsidRDefault="00C71CEF" w:rsidP="00D06528">
      <w:pPr>
        <w:pStyle w:val="Ttulo2"/>
      </w:pPr>
      <w:bookmarkStart w:id="24" w:name="_Toc199973357"/>
      <w:r w:rsidRPr="00D06528">
        <w:lastRenderedPageBreak/>
        <w:t>SEGUNDO. Estudio de Fondo</w:t>
      </w:r>
      <w:bookmarkEnd w:id="24"/>
    </w:p>
    <w:p w14:paraId="2A308F59" w14:textId="0FF373F0" w:rsidR="00C049E2" w:rsidRPr="00D06528" w:rsidRDefault="00C71CEF" w:rsidP="00D06528">
      <w:pPr>
        <w:pStyle w:val="Ttulo3"/>
      </w:pPr>
      <w:bookmarkStart w:id="25" w:name="_Toc199973358"/>
      <w:r w:rsidRPr="00D06528">
        <w:t>a</w:t>
      </w:r>
      <w:r w:rsidR="00C049E2" w:rsidRPr="00D06528">
        <w:t>) Mandato de transparencia y responsabilidad del Sujeto Obligado</w:t>
      </w:r>
      <w:bookmarkEnd w:id="25"/>
    </w:p>
    <w:p w14:paraId="6901A889" w14:textId="59EEDAE1" w:rsidR="00C049E2" w:rsidRPr="00D06528" w:rsidRDefault="00C049E2" w:rsidP="00D06528">
      <w:pPr>
        <w:rPr>
          <w:rFonts w:eastAsia="Palatino Linotype"/>
        </w:rPr>
      </w:pPr>
      <w:r w:rsidRPr="00D06528">
        <w:rPr>
          <w:rFonts w:eastAsia="Palatino Linotype"/>
        </w:rPr>
        <w:t xml:space="preserve">El </w:t>
      </w:r>
      <w:r w:rsidR="00717E59" w:rsidRPr="00D06528">
        <w:rPr>
          <w:rFonts w:eastAsia="Palatino Linotype"/>
        </w:rPr>
        <w:t>d</w:t>
      </w:r>
      <w:r w:rsidRPr="00D06528">
        <w:rPr>
          <w:rFonts w:eastAsia="Palatino Linotype"/>
        </w:rPr>
        <w:t xml:space="preserve">erecho de </w:t>
      </w:r>
      <w:r w:rsidR="00717E59" w:rsidRPr="00D06528">
        <w:rPr>
          <w:rFonts w:eastAsia="Palatino Linotype"/>
        </w:rPr>
        <w:t>a</w:t>
      </w:r>
      <w:r w:rsidRPr="00D06528">
        <w:rPr>
          <w:rFonts w:eastAsia="Palatino Linotype"/>
        </w:rPr>
        <w:t xml:space="preserve">cceso a la </w:t>
      </w:r>
      <w:r w:rsidR="00717E59" w:rsidRPr="00D06528">
        <w:rPr>
          <w:rFonts w:eastAsia="Palatino Linotype"/>
        </w:rPr>
        <w:t>i</w:t>
      </w:r>
      <w:r w:rsidRPr="00D06528">
        <w:rPr>
          <w:rFonts w:eastAsia="Palatino Linotype"/>
        </w:rPr>
        <w:t xml:space="preserve">nformación </w:t>
      </w:r>
      <w:r w:rsidR="00717E59" w:rsidRPr="00D06528">
        <w:rPr>
          <w:rFonts w:eastAsia="Palatino Linotype"/>
        </w:rPr>
        <w:t>p</w:t>
      </w:r>
      <w:r w:rsidRPr="00D06528">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D06528">
        <w:rPr>
          <w:rFonts w:eastAsia="Palatino Linotype"/>
        </w:rPr>
        <w:t>:</w:t>
      </w:r>
    </w:p>
    <w:p w14:paraId="7FAB8D32" w14:textId="77777777" w:rsidR="00C049E2" w:rsidRPr="00D06528" w:rsidRDefault="00C049E2" w:rsidP="00D06528">
      <w:pPr>
        <w:rPr>
          <w:rFonts w:eastAsia="Palatino Linotype"/>
        </w:rPr>
      </w:pPr>
    </w:p>
    <w:p w14:paraId="05320813" w14:textId="77777777" w:rsidR="00C049E2" w:rsidRPr="00D06528" w:rsidRDefault="00C049E2" w:rsidP="00D06528">
      <w:pPr>
        <w:spacing w:line="240" w:lineRule="auto"/>
        <w:ind w:left="567" w:right="539"/>
        <w:rPr>
          <w:rFonts w:eastAsia="Palatino Linotype"/>
          <w:b/>
          <w:i/>
        </w:rPr>
      </w:pPr>
      <w:r w:rsidRPr="00D06528">
        <w:rPr>
          <w:rFonts w:eastAsia="Palatino Linotype"/>
          <w:b/>
          <w:i/>
        </w:rPr>
        <w:t>Constitución Política de los Estados Unidos Mexicanos</w:t>
      </w:r>
    </w:p>
    <w:p w14:paraId="6B6C67B6" w14:textId="77777777" w:rsidR="00C049E2" w:rsidRPr="00D06528" w:rsidRDefault="00C049E2" w:rsidP="00D06528">
      <w:pPr>
        <w:spacing w:line="240" w:lineRule="auto"/>
        <w:ind w:left="567" w:right="539"/>
        <w:rPr>
          <w:rFonts w:eastAsia="Palatino Linotype"/>
          <w:b/>
          <w:i/>
        </w:rPr>
      </w:pPr>
      <w:r w:rsidRPr="00D06528">
        <w:rPr>
          <w:rFonts w:eastAsia="Palatino Linotype"/>
          <w:b/>
          <w:i/>
        </w:rPr>
        <w:t>“Artículo 6.</w:t>
      </w:r>
    </w:p>
    <w:p w14:paraId="38D3B4C4" w14:textId="77777777" w:rsidR="00C049E2" w:rsidRPr="00D06528" w:rsidRDefault="00C049E2" w:rsidP="00D06528">
      <w:pPr>
        <w:spacing w:line="240" w:lineRule="auto"/>
        <w:ind w:left="567" w:right="539"/>
        <w:rPr>
          <w:rFonts w:eastAsia="Palatino Linotype"/>
          <w:i/>
        </w:rPr>
      </w:pPr>
      <w:r w:rsidRPr="00D06528">
        <w:rPr>
          <w:rFonts w:eastAsia="Palatino Linotype"/>
          <w:i/>
        </w:rPr>
        <w:t>(…)</w:t>
      </w:r>
    </w:p>
    <w:p w14:paraId="2CCAA297" w14:textId="6602827B" w:rsidR="00C049E2" w:rsidRPr="00D06528" w:rsidRDefault="00C049E2" w:rsidP="00D06528">
      <w:pPr>
        <w:spacing w:line="240" w:lineRule="auto"/>
        <w:ind w:left="567" w:right="539"/>
        <w:rPr>
          <w:rFonts w:eastAsia="Palatino Linotype"/>
          <w:i/>
        </w:rPr>
      </w:pPr>
      <w:r w:rsidRPr="00D06528">
        <w:rPr>
          <w:rFonts w:eastAsia="Palatino Linotype"/>
          <w:i/>
        </w:rPr>
        <w:t>Para efectos de lo dispuesto en el presente artículo se observará lo siguiente:</w:t>
      </w:r>
    </w:p>
    <w:p w14:paraId="74CC3718" w14:textId="77777777" w:rsidR="00C049E2" w:rsidRPr="00D06528" w:rsidRDefault="00C049E2" w:rsidP="00D06528">
      <w:pPr>
        <w:spacing w:line="240" w:lineRule="auto"/>
        <w:ind w:left="567" w:right="539"/>
        <w:rPr>
          <w:rFonts w:eastAsia="Palatino Linotype"/>
          <w:b/>
          <w:i/>
        </w:rPr>
      </w:pPr>
      <w:r w:rsidRPr="00D06528">
        <w:rPr>
          <w:rFonts w:eastAsia="Palatino Linotype"/>
          <w:b/>
          <w:i/>
        </w:rPr>
        <w:t>A</w:t>
      </w:r>
      <w:r w:rsidRPr="00D06528">
        <w:rPr>
          <w:rFonts w:eastAsia="Palatino Linotype"/>
          <w:i/>
        </w:rPr>
        <w:t xml:space="preserve">. </w:t>
      </w:r>
      <w:r w:rsidRPr="00D06528">
        <w:rPr>
          <w:rFonts w:eastAsia="Palatino Linotype"/>
          <w:b/>
          <w:i/>
        </w:rPr>
        <w:t>Para el ejercicio del derecho de acceso a la información</w:t>
      </w:r>
      <w:r w:rsidRPr="00D06528">
        <w:rPr>
          <w:rFonts w:eastAsia="Palatino Linotype"/>
          <w:i/>
        </w:rPr>
        <w:t xml:space="preserve">, la Federación y </w:t>
      </w:r>
      <w:r w:rsidRPr="00D06528">
        <w:rPr>
          <w:rFonts w:eastAsia="Palatino Linotype"/>
          <w:b/>
          <w:i/>
        </w:rPr>
        <w:t>las entidades federativas, en el ámbito de sus respectivas competencias, se regirán por los siguientes principios y bases:</w:t>
      </w:r>
    </w:p>
    <w:p w14:paraId="596A956B" w14:textId="77777777" w:rsidR="00C049E2" w:rsidRPr="00D06528" w:rsidRDefault="00C049E2" w:rsidP="00D06528">
      <w:pPr>
        <w:spacing w:line="240" w:lineRule="auto"/>
        <w:ind w:left="567" w:right="539"/>
        <w:rPr>
          <w:rFonts w:eastAsia="Palatino Linotype"/>
          <w:i/>
        </w:rPr>
      </w:pPr>
      <w:r w:rsidRPr="00D06528">
        <w:rPr>
          <w:rFonts w:eastAsia="Palatino Linotype"/>
          <w:b/>
          <w:i/>
        </w:rPr>
        <w:t xml:space="preserve">I. </w:t>
      </w:r>
      <w:r w:rsidRPr="00D06528">
        <w:rPr>
          <w:rFonts w:eastAsia="Palatino Linotype"/>
          <w:b/>
          <w:i/>
        </w:rPr>
        <w:tab/>
        <w:t>Toda la información en posesión de cualquier</w:t>
      </w:r>
      <w:r w:rsidRPr="00D06528">
        <w:rPr>
          <w:rFonts w:eastAsia="Palatino Linotype"/>
          <w:i/>
        </w:rPr>
        <w:t xml:space="preserve"> </w:t>
      </w:r>
      <w:r w:rsidRPr="00D06528">
        <w:rPr>
          <w:rFonts w:eastAsia="Palatino Linotype"/>
          <w:b/>
          <w:i/>
        </w:rPr>
        <w:t>autoridad</w:t>
      </w:r>
      <w:r w:rsidRPr="00D06528">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D06528">
        <w:rPr>
          <w:rFonts w:eastAsia="Palatino Linotype"/>
          <w:b/>
          <w:i/>
        </w:rPr>
        <w:t>municipal</w:t>
      </w:r>
      <w:r w:rsidRPr="00D06528">
        <w:rPr>
          <w:rFonts w:eastAsia="Palatino Linotype"/>
          <w:i/>
        </w:rPr>
        <w:t xml:space="preserve">, </w:t>
      </w:r>
      <w:r w:rsidRPr="00D06528">
        <w:rPr>
          <w:rFonts w:eastAsia="Palatino Linotype"/>
          <w:b/>
          <w:i/>
        </w:rPr>
        <w:t>es pública</w:t>
      </w:r>
      <w:r w:rsidRPr="00D06528">
        <w:rPr>
          <w:rFonts w:eastAsia="Palatino Linotype"/>
          <w:i/>
        </w:rPr>
        <w:t xml:space="preserve"> y sólo podrá ser reservada temporalmente por razones de interés público y seguridad nacional, en los términos que fijen las leyes. </w:t>
      </w:r>
      <w:r w:rsidRPr="00D06528">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D06528">
        <w:rPr>
          <w:rFonts w:eastAsia="Palatino Linotype"/>
          <w:i/>
        </w:rPr>
        <w:t>, la ley determinará los supuestos específicos bajo los cuales procederá la declaración de inexistencia de la información.”</w:t>
      </w:r>
    </w:p>
    <w:p w14:paraId="68F313E4" w14:textId="77777777" w:rsidR="00C049E2" w:rsidRPr="00D06528" w:rsidRDefault="00C049E2" w:rsidP="00D06528">
      <w:pPr>
        <w:spacing w:line="240" w:lineRule="auto"/>
        <w:ind w:left="567" w:right="539"/>
        <w:rPr>
          <w:rFonts w:eastAsia="Palatino Linotype"/>
          <w:b/>
          <w:i/>
        </w:rPr>
      </w:pPr>
    </w:p>
    <w:p w14:paraId="504F12DB" w14:textId="77777777" w:rsidR="00C049E2" w:rsidRPr="00D06528" w:rsidRDefault="00C049E2" w:rsidP="00D06528">
      <w:pPr>
        <w:spacing w:line="240" w:lineRule="auto"/>
        <w:ind w:left="567" w:right="539"/>
        <w:rPr>
          <w:rFonts w:eastAsia="Palatino Linotype"/>
          <w:b/>
          <w:i/>
        </w:rPr>
      </w:pPr>
      <w:r w:rsidRPr="00D06528">
        <w:rPr>
          <w:rFonts w:eastAsia="Palatino Linotype"/>
          <w:b/>
          <w:i/>
        </w:rPr>
        <w:t>Constitución Política del Estado Libre y Soberano de México</w:t>
      </w:r>
    </w:p>
    <w:p w14:paraId="04932D29" w14:textId="77777777" w:rsidR="00C049E2" w:rsidRPr="00D06528" w:rsidRDefault="00C049E2" w:rsidP="00D06528">
      <w:pPr>
        <w:spacing w:line="240" w:lineRule="auto"/>
        <w:ind w:left="567" w:right="539"/>
        <w:rPr>
          <w:rFonts w:eastAsia="Palatino Linotype"/>
          <w:i/>
        </w:rPr>
      </w:pPr>
      <w:r w:rsidRPr="00D06528">
        <w:rPr>
          <w:rFonts w:eastAsia="Palatino Linotype"/>
          <w:b/>
          <w:i/>
        </w:rPr>
        <w:t>“Artículo 5</w:t>
      </w:r>
      <w:r w:rsidRPr="00D06528">
        <w:rPr>
          <w:rFonts w:eastAsia="Palatino Linotype"/>
          <w:i/>
        </w:rPr>
        <w:t xml:space="preserve">.- </w:t>
      </w:r>
    </w:p>
    <w:p w14:paraId="1D3829F4" w14:textId="77777777" w:rsidR="00C049E2" w:rsidRPr="00D06528" w:rsidRDefault="00C049E2" w:rsidP="00D06528">
      <w:pPr>
        <w:spacing w:line="240" w:lineRule="auto"/>
        <w:ind w:left="567" w:right="539"/>
        <w:rPr>
          <w:rFonts w:eastAsia="Palatino Linotype"/>
          <w:i/>
        </w:rPr>
      </w:pPr>
      <w:r w:rsidRPr="00D06528">
        <w:rPr>
          <w:rFonts w:eastAsia="Palatino Linotype"/>
          <w:i/>
        </w:rPr>
        <w:t>(…)</w:t>
      </w:r>
    </w:p>
    <w:p w14:paraId="0EAE47FD" w14:textId="77777777" w:rsidR="00C049E2" w:rsidRPr="00D06528" w:rsidRDefault="00C049E2" w:rsidP="00D06528">
      <w:pPr>
        <w:spacing w:line="240" w:lineRule="auto"/>
        <w:ind w:left="567" w:right="539"/>
        <w:rPr>
          <w:rFonts w:eastAsia="Palatino Linotype"/>
          <w:i/>
        </w:rPr>
      </w:pPr>
      <w:r w:rsidRPr="00D06528">
        <w:rPr>
          <w:rFonts w:eastAsia="Palatino Linotype"/>
          <w:b/>
          <w:i/>
        </w:rPr>
        <w:t>El derecho a la información será garantizado por el Estado. La ley establecerá las previsiones que permitan asegurar la protección, el respeto y la difusión de este derecho</w:t>
      </w:r>
      <w:r w:rsidRPr="00D06528">
        <w:rPr>
          <w:rFonts w:eastAsia="Palatino Linotype"/>
          <w:i/>
        </w:rPr>
        <w:t>.</w:t>
      </w:r>
    </w:p>
    <w:p w14:paraId="4F0C804A" w14:textId="77777777" w:rsidR="00C049E2" w:rsidRPr="00D06528" w:rsidRDefault="00C049E2" w:rsidP="00D06528">
      <w:pPr>
        <w:spacing w:line="240" w:lineRule="auto"/>
        <w:ind w:left="567" w:right="539"/>
        <w:rPr>
          <w:rFonts w:eastAsia="Palatino Linotype"/>
          <w:i/>
        </w:rPr>
      </w:pPr>
      <w:r w:rsidRPr="00D06528">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D06528" w:rsidRDefault="00C049E2" w:rsidP="00D06528">
      <w:pPr>
        <w:spacing w:line="240" w:lineRule="auto"/>
        <w:ind w:left="567" w:right="539"/>
        <w:rPr>
          <w:rFonts w:eastAsia="Palatino Linotype"/>
          <w:i/>
        </w:rPr>
      </w:pPr>
      <w:r w:rsidRPr="00D06528">
        <w:rPr>
          <w:rFonts w:eastAsia="Palatino Linotype"/>
          <w:b/>
          <w:i/>
        </w:rPr>
        <w:t>Este derecho se regirá por los principios y bases siguientes</w:t>
      </w:r>
      <w:r w:rsidRPr="00D06528">
        <w:rPr>
          <w:rFonts w:eastAsia="Palatino Linotype"/>
          <w:i/>
        </w:rPr>
        <w:t>:</w:t>
      </w:r>
    </w:p>
    <w:p w14:paraId="4A3E8CBA" w14:textId="77777777" w:rsidR="00C049E2" w:rsidRPr="00D06528" w:rsidRDefault="00C049E2" w:rsidP="00D06528">
      <w:pPr>
        <w:spacing w:line="240" w:lineRule="auto"/>
        <w:ind w:left="567" w:right="539"/>
        <w:rPr>
          <w:rFonts w:eastAsia="Palatino Linotype"/>
          <w:i/>
        </w:rPr>
      </w:pPr>
      <w:r w:rsidRPr="00D06528">
        <w:rPr>
          <w:rFonts w:eastAsia="Palatino Linotype"/>
          <w:b/>
          <w:i/>
        </w:rPr>
        <w:lastRenderedPageBreak/>
        <w:t>I. Toda la información en posesión de cualquier autoridad, entidad, órgano y organismos de los</w:t>
      </w:r>
      <w:r w:rsidRPr="00D06528">
        <w:rPr>
          <w:rFonts w:eastAsia="Palatino Linotype"/>
          <w:i/>
        </w:rPr>
        <w:t xml:space="preserve"> Poderes Ejecutivo, Legislativo y Judicial, órganos autónomos, partidos políticos, fideicomisos y fondos públicos estatales y </w:t>
      </w:r>
      <w:r w:rsidRPr="00D06528">
        <w:rPr>
          <w:rFonts w:eastAsia="Palatino Linotype"/>
          <w:b/>
          <w:i/>
        </w:rPr>
        <w:t>municipales</w:t>
      </w:r>
      <w:r w:rsidRPr="00D06528">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D06528">
        <w:rPr>
          <w:rFonts w:eastAsia="Palatino Linotype"/>
          <w:b/>
          <w:i/>
        </w:rPr>
        <w:t>es pública</w:t>
      </w:r>
      <w:r w:rsidRPr="00D06528">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D06528">
        <w:rPr>
          <w:rFonts w:eastAsia="Palatino Linotype"/>
          <w:b/>
          <w:i/>
        </w:rPr>
        <w:t>En la interpretación de este derecho deberá prevalecer el principio de máxima publicidad</w:t>
      </w:r>
      <w:r w:rsidRPr="00D06528">
        <w:rPr>
          <w:rFonts w:eastAsia="Palatino Linotype"/>
          <w:i/>
        </w:rPr>
        <w:t xml:space="preserve">. </w:t>
      </w:r>
      <w:r w:rsidRPr="00D06528">
        <w:rPr>
          <w:rFonts w:eastAsia="Palatino Linotype"/>
          <w:b/>
          <w:i/>
        </w:rPr>
        <w:t>Los sujetos obligados deberán documentar todo acto que derive del ejercicio de sus facultades, competencias o funciones</w:t>
      </w:r>
      <w:r w:rsidRPr="00D06528">
        <w:rPr>
          <w:rFonts w:eastAsia="Palatino Linotype"/>
          <w:i/>
        </w:rPr>
        <w:t>, la ley determinará los supuestos específicos bajo los cuales procederá la declaración de inexistencia de la información.”</w:t>
      </w:r>
    </w:p>
    <w:p w14:paraId="5CA98E37" w14:textId="77777777" w:rsidR="00C049E2" w:rsidRPr="00D06528" w:rsidRDefault="00C049E2" w:rsidP="00D06528">
      <w:pPr>
        <w:rPr>
          <w:rFonts w:eastAsia="Palatino Linotype"/>
          <w:b/>
          <w:i/>
        </w:rPr>
      </w:pPr>
    </w:p>
    <w:p w14:paraId="6FC1BB3B" w14:textId="3BF4A33D" w:rsidR="00C049E2" w:rsidRPr="00D06528" w:rsidRDefault="00717E59" w:rsidP="00D06528">
      <w:pPr>
        <w:rPr>
          <w:rFonts w:eastAsia="Palatino Linotype"/>
          <w:i/>
        </w:rPr>
      </w:pPr>
      <w:r w:rsidRPr="00D06528">
        <w:rPr>
          <w:rFonts w:eastAsia="Palatino Linotype"/>
        </w:rPr>
        <w:t xml:space="preserve">Asimismo, </w:t>
      </w:r>
      <w:r w:rsidR="00C049E2" w:rsidRPr="00D06528">
        <w:rPr>
          <w:rFonts w:eastAsia="Palatino Linotype"/>
        </w:rPr>
        <w:t>el artículo 150 de la Ley de Transparencia y Acceso a la Información Pública del Estado de México y Municipios</w:t>
      </w:r>
      <w:r w:rsidR="00057B2D" w:rsidRPr="00D06528">
        <w:rPr>
          <w:rFonts w:eastAsia="Palatino Linotype"/>
        </w:rPr>
        <w:t xml:space="preserve"> </w:t>
      </w:r>
      <w:r w:rsidR="00E9335C" w:rsidRPr="00D06528">
        <w:rPr>
          <w:rFonts w:eastAsia="Palatino Linotype"/>
        </w:rPr>
        <w:t xml:space="preserve">indica </w:t>
      </w:r>
      <w:r w:rsidR="00057B2D" w:rsidRPr="00D06528">
        <w:rPr>
          <w:rFonts w:eastAsia="Palatino Linotype"/>
        </w:rPr>
        <w:t>que</w:t>
      </w:r>
      <w:r w:rsidR="00C049E2" w:rsidRPr="00D06528">
        <w:rPr>
          <w:rFonts w:eastAsia="Palatino Linotype"/>
        </w:rPr>
        <w:t xml:space="preserve"> la solicitud es la garantía primaria del Derecho de Acceso a la Información, además, establece que se regirá </w:t>
      </w:r>
      <w:r w:rsidR="00C049E2" w:rsidRPr="00D06528">
        <w:rPr>
          <w:rFonts w:eastAsia="Palatino Linotype"/>
          <w:i/>
        </w:rPr>
        <w:t>por los principios de simplicidad, rapidez</w:t>
      </w:r>
      <w:r w:rsidR="005F65B7" w:rsidRPr="00D06528">
        <w:rPr>
          <w:rFonts w:eastAsia="Palatino Linotype"/>
          <w:i/>
        </w:rPr>
        <w:t>,</w:t>
      </w:r>
      <w:r w:rsidR="00C049E2" w:rsidRPr="00D06528">
        <w:rPr>
          <w:rFonts w:eastAsia="Palatino Linotype"/>
          <w:i/>
        </w:rPr>
        <w:t xml:space="preserve"> gratuidad del procedimiento, auxilio y orientación a los particulare</w:t>
      </w:r>
      <w:r w:rsidR="001A58B3" w:rsidRPr="00D06528">
        <w:rPr>
          <w:rFonts w:eastAsia="Palatino Linotype"/>
          <w:i/>
        </w:rPr>
        <w:t>s.</w:t>
      </w:r>
    </w:p>
    <w:p w14:paraId="033466A6" w14:textId="77777777" w:rsidR="001A58B3" w:rsidRPr="00D06528" w:rsidRDefault="001A58B3" w:rsidP="00D06528">
      <w:pPr>
        <w:rPr>
          <w:rFonts w:eastAsia="Palatino Linotype"/>
          <w:i/>
        </w:rPr>
      </w:pPr>
    </w:p>
    <w:p w14:paraId="04ADA10B" w14:textId="574A944A" w:rsidR="001A58B3" w:rsidRPr="00D06528" w:rsidRDefault="00233F17" w:rsidP="00D06528">
      <w:pPr>
        <w:rPr>
          <w:rFonts w:eastAsia="Palatino Linotype" w:cs="Palatino Linotype"/>
          <w:i/>
          <w:szCs w:val="22"/>
        </w:rPr>
      </w:pPr>
      <w:r w:rsidRPr="00D06528">
        <w:rPr>
          <w:rFonts w:eastAsia="Palatino Linotype" w:cs="Palatino Linotype"/>
        </w:rPr>
        <w:t xml:space="preserve">Por su parte, el artículo 4 de </w:t>
      </w:r>
      <w:r w:rsidR="001A58B3" w:rsidRPr="00D06528">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D06528">
        <w:rPr>
          <w:rFonts w:eastAsia="Palatino Linotype" w:cs="Palatino Linotype"/>
        </w:rPr>
        <w:t>.</w:t>
      </w:r>
    </w:p>
    <w:p w14:paraId="1407DBB8" w14:textId="77777777" w:rsidR="001A58B3" w:rsidRPr="00D06528" w:rsidRDefault="001A58B3" w:rsidP="00D06528">
      <w:pPr>
        <w:rPr>
          <w:rFonts w:eastAsia="Palatino Linotype" w:cs="Palatino Linotype"/>
        </w:rPr>
      </w:pPr>
    </w:p>
    <w:p w14:paraId="7552AA79" w14:textId="5C52E4A4" w:rsidR="001A58B3" w:rsidRPr="00D06528" w:rsidRDefault="001A58B3" w:rsidP="00D06528">
      <w:pPr>
        <w:rPr>
          <w:rFonts w:eastAsia="Palatino Linotype" w:cs="Palatino Linotype"/>
        </w:rPr>
      </w:pPr>
      <w:r w:rsidRPr="00D06528">
        <w:rPr>
          <w:rFonts w:eastAsia="Palatino Linotype" w:cs="Palatino Linotype"/>
        </w:rPr>
        <w:t xml:space="preserve">Esto es, que los Sujetos Obligados </w:t>
      </w:r>
      <w:r w:rsidR="00FA5957" w:rsidRPr="00D06528">
        <w:rPr>
          <w:rFonts w:eastAsia="Palatino Linotype" w:cs="Palatino Linotype"/>
        </w:rPr>
        <w:t>deben</w:t>
      </w:r>
      <w:r w:rsidRPr="00D06528">
        <w:rPr>
          <w:rFonts w:eastAsia="Palatino Linotype" w:cs="Palatino Linotype"/>
        </w:rPr>
        <w:t xml:space="preserve"> atender las solicitudes de acceso a la información pública que se les </w:t>
      </w:r>
      <w:r w:rsidR="00FA5957" w:rsidRPr="00D06528">
        <w:rPr>
          <w:rFonts w:eastAsia="Palatino Linotype" w:cs="Palatino Linotype"/>
        </w:rPr>
        <w:t>sean realizadas,</w:t>
      </w:r>
      <w:r w:rsidRPr="00D06528">
        <w:rPr>
          <w:rFonts w:eastAsia="Palatino Linotype" w:cs="Palatino Linotype"/>
        </w:rPr>
        <w:t xml:space="preserve"> y proporcionar la información pública que obre en su poder</w:t>
      </w:r>
      <w:r w:rsidR="00FA5957" w:rsidRPr="00D06528">
        <w:rPr>
          <w:rFonts w:eastAsia="Palatino Linotype" w:cs="Palatino Linotype"/>
        </w:rPr>
        <w:t>,</w:t>
      </w:r>
      <w:r w:rsidRPr="00D06528">
        <w:rPr>
          <w:rFonts w:eastAsia="Palatino Linotype" w:cs="Palatino Linotype"/>
        </w:rPr>
        <w:t xml:space="preserve"> conforme </w:t>
      </w:r>
      <w:r w:rsidR="00FA5957" w:rsidRPr="00D06528">
        <w:rPr>
          <w:rFonts w:eastAsia="Palatino Linotype" w:cs="Palatino Linotype"/>
        </w:rPr>
        <w:t>a</w:t>
      </w:r>
      <w:r w:rsidRPr="00D06528">
        <w:rPr>
          <w:rFonts w:eastAsia="Palatino Linotype" w:cs="Palatino Linotype"/>
        </w:rPr>
        <w:t xml:space="preserve">l estado </w:t>
      </w:r>
      <w:r w:rsidR="00FA5957" w:rsidRPr="00D06528">
        <w:rPr>
          <w:rFonts w:eastAsia="Palatino Linotype" w:cs="Palatino Linotype"/>
        </w:rPr>
        <w:t xml:space="preserve">en </w:t>
      </w:r>
      <w:r w:rsidRPr="00D06528">
        <w:rPr>
          <w:rFonts w:eastAsia="Palatino Linotype" w:cs="Palatino Linotype"/>
        </w:rPr>
        <w:t>que se encuentr</w:t>
      </w:r>
      <w:r w:rsidR="00FA5957" w:rsidRPr="00D06528">
        <w:rPr>
          <w:rFonts w:eastAsia="Palatino Linotype" w:cs="Palatino Linotype"/>
        </w:rPr>
        <w:t>e, sin que sea necesario</w:t>
      </w:r>
      <w:r w:rsidRPr="00D06528">
        <w:rPr>
          <w:rFonts w:eastAsia="Palatino Linotype" w:cs="Palatino Linotype"/>
        </w:rPr>
        <w:t xml:space="preserve"> </w:t>
      </w:r>
      <w:r w:rsidR="00FA5957" w:rsidRPr="00D06528">
        <w:rPr>
          <w:rFonts w:eastAsia="Palatino Linotype" w:cs="Palatino Linotype"/>
        </w:rPr>
        <w:t>procesar</w:t>
      </w:r>
      <w:r w:rsidRPr="00D06528">
        <w:rPr>
          <w:rFonts w:eastAsia="Palatino Linotype" w:cs="Palatino Linotype"/>
        </w:rPr>
        <w:t xml:space="preserve"> la misma, ni presentarla conforme al interés del solicitante; </w:t>
      </w:r>
      <w:r w:rsidR="00FA5957" w:rsidRPr="00D06528">
        <w:rPr>
          <w:rFonts w:eastAsia="Palatino Linotype" w:cs="Palatino Linotype"/>
        </w:rPr>
        <w:t>tal y como</w:t>
      </w:r>
      <w:r w:rsidRPr="00D06528">
        <w:rPr>
          <w:rFonts w:eastAsia="Palatino Linotype" w:cs="Palatino Linotype"/>
        </w:rPr>
        <w:t xml:space="preserve"> lo establece el artículo 12 de la Ley de Transparencia y Acceso a la Información Pública del Estado de México y Municipios</w:t>
      </w:r>
      <w:r w:rsidR="00970EB3" w:rsidRPr="00D06528">
        <w:rPr>
          <w:rFonts w:eastAsia="Palatino Linotype" w:cs="Palatino Linotype"/>
        </w:rPr>
        <w:t>.</w:t>
      </w:r>
    </w:p>
    <w:p w14:paraId="73245195" w14:textId="77777777" w:rsidR="00970EB3" w:rsidRPr="00D06528" w:rsidRDefault="00970EB3" w:rsidP="00D06528">
      <w:pPr>
        <w:rPr>
          <w:rFonts w:eastAsia="Palatino Linotype" w:cs="Palatino Linotype"/>
        </w:rPr>
      </w:pPr>
    </w:p>
    <w:p w14:paraId="7F62D4DF" w14:textId="775730E1" w:rsidR="001A58B3" w:rsidRPr="00D06528" w:rsidRDefault="001A58B3" w:rsidP="00D06528">
      <w:pPr>
        <w:rPr>
          <w:rFonts w:eastAsia="Palatino Linotype" w:cs="Palatino Linotype"/>
        </w:rPr>
      </w:pPr>
      <w:r w:rsidRPr="00D06528">
        <w:rPr>
          <w:rFonts w:eastAsia="Palatino Linotype" w:cs="Palatino Linotype"/>
        </w:rPr>
        <w:lastRenderedPageBreak/>
        <w:t>Es decir, que todo sujeto obligado que genere, recopile, administre, procese, archive, posea o conserven, son responsables de la misma</w:t>
      </w:r>
      <w:r w:rsidR="00970EB3" w:rsidRPr="00D06528">
        <w:rPr>
          <w:rFonts w:eastAsia="Palatino Linotype" w:cs="Palatino Linotype"/>
        </w:rPr>
        <w:t>,</w:t>
      </w:r>
      <w:r w:rsidRPr="00D06528">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D06528">
        <w:rPr>
          <w:rFonts w:eastAsia="Palatino Linotype" w:cs="Palatino Linotype"/>
        </w:rPr>
        <w:t>o</w:t>
      </w:r>
      <w:r w:rsidRPr="00D06528">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D06528" w:rsidRDefault="001A58B3" w:rsidP="00D06528">
      <w:pPr>
        <w:rPr>
          <w:rFonts w:eastAsia="Palatino Linotype" w:cs="Palatino Linotype"/>
        </w:rPr>
      </w:pPr>
    </w:p>
    <w:p w14:paraId="04E42DFE" w14:textId="573F1198" w:rsidR="001A58B3" w:rsidRPr="00D06528" w:rsidRDefault="001A58B3" w:rsidP="00D06528">
      <w:pPr>
        <w:rPr>
          <w:rFonts w:eastAsia="Palatino Linotype" w:cs="Palatino Linotype"/>
        </w:rPr>
      </w:pPr>
      <w:r w:rsidRPr="00D06528">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D06528">
        <w:rPr>
          <w:rFonts w:eastAsia="Palatino Linotype" w:cs="Palatino Linotype"/>
        </w:rPr>
        <w:t>, s</w:t>
      </w:r>
      <w:r w:rsidRPr="00D06528">
        <w:rPr>
          <w:rFonts w:eastAsia="Palatino Linotype" w:cs="Palatino Linotype"/>
        </w:rPr>
        <w:t xml:space="preserve">iempre y cuando no se trate de información reservada o </w:t>
      </w:r>
      <w:r w:rsidR="00331F35" w:rsidRPr="00D06528">
        <w:rPr>
          <w:rFonts w:eastAsia="Palatino Linotype" w:cs="Palatino Linotype"/>
        </w:rPr>
        <w:t>confidencial.</w:t>
      </w:r>
    </w:p>
    <w:p w14:paraId="40C5219F" w14:textId="77777777" w:rsidR="001A58B3" w:rsidRPr="00D06528" w:rsidRDefault="001A58B3" w:rsidP="00D06528">
      <w:pPr>
        <w:rPr>
          <w:rFonts w:eastAsia="Palatino Linotype" w:cs="Palatino Linotype"/>
        </w:rPr>
      </w:pPr>
    </w:p>
    <w:p w14:paraId="2E629608" w14:textId="01727E15" w:rsidR="00C049E2" w:rsidRPr="00D06528" w:rsidRDefault="006067C7" w:rsidP="00D06528">
      <w:pPr>
        <w:rPr>
          <w:rFonts w:eastAsia="Palatino Linotype"/>
        </w:rPr>
      </w:pPr>
      <w:bookmarkStart w:id="26" w:name="_heading=h.2s8eyo1" w:colFirst="0" w:colLast="0"/>
      <w:bookmarkEnd w:id="26"/>
      <w:r w:rsidRPr="00D06528">
        <w:rPr>
          <w:rFonts w:eastAsia="Palatino Linotype"/>
        </w:rPr>
        <w:t>Con base en lo anterior</w:t>
      </w:r>
      <w:r w:rsidR="00B22A80" w:rsidRPr="00D06528">
        <w:rPr>
          <w:rFonts w:eastAsia="Palatino Linotype"/>
        </w:rPr>
        <w:t>, se considera que</w:t>
      </w:r>
      <w:r w:rsidR="00C049E2" w:rsidRPr="00D06528">
        <w:rPr>
          <w:rFonts w:eastAsia="Palatino Linotype"/>
        </w:rPr>
        <w:t xml:space="preserve"> </w:t>
      </w:r>
      <w:r w:rsidR="00B22A80" w:rsidRPr="00D06528">
        <w:rPr>
          <w:rFonts w:eastAsia="Palatino Linotype"/>
          <w:b/>
          <w:bCs/>
        </w:rPr>
        <w:t>EL</w:t>
      </w:r>
      <w:r w:rsidR="00C049E2" w:rsidRPr="00D06528">
        <w:rPr>
          <w:rFonts w:eastAsia="Palatino Linotype"/>
        </w:rPr>
        <w:t xml:space="preserve"> </w:t>
      </w:r>
      <w:r w:rsidR="00C049E2" w:rsidRPr="00D06528">
        <w:rPr>
          <w:rFonts w:eastAsia="Palatino Linotype"/>
          <w:b/>
        </w:rPr>
        <w:t>SUJETO OBLIGADO</w:t>
      </w:r>
      <w:r w:rsidR="00C049E2" w:rsidRPr="00D06528">
        <w:rPr>
          <w:rFonts w:eastAsia="Palatino Linotype"/>
        </w:rPr>
        <w:t xml:space="preserve"> </w:t>
      </w:r>
      <w:r w:rsidR="00B22A80" w:rsidRPr="00D06528">
        <w:rPr>
          <w:rFonts w:eastAsia="Palatino Linotype"/>
        </w:rPr>
        <w:t xml:space="preserve">se </w:t>
      </w:r>
      <w:r w:rsidR="00717E59" w:rsidRPr="00D06528">
        <w:rPr>
          <w:rFonts w:eastAsia="Palatino Linotype"/>
        </w:rPr>
        <w:t>encontraba</w:t>
      </w:r>
      <w:r w:rsidR="00B22A80" w:rsidRPr="00D06528">
        <w:rPr>
          <w:rFonts w:eastAsia="Palatino Linotype"/>
        </w:rPr>
        <w:t xml:space="preserve"> compelido a</w:t>
      </w:r>
      <w:r w:rsidR="00C049E2" w:rsidRPr="00D06528">
        <w:rPr>
          <w:rFonts w:eastAsia="Palatino Linotype"/>
        </w:rPr>
        <w:t xml:space="preserve"> atender la solicitud de acceso a la información </w:t>
      </w:r>
      <w:r w:rsidR="00B22A80" w:rsidRPr="00D06528">
        <w:rPr>
          <w:rFonts w:eastAsia="Palatino Linotype"/>
        </w:rPr>
        <w:t xml:space="preserve">realizada por </w:t>
      </w:r>
      <w:r w:rsidR="00B22A80" w:rsidRPr="00D06528">
        <w:rPr>
          <w:rFonts w:eastAsia="Palatino Linotype"/>
          <w:b/>
          <w:bCs/>
        </w:rPr>
        <w:t>LA PARTE RECURRENTE</w:t>
      </w:r>
      <w:r w:rsidR="00331F35" w:rsidRPr="00D06528">
        <w:rPr>
          <w:rFonts w:eastAsia="Palatino Linotype"/>
        </w:rPr>
        <w:t>.</w:t>
      </w:r>
    </w:p>
    <w:p w14:paraId="1611F147" w14:textId="77777777" w:rsidR="00BD5A7C" w:rsidRPr="00D06528" w:rsidRDefault="00BD5A7C" w:rsidP="00D06528">
      <w:pPr>
        <w:rPr>
          <w:rFonts w:eastAsia="Palatino Linotype"/>
        </w:rPr>
      </w:pPr>
    </w:p>
    <w:p w14:paraId="51A0E8B4" w14:textId="676DCA47" w:rsidR="00664420" w:rsidRPr="00D06528" w:rsidRDefault="00C71CEF" w:rsidP="00D06528">
      <w:pPr>
        <w:pStyle w:val="Ttulo3"/>
        <w:rPr>
          <w:rFonts w:eastAsia="Calibri"/>
          <w:lang w:eastAsia="es-ES_tradnl"/>
        </w:rPr>
      </w:pPr>
      <w:bookmarkStart w:id="27" w:name="_Toc199973359"/>
      <w:r w:rsidRPr="00D06528">
        <w:rPr>
          <w:rFonts w:eastAsia="Calibri"/>
          <w:lang w:eastAsia="es-ES_tradnl"/>
        </w:rPr>
        <w:t>b)</w:t>
      </w:r>
      <w:r w:rsidR="00A53315" w:rsidRPr="00D06528">
        <w:rPr>
          <w:rFonts w:eastAsia="Calibri"/>
          <w:lang w:eastAsia="es-ES_tradnl"/>
        </w:rPr>
        <w:t xml:space="preserve"> </w:t>
      </w:r>
      <w:r w:rsidR="00A21A20" w:rsidRPr="00D06528">
        <w:rPr>
          <w:rFonts w:eastAsia="Calibri"/>
          <w:lang w:eastAsia="es-ES_tradnl"/>
        </w:rPr>
        <w:t>Controversia a resolver</w:t>
      </w:r>
      <w:bookmarkEnd w:id="27"/>
    </w:p>
    <w:p w14:paraId="5DAE2A65" w14:textId="559A996F" w:rsidR="00664420" w:rsidRPr="00D06528" w:rsidRDefault="00664420" w:rsidP="00D06528">
      <w:pPr>
        <w:rPr>
          <w:rFonts w:eastAsia="Calibri"/>
          <w:lang w:eastAsia="es-ES_tradnl"/>
        </w:rPr>
      </w:pPr>
      <w:r w:rsidRPr="00D06528">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D06528">
        <w:rPr>
          <w:rFonts w:eastAsia="Calibri"/>
          <w:b/>
          <w:bCs/>
          <w:lang w:eastAsia="es-ES_tradnl"/>
        </w:rPr>
        <w:t>LA PARTE RECURRENTE</w:t>
      </w:r>
      <w:r w:rsidRPr="00D06528">
        <w:rPr>
          <w:rFonts w:eastAsia="Calibri"/>
          <w:lang w:eastAsia="es-ES_tradnl"/>
        </w:rPr>
        <w:t xml:space="preserve"> </w:t>
      </w:r>
      <w:r w:rsidR="008F42C0" w:rsidRPr="00D06528">
        <w:rPr>
          <w:rFonts w:eastAsia="Calibri"/>
          <w:lang w:eastAsia="es-ES_tradnl"/>
        </w:rPr>
        <w:t>a través de la solicitud de información, presentó los siguientes cuestionamientos</w:t>
      </w:r>
      <w:r w:rsidRPr="00D06528">
        <w:rPr>
          <w:rFonts w:eastAsia="Calibri"/>
          <w:lang w:eastAsia="es-ES_tradnl"/>
        </w:rPr>
        <w:t>:</w:t>
      </w:r>
    </w:p>
    <w:p w14:paraId="10D9D722" w14:textId="77777777" w:rsidR="000448F1" w:rsidRPr="00D06528" w:rsidRDefault="000448F1" w:rsidP="00D06528">
      <w:pPr>
        <w:rPr>
          <w:rFonts w:eastAsia="Calibri"/>
          <w:lang w:eastAsia="es-ES_tradnl"/>
        </w:rPr>
      </w:pPr>
    </w:p>
    <w:p w14:paraId="1642B4B2" w14:textId="0DE23244" w:rsidR="008F42C0" w:rsidRPr="00D06528" w:rsidRDefault="00BE38DB" w:rsidP="00D06528">
      <w:pPr>
        <w:pStyle w:val="Prrafodelista"/>
        <w:numPr>
          <w:ilvl w:val="0"/>
          <w:numId w:val="24"/>
        </w:numPr>
        <w:rPr>
          <w:rFonts w:eastAsia="Calibri"/>
          <w:lang w:eastAsia="es-ES_tradnl"/>
        </w:rPr>
      </w:pPr>
      <w:r w:rsidRPr="00D06528">
        <w:rPr>
          <w:rFonts w:eastAsia="Calibri"/>
          <w:lang w:eastAsia="es-ES_tradnl"/>
        </w:rPr>
        <w:lastRenderedPageBreak/>
        <w:t xml:space="preserve">Fundamento y justificación por el cual se está cometiendo nepotismo al tener a determinada Regidora y su </w:t>
      </w:r>
      <w:r w:rsidR="004210F8">
        <w:rPr>
          <w:rFonts w:eastAsia="Calibri"/>
          <w:lang w:eastAsia="es-ES_tradnl"/>
        </w:rPr>
        <w:t>XXXX</w:t>
      </w:r>
      <w:r w:rsidRPr="00D06528">
        <w:rPr>
          <w:rFonts w:eastAsia="Calibri"/>
          <w:lang w:eastAsia="es-ES_tradnl"/>
        </w:rPr>
        <w:t xml:space="preserve"> como Director de Ecología trabajando en la administración pública municipal.</w:t>
      </w:r>
    </w:p>
    <w:p w14:paraId="7D9D559B" w14:textId="77777777" w:rsidR="00664420" w:rsidRPr="00D06528" w:rsidRDefault="00664420" w:rsidP="00D06528">
      <w:pPr>
        <w:tabs>
          <w:tab w:val="left" w:pos="4962"/>
        </w:tabs>
        <w:contextualSpacing/>
        <w:rPr>
          <w:rFonts w:eastAsia="Calibri" w:cs="Tahoma"/>
          <w:iCs/>
          <w:szCs w:val="22"/>
          <w:lang w:eastAsia="es-ES_tradnl"/>
        </w:rPr>
      </w:pPr>
    </w:p>
    <w:p w14:paraId="5504AF2F" w14:textId="5A075CFA" w:rsidR="00BD6882" w:rsidRPr="00D06528" w:rsidRDefault="00664420" w:rsidP="00D06528">
      <w:pPr>
        <w:tabs>
          <w:tab w:val="left" w:pos="4962"/>
        </w:tabs>
        <w:contextualSpacing/>
        <w:rPr>
          <w:rFonts w:eastAsiaTheme="minorHAnsi" w:cs="Tahoma"/>
          <w:bCs/>
          <w:iCs/>
          <w:szCs w:val="22"/>
          <w:lang w:eastAsia="en-US"/>
        </w:rPr>
      </w:pPr>
      <w:r w:rsidRPr="00D06528">
        <w:rPr>
          <w:rFonts w:eastAsiaTheme="minorHAnsi" w:cs="Tahoma"/>
          <w:bCs/>
          <w:iCs/>
          <w:szCs w:val="22"/>
          <w:lang w:eastAsia="en-US"/>
        </w:rPr>
        <w:t xml:space="preserve">En respuesta, </w:t>
      </w:r>
      <w:r w:rsidR="005D5A50" w:rsidRPr="00D06528">
        <w:rPr>
          <w:rFonts w:eastAsiaTheme="minorHAnsi" w:cs="Tahoma"/>
          <w:b/>
          <w:iCs/>
          <w:szCs w:val="22"/>
          <w:lang w:eastAsia="en-US"/>
        </w:rPr>
        <w:t>EL SUJETO OBLIGADO</w:t>
      </w:r>
      <w:r w:rsidRPr="00D06528">
        <w:rPr>
          <w:rFonts w:eastAsiaTheme="minorHAnsi" w:cs="Tahoma"/>
          <w:bCs/>
          <w:iCs/>
          <w:szCs w:val="22"/>
          <w:lang w:eastAsia="en-US"/>
        </w:rPr>
        <w:t xml:space="preserve"> </w:t>
      </w:r>
      <w:r w:rsidR="008F42C0" w:rsidRPr="00D06528">
        <w:rPr>
          <w:rFonts w:eastAsiaTheme="minorHAnsi" w:cs="Tahoma"/>
          <w:bCs/>
          <w:iCs/>
          <w:szCs w:val="22"/>
          <w:lang w:eastAsia="en-US"/>
        </w:rPr>
        <w:t>a</w:t>
      </w:r>
      <w:r w:rsidR="00BE38DB" w:rsidRPr="00D06528">
        <w:rPr>
          <w:rFonts w:eastAsiaTheme="minorHAnsi" w:cs="Tahoma"/>
          <w:bCs/>
          <w:iCs/>
          <w:szCs w:val="22"/>
          <w:lang w:eastAsia="en-US"/>
        </w:rPr>
        <w:t>djuntó la respuesta emitida por</w:t>
      </w:r>
      <w:r w:rsidR="00BE38DB" w:rsidRPr="00D06528">
        <w:rPr>
          <w:rFonts w:cs="Tahoma"/>
          <w:bCs/>
          <w:szCs w:val="22"/>
          <w:lang w:val="es-ES"/>
        </w:rPr>
        <w:t xml:space="preserve"> el Coordinador de Movilidad en donde medularmente menciona que, dicha Coordinación no se cuenta con servidores públicos líderes de ningún transporte o sindicato, por lo que no se han realizado las labores correspondientes al área, motivo por el cual no existe un conflicto de intereses</w:t>
      </w:r>
    </w:p>
    <w:p w14:paraId="303D6F27" w14:textId="2FC186FA" w:rsidR="00595228" w:rsidRPr="00D06528" w:rsidRDefault="00BD6882" w:rsidP="00D06528">
      <w:pPr>
        <w:tabs>
          <w:tab w:val="left" w:pos="4962"/>
        </w:tabs>
        <w:contextualSpacing/>
        <w:rPr>
          <w:rFonts w:eastAsiaTheme="minorHAnsi" w:cs="Tahoma"/>
          <w:bCs/>
          <w:iCs/>
          <w:szCs w:val="22"/>
          <w:lang w:eastAsia="en-US"/>
        </w:rPr>
      </w:pPr>
      <w:r w:rsidRPr="00D06528">
        <w:rPr>
          <w:rFonts w:eastAsiaTheme="minorHAnsi" w:cs="Tahoma"/>
          <w:bCs/>
          <w:iCs/>
          <w:szCs w:val="22"/>
          <w:lang w:eastAsia="en-US"/>
        </w:rPr>
        <w:t xml:space="preserve"> </w:t>
      </w:r>
    </w:p>
    <w:p w14:paraId="31DD81D7" w14:textId="2BF1C2CD" w:rsidR="00664420" w:rsidRPr="00D06528" w:rsidRDefault="00CF7586" w:rsidP="00D06528">
      <w:pPr>
        <w:tabs>
          <w:tab w:val="left" w:pos="4962"/>
        </w:tabs>
        <w:contextualSpacing/>
        <w:rPr>
          <w:rFonts w:eastAsiaTheme="minorHAnsi" w:cs="Tahoma"/>
          <w:bCs/>
          <w:iCs/>
          <w:szCs w:val="22"/>
          <w:lang w:eastAsia="en-US"/>
        </w:rPr>
      </w:pPr>
      <w:r w:rsidRPr="00D06528">
        <w:rPr>
          <w:rFonts w:eastAsiaTheme="minorHAnsi" w:cs="Tahoma"/>
          <w:bCs/>
          <w:iCs/>
          <w:szCs w:val="22"/>
          <w:lang w:eastAsia="en-US"/>
        </w:rPr>
        <w:t xml:space="preserve">Ahora bien, en la interposición del presente recurso </w:t>
      </w:r>
      <w:r w:rsidRPr="00D06528">
        <w:rPr>
          <w:rFonts w:eastAsiaTheme="minorHAnsi" w:cs="Tahoma"/>
          <w:b/>
          <w:iCs/>
          <w:szCs w:val="22"/>
          <w:lang w:eastAsia="en-US"/>
        </w:rPr>
        <w:t>LA PARTE RECURRENTE</w:t>
      </w:r>
      <w:r w:rsidR="00081B94" w:rsidRPr="00D06528">
        <w:rPr>
          <w:rFonts w:eastAsiaTheme="minorHAnsi" w:cs="Tahoma"/>
          <w:bCs/>
          <w:iCs/>
          <w:szCs w:val="22"/>
          <w:lang w:eastAsia="en-US"/>
        </w:rPr>
        <w:t xml:space="preserve"> se inconformó </w:t>
      </w:r>
      <w:r w:rsidR="000448F1" w:rsidRPr="00D06528">
        <w:rPr>
          <w:rFonts w:eastAsiaTheme="minorHAnsi" w:cs="Tahoma"/>
          <w:bCs/>
          <w:iCs/>
          <w:szCs w:val="22"/>
          <w:lang w:eastAsia="en-US"/>
        </w:rPr>
        <w:t xml:space="preserve">sobre la respuesta proporcionada haciendo mención que lo entregado no corresponde a lo solicitado, por ende el estudio del presente fallo versara en el sentido de dilucidar si la información remitida colma con las pretensiones de </w:t>
      </w:r>
      <w:r w:rsidR="000448F1" w:rsidRPr="00D06528">
        <w:rPr>
          <w:rFonts w:eastAsiaTheme="minorHAnsi" w:cs="Tahoma"/>
          <w:b/>
          <w:bCs/>
          <w:iCs/>
          <w:szCs w:val="22"/>
          <w:lang w:eastAsia="en-US"/>
        </w:rPr>
        <w:t>LA PARTE RECURRENTE</w:t>
      </w:r>
      <w:r w:rsidR="004E1875" w:rsidRPr="00D06528">
        <w:rPr>
          <w:rFonts w:eastAsiaTheme="minorHAnsi" w:cs="Tahoma"/>
          <w:bCs/>
          <w:iCs/>
          <w:szCs w:val="22"/>
          <w:lang w:eastAsia="en-US"/>
        </w:rPr>
        <w:t>.</w:t>
      </w:r>
    </w:p>
    <w:p w14:paraId="69916E4B" w14:textId="77777777" w:rsidR="004E1875" w:rsidRPr="00D06528" w:rsidRDefault="004E1875" w:rsidP="00D06528">
      <w:pPr>
        <w:tabs>
          <w:tab w:val="left" w:pos="4962"/>
        </w:tabs>
        <w:contextualSpacing/>
        <w:rPr>
          <w:rFonts w:eastAsiaTheme="minorHAnsi" w:cs="Tahoma"/>
          <w:bCs/>
          <w:iCs/>
          <w:szCs w:val="22"/>
          <w:lang w:eastAsia="en-US"/>
        </w:rPr>
      </w:pPr>
    </w:p>
    <w:p w14:paraId="0B412391" w14:textId="340F013E" w:rsidR="004E1875" w:rsidRPr="00D06528" w:rsidRDefault="00A21A20" w:rsidP="00D06528">
      <w:pPr>
        <w:pStyle w:val="Ttulo3"/>
      </w:pPr>
      <w:bookmarkStart w:id="28" w:name="_Toc199973360"/>
      <w:r w:rsidRPr="00D06528">
        <w:t>c)</w:t>
      </w:r>
      <w:r w:rsidR="00664420" w:rsidRPr="00D06528">
        <w:t xml:space="preserve"> </w:t>
      </w:r>
      <w:r w:rsidRPr="00D06528">
        <w:t>Estudio de la controversia</w:t>
      </w:r>
      <w:bookmarkEnd w:id="28"/>
    </w:p>
    <w:p w14:paraId="3F8320E2" w14:textId="7D99DBE6" w:rsidR="00197DFC" w:rsidRPr="00D06528" w:rsidRDefault="00704239" w:rsidP="00D06528">
      <w:pPr>
        <w:pStyle w:val="Prrafodelista"/>
        <w:widowControl w:val="0"/>
        <w:autoSpaceDE w:val="0"/>
        <w:autoSpaceDN w:val="0"/>
        <w:adjustRightInd w:val="0"/>
        <w:ind w:left="0"/>
      </w:pPr>
      <w:r w:rsidRPr="00D06528">
        <w:t xml:space="preserve">En primera instancia es de señalar que la pretensión de </w:t>
      </w:r>
      <w:r w:rsidRPr="00D06528">
        <w:rPr>
          <w:b/>
        </w:rPr>
        <w:t>LA PARTE RECURRENTE</w:t>
      </w:r>
      <w:r w:rsidRPr="00D06528">
        <w:t xml:space="preserve"> es obtener un pronunciamiento específico respecto a una situación en particular, situación por la cual nos lleva a recordar que el artículo 12 de la Ley de Transparencia y Acceso a la Información Pública del Estado de México y Municipios, establece que </w:t>
      </w:r>
      <w:r w:rsidRPr="00D06528">
        <w:rPr>
          <w:b/>
        </w:rPr>
        <w:t>LOS SUJETOS OBLIGADOS</w:t>
      </w:r>
      <w:r w:rsidRPr="00D06528">
        <w:t xml:space="preserve"> únicamente están constreñidos a entregar los documentos que obren en sus archivos en el estado en que estos se encuentren, lo que no comprende entregar la información conforme al interés del solicitante.</w:t>
      </w:r>
    </w:p>
    <w:p w14:paraId="5551E457" w14:textId="77777777" w:rsidR="00704239" w:rsidRPr="00D06528" w:rsidRDefault="00704239" w:rsidP="00D06528">
      <w:pPr>
        <w:pStyle w:val="Prrafodelista"/>
        <w:widowControl w:val="0"/>
        <w:autoSpaceDE w:val="0"/>
        <w:autoSpaceDN w:val="0"/>
        <w:adjustRightInd w:val="0"/>
        <w:ind w:left="0"/>
      </w:pPr>
    </w:p>
    <w:p w14:paraId="5603AF0B" w14:textId="1C2F91A9" w:rsidR="00704239" w:rsidRPr="00D06528" w:rsidRDefault="00704239" w:rsidP="00D06528">
      <w:pPr>
        <w:pStyle w:val="Prrafodelista"/>
        <w:widowControl w:val="0"/>
        <w:autoSpaceDE w:val="0"/>
        <w:autoSpaceDN w:val="0"/>
        <w:adjustRightInd w:val="0"/>
        <w:ind w:left="0"/>
      </w:pPr>
      <w:r w:rsidRPr="00D06528">
        <w:t>Robustece lo anterior, el Criterio 03/17 emitido por el Instituto Nacional de Transparencia, Acceso a la Información y Protección de Datos Personales, el cual establece lo siguiente:</w:t>
      </w:r>
    </w:p>
    <w:p w14:paraId="0BA5E297" w14:textId="77777777" w:rsidR="008F42C0" w:rsidRPr="00D06528" w:rsidRDefault="008F42C0" w:rsidP="00D06528">
      <w:pPr>
        <w:pStyle w:val="Prrafodelista"/>
        <w:widowControl w:val="0"/>
        <w:autoSpaceDE w:val="0"/>
        <w:autoSpaceDN w:val="0"/>
        <w:adjustRightInd w:val="0"/>
        <w:ind w:left="0"/>
      </w:pPr>
    </w:p>
    <w:p w14:paraId="75F2748C" w14:textId="0B8D4B18" w:rsidR="008F42C0" w:rsidRPr="00D06528" w:rsidRDefault="00704239" w:rsidP="00D06528">
      <w:pPr>
        <w:pStyle w:val="Puesto"/>
      </w:pPr>
      <w:r w:rsidRPr="00D06528">
        <w:rPr>
          <w:b/>
        </w:rPr>
        <w:lastRenderedPageBreak/>
        <w:t>No existe obligación de elaborar documentos ad hoc para atender las solicitudes de acceso a la informació</w:t>
      </w:r>
      <w:r w:rsidRPr="00D06528">
        <w:t>n.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7EBAC0A" w14:textId="77777777" w:rsidR="008F42C0" w:rsidRPr="00D06528" w:rsidRDefault="008F42C0" w:rsidP="00D06528">
      <w:pPr>
        <w:pStyle w:val="Prrafodelista"/>
        <w:widowControl w:val="0"/>
        <w:autoSpaceDE w:val="0"/>
        <w:autoSpaceDN w:val="0"/>
        <w:adjustRightInd w:val="0"/>
        <w:ind w:left="0"/>
      </w:pPr>
    </w:p>
    <w:p w14:paraId="12B6D3D9" w14:textId="6366044B" w:rsidR="00704239" w:rsidRPr="00D06528" w:rsidRDefault="00704239" w:rsidP="00D06528">
      <w:pPr>
        <w:pStyle w:val="Prrafodelista"/>
        <w:widowControl w:val="0"/>
        <w:autoSpaceDE w:val="0"/>
        <w:autoSpaceDN w:val="0"/>
        <w:adjustRightInd w:val="0"/>
        <w:ind w:left="0"/>
      </w:pPr>
      <w:r w:rsidRPr="00D06528">
        <w:t xml:space="preserve">Por otro lado, es importante mencionar que el requerimiento de </w:t>
      </w:r>
      <w:r w:rsidRPr="00D06528">
        <w:rPr>
          <w:b/>
        </w:rPr>
        <w:t>LA PARTE RECURRENTE</w:t>
      </w:r>
      <w:r w:rsidRPr="00D06528">
        <w:t xml:space="preserve"> es tendiente a obligar a la autoridad a que actúe en el sentido de contestar lo solicitado, lo cual no es factible atenderse vía acceso a la información pública, toda vez, que la atención a dichos requerimientos no se pueden colmar con documentos que obren en los archivos del </w:t>
      </w:r>
      <w:r w:rsidRPr="00D06528">
        <w:rPr>
          <w:b/>
        </w:rPr>
        <w:t>SUJETO OBLIGADO</w:t>
      </w:r>
      <w:r w:rsidRPr="00D06528">
        <w:t xml:space="preserve">, ya que no se encontró fuente obligacional que establezca que dicha autoridad deba generar, poseer o administrar un documento en el que conste el pronunciamiento solicitado por </w:t>
      </w:r>
      <w:r w:rsidRPr="00D06528">
        <w:rPr>
          <w:b/>
        </w:rPr>
        <w:t>LA PARTE RECURRENTE</w:t>
      </w:r>
      <w:r w:rsidRPr="00D06528">
        <w:t>.</w:t>
      </w:r>
    </w:p>
    <w:p w14:paraId="6BE99015" w14:textId="77777777" w:rsidR="00704239" w:rsidRPr="00D06528" w:rsidRDefault="00704239" w:rsidP="00D06528">
      <w:pPr>
        <w:pStyle w:val="Prrafodelista"/>
        <w:widowControl w:val="0"/>
        <w:autoSpaceDE w:val="0"/>
        <w:autoSpaceDN w:val="0"/>
        <w:adjustRightInd w:val="0"/>
        <w:ind w:left="0"/>
      </w:pPr>
    </w:p>
    <w:p w14:paraId="7A495589" w14:textId="16419C6A" w:rsidR="00704239" w:rsidRPr="00D06528" w:rsidRDefault="00704239" w:rsidP="00D06528">
      <w:pPr>
        <w:pStyle w:val="Prrafodelista"/>
        <w:widowControl w:val="0"/>
        <w:autoSpaceDE w:val="0"/>
        <w:autoSpaceDN w:val="0"/>
        <w:adjustRightInd w:val="0"/>
        <w:ind w:left="0"/>
      </w:pPr>
      <w:r w:rsidRPr="00D06528">
        <w:t>Es por lo anterior que se advierte que la solicitud no constituye un derecho de acceso a la información y por lo tanto, no es atendible mediante una solicitud de acceso a la información pública, ya que se tratan de una petición de</w:t>
      </w:r>
      <w:r w:rsidRPr="00D06528">
        <w:rPr>
          <w:b/>
        </w:rPr>
        <w:t xml:space="preserve"> LA PARTE RECURRENTE</w:t>
      </w:r>
      <w:r w:rsidRPr="00D06528">
        <w:t>, situación que conlleva a afirmar que se está en presencia del ejercicio del derecho a la libre expresión y en todo caso a un derecho de petición.</w:t>
      </w:r>
    </w:p>
    <w:p w14:paraId="6E1A4BB9" w14:textId="77777777" w:rsidR="00704239" w:rsidRPr="00D06528" w:rsidRDefault="00704239" w:rsidP="00D06528">
      <w:pPr>
        <w:pStyle w:val="Prrafodelista"/>
        <w:widowControl w:val="0"/>
        <w:autoSpaceDE w:val="0"/>
        <w:autoSpaceDN w:val="0"/>
        <w:adjustRightInd w:val="0"/>
        <w:ind w:left="0"/>
      </w:pPr>
    </w:p>
    <w:p w14:paraId="530BF917" w14:textId="2ABDC5A9" w:rsidR="00704239" w:rsidRPr="00D06528" w:rsidRDefault="00704239" w:rsidP="00D06528">
      <w:pPr>
        <w:pStyle w:val="Prrafodelista"/>
        <w:widowControl w:val="0"/>
        <w:autoSpaceDE w:val="0"/>
        <w:autoSpaceDN w:val="0"/>
        <w:adjustRightInd w:val="0"/>
        <w:ind w:left="0"/>
        <w:rPr>
          <w:rFonts w:eastAsia="Palatino Linotype" w:cs="Palatino Linotype"/>
        </w:rPr>
      </w:pPr>
      <w:r w:rsidRPr="00D06528">
        <w:t>Así las cosas, M</w:t>
      </w:r>
      <w:r w:rsidRPr="00D06528">
        <w:rPr>
          <w:rFonts w:eastAsia="Palatino Linotype" w:cs="Palatino Linotype"/>
        </w:rPr>
        <w:t xml:space="preserve">iguel Carbonell en su libro “Los derechos fundamentales” refiere que el </w:t>
      </w:r>
      <w:r w:rsidRPr="00D06528">
        <w:rPr>
          <w:rFonts w:eastAsia="Palatino Linotype" w:cs="Palatino Linotype"/>
          <w:u w:val="single"/>
        </w:rPr>
        <w:t>derecho de petición se ha entendido de dos distintitas maneras</w:t>
      </w:r>
      <w:r w:rsidRPr="00D06528">
        <w:rPr>
          <w:rFonts w:eastAsia="Palatino Linotype" w:cs="Palatino Linotype"/>
        </w:rPr>
        <w:t xml:space="preserve">, a saber: como un derecho fundamental de participación política ya que </w:t>
      </w:r>
      <w:r w:rsidRPr="00D06528">
        <w:rPr>
          <w:rFonts w:eastAsia="Palatino Linotype" w:cs="Palatino Linotype"/>
          <w:u w:val="single"/>
        </w:rPr>
        <w:t xml:space="preserve">permite a los particulares trasladar a las autoridades sus </w:t>
      </w:r>
      <w:r w:rsidRPr="00D06528">
        <w:rPr>
          <w:rFonts w:eastAsia="Palatino Linotype" w:cs="Palatino Linotype"/>
          <w:b/>
          <w:u w:val="single"/>
        </w:rPr>
        <w:t>inquietudes, quejas</w:t>
      </w:r>
      <w:r w:rsidRPr="00D06528">
        <w:rPr>
          <w:rFonts w:eastAsia="Palatino Linotype" w:cs="Palatino Linotype"/>
          <w:u w:val="single"/>
        </w:rPr>
        <w:t>, sugerencias</w:t>
      </w:r>
      <w:r w:rsidRPr="00D06528">
        <w:rPr>
          <w:rFonts w:eastAsia="Palatino Linotype" w:cs="Palatino Linotype"/>
        </w:rPr>
        <w:t xml:space="preserve"> y requerimientos en cualquier materia o </w:t>
      </w:r>
      <w:r w:rsidRPr="00D06528">
        <w:rPr>
          <w:rFonts w:eastAsia="Palatino Linotype" w:cs="Palatino Linotype"/>
        </w:rPr>
        <w:lastRenderedPageBreak/>
        <w:t xml:space="preserve">asunto; y como una </w:t>
      </w:r>
      <w:r w:rsidRPr="00D06528">
        <w:rPr>
          <w:rFonts w:eastAsia="Palatino Linotype" w:cs="Palatino Linotype"/>
          <w:b/>
        </w:rPr>
        <w:t>forma específica de la libertad de expresión</w:t>
      </w:r>
      <w:r w:rsidRPr="00D06528">
        <w:rPr>
          <w:rFonts w:eastAsia="Palatino Linotype" w:cs="Palatino Linotype"/>
        </w:rPr>
        <w:t>, en tanto que permite expresarse frente a las autoridades. De igual manera que el derecho de petición se traduce en la obligación de todos los funcionarios y autoridades de permitir a los ciudadanos de dirigirse a ellos en demanda de lo que deseen expresar o solicitar y responder de dicha demanda por escrito, de forma congruente y en un plazo breve.</w:t>
      </w:r>
      <w:r w:rsidRPr="00D06528">
        <w:rPr>
          <w:rFonts w:eastAsia="Palatino Linotype" w:cs="Palatino Linotype"/>
          <w:vertAlign w:val="superscript"/>
        </w:rPr>
        <w:footnoteReference w:id="1"/>
      </w:r>
    </w:p>
    <w:p w14:paraId="0D5FB835" w14:textId="77777777" w:rsidR="00704239" w:rsidRPr="00D06528" w:rsidRDefault="00704239" w:rsidP="00D06528">
      <w:pPr>
        <w:spacing w:before="240" w:after="240"/>
        <w:contextualSpacing/>
        <w:rPr>
          <w:rFonts w:eastAsia="Palatino Linotype" w:cs="Palatino Linotype"/>
        </w:rPr>
      </w:pPr>
    </w:p>
    <w:p w14:paraId="2C2A7C5B" w14:textId="77777777" w:rsidR="00704239" w:rsidRPr="00D06528" w:rsidRDefault="00704239" w:rsidP="00D06528">
      <w:pPr>
        <w:spacing w:before="240" w:after="240"/>
        <w:ind w:right="99"/>
        <w:contextualSpacing/>
        <w:rPr>
          <w:rFonts w:eastAsia="Palatino Linotype" w:cs="Palatino Linotype"/>
        </w:rPr>
      </w:pPr>
      <w:r w:rsidRPr="00D06528">
        <w:rPr>
          <w:rFonts w:eastAsia="Palatino Linotype" w:cs="Palatino Linotype"/>
        </w:rPr>
        <w:t xml:space="preserve">Por otro lado, el autor anteriormente citado, indica que el </w:t>
      </w:r>
      <w:r w:rsidRPr="00D06528">
        <w:rPr>
          <w:rFonts w:eastAsia="Palatino Linotype" w:cs="Palatino Linotype"/>
          <w:b/>
          <w:u w:val="single"/>
        </w:rPr>
        <w:t>derecho de acceso a la información pública</w:t>
      </w:r>
      <w:r w:rsidRPr="00D06528">
        <w:rPr>
          <w:rFonts w:eastAsia="Palatino Linotype" w:cs="Palatino Linotype"/>
        </w:rPr>
        <w:t xml:space="preserve"> es el derecho de conocer la </w:t>
      </w:r>
      <w:r w:rsidRPr="00D06528">
        <w:rPr>
          <w:rFonts w:eastAsia="Palatino Linotype" w:cs="Palatino Linotype"/>
          <w:u w:val="single"/>
        </w:rPr>
        <w:t>información de carácter público que se genera o está en posesión de los órganos del poder público</w:t>
      </w:r>
      <w:r w:rsidRPr="00D06528">
        <w:rPr>
          <w:rFonts w:eastAsia="Palatino Linotype" w:cs="Palatino Linotype"/>
        </w:rPr>
        <w:t xml:space="preserve"> o de los sujetos que utilizan o se benefician con recursos provenientes del Estado, es el derecho que tienen los ciudadanos para acceder a documentos y datos que obren en el poder del gobierno.</w:t>
      </w:r>
    </w:p>
    <w:p w14:paraId="74F18440" w14:textId="77777777" w:rsidR="00704239" w:rsidRPr="00D06528" w:rsidRDefault="00704239" w:rsidP="00D06528">
      <w:pPr>
        <w:spacing w:before="240" w:after="240"/>
        <w:ind w:right="99"/>
        <w:contextualSpacing/>
        <w:rPr>
          <w:rFonts w:eastAsia="Palatino Linotype" w:cs="Palatino Linotype"/>
        </w:rPr>
      </w:pPr>
    </w:p>
    <w:p w14:paraId="706B793E" w14:textId="77777777" w:rsidR="00704239" w:rsidRPr="00D06528" w:rsidRDefault="00704239" w:rsidP="00D06528">
      <w:pPr>
        <w:spacing w:before="240" w:after="240"/>
        <w:ind w:right="99"/>
        <w:contextualSpacing/>
        <w:rPr>
          <w:rFonts w:eastAsia="Palatino Linotype" w:cs="Palatino Linotype"/>
        </w:rPr>
      </w:pPr>
      <w:r w:rsidRPr="00D06528">
        <w:rPr>
          <w:rFonts w:eastAsia="Palatino Linotype" w:cs="Palatino Linotype"/>
        </w:rPr>
        <w:t>Por su parte Ernesto Villanueva define al derecho de acceso a la información pública como la prerrogativa de la persona para acceder a datos, registros y todo tipo de informaciones en poder de las entidades públicas y empresas privadas que ejercen gasto público o cumplen funciones de autoridad, con las excepciones taxativas que establezca la ley en una sociedad democrática.</w:t>
      </w:r>
      <w:r w:rsidRPr="00D06528">
        <w:rPr>
          <w:rFonts w:eastAsia="Palatino Linotype" w:cs="Palatino Linotype"/>
          <w:vertAlign w:val="superscript"/>
        </w:rPr>
        <w:footnoteReference w:id="2"/>
      </w:r>
    </w:p>
    <w:p w14:paraId="6617323D" w14:textId="77777777" w:rsidR="00704239" w:rsidRPr="00D06528" w:rsidRDefault="00704239" w:rsidP="00D06528">
      <w:pPr>
        <w:spacing w:before="240" w:after="240"/>
        <w:ind w:right="99"/>
        <w:contextualSpacing/>
        <w:rPr>
          <w:rFonts w:eastAsia="Palatino Linotype" w:cs="Palatino Linotype"/>
        </w:rPr>
      </w:pPr>
    </w:p>
    <w:p w14:paraId="6928A7C4" w14:textId="77777777" w:rsidR="00704239" w:rsidRPr="00D06528" w:rsidRDefault="00704239" w:rsidP="00D06528">
      <w:pPr>
        <w:spacing w:before="240" w:after="240"/>
        <w:ind w:right="99"/>
        <w:contextualSpacing/>
        <w:rPr>
          <w:rFonts w:eastAsia="Palatino Linotype" w:cs="Palatino Linotype"/>
        </w:rPr>
      </w:pPr>
      <w:r w:rsidRPr="00D06528">
        <w:rPr>
          <w:rFonts w:eastAsia="Palatino Linotype" w:cs="Palatino Linotype"/>
        </w:rPr>
        <w:t xml:space="preserve">De lo anterior se puede concluir que la distinción entre el </w:t>
      </w:r>
      <w:r w:rsidRPr="00D06528">
        <w:rPr>
          <w:rFonts w:eastAsia="Palatino Linotype" w:cs="Palatino Linotype"/>
          <w:b/>
        </w:rPr>
        <w:t>derecho de petición</w:t>
      </w:r>
      <w:r w:rsidRPr="00D06528">
        <w:rPr>
          <w:rFonts w:eastAsia="Palatino Linotype" w:cs="Palatino Linotype"/>
        </w:rPr>
        <w:t xml:space="preserve"> y el derecho de acceso a la información descansa, principalmente, en que </w:t>
      </w:r>
      <w:r w:rsidRPr="00D06528">
        <w:rPr>
          <w:rFonts w:eastAsia="Palatino Linotype" w:cs="Palatino Linotype"/>
          <w:u w:val="single"/>
        </w:rPr>
        <w:t xml:space="preserve">la pretensión del peticionario consiste generalmente en obligar a la autoridad responsable a que actúe </w:t>
      </w:r>
      <w:r w:rsidRPr="00D06528">
        <w:rPr>
          <w:rFonts w:eastAsia="Palatino Linotype" w:cs="Palatino Linotype"/>
        </w:rPr>
        <w:t xml:space="preserve">en el sentido de </w:t>
      </w:r>
      <w:r w:rsidRPr="00D06528">
        <w:rPr>
          <w:rFonts w:eastAsia="Palatino Linotype" w:cs="Palatino Linotype"/>
        </w:rPr>
        <w:lastRenderedPageBreak/>
        <w:t>contestar lo solicitado, mientras que en el derecho de acceso a la información pública la pretensión radica en que se permita el acceso a datos y todo tipo de documentación que tenga el carácter de información pública, que sea generada, administrada o se encuentre en posesión de los considerados Sujetos Obligados por la Ley de la Materia.</w:t>
      </w:r>
    </w:p>
    <w:p w14:paraId="6D0E14C6" w14:textId="77777777" w:rsidR="00704239" w:rsidRPr="00D06528" w:rsidRDefault="00704239" w:rsidP="00D06528">
      <w:pPr>
        <w:spacing w:before="240" w:after="240"/>
        <w:ind w:right="99"/>
        <w:contextualSpacing/>
        <w:rPr>
          <w:rFonts w:eastAsia="Palatino Linotype" w:cs="Palatino Linotype"/>
        </w:rPr>
      </w:pPr>
    </w:p>
    <w:p w14:paraId="01D7E169" w14:textId="57B8F14E" w:rsidR="00704239" w:rsidRPr="00D06528" w:rsidRDefault="00704239" w:rsidP="00D06528">
      <w:pPr>
        <w:spacing w:before="240" w:after="240"/>
        <w:ind w:right="99"/>
        <w:contextualSpacing/>
        <w:rPr>
          <w:rFonts w:eastAsia="Palatino Linotype" w:cs="Palatino Linotype"/>
        </w:rPr>
      </w:pPr>
      <w:r w:rsidRPr="00D06528">
        <w:rPr>
          <w:rFonts w:eastAsia="Palatino Linotype" w:cs="Palatino Linotype"/>
        </w:rPr>
        <w:t xml:space="preserve">Por lo tanto, la entrega de una razón o la respuesta o atención a pronunciamientos que no encuentren en soporte documental alguno, no es algo que la Ley de la Materia establezca como atribución, derecho o facultad; pues ello implicaría emitir un juicio de valor referente a cuestionamientos realizados, los cuales como ha quedado explicado, al constituir </w:t>
      </w:r>
      <w:r w:rsidRPr="00D06528">
        <w:rPr>
          <w:rFonts w:eastAsia="Palatino Linotype" w:cs="Palatino Linotype"/>
          <w:b/>
          <w:u w:val="single"/>
        </w:rPr>
        <w:t>interrogantes, inquietudes, quejas y manifestaciones</w:t>
      </w:r>
      <w:r w:rsidRPr="00D06528">
        <w:rPr>
          <w:rFonts w:eastAsia="Palatino Linotype" w:cs="Palatino Linotype"/>
        </w:rPr>
        <w:t xml:space="preserve"> resultan estar encaminadas a ser satisfechas en ejercicio del derecho de petición.</w:t>
      </w:r>
    </w:p>
    <w:p w14:paraId="503FEF28" w14:textId="77777777" w:rsidR="00704239" w:rsidRPr="00D06528" w:rsidRDefault="00704239" w:rsidP="00D06528">
      <w:pPr>
        <w:spacing w:before="240" w:after="240"/>
        <w:ind w:right="99"/>
        <w:contextualSpacing/>
        <w:rPr>
          <w:rFonts w:eastAsia="Palatino Linotype" w:cs="Palatino Linotype"/>
        </w:rPr>
      </w:pPr>
    </w:p>
    <w:p w14:paraId="3FC6BBDB" w14:textId="4C172848" w:rsidR="00704239" w:rsidRPr="00D06528" w:rsidRDefault="00704239" w:rsidP="00D06528">
      <w:pPr>
        <w:spacing w:before="240" w:after="240"/>
        <w:ind w:right="99"/>
        <w:contextualSpacing/>
        <w:rPr>
          <w:rFonts w:eastAsia="Palatino Linotype" w:cs="Palatino Linotype"/>
        </w:rPr>
      </w:pPr>
      <w:r w:rsidRPr="00D06528">
        <w:t>Por ello, en virtud de los argumentos expuestos con anterioridad así como del análisis realizado a las constancias que obran en el expediente electrónico del SAIMEX, se determina sobreseer el presente recurso de revisión por actualizarse la causal de sobreseimiento prevista en la fracción IV del artículo 192 de la Ley de Transparencia y Acceso a la Información Pública del Estado de México y Municipios en su correlación con la causal de improcedencia contemplada en la fracción IV del artículo 191 del ordenamiento legal en cita, los que se transcriben a continuación, para un mejor entendimiento:</w:t>
      </w:r>
    </w:p>
    <w:p w14:paraId="0F80CB8F" w14:textId="77777777" w:rsidR="00704239" w:rsidRPr="00D06528" w:rsidRDefault="00704239" w:rsidP="00D06528">
      <w:pPr>
        <w:pStyle w:val="Puesto"/>
      </w:pPr>
      <w:r w:rsidRPr="00D06528">
        <w:t xml:space="preserve">“Artículo 191. El recurso será desechado por improcedente cuando: </w:t>
      </w:r>
    </w:p>
    <w:p w14:paraId="3F9DF94D" w14:textId="6A832357" w:rsidR="00704239" w:rsidRPr="00D06528" w:rsidRDefault="00704239" w:rsidP="00D06528">
      <w:pPr>
        <w:pStyle w:val="Puesto"/>
      </w:pPr>
      <w:r w:rsidRPr="00D06528">
        <w:t xml:space="preserve">(…) </w:t>
      </w:r>
    </w:p>
    <w:p w14:paraId="6ED09BA0" w14:textId="77777777" w:rsidR="00704239" w:rsidRPr="00D06528" w:rsidRDefault="00704239" w:rsidP="00D06528">
      <w:pPr>
        <w:pStyle w:val="Puesto"/>
      </w:pPr>
      <w:r w:rsidRPr="00D06528">
        <w:rPr>
          <w:b/>
        </w:rPr>
        <w:t>VI. Se trate de una consulta, o trámite en específico</w:t>
      </w:r>
      <w:r w:rsidRPr="00D06528">
        <w:t xml:space="preserve">; </w:t>
      </w:r>
    </w:p>
    <w:p w14:paraId="1C3EFFE3" w14:textId="5F239E1D" w:rsidR="00704239" w:rsidRPr="00D06528" w:rsidRDefault="00704239" w:rsidP="00D06528">
      <w:pPr>
        <w:pStyle w:val="Puesto"/>
      </w:pPr>
      <w:r w:rsidRPr="00D06528">
        <w:t xml:space="preserve">(…) </w:t>
      </w:r>
    </w:p>
    <w:p w14:paraId="5BA94783" w14:textId="37EB7371" w:rsidR="00704239" w:rsidRPr="00D06528" w:rsidRDefault="00704239" w:rsidP="00D06528">
      <w:pPr>
        <w:pStyle w:val="Puesto"/>
      </w:pPr>
      <w:r w:rsidRPr="00D06528">
        <w:t>Artículo 192. El recurso será sobreseído, en todo o en parte, cuando una vez admitido, se actualicen alguno de los siguientes supuestos:</w:t>
      </w:r>
    </w:p>
    <w:p w14:paraId="2EAA6465" w14:textId="21BE1BDD" w:rsidR="00704239" w:rsidRPr="00D06528" w:rsidRDefault="00704239" w:rsidP="00D06528">
      <w:pPr>
        <w:pStyle w:val="Puesto"/>
      </w:pPr>
      <w:r w:rsidRPr="00D06528">
        <w:t xml:space="preserve">(…) </w:t>
      </w:r>
    </w:p>
    <w:p w14:paraId="74759885" w14:textId="59DA5480" w:rsidR="00704239" w:rsidRPr="00D06528" w:rsidRDefault="00704239" w:rsidP="00D06528">
      <w:pPr>
        <w:pStyle w:val="Puesto"/>
      </w:pPr>
      <w:r w:rsidRPr="00D06528">
        <w:rPr>
          <w:b/>
        </w:rPr>
        <w:t>IV. Admitido el recurso de revisión, aparezca alguna causal de improcedencia en los términos de la presente Ley.</w:t>
      </w:r>
      <w:r w:rsidRPr="00D06528">
        <w:t xml:space="preserve"> “</w:t>
      </w:r>
    </w:p>
    <w:p w14:paraId="7D3BA52F" w14:textId="77777777" w:rsidR="00704239" w:rsidRPr="00D06528" w:rsidRDefault="00704239" w:rsidP="00D06528">
      <w:pPr>
        <w:pStyle w:val="Prrafodelista"/>
        <w:widowControl w:val="0"/>
        <w:autoSpaceDE w:val="0"/>
        <w:autoSpaceDN w:val="0"/>
        <w:adjustRightInd w:val="0"/>
        <w:ind w:left="0"/>
      </w:pPr>
    </w:p>
    <w:p w14:paraId="743CFD2C" w14:textId="3A27952B" w:rsidR="00704239" w:rsidRPr="00D06528" w:rsidRDefault="00704239" w:rsidP="00D06528">
      <w:pPr>
        <w:pStyle w:val="Prrafodelista"/>
        <w:widowControl w:val="0"/>
        <w:autoSpaceDE w:val="0"/>
        <w:autoSpaceDN w:val="0"/>
        <w:adjustRightInd w:val="0"/>
        <w:ind w:left="0"/>
      </w:pPr>
      <w:r w:rsidRPr="00D06528">
        <w:t>Siendo el sobreseimiento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1B92638C" w14:textId="77777777" w:rsidR="00704239" w:rsidRPr="00D06528" w:rsidRDefault="00704239" w:rsidP="00D06528">
      <w:pPr>
        <w:pStyle w:val="Prrafodelista"/>
        <w:widowControl w:val="0"/>
        <w:autoSpaceDE w:val="0"/>
        <w:autoSpaceDN w:val="0"/>
        <w:adjustRightInd w:val="0"/>
        <w:ind w:left="0"/>
      </w:pPr>
    </w:p>
    <w:p w14:paraId="0432BB80" w14:textId="77777777" w:rsidR="00704239" w:rsidRPr="00D06528" w:rsidRDefault="00704239" w:rsidP="00D06528">
      <w:pPr>
        <w:pStyle w:val="Puesto"/>
      </w:pPr>
      <w:r w:rsidRPr="00D06528">
        <w:t>“</w:t>
      </w:r>
      <w:r w:rsidRPr="00D06528">
        <w:rPr>
          <w:b/>
          <w:bCs/>
        </w:rPr>
        <w:t>SOBRESEIMIENTO, NO PERMITE ENTRAR AL ESTUDIO DE LAS CUESTIONES DE FONDO</w:t>
      </w:r>
      <w:r w:rsidRPr="00D06528">
        <w:t xml:space="preserve"> </w:t>
      </w:r>
    </w:p>
    <w:p w14:paraId="5A01ABED" w14:textId="294FCCDB" w:rsidR="00704239" w:rsidRPr="00D06528" w:rsidRDefault="00704239" w:rsidP="00D06528">
      <w:pPr>
        <w:pStyle w:val="Puesto"/>
      </w:pPr>
      <w:r w:rsidRPr="00D06528">
        <w:t>Localización: 213609. II.2o.183 K. Tribunales Colegiados de Circuito. Octava Época. Semanario Judicial de la Federación. Tomo XIII, Febrero de 1994, Pág. 420 Cuerpo de tesis: No causa agravio la sentencia que no se ocupa de los razonamientos tendientes a demostrar la inconstitucionalidad de los actos reclamados de las autoridades responsables, que constituyen el problema de fondo, si se decreta el sobreseimiento del juicio.”</w:t>
      </w:r>
    </w:p>
    <w:p w14:paraId="7F81E65D" w14:textId="77777777" w:rsidR="00704239" w:rsidRPr="00D06528" w:rsidRDefault="00704239" w:rsidP="00D06528">
      <w:pPr>
        <w:pStyle w:val="Prrafodelista"/>
        <w:widowControl w:val="0"/>
        <w:autoSpaceDE w:val="0"/>
        <w:autoSpaceDN w:val="0"/>
        <w:adjustRightInd w:val="0"/>
        <w:ind w:left="0"/>
      </w:pPr>
    </w:p>
    <w:p w14:paraId="7572BF9A" w14:textId="16743AEA" w:rsidR="00704239" w:rsidRPr="00D06528" w:rsidRDefault="00704239" w:rsidP="00D06528">
      <w:pPr>
        <w:pStyle w:val="Prrafodelista"/>
        <w:widowControl w:val="0"/>
        <w:autoSpaceDE w:val="0"/>
        <w:autoSpaceDN w:val="0"/>
        <w:adjustRightInd w:val="0"/>
        <w:ind w:left="0"/>
      </w:pPr>
      <w:r w:rsidRPr="00D06528">
        <w:t>Cabe destacar que la decisión de este Organismo Colegiado de sobreseer el recurso de revisión no implica una limitación o negación a la justicia, según lo ha establecido el Poder Judicial Federal, en el criterio que es aplicable por analogía, con rubro:</w:t>
      </w:r>
    </w:p>
    <w:p w14:paraId="0404EC71" w14:textId="77777777" w:rsidR="00704239" w:rsidRPr="00D06528" w:rsidRDefault="00704239" w:rsidP="00D06528">
      <w:pPr>
        <w:pStyle w:val="Prrafodelista"/>
        <w:widowControl w:val="0"/>
        <w:autoSpaceDE w:val="0"/>
        <w:autoSpaceDN w:val="0"/>
        <w:adjustRightInd w:val="0"/>
        <w:ind w:left="0"/>
      </w:pPr>
    </w:p>
    <w:p w14:paraId="4BEF5ED3" w14:textId="017D4B2D" w:rsidR="00704239" w:rsidRPr="00D06528" w:rsidRDefault="00704239" w:rsidP="00D06528">
      <w:pPr>
        <w:pStyle w:val="Puesto"/>
      </w:pPr>
      <w:r w:rsidRPr="00D06528">
        <w:t>“</w:t>
      </w:r>
      <w:r w:rsidRPr="00D06528">
        <w:rPr>
          <w:b/>
        </w:rPr>
        <w:t>DESECHAMIENTO O SOBRESEIMIENTO EN EL JUICIO DE AMPARO. NO IMPLICA DENEGACIÓN DE JUSTICIA NI GENERA INSEGURIDAD JURÍDICA</w:t>
      </w:r>
      <w:r w:rsidRPr="00D06528">
        <w:t xml:space="preserve">”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w:t>
      </w:r>
      <w:r w:rsidRPr="00D06528">
        <w:lastRenderedPageBreak/>
        <w:t>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w:t>
      </w:r>
    </w:p>
    <w:p w14:paraId="4E2D732D" w14:textId="77777777" w:rsidR="00704239" w:rsidRPr="00D06528" w:rsidRDefault="00704239" w:rsidP="00D06528">
      <w:pPr>
        <w:pStyle w:val="Prrafodelista"/>
        <w:widowControl w:val="0"/>
        <w:autoSpaceDE w:val="0"/>
        <w:autoSpaceDN w:val="0"/>
        <w:adjustRightInd w:val="0"/>
        <w:ind w:left="0"/>
      </w:pPr>
    </w:p>
    <w:p w14:paraId="6CD05AC4" w14:textId="23A2D859" w:rsidR="00BD5A7C" w:rsidRPr="00D06528" w:rsidRDefault="00AC0DD2" w:rsidP="00D06528">
      <w:pPr>
        <w:pStyle w:val="Ttulo3"/>
      </w:pPr>
      <w:bookmarkStart w:id="29" w:name="_Toc199973361"/>
      <w:r w:rsidRPr="00D06528">
        <w:t>d</w:t>
      </w:r>
      <w:r w:rsidR="00BD5A7C" w:rsidRPr="00D06528">
        <w:t>) Conclusión</w:t>
      </w:r>
      <w:bookmarkEnd w:id="29"/>
    </w:p>
    <w:p w14:paraId="3E38E14E" w14:textId="2E9E5557" w:rsidR="002C22A3" w:rsidRPr="00D06528" w:rsidRDefault="00197DFC" w:rsidP="00D06528">
      <w:pPr>
        <w:ind w:right="-93"/>
        <w:rPr>
          <w:rFonts w:eastAsia="Palatino Linotype" w:cs="Palatino Linotype"/>
        </w:rPr>
      </w:pPr>
      <w:bookmarkStart w:id="30" w:name="_Hlk165381027"/>
      <w:r w:rsidRPr="00D06528">
        <w:rPr>
          <w:rFonts w:eastAsia="Palatino Linotype" w:cs="Palatino Linotype"/>
        </w:rPr>
        <w:t xml:space="preserve">Derivado de lo anterior, podemos advertir </w:t>
      </w:r>
      <w:r w:rsidR="00704239" w:rsidRPr="00D06528">
        <w:rPr>
          <w:rFonts w:eastAsia="Palatino Linotype" w:cs="Palatino Linotype"/>
        </w:rPr>
        <w:t xml:space="preserve">que, los cuestionamientos inmersos en la solicitud de información, no pueden ser atendidos a través del ejercicio del derecho de acceso a información pública, ya que tal como ha quedado plasmado en el presente considerando, estos versan en </w:t>
      </w:r>
      <w:r w:rsidR="00C04A71" w:rsidRPr="00D06528">
        <w:rPr>
          <w:rFonts w:eastAsia="Palatino Linotype" w:cs="Palatino Linotype"/>
        </w:rPr>
        <w:t>interrogativas que consisten en un derecho de petición</w:t>
      </w:r>
      <w:r w:rsidRPr="00D06528">
        <w:rPr>
          <w:rFonts w:eastAsia="Palatino Linotype" w:cs="Palatino Linotype"/>
        </w:rPr>
        <w:t>.</w:t>
      </w:r>
    </w:p>
    <w:p w14:paraId="36782A37" w14:textId="77777777" w:rsidR="00197DFC" w:rsidRPr="00D06528" w:rsidRDefault="00197DFC" w:rsidP="00D06528">
      <w:pPr>
        <w:ind w:right="-93"/>
        <w:rPr>
          <w:rFonts w:cs="Tahoma"/>
          <w:bCs/>
          <w:szCs w:val="22"/>
        </w:rPr>
      </w:pPr>
    </w:p>
    <w:p w14:paraId="3AF84C8F" w14:textId="711D77CC" w:rsidR="00197DFC" w:rsidRPr="00D06528" w:rsidRDefault="00197DFC" w:rsidP="00D06528">
      <w:pPr>
        <w:ind w:right="-93"/>
        <w:rPr>
          <w:rFonts w:cs="Tahoma"/>
          <w:bCs/>
          <w:szCs w:val="22"/>
        </w:rPr>
      </w:pPr>
      <w:r w:rsidRPr="00D06528">
        <w:rPr>
          <w:rFonts w:eastAsia="Palatino Linotype" w:cs="Palatino Linotype"/>
        </w:rPr>
        <w:t>Bajo ese teno</w:t>
      </w:r>
      <w:r w:rsidR="00C04A71" w:rsidRPr="00D06528">
        <w:rPr>
          <w:rFonts w:eastAsia="Palatino Linotype" w:cs="Palatino Linotype"/>
        </w:rPr>
        <w:t>r y en términos del artículo 192 fracción IV, en relación con la fracción VI del numeral 191 de la Ley de Transparencia Local,</w:t>
      </w:r>
      <w:r w:rsidRPr="00D06528">
        <w:rPr>
          <w:rFonts w:eastAsia="Palatino Linotype" w:cs="Palatino Linotype"/>
        </w:rPr>
        <w:t xml:space="preserve"> este Pleno determina el </w:t>
      </w:r>
      <w:r w:rsidRPr="00D06528">
        <w:rPr>
          <w:rFonts w:eastAsia="Palatino Linotype" w:cs="Palatino Linotype"/>
          <w:b/>
        </w:rPr>
        <w:t xml:space="preserve">SOBRESEIMIENTO </w:t>
      </w:r>
      <w:r w:rsidRPr="00D06528">
        <w:rPr>
          <w:rFonts w:eastAsia="Palatino Linotype" w:cs="Palatino Linotype"/>
        </w:rPr>
        <w:t>d</w:t>
      </w:r>
      <w:r w:rsidR="00C04A71" w:rsidRPr="00D06528">
        <w:rPr>
          <w:rFonts w:eastAsia="Palatino Linotype" w:cs="Palatino Linotype"/>
        </w:rPr>
        <w:t>el presente Recurso de Revisión</w:t>
      </w:r>
      <w:r w:rsidRPr="00D06528">
        <w:rPr>
          <w:rFonts w:eastAsia="Palatino Linotype" w:cs="Palatino Linotype"/>
        </w:rPr>
        <w:t>.</w:t>
      </w:r>
    </w:p>
    <w:p w14:paraId="5D857A77" w14:textId="77777777" w:rsidR="00197DFC" w:rsidRPr="00D06528" w:rsidRDefault="00197DFC" w:rsidP="00D06528">
      <w:pPr>
        <w:ind w:right="-93"/>
        <w:rPr>
          <w:rFonts w:cs="Tahoma"/>
          <w:bCs/>
          <w:szCs w:val="22"/>
        </w:rPr>
      </w:pPr>
    </w:p>
    <w:p w14:paraId="6C4C444E" w14:textId="2192BD62" w:rsidR="00BD5A7C" w:rsidRDefault="00BD5A7C" w:rsidP="00D06528">
      <w:pPr>
        <w:ind w:right="-93"/>
        <w:rPr>
          <w:rFonts w:cs="Tahoma"/>
          <w:bCs/>
          <w:szCs w:val="22"/>
        </w:rPr>
      </w:pPr>
      <w:r w:rsidRPr="00D06528">
        <w:rPr>
          <w:rFonts w:cs="Tahoma"/>
          <w:bCs/>
          <w:szCs w:val="22"/>
        </w:rPr>
        <w:t xml:space="preserve">Así, con fundamento en lo establecido en los artículos 5, </w:t>
      </w:r>
      <w:r w:rsidR="00AC0DD2" w:rsidRPr="00D06528">
        <w:t>párrafos trigésimo séptimo, trigésimo octavo, trigésimo noveno,</w:t>
      </w:r>
      <w:r w:rsidRPr="00D06528">
        <w:rPr>
          <w:rFonts w:cs="Tahoma"/>
          <w:bCs/>
          <w:szCs w:val="22"/>
        </w:rPr>
        <w:t xml:space="preserve">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bookmarkEnd w:id="30"/>
    <w:p w14:paraId="7C13D1A0" w14:textId="77777777" w:rsidR="00BD5A7C" w:rsidRPr="00D06528" w:rsidRDefault="00BD5A7C" w:rsidP="00D06528"/>
    <w:p w14:paraId="5C396097" w14:textId="684A0E4F" w:rsidR="00664420" w:rsidRPr="00D06528" w:rsidRDefault="00664420" w:rsidP="00D06528">
      <w:pPr>
        <w:pStyle w:val="Ttulo1"/>
      </w:pPr>
      <w:bookmarkStart w:id="31" w:name="_Toc199973362"/>
      <w:r w:rsidRPr="00D06528">
        <w:t>RESUELVE</w:t>
      </w:r>
      <w:bookmarkEnd w:id="31"/>
    </w:p>
    <w:p w14:paraId="203B7093" w14:textId="77777777" w:rsidR="00664420" w:rsidRPr="00D06528" w:rsidRDefault="00664420" w:rsidP="00D06528">
      <w:pPr>
        <w:ind w:right="113"/>
        <w:rPr>
          <w:rFonts w:cs="Arial"/>
          <w:b/>
          <w:szCs w:val="22"/>
        </w:rPr>
      </w:pPr>
    </w:p>
    <w:p w14:paraId="0039D47A" w14:textId="4FA9470E" w:rsidR="00AC0DD2" w:rsidRPr="00D06528" w:rsidRDefault="00AC0DD2" w:rsidP="00D06528">
      <w:pPr>
        <w:rPr>
          <w:lang w:val="es-ES"/>
        </w:rPr>
      </w:pPr>
      <w:r w:rsidRPr="00D06528">
        <w:rPr>
          <w:b/>
          <w:sz w:val="24"/>
        </w:rPr>
        <w:t>PRIMERO</w:t>
      </w:r>
      <w:r w:rsidRPr="00D06528">
        <w:rPr>
          <w:b/>
          <w:sz w:val="28"/>
        </w:rPr>
        <w:t xml:space="preserve">. </w:t>
      </w:r>
      <w:r w:rsidRPr="00D06528">
        <w:t xml:space="preserve">Se </w:t>
      </w:r>
      <w:r w:rsidRPr="00D06528">
        <w:rPr>
          <w:b/>
        </w:rPr>
        <w:t>SOBRESEE</w:t>
      </w:r>
      <w:r w:rsidRPr="00D06528">
        <w:t xml:space="preserve"> el Recurso de Revisión número </w:t>
      </w:r>
      <w:r w:rsidRPr="00D06528">
        <w:rPr>
          <w:rFonts w:eastAsia="Palatino Linotype" w:cs="Palatino Linotype"/>
          <w:b/>
        </w:rPr>
        <w:t xml:space="preserve">04512/INFOEM/IP/RR/2025 </w:t>
      </w:r>
      <w:r w:rsidRPr="00D06528">
        <w:rPr>
          <w:lang w:val="es-ES"/>
        </w:rPr>
        <w:t xml:space="preserve">porque una vez admitido se actualizó la causal establecida en el artículo 192 fracción IV, </w:t>
      </w:r>
      <w:r w:rsidRPr="00D06528">
        <w:t>por</w:t>
      </w:r>
      <w:r w:rsidRPr="00D06528">
        <w:rPr>
          <w:lang w:val="es-ES"/>
        </w:rPr>
        <w:t xml:space="preserve"> ser improcedente en términos de la </w:t>
      </w:r>
      <w:r w:rsidRPr="00D06528">
        <w:rPr>
          <w:lang w:eastAsia="es-ES_tradnl"/>
        </w:rPr>
        <w:t xml:space="preserve">Ley de Transparencia y Acceso a la Información Pública </w:t>
      </w:r>
      <w:r w:rsidRPr="00D06528">
        <w:rPr>
          <w:lang w:eastAsia="es-ES_tradnl"/>
        </w:rPr>
        <w:lastRenderedPageBreak/>
        <w:t>del Estado de México y Municipios</w:t>
      </w:r>
      <w:r w:rsidRPr="00D06528">
        <w:rPr>
          <w:lang w:val="es-ES"/>
        </w:rPr>
        <w:t xml:space="preserve">, en términos del Considerando </w:t>
      </w:r>
      <w:r w:rsidRPr="00D06528">
        <w:rPr>
          <w:b/>
          <w:lang w:val="es-ES"/>
        </w:rPr>
        <w:t>SEGUNDO</w:t>
      </w:r>
      <w:r w:rsidRPr="00D06528">
        <w:rPr>
          <w:lang w:val="es-ES"/>
        </w:rPr>
        <w:t xml:space="preserve"> de la presente resolución.</w:t>
      </w:r>
    </w:p>
    <w:p w14:paraId="4598F754" w14:textId="77777777" w:rsidR="00AC0DD2" w:rsidRPr="00D06528" w:rsidRDefault="00AC0DD2" w:rsidP="00D06528">
      <w:pPr>
        <w:widowControl w:val="0"/>
        <w:autoSpaceDE w:val="0"/>
        <w:autoSpaceDN w:val="0"/>
        <w:adjustRightInd w:val="0"/>
        <w:rPr>
          <w:rFonts w:cs="Arial"/>
          <w:szCs w:val="28"/>
        </w:rPr>
      </w:pPr>
    </w:p>
    <w:p w14:paraId="18553566" w14:textId="77777777" w:rsidR="00AC0DD2" w:rsidRPr="00D06528" w:rsidRDefault="00AC0DD2" w:rsidP="00D06528">
      <w:pPr>
        <w:ind w:right="-93"/>
      </w:pPr>
      <w:r w:rsidRPr="00D06528">
        <w:rPr>
          <w:rFonts w:eastAsia="Calibri" w:cs="Tahoma"/>
          <w:b/>
          <w:bCs/>
          <w:szCs w:val="22"/>
          <w:lang w:eastAsia="en-US"/>
        </w:rPr>
        <w:t>SEGUNDO.</w:t>
      </w:r>
      <w:r w:rsidRPr="00D06528">
        <w:rPr>
          <w:rFonts w:eastAsia="Calibri" w:cs="Tahoma"/>
          <w:szCs w:val="22"/>
          <w:lang w:eastAsia="es-MX"/>
        </w:rPr>
        <w:t xml:space="preserve"> </w:t>
      </w:r>
      <w:r w:rsidRPr="00D06528">
        <w:t>Notifíquese la presente resolución mediante Sistema de Acceso a la Información Mexiquense (</w:t>
      </w:r>
      <w:r w:rsidRPr="00D06528">
        <w:rPr>
          <w:b/>
        </w:rPr>
        <w:t>SAIMEX</w:t>
      </w:r>
      <w:r w:rsidRPr="00D06528">
        <w:t xml:space="preserve">), al Titular de la Unidad de Transparencia del </w:t>
      </w:r>
      <w:r w:rsidRPr="00D06528">
        <w:rPr>
          <w:b/>
          <w:bCs/>
        </w:rPr>
        <w:t>SUJETO OBLIGADO</w:t>
      </w:r>
      <w:r w:rsidRPr="00D06528">
        <w:t>, para su conocimiento.</w:t>
      </w:r>
    </w:p>
    <w:p w14:paraId="17EE50CA" w14:textId="77777777" w:rsidR="00AC0DD2" w:rsidRPr="00D06528" w:rsidRDefault="00AC0DD2" w:rsidP="00D06528">
      <w:pPr>
        <w:ind w:right="-93"/>
      </w:pPr>
    </w:p>
    <w:p w14:paraId="2C9E1AD8" w14:textId="77777777" w:rsidR="00AC0DD2" w:rsidRPr="00D06528" w:rsidRDefault="00AC0DD2" w:rsidP="00D06528">
      <w:r w:rsidRPr="00D06528">
        <w:rPr>
          <w:b/>
          <w:bCs/>
        </w:rPr>
        <w:t>TERCERO.</w:t>
      </w:r>
      <w:r w:rsidRPr="00D06528">
        <w:t xml:space="preserve"> Notifíquese a </w:t>
      </w:r>
      <w:r w:rsidRPr="00D06528">
        <w:rPr>
          <w:b/>
          <w:bCs/>
        </w:rPr>
        <w:t>LA PARTE RECURRENTE</w:t>
      </w:r>
      <w:r w:rsidRPr="00D06528">
        <w:t xml:space="preserve"> la presente resolución vía Sistema de Acceso a la Información Mexiquense (</w:t>
      </w:r>
      <w:r w:rsidRPr="00D06528">
        <w:rPr>
          <w:b/>
        </w:rPr>
        <w:t>SAIMEX</w:t>
      </w:r>
      <w:r w:rsidRPr="00D06528">
        <w:t>).</w:t>
      </w:r>
    </w:p>
    <w:p w14:paraId="4878928E" w14:textId="77777777" w:rsidR="00AC0DD2" w:rsidRPr="00D06528" w:rsidRDefault="00AC0DD2" w:rsidP="00D06528"/>
    <w:p w14:paraId="549B335E" w14:textId="42DD5495" w:rsidR="00AC0DD2" w:rsidRDefault="00AC0DD2" w:rsidP="00D06528">
      <w:r w:rsidRPr="00D06528">
        <w:rPr>
          <w:b/>
          <w:bCs/>
        </w:rPr>
        <w:t>CUARTO</w:t>
      </w:r>
      <w:r w:rsidRPr="00D06528">
        <w:t xml:space="preserve">. Hágase del conocimiento a </w:t>
      </w:r>
      <w:r w:rsidRPr="00D06528">
        <w:rPr>
          <w:b/>
          <w:bCs/>
        </w:rPr>
        <w:t>LA PARTE RECURRENTE</w:t>
      </w:r>
      <w:r w:rsidRPr="00D06528">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4002B02C" w14:textId="1D1CBB28" w:rsidR="00D06528" w:rsidRDefault="00D06528" w:rsidP="00D06528"/>
    <w:p w14:paraId="719A5C63" w14:textId="56279CA6" w:rsidR="00664420" w:rsidRPr="00D06528" w:rsidRDefault="00664420" w:rsidP="00D06528">
      <w:pPr>
        <w:rPr>
          <w:rFonts w:eastAsia="Palatino Linotype" w:cs="Palatino Linotype"/>
          <w:szCs w:val="22"/>
        </w:rPr>
      </w:pPr>
      <w:r w:rsidRPr="00D06528">
        <w:rPr>
          <w:rFonts w:eastAsia="Palatino Linotype" w:cs="Palatino Linotype"/>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BE38DB" w:rsidRPr="00D06528">
        <w:rPr>
          <w:rFonts w:eastAsia="Palatino Linotype" w:cs="Palatino Linotype"/>
          <w:szCs w:val="22"/>
        </w:rPr>
        <w:t>VIGÉSIMA</w:t>
      </w:r>
      <w:r w:rsidR="000D5439" w:rsidRPr="00D06528">
        <w:rPr>
          <w:rFonts w:eastAsia="Palatino Linotype" w:cs="Palatino Linotype"/>
          <w:szCs w:val="22"/>
        </w:rPr>
        <w:t xml:space="preserve"> </w:t>
      </w:r>
      <w:r w:rsidRPr="00D06528">
        <w:rPr>
          <w:rFonts w:eastAsia="Palatino Linotype" w:cs="Palatino Linotype"/>
          <w:szCs w:val="22"/>
        </w:rPr>
        <w:t xml:space="preserve">SESIÓN ORDINARIA, CELEBRADA EL </w:t>
      </w:r>
      <w:r w:rsidR="00BE38DB" w:rsidRPr="00D06528">
        <w:rPr>
          <w:rFonts w:eastAsia="Palatino Linotype" w:cs="Palatino Linotype"/>
          <w:szCs w:val="22"/>
        </w:rPr>
        <w:t>CUATRO DE JUNIO DE DOS MIL VEINTICINCO</w:t>
      </w:r>
      <w:r w:rsidRPr="00D06528">
        <w:rPr>
          <w:rFonts w:eastAsia="Palatino Linotype" w:cs="Palatino Linotype"/>
          <w:szCs w:val="22"/>
        </w:rPr>
        <w:t>, ANTE EL SECRETARIO TÉCNICO DEL PLENO, ALEXIS TAPIA RAMÍREZ.</w:t>
      </w:r>
    </w:p>
    <w:p w14:paraId="49D72DA3" w14:textId="30BDE11B" w:rsidR="00664420" w:rsidRPr="00D06528" w:rsidRDefault="001E196B" w:rsidP="00D06528">
      <w:pPr>
        <w:ind w:right="-93"/>
        <w:rPr>
          <w:rFonts w:eastAsia="Calibri" w:cs="Tahoma"/>
          <w:bCs/>
          <w:szCs w:val="22"/>
          <w:lang w:eastAsia="en-US"/>
        </w:rPr>
      </w:pPr>
      <w:r w:rsidRPr="00D06528">
        <w:rPr>
          <w:rFonts w:eastAsia="Palatino Linotype" w:cs="Palatino Linotype"/>
          <w:sz w:val="20"/>
        </w:rPr>
        <w:t>SCMM/AGZ/DEMF/CDFE</w:t>
      </w:r>
      <w:r w:rsidRPr="00D06528">
        <w:br w:type="page"/>
      </w:r>
    </w:p>
    <w:p w14:paraId="5EFEA0CD" w14:textId="77777777" w:rsidR="00664420" w:rsidRPr="00D06528" w:rsidRDefault="00664420" w:rsidP="00D06528">
      <w:pPr>
        <w:ind w:right="-93"/>
        <w:rPr>
          <w:rFonts w:eastAsia="Calibri" w:cs="Tahoma"/>
          <w:szCs w:val="22"/>
          <w:lang w:val="es-ES"/>
        </w:rPr>
      </w:pPr>
    </w:p>
    <w:p w14:paraId="696BC976" w14:textId="77777777" w:rsidR="00664420" w:rsidRPr="00D06528" w:rsidRDefault="00664420" w:rsidP="00D06528">
      <w:pPr>
        <w:ind w:right="-93"/>
        <w:rPr>
          <w:rFonts w:eastAsia="Calibri" w:cs="Tahoma"/>
          <w:bCs/>
          <w:szCs w:val="22"/>
          <w:lang w:val="es-ES" w:eastAsia="en-US"/>
        </w:rPr>
      </w:pPr>
    </w:p>
    <w:p w14:paraId="671CB0C5" w14:textId="77777777" w:rsidR="00664420" w:rsidRPr="00D06528" w:rsidRDefault="00664420" w:rsidP="00D06528">
      <w:pPr>
        <w:ind w:right="-93"/>
        <w:rPr>
          <w:rFonts w:eastAsia="Calibri" w:cs="Tahoma"/>
          <w:bCs/>
          <w:szCs w:val="22"/>
          <w:lang w:val="es-ES_tradnl" w:eastAsia="en-US"/>
        </w:rPr>
      </w:pPr>
    </w:p>
    <w:p w14:paraId="52B66DE7" w14:textId="77777777" w:rsidR="00664420" w:rsidRPr="00D06528" w:rsidRDefault="00664420" w:rsidP="00D06528">
      <w:pPr>
        <w:ind w:right="-93"/>
        <w:rPr>
          <w:rFonts w:eastAsia="Calibri" w:cs="Tahoma"/>
          <w:bCs/>
          <w:szCs w:val="22"/>
          <w:lang w:val="es-ES_tradnl" w:eastAsia="en-US"/>
        </w:rPr>
      </w:pPr>
    </w:p>
    <w:p w14:paraId="3BA305D1" w14:textId="77777777" w:rsidR="00664420" w:rsidRPr="00D06528" w:rsidRDefault="00664420" w:rsidP="00D06528">
      <w:pPr>
        <w:ind w:right="-93"/>
        <w:rPr>
          <w:rFonts w:eastAsia="Calibri" w:cs="Tahoma"/>
          <w:bCs/>
          <w:szCs w:val="22"/>
          <w:lang w:val="es-ES_tradnl" w:eastAsia="en-US"/>
        </w:rPr>
      </w:pPr>
    </w:p>
    <w:p w14:paraId="78230707" w14:textId="77777777" w:rsidR="00664420" w:rsidRPr="00D06528" w:rsidRDefault="00664420" w:rsidP="00D06528">
      <w:pPr>
        <w:ind w:right="-93"/>
        <w:rPr>
          <w:rFonts w:eastAsia="Calibri" w:cs="Tahoma"/>
          <w:bCs/>
          <w:szCs w:val="22"/>
          <w:lang w:val="es-ES_tradnl" w:eastAsia="en-US"/>
        </w:rPr>
      </w:pPr>
    </w:p>
    <w:p w14:paraId="72D18B28" w14:textId="77777777" w:rsidR="00664420" w:rsidRPr="00D06528" w:rsidRDefault="00664420" w:rsidP="00D06528">
      <w:pPr>
        <w:ind w:right="-93"/>
        <w:rPr>
          <w:rFonts w:eastAsia="Calibri" w:cs="Tahoma"/>
          <w:bCs/>
          <w:szCs w:val="22"/>
          <w:lang w:val="es-ES_tradnl" w:eastAsia="en-US"/>
        </w:rPr>
      </w:pPr>
    </w:p>
    <w:p w14:paraId="6BD461DC" w14:textId="77777777" w:rsidR="00664420" w:rsidRPr="00D06528" w:rsidRDefault="00664420" w:rsidP="00D06528">
      <w:pPr>
        <w:tabs>
          <w:tab w:val="center" w:pos="4568"/>
        </w:tabs>
        <w:ind w:right="-93"/>
        <w:rPr>
          <w:rFonts w:eastAsia="Calibri" w:cs="Tahoma"/>
          <w:bCs/>
          <w:szCs w:val="22"/>
          <w:lang w:eastAsia="en-US"/>
        </w:rPr>
      </w:pPr>
    </w:p>
    <w:p w14:paraId="4DBB1727" w14:textId="77777777" w:rsidR="00664420" w:rsidRPr="00D06528" w:rsidRDefault="00664420" w:rsidP="00D06528">
      <w:pPr>
        <w:tabs>
          <w:tab w:val="center" w:pos="4568"/>
        </w:tabs>
        <w:ind w:right="-93"/>
        <w:rPr>
          <w:rFonts w:eastAsia="Calibri" w:cs="Tahoma"/>
          <w:bCs/>
          <w:szCs w:val="22"/>
          <w:lang w:eastAsia="en-US"/>
        </w:rPr>
      </w:pPr>
    </w:p>
    <w:p w14:paraId="1D74121B" w14:textId="77777777" w:rsidR="00664420" w:rsidRPr="00D06528" w:rsidRDefault="00664420" w:rsidP="00D06528">
      <w:pPr>
        <w:tabs>
          <w:tab w:val="center" w:pos="4568"/>
        </w:tabs>
        <w:ind w:right="-93"/>
        <w:rPr>
          <w:rFonts w:eastAsia="Calibri" w:cs="Tahoma"/>
          <w:bCs/>
          <w:szCs w:val="22"/>
          <w:lang w:eastAsia="en-US"/>
        </w:rPr>
      </w:pPr>
    </w:p>
    <w:p w14:paraId="08E74E9C" w14:textId="77777777" w:rsidR="00664420" w:rsidRPr="00D06528" w:rsidRDefault="00664420" w:rsidP="00D06528">
      <w:pPr>
        <w:tabs>
          <w:tab w:val="center" w:pos="4568"/>
        </w:tabs>
        <w:ind w:right="-93"/>
        <w:rPr>
          <w:rFonts w:eastAsia="Calibri" w:cs="Tahoma"/>
          <w:bCs/>
          <w:szCs w:val="22"/>
          <w:lang w:eastAsia="en-US"/>
        </w:rPr>
      </w:pPr>
    </w:p>
    <w:p w14:paraId="2CBF5E03" w14:textId="77777777" w:rsidR="00664420" w:rsidRPr="00D06528" w:rsidRDefault="00664420" w:rsidP="00D06528">
      <w:pPr>
        <w:tabs>
          <w:tab w:val="center" w:pos="4568"/>
        </w:tabs>
        <w:ind w:right="-93"/>
        <w:rPr>
          <w:rFonts w:eastAsia="Calibri" w:cs="Tahoma"/>
          <w:bCs/>
          <w:szCs w:val="22"/>
          <w:lang w:eastAsia="en-US"/>
        </w:rPr>
      </w:pPr>
    </w:p>
    <w:p w14:paraId="44865A6D" w14:textId="77777777" w:rsidR="00664420" w:rsidRPr="00D06528" w:rsidRDefault="00664420" w:rsidP="00D06528">
      <w:pPr>
        <w:tabs>
          <w:tab w:val="center" w:pos="4568"/>
        </w:tabs>
        <w:ind w:right="-93"/>
        <w:rPr>
          <w:rFonts w:eastAsia="Calibri" w:cs="Tahoma"/>
          <w:bCs/>
          <w:szCs w:val="22"/>
          <w:lang w:eastAsia="en-US"/>
        </w:rPr>
      </w:pPr>
    </w:p>
    <w:p w14:paraId="7147F06B" w14:textId="77777777" w:rsidR="00664420" w:rsidRPr="00D06528" w:rsidRDefault="00664420" w:rsidP="00D06528">
      <w:pPr>
        <w:tabs>
          <w:tab w:val="center" w:pos="4568"/>
        </w:tabs>
        <w:ind w:right="-93"/>
        <w:rPr>
          <w:rFonts w:eastAsia="Calibri" w:cs="Tahoma"/>
          <w:bCs/>
          <w:szCs w:val="22"/>
          <w:lang w:eastAsia="en-US"/>
        </w:rPr>
      </w:pPr>
    </w:p>
    <w:p w14:paraId="6FDF3D7E" w14:textId="77777777" w:rsidR="00664420" w:rsidRPr="00D06528" w:rsidRDefault="00664420" w:rsidP="00D06528">
      <w:pPr>
        <w:tabs>
          <w:tab w:val="center" w:pos="4568"/>
        </w:tabs>
        <w:ind w:right="-93"/>
        <w:rPr>
          <w:rFonts w:eastAsia="Calibri" w:cs="Tahoma"/>
          <w:bCs/>
          <w:szCs w:val="22"/>
          <w:lang w:eastAsia="en-US"/>
        </w:rPr>
      </w:pPr>
    </w:p>
    <w:p w14:paraId="6246F818" w14:textId="77777777" w:rsidR="00664420" w:rsidRPr="00D06528" w:rsidRDefault="00664420" w:rsidP="00D06528">
      <w:pPr>
        <w:tabs>
          <w:tab w:val="center" w:pos="4568"/>
        </w:tabs>
        <w:ind w:right="-93"/>
        <w:rPr>
          <w:rFonts w:eastAsia="Calibri" w:cs="Tahoma"/>
          <w:bCs/>
          <w:szCs w:val="22"/>
          <w:lang w:eastAsia="en-US"/>
        </w:rPr>
      </w:pPr>
    </w:p>
    <w:p w14:paraId="57A88B28" w14:textId="77777777" w:rsidR="00664420" w:rsidRPr="00D06528" w:rsidRDefault="00664420" w:rsidP="00D06528">
      <w:pPr>
        <w:tabs>
          <w:tab w:val="center" w:pos="4568"/>
        </w:tabs>
        <w:ind w:right="-93"/>
        <w:rPr>
          <w:rFonts w:eastAsia="Calibri" w:cs="Tahoma"/>
          <w:bCs/>
          <w:szCs w:val="22"/>
          <w:lang w:eastAsia="en-US"/>
        </w:rPr>
      </w:pPr>
    </w:p>
    <w:p w14:paraId="77EF6095" w14:textId="77777777" w:rsidR="00664420" w:rsidRPr="00D06528" w:rsidRDefault="00664420" w:rsidP="00D06528">
      <w:pPr>
        <w:tabs>
          <w:tab w:val="center" w:pos="4568"/>
        </w:tabs>
        <w:ind w:right="-93"/>
        <w:rPr>
          <w:rFonts w:eastAsia="Calibri" w:cs="Tahoma"/>
          <w:bCs/>
          <w:szCs w:val="22"/>
          <w:lang w:eastAsia="en-US"/>
        </w:rPr>
      </w:pPr>
    </w:p>
    <w:p w14:paraId="35593947" w14:textId="77777777" w:rsidR="00664420" w:rsidRPr="00D06528" w:rsidRDefault="00664420" w:rsidP="00D06528">
      <w:pPr>
        <w:tabs>
          <w:tab w:val="center" w:pos="4568"/>
        </w:tabs>
        <w:ind w:right="-93"/>
        <w:rPr>
          <w:rFonts w:eastAsia="Calibri" w:cs="Tahoma"/>
          <w:bCs/>
          <w:szCs w:val="22"/>
          <w:lang w:eastAsia="en-US"/>
        </w:rPr>
      </w:pPr>
    </w:p>
    <w:p w14:paraId="3AF72A17" w14:textId="77777777" w:rsidR="00664420" w:rsidRPr="00D06528" w:rsidRDefault="00664420" w:rsidP="00D06528">
      <w:pPr>
        <w:tabs>
          <w:tab w:val="center" w:pos="4568"/>
        </w:tabs>
        <w:ind w:right="-93"/>
        <w:rPr>
          <w:rFonts w:eastAsia="Calibri" w:cs="Tahoma"/>
          <w:bCs/>
          <w:szCs w:val="22"/>
          <w:lang w:eastAsia="en-US"/>
        </w:rPr>
      </w:pPr>
    </w:p>
    <w:p w14:paraId="37169144" w14:textId="77777777" w:rsidR="00664420" w:rsidRPr="00D06528" w:rsidRDefault="00664420" w:rsidP="00D06528">
      <w:pPr>
        <w:tabs>
          <w:tab w:val="center" w:pos="4568"/>
        </w:tabs>
        <w:ind w:right="-93"/>
        <w:rPr>
          <w:rFonts w:eastAsia="Calibri" w:cs="Tahoma"/>
          <w:bCs/>
          <w:szCs w:val="22"/>
          <w:lang w:eastAsia="en-US"/>
        </w:rPr>
      </w:pPr>
    </w:p>
    <w:p w14:paraId="77CFC088" w14:textId="77777777" w:rsidR="00664420" w:rsidRPr="00D06528" w:rsidRDefault="00664420" w:rsidP="00D06528">
      <w:pPr>
        <w:tabs>
          <w:tab w:val="center" w:pos="4568"/>
        </w:tabs>
        <w:ind w:right="-93"/>
        <w:rPr>
          <w:rFonts w:eastAsia="Calibri" w:cs="Tahoma"/>
          <w:bCs/>
          <w:szCs w:val="22"/>
          <w:lang w:eastAsia="en-US"/>
        </w:rPr>
      </w:pPr>
    </w:p>
    <w:p w14:paraId="781A11A5" w14:textId="77777777" w:rsidR="00664420" w:rsidRPr="00D06528" w:rsidRDefault="00664420" w:rsidP="00D06528">
      <w:pPr>
        <w:tabs>
          <w:tab w:val="center" w:pos="4568"/>
        </w:tabs>
        <w:ind w:right="-93"/>
        <w:rPr>
          <w:rFonts w:eastAsia="Calibri" w:cs="Tahoma"/>
          <w:bCs/>
          <w:szCs w:val="22"/>
          <w:lang w:eastAsia="en-US"/>
        </w:rPr>
      </w:pPr>
    </w:p>
    <w:p w14:paraId="5B4ADFF3" w14:textId="77777777" w:rsidR="00A131AC" w:rsidRPr="00D06528" w:rsidRDefault="00A131AC" w:rsidP="00D06528"/>
    <w:sectPr w:rsidR="00A131AC" w:rsidRPr="00D06528" w:rsidSect="00EE2AF2">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F29DD6" w14:textId="77777777" w:rsidR="00E35B54" w:rsidRDefault="00E35B54" w:rsidP="00664420">
      <w:pPr>
        <w:spacing w:line="240" w:lineRule="auto"/>
      </w:pPr>
      <w:r>
        <w:separator/>
      </w:r>
    </w:p>
  </w:endnote>
  <w:endnote w:type="continuationSeparator" w:id="0">
    <w:p w14:paraId="7A8657C4" w14:textId="77777777" w:rsidR="00E35B54" w:rsidRDefault="00E35B54"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Aptos">
    <w:altName w:val="Times New Roman"/>
    <w:charset w:val="00"/>
    <w:family w:val="auto"/>
    <w:pitch w:val="default"/>
  </w:font>
  <w:font w:name="Aptos Display">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9871EB" w:rsidRDefault="009871EB">
    <w:pPr>
      <w:tabs>
        <w:tab w:val="center" w:pos="4550"/>
        <w:tab w:val="left" w:pos="5818"/>
      </w:tabs>
      <w:ind w:right="260"/>
      <w:jc w:val="right"/>
      <w:rPr>
        <w:color w:val="071320" w:themeColor="text2" w:themeShade="80"/>
        <w:sz w:val="24"/>
        <w:szCs w:val="24"/>
      </w:rPr>
    </w:pPr>
  </w:p>
  <w:p w14:paraId="1BCA7F23" w14:textId="77777777" w:rsidR="009871EB" w:rsidRDefault="009871E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15EBBDE8" w:rsidR="009871EB" w:rsidRDefault="009871EB">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4210F8" w:rsidRPr="004210F8">
      <w:rPr>
        <w:noProof/>
        <w:color w:val="0A1D30" w:themeColor="text2" w:themeShade="BF"/>
        <w:sz w:val="24"/>
        <w:szCs w:val="24"/>
        <w:lang w:val="es-ES"/>
      </w:rPr>
      <w:t>18</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4210F8" w:rsidRPr="004210F8">
      <w:rPr>
        <w:noProof/>
        <w:color w:val="0A1D30" w:themeColor="text2" w:themeShade="BF"/>
        <w:sz w:val="24"/>
        <w:szCs w:val="24"/>
        <w:lang w:val="es-ES"/>
      </w:rPr>
      <w:t>19</w:t>
    </w:r>
    <w:r>
      <w:rPr>
        <w:color w:val="0A1D30" w:themeColor="text2" w:themeShade="BF"/>
        <w:sz w:val="24"/>
        <w:szCs w:val="24"/>
      </w:rPr>
      <w:fldChar w:fldCharType="end"/>
    </w:r>
  </w:p>
  <w:p w14:paraId="310E15C0" w14:textId="77777777" w:rsidR="009871EB" w:rsidRDefault="009871E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3C9E14" w14:textId="77777777" w:rsidR="00E35B54" w:rsidRDefault="00E35B54" w:rsidP="00664420">
      <w:pPr>
        <w:spacing w:line="240" w:lineRule="auto"/>
      </w:pPr>
      <w:r>
        <w:separator/>
      </w:r>
    </w:p>
  </w:footnote>
  <w:footnote w:type="continuationSeparator" w:id="0">
    <w:p w14:paraId="14B83785" w14:textId="77777777" w:rsidR="00E35B54" w:rsidRDefault="00E35B54" w:rsidP="00664420">
      <w:pPr>
        <w:spacing w:line="240" w:lineRule="auto"/>
      </w:pPr>
      <w:r>
        <w:continuationSeparator/>
      </w:r>
    </w:p>
  </w:footnote>
  <w:footnote w:id="1">
    <w:p w14:paraId="72680D55" w14:textId="77777777" w:rsidR="009871EB" w:rsidRDefault="009871EB" w:rsidP="00704239">
      <w:pPr>
        <w:spacing w:before="240" w:after="240"/>
        <w:rPr>
          <w:rFonts w:eastAsia="Palatino Linotype" w:cs="Palatino Linotype"/>
          <w:sz w:val="16"/>
          <w:szCs w:val="16"/>
        </w:rPr>
      </w:pPr>
      <w:r>
        <w:rPr>
          <w:vertAlign w:val="superscript"/>
        </w:rPr>
        <w:footnoteRef/>
      </w:r>
      <w:r>
        <w:rPr>
          <w:rFonts w:eastAsia="Palatino Linotype" w:cs="Palatino Linotype"/>
          <w:sz w:val="16"/>
          <w:szCs w:val="16"/>
        </w:rPr>
        <w:t xml:space="preserve"> Carbonell, M. (2004). Los Derechos Fundamentales (Primera Edición ed.), México: Instituto de investigaciones Jurídicas.</w:t>
      </w:r>
    </w:p>
  </w:footnote>
  <w:footnote w:id="2">
    <w:p w14:paraId="1CD45869" w14:textId="77777777" w:rsidR="009871EB" w:rsidRDefault="009871EB" w:rsidP="00704239">
      <w:pPr>
        <w:spacing w:after="120" w:line="196" w:lineRule="auto"/>
        <w:rPr>
          <w:rFonts w:eastAsia="Palatino Linotype" w:cs="Palatino Linotype"/>
          <w:color w:val="000000"/>
          <w:sz w:val="16"/>
          <w:szCs w:val="16"/>
        </w:rPr>
      </w:pPr>
      <w:r>
        <w:rPr>
          <w:vertAlign w:val="superscript"/>
        </w:rPr>
        <w:footnoteRef/>
      </w:r>
      <w:r>
        <w:rPr>
          <w:rFonts w:eastAsia="Palatino Linotype" w:cs="Palatino Linotype"/>
          <w:color w:val="000000"/>
          <w:sz w:val="16"/>
          <w:szCs w:val="16"/>
        </w:rPr>
        <w:t xml:space="preserve"> VILLANUEVA VILLANUEVA Ernesto, Derecho de la Información, Ed, Porrúa S.A., México. 2006, pág.270.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9871EB" w:rsidRPr="00330DA7" w14:paraId="070A4B18" w14:textId="77777777" w:rsidTr="003F35FD">
      <w:trPr>
        <w:trHeight w:val="144"/>
        <w:jc w:val="right"/>
      </w:trPr>
      <w:tc>
        <w:tcPr>
          <w:tcW w:w="2727" w:type="dxa"/>
        </w:tcPr>
        <w:p w14:paraId="62B7493A" w14:textId="77777777" w:rsidR="009871EB" w:rsidRPr="00330DA7" w:rsidRDefault="009871EB" w:rsidP="003F35FD">
          <w:pPr>
            <w:tabs>
              <w:tab w:val="right" w:pos="8838"/>
            </w:tabs>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0FA22580" w:rsidR="009871EB" w:rsidRPr="00A90C72" w:rsidRDefault="009871EB" w:rsidP="003F35FD">
          <w:pPr>
            <w:tabs>
              <w:tab w:val="right" w:pos="8838"/>
            </w:tabs>
            <w:ind w:left="-74" w:right="-105"/>
            <w:rPr>
              <w:rFonts w:eastAsia="Calibri" w:cs="Tahoma"/>
              <w:szCs w:val="22"/>
              <w:lang w:eastAsia="en-US"/>
            </w:rPr>
          </w:pPr>
          <w:r w:rsidRPr="00756864">
            <w:rPr>
              <w:rFonts w:eastAsia="Calibri" w:cs="Tahoma"/>
              <w:szCs w:val="22"/>
              <w:lang w:eastAsia="en-US"/>
            </w:rPr>
            <w:t>04512/INFOEM/IP/RR/2025</w:t>
          </w:r>
        </w:p>
      </w:tc>
    </w:tr>
    <w:tr w:rsidR="009871EB" w:rsidRPr="00330DA7" w14:paraId="4521E058" w14:textId="77777777" w:rsidTr="003F35FD">
      <w:trPr>
        <w:trHeight w:val="283"/>
        <w:jc w:val="right"/>
      </w:trPr>
      <w:tc>
        <w:tcPr>
          <w:tcW w:w="2727" w:type="dxa"/>
        </w:tcPr>
        <w:p w14:paraId="0B68C086" w14:textId="77777777" w:rsidR="009871EB" w:rsidRPr="00330DA7" w:rsidRDefault="009871EB" w:rsidP="003F35FD">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571DA5C4" w:rsidR="009871EB" w:rsidRPr="00952DD0" w:rsidRDefault="009871EB" w:rsidP="003F35FD">
          <w:pPr>
            <w:tabs>
              <w:tab w:val="left" w:pos="2834"/>
              <w:tab w:val="right" w:pos="8838"/>
            </w:tabs>
            <w:ind w:left="-108" w:right="-105"/>
            <w:rPr>
              <w:rFonts w:eastAsia="Calibri" w:cs="Tahoma"/>
              <w:szCs w:val="22"/>
              <w:lang w:eastAsia="en-US"/>
            </w:rPr>
          </w:pPr>
          <w:r w:rsidRPr="00756864">
            <w:rPr>
              <w:rFonts w:eastAsia="Calibri" w:cs="Tahoma"/>
              <w:szCs w:val="22"/>
              <w:lang w:eastAsia="en-US"/>
            </w:rPr>
            <w:t>Ayuntamiento de Huehuetoca</w:t>
          </w:r>
        </w:p>
      </w:tc>
    </w:tr>
    <w:tr w:rsidR="009871EB" w:rsidRPr="00330DA7" w14:paraId="6331D9B6" w14:textId="77777777" w:rsidTr="003F35FD">
      <w:trPr>
        <w:trHeight w:val="283"/>
        <w:jc w:val="right"/>
      </w:trPr>
      <w:tc>
        <w:tcPr>
          <w:tcW w:w="2727" w:type="dxa"/>
        </w:tcPr>
        <w:p w14:paraId="3FA86BAE" w14:textId="4D08C655" w:rsidR="009871EB" w:rsidRPr="00330DA7" w:rsidRDefault="009871EB" w:rsidP="003F35FD">
          <w:pPr>
            <w:tabs>
              <w:tab w:val="right" w:pos="8838"/>
            </w:tabs>
            <w:ind w:left="-74" w:right="-105"/>
            <w:rPr>
              <w:rFonts w:eastAsia="Calibri" w:cs="Tahoma"/>
              <w:b/>
              <w:szCs w:val="22"/>
              <w:lang w:eastAsia="en-US"/>
            </w:rPr>
          </w:pPr>
          <w:r>
            <w:rPr>
              <w:rFonts w:eastAsia="Calibri" w:cs="Tahoma"/>
              <w:b/>
              <w:szCs w:val="22"/>
              <w:lang w:eastAsia="en-US"/>
            </w:rPr>
            <w:t>Comisionada</w:t>
          </w:r>
          <w:r w:rsidRPr="00330DA7">
            <w:rPr>
              <w:rFonts w:eastAsia="Calibri" w:cs="Tahoma"/>
              <w:b/>
              <w:szCs w:val="22"/>
              <w:lang w:eastAsia="en-US"/>
            </w:rPr>
            <w:t xml:space="preserve"> Ponente:</w:t>
          </w:r>
        </w:p>
      </w:tc>
      <w:tc>
        <w:tcPr>
          <w:tcW w:w="3402" w:type="dxa"/>
        </w:tcPr>
        <w:p w14:paraId="3B37D8A3" w14:textId="77777777" w:rsidR="009871EB" w:rsidRPr="00EA66FC" w:rsidRDefault="009871EB" w:rsidP="003F35FD">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9871EB" w:rsidRPr="00443C6B" w:rsidRDefault="009871EB"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9871EB" w:rsidRPr="00330DA7" w14:paraId="29CFF901" w14:textId="77777777" w:rsidTr="00E85A73">
      <w:trPr>
        <w:trHeight w:val="1435"/>
      </w:trPr>
      <w:tc>
        <w:tcPr>
          <w:tcW w:w="283" w:type="dxa"/>
          <w:shd w:val="clear" w:color="auto" w:fill="auto"/>
        </w:tcPr>
        <w:p w14:paraId="046B9F8F" w14:textId="77777777" w:rsidR="009871EB" w:rsidRPr="00330DA7" w:rsidRDefault="009871EB" w:rsidP="00E85A73">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9871EB" w:rsidRPr="00330DA7" w14:paraId="04F272D2" w14:textId="77777777" w:rsidTr="00E85A73">
            <w:trPr>
              <w:trHeight w:val="144"/>
            </w:trPr>
            <w:tc>
              <w:tcPr>
                <w:tcW w:w="2727" w:type="dxa"/>
              </w:tcPr>
              <w:p w14:paraId="2FD4DBF6" w14:textId="77777777" w:rsidR="009871EB" w:rsidRPr="00330DA7" w:rsidRDefault="009871EB" w:rsidP="00E85A73">
                <w:pPr>
                  <w:tabs>
                    <w:tab w:val="right" w:pos="8838"/>
                  </w:tabs>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5A089BA1" w:rsidR="009871EB" w:rsidRPr="00A90C72" w:rsidRDefault="009871EB" w:rsidP="00E85A73">
                <w:pPr>
                  <w:tabs>
                    <w:tab w:val="right" w:pos="8838"/>
                  </w:tabs>
                  <w:ind w:left="-74" w:right="-105"/>
                  <w:rPr>
                    <w:rFonts w:eastAsia="Calibri" w:cs="Tahoma"/>
                    <w:szCs w:val="22"/>
                    <w:lang w:eastAsia="en-US"/>
                  </w:rPr>
                </w:pPr>
                <w:r w:rsidRPr="00756864">
                  <w:rPr>
                    <w:rFonts w:eastAsia="Calibri" w:cs="Tahoma"/>
                    <w:szCs w:val="22"/>
                    <w:lang w:eastAsia="en-US"/>
                  </w:rPr>
                  <w:t>04512/INFOEM/IP/RR/2025</w:t>
                </w:r>
              </w:p>
            </w:tc>
            <w:tc>
              <w:tcPr>
                <w:tcW w:w="3402" w:type="dxa"/>
              </w:tcPr>
              <w:p w14:paraId="71DEA1CF" w14:textId="77777777" w:rsidR="009871EB" w:rsidRDefault="009871EB" w:rsidP="00E85A73">
                <w:pPr>
                  <w:tabs>
                    <w:tab w:val="right" w:pos="8838"/>
                  </w:tabs>
                  <w:ind w:left="-74" w:right="-105"/>
                  <w:rPr>
                    <w:rFonts w:eastAsia="Calibri" w:cs="Tahoma"/>
                    <w:szCs w:val="22"/>
                    <w:lang w:eastAsia="en-US"/>
                  </w:rPr>
                </w:pPr>
              </w:p>
            </w:tc>
          </w:tr>
          <w:tr w:rsidR="009871EB" w:rsidRPr="00330DA7" w14:paraId="05C58951" w14:textId="77777777" w:rsidTr="00E85A73">
            <w:trPr>
              <w:trHeight w:val="144"/>
            </w:trPr>
            <w:tc>
              <w:tcPr>
                <w:tcW w:w="2727" w:type="dxa"/>
              </w:tcPr>
              <w:p w14:paraId="642B9610" w14:textId="77777777" w:rsidR="009871EB" w:rsidRPr="00330DA7" w:rsidRDefault="009871EB" w:rsidP="00E85A73">
                <w:pPr>
                  <w:tabs>
                    <w:tab w:val="right" w:pos="8838"/>
                  </w:tabs>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4C7988F2" w:rsidR="009871EB" w:rsidRPr="005F19B1" w:rsidRDefault="004210F8" w:rsidP="00E85A73">
                <w:pPr>
                  <w:tabs>
                    <w:tab w:val="left" w:pos="3122"/>
                    <w:tab w:val="right" w:pos="8838"/>
                  </w:tabs>
                  <w:ind w:left="-105" w:right="-105"/>
                  <w:rPr>
                    <w:rFonts w:eastAsia="Calibri" w:cs="Tahoma"/>
                    <w:szCs w:val="22"/>
                    <w:lang w:eastAsia="en-US"/>
                  </w:rPr>
                </w:pPr>
                <w:r>
                  <w:rPr>
                    <w:rFonts w:eastAsia="Calibri" w:cs="Tahoma"/>
                    <w:szCs w:val="22"/>
                    <w:lang w:eastAsia="en-US"/>
                  </w:rPr>
                  <w:t>XXXX XXXXXXXX</w:t>
                </w:r>
              </w:p>
            </w:tc>
            <w:tc>
              <w:tcPr>
                <w:tcW w:w="3402" w:type="dxa"/>
              </w:tcPr>
              <w:p w14:paraId="73F47F53" w14:textId="77777777" w:rsidR="009871EB" w:rsidRPr="005F19B1" w:rsidRDefault="009871EB" w:rsidP="00E85A73">
                <w:pPr>
                  <w:tabs>
                    <w:tab w:val="left" w:pos="3122"/>
                    <w:tab w:val="right" w:pos="8838"/>
                  </w:tabs>
                  <w:ind w:left="-105" w:right="-105"/>
                  <w:rPr>
                    <w:rFonts w:eastAsia="Calibri" w:cs="Tahoma"/>
                    <w:szCs w:val="22"/>
                    <w:lang w:eastAsia="en-US"/>
                  </w:rPr>
                </w:pPr>
              </w:p>
            </w:tc>
          </w:tr>
          <w:bookmarkEnd w:id="1"/>
          <w:tr w:rsidR="009871EB" w:rsidRPr="00330DA7" w14:paraId="00E6CDC1" w14:textId="77777777" w:rsidTr="00E85A73">
            <w:trPr>
              <w:trHeight w:val="283"/>
            </w:trPr>
            <w:tc>
              <w:tcPr>
                <w:tcW w:w="2727" w:type="dxa"/>
              </w:tcPr>
              <w:p w14:paraId="0631AD24" w14:textId="77777777" w:rsidR="009871EB" w:rsidRPr="00330DA7" w:rsidRDefault="009871EB" w:rsidP="00E85A73">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633BB7BA" w:rsidR="009871EB" w:rsidRPr="00952DD0" w:rsidRDefault="009871EB" w:rsidP="00E85A73">
                <w:pPr>
                  <w:tabs>
                    <w:tab w:val="left" w:pos="2834"/>
                    <w:tab w:val="right" w:pos="8838"/>
                  </w:tabs>
                  <w:ind w:left="-108" w:right="-105"/>
                  <w:rPr>
                    <w:rFonts w:eastAsia="Calibri" w:cs="Tahoma"/>
                    <w:szCs w:val="22"/>
                    <w:lang w:eastAsia="en-US"/>
                  </w:rPr>
                </w:pPr>
                <w:r w:rsidRPr="00756864">
                  <w:rPr>
                    <w:rFonts w:eastAsia="Calibri" w:cs="Tahoma"/>
                    <w:szCs w:val="22"/>
                    <w:lang w:eastAsia="en-US"/>
                  </w:rPr>
                  <w:t>Ayuntamiento de Huehuetoca</w:t>
                </w:r>
              </w:p>
            </w:tc>
            <w:tc>
              <w:tcPr>
                <w:tcW w:w="3402" w:type="dxa"/>
              </w:tcPr>
              <w:p w14:paraId="3A7DA319" w14:textId="77777777" w:rsidR="009871EB" w:rsidRPr="00A90C72" w:rsidRDefault="009871EB" w:rsidP="00E85A73">
                <w:pPr>
                  <w:tabs>
                    <w:tab w:val="left" w:pos="2834"/>
                    <w:tab w:val="right" w:pos="8838"/>
                  </w:tabs>
                  <w:ind w:left="-108" w:right="-105"/>
                  <w:rPr>
                    <w:rFonts w:eastAsia="Calibri" w:cs="Tahoma"/>
                    <w:szCs w:val="22"/>
                    <w:lang w:eastAsia="en-US"/>
                  </w:rPr>
                </w:pPr>
              </w:p>
            </w:tc>
          </w:tr>
          <w:tr w:rsidR="009871EB" w:rsidRPr="00330DA7" w14:paraId="0F6CD8D2" w14:textId="77777777" w:rsidTr="00E85A73">
            <w:trPr>
              <w:trHeight w:val="283"/>
            </w:trPr>
            <w:tc>
              <w:tcPr>
                <w:tcW w:w="2727" w:type="dxa"/>
              </w:tcPr>
              <w:p w14:paraId="31700628" w14:textId="6134F782" w:rsidR="009871EB" w:rsidRPr="00330DA7" w:rsidRDefault="009871EB" w:rsidP="00E85A73">
                <w:pPr>
                  <w:tabs>
                    <w:tab w:val="right" w:pos="8838"/>
                  </w:tabs>
                  <w:ind w:left="-74" w:right="-105"/>
                  <w:rPr>
                    <w:rFonts w:eastAsia="Calibri" w:cs="Tahoma"/>
                    <w:b/>
                    <w:szCs w:val="22"/>
                    <w:lang w:eastAsia="en-US"/>
                  </w:rPr>
                </w:pPr>
                <w:r>
                  <w:rPr>
                    <w:rFonts w:eastAsia="Calibri" w:cs="Tahoma"/>
                    <w:b/>
                    <w:szCs w:val="22"/>
                    <w:lang w:eastAsia="en-US"/>
                  </w:rPr>
                  <w:t>Comisionada</w:t>
                </w:r>
                <w:r w:rsidRPr="00330DA7">
                  <w:rPr>
                    <w:rFonts w:eastAsia="Calibri" w:cs="Tahoma"/>
                    <w:b/>
                    <w:szCs w:val="22"/>
                    <w:lang w:eastAsia="en-US"/>
                  </w:rPr>
                  <w:t xml:space="preserve"> Ponente:</w:t>
                </w:r>
              </w:p>
            </w:tc>
            <w:tc>
              <w:tcPr>
                <w:tcW w:w="3402" w:type="dxa"/>
              </w:tcPr>
              <w:p w14:paraId="31A90A58" w14:textId="75878977" w:rsidR="009871EB" w:rsidRPr="00EA66FC" w:rsidRDefault="009871EB" w:rsidP="00E85A73">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9871EB" w:rsidRPr="00330DA7" w:rsidRDefault="009871EB" w:rsidP="00E85A73">
                <w:pPr>
                  <w:tabs>
                    <w:tab w:val="right" w:pos="8838"/>
                  </w:tabs>
                  <w:ind w:left="-108" w:right="-105"/>
                  <w:rPr>
                    <w:rFonts w:eastAsia="Calibri" w:cs="Tahoma"/>
                    <w:szCs w:val="22"/>
                    <w:lang w:eastAsia="en-US"/>
                  </w:rPr>
                </w:pPr>
              </w:p>
            </w:tc>
          </w:tr>
        </w:tbl>
        <w:p w14:paraId="5DC6AC61" w14:textId="77777777" w:rsidR="009871EB" w:rsidRPr="00330DA7" w:rsidRDefault="009871EB" w:rsidP="00E85A73">
          <w:pPr>
            <w:tabs>
              <w:tab w:val="right" w:pos="8838"/>
            </w:tabs>
            <w:ind w:left="-28"/>
            <w:rPr>
              <w:rFonts w:ascii="Arial" w:eastAsia="Calibri" w:hAnsi="Arial" w:cs="Arial"/>
              <w:b/>
              <w:szCs w:val="22"/>
              <w:lang w:eastAsia="en-US"/>
            </w:rPr>
          </w:pPr>
        </w:p>
      </w:tc>
    </w:tr>
  </w:tbl>
  <w:p w14:paraId="2A906731" w14:textId="77777777" w:rsidR="009871EB" w:rsidRPr="00765661" w:rsidRDefault="00E35B54" w:rsidP="00E85A73">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E76E8"/>
    <w:multiLevelType w:val="hybridMultilevel"/>
    <w:tmpl w:val="5D9A6F88"/>
    <w:lvl w:ilvl="0" w:tplc="CC265BFC">
      <w:start w:val="3"/>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D920A6"/>
    <w:multiLevelType w:val="hybridMultilevel"/>
    <w:tmpl w:val="73A294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9" w15:restartNumberingAfterBreak="0">
    <w:nsid w:val="2B9C3DAB"/>
    <w:multiLevelType w:val="hybridMultilevel"/>
    <w:tmpl w:val="14DA39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F614A05"/>
    <w:multiLevelType w:val="hybridMultilevel"/>
    <w:tmpl w:val="BD2A7C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15:restartNumberingAfterBreak="0">
    <w:nsid w:val="366E6ADD"/>
    <w:multiLevelType w:val="multilevel"/>
    <w:tmpl w:val="D68413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BAA77B8"/>
    <w:multiLevelType w:val="multilevel"/>
    <w:tmpl w:val="3DFAF1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53494FE4"/>
    <w:multiLevelType w:val="hybridMultilevel"/>
    <w:tmpl w:val="6F28EC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B7A640A"/>
    <w:multiLevelType w:val="hybridMultilevel"/>
    <w:tmpl w:val="341EE0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C3A4273"/>
    <w:multiLevelType w:val="hybridMultilevel"/>
    <w:tmpl w:val="EA9858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7"/>
  </w:num>
  <w:num w:numId="3">
    <w:abstractNumId w:val="21"/>
  </w:num>
  <w:num w:numId="4">
    <w:abstractNumId w:val="6"/>
  </w:num>
  <w:num w:numId="5">
    <w:abstractNumId w:val="3"/>
  </w:num>
  <w:num w:numId="6">
    <w:abstractNumId w:val="22"/>
  </w:num>
  <w:num w:numId="7">
    <w:abstractNumId w:val="14"/>
  </w:num>
  <w:num w:numId="8">
    <w:abstractNumId w:val="5"/>
  </w:num>
  <w:num w:numId="9">
    <w:abstractNumId w:val="13"/>
  </w:num>
  <w:num w:numId="10">
    <w:abstractNumId w:val="8"/>
    <w:lvlOverride w:ilvl="0">
      <w:startOverride w:val="1"/>
    </w:lvlOverride>
    <w:lvlOverride w:ilvl="1"/>
    <w:lvlOverride w:ilvl="2"/>
    <w:lvlOverride w:ilvl="3"/>
    <w:lvlOverride w:ilvl="4"/>
    <w:lvlOverride w:ilvl="5"/>
    <w:lvlOverride w:ilvl="6"/>
    <w:lvlOverride w:ilvl="7"/>
    <w:lvlOverride w:ilvl="8"/>
  </w:num>
  <w:num w:numId="11">
    <w:abstractNumId w:val="8"/>
  </w:num>
  <w:num w:numId="12">
    <w:abstractNumId w:val="7"/>
  </w:num>
  <w:num w:numId="13">
    <w:abstractNumId w:val="1"/>
  </w:num>
  <w:num w:numId="14">
    <w:abstractNumId w:val="4"/>
  </w:num>
  <w:num w:numId="15">
    <w:abstractNumId w:val="15"/>
  </w:num>
  <w:num w:numId="16">
    <w:abstractNumId w:val="18"/>
  </w:num>
  <w:num w:numId="17">
    <w:abstractNumId w:val="10"/>
  </w:num>
  <w:num w:numId="18">
    <w:abstractNumId w:val="19"/>
  </w:num>
  <w:num w:numId="19">
    <w:abstractNumId w:val="2"/>
  </w:num>
  <w:num w:numId="20">
    <w:abstractNumId w:val="16"/>
  </w:num>
  <w:num w:numId="21">
    <w:abstractNumId w:val="20"/>
  </w:num>
  <w:num w:numId="22">
    <w:abstractNumId w:val="11"/>
  </w:num>
  <w:num w:numId="23">
    <w:abstractNumId w:val="0"/>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318BC"/>
    <w:rsid w:val="000448F1"/>
    <w:rsid w:val="00057B2D"/>
    <w:rsid w:val="00074B52"/>
    <w:rsid w:val="00080071"/>
    <w:rsid w:val="00081B94"/>
    <w:rsid w:val="000A666D"/>
    <w:rsid w:val="000C47C5"/>
    <w:rsid w:val="000D0D67"/>
    <w:rsid w:val="000D5439"/>
    <w:rsid w:val="000E09C4"/>
    <w:rsid w:val="0011350D"/>
    <w:rsid w:val="00135EF3"/>
    <w:rsid w:val="00141876"/>
    <w:rsid w:val="0014207B"/>
    <w:rsid w:val="00150C49"/>
    <w:rsid w:val="00156FD8"/>
    <w:rsid w:val="00165FE9"/>
    <w:rsid w:val="00193090"/>
    <w:rsid w:val="00193F73"/>
    <w:rsid w:val="00197DFC"/>
    <w:rsid w:val="001A58B3"/>
    <w:rsid w:val="001C7688"/>
    <w:rsid w:val="001D19F2"/>
    <w:rsid w:val="001D2957"/>
    <w:rsid w:val="001E196B"/>
    <w:rsid w:val="001F3515"/>
    <w:rsid w:val="001F6646"/>
    <w:rsid w:val="00233005"/>
    <w:rsid w:val="00233F17"/>
    <w:rsid w:val="002347F3"/>
    <w:rsid w:val="002778F0"/>
    <w:rsid w:val="002A3601"/>
    <w:rsid w:val="002A3D44"/>
    <w:rsid w:val="002A7339"/>
    <w:rsid w:val="002B3956"/>
    <w:rsid w:val="002B7C6F"/>
    <w:rsid w:val="002C22A3"/>
    <w:rsid w:val="002C53EE"/>
    <w:rsid w:val="002D111C"/>
    <w:rsid w:val="00302476"/>
    <w:rsid w:val="00304E8E"/>
    <w:rsid w:val="00307D18"/>
    <w:rsid w:val="00325871"/>
    <w:rsid w:val="00331F35"/>
    <w:rsid w:val="0033375C"/>
    <w:rsid w:val="00335CDF"/>
    <w:rsid w:val="00362A11"/>
    <w:rsid w:val="00366345"/>
    <w:rsid w:val="0038133E"/>
    <w:rsid w:val="00396412"/>
    <w:rsid w:val="003A40C1"/>
    <w:rsid w:val="003B5D3E"/>
    <w:rsid w:val="003E2BA6"/>
    <w:rsid w:val="003F35FD"/>
    <w:rsid w:val="0040367B"/>
    <w:rsid w:val="0041385B"/>
    <w:rsid w:val="004210F8"/>
    <w:rsid w:val="00441BFA"/>
    <w:rsid w:val="00454FBD"/>
    <w:rsid w:val="0046619F"/>
    <w:rsid w:val="00475248"/>
    <w:rsid w:val="004A131B"/>
    <w:rsid w:val="004A5973"/>
    <w:rsid w:val="004C04EC"/>
    <w:rsid w:val="004D2924"/>
    <w:rsid w:val="004D7CD8"/>
    <w:rsid w:val="004E1875"/>
    <w:rsid w:val="004E5068"/>
    <w:rsid w:val="004E50F8"/>
    <w:rsid w:val="004F47D6"/>
    <w:rsid w:val="004F7A00"/>
    <w:rsid w:val="00523F48"/>
    <w:rsid w:val="005365FA"/>
    <w:rsid w:val="00536E63"/>
    <w:rsid w:val="00551383"/>
    <w:rsid w:val="005723CB"/>
    <w:rsid w:val="00575400"/>
    <w:rsid w:val="00587141"/>
    <w:rsid w:val="00595228"/>
    <w:rsid w:val="005A3789"/>
    <w:rsid w:val="005A730D"/>
    <w:rsid w:val="005B18AF"/>
    <w:rsid w:val="005B5153"/>
    <w:rsid w:val="005C3DBB"/>
    <w:rsid w:val="005D5A50"/>
    <w:rsid w:val="005F5301"/>
    <w:rsid w:val="005F65B7"/>
    <w:rsid w:val="006067C7"/>
    <w:rsid w:val="006159AD"/>
    <w:rsid w:val="0064167D"/>
    <w:rsid w:val="00646436"/>
    <w:rsid w:val="00664420"/>
    <w:rsid w:val="00664DAC"/>
    <w:rsid w:val="006A646A"/>
    <w:rsid w:val="006B0482"/>
    <w:rsid w:val="006B10B0"/>
    <w:rsid w:val="006B3DC7"/>
    <w:rsid w:val="006B498E"/>
    <w:rsid w:val="006C3A73"/>
    <w:rsid w:val="006E220B"/>
    <w:rsid w:val="006E25BC"/>
    <w:rsid w:val="006E6BBC"/>
    <w:rsid w:val="006F7768"/>
    <w:rsid w:val="00704239"/>
    <w:rsid w:val="007048A3"/>
    <w:rsid w:val="00705CAF"/>
    <w:rsid w:val="00717E59"/>
    <w:rsid w:val="00727D22"/>
    <w:rsid w:val="00756864"/>
    <w:rsid w:val="00773AD0"/>
    <w:rsid w:val="00775BFC"/>
    <w:rsid w:val="007A094A"/>
    <w:rsid w:val="007A3459"/>
    <w:rsid w:val="007B6074"/>
    <w:rsid w:val="007D1C55"/>
    <w:rsid w:val="007D317F"/>
    <w:rsid w:val="007F5D06"/>
    <w:rsid w:val="00803187"/>
    <w:rsid w:val="00805A6E"/>
    <w:rsid w:val="008252A0"/>
    <w:rsid w:val="008307AD"/>
    <w:rsid w:val="00865CF4"/>
    <w:rsid w:val="00876DBC"/>
    <w:rsid w:val="0088440B"/>
    <w:rsid w:val="008A6003"/>
    <w:rsid w:val="008A6F88"/>
    <w:rsid w:val="008B1E16"/>
    <w:rsid w:val="008B534F"/>
    <w:rsid w:val="008B7FE7"/>
    <w:rsid w:val="008E1316"/>
    <w:rsid w:val="008E6902"/>
    <w:rsid w:val="008F42C0"/>
    <w:rsid w:val="00910FD2"/>
    <w:rsid w:val="009260E7"/>
    <w:rsid w:val="00931437"/>
    <w:rsid w:val="00932610"/>
    <w:rsid w:val="00933717"/>
    <w:rsid w:val="00953430"/>
    <w:rsid w:val="009565E8"/>
    <w:rsid w:val="00970EB3"/>
    <w:rsid w:val="00982F40"/>
    <w:rsid w:val="00987005"/>
    <w:rsid w:val="009871EB"/>
    <w:rsid w:val="009A2D78"/>
    <w:rsid w:val="009A7C10"/>
    <w:rsid w:val="009B23DF"/>
    <w:rsid w:val="009B2945"/>
    <w:rsid w:val="009D41AC"/>
    <w:rsid w:val="009D4604"/>
    <w:rsid w:val="009E2586"/>
    <w:rsid w:val="009E2DEE"/>
    <w:rsid w:val="009F695E"/>
    <w:rsid w:val="009F797C"/>
    <w:rsid w:val="00A131AC"/>
    <w:rsid w:val="00A16D85"/>
    <w:rsid w:val="00A21A20"/>
    <w:rsid w:val="00A36A99"/>
    <w:rsid w:val="00A53315"/>
    <w:rsid w:val="00A65B54"/>
    <w:rsid w:val="00A70EF0"/>
    <w:rsid w:val="00A73F3B"/>
    <w:rsid w:val="00A91BC5"/>
    <w:rsid w:val="00A9208D"/>
    <w:rsid w:val="00AA1429"/>
    <w:rsid w:val="00AA6EA9"/>
    <w:rsid w:val="00AC0DD2"/>
    <w:rsid w:val="00AC2DB8"/>
    <w:rsid w:val="00AC3CA0"/>
    <w:rsid w:val="00AE3DA7"/>
    <w:rsid w:val="00AF03C4"/>
    <w:rsid w:val="00B22A80"/>
    <w:rsid w:val="00B56B55"/>
    <w:rsid w:val="00B653A1"/>
    <w:rsid w:val="00B854B7"/>
    <w:rsid w:val="00BA1782"/>
    <w:rsid w:val="00BA55A8"/>
    <w:rsid w:val="00BB2ABF"/>
    <w:rsid w:val="00BB64F4"/>
    <w:rsid w:val="00BC2AA9"/>
    <w:rsid w:val="00BD0187"/>
    <w:rsid w:val="00BD1158"/>
    <w:rsid w:val="00BD3F4F"/>
    <w:rsid w:val="00BD5A7C"/>
    <w:rsid w:val="00BD6882"/>
    <w:rsid w:val="00BE38DB"/>
    <w:rsid w:val="00BE7A1B"/>
    <w:rsid w:val="00BF0221"/>
    <w:rsid w:val="00BF091A"/>
    <w:rsid w:val="00BF467D"/>
    <w:rsid w:val="00BF4EAD"/>
    <w:rsid w:val="00C049E2"/>
    <w:rsid w:val="00C04A71"/>
    <w:rsid w:val="00C06130"/>
    <w:rsid w:val="00C36795"/>
    <w:rsid w:val="00C461EC"/>
    <w:rsid w:val="00C507D4"/>
    <w:rsid w:val="00C71CEF"/>
    <w:rsid w:val="00C72DAA"/>
    <w:rsid w:val="00C80B14"/>
    <w:rsid w:val="00C92CB3"/>
    <w:rsid w:val="00CB7E9A"/>
    <w:rsid w:val="00CD0B92"/>
    <w:rsid w:val="00CE29D3"/>
    <w:rsid w:val="00CE74A5"/>
    <w:rsid w:val="00CF130E"/>
    <w:rsid w:val="00CF1ACC"/>
    <w:rsid w:val="00CF2D8B"/>
    <w:rsid w:val="00CF6C4F"/>
    <w:rsid w:val="00CF7586"/>
    <w:rsid w:val="00D036D3"/>
    <w:rsid w:val="00D06528"/>
    <w:rsid w:val="00D172FE"/>
    <w:rsid w:val="00D2790D"/>
    <w:rsid w:val="00D37D7E"/>
    <w:rsid w:val="00D51ECD"/>
    <w:rsid w:val="00D6170E"/>
    <w:rsid w:val="00D7225D"/>
    <w:rsid w:val="00D740A1"/>
    <w:rsid w:val="00D91A0C"/>
    <w:rsid w:val="00D91CB4"/>
    <w:rsid w:val="00DA11A0"/>
    <w:rsid w:val="00DB1C09"/>
    <w:rsid w:val="00DB3207"/>
    <w:rsid w:val="00DC30A9"/>
    <w:rsid w:val="00DE1133"/>
    <w:rsid w:val="00E16BF5"/>
    <w:rsid w:val="00E35B54"/>
    <w:rsid w:val="00E37138"/>
    <w:rsid w:val="00E37A3F"/>
    <w:rsid w:val="00E37D3C"/>
    <w:rsid w:val="00E62E6A"/>
    <w:rsid w:val="00E73984"/>
    <w:rsid w:val="00E82927"/>
    <w:rsid w:val="00E83EF5"/>
    <w:rsid w:val="00E85A73"/>
    <w:rsid w:val="00E9335C"/>
    <w:rsid w:val="00EB1019"/>
    <w:rsid w:val="00EB319A"/>
    <w:rsid w:val="00EB35D7"/>
    <w:rsid w:val="00ED1C1E"/>
    <w:rsid w:val="00ED58AB"/>
    <w:rsid w:val="00EE2AF2"/>
    <w:rsid w:val="00F07EE6"/>
    <w:rsid w:val="00F11C00"/>
    <w:rsid w:val="00F141D2"/>
    <w:rsid w:val="00F15127"/>
    <w:rsid w:val="00F33CC8"/>
    <w:rsid w:val="00F4481C"/>
    <w:rsid w:val="00F45E99"/>
    <w:rsid w:val="00F566BD"/>
    <w:rsid w:val="00F655F1"/>
    <w:rsid w:val="00F75D23"/>
    <w:rsid w:val="00F76C91"/>
    <w:rsid w:val="00F952FF"/>
    <w:rsid w:val="00FA5957"/>
    <w:rsid w:val="00FC3CE0"/>
    <w:rsid w:val="00FC4385"/>
    <w:rsid w:val="00FC62FC"/>
    <w:rsid w:val="00FD06A8"/>
    <w:rsid w:val="00FE24AC"/>
    <w:rsid w:val="00FF3068"/>
    <w:rsid w:val="00FF5E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F4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810235">
      <w:bodyDiv w:val="1"/>
      <w:marLeft w:val="0"/>
      <w:marRight w:val="0"/>
      <w:marTop w:val="0"/>
      <w:marBottom w:val="0"/>
      <w:divBdr>
        <w:top w:val="none" w:sz="0" w:space="0" w:color="auto"/>
        <w:left w:val="none" w:sz="0" w:space="0" w:color="auto"/>
        <w:bottom w:val="none" w:sz="0" w:space="0" w:color="auto"/>
        <w:right w:val="none" w:sz="0" w:space="0" w:color="auto"/>
      </w:divBdr>
    </w:div>
    <w:div w:id="255595166">
      <w:bodyDiv w:val="1"/>
      <w:marLeft w:val="0"/>
      <w:marRight w:val="0"/>
      <w:marTop w:val="0"/>
      <w:marBottom w:val="0"/>
      <w:divBdr>
        <w:top w:val="none" w:sz="0" w:space="0" w:color="auto"/>
        <w:left w:val="none" w:sz="0" w:space="0" w:color="auto"/>
        <w:bottom w:val="none" w:sz="0" w:space="0" w:color="auto"/>
        <w:right w:val="none" w:sz="0" w:space="0" w:color="auto"/>
      </w:divBdr>
    </w:div>
    <w:div w:id="291980502">
      <w:bodyDiv w:val="1"/>
      <w:marLeft w:val="0"/>
      <w:marRight w:val="0"/>
      <w:marTop w:val="0"/>
      <w:marBottom w:val="0"/>
      <w:divBdr>
        <w:top w:val="none" w:sz="0" w:space="0" w:color="auto"/>
        <w:left w:val="none" w:sz="0" w:space="0" w:color="auto"/>
        <w:bottom w:val="none" w:sz="0" w:space="0" w:color="auto"/>
        <w:right w:val="none" w:sz="0" w:space="0" w:color="auto"/>
      </w:divBdr>
    </w:div>
    <w:div w:id="312032708">
      <w:bodyDiv w:val="1"/>
      <w:marLeft w:val="0"/>
      <w:marRight w:val="0"/>
      <w:marTop w:val="0"/>
      <w:marBottom w:val="0"/>
      <w:divBdr>
        <w:top w:val="none" w:sz="0" w:space="0" w:color="auto"/>
        <w:left w:val="none" w:sz="0" w:space="0" w:color="auto"/>
        <w:bottom w:val="none" w:sz="0" w:space="0" w:color="auto"/>
        <w:right w:val="none" w:sz="0" w:space="0" w:color="auto"/>
      </w:divBdr>
    </w:div>
    <w:div w:id="422846082">
      <w:bodyDiv w:val="1"/>
      <w:marLeft w:val="0"/>
      <w:marRight w:val="0"/>
      <w:marTop w:val="0"/>
      <w:marBottom w:val="0"/>
      <w:divBdr>
        <w:top w:val="none" w:sz="0" w:space="0" w:color="auto"/>
        <w:left w:val="none" w:sz="0" w:space="0" w:color="auto"/>
        <w:bottom w:val="none" w:sz="0" w:space="0" w:color="auto"/>
        <w:right w:val="none" w:sz="0" w:space="0" w:color="auto"/>
      </w:divBdr>
    </w:div>
    <w:div w:id="474302851">
      <w:bodyDiv w:val="1"/>
      <w:marLeft w:val="0"/>
      <w:marRight w:val="0"/>
      <w:marTop w:val="0"/>
      <w:marBottom w:val="0"/>
      <w:divBdr>
        <w:top w:val="none" w:sz="0" w:space="0" w:color="auto"/>
        <w:left w:val="none" w:sz="0" w:space="0" w:color="auto"/>
        <w:bottom w:val="none" w:sz="0" w:space="0" w:color="auto"/>
        <w:right w:val="none" w:sz="0" w:space="0" w:color="auto"/>
      </w:divBdr>
    </w:div>
    <w:div w:id="479004650">
      <w:bodyDiv w:val="1"/>
      <w:marLeft w:val="0"/>
      <w:marRight w:val="0"/>
      <w:marTop w:val="0"/>
      <w:marBottom w:val="0"/>
      <w:divBdr>
        <w:top w:val="none" w:sz="0" w:space="0" w:color="auto"/>
        <w:left w:val="none" w:sz="0" w:space="0" w:color="auto"/>
        <w:bottom w:val="none" w:sz="0" w:space="0" w:color="auto"/>
        <w:right w:val="none" w:sz="0" w:space="0" w:color="auto"/>
      </w:divBdr>
    </w:div>
    <w:div w:id="627787389">
      <w:bodyDiv w:val="1"/>
      <w:marLeft w:val="0"/>
      <w:marRight w:val="0"/>
      <w:marTop w:val="0"/>
      <w:marBottom w:val="0"/>
      <w:divBdr>
        <w:top w:val="none" w:sz="0" w:space="0" w:color="auto"/>
        <w:left w:val="none" w:sz="0" w:space="0" w:color="auto"/>
        <w:bottom w:val="none" w:sz="0" w:space="0" w:color="auto"/>
        <w:right w:val="none" w:sz="0" w:space="0" w:color="auto"/>
      </w:divBdr>
    </w:div>
    <w:div w:id="854616707">
      <w:bodyDiv w:val="1"/>
      <w:marLeft w:val="0"/>
      <w:marRight w:val="0"/>
      <w:marTop w:val="0"/>
      <w:marBottom w:val="0"/>
      <w:divBdr>
        <w:top w:val="none" w:sz="0" w:space="0" w:color="auto"/>
        <w:left w:val="none" w:sz="0" w:space="0" w:color="auto"/>
        <w:bottom w:val="none" w:sz="0" w:space="0" w:color="auto"/>
        <w:right w:val="none" w:sz="0" w:space="0" w:color="auto"/>
      </w:divBdr>
    </w:div>
    <w:div w:id="1088503516">
      <w:bodyDiv w:val="1"/>
      <w:marLeft w:val="0"/>
      <w:marRight w:val="0"/>
      <w:marTop w:val="0"/>
      <w:marBottom w:val="0"/>
      <w:divBdr>
        <w:top w:val="none" w:sz="0" w:space="0" w:color="auto"/>
        <w:left w:val="none" w:sz="0" w:space="0" w:color="auto"/>
        <w:bottom w:val="none" w:sz="0" w:space="0" w:color="auto"/>
        <w:right w:val="none" w:sz="0" w:space="0" w:color="auto"/>
      </w:divBdr>
    </w:div>
    <w:div w:id="1105272654">
      <w:bodyDiv w:val="1"/>
      <w:marLeft w:val="0"/>
      <w:marRight w:val="0"/>
      <w:marTop w:val="0"/>
      <w:marBottom w:val="0"/>
      <w:divBdr>
        <w:top w:val="none" w:sz="0" w:space="0" w:color="auto"/>
        <w:left w:val="none" w:sz="0" w:space="0" w:color="auto"/>
        <w:bottom w:val="none" w:sz="0" w:space="0" w:color="auto"/>
        <w:right w:val="none" w:sz="0" w:space="0" w:color="auto"/>
      </w:divBdr>
    </w:div>
    <w:div w:id="1236474572">
      <w:bodyDiv w:val="1"/>
      <w:marLeft w:val="0"/>
      <w:marRight w:val="0"/>
      <w:marTop w:val="0"/>
      <w:marBottom w:val="0"/>
      <w:divBdr>
        <w:top w:val="none" w:sz="0" w:space="0" w:color="auto"/>
        <w:left w:val="none" w:sz="0" w:space="0" w:color="auto"/>
        <w:bottom w:val="none" w:sz="0" w:space="0" w:color="auto"/>
        <w:right w:val="none" w:sz="0" w:space="0" w:color="auto"/>
      </w:divBdr>
    </w:div>
    <w:div w:id="1238789548">
      <w:bodyDiv w:val="1"/>
      <w:marLeft w:val="0"/>
      <w:marRight w:val="0"/>
      <w:marTop w:val="0"/>
      <w:marBottom w:val="0"/>
      <w:divBdr>
        <w:top w:val="none" w:sz="0" w:space="0" w:color="auto"/>
        <w:left w:val="none" w:sz="0" w:space="0" w:color="auto"/>
        <w:bottom w:val="none" w:sz="0" w:space="0" w:color="auto"/>
        <w:right w:val="none" w:sz="0" w:space="0" w:color="auto"/>
      </w:divBdr>
    </w:div>
    <w:div w:id="1534270722">
      <w:bodyDiv w:val="1"/>
      <w:marLeft w:val="0"/>
      <w:marRight w:val="0"/>
      <w:marTop w:val="0"/>
      <w:marBottom w:val="0"/>
      <w:divBdr>
        <w:top w:val="none" w:sz="0" w:space="0" w:color="auto"/>
        <w:left w:val="none" w:sz="0" w:space="0" w:color="auto"/>
        <w:bottom w:val="none" w:sz="0" w:space="0" w:color="auto"/>
        <w:right w:val="none" w:sz="0" w:space="0" w:color="auto"/>
      </w:divBdr>
    </w:div>
    <w:div w:id="1846820295">
      <w:bodyDiv w:val="1"/>
      <w:marLeft w:val="0"/>
      <w:marRight w:val="0"/>
      <w:marTop w:val="0"/>
      <w:marBottom w:val="0"/>
      <w:divBdr>
        <w:top w:val="none" w:sz="0" w:space="0" w:color="auto"/>
        <w:left w:val="none" w:sz="0" w:space="0" w:color="auto"/>
        <w:bottom w:val="none" w:sz="0" w:space="0" w:color="auto"/>
        <w:right w:val="none" w:sz="0" w:space="0" w:color="auto"/>
      </w:divBdr>
    </w:div>
    <w:div w:id="1890335689">
      <w:bodyDiv w:val="1"/>
      <w:marLeft w:val="0"/>
      <w:marRight w:val="0"/>
      <w:marTop w:val="0"/>
      <w:marBottom w:val="0"/>
      <w:divBdr>
        <w:top w:val="none" w:sz="0" w:space="0" w:color="auto"/>
        <w:left w:val="none" w:sz="0" w:space="0" w:color="auto"/>
        <w:bottom w:val="none" w:sz="0" w:space="0" w:color="auto"/>
        <w:right w:val="none" w:sz="0" w:space="0" w:color="auto"/>
      </w:divBdr>
    </w:div>
    <w:div w:id="2071612058">
      <w:bodyDiv w:val="1"/>
      <w:marLeft w:val="0"/>
      <w:marRight w:val="0"/>
      <w:marTop w:val="0"/>
      <w:marBottom w:val="0"/>
      <w:divBdr>
        <w:top w:val="none" w:sz="0" w:space="0" w:color="auto"/>
        <w:left w:val="none" w:sz="0" w:space="0" w:color="auto"/>
        <w:bottom w:val="none" w:sz="0" w:space="0" w:color="auto"/>
        <w:right w:val="none" w:sz="0" w:space="0" w:color="auto"/>
      </w:divBdr>
    </w:div>
    <w:div w:id="210425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2.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AC2D5E0-3508-4DA2-A7D0-A4C65B054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19</Pages>
  <Words>4756</Words>
  <Characters>26160</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INFOEM381</cp:lastModifiedBy>
  <cp:revision>8</cp:revision>
  <cp:lastPrinted>2025-06-05T23:17:00Z</cp:lastPrinted>
  <dcterms:created xsi:type="dcterms:W3CDTF">2025-05-28T20:32:00Z</dcterms:created>
  <dcterms:modified xsi:type="dcterms:W3CDTF">2025-08-07T20:39:00Z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