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2F253"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de abril de dos mil veinticinco. </w:t>
      </w:r>
    </w:p>
    <w:p w14:paraId="75471A37" w14:textId="0ED2A136" w:rsidR="00566805" w:rsidRPr="00E11169" w:rsidRDefault="0088381A">
      <w:pPr>
        <w:tabs>
          <w:tab w:val="left" w:pos="5812"/>
        </w:tabs>
        <w:spacing w:before="240" w:after="240" w:line="360" w:lineRule="auto"/>
        <w:jc w:val="both"/>
        <w:rPr>
          <w:rFonts w:ascii="Palatino Linotype" w:eastAsia="Palatino Linotype" w:hAnsi="Palatino Linotype" w:cs="Palatino Linotype"/>
        </w:rPr>
      </w:pPr>
      <w:bookmarkStart w:id="0" w:name="_heading=h.daj3j2xo6q66" w:colFirst="0" w:colLast="0"/>
      <w:bookmarkEnd w:id="0"/>
      <w:r w:rsidRPr="00E11169">
        <w:rPr>
          <w:rFonts w:ascii="Palatino Linotype" w:eastAsia="Palatino Linotype" w:hAnsi="Palatino Linotype" w:cs="Palatino Linotype"/>
          <w:b/>
        </w:rPr>
        <w:t>VISTO</w:t>
      </w:r>
      <w:r w:rsidRPr="00E11169">
        <w:rPr>
          <w:rFonts w:ascii="Palatino Linotype" w:eastAsia="Palatino Linotype" w:hAnsi="Palatino Linotype" w:cs="Palatino Linotype"/>
        </w:rPr>
        <w:t xml:space="preserve"> el expediente formado con motivo del recurso de revisión </w:t>
      </w:r>
      <w:r w:rsidRPr="00E11169">
        <w:rPr>
          <w:rFonts w:ascii="Palatino Linotype" w:eastAsia="Palatino Linotype" w:hAnsi="Palatino Linotype" w:cs="Palatino Linotype"/>
          <w:b/>
        </w:rPr>
        <w:t>02029/INFOEM/IP/RR/2025</w:t>
      </w:r>
      <w:r w:rsidRPr="00E11169">
        <w:rPr>
          <w:rFonts w:ascii="Palatino Linotype" w:eastAsia="Palatino Linotype" w:hAnsi="Palatino Linotype" w:cs="Palatino Linotype"/>
        </w:rPr>
        <w:t>, interpuesto por</w:t>
      </w:r>
      <w:r w:rsidRPr="00E11169">
        <w:rPr>
          <w:rFonts w:ascii="Palatino Linotype" w:eastAsia="Palatino Linotype" w:hAnsi="Palatino Linotype" w:cs="Palatino Linotype"/>
          <w:b/>
        </w:rPr>
        <w:t xml:space="preserve"> </w:t>
      </w:r>
      <w:r w:rsidR="008A67BD" w:rsidRPr="008A67BD">
        <w:rPr>
          <w:rFonts w:ascii="Palatino Linotype" w:eastAsia="Palatino Linotype" w:hAnsi="Palatino Linotype" w:cs="Palatino Linotype"/>
          <w:b/>
        </w:rPr>
        <w:t>XXXX XXXXXXX XXXXXX XXXXXXX</w:t>
      </w:r>
      <w:r w:rsidRPr="00E11169">
        <w:rPr>
          <w:rFonts w:ascii="Palatino Linotype" w:eastAsia="Palatino Linotype" w:hAnsi="Palatino Linotype" w:cs="Palatino Linotype"/>
          <w:b/>
        </w:rPr>
        <w:t>,</w:t>
      </w:r>
      <w:r w:rsidRPr="00E11169">
        <w:rPr>
          <w:rFonts w:ascii="Palatino Linotype" w:eastAsia="Palatino Linotype" w:hAnsi="Palatino Linotype" w:cs="Palatino Linotype"/>
        </w:rPr>
        <w:t xml:space="preserve"> en lo sucesivo</w:t>
      </w:r>
      <w:r w:rsidRPr="00E11169">
        <w:rPr>
          <w:rFonts w:ascii="Palatino Linotype" w:eastAsia="Palatino Linotype" w:hAnsi="Palatino Linotype" w:cs="Palatino Linotype"/>
          <w:b/>
        </w:rPr>
        <w:t xml:space="preserve"> </w:t>
      </w:r>
      <w:r w:rsidRPr="00E11169">
        <w:rPr>
          <w:rFonts w:ascii="Palatino Linotype" w:eastAsia="Palatino Linotype" w:hAnsi="Palatino Linotype" w:cs="Palatino Linotype"/>
        </w:rPr>
        <w:t xml:space="preserve">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en contra de la respuesta a la solicitud de información con número de folio</w:t>
      </w:r>
      <w:r w:rsidRPr="00E11169">
        <w:rPr>
          <w:rFonts w:ascii="Palatino Linotype" w:eastAsia="Palatino Linotype" w:hAnsi="Palatino Linotype" w:cs="Palatino Linotype"/>
          <w:b/>
        </w:rPr>
        <w:t xml:space="preserve"> 00048/SECOGEM/IP/2025, </w:t>
      </w:r>
      <w:r w:rsidRPr="00E11169">
        <w:rPr>
          <w:rFonts w:ascii="Palatino Linotype" w:eastAsia="Palatino Linotype" w:hAnsi="Palatino Linotype" w:cs="Palatino Linotype"/>
        </w:rPr>
        <w:t xml:space="preserve">por parte de la </w:t>
      </w:r>
      <w:r w:rsidRPr="00E11169">
        <w:rPr>
          <w:rFonts w:ascii="Palatino Linotype" w:eastAsia="Palatino Linotype" w:hAnsi="Palatino Linotype" w:cs="Palatino Linotype"/>
          <w:b/>
        </w:rPr>
        <w:t xml:space="preserve">Secretaría de la Contraloría, </w:t>
      </w:r>
      <w:r w:rsidRPr="00E11169">
        <w:rPr>
          <w:rFonts w:ascii="Palatino Linotype" w:eastAsia="Palatino Linotype" w:hAnsi="Palatino Linotype" w:cs="Palatino Linotype"/>
        </w:rPr>
        <w:t xml:space="preserve">en lo sucesivo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 xml:space="preserve">se procede a dictar la presente resolución con base en los siguientes: </w:t>
      </w:r>
    </w:p>
    <w:p w14:paraId="43C5956F" w14:textId="77777777" w:rsidR="00566805" w:rsidRPr="00E11169" w:rsidRDefault="0088381A">
      <w:pPr>
        <w:spacing w:before="240" w:after="240" w:line="360" w:lineRule="auto"/>
        <w:jc w:val="center"/>
        <w:rPr>
          <w:rFonts w:ascii="Palatino Linotype" w:eastAsia="Palatino Linotype" w:hAnsi="Palatino Linotype" w:cs="Palatino Linotype"/>
          <w:b/>
        </w:rPr>
      </w:pPr>
      <w:r w:rsidRPr="00E11169">
        <w:rPr>
          <w:rFonts w:ascii="Palatino Linotype" w:eastAsia="Palatino Linotype" w:hAnsi="Palatino Linotype" w:cs="Palatino Linotype"/>
          <w:b/>
        </w:rPr>
        <w:t>I. A N T E C E D E N T E S</w:t>
      </w:r>
    </w:p>
    <w:p w14:paraId="0E029B12"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E11169">
        <w:rPr>
          <w:rFonts w:ascii="Palatino Linotype" w:eastAsia="Palatino Linotype" w:hAnsi="Palatino Linotype" w:cs="Palatino Linotype"/>
          <w:b/>
        </w:rPr>
        <w:t>1. Solicitud de acceso a la información.</w:t>
      </w:r>
      <w:r w:rsidRPr="00E11169">
        <w:rPr>
          <w:rFonts w:ascii="Palatino Linotype" w:eastAsia="Palatino Linotype" w:hAnsi="Palatino Linotype" w:cs="Palatino Linotype"/>
        </w:rPr>
        <w:t xml:space="preserve"> El </w:t>
      </w:r>
      <w:r w:rsidRPr="00E11169">
        <w:rPr>
          <w:rFonts w:ascii="Palatino Linotype" w:eastAsia="Palatino Linotype" w:hAnsi="Palatino Linotype" w:cs="Palatino Linotype"/>
          <w:b/>
        </w:rPr>
        <w:t>veintitrés de enero de dos mil veinticinco,</w:t>
      </w:r>
      <w:r w:rsidRPr="00E11169">
        <w:rPr>
          <w:rFonts w:ascii="Palatino Linotype" w:eastAsia="Palatino Linotype" w:hAnsi="Palatino Linotype" w:cs="Palatino Linotype"/>
        </w:rPr>
        <w:t xml:space="preserve"> la parte </w:t>
      </w:r>
      <w:r w:rsidRPr="00E11169">
        <w:rPr>
          <w:rFonts w:ascii="Palatino Linotype" w:eastAsia="Palatino Linotype" w:hAnsi="Palatino Linotype" w:cs="Palatino Linotype"/>
          <w:b/>
        </w:rPr>
        <w:t xml:space="preserve">Recurrente </w:t>
      </w:r>
      <w:r w:rsidRPr="00E11169">
        <w:rPr>
          <w:rFonts w:ascii="Palatino Linotype" w:eastAsia="Palatino Linotype" w:hAnsi="Palatino Linotype" w:cs="Palatino Linotype"/>
        </w:rPr>
        <w:t xml:space="preserve">presentó la solicitud de acceso a la información pública ante 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 xml:space="preserve">, a través del Sistema de Acceso a la Información Mexiquense, en lo subsecuente el </w:t>
      </w:r>
      <w:r w:rsidRPr="00E11169">
        <w:rPr>
          <w:rFonts w:ascii="Palatino Linotype" w:eastAsia="Palatino Linotype" w:hAnsi="Palatino Linotype" w:cs="Palatino Linotype"/>
          <w:b/>
        </w:rPr>
        <w:t>SAIMEX,</w:t>
      </w:r>
      <w:r w:rsidRPr="00E11169">
        <w:rPr>
          <w:rFonts w:ascii="Palatino Linotype" w:eastAsia="Palatino Linotype" w:hAnsi="Palatino Linotype" w:cs="Palatino Linotype"/>
        </w:rPr>
        <w:t xml:space="preserve"> mediante la cual requirió lo siguiente:</w:t>
      </w:r>
    </w:p>
    <w:p w14:paraId="1503A98E" w14:textId="77777777" w:rsidR="00566805" w:rsidRPr="00E11169" w:rsidRDefault="0088381A">
      <w:pPr>
        <w:spacing w:before="120" w:after="120"/>
        <w:ind w:left="851" w:right="902"/>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i/>
          <w:sz w:val="22"/>
          <w:szCs w:val="22"/>
        </w:rPr>
        <w:t xml:space="preserve"> “Declaraciones patrimoniales y de intereses presentadas por el C. Ángel Adriel Negrete </w:t>
      </w:r>
      <w:proofErr w:type="spellStart"/>
      <w:r w:rsidRPr="00E11169">
        <w:rPr>
          <w:rFonts w:ascii="Palatino Linotype" w:eastAsia="Palatino Linotype" w:hAnsi="Palatino Linotype" w:cs="Palatino Linotype"/>
          <w:i/>
          <w:sz w:val="22"/>
          <w:szCs w:val="22"/>
        </w:rPr>
        <w:t>Avonce</w:t>
      </w:r>
      <w:proofErr w:type="spellEnd"/>
      <w:r w:rsidRPr="00E11169">
        <w:rPr>
          <w:rFonts w:ascii="Palatino Linotype" w:eastAsia="Palatino Linotype" w:hAnsi="Palatino Linotype" w:cs="Palatino Linotype"/>
          <w:i/>
          <w:sz w:val="22"/>
          <w:szCs w:val="22"/>
        </w:rPr>
        <w:t xml:space="preserve"> en su carácter de presidente municipal de Nextlalpan, Estado de México; Administración 2016 - 2018 y como Diputado del Distrito XXII Ojo de Agua de la LXII Legislatura del Congreso del Estado de México.</w:t>
      </w:r>
      <w:r w:rsidRPr="00E11169">
        <w:rPr>
          <w:rFonts w:ascii="Palatino Linotype" w:eastAsia="Palatino Linotype" w:hAnsi="Palatino Linotype" w:cs="Palatino Linotype"/>
          <w:b/>
          <w:i/>
          <w:sz w:val="22"/>
          <w:szCs w:val="22"/>
        </w:rPr>
        <w:t>”</w:t>
      </w:r>
      <w:r w:rsidRPr="00E11169">
        <w:rPr>
          <w:rFonts w:ascii="Palatino Linotype" w:eastAsia="Palatino Linotype" w:hAnsi="Palatino Linotype" w:cs="Palatino Linotype"/>
          <w:i/>
          <w:sz w:val="22"/>
          <w:szCs w:val="22"/>
        </w:rPr>
        <w:t xml:space="preserve"> (sic) </w:t>
      </w:r>
    </w:p>
    <w:p w14:paraId="488C5FE9"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E11169">
        <w:rPr>
          <w:rFonts w:ascii="Palatino Linotype" w:eastAsia="Palatino Linotype" w:hAnsi="Palatino Linotype" w:cs="Palatino Linotype"/>
          <w:b/>
        </w:rPr>
        <w:t>Modalidad de Entrega:</w:t>
      </w:r>
      <w:r w:rsidRPr="00E11169">
        <w:rPr>
          <w:rFonts w:ascii="Palatino Linotype" w:eastAsia="Palatino Linotype" w:hAnsi="Palatino Linotype" w:cs="Palatino Linotype"/>
        </w:rPr>
        <w:t xml:space="preserve"> a través del</w:t>
      </w:r>
      <w:r w:rsidRPr="00E11169">
        <w:rPr>
          <w:rFonts w:ascii="Palatino Linotype" w:eastAsia="Palatino Linotype" w:hAnsi="Palatino Linotype" w:cs="Palatino Linotype"/>
          <w:b/>
        </w:rPr>
        <w:t xml:space="preserve"> SAIMEX.</w:t>
      </w:r>
    </w:p>
    <w:p w14:paraId="4C4857BE"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b/>
        </w:rPr>
        <w:lastRenderedPageBreak/>
        <w:t xml:space="preserve">2. Respuesta. </w:t>
      </w:r>
      <w:r w:rsidRPr="00E11169">
        <w:rPr>
          <w:rFonts w:ascii="Palatino Linotype" w:eastAsia="Palatino Linotype" w:hAnsi="Palatino Linotype" w:cs="Palatino Linotype"/>
        </w:rPr>
        <w:t xml:space="preserve">El </w:t>
      </w:r>
      <w:r w:rsidRPr="00E11169">
        <w:rPr>
          <w:rFonts w:ascii="Palatino Linotype" w:eastAsia="Palatino Linotype" w:hAnsi="Palatino Linotype" w:cs="Palatino Linotype"/>
          <w:b/>
        </w:rPr>
        <w:t>doce de febrero de dos mil veinticinco,</w:t>
      </w:r>
      <w:r w:rsidRPr="00E11169">
        <w:rPr>
          <w:rFonts w:ascii="Palatino Linotype" w:eastAsia="Palatino Linotype" w:hAnsi="Palatino Linotype" w:cs="Palatino Linotype"/>
        </w:rPr>
        <w:t xml:space="preserve">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0E5AF5A9" w14:textId="12BA7BA9" w:rsidR="00566805" w:rsidRPr="00E11169" w:rsidRDefault="0088381A">
      <w:pPr>
        <w:spacing w:before="240" w:after="24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“…ESTIMADO </w:t>
      </w:r>
      <w:r w:rsidR="008A67BD">
        <w:rPr>
          <w:rFonts w:ascii="Palatino Linotype" w:eastAsia="Palatino Linotype" w:hAnsi="Palatino Linotype" w:cs="Palatino Linotype"/>
          <w:i/>
          <w:sz w:val="22"/>
          <w:szCs w:val="22"/>
        </w:rPr>
        <w:t>XXXXXXXXXXX</w:t>
      </w:r>
      <w:r w:rsidRPr="00E11169">
        <w:rPr>
          <w:rFonts w:ascii="Palatino Linotype" w:eastAsia="Palatino Linotype" w:hAnsi="Palatino Linotype" w:cs="Palatino Linotype"/>
          <w:i/>
          <w:sz w:val="22"/>
          <w:szCs w:val="22"/>
        </w:rPr>
        <w:t xml:space="preserve">, ESPERO SE ENCUENTRE DE MARAVILLA, LE INFORMO QUE EN ARCHIVOS ADJUNTOS ENCONTRARÁ EL OFICIO DE RESPUESTA FIRMADO POR EL ENCARGADO DE DESPACHO DE LA UNIDAD DE PREVENCIÓN DE LA CORRUPCIÓN Y RESPONSABLE DE LA UNIDAD DE TRANSPARENCIA, EL OFICIO DE RESPUESTA DEL SERVIDOR PÚBLICO HABILITADO QUE ATENDIÓ LA SOLICITUD, EL ACTA DE LA TERCERA SESIÓN EXTRAORDINARIA DEL COMITÉ DE TRANSPARENCIA DE LA SECRETARÍA DE LA CONTRALORÍA Y LA RESOLUCIÓN CORRESPONDIENTE. ¡QUE TENGA LINDA </w:t>
      </w:r>
      <w:proofErr w:type="gramStart"/>
      <w:r w:rsidRPr="00E11169">
        <w:rPr>
          <w:rFonts w:ascii="Palatino Linotype" w:eastAsia="Palatino Linotype" w:hAnsi="Palatino Linotype" w:cs="Palatino Linotype"/>
          <w:i/>
          <w:sz w:val="22"/>
          <w:szCs w:val="22"/>
        </w:rPr>
        <w:t>TARDE!...</w:t>
      </w:r>
      <w:proofErr w:type="gramEnd"/>
      <w:r w:rsidRPr="00E11169">
        <w:rPr>
          <w:rFonts w:ascii="Palatino Linotype" w:eastAsia="Palatino Linotype" w:hAnsi="Palatino Linotype" w:cs="Palatino Linotype"/>
          <w:i/>
          <w:sz w:val="22"/>
          <w:szCs w:val="22"/>
        </w:rPr>
        <w:t>” (sic)</w:t>
      </w:r>
    </w:p>
    <w:p w14:paraId="528EFB82"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adjuntó lo siguiente:</w:t>
      </w:r>
    </w:p>
    <w:p w14:paraId="52537D06"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Escrito del once de febrero de dos mil veinticinco, mediante el cual el Encargado de Despacho de la Unidad de Prevención de la Corrupción y Responsable de la Unidad de Transparencia, notificó a la persona solicitante la respuesta del servidor público habilitado que atendió la solicitud, así como el Acta de la Tercera Sesión Extraordinaria del Comité de Transparencia y la resolución correspondiente.</w:t>
      </w:r>
    </w:p>
    <w:p w14:paraId="67F01E01" w14:textId="06593839"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Oficio número 21802000000000L-0053/2025, del treinta de enero de dos mil veinticinco, mediante el cual el Encargado de Despacho de la Subsecretar</w:t>
      </w:r>
      <w:r w:rsidR="00A06B4F" w:rsidRPr="00E11169">
        <w:rPr>
          <w:rFonts w:ascii="Palatino Linotype" w:eastAsia="Palatino Linotype" w:hAnsi="Palatino Linotype" w:cs="Palatino Linotype"/>
        </w:rPr>
        <w:t>í</w:t>
      </w:r>
      <w:r w:rsidRPr="00E11169">
        <w:rPr>
          <w:rFonts w:ascii="Palatino Linotype" w:eastAsia="Palatino Linotype" w:hAnsi="Palatino Linotype" w:cs="Palatino Linotype"/>
        </w:rPr>
        <w:t>a de Responsabilidades Administrativas remite al Encargado de Despacho de la Unidad de Prevención de la Corrupción y Responsable de la Unidad de Transparencia, en sobre cerrado la respuesta proporcionada por el Encargado de Despacho de la Dirección de Registro de Declaraciones y de Sanciones.</w:t>
      </w:r>
    </w:p>
    <w:p w14:paraId="01BBE981"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 Oficio número 21803000030000L-0451/2025, del treinta de enero de dos mil veinticinco,  mediante el cual en Encargado de Despacho de la Dirección de Registro de Declaraciones y de Sanciones remite al Encargado de Despacho de la Subsecretaria de Responsabilidades Administrativas en sobre cerrado, la  respuesta a la solicitud 00048/SECOGEM/IP/2025, donde señala que de los documentos solicitados de la persona servidora pública obligada no fueron localizados como versión pública las Declaraciones de Situación Patrimonial y de Intereses de los años 2016 a 2018, no obstante, se encontró información relacionada con las Declaraciones de Situación Patrimonial y de Intereses del servidor público referido, dentro del Sistema denominado “Integral de Manifestación de Bienes (SIMB), operado y administrado por la entonces Dirección General de Responsabilidades Administrativas, la cual fue presentada de conformidad con lo establecido por la Ley de Responsabilidades Administrativas del Estado de México y Municipios, vigente a partir del 19 de julio de 2017, consistente en las Declaraciones Patrimoniales y de Intereses por Alta del año 2016, por Anualidad del año 2017, Inicial del año 2018 y por Conclusión del año 2018.</w:t>
      </w:r>
    </w:p>
    <w:p w14:paraId="20F9A4E0"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Asimismo, señaló que por disposición de la Ley de Transparencia y Acceso a la Información Pública del Estado de México y Municipios, se considera que la información contenida en la Declaración de Situación Patrimonial y de Intereses se encuentra clasificada como confidencial, por tratarse de datos personales relacionados a una persona física, identificada o identificable: su vida afectiva, familiar, domicilio y situación patrimonial del servidor público, razón por la cual no puede hacerse pública hasta en tanto los Sujetos Obligados cuenten con la autorización previa y específica del servidor público de que se trate, esto es, que </w:t>
      </w:r>
      <w:r w:rsidRPr="00E11169">
        <w:rPr>
          <w:rFonts w:ascii="Palatino Linotype" w:eastAsia="Palatino Linotype" w:hAnsi="Palatino Linotype" w:cs="Palatino Linotype"/>
        </w:rPr>
        <w:lastRenderedPageBreak/>
        <w:t>haya otorgado su consentimiento informado, expreso, previo y por escrito, por lo que los ex o servidores públicos la presentan confiando en que su información no será pública ni utilizada con un propósito incompatible con el que se haya especificado, por lo que a la fecha de contestación, la Unidad Administrativa no cuenta con documento escrito alguno en donde exista autorización previa y especifica de la persona servidora pública citada, en el que se haya otorgado un pronunciamiento de consentimiento expreso informado o autorización y/o determinación ratificada de forma personal ante dicha autoridad para hacer públicas sus Declaraciones de Situación Patrimonial, una vez que se hayan presentado, por lo que propuso la clasificación de las declaraciones presentadas de 2016 a 2018 de la persona referida, como información confidencial.</w:t>
      </w:r>
    </w:p>
    <w:p w14:paraId="2436E2E5"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Acta de la Tercera Sesión Extraordinaria del Comité de Transparencia, en la cual, como punto siete del orden del día, se sometió a consideración de los integrantes la propuesta de la clasificación de la información como confidencial, respecto de la solicitud de acceso a la información pública 00048/SECOGEM/IP/2025, aprobándose por unanimidad de votos la clasificación de las Declaraciones Patrimoniales y de Intereses por Alta del año 2016, por Anualidad del año 2017, Inicial del año 2018 y por Conclusión del año 2018 del servidor público referido.</w:t>
      </w:r>
    </w:p>
    <w:p w14:paraId="68AB3A8A"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Resolución derivada del Acuerdo del Comité de Transparencia número ACT/SECOGEM/EXT/COMT/3ª/2025/SÉPTIMO, mediante el cual se exponen los argumentos presentados por el Encargado de Despacho de la Subsecretaría de Responsabilidades Administrativas, a fin de confirmar la clasificación de la información requerida en la solicitud 00048/SECOGEM/IP/2025 como confidencial.</w:t>
      </w:r>
    </w:p>
    <w:p w14:paraId="0BF1A7B0"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b/>
        </w:rPr>
        <w:lastRenderedPageBreak/>
        <w:t xml:space="preserve">3. Interposición del recurso de revisión. </w:t>
      </w:r>
      <w:r w:rsidRPr="00E11169">
        <w:rPr>
          <w:rFonts w:ascii="Palatino Linotype" w:eastAsia="Palatino Linotype" w:hAnsi="Palatino Linotype" w:cs="Palatino Linotype"/>
        </w:rPr>
        <w:t xml:space="preserve">Inconforme con los términos de la respuesta emitida por parte del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 xml:space="preserve">, el </w:t>
      </w:r>
      <w:r w:rsidRPr="00E11169">
        <w:rPr>
          <w:rFonts w:ascii="Palatino Linotype" w:eastAsia="Palatino Linotype" w:hAnsi="Palatino Linotype" w:cs="Palatino Linotype"/>
          <w:b/>
        </w:rPr>
        <w:t>veinticinco de febrero de dos mil veinticinco,</w:t>
      </w:r>
      <w:r w:rsidRPr="00E11169">
        <w:rPr>
          <w:rFonts w:ascii="Palatino Linotype" w:eastAsia="Palatino Linotype" w:hAnsi="Palatino Linotype" w:cs="Palatino Linotype"/>
        </w:rPr>
        <w:t xml:space="preserve">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interpuso el recurso de revisión a través de </w:t>
      </w:r>
      <w:r w:rsidRPr="00E11169">
        <w:rPr>
          <w:rFonts w:ascii="Palatino Linotype" w:eastAsia="Palatino Linotype" w:hAnsi="Palatino Linotype" w:cs="Palatino Linotype"/>
          <w:b/>
        </w:rPr>
        <w:t xml:space="preserve">SAIMEX, </w:t>
      </w:r>
      <w:r w:rsidRPr="00E11169">
        <w:rPr>
          <w:rFonts w:ascii="Palatino Linotype" w:eastAsia="Palatino Linotype" w:hAnsi="Palatino Linotype" w:cs="Palatino Linotype"/>
        </w:rPr>
        <w:t>en donde se manifestó de la siguiente manera:</w:t>
      </w:r>
    </w:p>
    <w:p w14:paraId="50BABF76" w14:textId="77777777" w:rsidR="00566805" w:rsidRPr="00E11169" w:rsidRDefault="0088381A">
      <w:pPr>
        <w:spacing w:before="240" w:after="240" w:line="360" w:lineRule="auto"/>
        <w:ind w:right="49"/>
        <w:jc w:val="both"/>
        <w:rPr>
          <w:rFonts w:ascii="Palatino Linotype" w:eastAsia="Palatino Linotype" w:hAnsi="Palatino Linotype" w:cs="Palatino Linotype"/>
          <w:b/>
        </w:rPr>
      </w:pPr>
      <w:r w:rsidRPr="00E11169">
        <w:rPr>
          <w:rFonts w:ascii="Palatino Linotype" w:eastAsia="Palatino Linotype" w:hAnsi="Palatino Linotype" w:cs="Palatino Linotype"/>
          <w:b/>
        </w:rPr>
        <w:t xml:space="preserve">Acto impugnado: </w:t>
      </w:r>
    </w:p>
    <w:p w14:paraId="274FF85F" w14:textId="77777777" w:rsidR="00566805" w:rsidRPr="00E11169" w:rsidRDefault="0088381A">
      <w:pPr>
        <w:tabs>
          <w:tab w:val="left" w:pos="2745"/>
        </w:tabs>
        <w:spacing w:before="240" w:after="240"/>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“Declaraciones patrimoniales y de intereses presentadas por el C. Ángel Adriel Negrete </w:t>
      </w:r>
      <w:proofErr w:type="spellStart"/>
      <w:r w:rsidRPr="00E11169">
        <w:rPr>
          <w:rFonts w:ascii="Palatino Linotype" w:eastAsia="Palatino Linotype" w:hAnsi="Palatino Linotype" w:cs="Palatino Linotype"/>
          <w:i/>
          <w:sz w:val="22"/>
          <w:szCs w:val="22"/>
        </w:rPr>
        <w:t>Avonce</w:t>
      </w:r>
      <w:proofErr w:type="spellEnd"/>
      <w:r w:rsidRPr="00E11169">
        <w:rPr>
          <w:rFonts w:ascii="Palatino Linotype" w:eastAsia="Palatino Linotype" w:hAnsi="Palatino Linotype" w:cs="Palatino Linotype"/>
          <w:i/>
          <w:sz w:val="22"/>
          <w:szCs w:val="22"/>
        </w:rPr>
        <w:t xml:space="preserve"> en su carácter de presidente municipal de Nextlalpan, Estado de México; Administración 2016 - 2018 y como Diputado del Distrito XXII Ojo de Agua de la LXII Legislatura del Congreso del Estado de México.” (sic)</w:t>
      </w:r>
    </w:p>
    <w:p w14:paraId="41F81A92" w14:textId="77777777" w:rsidR="00566805" w:rsidRPr="00E11169" w:rsidRDefault="0088381A">
      <w:pPr>
        <w:spacing w:line="360" w:lineRule="auto"/>
        <w:jc w:val="both"/>
        <w:rPr>
          <w:rFonts w:ascii="Palatino Linotype" w:eastAsia="Palatino Linotype" w:hAnsi="Palatino Linotype" w:cs="Palatino Linotype"/>
        </w:rPr>
      </w:pPr>
      <w:bookmarkStart w:id="3" w:name="_heading=h.30j0zll" w:colFirst="0" w:colLast="0"/>
      <w:bookmarkEnd w:id="3"/>
      <w:r w:rsidRPr="00E11169">
        <w:rPr>
          <w:rFonts w:ascii="Palatino Linotype" w:eastAsia="Palatino Linotype" w:hAnsi="Palatino Linotype" w:cs="Palatino Linotype"/>
          <w:b/>
        </w:rPr>
        <w:t>Y, Razones o motivos de inconformidad</w:t>
      </w:r>
      <w:r w:rsidRPr="00E11169">
        <w:rPr>
          <w:rFonts w:ascii="Palatino Linotype" w:eastAsia="Palatino Linotype" w:hAnsi="Palatino Linotype" w:cs="Palatino Linotype"/>
        </w:rPr>
        <w:t>:</w:t>
      </w:r>
    </w:p>
    <w:p w14:paraId="66202682" w14:textId="77777777" w:rsidR="00566805" w:rsidRPr="00E11169" w:rsidRDefault="0088381A">
      <w:pPr>
        <w:tabs>
          <w:tab w:val="left" w:pos="2745"/>
        </w:tabs>
        <w:spacing w:before="240" w:after="240"/>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“No entregan información aduciendo que es confidencial y que se necesita del consentimiento del servidor público, quiero suponer que ese tipo de información debe de ser pública al tratarse de un servidor público en funciones.” (sic)</w:t>
      </w:r>
    </w:p>
    <w:p w14:paraId="7A723066" w14:textId="77777777" w:rsidR="00566805" w:rsidRPr="00E11169" w:rsidRDefault="0088381A">
      <w:pPr>
        <w:spacing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b/>
        </w:rPr>
        <w:t xml:space="preserve">4. Turno. </w:t>
      </w:r>
      <w:r w:rsidRPr="00E1116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11169">
        <w:rPr>
          <w:rFonts w:ascii="Palatino Linotype" w:eastAsia="Palatino Linotype" w:hAnsi="Palatino Linotype" w:cs="Palatino Linotype"/>
          <w:b/>
        </w:rPr>
        <w:t xml:space="preserve">Guadalupe Ramírez Peña, </w:t>
      </w:r>
      <w:r w:rsidRPr="00E11169">
        <w:rPr>
          <w:rFonts w:ascii="Palatino Linotype" w:eastAsia="Palatino Linotype" w:hAnsi="Palatino Linotype" w:cs="Palatino Linotype"/>
        </w:rPr>
        <w:t xml:space="preserve">a efecto de que analizara sobre su admisión o su </w:t>
      </w:r>
      <w:proofErr w:type="spellStart"/>
      <w:r w:rsidRPr="00E11169">
        <w:rPr>
          <w:rFonts w:ascii="Palatino Linotype" w:eastAsia="Palatino Linotype" w:hAnsi="Palatino Linotype" w:cs="Palatino Linotype"/>
        </w:rPr>
        <w:t>desechamiento</w:t>
      </w:r>
      <w:proofErr w:type="spellEnd"/>
      <w:r w:rsidRPr="00E11169">
        <w:rPr>
          <w:rFonts w:ascii="Palatino Linotype" w:eastAsia="Palatino Linotype" w:hAnsi="Palatino Linotype" w:cs="Palatino Linotype"/>
        </w:rPr>
        <w:t>.</w:t>
      </w:r>
    </w:p>
    <w:p w14:paraId="09B7BDD5" w14:textId="77777777" w:rsidR="00566805" w:rsidRPr="00E11169" w:rsidRDefault="0088381A">
      <w:pPr>
        <w:spacing w:before="240" w:after="240" w:line="360" w:lineRule="auto"/>
        <w:jc w:val="both"/>
        <w:rPr>
          <w:rFonts w:ascii="Palatino Linotype" w:eastAsia="Palatino Linotype" w:hAnsi="Palatino Linotype" w:cs="Palatino Linotype"/>
          <w:b/>
        </w:rPr>
      </w:pPr>
      <w:r w:rsidRPr="00E11169">
        <w:rPr>
          <w:rFonts w:ascii="Palatino Linotype" w:eastAsia="Palatino Linotype" w:hAnsi="Palatino Linotype" w:cs="Palatino Linotype"/>
          <w:b/>
        </w:rPr>
        <w:t>5. Admisión del Recurso de revisión.</w:t>
      </w:r>
      <w:r w:rsidRPr="00E11169">
        <w:rPr>
          <w:rFonts w:ascii="Palatino Linotype" w:eastAsia="Palatino Linotype" w:hAnsi="Palatino Linotype" w:cs="Palatino Linotype"/>
        </w:rPr>
        <w:t xml:space="preserve"> El</w:t>
      </w:r>
      <w:r w:rsidRPr="00E11169">
        <w:rPr>
          <w:rFonts w:ascii="Palatino Linotype" w:eastAsia="Palatino Linotype" w:hAnsi="Palatino Linotype" w:cs="Palatino Linotype"/>
          <w:b/>
        </w:rPr>
        <w:t xml:space="preserve"> veintisiete de febrero de dos mil veinticinco, </w:t>
      </w:r>
      <w:r w:rsidRPr="00E1116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E11169">
        <w:rPr>
          <w:rFonts w:ascii="Palatino Linotype" w:eastAsia="Palatino Linotype" w:hAnsi="Palatino Linotype" w:cs="Palatino Linotype"/>
        </w:rPr>
        <w:lastRenderedPageBreak/>
        <w:t xml:space="preserve">conveniente, ofrecieran pruebas, formularan alegatos y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presentara su informe justificado.</w:t>
      </w:r>
    </w:p>
    <w:p w14:paraId="68FA42C2"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E11169">
        <w:rPr>
          <w:rFonts w:ascii="Palatino Linotype" w:eastAsia="Palatino Linotype" w:hAnsi="Palatino Linotype" w:cs="Palatino Linotype"/>
          <w:b/>
        </w:rPr>
        <w:t>6. Manifestaciones</w:t>
      </w:r>
      <w:r w:rsidRPr="00E11169">
        <w:rPr>
          <w:rFonts w:ascii="Palatino Linotype" w:eastAsia="Palatino Linotype" w:hAnsi="Palatino Linotype" w:cs="Palatino Linotype"/>
        </w:rPr>
        <w:t xml:space="preserve">. El </w:t>
      </w:r>
      <w:r w:rsidRPr="00E11169">
        <w:rPr>
          <w:rFonts w:ascii="Palatino Linotype" w:eastAsia="Palatino Linotype" w:hAnsi="Palatino Linotype" w:cs="Palatino Linotype"/>
          <w:b/>
        </w:rPr>
        <w:t>once de marzo de dos mil veinticinco</w:t>
      </w:r>
      <w:r w:rsidRPr="00E11169">
        <w:rPr>
          <w:rFonts w:ascii="Palatino Linotype" w:eastAsia="Palatino Linotype" w:hAnsi="Palatino Linotype" w:cs="Palatino Linotype"/>
        </w:rPr>
        <w:t xml:space="preserve">, 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 xml:space="preserve"> remitió, a través de SAIMEX, su informe justificado, mediante el cual ratificó en lo sustancial la respuesta emitida en primera instancia, sin embargo, se hizo del conocimiento de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con la finalidad de que manifestara lo que a su derecho estimara conveniente, siendo omisa en ejercer dicha prerrogativa.</w:t>
      </w:r>
    </w:p>
    <w:p w14:paraId="63DFF706"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b/>
        </w:rPr>
        <w:t xml:space="preserve">7. Cierre de instrucción. </w:t>
      </w:r>
      <w:r w:rsidRPr="00E11169">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E11169">
        <w:rPr>
          <w:rFonts w:ascii="Palatino Linotype" w:eastAsia="Palatino Linotype" w:hAnsi="Palatino Linotype" w:cs="Palatino Linotype"/>
          <w:b/>
        </w:rPr>
        <w:t>veinticuatro de marzo de dos mil veinticinco</w:t>
      </w:r>
      <w:r w:rsidRPr="00E1116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2148643"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b/>
        </w:rPr>
        <w:t>8</w:t>
      </w:r>
      <w:r w:rsidRPr="00E11169">
        <w:rPr>
          <w:rFonts w:ascii="Palatino Linotype" w:eastAsia="Palatino Linotype" w:hAnsi="Palatino Linotype" w:cs="Palatino Linotype"/>
        </w:rPr>
        <w:t xml:space="preserve">. </w:t>
      </w:r>
      <w:r w:rsidRPr="00E11169">
        <w:rPr>
          <w:rFonts w:ascii="Palatino Linotype" w:eastAsia="Palatino Linotype" w:hAnsi="Palatino Linotype" w:cs="Palatino Linotype"/>
          <w:b/>
        </w:rPr>
        <w:t>Ampliación del término para resolver</w:t>
      </w:r>
      <w:r w:rsidRPr="00E11169">
        <w:rPr>
          <w:rFonts w:ascii="Palatino Linotype" w:eastAsia="Palatino Linotype" w:hAnsi="Palatino Linotype" w:cs="Palatino Linotype"/>
        </w:rPr>
        <w:t xml:space="preserve">. El </w:t>
      </w:r>
      <w:r w:rsidRPr="00E11169">
        <w:rPr>
          <w:rFonts w:ascii="Palatino Linotype" w:eastAsia="Palatino Linotype" w:hAnsi="Palatino Linotype" w:cs="Palatino Linotype"/>
          <w:b/>
        </w:rPr>
        <w:t>veintiuno de abril de dos mil veinticinco</w:t>
      </w:r>
      <w:r w:rsidRPr="00E11169">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086F6D18"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5B8E066" w14:textId="77777777" w:rsidR="00566805" w:rsidRPr="00E11169" w:rsidRDefault="0088381A">
      <w:pPr>
        <w:widowControl w:val="0"/>
        <w:spacing w:before="240" w:after="240" w:line="360" w:lineRule="auto"/>
        <w:jc w:val="center"/>
        <w:rPr>
          <w:rFonts w:ascii="Palatino Linotype" w:eastAsia="Palatino Linotype" w:hAnsi="Palatino Linotype" w:cs="Palatino Linotype"/>
          <w:b/>
        </w:rPr>
      </w:pPr>
      <w:r w:rsidRPr="00E11169">
        <w:rPr>
          <w:rFonts w:ascii="Palatino Linotype" w:eastAsia="Palatino Linotype" w:hAnsi="Palatino Linotype" w:cs="Palatino Linotype"/>
          <w:b/>
        </w:rPr>
        <w:t>II. C O N S I D E R A N D O S</w:t>
      </w:r>
    </w:p>
    <w:p w14:paraId="1085891E"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b/>
        </w:rPr>
        <w:t>Primero. Competencia.</w:t>
      </w:r>
      <w:r w:rsidRPr="00E11169">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E11169">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DE9F220"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E11169">
        <w:rPr>
          <w:rFonts w:ascii="Palatino Linotype" w:eastAsia="Palatino Linotype" w:hAnsi="Palatino Linotype" w:cs="Palatino Linotype"/>
          <w:b/>
        </w:rPr>
        <w:t>Segundo. Oportunidad y Procedibilidad del Recurso de Revisión</w:t>
      </w:r>
      <w:r w:rsidRPr="00E1116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FAB89A"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 xml:space="preserve">remitió la respuesta a la solicitud de información el día </w:t>
      </w:r>
      <w:r w:rsidRPr="00E11169">
        <w:rPr>
          <w:rFonts w:ascii="Palatino Linotype" w:eastAsia="Palatino Linotype" w:hAnsi="Palatino Linotype" w:cs="Palatino Linotype"/>
          <w:b/>
        </w:rPr>
        <w:t xml:space="preserve">doce de febrero de dos mil veinticinco, </w:t>
      </w:r>
      <w:r w:rsidRPr="00E11169">
        <w:rPr>
          <w:rFonts w:ascii="Palatino Linotype" w:eastAsia="Palatino Linotype" w:hAnsi="Palatino Linotype" w:cs="Palatino Linotype"/>
        </w:rPr>
        <w:t xml:space="preserve">mientras que el recurso de revisión interpuesto por la parte </w:t>
      </w:r>
      <w:r w:rsidRPr="00E11169">
        <w:rPr>
          <w:rFonts w:ascii="Palatino Linotype" w:eastAsia="Palatino Linotype" w:hAnsi="Palatino Linotype" w:cs="Palatino Linotype"/>
          <w:b/>
        </w:rPr>
        <w:t xml:space="preserve">Recurrente, </w:t>
      </w:r>
      <w:r w:rsidRPr="00E11169">
        <w:rPr>
          <w:rFonts w:ascii="Palatino Linotype" w:eastAsia="Palatino Linotype" w:hAnsi="Palatino Linotype" w:cs="Palatino Linotype"/>
        </w:rPr>
        <w:t>se tuvo por presentado el día</w:t>
      </w:r>
      <w:r w:rsidRPr="00E11169">
        <w:rPr>
          <w:rFonts w:ascii="Palatino Linotype" w:eastAsia="Palatino Linotype" w:hAnsi="Palatino Linotype" w:cs="Palatino Linotype"/>
          <w:b/>
        </w:rPr>
        <w:t xml:space="preserve"> veinticinco de febrero de dos mil veinticinco, </w:t>
      </w:r>
      <w:r w:rsidRPr="00E11169">
        <w:rPr>
          <w:rFonts w:ascii="Palatino Linotype" w:eastAsia="Palatino Linotype" w:hAnsi="Palatino Linotype" w:cs="Palatino Linotype"/>
        </w:rPr>
        <w:t>esto es, al noveno día hábil posterior a aquel en el que tuvo conocimiento de las respuestas impugnadas. En este sentido, se concluye que el presente recurso de revisión se encuentra dentro de los márgenes temporales previstos en las disposiciones legales referidas.</w:t>
      </w:r>
    </w:p>
    <w:p w14:paraId="2788B2E7" w14:textId="77777777" w:rsidR="00566805" w:rsidRPr="00E11169" w:rsidRDefault="0088381A">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E11169">
        <w:rPr>
          <w:rFonts w:ascii="Palatino Linotype" w:eastAsia="Palatino Linotype" w:hAnsi="Palatino Linotype" w:cs="Palatino Linotype"/>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2442248"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Finalmente, se advierte que resulta procedente la interposición del recurso, según lo manifestado por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en sus motivos de inconformidad, de acuerdo al artículo 179, fracción II del ordenamiento legal citado, que a la letra dice: </w:t>
      </w:r>
    </w:p>
    <w:p w14:paraId="4AE4003E" w14:textId="77777777" w:rsidR="00566805" w:rsidRPr="00E11169" w:rsidRDefault="0088381A">
      <w:pPr>
        <w:tabs>
          <w:tab w:val="left" w:pos="7938"/>
        </w:tabs>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Artículo 179.</w:t>
      </w:r>
      <w:r w:rsidRPr="00E1116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7EA2D6E" w14:textId="77777777" w:rsidR="00566805" w:rsidRPr="00E11169" w:rsidRDefault="0088381A">
      <w:pPr>
        <w:tabs>
          <w:tab w:val="left" w:pos="7938"/>
        </w:tabs>
        <w:spacing w:before="120" w:after="120"/>
        <w:ind w:left="1134"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w:t>
      </w:r>
    </w:p>
    <w:p w14:paraId="5DDDA5CF" w14:textId="77777777" w:rsidR="00566805" w:rsidRPr="00E11169" w:rsidRDefault="0088381A">
      <w:pPr>
        <w:tabs>
          <w:tab w:val="left" w:pos="7938"/>
        </w:tabs>
        <w:spacing w:before="120" w:after="120"/>
        <w:ind w:left="1134"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 xml:space="preserve">II. </w:t>
      </w:r>
      <w:r w:rsidRPr="00E11169">
        <w:rPr>
          <w:rFonts w:ascii="Palatino Linotype" w:eastAsia="Palatino Linotype" w:hAnsi="Palatino Linotype" w:cs="Palatino Linotype"/>
          <w:i/>
          <w:sz w:val="22"/>
          <w:szCs w:val="22"/>
        </w:rPr>
        <w:t>La clasificación de la información;</w:t>
      </w:r>
    </w:p>
    <w:p w14:paraId="1B2ECFAB" w14:textId="77777777" w:rsidR="00566805" w:rsidRPr="00E11169" w:rsidRDefault="0088381A">
      <w:pPr>
        <w:spacing w:before="240" w:after="240" w:line="360" w:lineRule="auto"/>
        <w:jc w:val="both"/>
        <w:rPr>
          <w:rFonts w:ascii="Palatino Linotype" w:eastAsia="Palatino Linotype" w:hAnsi="Palatino Linotype" w:cs="Palatino Linotype"/>
          <w:b/>
        </w:rPr>
      </w:pPr>
      <w:r w:rsidRPr="00E11169">
        <w:rPr>
          <w:rFonts w:ascii="Palatino Linotype" w:eastAsia="Palatino Linotype" w:hAnsi="Palatino Linotype" w:cs="Palatino Linotype"/>
          <w:b/>
        </w:rPr>
        <w:t xml:space="preserve">Tercero. Materia de la revisión. </w:t>
      </w:r>
      <w:r w:rsidRPr="00E1116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11169">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E11169">
        <w:rPr>
          <w:rFonts w:ascii="Palatino Linotype" w:eastAsia="Palatino Linotype" w:hAnsi="Palatino Linotype" w:cs="Palatino Linotype"/>
        </w:rPr>
        <w:t xml:space="preserve">de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o en su defecto, en caso de ser procedente, ordenar la entrega de información.</w:t>
      </w:r>
    </w:p>
    <w:p w14:paraId="6DE181F3"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E11169">
        <w:rPr>
          <w:rFonts w:ascii="Palatino Linotype" w:eastAsia="Palatino Linotype" w:hAnsi="Palatino Linotype" w:cs="Palatino Linotype"/>
          <w:b/>
        </w:rPr>
        <w:t xml:space="preserve">Cuarto. Estudio del asunto. </w:t>
      </w:r>
      <w:r w:rsidRPr="00E11169">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w:t>
      </w:r>
      <w:r w:rsidRPr="00E11169">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433545"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Artículo 4</w:t>
      </w:r>
      <w:r w:rsidRPr="00E1116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05F8AC8"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1116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5BF817"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11169">
        <w:rPr>
          <w:rFonts w:ascii="Palatino Linotype" w:eastAsia="Palatino Linotype" w:hAnsi="Palatino Linotype" w:cs="Palatino Linotype"/>
          <w:i/>
          <w:sz w:val="22"/>
          <w:szCs w:val="22"/>
        </w:rPr>
        <w:t>.”</w:t>
      </w:r>
    </w:p>
    <w:p w14:paraId="6F497799"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07E227D"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lastRenderedPageBreak/>
        <w:t>“Artículo 12.-</w:t>
      </w:r>
      <w:r w:rsidRPr="00E1116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FE03A2"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8DE18D1" w14:textId="77777777" w:rsidR="00566805" w:rsidRPr="00E11169" w:rsidRDefault="0088381A">
      <w:pPr>
        <w:spacing w:before="240" w:after="240" w:line="360" w:lineRule="auto"/>
        <w:ind w:right="-93"/>
        <w:jc w:val="both"/>
        <w:rPr>
          <w:rFonts w:ascii="Palatino Linotype" w:eastAsia="Palatino Linotype" w:hAnsi="Palatino Linotype" w:cs="Palatino Linotype"/>
        </w:rPr>
      </w:pPr>
      <w:r w:rsidRPr="00E11169">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B6B0840" w14:textId="77777777" w:rsidR="00566805" w:rsidRPr="00E11169" w:rsidRDefault="0088381A">
      <w:pPr>
        <w:spacing w:before="240" w:after="240" w:line="360" w:lineRule="auto"/>
        <w:jc w:val="both"/>
        <w:rPr>
          <w:rFonts w:ascii="Palatino Linotype" w:eastAsia="Palatino Linotype" w:hAnsi="Palatino Linotype" w:cs="Palatino Linotype"/>
          <w:b/>
        </w:rPr>
      </w:pPr>
      <w:r w:rsidRPr="00E11169">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E11169">
        <w:rPr>
          <w:rFonts w:ascii="Palatino Linotype" w:eastAsia="Palatino Linotype" w:hAnsi="Palatino Linotype" w:cs="Palatino Linotype"/>
        </w:rPr>
        <w:t>que</w:t>
      </w:r>
      <w:proofErr w:type="gramEnd"/>
      <w:r w:rsidRPr="00E11169">
        <w:rPr>
          <w:rFonts w:ascii="Palatino Linotype" w:eastAsia="Palatino Linotype" w:hAnsi="Palatino Linotype" w:cs="Palatino Linotype"/>
        </w:rPr>
        <w:t xml:space="preserve"> por rubro y texto, dispone lo siguiente:</w:t>
      </w:r>
      <w:r w:rsidRPr="00E11169">
        <w:rPr>
          <w:rFonts w:ascii="Palatino Linotype" w:eastAsia="Palatino Linotype" w:hAnsi="Palatino Linotype" w:cs="Palatino Linotype"/>
          <w:b/>
        </w:rPr>
        <w:t xml:space="preserve"> </w:t>
      </w:r>
    </w:p>
    <w:p w14:paraId="5428890B"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No existe obligación de elaborar documentos ad hoc para atender las solicitudes de acceso a la información.</w:t>
      </w:r>
      <w:r w:rsidRPr="00E1116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E11169">
        <w:rPr>
          <w:rFonts w:ascii="Palatino Linotype" w:eastAsia="Palatino Linotype" w:hAnsi="Palatino Linotype" w:cs="Palatino Linotype"/>
          <w:i/>
          <w:sz w:val="22"/>
          <w:szCs w:val="22"/>
        </w:rPr>
        <w:lastRenderedPageBreak/>
        <w:t xml:space="preserve">que la misma obre en sus archivos; sin necesidad de elaborar documentos ad hoc para atender las solicitudes de información.” </w:t>
      </w:r>
    </w:p>
    <w:p w14:paraId="321E4656" w14:textId="77777777" w:rsidR="00566805" w:rsidRPr="00E11169" w:rsidRDefault="0088381A">
      <w:pPr>
        <w:spacing w:before="120" w:after="12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E7D14D4" w14:textId="77777777" w:rsidR="00566805" w:rsidRPr="00E11169" w:rsidRDefault="0088381A">
      <w:pPr>
        <w:spacing w:before="120" w:after="12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94DCB6"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 xml:space="preserve">Artículo 3. </w:t>
      </w:r>
      <w:r w:rsidRPr="00E11169">
        <w:rPr>
          <w:rFonts w:ascii="Palatino Linotype" w:eastAsia="Palatino Linotype" w:hAnsi="Palatino Linotype" w:cs="Palatino Linotype"/>
          <w:i/>
          <w:sz w:val="22"/>
          <w:szCs w:val="22"/>
        </w:rPr>
        <w:t>Para los efectos de la presente Ley se entenderá por:</w:t>
      </w:r>
    </w:p>
    <w:p w14:paraId="7CE407D5"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530D6ECA"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XI. Documento:</w:t>
      </w:r>
      <w:r w:rsidRPr="00E11169">
        <w:rPr>
          <w:rFonts w:ascii="Palatino Linotype" w:eastAsia="Palatino Linotype" w:hAnsi="Palatino Linotype" w:cs="Palatino Linotype"/>
          <w:i/>
          <w:sz w:val="22"/>
          <w:szCs w:val="22"/>
        </w:rPr>
        <w:t xml:space="preserve"> Los expedientes, reportes, estudios, actas</w:t>
      </w:r>
      <w:r w:rsidRPr="00E11169">
        <w:rPr>
          <w:rFonts w:ascii="Palatino Linotype" w:eastAsia="Palatino Linotype" w:hAnsi="Palatino Linotype" w:cs="Palatino Linotype"/>
          <w:b/>
          <w:i/>
          <w:sz w:val="22"/>
          <w:szCs w:val="22"/>
        </w:rPr>
        <w:t>,</w:t>
      </w:r>
      <w:r w:rsidRPr="00E1116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601153"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85841B"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sz w:val="22"/>
          <w:szCs w:val="22"/>
        </w:rPr>
        <w:t>“</w:t>
      </w:r>
      <w:r w:rsidRPr="00E1116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1116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29C950"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En </w:t>
      </w:r>
      <w:proofErr w:type="gramStart"/>
      <w:r w:rsidRPr="00E11169">
        <w:rPr>
          <w:rFonts w:ascii="Palatino Linotype" w:eastAsia="Palatino Linotype" w:hAnsi="Palatino Linotype" w:cs="Palatino Linotype"/>
          <w:i/>
          <w:sz w:val="22"/>
          <w:szCs w:val="22"/>
        </w:rPr>
        <w:t>consecuencia</w:t>
      </w:r>
      <w:proofErr w:type="gramEnd"/>
      <w:r w:rsidRPr="00E1116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01CE32B"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11169">
        <w:rPr>
          <w:rFonts w:ascii="Palatino Linotype" w:eastAsia="Palatino Linotype" w:hAnsi="Palatino Linotype" w:cs="Palatino Linotype"/>
          <w:i/>
          <w:sz w:val="22"/>
          <w:szCs w:val="22"/>
        </w:rPr>
        <w:t>que</w:t>
      </w:r>
      <w:proofErr w:type="gramEnd"/>
      <w:r w:rsidRPr="00E11169">
        <w:rPr>
          <w:rFonts w:ascii="Palatino Linotype" w:eastAsia="Palatino Linotype" w:hAnsi="Palatino Linotype" w:cs="Palatino Linotype"/>
          <w:i/>
          <w:sz w:val="22"/>
          <w:szCs w:val="22"/>
        </w:rPr>
        <w:t xml:space="preserve"> en ejercicio de las atribuciones conferidas, sea generada por los Sujetos Obligados;</w:t>
      </w:r>
    </w:p>
    <w:p w14:paraId="2F43D20C"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2) Que se trate de información registrada en cualquier soporte documental, </w:t>
      </w:r>
      <w:proofErr w:type="gramStart"/>
      <w:r w:rsidRPr="00E11169">
        <w:rPr>
          <w:rFonts w:ascii="Palatino Linotype" w:eastAsia="Palatino Linotype" w:hAnsi="Palatino Linotype" w:cs="Palatino Linotype"/>
          <w:i/>
          <w:sz w:val="22"/>
          <w:szCs w:val="22"/>
        </w:rPr>
        <w:t>que</w:t>
      </w:r>
      <w:proofErr w:type="gramEnd"/>
      <w:r w:rsidRPr="00E11169">
        <w:rPr>
          <w:rFonts w:ascii="Palatino Linotype" w:eastAsia="Palatino Linotype" w:hAnsi="Palatino Linotype" w:cs="Palatino Linotype"/>
          <w:i/>
          <w:sz w:val="22"/>
          <w:szCs w:val="22"/>
        </w:rPr>
        <w:t xml:space="preserve"> en ejercicio de las atribuciones conferidas, sea administrada por los Sujetos Obligados, y</w:t>
      </w:r>
    </w:p>
    <w:p w14:paraId="57DDDFA3"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3) Que se trate de información registrada en cualquier soporte documental, </w:t>
      </w:r>
      <w:proofErr w:type="gramStart"/>
      <w:r w:rsidRPr="00E11169">
        <w:rPr>
          <w:rFonts w:ascii="Palatino Linotype" w:eastAsia="Palatino Linotype" w:hAnsi="Palatino Linotype" w:cs="Palatino Linotype"/>
          <w:i/>
          <w:sz w:val="22"/>
          <w:szCs w:val="22"/>
        </w:rPr>
        <w:t>que</w:t>
      </w:r>
      <w:proofErr w:type="gramEnd"/>
      <w:r w:rsidRPr="00E11169">
        <w:rPr>
          <w:rFonts w:ascii="Palatino Linotype" w:eastAsia="Palatino Linotype" w:hAnsi="Palatino Linotype" w:cs="Palatino Linotype"/>
          <w:i/>
          <w:sz w:val="22"/>
          <w:szCs w:val="22"/>
        </w:rPr>
        <w:t xml:space="preserve"> en ejercicio de las atribuciones conferidas, se encuentre en posesión de los Sujetos Obligados.”</w:t>
      </w:r>
    </w:p>
    <w:p w14:paraId="75D962C7" w14:textId="77777777" w:rsidR="00566805" w:rsidRPr="00E11169" w:rsidRDefault="0088381A">
      <w:pPr>
        <w:spacing w:before="240" w:after="240" w:line="360" w:lineRule="auto"/>
        <w:ind w:right="51"/>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w:t>
      </w:r>
      <w:r w:rsidRPr="00E11169">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2FAF6215"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65287C8" w14:textId="77777777" w:rsidR="00566805" w:rsidRPr="00E11169" w:rsidRDefault="0088381A">
      <w:pPr>
        <w:spacing w:before="240" w:after="240" w:line="360" w:lineRule="auto"/>
        <w:ind w:right="51"/>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requirió al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le proporcione, información consistente en lo siguiente:</w:t>
      </w:r>
    </w:p>
    <w:p w14:paraId="573000C9" w14:textId="77777777" w:rsidR="00566805" w:rsidRPr="00E11169" w:rsidRDefault="0088381A">
      <w:pPr>
        <w:spacing w:before="240" w:after="240" w:line="360" w:lineRule="auto"/>
        <w:ind w:left="284" w:right="51"/>
        <w:jc w:val="both"/>
        <w:rPr>
          <w:rFonts w:ascii="Palatino Linotype" w:eastAsia="Palatino Linotype" w:hAnsi="Palatino Linotype" w:cs="Palatino Linotype"/>
        </w:rPr>
      </w:pPr>
      <w:r w:rsidRPr="00E11169">
        <w:rPr>
          <w:rFonts w:ascii="Palatino Linotype" w:eastAsia="Palatino Linotype" w:hAnsi="Palatino Linotype" w:cs="Palatino Linotype"/>
        </w:rPr>
        <w:t>1. Declaraciones patrimoniales y de intereses presentadas por el servidor público referido en la solicitud</w:t>
      </w:r>
    </w:p>
    <w:p w14:paraId="679B060B" w14:textId="77777777" w:rsidR="00566805" w:rsidRPr="00E11169" w:rsidRDefault="0088381A">
      <w:pPr>
        <w:spacing w:before="240" w:after="240" w:line="360" w:lineRule="auto"/>
        <w:ind w:left="567" w:right="51"/>
        <w:jc w:val="both"/>
        <w:rPr>
          <w:rFonts w:ascii="Palatino Linotype" w:eastAsia="Palatino Linotype" w:hAnsi="Palatino Linotype" w:cs="Palatino Linotype"/>
        </w:rPr>
      </w:pPr>
      <w:r w:rsidRPr="00E11169">
        <w:rPr>
          <w:rFonts w:ascii="Palatino Linotype" w:eastAsia="Palatino Linotype" w:hAnsi="Palatino Linotype" w:cs="Palatino Linotype"/>
        </w:rPr>
        <w:t>a. En su carácter de presidente municipal de Nextlalpan, Estado de México, durante la administración 2016-2018.</w:t>
      </w:r>
    </w:p>
    <w:p w14:paraId="4143CAD5" w14:textId="77777777" w:rsidR="00566805" w:rsidRPr="00E11169" w:rsidRDefault="0088381A">
      <w:pPr>
        <w:spacing w:before="240" w:after="240" w:line="360" w:lineRule="auto"/>
        <w:ind w:left="567" w:right="51"/>
        <w:jc w:val="both"/>
        <w:rPr>
          <w:rFonts w:ascii="Palatino Linotype" w:eastAsia="Palatino Linotype" w:hAnsi="Palatino Linotype" w:cs="Palatino Linotype"/>
        </w:rPr>
      </w:pPr>
      <w:r w:rsidRPr="00E11169">
        <w:rPr>
          <w:rFonts w:ascii="Palatino Linotype" w:eastAsia="Palatino Linotype" w:hAnsi="Palatino Linotype" w:cs="Palatino Linotype"/>
        </w:rPr>
        <w:t>b. Como Diputado del Distrito XXII Ojo de Agua, en la LXII Legislatura del Congreso del Estado de México.</w:t>
      </w:r>
    </w:p>
    <w:p w14:paraId="60C92A5D"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En respuesta, la Unidad de Transparencia hizo del conocimiento de la persona solicitante la información proporcionada por la Subsecretaria de Responsabilidades Administrativas, a través de la Dirección de Registro de Declaraciones y de Sanciones, cuyo Encargado de Despacho manifestó, en lo medular que no se localizó la versión pública de las Declaraciones de Situación Patrimonial y de Intereses de los años 2016 a 2018 del servidor público referido en la solicitud, sin embargo, en el Sistema Integral de Manifestación de Bienes, SIMB, se localizó información relacionada con las Declaraciones de Situación Patrimonial y de Intereses del servidor público en cuestión, la cual fue presentada de conformidad con lo establecido por la Ley de Responsabilidades Administrativas del Estado de México y Municipios, vigente a partir del 19 de julio de 2017, consistente en las Declaraciones Patrimoniales y de Intereses por Alta del año 2016, por Anualidad del año 2017, Inicial del año 2018 y por Conclusión del año 2018, como se muestra en el siguiente cuadro:</w:t>
      </w:r>
    </w:p>
    <w:p w14:paraId="206B1B96" w14:textId="77777777" w:rsidR="00566805" w:rsidRPr="00E11169" w:rsidRDefault="0088381A">
      <w:pPr>
        <w:spacing w:before="240" w:after="240" w:line="360" w:lineRule="auto"/>
        <w:ind w:right="49"/>
        <w:jc w:val="center"/>
        <w:rPr>
          <w:rFonts w:ascii="Palatino Linotype" w:eastAsia="Palatino Linotype" w:hAnsi="Palatino Linotype" w:cs="Palatino Linotype"/>
        </w:rPr>
      </w:pPr>
      <w:r w:rsidRPr="00E11169">
        <w:rPr>
          <w:rFonts w:ascii="Palatino Linotype" w:eastAsia="Palatino Linotype" w:hAnsi="Palatino Linotype" w:cs="Palatino Linotype"/>
          <w:noProof/>
        </w:rPr>
        <w:drawing>
          <wp:inline distT="0" distB="0" distL="0" distR="0" wp14:anchorId="1F40A2F3" wp14:editId="0DB7FE46">
            <wp:extent cx="4500000" cy="2168534"/>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500000" cy="2168534"/>
                    </a:xfrm>
                    <a:prstGeom prst="rect">
                      <a:avLst/>
                    </a:prstGeom>
                    <a:ln/>
                  </pic:spPr>
                </pic:pic>
              </a:graphicData>
            </a:graphic>
          </wp:inline>
        </w:drawing>
      </w:r>
    </w:p>
    <w:p w14:paraId="480E0F40"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Sin embargo, señaló que por disposición de la Ley de Transparencia y Acceso a la Información Pública del Estado de México y Municipios, se considera que la </w:t>
      </w:r>
      <w:r w:rsidRPr="00E11169">
        <w:rPr>
          <w:rFonts w:ascii="Palatino Linotype" w:eastAsia="Palatino Linotype" w:hAnsi="Palatino Linotype" w:cs="Palatino Linotype"/>
        </w:rPr>
        <w:lastRenderedPageBreak/>
        <w:t>información contenida en la declaración de situación patrimonial y de intereses, se encuentra clasificada como confidencial, por tratarse de por tratarse de datos personales relacionados a una persona física, identificada o identificable: su vida afectiva, familiar, domicilio y situación patrimonial del servidor público, razón por la cual no puede hacerse pública hasta en tanto los Sujetos Obligados cuenten con la autorización previa y específica del servidor público de que se trate, esto es, que haya otorgado su consentimiento informado, expreso, previo y por escrito.</w:t>
      </w:r>
    </w:p>
    <w:p w14:paraId="5E6BE835"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Y, finalmente precisó que a la fecha de contestación la Unidad Administrativa no cuenta en el asunto que se resuelve con documento escrito alguno en donde exista autorización previa y especifica de la persona servidora pública en cuestión, en el que se haya otorgado un pronunciamiento de consentimiento expreso informado o autorización y/o determinación ratificada de forma personal ante dicha autoridad para hacer públicas sus Declaraciones de Situación Patrimonial, una vez que se hayan presentado, y por consiguiente, se propuso la clasificación de las Declaraciones presentadas por la persona referida de 2016 a 2018, como información confidencial, la cual fue confirmada por el Comité de Transparencia como consta la Resolución derivada del Acuerdo del Comité de Transparencia número ACT/SECOGEM/EXT/COMT/3ª/2025/SÉPTIMO, aprobado en la Tercera Sesión Extraordinaria de dicho Comité, como se lee enseguida:</w:t>
      </w:r>
    </w:p>
    <w:p w14:paraId="6CB830E9" w14:textId="77777777" w:rsidR="00566805" w:rsidRPr="00E11169" w:rsidRDefault="0088381A">
      <w:pPr>
        <w:spacing w:before="240" w:after="240" w:line="360" w:lineRule="auto"/>
        <w:ind w:right="49"/>
        <w:jc w:val="center"/>
        <w:rPr>
          <w:rFonts w:ascii="Palatino Linotype" w:eastAsia="Palatino Linotype" w:hAnsi="Palatino Linotype" w:cs="Palatino Linotype"/>
        </w:rPr>
      </w:pPr>
      <w:r w:rsidRPr="00E11169">
        <w:rPr>
          <w:rFonts w:ascii="Palatino Linotype" w:eastAsia="Palatino Linotype" w:hAnsi="Palatino Linotype" w:cs="Palatino Linotype"/>
          <w:noProof/>
        </w:rPr>
        <w:lastRenderedPageBreak/>
        <w:drawing>
          <wp:inline distT="0" distB="0" distL="0" distR="0" wp14:anchorId="66A28D88" wp14:editId="051C8CE7">
            <wp:extent cx="4500000" cy="2764257"/>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500000" cy="2764257"/>
                    </a:xfrm>
                    <a:prstGeom prst="rect">
                      <a:avLst/>
                    </a:prstGeom>
                    <a:ln/>
                  </pic:spPr>
                </pic:pic>
              </a:graphicData>
            </a:graphic>
          </wp:inline>
        </w:drawing>
      </w:r>
    </w:p>
    <w:p w14:paraId="71395DEB" w14:textId="77777777" w:rsidR="00566805" w:rsidRPr="00E11169" w:rsidRDefault="0088381A">
      <w:pPr>
        <w:spacing w:before="240" w:after="240" w:line="360" w:lineRule="auto"/>
        <w:ind w:right="49"/>
        <w:jc w:val="center"/>
        <w:rPr>
          <w:rFonts w:ascii="Palatino Linotype" w:eastAsia="Palatino Linotype" w:hAnsi="Palatino Linotype" w:cs="Palatino Linotype"/>
        </w:rPr>
      </w:pPr>
      <w:r w:rsidRPr="00E11169">
        <w:rPr>
          <w:rFonts w:ascii="Palatino Linotype" w:eastAsia="Palatino Linotype" w:hAnsi="Palatino Linotype" w:cs="Palatino Linotype"/>
          <w:noProof/>
        </w:rPr>
        <w:drawing>
          <wp:inline distT="0" distB="0" distL="0" distR="0" wp14:anchorId="33561C03" wp14:editId="097D6B5F">
            <wp:extent cx="4500000" cy="2070674"/>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b="62002"/>
                    <a:stretch>
                      <a:fillRect/>
                    </a:stretch>
                  </pic:blipFill>
                  <pic:spPr>
                    <a:xfrm>
                      <a:off x="0" y="0"/>
                      <a:ext cx="4500000" cy="2070674"/>
                    </a:xfrm>
                    <a:prstGeom prst="rect">
                      <a:avLst/>
                    </a:prstGeom>
                    <a:ln/>
                  </pic:spPr>
                </pic:pic>
              </a:graphicData>
            </a:graphic>
          </wp:inline>
        </w:drawing>
      </w:r>
      <w:r w:rsidRPr="00E11169">
        <w:rPr>
          <w:rFonts w:ascii="Palatino Linotype" w:eastAsia="Palatino Linotype" w:hAnsi="Palatino Linotype" w:cs="Palatino Linotype"/>
          <w:noProof/>
        </w:rPr>
        <w:drawing>
          <wp:inline distT="0" distB="0" distL="0" distR="0" wp14:anchorId="2B8CCB8B" wp14:editId="53695788">
            <wp:extent cx="4500000" cy="979570"/>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t="82025"/>
                    <a:stretch>
                      <a:fillRect/>
                    </a:stretch>
                  </pic:blipFill>
                  <pic:spPr>
                    <a:xfrm>
                      <a:off x="0" y="0"/>
                      <a:ext cx="4500000" cy="979570"/>
                    </a:xfrm>
                    <a:prstGeom prst="rect">
                      <a:avLst/>
                    </a:prstGeom>
                    <a:ln/>
                  </pic:spPr>
                </pic:pic>
              </a:graphicData>
            </a:graphic>
          </wp:inline>
        </w:drawing>
      </w:r>
    </w:p>
    <w:p w14:paraId="40D4E334" w14:textId="55FBAF77" w:rsidR="00566805" w:rsidRPr="00E11169" w:rsidRDefault="004F595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Al no estar conforme con </w:t>
      </w:r>
      <w:r w:rsidR="0088381A" w:rsidRPr="00E11169">
        <w:rPr>
          <w:rFonts w:ascii="Palatino Linotype" w:eastAsia="Palatino Linotype" w:hAnsi="Palatino Linotype" w:cs="Palatino Linotype"/>
        </w:rPr>
        <w:t xml:space="preserve">lo anterior, la parte </w:t>
      </w:r>
      <w:r w:rsidR="0088381A" w:rsidRPr="00E11169">
        <w:rPr>
          <w:rFonts w:ascii="Palatino Linotype" w:eastAsia="Palatino Linotype" w:hAnsi="Palatino Linotype" w:cs="Palatino Linotype"/>
          <w:b/>
        </w:rPr>
        <w:t xml:space="preserve">Recurrente </w:t>
      </w:r>
      <w:r w:rsidR="0088381A" w:rsidRPr="00E11169">
        <w:rPr>
          <w:rFonts w:ascii="Palatino Linotype" w:eastAsia="Palatino Linotype" w:hAnsi="Palatino Linotype" w:cs="Palatino Linotype"/>
        </w:rPr>
        <w:t xml:space="preserve">presentó el recurso de revisión que se resuelve, por medio del cual refirió que no le fue entregada la información alegando que era confidencial, y que se necesitaba el consentimiento </w:t>
      </w:r>
      <w:r w:rsidR="0088381A" w:rsidRPr="00E11169">
        <w:rPr>
          <w:rFonts w:ascii="Palatino Linotype" w:eastAsia="Palatino Linotype" w:hAnsi="Palatino Linotype" w:cs="Palatino Linotype"/>
        </w:rPr>
        <w:lastRenderedPageBreak/>
        <w:t xml:space="preserve">del servidor público en cuestión, sin </w:t>
      </w:r>
      <w:r w:rsidR="00A06B4F" w:rsidRPr="00E11169">
        <w:rPr>
          <w:rFonts w:ascii="Palatino Linotype" w:eastAsia="Palatino Linotype" w:hAnsi="Palatino Linotype" w:cs="Palatino Linotype"/>
        </w:rPr>
        <w:t>embargo,</w:t>
      </w:r>
      <w:r w:rsidR="0088381A" w:rsidRPr="00E11169">
        <w:rPr>
          <w:rFonts w:ascii="Palatino Linotype" w:eastAsia="Palatino Linotype" w:hAnsi="Palatino Linotype" w:cs="Palatino Linotype"/>
        </w:rPr>
        <w:t xml:space="preserve"> a su parecer, dicha información debe ser pública por tratarse de un servidor público en funciones.</w:t>
      </w:r>
    </w:p>
    <w:p w14:paraId="421D0BD8"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Atento a lo anterior, no pasa desapercibido para este Organismo Garante que el motivo de inconformidad alegado por la parte </w:t>
      </w:r>
      <w:r w:rsidRPr="00E11169">
        <w:rPr>
          <w:rFonts w:ascii="Palatino Linotype" w:eastAsia="Palatino Linotype" w:hAnsi="Palatino Linotype" w:cs="Palatino Linotype"/>
          <w:b/>
        </w:rPr>
        <w:t xml:space="preserve">Recurrente, </w:t>
      </w:r>
      <w:r w:rsidRPr="00E11169">
        <w:rPr>
          <w:rFonts w:ascii="Palatino Linotype" w:eastAsia="Palatino Linotype" w:hAnsi="Palatino Linotype" w:cs="Palatino Linotype"/>
        </w:rPr>
        <w:t xml:space="preserve">versa específicamente sobre a la clasificación de las Declaraciones Patrimoniales y de Intereses por Alta del año 2016, por Anualidad del año 2017, Inicial del año 2018 y por Conclusión del año 2018 del servidor público referido en la solicitud, que fue invocada por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tal y como se aprecia en las imágenes agregadas en la página anterior.</w:t>
      </w:r>
    </w:p>
    <w:p w14:paraId="6F5C4205"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este tenor, al no haber impugnado la respuesta del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por lo que se refiere a las Declaraciones Patrimoniales y de Intereses presentadas por el servidor público referido, como Diputado del Distrito XXII Ojo de Agua en la LXII Legislatura del Congreso del Estado de México, debe declararse consentida por lo que respecta a dicho punto, toda vez que al no haber realizado manifestaciones de inconformidad al respecto, no pueden producirse efectos jurídicos tendentes a revocar, confirmar o modificar el acto, pues en el caso concreto se infiere que la información proporcionada satisface la solicitud presentada respecto del requerimiento que no fue combatido.</w:t>
      </w:r>
    </w:p>
    <w:p w14:paraId="415DB0E1"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Lo anterior es así, debido a que cuando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impugna la respuesta del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 y éste no expresa razón o motivo de inconformidad en contra de todos los rubros solicitados, dichos rubros deben declararse atendidos, pues se entiende que ésta conforme con la información entregada al no contravenir la misma.</w:t>
      </w:r>
    </w:p>
    <w:p w14:paraId="42577357"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 xml:space="preserve">Sirve de apoyo lo plasmado en el criterio orientador con clave de control SO/001/2020, emitido por el entonces Instituto Nacional de Transparencia, Acceso a la Información, y Protección de Datos Personales, INAI, que lleva por rubro y texto, lo siguiente: </w:t>
      </w:r>
    </w:p>
    <w:p w14:paraId="2FF0B503"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 xml:space="preserve">Actos consentidos tácitamente. Improcedencia de su análisis. </w:t>
      </w:r>
      <w:r w:rsidRPr="00E11169">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05CF6DA"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4976DCF7" w14:textId="77777777" w:rsidR="00566805" w:rsidRPr="00E11169" w:rsidRDefault="0088381A">
      <w:pPr>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mallCaps/>
          <w:sz w:val="22"/>
          <w:szCs w:val="22"/>
        </w:rPr>
        <w:t xml:space="preserve">“ACTOS CONSENTIDOS. SON LOS QUE NO SE IMPUGNAN MEDIANTE EL RECURSO IDÓNEO. </w:t>
      </w:r>
      <w:r w:rsidRPr="00E11169">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E11169">
        <w:rPr>
          <w:rFonts w:ascii="Palatino Linotype" w:eastAsia="Palatino Linotype" w:hAnsi="Palatino Linotype" w:cs="Palatino Linotype"/>
          <w:i/>
          <w:sz w:val="22"/>
          <w:szCs w:val="22"/>
        </w:rPr>
        <w:t>ya que</w:t>
      </w:r>
      <w:proofErr w:type="gramEnd"/>
      <w:r w:rsidRPr="00E11169">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007CC6A"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consecuencia, se insiste, ante la falta de impugnación eficaz, el requerimiento debe declararse consentido por la persona solicitante, </w:t>
      </w:r>
      <w:proofErr w:type="gramStart"/>
      <w:r w:rsidRPr="00E11169">
        <w:rPr>
          <w:rFonts w:ascii="Palatino Linotype" w:eastAsia="Palatino Linotype" w:hAnsi="Palatino Linotype" w:cs="Palatino Linotype"/>
        </w:rPr>
        <w:t>y</w:t>
      </w:r>
      <w:proofErr w:type="gramEnd"/>
      <w:r w:rsidRPr="00E11169">
        <w:rPr>
          <w:rFonts w:ascii="Palatino Linotype" w:eastAsia="Palatino Linotype" w:hAnsi="Palatino Linotype" w:cs="Palatino Linotype"/>
        </w:rPr>
        <w:t xml:space="preserve"> por consiguiente, no es procedente el análisis de fondo en la resolución.</w:t>
      </w:r>
    </w:p>
    <w:p w14:paraId="7639F2CB" w14:textId="77777777" w:rsidR="00566805" w:rsidRPr="00E11169" w:rsidRDefault="008838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Durante el periodo de manifestaciones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 xml:space="preserve">ratificó la respuesta emitida en primera instancia, mientras que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fue omisa en hacer valer manifestaciones o rendir alegatos que conforme a derecho resultaran procedentes, por lo </w:t>
      </w:r>
      <w:proofErr w:type="gramStart"/>
      <w:r w:rsidRPr="00E11169">
        <w:rPr>
          <w:rFonts w:ascii="Palatino Linotype" w:eastAsia="Palatino Linotype" w:hAnsi="Palatino Linotype" w:cs="Palatino Linotype"/>
        </w:rPr>
        <w:t>tanto</w:t>
      </w:r>
      <w:proofErr w:type="gramEnd"/>
      <w:r w:rsidRPr="00E11169">
        <w:rPr>
          <w:rFonts w:ascii="Palatino Linotype" w:eastAsia="Palatino Linotype" w:hAnsi="Palatino Linotype" w:cs="Palatino Linotype"/>
        </w:rPr>
        <w:t xml:space="preserve"> se tiene por precluido su derecho.</w:t>
      </w:r>
    </w:p>
    <w:p w14:paraId="2824525B" w14:textId="77777777" w:rsidR="00566805" w:rsidRPr="00E11169" w:rsidRDefault="0088381A">
      <w:pPr>
        <w:spacing w:before="280" w:after="28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 xml:space="preserve">Una vez establecidas las posturas de las partes, se procede al análisis del requerimiento de información combatido, así como la información proporcionada por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 xml:space="preserve">en contraposición con el motivo de inconformidad alegado por la parte </w:t>
      </w:r>
      <w:r w:rsidRPr="00E11169">
        <w:rPr>
          <w:rFonts w:ascii="Palatino Linotype" w:eastAsia="Palatino Linotype" w:hAnsi="Palatino Linotype" w:cs="Palatino Linotype"/>
          <w:b/>
        </w:rPr>
        <w:t xml:space="preserve">Recurrente, </w:t>
      </w:r>
      <w:r w:rsidRPr="00E11169">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478233C"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Ahora bien, en primer lugar, es de señalar que de la respuesta proporcionada por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por conducto de la Dirección de Registro de Declaraciones y de Sanciones, adscrita a la Subsecretaria de Responsabilidades Administrativas, como el área competente para conocer de la información que es del interés de la persona solicitante de conformidad con el código estructural 21803000030000L del Manual General de Organización de la Secretaría de la Contraloría, se despende que este no niega la existencia de las Declaraciones Patrimoniales y de Intereses presentadas por el servidor público referido en la solicitud del periodo comprendido del 2016 a 2018, sino que el motivo por el cual se niega el acceso a dicha información lo es que ésta reviste el carácter de confidencial, por lo que es posible concluir que la información se generó y obra en sus archivos</w:t>
      </w:r>
      <w:r w:rsidRPr="00E11169">
        <w:rPr>
          <w:rFonts w:ascii="Palatino Linotype" w:eastAsia="Palatino Linotype" w:hAnsi="Palatino Linotype" w:cs="Palatino Linotype"/>
          <w:b/>
        </w:rPr>
        <w:t xml:space="preserve">, </w:t>
      </w:r>
      <w:r w:rsidRPr="00E11169">
        <w:rPr>
          <w:rFonts w:ascii="Palatino Linotype" w:eastAsia="Palatino Linotype" w:hAnsi="Palatino Linotype" w:cs="Palatino Linotype"/>
        </w:rPr>
        <w:t>siendo la clasificación y la inexistencia dos figuras que no pueden coexistir, como se desprende del criterio orientador con clave de control SO/012/2023, emitido por el entonces Instituto Nacional de Transparencia, Acceso a la Información y Protección de Datos Personales, INAI</w:t>
      </w:r>
      <w:r w:rsidRPr="00E11169">
        <w:rPr>
          <w:rFonts w:ascii="Palatino Linotype" w:eastAsia="Palatino Linotype" w:hAnsi="Palatino Linotype" w:cs="Palatino Linotype"/>
          <w:b/>
        </w:rPr>
        <w:t xml:space="preserve">, </w:t>
      </w:r>
      <w:r w:rsidRPr="00E11169">
        <w:rPr>
          <w:rFonts w:ascii="Palatino Linotype" w:eastAsia="Palatino Linotype" w:hAnsi="Palatino Linotype" w:cs="Palatino Linotype"/>
        </w:rPr>
        <w:t xml:space="preserve">el cual refiere lo siguiente: </w:t>
      </w:r>
    </w:p>
    <w:p w14:paraId="5FEC74C9" w14:textId="77777777" w:rsidR="00566805" w:rsidRPr="00E11169" w:rsidRDefault="0088381A">
      <w:pPr>
        <w:spacing w:before="67"/>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 xml:space="preserve">“Respuesta a solicitud de acceso. La clasificación y la inexistencia de información son conceptos que no pueden coexistir. </w:t>
      </w:r>
      <w:r w:rsidRPr="00E11169">
        <w:rPr>
          <w:rFonts w:ascii="Palatino Linotype" w:eastAsia="Palatino Linotype" w:hAnsi="Palatino Linotype" w:cs="Palatino Linotype"/>
          <w:i/>
          <w:sz w:val="22"/>
          <w:szCs w:val="22"/>
        </w:rPr>
        <w:t xml:space="preserve">La inexistencia implica </w:t>
      </w:r>
      <w:r w:rsidRPr="00E11169">
        <w:rPr>
          <w:rFonts w:ascii="Palatino Linotype" w:eastAsia="Palatino Linotype" w:hAnsi="Palatino Linotype" w:cs="Palatino Linotype"/>
          <w:i/>
          <w:sz w:val="22"/>
          <w:szCs w:val="22"/>
        </w:rPr>
        <w:lastRenderedPageBreak/>
        <w:t xml:space="preserve">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w:t>
      </w:r>
      <w:proofErr w:type="spellStart"/>
      <w:r w:rsidRPr="00E11169">
        <w:rPr>
          <w:rFonts w:ascii="Palatino Linotype" w:eastAsia="Palatino Linotype" w:hAnsi="Palatino Linotype" w:cs="Palatino Linotype"/>
          <w:i/>
          <w:sz w:val="22"/>
          <w:szCs w:val="22"/>
        </w:rPr>
        <w:t>actualiza</w:t>
      </w:r>
      <w:proofErr w:type="spellEnd"/>
      <w:r w:rsidRPr="00E11169">
        <w:rPr>
          <w:rFonts w:ascii="Palatino Linotype" w:eastAsia="Palatino Linotype" w:hAnsi="Palatino Linotype" w:cs="Palatino Linotype"/>
          <w:i/>
          <w:sz w:val="22"/>
          <w:szCs w:val="22"/>
        </w:rPr>
        <w:t xml:space="preserve"> alguno de los supuestos de reserva o confidencialidad, por lo que se trata de una característica que adquiere la información contenida en un documento específico. Por lo anterior, </w:t>
      </w:r>
      <w:r w:rsidRPr="00E11169">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0D492182" w14:textId="77777777" w:rsidR="00566805" w:rsidRPr="00E11169" w:rsidRDefault="0088381A">
      <w:pPr>
        <w:spacing w:before="240" w:after="240" w:line="360" w:lineRule="auto"/>
        <w:ind w:right="-28"/>
        <w:jc w:val="both"/>
        <w:rPr>
          <w:rFonts w:ascii="Palatino Linotype" w:eastAsia="Palatino Linotype" w:hAnsi="Palatino Linotype" w:cs="Palatino Linotype"/>
        </w:rPr>
      </w:pPr>
      <w:r w:rsidRPr="00E11169">
        <w:rPr>
          <w:rFonts w:ascii="Palatino Linotype" w:eastAsia="Palatino Linotype" w:hAnsi="Palatino Linotype" w:cs="Palatino Linotype"/>
        </w:rPr>
        <w:t>Por otro lado, por lo que se refiere a la materia de la solicitud es oportuno traer a colación lo dispuesto por el artículo 130 de la Constitución Política del Estado Libre y Soberano de México, establece que los servidores públicos estarán obligados a presentar, bajo protesta de decir verdad, su declaración patrimonial.</w:t>
      </w:r>
    </w:p>
    <w:p w14:paraId="49972D93" w14:textId="77777777" w:rsidR="00566805" w:rsidRPr="00E11169" w:rsidRDefault="0088381A">
      <w:pPr>
        <w:pBdr>
          <w:top w:val="nil"/>
          <w:left w:val="nil"/>
          <w:bottom w:val="nil"/>
          <w:right w:val="nil"/>
          <w:between w:val="nil"/>
        </w:pBdr>
        <w:spacing w:before="240" w:after="240" w:line="360" w:lineRule="auto"/>
        <w:ind w:right="-28"/>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ese contexto, los artículos 3°, fracción VIII, 33 y 34 de la Ley de Responsabilidades Administrativas del Estado de México y Municipios, que entró en vigencia a partir del treinta y uno de mayo de dos mil diecisiete, establece que estarán obligados a presentar las declaraciones de situación patrimonial y de intereses los servidores públicos, las cuales deberán presentarse de la siguiente manera: </w:t>
      </w:r>
    </w:p>
    <w:p w14:paraId="47BC46D4" w14:textId="77777777" w:rsidR="00566805" w:rsidRPr="00E11169" w:rsidRDefault="0088381A">
      <w:pPr>
        <w:numPr>
          <w:ilvl w:val="0"/>
          <w:numId w:val="3"/>
        </w:numPr>
        <w:pBdr>
          <w:top w:val="nil"/>
          <w:left w:val="nil"/>
          <w:bottom w:val="nil"/>
          <w:right w:val="nil"/>
          <w:between w:val="nil"/>
        </w:pBdr>
        <w:spacing w:before="240" w:after="240" w:line="360" w:lineRule="auto"/>
        <w:ind w:right="-28"/>
        <w:jc w:val="both"/>
        <w:rPr>
          <w:rFonts w:ascii="Palatino Linotype" w:eastAsia="Palatino Linotype" w:hAnsi="Palatino Linotype" w:cs="Palatino Linotype"/>
          <w:b/>
        </w:rPr>
      </w:pPr>
      <w:r w:rsidRPr="00E11169">
        <w:rPr>
          <w:rFonts w:ascii="Palatino Linotype" w:eastAsia="Palatino Linotype" w:hAnsi="Palatino Linotype" w:cs="Palatino Linotype"/>
          <w:b/>
        </w:rPr>
        <w:t xml:space="preserve">Inicial: </w:t>
      </w:r>
      <w:r w:rsidRPr="00E11169">
        <w:rPr>
          <w:rFonts w:ascii="Palatino Linotype" w:eastAsia="Palatino Linotype" w:hAnsi="Palatino Linotype" w:cs="Palatino Linotype"/>
        </w:rPr>
        <w:t>Dentro de los sesenta días naturales siguientes al ingreso o reingreso al servicio público;</w:t>
      </w:r>
    </w:p>
    <w:p w14:paraId="1CF61879" w14:textId="77777777" w:rsidR="00566805" w:rsidRPr="00E11169" w:rsidRDefault="0088381A">
      <w:pPr>
        <w:numPr>
          <w:ilvl w:val="0"/>
          <w:numId w:val="2"/>
        </w:numPr>
        <w:pBdr>
          <w:top w:val="nil"/>
          <w:left w:val="nil"/>
          <w:bottom w:val="nil"/>
          <w:right w:val="nil"/>
          <w:between w:val="nil"/>
        </w:pBdr>
        <w:spacing w:before="240" w:after="240" w:line="360" w:lineRule="auto"/>
        <w:ind w:right="-28"/>
        <w:jc w:val="both"/>
        <w:rPr>
          <w:rFonts w:ascii="Palatino Linotype" w:eastAsia="Palatino Linotype" w:hAnsi="Palatino Linotype" w:cs="Palatino Linotype"/>
          <w:b/>
        </w:rPr>
      </w:pPr>
      <w:r w:rsidRPr="00E11169">
        <w:rPr>
          <w:rFonts w:ascii="Palatino Linotype" w:eastAsia="Palatino Linotype" w:hAnsi="Palatino Linotype" w:cs="Palatino Linotype"/>
          <w:b/>
        </w:rPr>
        <w:t xml:space="preserve">Modificación Patrimonial: </w:t>
      </w:r>
      <w:r w:rsidRPr="00E11169">
        <w:rPr>
          <w:rFonts w:ascii="Palatino Linotype" w:eastAsia="Palatino Linotype" w:hAnsi="Palatino Linotype" w:cs="Palatino Linotype"/>
        </w:rPr>
        <w:t>Durante el mes de mayo de dos cada año, y</w:t>
      </w:r>
    </w:p>
    <w:p w14:paraId="28158B30" w14:textId="77777777" w:rsidR="00566805" w:rsidRPr="00E11169" w:rsidRDefault="0088381A">
      <w:pPr>
        <w:numPr>
          <w:ilvl w:val="0"/>
          <w:numId w:val="2"/>
        </w:numPr>
        <w:pBdr>
          <w:top w:val="nil"/>
          <w:left w:val="nil"/>
          <w:bottom w:val="nil"/>
          <w:right w:val="nil"/>
          <w:between w:val="nil"/>
        </w:pBdr>
        <w:spacing w:before="240" w:after="240" w:line="360" w:lineRule="auto"/>
        <w:ind w:right="-28"/>
        <w:jc w:val="both"/>
        <w:rPr>
          <w:rFonts w:ascii="Palatino Linotype" w:eastAsia="Palatino Linotype" w:hAnsi="Palatino Linotype" w:cs="Palatino Linotype"/>
          <w:b/>
        </w:rPr>
      </w:pPr>
      <w:r w:rsidRPr="00E11169">
        <w:rPr>
          <w:rFonts w:ascii="Palatino Linotype" w:eastAsia="Palatino Linotype" w:hAnsi="Palatino Linotype" w:cs="Palatino Linotype"/>
          <w:b/>
        </w:rPr>
        <w:t xml:space="preserve">Conclusión: </w:t>
      </w:r>
      <w:r w:rsidRPr="00E11169">
        <w:rPr>
          <w:rFonts w:ascii="Palatino Linotype" w:eastAsia="Palatino Linotype" w:hAnsi="Palatino Linotype" w:cs="Palatino Linotype"/>
        </w:rPr>
        <w:t>Dentro de los sesenta días naturales siguientes a la conclusión del cargo.</w:t>
      </w:r>
      <w:r w:rsidRPr="00E11169">
        <w:rPr>
          <w:rFonts w:ascii="Palatino Linotype" w:eastAsia="Palatino Linotype" w:hAnsi="Palatino Linotype" w:cs="Palatino Linotype"/>
          <w:b/>
        </w:rPr>
        <w:t xml:space="preserve"> </w:t>
      </w:r>
    </w:p>
    <w:p w14:paraId="5D8970E0" w14:textId="77777777" w:rsidR="00566805" w:rsidRPr="00E11169" w:rsidRDefault="0088381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Por lo que se refiere a la publicidad de las declaraciones de situación patrimonial y de intereses, el artículo 29 de la Ley General de Responsabilidades Administrativas, precisa lo siguiente:</w:t>
      </w:r>
    </w:p>
    <w:p w14:paraId="7CBC234E" w14:textId="77777777" w:rsidR="00566805" w:rsidRPr="00E11169" w:rsidRDefault="0088381A">
      <w:pPr>
        <w:tabs>
          <w:tab w:val="left" w:pos="4962"/>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 xml:space="preserve">“Artículo 29. </w:t>
      </w:r>
      <w:r w:rsidRPr="00E11169">
        <w:rPr>
          <w:rFonts w:ascii="Palatino Linotype" w:eastAsia="Palatino Linotype" w:hAnsi="Palatino Linotype" w:cs="Palatino Linotype"/>
          <w:i/>
          <w:sz w:val="22"/>
          <w:szCs w:val="22"/>
        </w:rPr>
        <w:t xml:space="preserve">Las declaraciones patrimoniales y de intereses </w:t>
      </w:r>
      <w:r w:rsidRPr="00E11169">
        <w:rPr>
          <w:rFonts w:ascii="Palatino Linotype" w:eastAsia="Palatino Linotype" w:hAnsi="Palatino Linotype" w:cs="Palatino Linotype"/>
          <w:b/>
          <w:i/>
          <w:sz w:val="22"/>
          <w:szCs w:val="22"/>
        </w:rPr>
        <w:t>serán públicas salvo los rubros cuya publicidad pueda afectar la vida privada o los datos personales protegidos por la Constitución</w:t>
      </w:r>
      <w:r w:rsidRPr="00E11169">
        <w:rPr>
          <w:rFonts w:ascii="Palatino Linotype" w:eastAsia="Palatino Linotype" w:hAnsi="Palatino Linotype" w:cs="Palatino Linotype"/>
          <w:i/>
          <w:sz w:val="22"/>
          <w:szCs w:val="22"/>
        </w:rPr>
        <w:t xml:space="preserve">. Para tal efecto, el Comité Coordinador, a propuesta del Comité de Participación Ciudadana, </w:t>
      </w:r>
      <w:r w:rsidRPr="00E11169">
        <w:rPr>
          <w:rFonts w:ascii="Palatino Linotype" w:eastAsia="Palatino Linotype" w:hAnsi="Palatino Linotype" w:cs="Palatino Linotype"/>
          <w:b/>
          <w:i/>
          <w:sz w:val="22"/>
          <w:szCs w:val="22"/>
          <w:u w:val="single"/>
        </w:rPr>
        <w:t>emitirá los formatos respectivos</w:t>
      </w:r>
      <w:r w:rsidRPr="00E11169">
        <w:rPr>
          <w:rFonts w:ascii="Palatino Linotype" w:eastAsia="Palatino Linotype" w:hAnsi="Palatino Linotype" w:cs="Palatino Linotype"/>
          <w:i/>
          <w:sz w:val="22"/>
          <w:szCs w:val="22"/>
        </w:rPr>
        <w:t>, garantizando que los rubros que pudieran afectar los derechos aludidos queden en resguardo de las autoridades competentes.”</w:t>
      </w:r>
    </w:p>
    <w:p w14:paraId="58A350AF" w14:textId="77777777" w:rsidR="00566805" w:rsidRPr="00E11169" w:rsidRDefault="0088381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En el mismo tenor, el artículo 30 de la Ley de Responsabilidades Administrativas del Estado de México y Municipios, establece lo siguiente:</w:t>
      </w:r>
    </w:p>
    <w:p w14:paraId="0C5B3267" w14:textId="77777777" w:rsidR="00566805" w:rsidRPr="00E11169" w:rsidRDefault="0088381A">
      <w:pPr>
        <w:tabs>
          <w:tab w:val="left" w:pos="4962"/>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“Artículo 30.</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u w:val="single"/>
        </w:rPr>
        <w:t xml:space="preserve">Las </w:t>
      </w:r>
      <w:proofErr w:type="gramStart"/>
      <w:r w:rsidRPr="00E11169">
        <w:rPr>
          <w:rFonts w:ascii="Palatino Linotype" w:eastAsia="Palatino Linotype" w:hAnsi="Palatino Linotype" w:cs="Palatino Linotype"/>
          <w:b/>
          <w:i/>
          <w:sz w:val="22"/>
          <w:szCs w:val="22"/>
          <w:u w:val="single"/>
        </w:rPr>
        <w:t>declaraciones patrimonial</w:t>
      </w:r>
      <w:proofErr w:type="gramEnd"/>
      <w:r w:rsidRPr="00E11169">
        <w:rPr>
          <w:rFonts w:ascii="Palatino Linotype" w:eastAsia="Palatino Linotype" w:hAnsi="Palatino Linotype" w:cs="Palatino Linotype"/>
          <w:b/>
          <w:i/>
          <w:sz w:val="22"/>
          <w:szCs w:val="22"/>
          <w:u w:val="single"/>
        </w:rPr>
        <w:t xml:space="preserve"> y de intereses</w:t>
      </w:r>
      <w:r w:rsidRPr="00E11169">
        <w:rPr>
          <w:rFonts w:ascii="Palatino Linotype" w:eastAsia="Palatino Linotype" w:hAnsi="Palatino Linotype" w:cs="Palatino Linotype"/>
          <w:i/>
          <w:sz w:val="22"/>
          <w:szCs w:val="22"/>
          <w:u w:val="single"/>
        </w:rPr>
        <w:t xml:space="preserve">, </w:t>
      </w:r>
      <w:r w:rsidRPr="00E11169">
        <w:rPr>
          <w:rFonts w:ascii="Palatino Linotype" w:eastAsia="Palatino Linotype" w:hAnsi="Palatino Linotype" w:cs="Palatino Linotype"/>
          <w:b/>
          <w:i/>
          <w:sz w:val="22"/>
          <w:szCs w:val="22"/>
          <w:u w:val="single"/>
        </w:rPr>
        <w:t>serán públicas</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salvo los rubros cuya publicidad pueda afectar la vida privada o los datos personales protegidos por las Constituciones federal y local</w:t>
      </w:r>
      <w:r w:rsidRPr="00E11169">
        <w:rPr>
          <w:rFonts w:ascii="Palatino Linotype" w:eastAsia="Palatino Linotype" w:hAnsi="Palatino Linotype" w:cs="Palatino Linotype"/>
          <w:i/>
          <w:sz w:val="22"/>
          <w:szCs w:val="22"/>
        </w:rPr>
        <w:t xml:space="preserve">. Para tal efecto, </w:t>
      </w:r>
      <w:r w:rsidRPr="00E11169">
        <w:rPr>
          <w:rFonts w:ascii="Palatino Linotype" w:eastAsia="Palatino Linotype" w:hAnsi="Palatino Linotype" w:cs="Palatino Linotype"/>
          <w:b/>
          <w:i/>
          <w:sz w:val="22"/>
          <w:szCs w:val="22"/>
        </w:rPr>
        <w:t xml:space="preserve">el Comité Coordinador, a propuesta del Comité de Participación Ciudadana, </w:t>
      </w:r>
      <w:r w:rsidRPr="00E11169">
        <w:rPr>
          <w:rFonts w:ascii="Palatino Linotype" w:eastAsia="Palatino Linotype" w:hAnsi="Palatino Linotype" w:cs="Palatino Linotype"/>
          <w:b/>
          <w:i/>
          <w:sz w:val="22"/>
          <w:szCs w:val="22"/>
          <w:u w:val="single"/>
        </w:rPr>
        <w:t>emitirá los formatos respectivos</w:t>
      </w:r>
      <w:r w:rsidRPr="00E11169">
        <w:rPr>
          <w:rFonts w:ascii="Palatino Linotype" w:eastAsia="Palatino Linotype" w:hAnsi="Palatino Linotype" w:cs="Palatino Linotype"/>
          <w:i/>
          <w:sz w:val="22"/>
          <w:szCs w:val="22"/>
        </w:rPr>
        <w:t>, en apego a las leyes y ordenamientos en la materia, garantizando que los rubros que pudieran afectar los derechos aludidos queden en resguardo de las autoridades competentes.”</w:t>
      </w:r>
    </w:p>
    <w:p w14:paraId="21A95151" w14:textId="77777777" w:rsidR="00566805" w:rsidRPr="00E11169" w:rsidRDefault="0088381A">
      <w:pPr>
        <w:tabs>
          <w:tab w:val="left" w:pos="4962"/>
        </w:tabs>
        <w:spacing w:before="240" w:after="240" w:line="360" w:lineRule="auto"/>
        <w:ind w:right="-28"/>
        <w:jc w:val="both"/>
        <w:rPr>
          <w:rFonts w:ascii="Palatino Linotype" w:eastAsia="Palatino Linotype" w:hAnsi="Palatino Linotype" w:cs="Palatino Linotype"/>
          <w:b/>
        </w:rPr>
      </w:pPr>
      <w:r w:rsidRPr="00E11169">
        <w:rPr>
          <w:rFonts w:ascii="Palatino Linotype" w:eastAsia="Palatino Linotype" w:hAnsi="Palatino Linotype" w:cs="Palatino Linotype"/>
        </w:rPr>
        <w:t xml:space="preserve">De los artículos citados, se logra advertir que </w:t>
      </w:r>
      <w:r w:rsidRPr="00E11169">
        <w:rPr>
          <w:rFonts w:ascii="Palatino Linotype" w:eastAsia="Palatino Linotype" w:hAnsi="Palatino Linotype" w:cs="Palatino Linotype"/>
          <w:b/>
        </w:rPr>
        <w:t>las declaraciones de situación patrimonial y de intereses serán públicas,</w:t>
      </w:r>
      <w:r w:rsidRPr="00E11169">
        <w:rPr>
          <w:rFonts w:ascii="Palatino Linotype" w:eastAsia="Palatino Linotype" w:hAnsi="Palatino Linotype" w:cs="Palatino Linotype"/>
        </w:rPr>
        <w:t xml:space="preserve"> salvo los rubros cuya publicidad pueda afectar la vida privada y los datos personales; para lo cual, </w:t>
      </w:r>
      <w:r w:rsidRPr="00E11169">
        <w:rPr>
          <w:rFonts w:ascii="Palatino Linotype" w:eastAsia="Palatino Linotype" w:hAnsi="Palatino Linotype" w:cs="Palatino Linotype"/>
          <w:b/>
        </w:rPr>
        <w:t xml:space="preserve">el Comité Coordinador, a propuesta del Comité de Participación Ciudadana, </w:t>
      </w:r>
      <w:r w:rsidRPr="00E11169">
        <w:rPr>
          <w:rFonts w:ascii="Palatino Linotype" w:eastAsia="Palatino Linotype" w:hAnsi="Palatino Linotype" w:cs="Palatino Linotype"/>
          <w:b/>
          <w:u w:val="single"/>
        </w:rPr>
        <w:t>deberá emitir los formatos respectivos para realizar las versiones públicas</w:t>
      </w:r>
      <w:r w:rsidRPr="00E11169">
        <w:rPr>
          <w:rFonts w:ascii="Palatino Linotype" w:eastAsia="Palatino Linotype" w:hAnsi="Palatino Linotype" w:cs="Palatino Linotype"/>
          <w:b/>
        </w:rPr>
        <w:t>.</w:t>
      </w:r>
    </w:p>
    <w:p w14:paraId="77A1573B" w14:textId="669702DD" w:rsidR="00566805" w:rsidRPr="00E11169" w:rsidRDefault="0088381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Por consiguiente, </w:t>
      </w:r>
      <w:r w:rsidRPr="00E11169">
        <w:rPr>
          <w:rFonts w:ascii="Palatino Linotype" w:eastAsia="Palatino Linotype" w:hAnsi="Palatino Linotype" w:cs="Palatino Linotype"/>
          <w:b/>
        </w:rPr>
        <w:t xml:space="preserve">la exigencia al cumplimiento a la obligación de publicitar las Declaraciones de situación patrimonial y de intereses de los servidores públicos, </w:t>
      </w:r>
      <w:r w:rsidRPr="00E11169">
        <w:rPr>
          <w:rFonts w:ascii="Palatino Linotype" w:eastAsia="Palatino Linotype" w:hAnsi="Palatino Linotype" w:cs="Palatino Linotype"/>
          <w:b/>
          <w:u w:val="single"/>
        </w:rPr>
        <w:t xml:space="preserve">quedó supeditado a la emisión de los formatos respectivos, por parte del Comité Coordinador del Sistema Nacional Anticorrupción y Comité Coordinador del </w:t>
      </w:r>
      <w:r w:rsidRPr="00E11169">
        <w:rPr>
          <w:rFonts w:ascii="Palatino Linotype" w:eastAsia="Palatino Linotype" w:hAnsi="Palatino Linotype" w:cs="Palatino Linotype"/>
          <w:b/>
          <w:u w:val="single"/>
        </w:rPr>
        <w:lastRenderedPageBreak/>
        <w:t>Sistema Estatal Anticorrupción,</w:t>
      </w:r>
      <w:r w:rsidRPr="00E11169">
        <w:rPr>
          <w:rFonts w:ascii="Palatino Linotype" w:eastAsia="Palatino Linotype" w:hAnsi="Palatino Linotype" w:cs="Palatino Linotype"/>
        </w:rPr>
        <w:t xml:space="preserve"> los cuales deben garantizar que la información que afecta la vida privada o los datos personales de los servidores públicos quede en resguardo de las autoridades competentes, es decir, que no sea de conocimiento público para no vulnerar su esfera más íntima de privacidad, y hasta entonces, la obligación de los servidores públicos de presentar sus declaraciones patrimonial y de intereses, debió cumplirse mediante los formatos que se habían utilizado para </w:t>
      </w:r>
      <w:r w:rsidR="004F595A" w:rsidRPr="00E11169">
        <w:rPr>
          <w:rFonts w:ascii="Palatino Linotype" w:eastAsia="Palatino Linotype" w:hAnsi="Palatino Linotype" w:cs="Palatino Linotype"/>
        </w:rPr>
        <w:t>t</w:t>
      </w:r>
      <w:r w:rsidRPr="00E11169">
        <w:rPr>
          <w:rFonts w:ascii="Palatino Linotype" w:eastAsia="Palatino Linotype" w:hAnsi="Palatino Linotype" w:cs="Palatino Linotype"/>
        </w:rPr>
        <w:t>al efecto hasta la entrada en vigor de la Ley General de Responsabilidades Administrativas y de la Ley de Responsabilidades Administrativas del Estado de México y Municipios.</w:t>
      </w:r>
    </w:p>
    <w:p w14:paraId="039C653A" w14:textId="77777777" w:rsidR="00566805" w:rsidRPr="00E11169" w:rsidRDefault="0088381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Lo anterior encuentra sustento en el Transitorio Tercero de la Ley General de Responsabilidades Administrativas, y de la Ley General del Sistema Nacional Anticorrupción, respectivamente, </w:t>
      </w:r>
      <w:proofErr w:type="gramStart"/>
      <w:r w:rsidRPr="00E11169">
        <w:rPr>
          <w:rFonts w:ascii="Palatino Linotype" w:eastAsia="Palatino Linotype" w:hAnsi="Palatino Linotype" w:cs="Palatino Linotype"/>
        </w:rPr>
        <w:t>que</w:t>
      </w:r>
      <w:proofErr w:type="gramEnd"/>
      <w:r w:rsidRPr="00E11169">
        <w:rPr>
          <w:rFonts w:ascii="Palatino Linotype" w:eastAsia="Palatino Linotype" w:hAnsi="Palatino Linotype" w:cs="Palatino Linotype"/>
        </w:rPr>
        <w:t xml:space="preserve"> en su parte conducente, disponen lo siguiente:</w:t>
      </w:r>
    </w:p>
    <w:p w14:paraId="21E4200A" w14:textId="77777777" w:rsidR="00566805" w:rsidRPr="00E11169" w:rsidRDefault="0088381A">
      <w:pPr>
        <w:tabs>
          <w:tab w:val="left" w:pos="4962"/>
          <w:tab w:val="left" w:pos="7938"/>
        </w:tabs>
        <w:spacing w:before="240" w:after="240" w:line="360" w:lineRule="auto"/>
        <w:ind w:left="851" w:right="900"/>
        <w:jc w:val="both"/>
        <w:rPr>
          <w:rFonts w:ascii="Palatino Linotype" w:eastAsia="Palatino Linotype" w:hAnsi="Palatino Linotype" w:cs="Palatino Linotype"/>
          <w:i/>
        </w:rPr>
      </w:pPr>
      <w:r w:rsidRPr="00E11169">
        <w:rPr>
          <w:rFonts w:ascii="Palatino Linotype" w:eastAsia="Palatino Linotype" w:hAnsi="Palatino Linotype" w:cs="Palatino Linotype"/>
          <w:i/>
        </w:rPr>
        <w:t>Ley General de Responsabilidades Administrativas</w:t>
      </w:r>
    </w:p>
    <w:p w14:paraId="47ADDB6D"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“Tercero.</w:t>
      </w:r>
      <w:r w:rsidRPr="00E11169">
        <w:rPr>
          <w:rFonts w:ascii="Palatino Linotype" w:eastAsia="Palatino Linotype" w:hAnsi="Palatino Linotype" w:cs="Palatino Linotype"/>
          <w:i/>
          <w:sz w:val="22"/>
          <w:szCs w:val="22"/>
        </w:rPr>
        <w:t xml:space="preserve"> …</w:t>
      </w:r>
    </w:p>
    <w:p w14:paraId="73C7BC7C"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5096E3B9"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El cumplimiento de las obligaciones</w:t>
      </w:r>
      <w:r w:rsidRPr="00E11169">
        <w:rPr>
          <w:rFonts w:ascii="Palatino Linotype" w:eastAsia="Palatino Linotype" w:hAnsi="Palatino Linotype" w:cs="Palatino Linotype"/>
          <w:i/>
          <w:sz w:val="22"/>
          <w:szCs w:val="22"/>
        </w:rPr>
        <w:t xml:space="preserve"> previstas en la Ley General de Responsabilidades Administrativas, una vez que ésta entre en vigor, </w:t>
      </w:r>
      <w:r w:rsidRPr="00E11169">
        <w:rPr>
          <w:rFonts w:ascii="Palatino Linotype" w:eastAsia="Palatino Linotype" w:hAnsi="Palatino Linotype" w:cs="Palatino Linotype"/>
          <w:b/>
          <w:i/>
          <w:sz w:val="22"/>
          <w:szCs w:val="22"/>
        </w:rPr>
        <w:t xml:space="preserve">serán exigibles, en lo que resulte aplicable, </w:t>
      </w:r>
      <w:r w:rsidRPr="00E11169">
        <w:rPr>
          <w:rFonts w:ascii="Palatino Linotype" w:eastAsia="Palatino Linotype" w:hAnsi="Palatino Linotype" w:cs="Palatino Linotype"/>
          <w:b/>
          <w:i/>
          <w:sz w:val="22"/>
          <w:szCs w:val="22"/>
          <w:u w:val="single"/>
        </w:rPr>
        <w:t>hasta en tanto</w:t>
      </w:r>
      <w:r w:rsidRPr="00E11169">
        <w:rPr>
          <w:rFonts w:ascii="Palatino Linotype" w:eastAsia="Palatino Linotype" w:hAnsi="Palatino Linotype" w:cs="Palatino Linotype"/>
          <w:b/>
          <w:i/>
          <w:sz w:val="22"/>
          <w:szCs w:val="22"/>
        </w:rPr>
        <w:t xml:space="preserve"> el Comité Coordinador del Sistema Nacional Anticorrupción, de conformidad con la ley de la materia, emita los lineamientos, criterios y demás resoluciones conducentes de su competencia</w:t>
      </w:r>
      <w:r w:rsidRPr="00E11169">
        <w:rPr>
          <w:rFonts w:ascii="Palatino Linotype" w:eastAsia="Palatino Linotype" w:hAnsi="Palatino Linotype" w:cs="Palatino Linotype"/>
          <w:i/>
          <w:sz w:val="22"/>
          <w:szCs w:val="22"/>
        </w:rPr>
        <w:t>.</w:t>
      </w:r>
    </w:p>
    <w:p w14:paraId="47AB01A7"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066B4E85"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i/>
          <w:sz w:val="22"/>
          <w:szCs w:val="22"/>
        </w:rPr>
        <w:t xml:space="preserve">Una vez en vigor la Ley General de Responsabilidades Administrativas y </w:t>
      </w:r>
      <w:r w:rsidRPr="00E11169">
        <w:rPr>
          <w:rFonts w:ascii="Palatino Linotype" w:eastAsia="Palatino Linotype" w:hAnsi="Palatino Linotype" w:cs="Palatino Linotype"/>
          <w:b/>
          <w:i/>
          <w:sz w:val="22"/>
          <w:szCs w:val="22"/>
          <w:u w:val="single"/>
        </w:rPr>
        <w:t>hasta en tanto</w:t>
      </w:r>
      <w:r w:rsidRPr="00E11169">
        <w:rPr>
          <w:rFonts w:ascii="Palatino Linotype" w:eastAsia="Palatino Linotype" w:hAnsi="Palatino Linotype" w:cs="Palatino Linotype"/>
          <w:b/>
          <w:i/>
          <w:sz w:val="22"/>
          <w:szCs w:val="22"/>
        </w:rPr>
        <w:t xml:space="preserve"> el Comité Coordinador del Sistema Nacional Anticorrupción determina los formatos</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para la presentación de las declaraciones patrimonial y de intereses</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 xml:space="preserve">los servidores públicos de todos los órdenes de gobierno </w:t>
      </w:r>
      <w:r w:rsidRPr="00E11169">
        <w:rPr>
          <w:rFonts w:ascii="Palatino Linotype" w:eastAsia="Palatino Linotype" w:hAnsi="Palatino Linotype" w:cs="Palatino Linotype"/>
          <w:b/>
          <w:i/>
          <w:sz w:val="22"/>
          <w:szCs w:val="22"/>
          <w:u w:val="single"/>
        </w:rPr>
        <w:t xml:space="preserve">presentarán sus declaraciones en los formatos </w:t>
      </w:r>
      <w:proofErr w:type="gramStart"/>
      <w:r w:rsidRPr="00E11169">
        <w:rPr>
          <w:rFonts w:ascii="Palatino Linotype" w:eastAsia="Palatino Linotype" w:hAnsi="Palatino Linotype" w:cs="Palatino Linotype"/>
          <w:b/>
          <w:i/>
          <w:sz w:val="22"/>
          <w:szCs w:val="22"/>
          <w:u w:val="single"/>
        </w:rPr>
        <w:t>que</w:t>
      </w:r>
      <w:proofErr w:type="gramEnd"/>
      <w:r w:rsidRPr="00E11169">
        <w:rPr>
          <w:rFonts w:ascii="Palatino Linotype" w:eastAsia="Palatino Linotype" w:hAnsi="Palatino Linotype" w:cs="Palatino Linotype"/>
          <w:b/>
          <w:i/>
          <w:sz w:val="22"/>
          <w:szCs w:val="22"/>
          <w:u w:val="single"/>
        </w:rPr>
        <w:t xml:space="preserve"> a la </w:t>
      </w:r>
      <w:r w:rsidRPr="00E11169">
        <w:rPr>
          <w:rFonts w:ascii="Palatino Linotype" w:eastAsia="Palatino Linotype" w:hAnsi="Palatino Linotype" w:cs="Palatino Linotype"/>
          <w:b/>
          <w:i/>
          <w:sz w:val="22"/>
          <w:szCs w:val="22"/>
          <w:u w:val="single"/>
        </w:rPr>
        <w:lastRenderedPageBreak/>
        <w:t>entrada en vigor de la referida Ley General, se utilicen</w:t>
      </w:r>
      <w:r w:rsidRPr="00E11169">
        <w:rPr>
          <w:rFonts w:ascii="Palatino Linotype" w:eastAsia="Palatino Linotype" w:hAnsi="Palatino Linotype" w:cs="Palatino Linotype"/>
          <w:b/>
          <w:i/>
          <w:sz w:val="22"/>
          <w:szCs w:val="22"/>
        </w:rPr>
        <w:t xml:space="preserve"> en el ámbito federal.”</w:t>
      </w:r>
    </w:p>
    <w:p w14:paraId="4A55D2F1" w14:textId="77777777" w:rsidR="004F595A" w:rsidRPr="00E11169" w:rsidRDefault="004F595A">
      <w:pPr>
        <w:tabs>
          <w:tab w:val="left" w:pos="4962"/>
          <w:tab w:val="left" w:pos="7938"/>
        </w:tabs>
        <w:spacing w:line="360" w:lineRule="auto"/>
        <w:ind w:left="851" w:right="900"/>
        <w:jc w:val="both"/>
        <w:rPr>
          <w:rFonts w:ascii="Palatino Linotype" w:eastAsia="Palatino Linotype" w:hAnsi="Palatino Linotype" w:cs="Palatino Linotype"/>
          <w:i/>
        </w:rPr>
      </w:pPr>
    </w:p>
    <w:p w14:paraId="5DAFF88A" w14:textId="77777777" w:rsidR="00566805" w:rsidRPr="00E11169" w:rsidRDefault="0088381A">
      <w:pPr>
        <w:tabs>
          <w:tab w:val="left" w:pos="4962"/>
          <w:tab w:val="left" w:pos="7938"/>
        </w:tabs>
        <w:spacing w:line="360" w:lineRule="auto"/>
        <w:ind w:left="851" w:right="900"/>
        <w:jc w:val="both"/>
        <w:rPr>
          <w:rFonts w:ascii="Palatino Linotype" w:eastAsia="Palatino Linotype" w:hAnsi="Palatino Linotype" w:cs="Palatino Linotype"/>
        </w:rPr>
      </w:pPr>
      <w:r w:rsidRPr="00E11169">
        <w:rPr>
          <w:rFonts w:ascii="Palatino Linotype" w:eastAsia="Palatino Linotype" w:hAnsi="Palatino Linotype" w:cs="Palatino Linotype"/>
          <w:i/>
        </w:rPr>
        <w:t>Ley General del Sistema Nacional Anticorrupción</w:t>
      </w:r>
    </w:p>
    <w:p w14:paraId="42DEB720"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 xml:space="preserve">“Tercero. </w:t>
      </w:r>
      <w:r w:rsidRPr="00E11169">
        <w:rPr>
          <w:rFonts w:ascii="Palatino Linotype" w:eastAsia="Palatino Linotype" w:hAnsi="Palatino Linotype" w:cs="Palatino Linotype"/>
          <w:i/>
          <w:sz w:val="22"/>
          <w:szCs w:val="22"/>
        </w:rPr>
        <w:t>…</w:t>
      </w:r>
    </w:p>
    <w:p w14:paraId="75241D2A"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057FCC99"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El cumplimiento de las obligaciones previstas en la Ley General de Responsabilidades Administrativas, una vez que ésta entre en vigor,</w:t>
      </w:r>
      <w:r w:rsidRPr="00E11169">
        <w:rPr>
          <w:rFonts w:ascii="Palatino Linotype" w:eastAsia="Palatino Linotype" w:hAnsi="Palatino Linotype" w:cs="Palatino Linotype"/>
          <w:b/>
          <w:i/>
          <w:sz w:val="22"/>
          <w:szCs w:val="22"/>
        </w:rPr>
        <w:t xml:space="preserve"> serán exigibles, en lo que resulte aplicable, </w:t>
      </w:r>
      <w:r w:rsidRPr="00E11169">
        <w:rPr>
          <w:rFonts w:ascii="Palatino Linotype" w:eastAsia="Palatino Linotype" w:hAnsi="Palatino Linotype" w:cs="Palatino Linotype"/>
          <w:b/>
          <w:i/>
          <w:sz w:val="22"/>
          <w:szCs w:val="22"/>
          <w:u w:val="single"/>
        </w:rPr>
        <w:t>hasta en tanto</w:t>
      </w:r>
      <w:r w:rsidRPr="00E11169">
        <w:rPr>
          <w:rFonts w:ascii="Palatino Linotype" w:eastAsia="Palatino Linotype" w:hAnsi="Palatino Linotype" w:cs="Palatino Linotype"/>
          <w:b/>
          <w:i/>
          <w:sz w:val="22"/>
          <w:szCs w:val="22"/>
        </w:rPr>
        <w:t xml:space="preserve"> el Comité Coordinador del Sistema Nacional Anticorrupción, de conformidad con la ley de la materia, emita los lineamientos, criterios y demás resoluciones conducentes de su competencia.</w:t>
      </w:r>
      <w:r w:rsidRPr="00E11169">
        <w:rPr>
          <w:rFonts w:ascii="Palatino Linotype" w:eastAsia="Palatino Linotype" w:hAnsi="Palatino Linotype" w:cs="Palatino Linotype"/>
          <w:b/>
          <w:i/>
          <w:sz w:val="22"/>
          <w:szCs w:val="22"/>
        </w:rPr>
        <w:br/>
      </w:r>
      <w:r w:rsidRPr="00E11169">
        <w:rPr>
          <w:rFonts w:ascii="Palatino Linotype" w:eastAsia="Palatino Linotype" w:hAnsi="Palatino Linotype" w:cs="Palatino Linotype"/>
          <w:i/>
          <w:sz w:val="22"/>
          <w:szCs w:val="22"/>
        </w:rPr>
        <w:t>...</w:t>
      </w:r>
    </w:p>
    <w:p w14:paraId="12D8B245" w14:textId="77777777" w:rsidR="00566805" w:rsidRPr="00E11169" w:rsidRDefault="0088381A">
      <w:pPr>
        <w:tabs>
          <w:tab w:val="left" w:pos="4962"/>
          <w:tab w:val="left" w:pos="7938"/>
        </w:tabs>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i/>
          <w:sz w:val="22"/>
          <w:szCs w:val="22"/>
        </w:rPr>
        <w:t xml:space="preserve">Una vez en vigor la Ley General de Responsabilidades Administrativas y </w:t>
      </w:r>
      <w:r w:rsidRPr="00E11169">
        <w:rPr>
          <w:rFonts w:ascii="Palatino Linotype" w:eastAsia="Palatino Linotype" w:hAnsi="Palatino Linotype" w:cs="Palatino Linotype"/>
          <w:b/>
          <w:i/>
          <w:sz w:val="22"/>
          <w:szCs w:val="22"/>
          <w:u w:val="single"/>
        </w:rPr>
        <w:t>hasta en tanto</w:t>
      </w:r>
      <w:r w:rsidRPr="00E11169">
        <w:rPr>
          <w:rFonts w:ascii="Palatino Linotype" w:eastAsia="Palatino Linotype" w:hAnsi="Palatino Linotype" w:cs="Palatino Linotype"/>
          <w:b/>
          <w:i/>
          <w:sz w:val="22"/>
          <w:szCs w:val="22"/>
        </w:rPr>
        <w:t xml:space="preserve"> el Comité Coordinador del Sistema Nacional Anticorrupción determina los formatos para la presentación de las declaraciones patrimonial y de intereses, los servidores públicos de todos los órdenes de gobierno </w:t>
      </w:r>
      <w:r w:rsidRPr="00E11169">
        <w:rPr>
          <w:rFonts w:ascii="Palatino Linotype" w:eastAsia="Palatino Linotype" w:hAnsi="Palatino Linotype" w:cs="Palatino Linotype"/>
          <w:b/>
          <w:i/>
          <w:sz w:val="22"/>
          <w:szCs w:val="22"/>
          <w:u w:val="single"/>
        </w:rPr>
        <w:t xml:space="preserve">presentarán sus declaraciones en los formatos </w:t>
      </w:r>
      <w:proofErr w:type="gramStart"/>
      <w:r w:rsidRPr="00E11169">
        <w:rPr>
          <w:rFonts w:ascii="Palatino Linotype" w:eastAsia="Palatino Linotype" w:hAnsi="Palatino Linotype" w:cs="Palatino Linotype"/>
          <w:b/>
          <w:i/>
          <w:sz w:val="22"/>
          <w:szCs w:val="22"/>
          <w:u w:val="single"/>
        </w:rPr>
        <w:t>que</w:t>
      </w:r>
      <w:proofErr w:type="gramEnd"/>
      <w:r w:rsidRPr="00E11169">
        <w:rPr>
          <w:rFonts w:ascii="Palatino Linotype" w:eastAsia="Palatino Linotype" w:hAnsi="Palatino Linotype" w:cs="Palatino Linotype"/>
          <w:b/>
          <w:i/>
          <w:sz w:val="22"/>
          <w:szCs w:val="22"/>
          <w:u w:val="single"/>
        </w:rPr>
        <w:t xml:space="preserve"> a la entrada en vigor de la referida Ley General, se utilicen</w:t>
      </w:r>
      <w:r w:rsidRPr="00E11169">
        <w:rPr>
          <w:rFonts w:ascii="Palatino Linotype" w:eastAsia="Palatino Linotype" w:hAnsi="Palatino Linotype" w:cs="Palatino Linotype"/>
          <w:b/>
          <w:i/>
          <w:sz w:val="22"/>
          <w:szCs w:val="22"/>
        </w:rPr>
        <w:t xml:space="preserve"> en el ámbito federal. </w:t>
      </w:r>
    </w:p>
    <w:p w14:paraId="1E3BCCBF" w14:textId="77777777" w:rsidR="00566805" w:rsidRPr="00E11169" w:rsidRDefault="0088381A">
      <w:pPr>
        <w:tabs>
          <w:tab w:val="left" w:pos="4962"/>
          <w:tab w:val="left" w:pos="7938"/>
        </w:tabs>
        <w:ind w:left="851" w:right="567"/>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sz w:val="22"/>
          <w:szCs w:val="22"/>
        </w:rPr>
        <w:t>…”</w:t>
      </w:r>
    </w:p>
    <w:p w14:paraId="772A8065" w14:textId="77777777" w:rsidR="00566805" w:rsidRPr="00E11169" w:rsidRDefault="0088381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Así como en el</w:t>
      </w:r>
      <w:r w:rsidRPr="00E11169">
        <w:rPr>
          <w:rFonts w:ascii="Palatino Linotype" w:eastAsia="Palatino Linotype" w:hAnsi="Palatino Linotype" w:cs="Palatino Linotype"/>
          <w:b/>
        </w:rPr>
        <w:t xml:space="preserve"> </w:t>
      </w:r>
      <w:r w:rsidRPr="00E11169">
        <w:rPr>
          <w:rFonts w:ascii="Palatino Linotype" w:eastAsia="Palatino Linotype" w:hAnsi="Palatino Linotype" w:cs="Palatino Linotype"/>
        </w:rPr>
        <w:t>Transitorio Noveno de la Ley de Responsabilidades Administrativas del Estado de México y Municipios, que en su parte conducente establece lo siguiente:</w:t>
      </w:r>
    </w:p>
    <w:p w14:paraId="348C87B2" w14:textId="77777777" w:rsidR="00566805" w:rsidRPr="00E11169" w:rsidRDefault="0088381A">
      <w:pPr>
        <w:tabs>
          <w:tab w:val="left" w:pos="4962"/>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 xml:space="preserve">“NOVENO. </w:t>
      </w:r>
      <w:r w:rsidRPr="00E11169">
        <w:rPr>
          <w:rFonts w:ascii="Palatino Linotype" w:eastAsia="Palatino Linotype" w:hAnsi="Palatino Linotype" w:cs="Palatino Linotype"/>
          <w:i/>
          <w:sz w:val="22"/>
          <w:szCs w:val="22"/>
        </w:rPr>
        <w:t>…</w:t>
      </w:r>
    </w:p>
    <w:p w14:paraId="0E3E8BD0" w14:textId="77777777" w:rsidR="00566805" w:rsidRPr="00E11169" w:rsidRDefault="0088381A">
      <w:pPr>
        <w:tabs>
          <w:tab w:val="left" w:pos="4962"/>
        </w:tabs>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10865D5E" w14:textId="77777777" w:rsidR="00566805" w:rsidRPr="00E11169" w:rsidRDefault="0088381A">
      <w:pPr>
        <w:widowControl w:val="0"/>
        <w:tabs>
          <w:tab w:val="left" w:pos="4962"/>
        </w:tabs>
        <w:ind w:left="851" w:right="900"/>
        <w:jc w:val="both"/>
        <w:rPr>
          <w:rFonts w:ascii="Palatino Linotype" w:eastAsia="Palatino Linotype" w:hAnsi="Palatino Linotype" w:cs="Palatino Linotype"/>
          <w:i/>
          <w:sz w:val="22"/>
          <w:szCs w:val="22"/>
          <w:u w:val="single"/>
        </w:rPr>
      </w:pPr>
      <w:r w:rsidRPr="00E11169">
        <w:rPr>
          <w:rFonts w:ascii="Palatino Linotype" w:eastAsia="Palatino Linotype" w:hAnsi="Palatino Linotype" w:cs="Palatino Linotype"/>
          <w:b/>
          <w:i/>
          <w:sz w:val="22"/>
          <w:szCs w:val="22"/>
          <w:u w:val="single"/>
        </w:rPr>
        <w:t>Hasta en tanto</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el Comité Coordinador del Sistema Estatal Anticorrupción</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determina los formatos para la presentación de las declaraciones</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patrimonial y de intereses,</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u w:val="single"/>
        </w:rPr>
        <w:t>los servidores públicos estatales y municipales, presentarán sus declaraciones en los formatos que, a la entrada en vigor del presente Decreto, se utilicen en la Entidad.</w:t>
      </w:r>
      <w:r w:rsidRPr="00E11169">
        <w:rPr>
          <w:rFonts w:ascii="Palatino Linotype" w:eastAsia="Palatino Linotype" w:hAnsi="Palatino Linotype" w:cs="Palatino Linotype"/>
          <w:b/>
          <w:i/>
          <w:sz w:val="22"/>
          <w:szCs w:val="22"/>
        </w:rPr>
        <w:t>”</w:t>
      </w:r>
    </w:p>
    <w:p w14:paraId="0DB89879" w14:textId="77777777" w:rsidR="00566805" w:rsidRPr="00E11169" w:rsidRDefault="0088381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Con base en lo previo, se puede conjeturar que </w:t>
      </w:r>
      <w:r w:rsidRPr="00E11169">
        <w:rPr>
          <w:rFonts w:ascii="Palatino Linotype" w:eastAsia="Palatino Linotype" w:hAnsi="Palatino Linotype" w:cs="Palatino Linotype"/>
          <w:b/>
          <w:u w:val="single"/>
        </w:rPr>
        <w:t xml:space="preserve">las Declaraciones de Situación Patrimonial y de Intereses serán públicas en el momento en el que el Comité </w:t>
      </w:r>
      <w:r w:rsidRPr="00E11169">
        <w:rPr>
          <w:rFonts w:ascii="Palatino Linotype" w:eastAsia="Palatino Linotype" w:hAnsi="Palatino Linotype" w:cs="Palatino Linotype"/>
          <w:b/>
          <w:u w:val="single"/>
        </w:rPr>
        <w:lastRenderedPageBreak/>
        <w:t>Coordinador de a conocer de manera oficial los formatos que se aplicarán para la presentación de dichas Declaraciones y éstos se encuentren operables, es decir, que se utilicen para recabar la información de los servidores públicos</w:t>
      </w:r>
      <w:r w:rsidRPr="00E11169">
        <w:rPr>
          <w:rFonts w:ascii="Palatino Linotype" w:eastAsia="Palatino Linotype" w:hAnsi="Palatino Linotype" w:cs="Palatino Linotype"/>
        </w:rPr>
        <w:t>; lo anterior es así, pues mientras no se aprobaran dichos formatos, los servidores públicos presentarían sus declaraciones en los formatos que se encontrarán en vigor, los cuales, cabe mencionar, no se encontraban debidamente integrados y segmentados a fin de separar la información que es de interés público, de aquella que concierne exclusivamente a su titular, por tratarse de datos personales o información de su vida privada.</w:t>
      </w:r>
    </w:p>
    <w:p w14:paraId="7DBE0BB5" w14:textId="77777777" w:rsidR="00566805" w:rsidRPr="00E11169" w:rsidRDefault="0088381A">
      <w:pPr>
        <w:spacing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ese contexto, el veintitrés de septiembre de dos mil diecinueve, se publicó en el Diario Oficial de la Federación, el </w:t>
      </w:r>
      <w:r w:rsidRPr="00E11169">
        <w:rPr>
          <w:rFonts w:ascii="Palatino Linotype" w:eastAsia="Palatino Linotype" w:hAnsi="Palatino Linotype" w:cs="Palatino Linotype"/>
          <w:b/>
        </w:rPr>
        <w:t>Acuerdo por el que se modifican los Anexos Primero y Segundo del Acuerdo por el que el Comité Coordinador del Sistema Nacional Anticorrupción emite el formato de declaraciones: de situación patrimonial y de intereses; y expide las normas e instructivo para su llenado y presentación</w:t>
      </w:r>
      <w:r w:rsidRPr="00E11169">
        <w:rPr>
          <w:rFonts w:ascii="Palatino Linotype" w:eastAsia="Palatino Linotype" w:hAnsi="Palatino Linotype" w:cs="Palatino Linotype"/>
        </w:rPr>
        <w:t xml:space="preserve">, consultable en la dirección electrónica </w:t>
      </w:r>
      <w:hyperlink r:id="rId11" w:anchor="gsc.tab=0">
        <w:r w:rsidRPr="00E11169">
          <w:rPr>
            <w:rFonts w:ascii="Palatino Linotype" w:eastAsia="Palatino Linotype" w:hAnsi="Palatino Linotype" w:cs="Palatino Linotype"/>
            <w:u w:val="single"/>
          </w:rPr>
          <w:t>https://www.dof.gob.mx/nota_detalle.php?codigo=5573194&amp;fecha=23/09/2019#gsc.tab=0</w:t>
        </w:r>
      </w:hyperlink>
      <w:r w:rsidRPr="00E11169">
        <w:rPr>
          <w:rFonts w:ascii="Palatino Linotype" w:eastAsia="Palatino Linotype" w:hAnsi="Palatino Linotype" w:cs="Palatino Linotype"/>
        </w:rPr>
        <w:t xml:space="preserve">, el cual </w:t>
      </w:r>
      <w:r w:rsidRPr="00E11169">
        <w:rPr>
          <w:rFonts w:ascii="Palatino Linotype" w:eastAsia="Palatino Linotype" w:hAnsi="Palatino Linotype" w:cs="Palatino Linotype"/>
          <w:b/>
          <w:u w:val="single"/>
        </w:rPr>
        <w:t>establece en el ANEXO PRIMERO los formatos para la presentación de las Declaraciones de Situación Patrimonial y de Intereses</w:t>
      </w:r>
      <w:r w:rsidRPr="00E11169">
        <w:rPr>
          <w:rFonts w:ascii="Palatino Linotype" w:eastAsia="Palatino Linotype" w:hAnsi="Palatino Linotype" w:cs="Palatino Linotype"/>
        </w:rPr>
        <w:t>, por cada tipo de declaración esto es: inicial, modificación y conclusión; mientras que el ANEXO SEGUNDO corresponde a las Normas e Instructivo para el llenado de los formatos y presentación de las declaraciones.</w:t>
      </w:r>
    </w:p>
    <w:p w14:paraId="7ED40FF8" w14:textId="2E37D5A7" w:rsidR="00566805" w:rsidRPr="00E11169" w:rsidRDefault="004F595A">
      <w:pPr>
        <w:tabs>
          <w:tab w:val="left" w:pos="4962"/>
        </w:tabs>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Po</w:t>
      </w:r>
      <w:r w:rsidR="0088381A" w:rsidRPr="00E11169">
        <w:rPr>
          <w:rFonts w:ascii="Palatino Linotype" w:eastAsia="Palatino Linotype" w:hAnsi="Palatino Linotype" w:cs="Palatino Linotype"/>
        </w:rPr>
        <w:t xml:space="preserve">steriormente, el veinticuatro de diciembre de dos mil diecinueve, se publicó en el Diario Oficial de la Federación el </w:t>
      </w:r>
      <w:r w:rsidR="0088381A" w:rsidRPr="00E11169">
        <w:rPr>
          <w:rFonts w:ascii="Palatino Linotype" w:eastAsia="Palatino Linotype" w:hAnsi="Palatino Linotype" w:cs="Palatino Linotype"/>
          <w:b/>
        </w:rPr>
        <w:t xml:space="preserve">Acuerdo por el que el Comité Coordinador del Sistema Nacional Anticorrupción da a conocer que los formatos de declaración de </w:t>
      </w:r>
      <w:r w:rsidR="0088381A" w:rsidRPr="00E11169">
        <w:rPr>
          <w:rFonts w:ascii="Palatino Linotype" w:eastAsia="Palatino Linotype" w:hAnsi="Palatino Linotype" w:cs="Palatino Linotype"/>
          <w:b/>
        </w:rPr>
        <w:lastRenderedPageBreak/>
        <w:t>situación patrimonial y de intereses son técnicamente operables con el Sistema de Evolución Patrimonial y de Declaración de Intereses de la Plataforma Digital Nacional</w:t>
      </w:r>
      <w:r w:rsidR="0088381A" w:rsidRPr="00E11169">
        <w:rPr>
          <w:rFonts w:ascii="Palatino Linotype" w:eastAsia="Palatino Linotype" w:hAnsi="Palatino Linotype" w:cs="Palatino Linotype"/>
        </w:rPr>
        <w:t xml:space="preserve">, </w:t>
      </w:r>
      <w:r w:rsidR="0088381A" w:rsidRPr="00E11169">
        <w:rPr>
          <w:rFonts w:ascii="Palatino Linotype" w:eastAsia="Palatino Linotype" w:hAnsi="Palatino Linotype" w:cs="Palatino Linotype"/>
          <w:b/>
        </w:rPr>
        <w:t>así como el inicio de la obligación de los servidores públicos de presentar sus respectivas declaraciones de situación patrimonial y de intereses</w:t>
      </w:r>
      <w:r w:rsidR="0088381A" w:rsidRPr="00E11169">
        <w:rPr>
          <w:rFonts w:ascii="Palatino Linotype" w:eastAsia="Palatino Linotype" w:hAnsi="Palatino Linotype" w:cs="Palatino Linotype"/>
        </w:rPr>
        <w:t xml:space="preserve"> </w:t>
      </w:r>
      <w:r w:rsidR="0088381A" w:rsidRPr="00E11169">
        <w:rPr>
          <w:rFonts w:ascii="Palatino Linotype" w:eastAsia="Palatino Linotype" w:hAnsi="Palatino Linotype" w:cs="Palatino Linotype"/>
          <w:b/>
        </w:rPr>
        <w:t>conforme a los artículos 32 y 33 de la Ley General de Responsabilidades Administrativas</w:t>
      </w:r>
      <w:r w:rsidR="0088381A" w:rsidRPr="00E11169">
        <w:rPr>
          <w:rFonts w:ascii="Palatino Linotype" w:eastAsia="Palatino Linotype" w:hAnsi="Palatino Linotype" w:cs="Palatino Linotype"/>
        </w:rPr>
        <w:t xml:space="preserve">, consultable en la dirección electrónica </w:t>
      </w:r>
      <w:hyperlink r:id="rId12" w:anchor="gsc.tab=0">
        <w:r w:rsidR="0088381A" w:rsidRPr="00E11169">
          <w:rPr>
            <w:rFonts w:ascii="Palatino Linotype" w:eastAsia="Palatino Linotype" w:hAnsi="Palatino Linotype" w:cs="Palatino Linotype"/>
            <w:u w:val="single"/>
          </w:rPr>
          <w:t>https://www.dof.gob.mx/nota_detalle.php?codigo=5582735&amp;fecha=24/12/2019#gsc.tab=0</w:t>
        </w:r>
      </w:hyperlink>
      <w:r w:rsidR="0088381A" w:rsidRPr="00E11169">
        <w:rPr>
          <w:rFonts w:ascii="Palatino Linotype" w:eastAsia="Palatino Linotype" w:hAnsi="Palatino Linotype" w:cs="Palatino Linotype"/>
        </w:rPr>
        <w:t xml:space="preserve">, el cual establece en sus numerales Tercero y Cuarto que </w:t>
      </w:r>
      <w:r w:rsidR="0088381A" w:rsidRPr="00E11169">
        <w:rPr>
          <w:rFonts w:ascii="Palatino Linotype" w:eastAsia="Palatino Linotype" w:hAnsi="Palatino Linotype" w:cs="Palatino Linotype"/>
          <w:b/>
          <w:u w:val="single"/>
        </w:rPr>
        <w:t>a partir del primero de mayo de dos mil veintiuno,</w:t>
      </w:r>
      <w:r w:rsidR="0088381A" w:rsidRPr="00E11169">
        <w:rPr>
          <w:rFonts w:ascii="Palatino Linotype" w:eastAsia="Palatino Linotype" w:hAnsi="Palatino Linotype" w:cs="Palatino Linotype"/>
          <w:u w:val="single"/>
        </w:rPr>
        <w:t xml:space="preserve"> </w:t>
      </w:r>
      <w:r w:rsidR="0088381A" w:rsidRPr="00E11169">
        <w:rPr>
          <w:rFonts w:ascii="Palatino Linotype" w:eastAsia="Palatino Linotype" w:hAnsi="Palatino Linotype" w:cs="Palatino Linotype"/>
          <w:b/>
          <w:u w:val="single"/>
        </w:rPr>
        <w:t>serán operables en el ámbito estatal y municipal los formatos de declaración patrimonial y de intereses publicados en el Diario Oficial de la Federación el veintitrés de septiembre de dos mil diecinueve</w:t>
      </w:r>
      <w:r w:rsidR="0088381A" w:rsidRPr="00E11169">
        <w:rPr>
          <w:rFonts w:ascii="Palatino Linotype" w:eastAsia="Palatino Linotype" w:hAnsi="Palatino Linotype" w:cs="Palatino Linotype"/>
          <w:b/>
        </w:rPr>
        <w:t>;</w:t>
      </w:r>
      <w:r w:rsidR="0088381A" w:rsidRPr="00E11169">
        <w:rPr>
          <w:rFonts w:ascii="Palatino Linotype" w:eastAsia="Palatino Linotype" w:hAnsi="Palatino Linotype" w:cs="Palatino Linotype"/>
        </w:rPr>
        <w:t xml:space="preserve"> por lo que, los servidores públicos debían presentar sus declaraciones respectivas en estos formatos a partir del año 2021, tal como se lee a continuación:</w:t>
      </w:r>
    </w:p>
    <w:p w14:paraId="2875889E" w14:textId="77777777" w:rsidR="00566805" w:rsidRPr="00E11169" w:rsidRDefault="0088381A">
      <w:pPr>
        <w:tabs>
          <w:tab w:val="left" w:pos="4962"/>
        </w:tabs>
        <w:spacing w:before="240" w:after="240" w:line="360" w:lineRule="auto"/>
        <w:jc w:val="center"/>
        <w:rPr>
          <w:rFonts w:ascii="Palatino Linotype" w:eastAsia="Palatino Linotype" w:hAnsi="Palatino Linotype" w:cs="Palatino Linotype"/>
          <w:sz w:val="22"/>
          <w:szCs w:val="22"/>
        </w:rPr>
      </w:pPr>
      <w:r w:rsidRPr="00E11169">
        <w:rPr>
          <w:rFonts w:ascii="Palatino Linotype" w:eastAsia="Palatino Linotype" w:hAnsi="Palatino Linotype" w:cs="Palatino Linotype"/>
          <w:noProof/>
          <w:sz w:val="22"/>
          <w:szCs w:val="22"/>
        </w:rPr>
        <w:drawing>
          <wp:inline distT="0" distB="0" distL="0" distR="0" wp14:anchorId="0B4FD38D" wp14:editId="10738538">
            <wp:extent cx="5220000" cy="3029938"/>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20000" cy="3029938"/>
                    </a:xfrm>
                    <a:prstGeom prst="rect">
                      <a:avLst/>
                    </a:prstGeom>
                    <a:ln/>
                  </pic:spPr>
                </pic:pic>
              </a:graphicData>
            </a:graphic>
          </wp:inline>
        </w:drawing>
      </w:r>
      <w:r w:rsidRPr="00E11169">
        <w:rPr>
          <w:noProof/>
        </w:rPr>
        <mc:AlternateContent>
          <mc:Choice Requires="wps">
            <w:drawing>
              <wp:anchor distT="0" distB="0" distL="114300" distR="114300" simplePos="0" relativeHeight="251658240" behindDoc="0" locked="0" layoutInCell="1" hidden="0" allowOverlap="1" wp14:anchorId="3ACA6347" wp14:editId="014F5B89">
                <wp:simplePos x="0" y="0"/>
                <wp:positionH relativeFrom="column">
                  <wp:posOffset>-25399</wp:posOffset>
                </wp:positionH>
                <wp:positionV relativeFrom="paragraph">
                  <wp:posOffset>1727200</wp:posOffset>
                </wp:positionV>
                <wp:extent cx="5648325" cy="971550"/>
                <wp:effectExtent l="0" t="0" r="0" b="0"/>
                <wp:wrapNone/>
                <wp:docPr id="35" name="Rectángulo 35"/>
                <wp:cNvGraphicFramePr/>
                <a:graphic xmlns:a="http://schemas.openxmlformats.org/drawingml/2006/main">
                  <a:graphicData uri="http://schemas.microsoft.com/office/word/2010/wordprocessingShape">
                    <wps:wsp>
                      <wps:cNvSpPr/>
                      <wps:spPr>
                        <a:xfrm>
                          <a:off x="2540888" y="3313275"/>
                          <a:ext cx="5610225" cy="933450"/>
                        </a:xfrm>
                        <a:prstGeom prst="rect">
                          <a:avLst/>
                        </a:prstGeom>
                        <a:noFill/>
                        <a:ln w="38100" cap="flat" cmpd="sng">
                          <a:solidFill>
                            <a:srgbClr val="C00000"/>
                          </a:solidFill>
                          <a:prstDash val="solid"/>
                          <a:round/>
                          <a:headEnd type="none" w="sm" len="sm"/>
                          <a:tailEnd type="none" w="sm" len="sm"/>
                        </a:ln>
                      </wps:spPr>
                      <wps:txbx>
                        <w:txbxContent>
                          <w:p w14:paraId="4B5A0F42" w14:textId="77777777" w:rsidR="00566805" w:rsidRDefault="00566805">
                            <w:pPr>
                              <w:textDirection w:val="btLr"/>
                            </w:pPr>
                          </w:p>
                        </w:txbxContent>
                      </wps:txbx>
                      <wps:bodyPr spcFirstLastPara="1" wrap="square" lIns="91425" tIns="91425" rIns="91425" bIns="91425" anchor="ctr" anchorCtr="0">
                        <a:noAutofit/>
                      </wps:bodyPr>
                    </wps:wsp>
                  </a:graphicData>
                </a:graphic>
              </wp:anchor>
            </w:drawing>
          </mc:Choice>
          <mc:Fallback>
            <w:pict>
              <v:rect w14:anchorId="3ACA6347" id="Rectángulo 35" o:spid="_x0000_s1026" style="position:absolute;left:0;text-align:left;margin-left:-2pt;margin-top:136pt;width:444.75pt;height: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" filled="f" strokecolor="#c00000" strokeweight="3pt">
                <v:stroke startarrowwidth="narrow" startarrowlength="short" endarrowwidth="narrow" endarrowlength="short" joinstyle="round"/>
                <v:textbox inset="2.53958mm,2.53958mm,2.53958mm,2.53958mm">
                  <w:txbxContent>
                    <w:p w14:paraId="4B5A0F42" w14:textId="77777777" w:rsidR="00566805" w:rsidRDefault="00566805">
                      <w:pPr>
                        <w:textDirection w:val="btLr"/>
                      </w:pPr>
                    </w:p>
                  </w:txbxContent>
                </v:textbox>
              </v:rect>
            </w:pict>
          </mc:Fallback>
        </mc:AlternateContent>
      </w:r>
    </w:p>
    <w:p w14:paraId="4006E20D" w14:textId="77777777" w:rsidR="00566805" w:rsidRPr="00E11169" w:rsidRDefault="0088381A">
      <w:pPr>
        <w:spacing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De lo hasta aquí expuesto, se logra vislumbrar que a</w:t>
      </w:r>
      <w:r w:rsidRPr="00E11169">
        <w:rPr>
          <w:rFonts w:ascii="Palatino Linotype" w:eastAsia="Palatino Linotype" w:hAnsi="Palatino Linotype" w:cs="Palatino Linotype"/>
          <w:b/>
        </w:rPr>
        <w:t xml:space="preserve"> </w:t>
      </w:r>
      <w:r w:rsidRPr="00E11169">
        <w:rPr>
          <w:rFonts w:ascii="Palatino Linotype" w:eastAsia="Palatino Linotype" w:hAnsi="Palatino Linotype" w:cs="Palatino Linotype"/>
          <w:b/>
          <w:u w:val="single"/>
        </w:rPr>
        <w:t>partir del primero de mayo de dos mil veintiuno,</w:t>
      </w:r>
      <w:r w:rsidRPr="00E11169">
        <w:rPr>
          <w:rFonts w:ascii="Palatino Linotype" w:eastAsia="Palatino Linotype" w:hAnsi="Palatino Linotype" w:cs="Palatino Linotype"/>
        </w:rPr>
        <w:t xml:space="preserve"> </w:t>
      </w:r>
      <w:r w:rsidRPr="00E11169">
        <w:rPr>
          <w:rFonts w:ascii="Palatino Linotype" w:eastAsia="Palatino Linotype" w:hAnsi="Palatino Linotype" w:cs="Palatino Linotype"/>
          <w:b/>
        </w:rPr>
        <w:t>se empezaron aplicar los nuevos formatos para la presentación de las declaraciones de situación patrimonial y de intereses</w:t>
      </w:r>
      <w:r w:rsidRPr="00E11169">
        <w:rPr>
          <w:rFonts w:ascii="Palatino Linotype" w:eastAsia="Palatino Linotype" w:hAnsi="Palatino Linotype" w:cs="Palatino Linotype"/>
        </w:rPr>
        <w:t xml:space="preserve">, los cuales </w:t>
      </w:r>
      <w:r w:rsidRPr="00E11169">
        <w:rPr>
          <w:rFonts w:ascii="Palatino Linotype" w:eastAsia="Palatino Linotype" w:hAnsi="Palatino Linotype" w:cs="Palatino Linotype"/>
          <w:b/>
        </w:rPr>
        <w:t>establecen qué datos son de naturaleza pública y cuáles son confidenciales</w:t>
      </w:r>
      <w:r w:rsidRPr="00E11169">
        <w:rPr>
          <w:rFonts w:ascii="Palatino Linotype" w:eastAsia="Palatino Linotype" w:hAnsi="Palatino Linotype" w:cs="Palatino Linotype"/>
        </w:rPr>
        <w:t>, para su publicación en versión pública, y con ello dar cumplimiento a lo establecido los artículos 29 de la Ley General de Responsabilidades Administrativas y 30 de la Ley de Responsabilidades Administrativas del Estado de México y Municipios, citados con antelación.</w:t>
      </w:r>
    </w:p>
    <w:p w14:paraId="631ADF97" w14:textId="15292689"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Una vez acotado lo anterior, cobra relevancia lo manifestado por el servidor público habilitado de la Dirección de Registro de Declaraciones y de Sanciones, quien en respuesta refirió que no se localizó la versión pública de las Declaraciones de Situación Patrimonial y de Intereses de los años 2016 a 2018 del servidor público referido en la solicitud, razón por la cual se encontraba impedido para atender de manera favorable la solicitud, ya que si bien, localizó en el Sistema Integral de Manifestación de Bienes, SIMB, las Declaraciones Patrimoniales y de Intereses por Alta del año 2016, por Anualidad del año 2017, Inicial del año 2018 y por Conclusión del año 2018, del servidor público en cuestión, las mismas fueron presentadas conforme a lo establecido en la Ley de Responsabilidades Administrativas del Estado de México y Municipios vigente a partir del 19 de julio de 2017, lo cual se traduce en que </w:t>
      </w:r>
      <w:r w:rsidRPr="00E11169">
        <w:rPr>
          <w:rFonts w:ascii="Palatino Linotype" w:eastAsia="Palatino Linotype" w:hAnsi="Palatino Linotype" w:cs="Palatino Linotype"/>
          <w:b/>
        </w:rPr>
        <w:t>dichas Declaraciones se presentaron a través de los formatos que se encontraban vigentes o que eran utilizados en la entidad</w:t>
      </w:r>
      <w:r w:rsidRPr="00E11169">
        <w:rPr>
          <w:rFonts w:ascii="Palatino Linotype" w:eastAsia="Palatino Linotype" w:hAnsi="Palatino Linotype" w:cs="Palatino Linotype"/>
        </w:rPr>
        <w:t xml:space="preserve"> para dar cumplimiento a la obligación prevista en los artículos 33 y 34 del referido ordenamiento, dado que </w:t>
      </w:r>
      <w:r w:rsidRPr="00E11169">
        <w:rPr>
          <w:rFonts w:ascii="Palatino Linotype" w:eastAsia="Palatino Linotype" w:hAnsi="Palatino Linotype" w:cs="Palatino Linotype"/>
          <w:b/>
        </w:rPr>
        <w:t>los formatos aprobados por el Comité Coordinador para la presentación de las Declaraciones de situación patrimonial y de intereses</w:t>
      </w:r>
      <w:r w:rsidRPr="00E11169">
        <w:rPr>
          <w:rFonts w:ascii="Palatino Linotype" w:eastAsia="Palatino Linotype" w:hAnsi="Palatino Linotype" w:cs="Palatino Linotype"/>
        </w:rPr>
        <w:t xml:space="preserve">, los </w:t>
      </w:r>
      <w:r w:rsidRPr="00E11169">
        <w:rPr>
          <w:rFonts w:ascii="Palatino Linotype" w:eastAsia="Palatino Linotype" w:hAnsi="Palatino Linotype" w:cs="Palatino Linotype"/>
        </w:rPr>
        <w:lastRenderedPageBreak/>
        <w:t xml:space="preserve">cuales se insiste, establecen qué datos son de naturaleza pública y cuáles son confidenciales para su publicación en versión pública, </w:t>
      </w:r>
      <w:r w:rsidRPr="00E11169">
        <w:rPr>
          <w:rFonts w:ascii="Palatino Linotype" w:eastAsia="Palatino Linotype" w:hAnsi="Palatino Linotype" w:cs="Palatino Linotype"/>
          <w:b/>
        </w:rPr>
        <w:t xml:space="preserve">empezaron a aplicarse a partir del uno de mayo de dos mil veintiuno, </w:t>
      </w:r>
      <w:r w:rsidRPr="00E11169">
        <w:rPr>
          <w:rFonts w:ascii="Palatino Linotype" w:eastAsia="Palatino Linotype" w:hAnsi="Palatino Linotype" w:cs="Palatino Linotype"/>
        </w:rPr>
        <w:t xml:space="preserve">y por tanto, a partir de dicha fecha </w:t>
      </w:r>
      <w:r w:rsidR="004F595A" w:rsidRPr="00E11169">
        <w:rPr>
          <w:rFonts w:ascii="Palatino Linotype" w:eastAsia="Palatino Linotype" w:hAnsi="Palatino Linotype" w:cs="Palatino Linotype"/>
        </w:rPr>
        <w:t>la</w:t>
      </w:r>
      <w:r w:rsidRPr="00E11169">
        <w:rPr>
          <w:rFonts w:ascii="Palatino Linotype" w:eastAsia="Palatino Linotype" w:hAnsi="Palatino Linotype" w:cs="Palatino Linotype"/>
        </w:rPr>
        <w:t xml:space="preserve"> información es susceptible de publicitarse, en versión pública.</w:t>
      </w:r>
    </w:p>
    <w:p w14:paraId="1900A004" w14:textId="1CAE80A8"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consecuencia, dado que </w:t>
      </w:r>
      <w:r w:rsidRPr="00E11169">
        <w:rPr>
          <w:rFonts w:ascii="Palatino Linotype" w:eastAsia="Palatino Linotype" w:hAnsi="Palatino Linotype" w:cs="Palatino Linotype"/>
          <w:b/>
        </w:rPr>
        <w:t xml:space="preserve">las Declaraciones de situación patrimonial y de intereses que obran en poder del Sujeto Obligado </w:t>
      </w:r>
      <w:r w:rsidRPr="00E11169">
        <w:rPr>
          <w:rFonts w:ascii="Palatino Linotype" w:eastAsia="Palatino Linotype" w:hAnsi="Palatino Linotype" w:cs="Palatino Linotype"/>
          <w:b/>
          <w:u w:val="single"/>
        </w:rPr>
        <w:t>se presentaron previo a la operatividad de los formatos aprobados por el Comité Coordinador</w:t>
      </w:r>
      <w:r w:rsidRPr="00E11169">
        <w:rPr>
          <w:rFonts w:ascii="Palatino Linotype" w:eastAsia="Palatino Linotype" w:hAnsi="Palatino Linotype" w:cs="Palatino Linotype"/>
        </w:rPr>
        <w:t>, es evidente que no se encuentra obligado a hacer públicos dichos documentos, bajo el amparo de lo establecido en los Transitorios Tercero de la Ley General de Responsabilidades Administrativas, y de la Ley General del Sistema Nacional Anticorrupción, respectivamente, así como el Transitorio Noveno de la Ley de Responsabilidades Administrativas de</w:t>
      </w:r>
      <w:r w:rsidR="004F595A" w:rsidRPr="00E11169">
        <w:rPr>
          <w:rFonts w:ascii="Palatino Linotype" w:eastAsia="Palatino Linotype" w:hAnsi="Palatino Linotype" w:cs="Palatino Linotype"/>
        </w:rPr>
        <w:t>l Estado de México y Municipios, previamente citados.</w:t>
      </w:r>
    </w:p>
    <w:p w14:paraId="48076C1B"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Por lo tanto, al contener las Declaraciones de Situación Patrimonial y de Intereses, datos personales, así como información relacionada con su vida afectiva, familiar, domicilio, y patrimonio del servidor público en cuestión y haberse presentado mediante formatos que no integran y segmentan debidamente dicha información, no puede hacerse de conocimiento público, sin el consentimiento expreso de su titular, por tratarse de información que reviste el carácter de confidencial.</w:t>
      </w:r>
    </w:p>
    <w:p w14:paraId="5FCB198E" w14:textId="6D8A74E3"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Lo anterior en términos de los artículos 92, fracción </w:t>
      </w:r>
      <w:r w:rsidR="004F595A" w:rsidRPr="00E11169">
        <w:rPr>
          <w:rFonts w:ascii="Palatino Linotype" w:eastAsia="Palatino Linotype" w:hAnsi="Palatino Linotype" w:cs="Palatino Linotype"/>
        </w:rPr>
        <w:t>X</w:t>
      </w:r>
      <w:r w:rsidRPr="00E11169">
        <w:rPr>
          <w:rFonts w:ascii="Palatino Linotype" w:eastAsia="Palatino Linotype" w:hAnsi="Palatino Linotype" w:cs="Palatino Linotype"/>
        </w:rPr>
        <w:t>III, 147 y 148, fracción II de la Ley de Transparencia y Acceso a la Información Pública del Estado de México y Municipios, a saber:</w:t>
      </w:r>
    </w:p>
    <w:p w14:paraId="0DA03CF2"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“Artículo 92.</w:t>
      </w:r>
      <w:r w:rsidRPr="00E1116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sidRPr="00E11169">
        <w:rPr>
          <w:rFonts w:ascii="Palatino Linotype" w:eastAsia="Palatino Linotype" w:hAnsi="Palatino Linotype" w:cs="Palatino Linotype"/>
          <w:i/>
          <w:sz w:val="22"/>
          <w:szCs w:val="22"/>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14:paraId="574EDA04"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070EBDF3"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XIII.</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 xml:space="preserve">La información en versión pública de las declaraciones patrimoniales y de intereses de los servidores públicos </w:t>
      </w:r>
      <w:r w:rsidRPr="00E11169">
        <w:rPr>
          <w:rFonts w:ascii="Palatino Linotype" w:eastAsia="Palatino Linotype" w:hAnsi="Palatino Linotype" w:cs="Palatino Linotype"/>
          <w:b/>
          <w:i/>
          <w:sz w:val="22"/>
          <w:szCs w:val="22"/>
          <w:u w:val="single"/>
        </w:rPr>
        <w:t>que así lo determinen</w:t>
      </w:r>
      <w:r w:rsidRPr="00E11169">
        <w:rPr>
          <w:rFonts w:ascii="Palatino Linotype" w:eastAsia="Palatino Linotype" w:hAnsi="Palatino Linotype" w:cs="Palatino Linotype"/>
          <w:i/>
          <w:sz w:val="22"/>
          <w:szCs w:val="22"/>
        </w:rPr>
        <w:t>, en los sistemas habilitados para ello, de acuerdo a la normatividad aplicable;”</w:t>
      </w:r>
    </w:p>
    <w:p w14:paraId="5B99B55E" w14:textId="77777777" w:rsidR="00566805" w:rsidRPr="00E11169" w:rsidRDefault="0088381A">
      <w:pPr>
        <w:spacing w:before="120" w:after="120"/>
        <w:ind w:left="851" w:right="76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w:t>
      </w:r>
    </w:p>
    <w:p w14:paraId="32CFC9CA" w14:textId="77777777" w:rsidR="00566805" w:rsidRPr="00E11169" w:rsidRDefault="0088381A">
      <w:pPr>
        <w:spacing w:before="120" w:after="120"/>
        <w:ind w:left="851" w:right="76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Artículo 147.</w:t>
      </w:r>
      <w:r w:rsidRPr="00E11169">
        <w:rPr>
          <w:rFonts w:ascii="Palatino Linotype" w:eastAsia="Palatino Linotype" w:hAnsi="Palatino Linotype" w:cs="Palatino Linotype"/>
          <w:i/>
          <w:sz w:val="22"/>
          <w:szCs w:val="22"/>
        </w:rPr>
        <w:t xml:space="preserve"> Para que los sujetos obligados puedan permitir el acceso a información confidencial </w:t>
      </w:r>
      <w:r w:rsidRPr="00E11169">
        <w:rPr>
          <w:rFonts w:ascii="Palatino Linotype" w:eastAsia="Palatino Linotype" w:hAnsi="Palatino Linotype" w:cs="Palatino Linotype"/>
          <w:b/>
          <w:i/>
          <w:sz w:val="22"/>
          <w:szCs w:val="22"/>
          <w:u w:val="single"/>
        </w:rPr>
        <w:t>requieren obtener el consentimiento</w:t>
      </w:r>
      <w:r w:rsidRPr="00E11169">
        <w:rPr>
          <w:rFonts w:ascii="Palatino Linotype" w:eastAsia="Palatino Linotype" w:hAnsi="Palatino Linotype" w:cs="Palatino Linotype"/>
          <w:i/>
          <w:sz w:val="22"/>
          <w:szCs w:val="22"/>
        </w:rPr>
        <w:t xml:space="preserve"> de los particulares titulares de la información.</w:t>
      </w:r>
    </w:p>
    <w:p w14:paraId="687D20C6" w14:textId="77777777" w:rsidR="00566805" w:rsidRPr="00E11169" w:rsidRDefault="0088381A">
      <w:pPr>
        <w:spacing w:before="120" w:after="120"/>
        <w:ind w:left="851" w:right="76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Artículo 148.</w:t>
      </w:r>
      <w:r w:rsidRPr="00E11169">
        <w:rPr>
          <w:rFonts w:ascii="Palatino Linotype" w:eastAsia="Palatino Linotype" w:hAnsi="Palatino Linotype" w:cs="Palatino Linotype"/>
          <w:i/>
          <w:sz w:val="22"/>
          <w:szCs w:val="22"/>
        </w:rPr>
        <w:t xml:space="preserve"> No se requerirá el consentimiento del titular de la información confidencial cuando:</w:t>
      </w:r>
    </w:p>
    <w:p w14:paraId="235F3654" w14:textId="77777777" w:rsidR="00566805" w:rsidRPr="00E11169" w:rsidRDefault="0088381A">
      <w:pPr>
        <w:spacing w:before="120" w:after="120"/>
        <w:ind w:left="1134" w:right="76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16B40BA9" w14:textId="77777777" w:rsidR="00566805" w:rsidRPr="00E11169" w:rsidRDefault="0088381A">
      <w:pPr>
        <w:spacing w:before="120" w:after="120"/>
        <w:ind w:left="1134" w:right="76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w:t>
      </w:r>
      <w:r w:rsidRPr="00E11169">
        <w:rPr>
          <w:rFonts w:ascii="Palatino Linotype" w:eastAsia="Palatino Linotype" w:hAnsi="Palatino Linotype" w:cs="Palatino Linotype"/>
          <w:i/>
          <w:sz w:val="22"/>
          <w:szCs w:val="22"/>
        </w:rPr>
        <w:t xml:space="preserve"> Por Ley tenga el carácter de pública;” </w:t>
      </w:r>
    </w:p>
    <w:p w14:paraId="38E2AD81" w14:textId="77777777" w:rsidR="004F595A"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Para lo cual se reitera que la obligatoriedad de la publicidad de las Declaraciones de Situación Patrimonial y de Intereses de los servidores públicos, no fue exigible por Ley sino hasta la aprobación de los formatos por el Comité Coordinador, y la determinación de su operatividad, siendo esto </w:t>
      </w:r>
      <w:r w:rsidR="004F595A" w:rsidRPr="00E11169">
        <w:rPr>
          <w:rFonts w:ascii="Palatino Linotype" w:eastAsia="Palatino Linotype" w:hAnsi="Palatino Linotype" w:cs="Palatino Linotype"/>
        </w:rPr>
        <w:t>a partir d</w:t>
      </w:r>
      <w:r w:rsidRPr="00E11169">
        <w:rPr>
          <w:rFonts w:ascii="Palatino Linotype" w:eastAsia="Palatino Linotype" w:hAnsi="Palatino Linotype" w:cs="Palatino Linotype"/>
        </w:rPr>
        <w:t>el primero de mayo de dos mil veintiuno</w:t>
      </w:r>
      <w:r w:rsidR="004F595A" w:rsidRPr="00E11169">
        <w:rPr>
          <w:rFonts w:ascii="Palatino Linotype" w:eastAsia="Palatino Linotype" w:hAnsi="Palatino Linotype" w:cs="Palatino Linotype"/>
        </w:rPr>
        <w:t>.</w:t>
      </w:r>
    </w:p>
    <w:p w14:paraId="14300F64" w14:textId="03889D5F" w:rsidR="00566805" w:rsidRPr="00E11169" w:rsidRDefault="004F595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A</w:t>
      </w:r>
      <w:r w:rsidR="0088381A" w:rsidRPr="00E11169">
        <w:rPr>
          <w:rFonts w:ascii="Palatino Linotype" w:eastAsia="Palatino Linotype" w:hAnsi="Palatino Linotype" w:cs="Palatino Linotype"/>
        </w:rPr>
        <w:t xml:space="preserve">simismo, </w:t>
      </w:r>
      <w:r w:rsidRPr="00E11169">
        <w:rPr>
          <w:rFonts w:ascii="Palatino Linotype" w:eastAsia="Palatino Linotype" w:hAnsi="Palatino Linotype" w:cs="Palatino Linotype"/>
        </w:rPr>
        <w:t xml:space="preserve">no se pasa por alto </w:t>
      </w:r>
      <w:r w:rsidR="0088381A" w:rsidRPr="00E11169">
        <w:rPr>
          <w:rFonts w:ascii="Palatino Linotype" w:eastAsia="Palatino Linotype" w:hAnsi="Palatino Linotype" w:cs="Palatino Linotype"/>
        </w:rPr>
        <w:t>que en el presente asunto el Encargado de Despacho de la Dirección de Registro de Declaraciones y de Sanciones manifestó que no se contaba con documento escrito alguno en donde exista autorización previa y especifica de la persona servidora pública referida, en el que haya otorgado un pronunciamiento de consentimiento expreso informado o autorización y/o determinación ratificada de forma personal ante dicha autoridad para hacer públicas sus Declaraciones de Situación Patrimonial</w:t>
      </w:r>
      <w:r w:rsidRPr="00E11169">
        <w:rPr>
          <w:rFonts w:ascii="Palatino Linotype" w:eastAsia="Palatino Linotype" w:hAnsi="Palatino Linotype" w:cs="Palatino Linotype"/>
        </w:rPr>
        <w:t xml:space="preserve"> y de Intereses</w:t>
      </w:r>
      <w:r w:rsidR="0088381A" w:rsidRPr="00E11169">
        <w:rPr>
          <w:rFonts w:ascii="Palatino Linotype" w:eastAsia="Palatino Linotype" w:hAnsi="Palatino Linotype" w:cs="Palatino Linotype"/>
        </w:rPr>
        <w:t xml:space="preserve">, </w:t>
      </w:r>
      <w:r w:rsidRPr="00E11169">
        <w:rPr>
          <w:rFonts w:ascii="Palatino Linotype" w:eastAsia="Palatino Linotype" w:hAnsi="Palatino Linotype" w:cs="Palatino Linotype"/>
        </w:rPr>
        <w:t xml:space="preserve">una vez que se </w:t>
      </w:r>
      <w:r w:rsidRPr="00E11169">
        <w:rPr>
          <w:rFonts w:ascii="Palatino Linotype" w:eastAsia="Palatino Linotype" w:hAnsi="Palatino Linotype" w:cs="Palatino Linotype"/>
        </w:rPr>
        <w:lastRenderedPageBreak/>
        <w:t xml:space="preserve">hayan presentado, por lo tanto, se concluye que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no se encuentra en posibilidad de hacer públicas las Declaraciones del servidor público en cuestión.</w:t>
      </w:r>
    </w:p>
    <w:p w14:paraId="12CB1D43" w14:textId="77777777" w:rsidR="00566805" w:rsidRPr="00E11169" w:rsidRDefault="0088381A">
      <w:pPr>
        <w:spacing w:before="240" w:after="240" w:line="360" w:lineRule="auto"/>
        <w:ind w:right="51"/>
        <w:jc w:val="both"/>
        <w:rPr>
          <w:rFonts w:ascii="Palatino Linotype" w:eastAsia="Palatino Linotype" w:hAnsi="Palatino Linotype" w:cs="Palatino Linotype"/>
        </w:rPr>
      </w:pPr>
      <w:r w:rsidRPr="00E11169">
        <w:rPr>
          <w:rFonts w:ascii="Palatino Linotype" w:eastAsia="Palatino Linotype" w:hAnsi="Palatino Linotype" w:cs="Palatino Linotype"/>
        </w:rPr>
        <w:t>Atento a lo anterior, es oportuno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52E5415" w14:textId="77777777" w:rsidR="00566805" w:rsidRPr="00E11169" w:rsidRDefault="0088381A">
      <w:pPr>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 xml:space="preserve">“Artículo 91. </w:t>
      </w:r>
      <w:r w:rsidRPr="00E1116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D5C5AB5"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Asimismo, es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4B10AA9E" w14:textId="77777777" w:rsidR="00566805" w:rsidRPr="00E11169" w:rsidRDefault="0088381A">
      <w:pPr>
        <w:spacing w:before="240" w:after="240" w:line="360" w:lineRule="auto"/>
        <w:jc w:val="both"/>
        <w:rPr>
          <w:rFonts w:ascii="Palatino Linotype" w:eastAsia="Palatino Linotype" w:hAnsi="Palatino Linotype" w:cs="Palatino Linotype"/>
          <w:sz w:val="18"/>
          <w:szCs w:val="18"/>
        </w:rPr>
      </w:pPr>
      <w:r w:rsidRPr="00E11169">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E11169">
        <w:rPr>
          <w:rFonts w:ascii="Palatino Linotype" w:eastAsia="Palatino Linotype" w:hAnsi="Palatino Linotype" w:cs="Palatino Linotype"/>
          <w:sz w:val="18"/>
          <w:szCs w:val="18"/>
        </w:rPr>
        <w:t xml:space="preserve">. </w:t>
      </w:r>
    </w:p>
    <w:p w14:paraId="596E5992"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En lo que concierne a la información clasificada como confidencial, para que el acceso a la información pública pueda ser restringido, se deben actualizar los supuestos establecidos en el artículo 143 de la Ley de Transparencia y Acceso a la Información Pública del Estado de México y Municipios, a saber:</w:t>
      </w:r>
    </w:p>
    <w:p w14:paraId="796F1EA3"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Artículo 143.</w:t>
      </w:r>
      <w:r w:rsidRPr="00E11169">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 </w:t>
      </w:r>
    </w:p>
    <w:p w14:paraId="36F742EF"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w:t>
      </w:r>
      <w:r w:rsidRPr="00E1116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 </w:t>
      </w:r>
    </w:p>
    <w:p w14:paraId="46CF9E12"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w:t>
      </w:r>
      <w:r w:rsidRPr="00E1116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5EFEAD0"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III.</w:t>
      </w:r>
      <w:r w:rsidRPr="00E1116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 </w:t>
      </w:r>
    </w:p>
    <w:p w14:paraId="000FF1FA"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7EC2B113"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E101B05" w14:textId="77777777" w:rsidR="00566805" w:rsidRPr="00E11169" w:rsidRDefault="0088381A">
      <w:pPr>
        <w:spacing w:before="280" w:after="28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AE94C56" w14:textId="77777777" w:rsidR="00566805" w:rsidRPr="00E11169" w:rsidRDefault="0088381A">
      <w:pPr>
        <w:numPr>
          <w:ilvl w:val="0"/>
          <w:numId w:val="1"/>
        </w:numPr>
        <w:tabs>
          <w:tab w:val="left" w:pos="851"/>
        </w:tabs>
        <w:spacing w:before="280" w:line="360" w:lineRule="auto"/>
        <w:ind w:left="567" w:firstLine="0"/>
        <w:jc w:val="both"/>
        <w:rPr>
          <w:rFonts w:ascii="Palatino Linotype" w:eastAsia="Palatino Linotype" w:hAnsi="Palatino Linotype" w:cs="Palatino Linotype"/>
        </w:rPr>
      </w:pPr>
      <w:r w:rsidRPr="00E11169">
        <w:rPr>
          <w:rFonts w:ascii="Palatino Linotype" w:eastAsia="Palatino Linotype" w:hAnsi="Palatino Linotype" w:cs="Palatino Linotype"/>
        </w:rPr>
        <w:t>Se reciba una solicitud de acceso a la información;</w:t>
      </w:r>
    </w:p>
    <w:p w14:paraId="03223798" w14:textId="77777777" w:rsidR="00566805" w:rsidRPr="00E11169" w:rsidRDefault="0088381A">
      <w:pPr>
        <w:numPr>
          <w:ilvl w:val="0"/>
          <w:numId w:val="1"/>
        </w:numPr>
        <w:tabs>
          <w:tab w:val="left" w:pos="851"/>
        </w:tabs>
        <w:spacing w:line="360" w:lineRule="auto"/>
        <w:ind w:left="567" w:firstLine="0"/>
        <w:jc w:val="both"/>
        <w:rPr>
          <w:rFonts w:ascii="Palatino Linotype" w:eastAsia="Palatino Linotype" w:hAnsi="Palatino Linotype" w:cs="Palatino Linotype"/>
        </w:rPr>
      </w:pPr>
      <w:r w:rsidRPr="00E11169">
        <w:rPr>
          <w:rFonts w:ascii="Palatino Linotype" w:eastAsia="Palatino Linotype" w:hAnsi="Palatino Linotype" w:cs="Palatino Linotype"/>
        </w:rPr>
        <w:t>Se determine mediante resolución de autoridad competente; y/o</w:t>
      </w:r>
    </w:p>
    <w:p w14:paraId="52BB661C" w14:textId="77777777" w:rsidR="00566805" w:rsidRPr="00E11169" w:rsidRDefault="0088381A">
      <w:pPr>
        <w:numPr>
          <w:ilvl w:val="0"/>
          <w:numId w:val="1"/>
        </w:numPr>
        <w:tabs>
          <w:tab w:val="left" w:pos="851"/>
        </w:tabs>
        <w:spacing w:after="280" w:line="360" w:lineRule="auto"/>
        <w:ind w:left="567" w:firstLine="0"/>
        <w:jc w:val="both"/>
        <w:rPr>
          <w:rFonts w:ascii="Palatino Linotype" w:eastAsia="Palatino Linotype" w:hAnsi="Palatino Linotype" w:cs="Palatino Linotype"/>
        </w:rPr>
      </w:pPr>
      <w:r w:rsidRPr="00E11169">
        <w:rPr>
          <w:rFonts w:ascii="Palatino Linotype" w:eastAsia="Palatino Linotype" w:hAnsi="Palatino Linotype" w:cs="Palatino Linotype"/>
        </w:rPr>
        <w:lastRenderedPageBreak/>
        <w:t>Se generen versiones públicas para dar cumplimiento a las obligaciones de transparencia previstas en la Ley.</w:t>
      </w:r>
    </w:p>
    <w:p w14:paraId="7A491A3C" w14:textId="77777777" w:rsidR="00566805" w:rsidRPr="00E11169" w:rsidRDefault="0088381A">
      <w:pPr>
        <w:spacing w:before="280" w:after="280" w:line="360" w:lineRule="auto"/>
        <w:ind w:right="51"/>
        <w:jc w:val="both"/>
        <w:rPr>
          <w:rFonts w:ascii="Palatino Linotype" w:eastAsia="Palatino Linotype" w:hAnsi="Palatino Linotype" w:cs="Palatino Linotype"/>
        </w:rPr>
      </w:pPr>
      <w:r w:rsidRPr="00E11169">
        <w:rPr>
          <w:rFonts w:ascii="Palatino Linotype" w:eastAsia="Palatino Linotype" w:hAnsi="Palatino Linotype" w:cs="Palatino Linotype"/>
        </w:rPr>
        <w:t>Además, es de precisar que la clasificación de la información no se da por el simple mandato de la Ley, sino que cuando se clasifique algún documento o información, ya sea todo o en parte, es necesario que se atienda lo dispuesto por la Ley de la materia, siendo que dicha clasificación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 a saber:</w:t>
      </w:r>
    </w:p>
    <w:p w14:paraId="61806D60"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Artículo 49</w:t>
      </w:r>
      <w:r w:rsidRPr="00E11169">
        <w:rPr>
          <w:rFonts w:ascii="Palatino Linotype" w:eastAsia="Palatino Linotype" w:hAnsi="Palatino Linotype" w:cs="Palatino Linotype"/>
          <w:i/>
          <w:sz w:val="22"/>
          <w:szCs w:val="22"/>
        </w:rPr>
        <w:t xml:space="preserve">. Los </w:t>
      </w:r>
      <w:r w:rsidRPr="00E11169">
        <w:rPr>
          <w:rFonts w:ascii="Palatino Linotype" w:eastAsia="Palatino Linotype" w:hAnsi="Palatino Linotype" w:cs="Palatino Linotype"/>
          <w:b/>
          <w:i/>
          <w:sz w:val="22"/>
          <w:szCs w:val="22"/>
        </w:rPr>
        <w:t>Comités de Transparencia</w:t>
      </w:r>
      <w:r w:rsidRPr="00E11169">
        <w:rPr>
          <w:rFonts w:ascii="Palatino Linotype" w:eastAsia="Palatino Linotype" w:hAnsi="Palatino Linotype" w:cs="Palatino Linotype"/>
          <w:i/>
          <w:sz w:val="22"/>
          <w:szCs w:val="22"/>
        </w:rPr>
        <w:t xml:space="preserve"> tendrán las siguientes atribuciones:</w:t>
      </w:r>
    </w:p>
    <w:p w14:paraId="16F0E633"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32BC02B4"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w:t>
      </w:r>
      <w:r w:rsidRPr="00E11169">
        <w:rPr>
          <w:rFonts w:ascii="Palatino Linotype" w:eastAsia="Palatino Linotype" w:hAnsi="Palatino Linotype" w:cs="Palatino Linotype"/>
          <w:i/>
          <w:sz w:val="22"/>
          <w:szCs w:val="22"/>
        </w:rPr>
        <w:t xml:space="preserve"> Confirmar, modificar o revocar las determinaciones </w:t>
      </w:r>
      <w:proofErr w:type="gramStart"/>
      <w:r w:rsidRPr="00E11169">
        <w:rPr>
          <w:rFonts w:ascii="Palatino Linotype" w:eastAsia="Palatino Linotype" w:hAnsi="Palatino Linotype" w:cs="Palatino Linotype"/>
          <w:i/>
          <w:sz w:val="22"/>
          <w:szCs w:val="22"/>
        </w:rPr>
        <w:t>que</w:t>
      </w:r>
      <w:proofErr w:type="gramEnd"/>
      <w:r w:rsidRPr="00E11169">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71C07480"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7F424CC8"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VIII</w:t>
      </w:r>
      <w:r w:rsidRPr="00E11169">
        <w:rPr>
          <w:rFonts w:ascii="Palatino Linotype" w:eastAsia="Palatino Linotype" w:hAnsi="Palatino Linotype" w:cs="Palatino Linotype"/>
          <w:i/>
          <w:sz w:val="22"/>
          <w:szCs w:val="22"/>
        </w:rPr>
        <w:t>. Aprobar, modificar o revocar la clasificación de la información</w:t>
      </w:r>
    </w:p>
    <w:p w14:paraId="2D887F48"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w:t>
      </w:r>
    </w:p>
    <w:p w14:paraId="6887B2EA"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Artículo 53</w:t>
      </w:r>
      <w:r w:rsidRPr="00E11169">
        <w:rPr>
          <w:rFonts w:ascii="Palatino Linotype" w:eastAsia="Palatino Linotype" w:hAnsi="Palatino Linotype" w:cs="Palatino Linotype"/>
          <w:i/>
          <w:sz w:val="22"/>
          <w:szCs w:val="22"/>
        </w:rPr>
        <w:t xml:space="preserve">. Las </w:t>
      </w:r>
      <w:r w:rsidRPr="00E11169">
        <w:rPr>
          <w:rFonts w:ascii="Palatino Linotype" w:eastAsia="Palatino Linotype" w:hAnsi="Palatino Linotype" w:cs="Palatino Linotype"/>
          <w:b/>
          <w:i/>
          <w:sz w:val="22"/>
          <w:szCs w:val="22"/>
        </w:rPr>
        <w:t xml:space="preserve">Unidades de Transparencia </w:t>
      </w:r>
      <w:r w:rsidRPr="00E11169">
        <w:rPr>
          <w:rFonts w:ascii="Palatino Linotype" w:eastAsia="Palatino Linotype" w:hAnsi="Palatino Linotype" w:cs="Palatino Linotype"/>
          <w:i/>
          <w:sz w:val="22"/>
          <w:szCs w:val="22"/>
        </w:rPr>
        <w:t>tendrán las siguientes funciones:</w:t>
      </w:r>
    </w:p>
    <w:p w14:paraId="38E798F8"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lastRenderedPageBreak/>
        <w:t>...</w:t>
      </w:r>
    </w:p>
    <w:p w14:paraId="27E43365"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X.</w:t>
      </w:r>
      <w:r w:rsidRPr="00E11169">
        <w:rPr>
          <w:rFonts w:ascii="Palatino Linotype" w:eastAsia="Palatino Linotype" w:hAnsi="Palatino Linotype" w:cs="Palatino Linotype"/>
          <w:i/>
          <w:sz w:val="22"/>
          <w:szCs w:val="22"/>
        </w:rPr>
        <w:t xml:space="preserve"> Presentar ante el Comité, el proyecto de clasificación de información;</w:t>
      </w:r>
    </w:p>
    <w:p w14:paraId="7894603C"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w:t>
      </w:r>
    </w:p>
    <w:p w14:paraId="6F3CE6FD"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Artículo 59</w:t>
      </w:r>
      <w:r w:rsidRPr="00E11169">
        <w:rPr>
          <w:rFonts w:ascii="Palatino Linotype" w:eastAsia="Palatino Linotype" w:hAnsi="Palatino Linotype" w:cs="Palatino Linotype"/>
          <w:i/>
          <w:sz w:val="22"/>
          <w:szCs w:val="22"/>
        </w:rPr>
        <w:t xml:space="preserve">. Los </w:t>
      </w:r>
      <w:r w:rsidRPr="00E11169">
        <w:rPr>
          <w:rFonts w:ascii="Palatino Linotype" w:eastAsia="Palatino Linotype" w:hAnsi="Palatino Linotype" w:cs="Palatino Linotype"/>
          <w:b/>
          <w:i/>
          <w:sz w:val="22"/>
          <w:szCs w:val="22"/>
        </w:rPr>
        <w:t>servidores públicos habilitados</w:t>
      </w:r>
      <w:r w:rsidRPr="00E11169">
        <w:rPr>
          <w:rFonts w:ascii="Palatino Linotype" w:eastAsia="Palatino Linotype" w:hAnsi="Palatino Linotype" w:cs="Palatino Linotype"/>
          <w:i/>
          <w:sz w:val="22"/>
          <w:szCs w:val="22"/>
        </w:rPr>
        <w:t xml:space="preserve"> tendrán las funciones siguientes:</w:t>
      </w:r>
    </w:p>
    <w:p w14:paraId="0E76683B"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p>
    <w:p w14:paraId="6F895DB2"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V.</w:t>
      </w:r>
      <w:r w:rsidRPr="00E11169">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03DC73B3" w14:textId="77777777" w:rsidR="00566805" w:rsidRPr="00E11169" w:rsidRDefault="0088381A">
      <w:pPr>
        <w:spacing w:before="280" w:after="280" w:line="360" w:lineRule="auto"/>
        <w:ind w:right="51"/>
        <w:jc w:val="both"/>
        <w:rPr>
          <w:rFonts w:ascii="Palatino Linotype" w:eastAsia="Palatino Linotype" w:hAnsi="Palatino Linotype" w:cs="Palatino Linotype"/>
        </w:rPr>
      </w:pPr>
      <w:r w:rsidRPr="00E11169">
        <w:rPr>
          <w:rFonts w:ascii="Palatino Linotype" w:eastAsia="Palatino Linotype" w:hAnsi="Palatino Linotype" w:cs="Palatino Linotype"/>
        </w:rPr>
        <w:t>En el caso que nos ocupa, como se advierte en las constancias que obran en el expediente electrónico, a través del oficio número 21803000030000L-0451/2025, el Encargado de Despacho de la Dirección de Registro de Declaraciones y de Sanciones propuso la clasificación de las Declaración de Situación Patrimonial y de Intereses por Alta del año 2016, por Anualidad del año 2017, Inicial del año 2018 y por Conclusión del año 2018, como información confidencial, al contener datos personales, vida afectiva, familiar, domicilio y situación patrimonial del servidor público, sin contar con la autorización previa y especifica del servidor público para hacer pública dicha información una vez presentada.</w:t>
      </w:r>
    </w:p>
    <w:p w14:paraId="3B4F3B39" w14:textId="62BE0683" w:rsidR="00566805" w:rsidRPr="00E11169" w:rsidRDefault="0088381A">
      <w:pPr>
        <w:spacing w:before="280" w:after="280" w:line="360" w:lineRule="auto"/>
        <w:ind w:right="51"/>
        <w:jc w:val="both"/>
        <w:rPr>
          <w:rFonts w:ascii="Palatino Linotype" w:eastAsia="Palatino Linotype" w:hAnsi="Palatino Linotype" w:cs="Palatino Linotype"/>
        </w:rPr>
      </w:pPr>
      <w:r w:rsidRPr="00E11169">
        <w:rPr>
          <w:rFonts w:ascii="Palatino Linotype" w:eastAsia="Palatino Linotype" w:hAnsi="Palatino Linotype" w:cs="Palatino Linotype"/>
        </w:rPr>
        <w:t>Dicha propuesta se sometió a consideración del Comité de Transparencia en la Tercera Sesión Extraordinaria celebrada el diez de febrero de dos m</w:t>
      </w:r>
      <w:r w:rsidR="004F595A" w:rsidRPr="00E11169">
        <w:rPr>
          <w:rFonts w:ascii="Palatino Linotype" w:eastAsia="Palatino Linotype" w:hAnsi="Palatino Linotype" w:cs="Palatino Linotype"/>
        </w:rPr>
        <w:t xml:space="preserve">il veinticinco, donde se aprobó, </w:t>
      </w:r>
      <w:r w:rsidRPr="00E11169">
        <w:rPr>
          <w:rFonts w:ascii="Palatino Linotype" w:eastAsia="Palatino Linotype" w:hAnsi="Palatino Linotype" w:cs="Palatino Linotype"/>
        </w:rPr>
        <w:t>por unanimidad de votos de los integrantes</w:t>
      </w:r>
      <w:r w:rsidR="004F595A" w:rsidRPr="00E11169">
        <w:rPr>
          <w:rFonts w:ascii="Palatino Linotype" w:eastAsia="Palatino Linotype" w:hAnsi="Palatino Linotype" w:cs="Palatino Linotype"/>
        </w:rPr>
        <w:t>,</w:t>
      </w:r>
      <w:r w:rsidRPr="00E11169">
        <w:rPr>
          <w:rFonts w:ascii="Palatino Linotype" w:eastAsia="Palatino Linotype" w:hAnsi="Palatino Linotype" w:cs="Palatino Linotype"/>
        </w:rPr>
        <w:t xml:space="preserve"> la clasificación de las Declaraciones Patrimoniales y de Intereses por Alta del año 2016, por Anualidad del año 2017, Inicial del año 2018 y por Conclusión del año 2018 del servidor público referido, en términos de los artículos 143, fracción I y 147  de la Ley de Transparencia y Acceso a la Información Pública del Estado de México y Municipios, y 4, fracción XI de la Ley de Protección de Datos Personales en Posesión de Sujetos Obligados </w:t>
      </w:r>
      <w:r w:rsidRPr="00E11169">
        <w:rPr>
          <w:rFonts w:ascii="Palatino Linotype" w:eastAsia="Palatino Linotype" w:hAnsi="Palatino Linotype" w:cs="Palatino Linotype"/>
        </w:rPr>
        <w:lastRenderedPageBreak/>
        <w:t>del Estado de México y Municipios, así como el Lineamiento Trigésimo Octavo, fracciones I y II de los Lineamientos Generales en Materia de Clasificación y Desclasificación de la Información, así como para la elaboración de Versiones Públicas, vigentes a la fecha de presentación de la solicitud.</w:t>
      </w:r>
    </w:p>
    <w:p w14:paraId="699FBF17"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En este orden de ideas, derivado del análisis realizado en la Resolución derivada del Acuerdo del Comité de Transparencia número ACT/SECOGEM/EXT/COMT/3ª/2025/SÉPTIMO, mediante el cual se exponen los argumentos presentados por el Encargado de Despacho de la Subsecretaría de Responsabilidades Administrativas, a fin de confirmar la clasificación de la información requerida en la solicitud 00048/SECOGEM/IP/2025 como confidencial, así como el Acta de la Tercera Sesión Extraordinaria del Comité de Transparencia, se concluye que 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 xml:space="preserve"> cumplió con las formalidades previstas en el artículo 168 de la Ley de Transparencia y Acceso a la Información Pública del Estado de México y Municipios, así como los Lineamientos Octavo, Quincuagésimo primero, párrafo primero, y Quincuagésimo cuarto de los Lineamientos Generales en materia de Clasificación y Desclasificación de la Información, así como para la elaboración de Versiones Públicas, vigentes a la fecha de presentación de la solicitud, a saber:</w:t>
      </w:r>
    </w:p>
    <w:p w14:paraId="3072B6D7" w14:textId="77777777" w:rsidR="00566805" w:rsidRPr="00E11169" w:rsidRDefault="0088381A">
      <w:pPr>
        <w:spacing w:before="240" w:after="240"/>
        <w:ind w:left="851" w:right="900"/>
        <w:jc w:val="both"/>
        <w:rPr>
          <w:rFonts w:ascii="Palatino Linotype" w:eastAsia="Palatino Linotype" w:hAnsi="Palatino Linotype" w:cs="Palatino Linotype"/>
          <w:i/>
          <w:sz w:val="22"/>
        </w:rPr>
      </w:pPr>
      <w:r w:rsidRPr="00E11169">
        <w:rPr>
          <w:rFonts w:ascii="Palatino Linotype" w:eastAsia="Palatino Linotype" w:hAnsi="Palatino Linotype" w:cs="Palatino Linotype"/>
          <w:i/>
          <w:sz w:val="22"/>
        </w:rPr>
        <w:t>Ley de Transparencia y Acceso a la Información Pública del Estado de México y Municipios</w:t>
      </w:r>
    </w:p>
    <w:p w14:paraId="3BDD15A5" w14:textId="77777777" w:rsidR="00566805" w:rsidRPr="00E11169" w:rsidRDefault="0088381A">
      <w:pP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w:t>
      </w:r>
      <w:r w:rsidRPr="00E11169">
        <w:rPr>
          <w:rFonts w:ascii="Palatino Linotype" w:eastAsia="Palatino Linotype" w:hAnsi="Palatino Linotype" w:cs="Palatino Linotype"/>
          <w:b/>
          <w:i/>
          <w:sz w:val="22"/>
          <w:szCs w:val="22"/>
        </w:rPr>
        <w:t>Artículo 168</w:t>
      </w:r>
      <w:r w:rsidRPr="00E11169">
        <w:rPr>
          <w:rFonts w:ascii="Palatino Linotype" w:eastAsia="Palatino Linotype" w:hAnsi="Palatino Linotype" w:cs="Palatino Linotype"/>
          <w:i/>
          <w:sz w:val="22"/>
          <w:szCs w:val="22"/>
        </w:rPr>
        <w:t xml:space="preserve">. En caso de que los sujetos obligados consideren que los documentos o la información deban ser clasificados, se sujetará a lo siguiente: </w:t>
      </w:r>
    </w:p>
    <w:p w14:paraId="2B9435FB"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w:t>
      </w:r>
      <w:r w:rsidRPr="00E11169">
        <w:rPr>
          <w:rFonts w:ascii="Palatino Linotype" w:eastAsia="Palatino Linotype" w:hAnsi="Palatino Linotype" w:cs="Palatino Linotype"/>
          <w:i/>
          <w:sz w:val="22"/>
          <w:szCs w:val="22"/>
        </w:rPr>
        <w:t xml:space="preserve"> El Área deberá remitir la solicitud, </w:t>
      </w:r>
      <w:r w:rsidRPr="00E11169">
        <w:rPr>
          <w:rFonts w:ascii="Palatino Linotype" w:eastAsia="Palatino Linotype" w:hAnsi="Palatino Linotype" w:cs="Palatino Linotype"/>
          <w:b/>
          <w:i/>
          <w:sz w:val="22"/>
          <w:szCs w:val="22"/>
        </w:rPr>
        <w:t xml:space="preserve">así como un escrito en el </w:t>
      </w:r>
      <w:r w:rsidRPr="00E11169">
        <w:rPr>
          <w:rFonts w:ascii="Palatino Linotype" w:eastAsia="Palatino Linotype" w:hAnsi="Palatino Linotype" w:cs="Palatino Linotype"/>
          <w:b/>
          <w:i/>
          <w:sz w:val="22"/>
          <w:szCs w:val="22"/>
          <w:u w:val="single"/>
        </w:rPr>
        <w:t>que funde y motive la clasificación</w:t>
      </w:r>
      <w:r w:rsidRPr="00E11169">
        <w:rPr>
          <w:rFonts w:ascii="Palatino Linotype" w:eastAsia="Palatino Linotype" w:hAnsi="Palatino Linotype" w:cs="Palatino Linotype"/>
          <w:b/>
          <w:i/>
          <w:sz w:val="22"/>
          <w:szCs w:val="22"/>
        </w:rPr>
        <w:t xml:space="preserve"> al Comité de Transparencia</w:t>
      </w:r>
      <w:r w:rsidRPr="00E11169">
        <w:rPr>
          <w:rFonts w:ascii="Palatino Linotype" w:eastAsia="Palatino Linotype" w:hAnsi="Palatino Linotype" w:cs="Palatino Linotype"/>
          <w:i/>
          <w:sz w:val="22"/>
          <w:szCs w:val="22"/>
        </w:rPr>
        <w:t>, mismo que deberá resolver para:</w:t>
      </w:r>
    </w:p>
    <w:p w14:paraId="6FE7AC42" w14:textId="77777777" w:rsidR="00566805" w:rsidRPr="00E11169" w:rsidRDefault="0088381A">
      <w:pPr>
        <w:spacing w:before="120" w:after="120"/>
        <w:ind w:left="1418"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lastRenderedPageBreak/>
        <w:t>a)</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Confirmar la clasificación</w:t>
      </w:r>
      <w:r w:rsidRPr="00E11169">
        <w:rPr>
          <w:rFonts w:ascii="Palatino Linotype" w:eastAsia="Palatino Linotype" w:hAnsi="Palatino Linotype" w:cs="Palatino Linotype"/>
          <w:i/>
          <w:sz w:val="22"/>
          <w:szCs w:val="22"/>
        </w:rPr>
        <w:t xml:space="preserve">; </w:t>
      </w:r>
    </w:p>
    <w:p w14:paraId="25C84428" w14:textId="77777777" w:rsidR="00566805" w:rsidRPr="00E11169" w:rsidRDefault="0088381A">
      <w:pPr>
        <w:spacing w:before="120" w:after="120"/>
        <w:ind w:left="1418"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b)</w:t>
      </w:r>
      <w:r w:rsidRPr="00E11169">
        <w:rPr>
          <w:rFonts w:ascii="Palatino Linotype" w:eastAsia="Palatino Linotype" w:hAnsi="Palatino Linotype" w:cs="Palatino Linotype"/>
          <w:i/>
          <w:sz w:val="22"/>
          <w:szCs w:val="22"/>
        </w:rPr>
        <w:t xml:space="preserve"> </w:t>
      </w:r>
      <w:r w:rsidRPr="00E11169">
        <w:rPr>
          <w:rFonts w:ascii="Palatino Linotype" w:eastAsia="Palatino Linotype" w:hAnsi="Palatino Linotype" w:cs="Palatino Linotype"/>
          <w:b/>
          <w:i/>
          <w:sz w:val="22"/>
          <w:szCs w:val="22"/>
        </w:rPr>
        <w:t>Modificar. la clasificación y otorgar total o parcialmente el acceso a la informació</w:t>
      </w:r>
      <w:r w:rsidRPr="00E11169">
        <w:rPr>
          <w:rFonts w:ascii="Palatino Linotype" w:eastAsia="Palatino Linotype" w:hAnsi="Palatino Linotype" w:cs="Palatino Linotype"/>
          <w:i/>
          <w:sz w:val="22"/>
          <w:szCs w:val="22"/>
        </w:rPr>
        <w:t xml:space="preserve">n; y </w:t>
      </w:r>
    </w:p>
    <w:p w14:paraId="0EEB86D4" w14:textId="77777777" w:rsidR="00566805" w:rsidRPr="00E11169" w:rsidRDefault="0088381A">
      <w:pPr>
        <w:spacing w:before="120" w:after="120"/>
        <w:ind w:left="1418"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c)</w:t>
      </w:r>
      <w:r w:rsidRPr="00E11169">
        <w:rPr>
          <w:rFonts w:ascii="Palatino Linotype" w:eastAsia="Palatino Linotype" w:hAnsi="Palatino Linotype" w:cs="Palatino Linotype"/>
          <w:i/>
          <w:sz w:val="22"/>
          <w:szCs w:val="22"/>
        </w:rPr>
        <w:t xml:space="preserve"> Revocar la clasificación y conceder el acceso a la información. </w:t>
      </w:r>
    </w:p>
    <w:p w14:paraId="7CA033C0"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w:t>
      </w:r>
      <w:r w:rsidRPr="00E1116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 </w:t>
      </w:r>
    </w:p>
    <w:p w14:paraId="28EE4A8E" w14:textId="77777777" w:rsidR="00566805" w:rsidRPr="00E11169" w:rsidRDefault="0088381A">
      <w:pP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III</w:t>
      </w:r>
      <w:r w:rsidRPr="00E11169">
        <w:rPr>
          <w:rFonts w:ascii="Palatino Linotype" w:eastAsia="Palatino Linotype" w:hAnsi="Palatino Linotype" w:cs="Palatino Linotype"/>
          <w:i/>
          <w:sz w:val="22"/>
          <w:szCs w:val="22"/>
        </w:rPr>
        <w:t>. La resolución del Comité de Transparencia será notificada al interesado en el plazo de respuesta a la solicitud que establece esta Ley.”</w:t>
      </w:r>
    </w:p>
    <w:p w14:paraId="2F0CC95A" w14:textId="77777777" w:rsidR="004F595A" w:rsidRPr="00E11169" w:rsidRDefault="004F595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p>
    <w:p w14:paraId="58AF0286"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rPr>
      </w:pPr>
      <w:r w:rsidRPr="00E11169">
        <w:rPr>
          <w:rFonts w:ascii="Palatino Linotype" w:eastAsia="Palatino Linotype" w:hAnsi="Palatino Linotype" w:cs="Palatino Linotype"/>
          <w:i/>
          <w:sz w:val="22"/>
        </w:rPr>
        <w:t>Lineamientos Generales en materia de Clasificación y Desclasificación de la Información, así como para la elaboración de Versiones Públicas</w:t>
      </w:r>
    </w:p>
    <w:p w14:paraId="4D00BFD2" w14:textId="77777777" w:rsidR="00566805" w:rsidRPr="00E11169" w:rsidRDefault="0088381A">
      <w:pPr>
        <w:spacing w:before="120" w:after="120"/>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rPr>
        <w:t>“</w:t>
      </w:r>
      <w:r w:rsidRPr="00E11169">
        <w:rPr>
          <w:rFonts w:ascii="Palatino Linotype" w:eastAsia="Palatino Linotype" w:hAnsi="Palatino Linotype" w:cs="Palatino Linotype"/>
          <w:b/>
          <w:i/>
          <w:sz w:val="22"/>
          <w:szCs w:val="22"/>
        </w:rPr>
        <w:t>Octavo</w:t>
      </w:r>
      <w:r w:rsidRPr="00E11169">
        <w:rPr>
          <w:rFonts w:ascii="Palatino Linotype" w:eastAsia="Palatino Linotype" w:hAnsi="Palatino Linotype" w:cs="Palatino Linotype"/>
          <w:i/>
          <w:sz w:val="22"/>
          <w:szCs w:val="22"/>
        </w:rPr>
        <w:t xml:space="preserve">. Para fundar la clasificación de la información </w:t>
      </w:r>
      <w:r w:rsidRPr="00E11169">
        <w:rPr>
          <w:rFonts w:ascii="Palatino Linotype" w:eastAsia="Palatino Linotype" w:hAnsi="Palatino Linotype" w:cs="Palatino Linotype"/>
          <w:b/>
          <w:i/>
          <w:sz w:val="22"/>
          <w:szCs w:val="22"/>
        </w:rPr>
        <w:t>se debe señalar el artículo, fracción, inciso, párrafo o numeral de la ley o tratado internacional suscrito por el Estado mexicano que expresamente le otorga el carácter de reservada o confidencial.</w:t>
      </w:r>
    </w:p>
    <w:p w14:paraId="30CBBFC5" w14:textId="77777777" w:rsidR="00566805" w:rsidRPr="00E11169" w:rsidRDefault="0088381A">
      <w:pPr>
        <w:spacing w:before="120" w:after="120"/>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i/>
          <w:sz w:val="22"/>
          <w:szCs w:val="22"/>
        </w:rPr>
        <w:t xml:space="preserve">Para motivar la clasificación </w:t>
      </w:r>
      <w:r w:rsidRPr="00E11169">
        <w:rPr>
          <w:rFonts w:ascii="Palatino Linotype" w:eastAsia="Palatino Linotype" w:hAnsi="Palatino Linotype" w:cs="Palatino Linotype"/>
          <w:b/>
          <w:i/>
          <w:sz w:val="22"/>
          <w:szCs w:val="22"/>
        </w:rPr>
        <w:t>se deberán señalar las razones o circunstancias especiales que lo llevaron a concluir que el caso particular se ajusta al supuesto previsto por la norma legal invocada como fundamento.</w:t>
      </w:r>
    </w:p>
    <w:p w14:paraId="1388B24D" w14:textId="77777777" w:rsidR="00566805" w:rsidRPr="00E11169" w:rsidRDefault="0088381A">
      <w:pPr>
        <w:spacing w:before="120" w:after="120"/>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E2CDD41" w14:textId="77777777" w:rsidR="00566805" w:rsidRPr="00E11169" w:rsidRDefault="0088381A">
      <w:pPr>
        <w:spacing w:before="120" w:after="120"/>
        <w:ind w:left="851" w:right="900"/>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A310A0A"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65AEC2F"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11169">
        <w:rPr>
          <w:rFonts w:ascii="Palatino Linotype" w:eastAsia="Palatino Linotype" w:hAnsi="Palatino Linotype" w:cs="Palatino Linotype"/>
          <w:i/>
          <w:sz w:val="22"/>
          <w:szCs w:val="22"/>
        </w:rPr>
        <w:t>...</w:t>
      </w:r>
    </w:p>
    <w:p w14:paraId="4923BD03" w14:textId="77777777" w:rsidR="00566805" w:rsidRPr="00E11169" w:rsidRDefault="0088381A">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 xml:space="preserve">Quincuagésimo primero. </w:t>
      </w:r>
      <w:r w:rsidRPr="00E11169">
        <w:rPr>
          <w:rFonts w:ascii="Palatino Linotype" w:eastAsia="Palatino Linotype" w:hAnsi="Palatino Linotype" w:cs="Palatino Linotype"/>
          <w:i/>
          <w:sz w:val="22"/>
          <w:szCs w:val="22"/>
        </w:rPr>
        <w:t xml:space="preserve">Toda acta del Comité de Transparencia deberá contener: </w:t>
      </w:r>
    </w:p>
    <w:p w14:paraId="7B16F22E"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w:t>
      </w:r>
      <w:r w:rsidRPr="00E11169">
        <w:rPr>
          <w:rFonts w:ascii="Palatino Linotype" w:eastAsia="Palatino Linotype" w:hAnsi="Palatino Linotype" w:cs="Palatino Linotype"/>
          <w:i/>
          <w:sz w:val="22"/>
          <w:szCs w:val="22"/>
        </w:rPr>
        <w:t xml:space="preserve"> El número de sesión y fecha; </w:t>
      </w:r>
    </w:p>
    <w:p w14:paraId="3A55C39A"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II</w:t>
      </w:r>
      <w:r w:rsidRPr="00E11169">
        <w:rPr>
          <w:rFonts w:ascii="Palatino Linotype" w:eastAsia="Palatino Linotype" w:hAnsi="Palatino Linotype" w:cs="Palatino Linotype"/>
          <w:i/>
          <w:sz w:val="22"/>
          <w:szCs w:val="22"/>
        </w:rPr>
        <w:t xml:space="preserve">. El nombre del área que solicitó la clasificación de información; </w:t>
      </w:r>
    </w:p>
    <w:p w14:paraId="073DAC36"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lastRenderedPageBreak/>
        <w:t>III</w:t>
      </w:r>
      <w:r w:rsidRPr="00E11169">
        <w:rPr>
          <w:rFonts w:ascii="Palatino Linotype" w:eastAsia="Palatino Linotype" w:hAnsi="Palatino Linotype" w:cs="Palatino Linotype"/>
          <w:i/>
          <w:sz w:val="22"/>
          <w:szCs w:val="22"/>
        </w:rPr>
        <w:t xml:space="preserve">. La fundamentación legal y motivación correspondiente; </w:t>
      </w:r>
    </w:p>
    <w:p w14:paraId="64044F1C"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IV</w:t>
      </w:r>
      <w:r w:rsidRPr="00E11169">
        <w:rPr>
          <w:rFonts w:ascii="Palatino Linotype" w:eastAsia="Palatino Linotype" w:hAnsi="Palatino Linotype" w:cs="Palatino Linotype"/>
          <w:i/>
          <w:sz w:val="22"/>
          <w:szCs w:val="22"/>
        </w:rPr>
        <w:t xml:space="preserve">. La resolución o resoluciones aprobadas; y </w:t>
      </w:r>
    </w:p>
    <w:p w14:paraId="145BC78E" w14:textId="77777777" w:rsidR="00566805" w:rsidRPr="00E11169" w:rsidRDefault="0088381A">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11169">
        <w:rPr>
          <w:rFonts w:ascii="Palatino Linotype" w:eastAsia="Palatino Linotype" w:hAnsi="Palatino Linotype" w:cs="Palatino Linotype"/>
          <w:b/>
          <w:i/>
          <w:sz w:val="22"/>
          <w:szCs w:val="22"/>
        </w:rPr>
        <w:t>V</w:t>
      </w:r>
      <w:r w:rsidRPr="00E11169">
        <w:rPr>
          <w:rFonts w:ascii="Palatino Linotype" w:eastAsia="Palatino Linotype" w:hAnsi="Palatino Linotype" w:cs="Palatino Linotype"/>
          <w:i/>
          <w:sz w:val="22"/>
          <w:szCs w:val="22"/>
        </w:rPr>
        <w:t xml:space="preserve">. La rúbrica o firma digital de cada integrante del Comité de Transparencia. </w:t>
      </w:r>
    </w:p>
    <w:p w14:paraId="20035905" w14:textId="77777777" w:rsidR="00566805" w:rsidRPr="00E11169" w:rsidRDefault="0088381A">
      <w:pPr>
        <w:spacing w:before="240" w:after="240" w:line="360" w:lineRule="auto"/>
        <w:ind w:left="851" w:right="49"/>
        <w:jc w:val="both"/>
        <w:rPr>
          <w:rFonts w:ascii="Palatino Linotype" w:eastAsia="Palatino Linotype" w:hAnsi="Palatino Linotype" w:cs="Palatino Linotype"/>
        </w:rPr>
      </w:pPr>
      <w:r w:rsidRPr="00E11169">
        <w:rPr>
          <w:rFonts w:ascii="Palatino Linotype" w:eastAsia="Palatino Linotype" w:hAnsi="Palatino Linotype" w:cs="Palatino Linotype"/>
        </w:rPr>
        <w:t>...</w:t>
      </w:r>
    </w:p>
    <w:p w14:paraId="3B7AE4C4" w14:textId="77777777" w:rsidR="00566805" w:rsidRPr="00E11169" w:rsidRDefault="0088381A">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E11169">
        <w:rPr>
          <w:rFonts w:ascii="Palatino Linotype" w:eastAsia="Palatino Linotype" w:hAnsi="Palatino Linotype" w:cs="Palatino Linotype"/>
          <w:b/>
          <w:i/>
          <w:sz w:val="22"/>
          <w:szCs w:val="22"/>
        </w:rPr>
        <w:t xml:space="preserve">Quincuagésimo cuarto. </w:t>
      </w:r>
      <w:r w:rsidRPr="00E11169">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w:t>
      </w:r>
      <w:proofErr w:type="gramStart"/>
      <w:r w:rsidRPr="00E11169">
        <w:rPr>
          <w:rFonts w:ascii="Palatino Linotype" w:eastAsia="Palatino Linotype" w:hAnsi="Palatino Linotype" w:cs="Palatino Linotype"/>
          <w:i/>
          <w:sz w:val="22"/>
          <w:szCs w:val="22"/>
        </w:rPr>
        <w:t>clasificación.</w:t>
      </w:r>
      <w:r w:rsidRPr="00E11169">
        <w:rPr>
          <w:rFonts w:ascii="Palatino Linotype" w:eastAsia="Palatino Linotype" w:hAnsi="Palatino Linotype" w:cs="Palatino Linotype"/>
          <w:b/>
          <w:i/>
          <w:sz w:val="22"/>
          <w:szCs w:val="22"/>
        </w:rPr>
        <w:t>“</w:t>
      </w:r>
      <w:proofErr w:type="gramEnd"/>
    </w:p>
    <w:p w14:paraId="74A705C5" w14:textId="22C3E42E"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Para un mejor entendimiento, a </w:t>
      </w:r>
      <w:proofErr w:type="gramStart"/>
      <w:r w:rsidRPr="00E11169">
        <w:rPr>
          <w:rFonts w:ascii="Palatino Linotype" w:eastAsia="Palatino Linotype" w:hAnsi="Palatino Linotype" w:cs="Palatino Linotype"/>
        </w:rPr>
        <w:t>continuación</w:t>
      </w:r>
      <w:proofErr w:type="gramEnd"/>
      <w:r w:rsidRPr="00E11169">
        <w:rPr>
          <w:rFonts w:ascii="Palatino Linotype" w:eastAsia="Palatino Linotype" w:hAnsi="Palatino Linotype" w:cs="Palatino Linotype"/>
        </w:rPr>
        <w:t xml:space="preserve"> se analiza el Acuerdo, así como la Resolución mediante la cual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sustenta la clasificación de las Declaraciones de Situación Patrimonial y de Intereses por Alta del año 2016, por Anualidad del año 2017, Inicial del año 2018 y por Conclusión del año 2018 del servidor público referido, como información confidencial en su totalidad:</w:t>
      </w:r>
    </w:p>
    <w:tbl>
      <w:tblPr>
        <w:tblStyle w:val="aff6"/>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412F0E" w:rsidRPr="00E11169" w14:paraId="2D2A30C7" w14:textId="77777777">
        <w:tc>
          <w:tcPr>
            <w:tcW w:w="2263" w:type="dxa"/>
            <w:shd w:val="clear" w:color="auto" w:fill="BFBFBF"/>
            <w:vAlign w:val="center"/>
          </w:tcPr>
          <w:p w14:paraId="46955D36" w14:textId="77777777" w:rsidR="00566805" w:rsidRPr="00E11169" w:rsidRDefault="0088381A">
            <w:pPr>
              <w:jc w:val="center"/>
              <w:rPr>
                <w:rFonts w:ascii="Palatino Linotype" w:eastAsia="Palatino Linotype" w:hAnsi="Palatino Linotype" w:cs="Palatino Linotype"/>
                <w:b/>
                <w:sz w:val="20"/>
                <w:szCs w:val="20"/>
              </w:rPr>
            </w:pPr>
            <w:r w:rsidRPr="00E11169">
              <w:rPr>
                <w:rFonts w:ascii="Palatino Linotype" w:eastAsia="Palatino Linotype" w:hAnsi="Palatino Linotype" w:cs="Palatino Linotype"/>
                <w:b/>
                <w:sz w:val="20"/>
                <w:szCs w:val="20"/>
              </w:rPr>
              <w:t>REQUISITO</w:t>
            </w:r>
          </w:p>
        </w:tc>
        <w:tc>
          <w:tcPr>
            <w:tcW w:w="5245" w:type="dxa"/>
            <w:shd w:val="clear" w:color="auto" w:fill="BFBFBF"/>
            <w:vAlign w:val="center"/>
          </w:tcPr>
          <w:p w14:paraId="6B25CA30" w14:textId="77777777" w:rsidR="00566805" w:rsidRPr="00E11169" w:rsidRDefault="0088381A">
            <w:pPr>
              <w:jc w:val="center"/>
              <w:rPr>
                <w:rFonts w:ascii="Palatino Linotype" w:eastAsia="Palatino Linotype" w:hAnsi="Palatino Linotype" w:cs="Palatino Linotype"/>
                <w:b/>
                <w:sz w:val="20"/>
                <w:szCs w:val="20"/>
              </w:rPr>
            </w:pPr>
            <w:r w:rsidRPr="00E11169">
              <w:rPr>
                <w:rFonts w:ascii="Palatino Linotype" w:eastAsia="Palatino Linotype" w:hAnsi="Palatino Linotype" w:cs="Palatino Linotype"/>
                <w:b/>
                <w:sz w:val="20"/>
                <w:szCs w:val="20"/>
              </w:rPr>
              <w:t>ACUERDO</w:t>
            </w:r>
          </w:p>
        </w:tc>
        <w:tc>
          <w:tcPr>
            <w:tcW w:w="1320" w:type="dxa"/>
            <w:shd w:val="clear" w:color="auto" w:fill="BFBFBF"/>
            <w:vAlign w:val="center"/>
          </w:tcPr>
          <w:p w14:paraId="23CA9105" w14:textId="77777777" w:rsidR="00566805" w:rsidRPr="00E11169" w:rsidRDefault="0088381A">
            <w:pPr>
              <w:jc w:val="center"/>
              <w:rPr>
                <w:rFonts w:ascii="Palatino Linotype" w:eastAsia="Palatino Linotype" w:hAnsi="Palatino Linotype" w:cs="Palatino Linotype"/>
                <w:b/>
                <w:sz w:val="20"/>
                <w:szCs w:val="20"/>
              </w:rPr>
            </w:pPr>
            <w:r w:rsidRPr="00E11169">
              <w:rPr>
                <w:rFonts w:ascii="Palatino Linotype" w:eastAsia="Palatino Linotype" w:hAnsi="Palatino Linotype" w:cs="Palatino Linotype"/>
                <w:b/>
                <w:sz w:val="20"/>
                <w:szCs w:val="20"/>
              </w:rPr>
              <w:t>¿CUMPLE?</w:t>
            </w:r>
          </w:p>
        </w:tc>
      </w:tr>
      <w:tr w:rsidR="00412F0E" w:rsidRPr="00E11169" w14:paraId="5BCFEE1B" w14:textId="77777777">
        <w:trPr>
          <w:trHeight w:val="1794"/>
        </w:trPr>
        <w:tc>
          <w:tcPr>
            <w:tcW w:w="2263" w:type="dxa"/>
            <w:vAlign w:val="center"/>
          </w:tcPr>
          <w:p w14:paraId="469E1277" w14:textId="77777777" w:rsidR="00566805" w:rsidRPr="00E11169" w:rsidRDefault="0088381A">
            <w:pPr>
              <w:widowControl w:val="0"/>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t>Número de Sesión y fecha</w:t>
            </w:r>
          </w:p>
        </w:tc>
        <w:tc>
          <w:tcPr>
            <w:tcW w:w="5245" w:type="dxa"/>
            <w:vAlign w:val="center"/>
          </w:tcPr>
          <w:p w14:paraId="393746B5" w14:textId="77777777" w:rsidR="00566805" w:rsidRPr="00E11169" w:rsidRDefault="0088381A">
            <w:pPr>
              <w:jc w:val="center"/>
              <w:rPr>
                <w:rFonts w:ascii="Palatino Linotype" w:eastAsia="Palatino Linotype" w:hAnsi="Palatino Linotype" w:cs="Palatino Linotype"/>
              </w:rPr>
            </w:pPr>
            <w:r w:rsidRPr="00E11169">
              <w:rPr>
                <w:rFonts w:ascii="Palatino Linotype" w:eastAsia="Palatino Linotype" w:hAnsi="Palatino Linotype" w:cs="Palatino Linotype"/>
                <w:noProof/>
              </w:rPr>
              <w:drawing>
                <wp:inline distT="0" distB="0" distL="0" distR="0" wp14:anchorId="5C7747D9" wp14:editId="670C28B2">
                  <wp:extent cx="3193415" cy="568325"/>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93415" cy="568325"/>
                          </a:xfrm>
                          <a:prstGeom prst="rect">
                            <a:avLst/>
                          </a:prstGeom>
                          <a:ln/>
                        </pic:spPr>
                      </pic:pic>
                    </a:graphicData>
                  </a:graphic>
                </wp:inline>
              </w:drawing>
            </w:r>
          </w:p>
        </w:tc>
        <w:tc>
          <w:tcPr>
            <w:tcW w:w="1320" w:type="dxa"/>
            <w:vAlign w:val="center"/>
          </w:tcPr>
          <w:p w14:paraId="18A061AD" w14:textId="4755DA02" w:rsidR="005B2753" w:rsidRPr="00E11169" w:rsidRDefault="0088381A" w:rsidP="005B2753">
            <w:pPr>
              <w:jc w:val="center"/>
              <w:rPr>
                <w:rFonts w:ascii="Palatino Linotype" w:eastAsia="Palatino Linotype" w:hAnsi="Palatino Linotype" w:cs="Palatino Linotype"/>
                <w:b/>
                <w:sz w:val="20"/>
                <w:szCs w:val="20"/>
              </w:rPr>
            </w:pPr>
            <w:r w:rsidRPr="00E11169">
              <w:rPr>
                <w:rFonts w:ascii="Palatino Linotype" w:eastAsia="Palatino Linotype" w:hAnsi="Palatino Linotype" w:cs="Palatino Linotype"/>
                <w:b/>
                <w:sz w:val="20"/>
                <w:szCs w:val="20"/>
              </w:rPr>
              <w:t>SI</w:t>
            </w:r>
          </w:p>
        </w:tc>
      </w:tr>
      <w:tr w:rsidR="00412F0E" w:rsidRPr="00E11169" w14:paraId="1FB0D71E" w14:textId="77777777">
        <w:tc>
          <w:tcPr>
            <w:tcW w:w="2263" w:type="dxa"/>
            <w:vAlign w:val="center"/>
          </w:tcPr>
          <w:p w14:paraId="52EE6DDB" w14:textId="77777777" w:rsidR="00566805" w:rsidRPr="00E11169" w:rsidRDefault="0088381A">
            <w:pPr>
              <w:widowControl w:val="0"/>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t>Nombre del área que solicitó la clasificación de la información</w:t>
            </w:r>
          </w:p>
        </w:tc>
        <w:tc>
          <w:tcPr>
            <w:tcW w:w="5245" w:type="dxa"/>
            <w:vAlign w:val="center"/>
          </w:tcPr>
          <w:p w14:paraId="1FF9418D" w14:textId="77777777" w:rsidR="00566805" w:rsidRPr="00E11169" w:rsidRDefault="0088381A">
            <w:pPr>
              <w:jc w:val="center"/>
              <w:rPr>
                <w:rFonts w:ascii="Palatino Linotype" w:eastAsia="Palatino Linotype" w:hAnsi="Palatino Linotype" w:cs="Palatino Linotype"/>
              </w:rPr>
            </w:pPr>
            <w:r w:rsidRPr="00E11169">
              <w:rPr>
                <w:rFonts w:ascii="Palatino Linotype" w:eastAsia="Palatino Linotype" w:hAnsi="Palatino Linotype" w:cs="Palatino Linotype"/>
                <w:noProof/>
              </w:rPr>
              <w:drawing>
                <wp:inline distT="0" distB="0" distL="0" distR="0" wp14:anchorId="58822A4D" wp14:editId="149DAC8F">
                  <wp:extent cx="3193415" cy="263525"/>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193415" cy="263525"/>
                          </a:xfrm>
                          <a:prstGeom prst="rect">
                            <a:avLst/>
                          </a:prstGeom>
                          <a:ln/>
                        </pic:spPr>
                      </pic:pic>
                    </a:graphicData>
                  </a:graphic>
                </wp:inline>
              </w:drawing>
            </w:r>
          </w:p>
        </w:tc>
        <w:tc>
          <w:tcPr>
            <w:tcW w:w="1320" w:type="dxa"/>
            <w:vAlign w:val="center"/>
          </w:tcPr>
          <w:p w14:paraId="385493A4" w14:textId="77777777" w:rsidR="00566805" w:rsidRPr="00E11169" w:rsidRDefault="0088381A">
            <w:pPr>
              <w:jc w:val="center"/>
              <w:rPr>
                <w:rFonts w:ascii="Palatino Linotype" w:eastAsia="Palatino Linotype" w:hAnsi="Palatino Linotype" w:cs="Palatino Linotype"/>
                <w:b/>
                <w:sz w:val="20"/>
                <w:szCs w:val="20"/>
              </w:rPr>
            </w:pPr>
            <w:r w:rsidRPr="00E11169">
              <w:rPr>
                <w:rFonts w:ascii="Palatino Linotype" w:eastAsia="Palatino Linotype" w:hAnsi="Palatino Linotype" w:cs="Palatino Linotype"/>
                <w:b/>
                <w:sz w:val="20"/>
                <w:szCs w:val="20"/>
              </w:rPr>
              <w:t>SI</w:t>
            </w:r>
          </w:p>
        </w:tc>
      </w:tr>
      <w:tr w:rsidR="00412F0E" w:rsidRPr="00E11169" w14:paraId="4ABDF470" w14:textId="77777777">
        <w:tc>
          <w:tcPr>
            <w:tcW w:w="2263" w:type="dxa"/>
            <w:vAlign w:val="center"/>
          </w:tcPr>
          <w:p w14:paraId="5E3959E3" w14:textId="77777777" w:rsidR="00566805" w:rsidRPr="00E11169" w:rsidRDefault="0088381A">
            <w:pPr>
              <w:widowControl w:val="0"/>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lastRenderedPageBreak/>
              <w:t>Fundamentación legal y motivación correspondiente</w:t>
            </w:r>
          </w:p>
        </w:tc>
        <w:tc>
          <w:tcPr>
            <w:tcW w:w="5245" w:type="dxa"/>
            <w:vAlign w:val="center"/>
          </w:tcPr>
          <w:p w14:paraId="593A37F3" w14:textId="77777777" w:rsidR="00566805" w:rsidRPr="00E11169" w:rsidRDefault="0088381A">
            <w:pPr>
              <w:jc w:val="center"/>
            </w:pPr>
            <w:r w:rsidRPr="00E11169">
              <w:rPr>
                <w:noProof/>
              </w:rPr>
              <w:drawing>
                <wp:inline distT="0" distB="0" distL="0" distR="0" wp14:anchorId="7FF1A297" wp14:editId="73F78758">
                  <wp:extent cx="3193415" cy="2677160"/>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93415" cy="2677160"/>
                          </a:xfrm>
                          <a:prstGeom prst="rect">
                            <a:avLst/>
                          </a:prstGeom>
                          <a:ln/>
                        </pic:spPr>
                      </pic:pic>
                    </a:graphicData>
                  </a:graphic>
                </wp:inline>
              </w:drawing>
            </w:r>
            <w:r w:rsidRPr="00E11169">
              <w:rPr>
                <w:rFonts w:ascii="Palatino Linotype" w:eastAsia="Palatino Linotype" w:hAnsi="Palatino Linotype" w:cs="Palatino Linotype"/>
                <w:noProof/>
              </w:rPr>
              <w:drawing>
                <wp:inline distT="0" distB="0" distL="0" distR="0" wp14:anchorId="7A102AFC" wp14:editId="594DF4AA">
                  <wp:extent cx="3193415" cy="79692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193415" cy="796925"/>
                          </a:xfrm>
                          <a:prstGeom prst="rect">
                            <a:avLst/>
                          </a:prstGeom>
                          <a:ln/>
                        </pic:spPr>
                      </pic:pic>
                    </a:graphicData>
                  </a:graphic>
                </wp:inline>
              </w:drawing>
            </w:r>
            <w:r w:rsidRPr="00E11169">
              <w:rPr>
                <w:rFonts w:ascii="Palatino Linotype" w:eastAsia="Palatino Linotype" w:hAnsi="Palatino Linotype" w:cs="Palatino Linotype"/>
                <w:noProof/>
              </w:rPr>
              <w:drawing>
                <wp:inline distT="0" distB="0" distL="0" distR="0" wp14:anchorId="1EB005FC" wp14:editId="61E2616C">
                  <wp:extent cx="3193415" cy="1442085"/>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193415" cy="1442085"/>
                          </a:xfrm>
                          <a:prstGeom prst="rect">
                            <a:avLst/>
                          </a:prstGeom>
                          <a:ln/>
                        </pic:spPr>
                      </pic:pic>
                    </a:graphicData>
                  </a:graphic>
                </wp:inline>
              </w:drawing>
            </w:r>
            <w:r w:rsidRPr="00E11169">
              <w:rPr>
                <w:rFonts w:ascii="Palatino Linotype" w:eastAsia="Palatino Linotype" w:hAnsi="Palatino Linotype" w:cs="Palatino Linotype"/>
                <w:noProof/>
              </w:rPr>
              <w:drawing>
                <wp:inline distT="0" distB="0" distL="0" distR="0" wp14:anchorId="44C05403" wp14:editId="2163C086">
                  <wp:extent cx="3193415" cy="19050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b="92896"/>
                          <a:stretch>
                            <a:fillRect/>
                          </a:stretch>
                        </pic:blipFill>
                        <pic:spPr>
                          <a:xfrm>
                            <a:off x="0" y="0"/>
                            <a:ext cx="3193415" cy="190500"/>
                          </a:xfrm>
                          <a:prstGeom prst="rect">
                            <a:avLst/>
                          </a:prstGeom>
                          <a:ln/>
                        </pic:spPr>
                      </pic:pic>
                    </a:graphicData>
                  </a:graphic>
                </wp:inline>
              </w:drawing>
            </w:r>
            <w:r w:rsidRPr="00E11169">
              <w:t xml:space="preserve"> </w:t>
            </w:r>
            <w:r w:rsidRPr="00E11169">
              <w:rPr>
                <w:noProof/>
              </w:rPr>
              <w:drawing>
                <wp:inline distT="0" distB="0" distL="0" distR="0" wp14:anchorId="0ADD8875" wp14:editId="6FC8B7AF">
                  <wp:extent cx="3193415" cy="767080"/>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71395"/>
                          <a:stretch>
                            <a:fillRect/>
                          </a:stretch>
                        </pic:blipFill>
                        <pic:spPr>
                          <a:xfrm>
                            <a:off x="0" y="0"/>
                            <a:ext cx="3193415" cy="767080"/>
                          </a:xfrm>
                          <a:prstGeom prst="rect">
                            <a:avLst/>
                          </a:prstGeom>
                          <a:ln/>
                        </pic:spPr>
                      </pic:pic>
                    </a:graphicData>
                  </a:graphic>
                </wp:inline>
              </w:drawing>
            </w:r>
          </w:p>
          <w:p w14:paraId="298140FE" w14:textId="77777777" w:rsidR="00566805" w:rsidRPr="00E11169" w:rsidRDefault="0088381A">
            <w:pPr>
              <w:jc w:val="center"/>
            </w:pPr>
            <w:r w:rsidRPr="00E11169">
              <w:rPr>
                <w:noProof/>
              </w:rPr>
              <w:drawing>
                <wp:inline distT="0" distB="0" distL="0" distR="0" wp14:anchorId="023BA3D9" wp14:editId="45096544">
                  <wp:extent cx="3193415" cy="718185"/>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193415" cy="718185"/>
                          </a:xfrm>
                          <a:prstGeom prst="rect">
                            <a:avLst/>
                          </a:prstGeom>
                          <a:ln/>
                        </pic:spPr>
                      </pic:pic>
                    </a:graphicData>
                  </a:graphic>
                </wp:inline>
              </w:drawing>
            </w:r>
          </w:p>
          <w:p w14:paraId="5EA71056" w14:textId="77777777" w:rsidR="00566805" w:rsidRPr="00E11169" w:rsidRDefault="0088381A">
            <w:pPr>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t>[Se transcriben]</w:t>
            </w:r>
          </w:p>
          <w:p w14:paraId="4A2A98B2" w14:textId="77777777" w:rsidR="00566805" w:rsidRPr="00E11169" w:rsidRDefault="0088381A">
            <w:pPr>
              <w:jc w:val="center"/>
            </w:pPr>
            <w:r w:rsidRPr="00E11169">
              <w:rPr>
                <w:noProof/>
              </w:rPr>
              <w:lastRenderedPageBreak/>
              <w:drawing>
                <wp:inline distT="0" distB="0" distL="0" distR="0" wp14:anchorId="147ECCB5" wp14:editId="5F7FEE8E">
                  <wp:extent cx="3193415" cy="20955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b="93359"/>
                          <a:stretch>
                            <a:fillRect/>
                          </a:stretch>
                        </pic:blipFill>
                        <pic:spPr>
                          <a:xfrm>
                            <a:off x="0" y="0"/>
                            <a:ext cx="3193415" cy="209550"/>
                          </a:xfrm>
                          <a:prstGeom prst="rect">
                            <a:avLst/>
                          </a:prstGeom>
                          <a:ln/>
                        </pic:spPr>
                      </pic:pic>
                    </a:graphicData>
                  </a:graphic>
                </wp:inline>
              </w:drawing>
            </w:r>
            <w:r w:rsidRPr="00E11169">
              <w:rPr>
                <w:noProof/>
              </w:rPr>
              <w:drawing>
                <wp:inline distT="0" distB="0" distL="0" distR="0" wp14:anchorId="49EF9D45" wp14:editId="08713830">
                  <wp:extent cx="3193415" cy="1221740"/>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t="61280"/>
                          <a:stretch>
                            <a:fillRect/>
                          </a:stretch>
                        </pic:blipFill>
                        <pic:spPr>
                          <a:xfrm>
                            <a:off x="0" y="0"/>
                            <a:ext cx="3193415" cy="1221740"/>
                          </a:xfrm>
                          <a:prstGeom prst="rect">
                            <a:avLst/>
                          </a:prstGeom>
                          <a:ln/>
                        </pic:spPr>
                      </pic:pic>
                    </a:graphicData>
                  </a:graphic>
                </wp:inline>
              </w:drawing>
            </w:r>
          </w:p>
          <w:p w14:paraId="5F30BC41" w14:textId="77777777" w:rsidR="00566805" w:rsidRPr="00E11169" w:rsidRDefault="00566805">
            <w:pPr>
              <w:rPr>
                <w:rFonts w:ascii="Palatino Linotype" w:eastAsia="Palatino Linotype" w:hAnsi="Palatino Linotype" w:cs="Palatino Linotype"/>
              </w:rPr>
            </w:pPr>
          </w:p>
        </w:tc>
        <w:tc>
          <w:tcPr>
            <w:tcW w:w="1320" w:type="dxa"/>
            <w:vAlign w:val="center"/>
          </w:tcPr>
          <w:p w14:paraId="6BB2F06A" w14:textId="77777777" w:rsidR="00566805" w:rsidRPr="00E11169" w:rsidRDefault="0088381A">
            <w:pPr>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b/>
                <w:sz w:val="20"/>
                <w:szCs w:val="20"/>
              </w:rPr>
              <w:lastRenderedPageBreak/>
              <w:t>SI</w:t>
            </w:r>
          </w:p>
        </w:tc>
      </w:tr>
      <w:tr w:rsidR="00412F0E" w:rsidRPr="00E11169" w14:paraId="6C913C86" w14:textId="77777777">
        <w:tc>
          <w:tcPr>
            <w:tcW w:w="2263" w:type="dxa"/>
            <w:vAlign w:val="center"/>
          </w:tcPr>
          <w:p w14:paraId="7457561C" w14:textId="77777777" w:rsidR="00566805" w:rsidRPr="00E11169" w:rsidRDefault="0088381A">
            <w:pPr>
              <w:widowControl w:val="0"/>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t>La resolución o resoluciones aprobadas</w:t>
            </w:r>
          </w:p>
        </w:tc>
        <w:tc>
          <w:tcPr>
            <w:tcW w:w="5245" w:type="dxa"/>
            <w:vAlign w:val="center"/>
          </w:tcPr>
          <w:p w14:paraId="558F5FD0" w14:textId="77777777" w:rsidR="00566805" w:rsidRPr="00E11169" w:rsidRDefault="0088381A">
            <w:pPr>
              <w:jc w:val="both"/>
            </w:pPr>
            <w:r w:rsidRPr="00E11169">
              <w:rPr>
                <w:noProof/>
              </w:rPr>
              <w:drawing>
                <wp:inline distT="0" distB="0" distL="0" distR="0" wp14:anchorId="7A852DED" wp14:editId="623FC88B">
                  <wp:extent cx="3193415" cy="989965"/>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193415" cy="989965"/>
                          </a:xfrm>
                          <a:prstGeom prst="rect">
                            <a:avLst/>
                          </a:prstGeom>
                          <a:ln/>
                        </pic:spPr>
                      </pic:pic>
                    </a:graphicData>
                  </a:graphic>
                </wp:inline>
              </w:drawing>
            </w:r>
          </w:p>
          <w:p w14:paraId="785BA146" w14:textId="77777777" w:rsidR="00566805" w:rsidRPr="00E11169" w:rsidRDefault="00566805">
            <w:pPr>
              <w:jc w:val="both"/>
            </w:pPr>
          </w:p>
          <w:p w14:paraId="6E46FE27" w14:textId="77777777" w:rsidR="00566805" w:rsidRPr="00E11169" w:rsidRDefault="0088381A">
            <w:pPr>
              <w:jc w:val="both"/>
            </w:pPr>
            <w:r w:rsidRPr="00E11169">
              <w:rPr>
                <w:noProof/>
              </w:rPr>
              <w:drawing>
                <wp:inline distT="0" distB="0" distL="0" distR="0" wp14:anchorId="43FD689E" wp14:editId="6BA3535B">
                  <wp:extent cx="3193415" cy="1132205"/>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193415" cy="1132205"/>
                          </a:xfrm>
                          <a:prstGeom prst="rect">
                            <a:avLst/>
                          </a:prstGeom>
                          <a:ln/>
                        </pic:spPr>
                      </pic:pic>
                    </a:graphicData>
                  </a:graphic>
                </wp:inline>
              </w:drawing>
            </w:r>
          </w:p>
          <w:p w14:paraId="34910499" w14:textId="77777777" w:rsidR="00566805" w:rsidRPr="00E11169" w:rsidRDefault="0088381A">
            <w:pPr>
              <w:jc w:val="both"/>
            </w:pPr>
            <w:r w:rsidRPr="00E11169">
              <w:rPr>
                <w:noProof/>
              </w:rPr>
              <w:drawing>
                <wp:inline distT="0" distB="0" distL="0" distR="0" wp14:anchorId="73C1C1B7" wp14:editId="6B318CD4">
                  <wp:extent cx="3193415" cy="1990725"/>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b="53998"/>
                          <a:stretch>
                            <a:fillRect/>
                          </a:stretch>
                        </pic:blipFill>
                        <pic:spPr>
                          <a:xfrm>
                            <a:off x="0" y="0"/>
                            <a:ext cx="3193415" cy="1990725"/>
                          </a:xfrm>
                          <a:prstGeom prst="rect">
                            <a:avLst/>
                          </a:prstGeom>
                          <a:ln/>
                        </pic:spPr>
                      </pic:pic>
                    </a:graphicData>
                  </a:graphic>
                </wp:inline>
              </w:drawing>
            </w:r>
          </w:p>
          <w:p w14:paraId="3A6A20BF" w14:textId="77777777" w:rsidR="00566805" w:rsidRPr="00E11169" w:rsidRDefault="0088381A">
            <w:pPr>
              <w:jc w:val="both"/>
            </w:pPr>
            <w:r w:rsidRPr="00E11169">
              <w:rPr>
                <w:noProof/>
              </w:rPr>
              <w:drawing>
                <wp:inline distT="0" distB="0" distL="0" distR="0" wp14:anchorId="66F48AE3" wp14:editId="4E8119A1">
                  <wp:extent cx="3193415" cy="727075"/>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t="83199"/>
                          <a:stretch>
                            <a:fillRect/>
                          </a:stretch>
                        </pic:blipFill>
                        <pic:spPr>
                          <a:xfrm>
                            <a:off x="0" y="0"/>
                            <a:ext cx="3193415" cy="727075"/>
                          </a:xfrm>
                          <a:prstGeom prst="rect">
                            <a:avLst/>
                          </a:prstGeom>
                          <a:ln/>
                        </pic:spPr>
                      </pic:pic>
                    </a:graphicData>
                  </a:graphic>
                </wp:inline>
              </w:drawing>
            </w:r>
          </w:p>
          <w:p w14:paraId="14771DF3" w14:textId="77777777" w:rsidR="00566805" w:rsidRPr="00E11169" w:rsidRDefault="00566805">
            <w:pPr>
              <w:jc w:val="both"/>
            </w:pPr>
          </w:p>
        </w:tc>
        <w:tc>
          <w:tcPr>
            <w:tcW w:w="1320" w:type="dxa"/>
            <w:vAlign w:val="center"/>
          </w:tcPr>
          <w:p w14:paraId="38C4AF98" w14:textId="77777777" w:rsidR="00566805" w:rsidRPr="00E11169" w:rsidRDefault="0088381A">
            <w:pPr>
              <w:jc w:val="center"/>
              <w:rPr>
                <w:rFonts w:ascii="Palatino Linotype" w:eastAsia="Palatino Linotype" w:hAnsi="Palatino Linotype" w:cs="Palatino Linotype"/>
                <w:sz w:val="18"/>
                <w:szCs w:val="18"/>
              </w:rPr>
            </w:pPr>
            <w:r w:rsidRPr="00E11169">
              <w:rPr>
                <w:rFonts w:ascii="Palatino Linotype" w:eastAsia="Palatino Linotype" w:hAnsi="Palatino Linotype" w:cs="Palatino Linotype"/>
                <w:b/>
                <w:sz w:val="20"/>
                <w:szCs w:val="20"/>
              </w:rPr>
              <w:t>SI</w:t>
            </w:r>
          </w:p>
        </w:tc>
      </w:tr>
      <w:tr w:rsidR="00412F0E" w:rsidRPr="00E11169" w14:paraId="7B775287" w14:textId="77777777">
        <w:tc>
          <w:tcPr>
            <w:tcW w:w="2263" w:type="dxa"/>
            <w:vAlign w:val="center"/>
          </w:tcPr>
          <w:p w14:paraId="1ACBC683" w14:textId="77777777" w:rsidR="00566805" w:rsidRPr="00E11169" w:rsidRDefault="0088381A">
            <w:pPr>
              <w:widowControl w:val="0"/>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t>Número de acuerdo emitido</w:t>
            </w:r>
          </w:p>
        </w:tc>
        <w:tc>
          <w:tcPr>
            <w:tcW w:w="5245" w:type="dxa"/>
            <w:vAlign w:val="center"/>
          </w:tcPr>
          <w:p w14:paraId="168B3D60" w14:textId="77777777" w:rsidR="00566805" w:rsidRPr="00E11169" w:rsidRDefault="0088381A">
            <w:pPr>
              <w:jc w:val="center"/>
              <w:rPr>
                <w:rFonts w:ascii="Palatino Linotype" w:eastAsia="Palatino Linotype" w:hAnsi="Palatino Linotype" w:cs="Palatino Linotype"/>
              </w:rPr>
            </w:pPr>
            <w:r w:rsidRPr="00E11169">
              <w:rPr>
                <w:rFonts w:ascii="Palatino Linotype" w:eastAsia="Palatino Linotype" w:hAnsi="Palatino Linotype" w:cs="Palatino Linotype"/>
                <w:noProof/>
                <w:sz w:val="20"/>
                <w:szCs w:val="20"/>
              </w:rPr>
              <w:drawing>
                <wp:inline distT="0" distB="0" distL="0" distR="0" wp14:anchorId="49C1164C" wp14:editId="0F812F2A">
                  <wp:extent cx="2819794" cy="314369"/>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819794" cy="314369"/>
                          </a:xfrm>
                          <a:prstGeom prst="rect">
                            <a:avLst/>
                          </a:prstGeom>
                          <a:ln/>
                        </pic:spPr>
                      </pic:pic>
                    </a:graphicData>
                  </a:graphic>
                </wp:inline>
              </w:drawing>
            </w:r>
          </w:p>
        </w:tc>
        <w:tc>
          <w:tcPr>
            <w:tcW w:w="1320" w:type="dxa"/>
            <w:vAlign w:val="center"/>
          </w:tcPr>
          <w:p w14:paraId="76BE3EAC" w14:textId="77777777" w:rsidR="00566805" w:rsidRPr="00E11169" w:rsidRDefault="0088381A">
            <w:pPr>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b/>
                <w:sz w:val="20"/>
                <w:szCs w:val="20"/>
              </w:rPr>
              <w:t>SI</w:t>
            </w:r>
          </w:p>
        </w:tc>
      </w:tr>
      <w:tr w:rsidR="00412F0E" w:rsidRPr="00E11169" w14:paraId="2FD4BE38" w14:textId="77777777">
        <w:tc>
          <w:tcPr>
            <w:tcW w:w="2263" w:type="dxa"/>
            <w:vAlign w:val="center"/>
          </w:tcPr>
          <w:p w14:paraId="2BA60399" w14:textId="77777777" w:rsidR="00566805" w:rsidRPr="00E11169" w:rsidRDefault="0088381A">
            <w:pPr>
              <w:widowControl w:val="0"/>
              <w:jc w:val="center"/>
              <w:rPr>
                <w:rFonts w:ascii="Palatino Linotype" w:eastAsia="Palatino Linotype" w:hAnsi="Palatino Linotype" w:cs="Palatino Linotype"/>
                <w:sz w:val="20"/>
                <w:szCs w:val="20"/>
              </w:rPr>
            </w:pPr>
            <w:r w:rsidRPr="00E11169">
              <w:rPr>
                <w:rFonts w:ascii="Palatino Linotype" w:eastAsia="Palatino Linotype" w:hAnsi="Palatino Linotype" w:cs="Palatino Linotype"/>
                <w:sz w:val="20"/>
                <w:szCs w:val="20"/>
              </w:rPr>
              <w:lastRenderedPageBreak/>
              <w:t>La rúbrica o firma digital de cada integrante del Comité de Transparencia</w:t>
            </w:r>
          </w:p>
        </w:tc>
        <w:tc>
          <w:tcPr>
            <w:tcW w:w="5245" w:type="dxa"/>
            <w:vAlign w:val="center"/>
          </w:tcPr>
          <w:p w14:paraId="1AE4D67B" w14:textId="77777777" w:rsidR="00566805" w:rsidRPr="00E11169" w:rsidRDefault="0088381A">
            <w:pPr>
              <w:jc w:val="center"/>
            </w:pPr>
            <w:r w:rsidRPr="00E11169">
              <w:rPr>
                <w:noProof/>
              </w:rPr>
              <w:drawing>
                <wp:inline distT="0" distB="0" distL="0" distR="0" wp14:anchorId="69FB11A8" wp14:editId="5FE14B19">
                  <wp:extent cx="3193415" cy="224409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193415" cy="2244090"/>
                          </a:xfrm>
                          <a:prstGeom prst="rect">
                            <a:avLst/>
                          </a:prstGeom>
                          <a:ln/>
                        </pic:spPr>
                      </pic:pic>
                    </a:graphicData>
                  </a:graphic>
                </wp:inline>
              </w:drawing>
            </w:r>
          </w:p>
          <w:p w14:paraId="5804F49D" w14:textId="77777777" w:rsidR="00566805" w:rsidRPr="00E11169" w:rsidRDefault="00566805"/>
        </w:tc>
        <w:tc>
          <w:tcPr>
            <w:tcW w:w="1320" w:type="dxa"/>
            <w:vAlign w:val="center"/>
          </w:tcPr>
          <w:p w14:paraId="51291342" w14:textId="77777777" w:rsidR="00566805" w:rsidRPr="00E11169" w:rsidRDefault="0088381A">
            <w:pPr>
              <w:jc w:val="center"/>
              <w:rPr>
                <w:rFonts w:ascii="Palatino Linotype" w:eastAsia="Palatino Linotype" w:hAnsi="Palatino Linotype" w:cs="Palatino Linotype"/>
                <w:b/>
                <w:sz w:val="20"/>
                <w:szCs w:val="20"/>
              </w:rPr>
            </w:pPr>
            <w:r w:rsidRPr="00E11169">
              <w:rPr>
                <w:rFonts w:ascii="Palatino Linotype" w:eastAsia="Palatino Linotype" w:hAnsi="Palatino Linotype" w:cs="Palatino Linotype"/>
                <w:b/>
                <w:sz w:val="20"/>
                <w:szCs w:val="20"/>
              </w:rPr>
              <w:t>SI</w:t>
            </w:r>
          </w:p>
        </w:tc>
      </w:tr>
    </w:tbl>
    <w:p w14:paraId="79B7C7A0" w14:textId="5BF21DFE" w:rsidR="00401827"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Como se logra vislumbrar, el acuerdo mediante el cual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clasificó como confidencial en su totalidad</w:t>
      </w:r>
      <w:r w:rsidR="005B2753" w:rsidRPr="00E11169">
        <w:rPr>
          <w:rFonts w:ascii="Palatino Linotype" w:eastAsia="Palatino Linotype" w:hAnsi="Palatino Linotype" w:cs="Palatino Linotype"/>
        </w:rPr>
        <w:t xml:space="preserve"> la información relativa a las</w:t>
      </w:r>
      <w:r w:rsidRPr="00E11169">
        <w:rPr>
          <w:rFonts w:ascii="Palatino Linotype" w:eastAsia="Palatino Linotype" w:hAnsi="Palatino Linotype" w:cs="Palatino Linotype"/>
        </w:rPr>
        <w:t xml:space="preserve"> Declaraciones Patrimoniales y de Intereses por Alta del año 2016, por Anualidad del año 2017, Inicial del año 2018 y por Conclusión del año 2018, cumple con la totalidad de los elementos que la normativita estipula,</w:t>
      </w:r>
      <w:r w:rsidR="005B2753" w:rsidRPr="00E11169">
        <w:rPr>
          <w:rFonts w:ascii="Palatino Linotype" w:eastAsia="Palatino Linotype" w:hAnsi="Palatino Linotype" w:cs="Palatino Linotype"/>
        </w:rPr>
        <w:t xml:space="preserve"> al </w:t>
      </w:r>
      <w:r w:rsidRPr="00E11169">
        <w:rPr>
          <w:rFonts w:ascii="Palatino Linotype" w:eastAsia="Palatino Linotype" w:hAnsi="Palatino Linotype" w:cs="Palatino Linotype"/>
        </w:rPr>
        <w:t xml:space="preserve"> </w:t>
      </w:r>
      <w:r w:rsidR="005B2753" w:rsidRPr="00E11169">
        <w:rPr>
          <w:rFonts w:ascii="Palatino Linotype" w:eastAsia="Palatino Linotype" w:hAnsi="Palatino Linotype" w:cs="Palatino Linotype"/>
        </w:rPr>
        <w:t xml:space="preserve">contener </w:t>
      </w:r>
      <w:r w:rsidR="00401827" w:rsidRPr="00E11169">
        <w:rPr>
          <w:rFonts w:ascii="Palatino Linotype" w:eastAsia="Palatino Linotype" w:hAnsi="Palatino Linotype" w:cs="Palatino Linotype"/>
        </w:rPr>
        <w:t>el número y fecha de la sesión, siendo esta la Tercera Sesión Extraordinaria del Comité de Transparencia, celebrada el diez de febrero de dos mil veinticinco; hace referencia a la Subdirección de Responsabilidades Administrativas como el área que solicitó la clasificación; a</w:t>
      </w:r>
      <w:r w:rsidRPr="00E11169">
        <w:rPr>
          <w:rFonts w:ascii="Palatino Linotype" w:eastAsia="Palatino Linotype" w:hAnsi="Palatino Linotype" w:cs="Palatino Linotype"/>
        </w:rPr>
        <w:t xml:space="preserve">simismo, a través de la Resolución se exponen de manera fundada y motivada las razones por las cuales </w:t>
      </w:r>
      <w:r w:rsidR="00401827" w:rsidRPr="00E11169">
        <w:rPr>
          <w:rFonts w:ascii="Palatino Linotype" w:eastAsia="Palatino Linotype" w:hAnsi="Palatino Linotype" w:cs="Palatino Linotype"/>
        </w:rPr>
        <w:t xml:space="preserve">la información </w:t>
      </w:r>
      <w:r w:rsidRPr="00E11169">
        <w:rPr>
          <w:rFonts w:ascii="Palatino Linotype" w:eastAsia="Palatino Linotype" w:hAnsi="Palatino Linotype" w:cs="Palatino Linotype"/>
        </w:rPr>
        <w:t>reviste el carácter de confidencial, toda vez que se señalan los artículos y fracción que expresamente le otorga dicho carácter, y de igual forma señala las razones o circunstancias especiales que llevaron a concluir que el caso particular se ajusta al supuesto previsto por la norma</w:t>
      </w:r>
      <w:r w:rsidR="00401827" w:rsidRPr="00E11169">
        <w:rPr>
          <w:rFonts w:ascii="Palatino Linotype" w:eastAsia="Palatino Linotype" w:hAnsi="Palatino Linotype" w:cs="Palatino Linotype"/>
        </w:rPr>
        <w:t xml:space="preserve"> legal invocada como fundamento; contiene la resolución aprobada y el número del acuerdo del Comité de Transparencia aprobó la clasificación de la información como confidencial, y, finalmente, se advierte la firma de los servidores públicos que </w:t>
      </w:r>
      <w:r w:rsidR="00401827" w:rsidRPr="00E11169">
        <w:rPr>
          <w:rFonts w:ascii="Palatino Linotype" w:eastAsia="Palatino Linotype" w:hAnsi="Palatino Linotype" w:cs="Palatino Linotype"/>
        </w:rPr>
        <w:lastRenderedPageBreak/>
        <w:t>integran el Comité de Transparencia, así como de la persona servidora pública encargada de la protección de datos personales al tratarse de una cuestión relacionada con dicha materia, en términos del artículo 46, párrafos primero y segundo de la Ley de Transparencia y Acceso a la Información Pública del Estado de México y Municipios, a saber:</w:t>
      </w:r>
    </w:p>
    <w:p w14:paraId="223AD090" w14:textId="76A26712" w:rsidR="00401827" w:rsidRPr="00E11169" w:rsidRDefault="00401827" w:rsidP="00401827">
      <w:pPr>
        <w:spacing w:before="120" w:after="120"/>
        <w:ind w:left="851" w:right="902"/>
        <w:jc w:val="both"/>
        <w:rPr>
          <w:rFonts w:ascii="Palatino Linotype" w:hAnsi="Palatino Linotype"/>
          <w:i/>
          <w:sz w:val="22"/>
        </w:rPr>
      </w:pPr>
      <w:r w:rsidRPr="00E11169">
        <w:rPr>
          <w:rFonts w:ascii="Palatino Linotype" w:hAnsi="Palatino Linotype"/>
          <w:b/>
          <w:i/>
          <w:sz w:val="22"/>
        </w:rPr>
        <w:t>“Artículo 46.</w:t>
      </w:r>
      <w:r w:rsidRPr="00E11169">
        <w:rPr>
          <w:rFonts w:ascii="Palatino Linotype" w:hAnsi="Palatino Linotype"/>
          <w:i/>
          <w:sz w:val="22"/>
        </w:rPr>
        <w:t xml:space="preserve"> Los sujetos obligados integrarán sus Comités de Transparencia de la siguiente forma:</w:t>
      </w:r>
    </w:p>
    <w:p w14:paraId="2163293F" w14:textId="77777777" w:rsidR="00401827" w:rsidRPr="00E11169" w:rsidRDefault="00401827" w:rsidP="00401827">
      <w:pPr>
        <w:spacing w:before="120" w:after="120"/>
        <w:ind w:left="1134" w:right="902"/>
        <w:jc w:val="both"/>
        <w:rPr>
          <w:rFonts w:ascii="Palatino Linotype" w:hAnsi="Palatino Linotype"/>
          <w:i/>
          <w:sz w:val="22"/>
        </w:rPr>
      </w:pPr>
      <w:r w:rsidRPr="00E11169">
        <w:rPr>
          <w:rFonts w:ascii="Palatino Linotype" w:hAnsi="Palatino Linotype"/>
          <w:b/>
          <w:i/>
          <w:sz w:val="22"/>
        </w:rPr>
        <w:t>I</w:t>
      </w:r>
      <w:r w:rsidRPr="00E11169">
        <w:rPr>
          <w:rFonts w:ascii="Palatino Linotype" w:hAnsi="Palatino Linotype"/>
          <w:i/>
          <w:sz w:val="22"/>
        </w:rPr>
        <w:t xml:space="preserve">. El titular de la unidad de transparencia; </w:t>
      </w:r>
    </w:p>
    <w:p w14:paraId="14F37069" w14:textId="77777777" w:rsidR="00401827" w:rsidRPr="00E11169" w:rsidRDefault="00401827" w:rsidP="00401827">
      <w:pPr>
        <w:spacing w:before="120" w:after="120"/>
        <w:ind w:left="1134" w:right="902"/>
        <w:jc w:val="both"/>
        <w:rPr>
          <w:rFonts w:ascii="Palatino Linotype" w:hAnsi="Palatino Linotype"/>
          <w:i/>
          <w:sz w:val="22"/>
        </w:rPr>
      </w:pPr>
      <w:r w:rsidRPr="00E11169">
        <w:rPr>
          <w:rFonts w:ascii="Palatino Linotype" w:hAnsi="Palatino Linotype"/>
          <w:b/>
          <w:i/>
          <w:sz w:val="22"/>
        </w:rPr>
        <w:t>II</w:t>
      </w:r>
      <w:r w:rsidRPr="00E11169">
        <w:rPr>
          <w:rFonts w:ascii="Palatino Linotype" w:hAnsi="Palatino Linotype"/>
          <w:i/>
          <w:sz w:val="22"/>
        </w:rPr>
        <w:t>. El responsable del área coordinadora de archivos o equivalente; y</w:t>
      </w:r>
    </w:p>
    <w:p w14:paraId="67700A5A" w14:textId="77777777" w:rsidR="00401827" w:rsidRPr="00E11169" w:rsidRDefault="00401827" w:rsidP="00401827">
      <w:pPr>
        <w:spacing w:before="120" w:after="120"/>
        <w:ind w:left="1134" w:right="902"/>
        <w:jc w:val="both"/>
        <w:rPr>
          <w:rFonts w:ascii="Palatino Linotype" w:eastAsia="Palatino Linotype" w:hAnsi="Palatino Linotype" w:cs="Palatino Linotype"/>
          <w:i/>
          <w:sz w:val="22"/>
        </w:rPr>
      </w:pPr>
      <w:r w:rsidRPr="00E11169">
        <w:rPr>
          <w:rFonts w:ascii="Palatino Linotype" w:hAnsi="Palatino Linotype"/>
          <w:b/>
          <w:i/>
          <w:sz w:val="22"/>
        </w:rPr>
        <w:t>III</w:t>
      </w:r>
      <w:r w:rsidRPr="00E11169">
        <w:rPr>
          <w:rFonts w:ascii="Palatino Linotype" w:hAnsi="Palatino Linotype"/>
          <w:i/>
          <w:sz w:val="22"/>
        </w:rPr>
        <w:t xml:space="preserve">. El titular del órgano de control interno o equivalente. </w:t>
      </w:r>
    </w:p>
    <w:p w14:paraId="727586E4" w14:textId="504A0353" w:rsidR="00401827" w:rsidRPr="00E11169" w:rsidRDefault="00401827" w:rsidP="00401827">
      <w:pPr>
        <w:spacing w:before="120" w:after="120"/>
        <w:ind w:left="851" w:right="902"/>
        <w:jc w:val="both"/>
        <w:rPr>
          <w:rFonts w:ascii="Palatino Linotype" w:eastAsia="Palatino Linotype" w:hAnsi="Palatino Linotype" w:cs="Palatino Linotype"/>
          <w:i/>
          <w:sz w:val="22"/>
        </w:rPr>
      </w:pPr>
      <w:r w:rsidRPr="00E11169">
        <w:rPr>
          <w:rFonts w:ascii="Palatino Linotype" w:hAnsi="Palatino Linotype"/>
          <w:i/>
          <w:sz w:val="22"/>
        </w:rPr>
        <w:t>También estará integrado por el servidor público encargado de la protección de los datos personales cuando sesione para cuestiones relacionadas con esta materia.”</w:t>
      </w:r>
    </w:p>
    <w:p w14:paraId="75A57AE7"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 xml:space="preserve">Derivado de lo expuesto, se concluye que los motivos de inconformidad de la parte </w:t>
      </w:r>
      <w:r w:rsidRPr="00E11169">
        <w:rPr>
          <w:rFonts w:ascii="Palatino Linotype" w:eastAsia="Palatino Linotype" w:hAnsi="Palatino Linotype" w:cs="Palatino Linotype"/>
          <w:b/>
        </w:rPr>
        <w:t xml:space="preserve">Recurrente </w:t>
      </w:r>
      <w:r w:rsidRPr="00E11169">
        <w:rPr>
          <w:rFonts w:ascii="Palatino Linotype" w:eastAsia="Palatino Linotype" w:hAnsi="Palatino Linotype" w:cs="Palatino Linotype"/>
        </w:rPr>
        <w:t xml:space="preserve">devienen infundados, siendo procedente </w:t>
      </w:r>
      <w:r w:rsidRPr="00E11169">
        <w:rPr>
          <w:rFonts w:ascii="Palatino Linotype" w:eastAsia="Palatino Linotype" w:hAnsi="Palatino Linotype" w:cs="Palatino Linotype"/>
          <w:i/>
        </w:rPr>
        <w:t xml:space="preserve">Confirmar </w:t>
      </w:r>
      <w:r w:rsidRPr="00E11169">
        <w:rPr>
          <w:rFonts w:ascii="Palatino Linotype" w:eastAsia="Palatino Linotype" w:hAnsi="Palatino Linotype" w:cs="Palatino Linotype"/>
        </w:rPr>
        <w:t xml:space="preserve">la respuesta proporcionada por el </w:t>
      </w:r>
      <w:r w:rsidRPr="00E11169">
        <w:rPr>
          <w:rFonts w:ascii="Palatino Linotype" w:eastAsia="Palatino Linotype" w:hAnsi="Palatino Linotype" w:cs="Palatino Linotype"/>
          <w:b/>
        </w:rPr>
        <w:t xml:space="preserve">Sujeto Obligado </w:t>
      </w:r>
      <w:r w:rsidRPr="00E11169">
        <w:rPr>
          <w:rFonts w:ascii="Palatino Linotype" w:eastAsia="Palatino Linotype" w:hAnsi="Palatino Linotype" w:cs="Palatino Linotype"/>
        </w:rPr>
        <w:t>en términos del artículo 186, fracción II de la Ley de Transparencia y Acceso a la Información Pública del Estado de México y Municipios.</w:t>
      </w:r>
    </w:p>
    <w:p w14:paraId="6868F06B" w14:textId="77777777" w:rsidR="00566805" w:rsidRPr="00E11169" w:rsidRDefault="0088381A">
      <w:pPr>
        <w:spacing w:before="240" w:after="240" w:line="360" w:lineRule="auto"/>
        <w:ind w:right="49"/>
        <w:jc w:val="both"/>
        <w:rPr>
          <w:rFonts w:ascii="Palatino Linotype" w:eastAsia="Palatino Linotype" w:hAnsi="Palatino Linotype" w:cs="Palatino Linotype"/>
        </w:rPr>
      </w:pPr>
      <w:r w:rsidRPr="00E11169">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5470BC5A" w14:textId="77777777" w:rsidR="00485D44" w:rsidRPr="00E11169" w:rsidRDefault="00485D44">
      <w:pPr>
        <w:spacing w:before="240" w:after="240" w:line="360" w:lineRule="auto"/>
        <w:ind w:right="49"/>
        <w:jc w:val="both"/>
        <w:rPr>
          <w:rFonts w:ascii="Palatino Linotype" w:eastAsia="Palatino Linotype" w:hAnsi="Palatino Linotype" w:cs="Palatino Linotype"/>
        </w:rPr>
      </w:pPr>
    </w:p>
    <w:p w14:paraId="1CDC267E" w14:textId="77777777" w:rsidR="00566805" w:rsidRPr="00E11169" w:rsidRDefault="0088381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11169">
        <w:rPr>
          <w:rFonts w:ascii="Palatino Linotype" w:eastAsia="Palatino Linotype" w:hAnsi="Palatino Linotype" w:cs="Palatino Linotype"/>
          <w:b/>
        </w:rPr>
        <w:lastRenderedPageBreak/>
        <w:t>III. R E S U E L V E</w:t>
      </w:r>
    </w:p>
    <w:p w14:paraId="44BD7FA6"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E11169">
        <w:rPr>
          <w:rFonts w:ascii="Palatino Linotype" w:eastAsia="Palatino Linotype" w:hAnsi="Palatino Linotype" w:cs="Palatino Linotype"/>
          <w:b/>
        </w:rPr>
        <w:t xml:space="preserve">Primero. </w:t>
      </w:r>
      <w:r w:rsidRPr="00E11169">
        <w:rPr>
          <w:rFonts w:ascii="Palatino Linotype" w:eastAsia="Palatino Linotype" w:hAnsi="Palatino Linotype" w:cs="Palatino Linotype"/>
        </w:rPr>
        <w:t xml:space="preserve">Son </w:t>
      </w:r>
      <w:r w:rsidRPr="00E11169">
        <w:rPr>
          <w:rFonts w:ascii="Palatino Linotype" w:eastAsia="Palatino Linotype" w:hAnsi="Palatino Linotype" w:cs="Palatino Linotype"/>
          <w:b/>
        </w:rPr>
        <w:t>infundadas</w:t>
      </w:r>
      <w:r w:rsidRPr="00E11169">
        <w:rPr>
          <w:rFonts w:ascii="Palatino Linotype" w:eastAsia="Palatino Linotype" w:hAnsi="Palatino Linotype" w:cs="Palatino Linotype"/>
        </w:rPr>
        <w:t xml:space="preserve"> las razones o motivos de inconformidad hechos valer por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en el recurso de revisión </w:t>
      </w:r>
      <w:r w:rsidRPr="00E11169">
        <w:rPr>
          <w:rFonts w:ascii="Palatino Linotype" w:eastAsia="Palatino Linotype" w:hAnsi="Palatino Linotype" w:cs="Palatino Linotype"/>
          <w:b/>
        </w:rPr>
        <w:t>02029/INFOEM/IP/RR/2025</w:t>
      </w:r>
      <w:r w:rsidRPr="00E11169">
        <w:rPr>
          <w:rFonts w:ascii="Palatino Linotype" w:eastAsia="Palatino Linotype" w:hAnsi="Palatino Linotype" w:cs="Palatino Linotype"/>
        </w:rPr>
        <w:t xml:space="preserve">, por lo que, en términos de los argumentos de derecho señalados en el considerando </w:t>
      </w:r>
      <w:r w:rsidRPr="00E11169">
        <w:rPr>
          <w:rFonts w:ascii="Palatino Linotype" w:eastAsia="Palatino Linotype" w:hAnsi="Palatino Linotype" w:cs="Palatino Linotype"/>
          <w:b/>
        </w:rPr>
        <w:t>Cuarto</w:t>
      </w:r>
      <w:r w:rsidRPr="00E11169">
        <w:rPr>
          <w:rFonts w:ascii="Palatino Linotype" w:eastAsia="Palatino Linotype" w:hAnsi="Palatino Linotype" w:cs="Palatino Linotype"/>
        </w:rPr>
        <w:t>, se</w:t>
      </w:r>
      <w:r w:rsidRPr="00E11169">
        <w:rPr>
          <w:rFonts w:ascii="Palatino Linotype" w:eastAsia="Palatino Linotype" w:hAnsi="Palatino Linotype" w:cs="Palatino Linotype"/>
          <w:b/>
        </w:rPr>
        <w:t xml:space="preserve"> Confirma </w:t>
      </w:r>
      <w:r w:rsidRPr="00E11169">
        <w:rPr>
          <w:rFonts w:ascii="Palatino Linotype" w:eastAsia="Palatino Linotype" w:hAnsi="Palatino Linotype" w:cs="Palatino Linotype"/>
        </w:rPr>
        <w:t xml:space="preserve">la respuesta del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w:t>
      </w:r>
    </w:p>
    <w:p w14:paraId="34D6CEE9" w14:textId="77777777" w:rsidR="00566805" w:rsidRPr="00E11169" w:rsidRDefault="0088381A">
      <w:pPr>
        <w:spacing w:before="240" w:after="240" w:line="360" w:lineRule="auto"/>
        <w:jc w:val="both"/>
        <w:rPr>
          <w:rFonts w:ascii="Palatino Linotype" w:eastAsia="Palatino Linotype" w:hAnsi="Palatino Linotype" w:cs="Palatino Linotype"/>
        </w:rPr>
      </w:pPr>
      <w:r w:rsidRPr="00E11169">
        <w:rPr>
          <w:rFonts w:ascii="Palatino Linotype" w:eastAsia="Palatino Linotype" w:hAnsi="Palatino Linotype" w:cs="Palatino Linotype"/>
          <w:b/>
        </w:rPr>
        <w:t xml:space="preserve">Segundo. Notifíquese, </w:t>
      </w:r>
      <w:r w:rsidRPr="00E11169">
        <w:rPr>
          <w:rFonts w:ascii="Palatino Linotype" w:eastAsia="Palatino Linotype" w:hAnsi="Palatino Linotype" w:cs="Palatino Linotype"/>
        </w:rPr>
        <w:t xml:space="preserve">vía </w:t>
      </w:r>
      <w:r w:rsidRPr="00E11169">
        <w:rPr>
          <w:rFonts w:ascii="Palatino Linotype" w:eastAsia="Palatino Linotype" w:hAnsi="Palatino Linotype" w:cs="Palatino Linotype"/>
          <w:b/>
        </w:rPr>
        <w:t xml:space="preserve">SAIMEX, </w:t>
      </w:r>
      <w:r w:rsidRPr="00E11169">
        <w:rPr>
          <w:rFonts w:ascii="Palatino Linotype" w:eastAsia="Palatino Linotype" w:hAnsi="Palatino Linotype" w:cs="Palatino Linotype"/>
        </w:rPr>
        <w:t xml:space="preserve">al Titular de la Unidad de Transparencia del </w:t>
      </w:r>
      <w:r w:rsidRPr="00E11169">
        <w:rPr>
          <w:rFonts w:ascii="Palatino Linotype" w:eastAsia="Palatino Linotype" w:hAnsi="Palatino Linotype" w:cs="Palatino Linotype"/>
          <w:b/>
        </w:rPr>
        <w:t>Sujeto Obligado</w:t>
      </w:r>
      <w:r w:rsidRPr="00E11169">
        <w:rPr>
          <w:rFonts w:ascii="Palatino Linotype" w:eastAsia="Palatino Linotype" w:hAnsi="Palatino Linotype" w:cs="Palatino Linotype"/>
        </w:rPr>
        <w:t xml:space="preserve"> para su conocimiento, la presente resolución.</w:t>
      </w:r>
    </w:p>
    <w:p w14:paraId="2FCC7EB0" w14:textId="77777777" w:rsidR="00566805" w:rsidRPr="00E11169" w:rsidRDefault="0088381A">
      <w:pPr>
        <w:spacing w:before="240" w:after="240" w:line="360" w:lineRule="auto"/>
        <w:jc w:val="both"/>
        <w:rPr>
          <w:rFonts w:ascii="Palatino Linotype" w:eastAsia="Palatino Linotype" w:hAnsi="Palatino Linotype" w:cs="Palatino Linotype"/>
        </w:rPr>
      </w:pPr>
      <w:bookmarkStart w:id="9" w:name="_heading=h.lnxbz9" w:colFirst="0" w:colLast="0"/>
      <w:bookmarkEnd w:id="9"/>
      <w:r w:rsidRPr="00E11169">
        <w:rPr>
          <w:rFonts w:ascii="Palatino Linotype" w:eastAsia="Palatino Linotype" w:hAnsi="Palatino Linotype" w:cs="Palatino Linotype"/>
          <w:b/>
        </w:rPr>
        <w:t xml:space="preserve">Tercero.  Notifíquese, </w:t>
      </w:r>
      <w:r w:rsidRPr="00E11169">
        <w:rPr>
          <w:rFonts w:ascii="Palatino Linotype" w:eastAsia="Palatino Linotype" w:hAnsi="Palatino Linotype" w:cs="Palatino Linotype"/>
        </w:rPr>
        <w:t xml:space="preserve">vía </w:t>
      </w:r>
      <w:r w:rsidRPr="00E11169">
        <w:rPr>
          <w:rFonts w:ascii="Palatino Linotype" w:eastAsia="Palatino Linotype" w:hAnsi="Palatino Linotype" w:cs="Palatino Linotype"/>
          <w:b/>
        </w:rPr>
        <w:t xml:space="preserve">SAIMEX, </w:t>
      </w:r>
      <w:r w:rsidRPr="00E11169">
        <w:rPr>
          <w:rFonts w:ascii="Palatino Linotype" w:eastAsia="Palatino Linotype" w:hAnsi="Palatino Linotype" w:cs="Palatino Linotype"/>
        </w:rPr>
        <w:t xml:space="preserve">a la parte </w:t>
      </w:r>
      <w:r w:rsidRPr="00E11169">
        <w:rPr>
          <w:rFonts w:ascii="Palatino Linotype" w:eastAsia="Palatino Linotype" w:hAnsi="Palatino Linotype" w:cs="Palatino Linotype"/>
          <w:b/>
        </w:rPr>
        <w:t>Recurrente</w:t>
      </w:r>
      <w:r w:rsidRPr="00E1116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324E8B3" w14:textId="08B92BD1" w:rsidR="00566805" w:rsidRPr="00412F0E" w:rsidRDefault="0088381A">
      <w:pPr>
        <w:tabs>
          <w:tab w:val="left" w:pos="8647"/>
        </w:tabs>
        <w:spacing w:before="240" w:after="240" w:line="360" w:lineRule="auto"/>
        <w:ind w:right="51"/>
        <w:jc w:val="both"/>
        <w:rPr>
          <w:rFonts w:ascii="Palatino Linotype" w:eastAsia="Palatino Linotype" w:hAnsi="Palatino Linotype" w:cs="Palatino Linotype"/>
        </w:rPr>
      </w:pPr>
      <w:bookmarkStart w:id="10" w:name="_heading=h.iixuhr37v0sa" w:colFirst="0" w:colLast="0"/>
      <w:bookmarkEnd w:id="10"/>
      <w:r w:rsidRPr="00E11169">
        <w:rPr>
          <w:rFonts w:ascii="Palatino Linotype" w:eastAsia="Palatino Linotype" w:hAnsi="Palatino Linotype" w:cs="Palatino Linotype"/>
        </w:rPr>
        <w:t xml:space="preserve">ASÍ LO RESUELVE, POR </w:t>
      </w:r>
      <w:r w:rsidR="007B4F91" w:rsidRPr="00E11169">
        <w:rPr>
          <w:rFonts w:ascii="Palatino Linotype" w:eastAsia="Palatino Linotype" w:hAnsi="Palatino Linotype" w:cs="Palatino Linotype"/>
        </w:rPr>
        <w:t xml:space="preserve">MAYORÍA </w:t>
      </w:r>
      <w:r w:rsidRPr="00E11169">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B4F91" w:rsidRPr="00E11169">
        <w:rPr>
          <w:rFonts w:ascii="Palatino Linotype" w:eastAsia="Palatino Linotype" w:hAnsi="Palatino Linotype" w:cs="Palatino Linotype"/>
        </w:rPr>
        <w:t xml:space="preserve"> </w:t>
      </w:r>
      <w:r w:rsidR="0099193A" w:rsidRPr="00E11169">
        <w:rPr>
          <w:rFonts w:ascii="Palatino Linotype" w:eastAsia="Palatino Linotype" w:hAnsi="Palatino Linotype" w:cs="Palatino Linotype"/>
        </w:rPr>
        <w:t>(EMITIEDO VOTO DISIDENTE),</w:t>
      </w:r>
      <w:r w:rsidRPr="00E11169">
        <w:rPr>
          <w:rFonts w:ascii="Palatino Linotype" w:eastAsia="Palatino Linotype" w:hAnsi="Palatino Linotype" w:cs="Palatino Linotype"/>
        </w:rPr>
        <w:t xml:space="preserve"> Y GUADALUPE RAMÍREZ PEÑA, EN LA DÉCIMA QUINTA SESIÓN ORDINARIA CELEBRADA EL TREINTA DE ABRIL DE DOS MIL VEINTICINCO, ANTE EL SECRETARIO TÉCNICO DEL PLENO ALEXIS TAPIA RAMÍREZ.</w:t>
      </w:r>
    </w:p>
    <w:p w14:paraId="49FFEECC" w14:textId="77777777" w:rsidR="00566805" w:rsidRPr="00412F0E" w:rsidRDefault="00566805">
      <w:pPr>
        <w:spacing w:line="360" w:lineRule="auto"/>
        <w:jc w:val="both"/>
        <w:rPr>
          <w:rFonts w:ascii="Palatino Linotype" w:eastAsia="Palatino Linotype" w:hAnsi="Palatino Linotype" w:cs="Palatino Linotype"/>
        </w:rPr>
      </w:pPr>
    </w:p>
    <w:p w14:paraId="7A78E4CB" w14:textId="77777777" w:rsidR="00566805" w:rsidRPr="00412F0E" w:rsidRDefault="00566805">
      <w:pPr>
        <w:spacing w:line="360" w:lineRule="auto"/>
        <w:jc w:val="center"/>
        <w:rPr>
          <w:rFonts w:ascii="Palatino Linotype" w:eastAsia="Palatino Linotype" w:hAnsi="Palatino Linotype" w:cs="Palatino Linotype"/>
        </w:rPr>
      </w:pPr>
    </w:p>
    <w:p w14:paraId="0AEE340A" w14:textId="77777777" w:rsidR="00566805" w:rsidRPr="00412F0E" w:rsidRDefault="00566805">
      <w:pPr>
        <w:spacing w:line="360" w:lineRule="auto"/>
        <w:jc w:val="both"/>
        <w:rPr>
          <w:rFonts w:ascii="Palatino Linotype" w:eastAsia="Palatino Linotype" w:hAnsi="Palatino Linotype" w:cs="Palatino Linotype"/>
        </w:rPr>
      </w:pPr>
    </w:p>
    <w:p w14:paraId="6F4F1382" w14:textId="77777777" w:rsidR="00566805" w:rsidRPr="00412F0E" w:rsidRDefault="00566805">
      <w:pPr>
        <w:spacing w:line="360" w:lineRule="auto"/>
        <w:jc w:val="both"/>
        <w:rPr>
          <w:rFonts w:ascii="Palatino Linotype" w:eastAsia="Palatino Linotype" w:hAnsi="Palatino Linotype" w:cs="Palatino Linotype"/>
        </w:rPr>
      </w:pPr>
    </w:p>
    <w:p w14:paraId="47AC650D" w14:textId="77777777" w:rsidR="00566805" w:rsidRPr="00412F0E" w:rsidRDefault="00566805">
      <w:pPr>
        <w:spacing w:line="360" w:lineRule="auto"/>
        <w:jc w:val="both"/>
        <w:rPr>
          <w:rFonts w:ascii="Palatino Linotype" w:eastAsia="Palatino Linotype" w:hAnsi="Palatino Linotype" w:cs="Palatino Linotype"/>
        </w:rPr>
      </w:pPr>
    </w:p>
    <w:p w14:paraId="3BAD8342" w14:textId="77777777" w:rsidR="00566805" w:rsidRPr="00412F0E" w:rsidRDefault="00566805">
      <w:pPr>
        <w:spacing w:line="360" w:lineRule="auto"/>
        <w:jc w:val="both"/>
        <w:rPr>
          <w:rFonts w:ascii="Palatino Linotype" w:eastAsia="Palatino Linotype" w:hAnsi="Palatino Linotype" w:cs="Palatino Linotype"/>
        </w:rPr>
      </w:pPr>
    </w:p>
    <w:p w14:paraId="0A914529" w14:textId="77777777" w:rsidR="00566805" w:rsidRPr="00412F0E" w:rsidRDefault="00566805">
      <w:pPr>
        <w:spacing w:line="360" w:lineRule="auto"/>
        <w:jc w:val="both"/>
        <w:rPr>
          <w:rFonts w:ascii="Palatino Linotype" w:eastAsia="Palatino Linotype" w:hAnsi="Palatino Linotype" w:cs="Palatino Linotype"/>
        </w:rPr>
      </w:pPr>
    </w:p>
    <w:p w14:paraId="0216E2A1" w14:textId="77777777" w:rsidR="00566805" w:rsidRPr="00412F0E" w:rsidRDefault="00566805">
      <w:pPr>
        <w:spacing w:line="360" w:lineRule="auto"/>
        <w:jc w:val="both"/>
        <w:rPr>
          <w:rFonts w:ascii="Palatino Linotype" w:eastAsia="Palatino Linotype" w:hAnsi="Palatino Linotype" w:cs="Palatino Linotype"/>
        </w:rPr>
      </w:pPr>
    </w:p>
    <w:p w14:paraId="4300FED3" w14:textId="77777777" w:rsidR="00566805" w:rsidRPr="00412F0E" w:rsidRDefault="00566805">
      <w:pPr>
        <w:spacing w:line="360" w:lineRule="auto"/>
        <w:jc w:val="both"/>
        <w:rPr>
          <w:rFonts w:ascii="Palatino Linotype" w:eastAsia="Palatino Linotype" w:hAnsi="Palatino Linotype" w:cs="Palatino Linotype"/>
        </w:rPr>
      </w:pPr>
    </w:p>
    <w:p w14:paraId="183CB14F" w14:textId="77777777" w:rsidR="00566805" w:rsidRPr="00412F0E" w:rsidRDefault="00566805">
      <w:pPr>
        <w:spacing w:line="360" w:lineRule="auto"/>
        <w:jc w:val="both"/>
        <w:rPr>
          <w:rFonts w:ascii="Palatino Linotype" w:eastAsia="Palatino Linotype" w:hAnsi="Palatino Linotype" w:cs="Palatino Linotype"/>
        </w:rPr>
      </w:pPr>
    </w:p>
    <w:p w14:paraId="6B6AE735" w14:textId="77777777" w:rsidR="00566805" w:rsidRPr="00412F0E" w:rsidRDefault="00566805">
      <w:pPr>
        <w:spacing w:line="360" w:lineRule="auto"/>
        <w:jc w:val="both"/>
        <w:rPr>
          <w:rFonts w:ascii="Palatino Linotype" w:eastAsia="Palatino Linotype" w:hAnsi="Palatino Linotype" w:cs="Palatino Linotype"/>
        </w:rPr>
      </w:pPr>
    </w:p>
    <w:p w14:paraId="7F34CF57" w14:textId="77777777" w:rsidR="00566805" w:rsidRPr="00412F0E" w:rsidRDefault="00566805">
      <w:pPr>
        <w:spacing w:line="360" w:lineRule="auto"/>
        <w:jc w:val="both"/>
        <w:rPr>
          <w:rFonts w:ascii="Palatino Linotype" w:eastAsia="Palatino Linotype" w:hAnsi="Palatino Linotype" w:cs="Palatino Linotype"/>
        </w:rPr>
      </w:pPr>
    </w:p>
    <w:p w14:paraId="28033CCF" w14:textId="77777777" w:rsidR="00566805" w:rsidRPr="00412F0E" w:rsidRDefault="00566805">
      <w:pPr>
        <w:spacing w:line="360" w:lineRule="auto"/>
        <w:jc w:val="both"/>
        <w:rPr>
          <w:rFonts w:ascii="Palatino Linotype" w:eastAsia="Palatino Linotype" w:hAnsi="Palatino Linotype" w:cs="Palatino Linotype"/>
        </w:rPr>
      </w:pPr>
    </w:p>
    <w:sectPr w:rsidR="00566805" w:rsidRPr="00412F0E">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6AD26" w14:textId="77777777" w:rsidR="0080043F" w:rsidRDefault="0080043F">
      <w:r>
        <w:separator/>
      </w:r>
    </w:p>
  </w:endnote>
  <w:endnote w:type="continuationSeparator" w:id="0">
    <w:p w14:paraId="0B26D554" w14:textId="77777777" w:rsidR="0080043F" w:rsidRDefault="00800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DEBD" w14:textId="77777777" w:rsidR="00566805" w:rsidRDefault="0088381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3381">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3381">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0D8EC816" w14:textId="77777777" w:rsidR="00566805" w:rsidRDefault="0056680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51FE" w14:textId="77777777" w:rsidR="00566805" w:rsidRDefault="0088381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338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3381">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72346E0A" w14:textId="77777777" w:rsidR="00566805" w:rsidRDefault="0056680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4A752" w14:textId="77777777" w:rsidR="0080043F" w:rsidRDefault="0080043F">
      <w:r>
        <w:separator/>
      </w:r>
    </w:p>
  </w:footnote>
  <w:footnote w:type="continuationSeparator" w:id="0">
    <w:p w14:paraId="70D430C4" w14:textId="77777777" w:rsidR="0080043F" w:rsidRDefault="00800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31C0" w14:textId="77777777" w:rsidR="00566805" w:rsidRDefault="0088381A">
    <w:pPr>
      <w:rPr>
        <w:rFonts w:ascii="Cambria" w:eastAsia="Cambria" w:hAnsi="Cambria" w:cs="Cambria"/>
        <w:color w:val="000000"/>
      </w:rPr>
    </w:pPr>
    <w:r>
      <w:rPr>
        <w:noProof/>
      </w:rPr>
      <w:drawing>
        <wp:anchor distT="0" distB="0" distL="0" distR="0" simplePos="0" relativeHeight="251658240" behindDoc="1" locked="0" layoutInCell="1" hidden="0" allowOverlap="1" wp14:anchorId="0F607537" wp14:editId="027D874A">
          <wp:simplePos x="0" y="0"/>
          <wp:positionH relativeFrom="column">
            <wp:posOffset>-1080093</wp:posOffset>
          </wp:positionH>
          <wp:positionV relativeFrom="paragraph">
            <wp:posOffset>-488265</wp:posOffset>
          </wp:positionV>
          <wp:extent cx="7809865" cy="10165715"/>
          <wp:effectExtent l="0" t="0" r="0" b="0"/>
          <wp:wrapNone/>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953" w:type="dxa"/>
      <w:tblInd w:w="3261" w:type="dxa"/>
      <w:tblLayout w:type="fixed"/>
      <w:tblLook w:val="0400" w:firstRow="0" w:lastRow="0" w:firstColumn="0" w:lastColumn="0" w:noHBand="0" w:noVBand="1"/>
    </w:tblPr>
    <w:tblGrid>
      <w:gridCol w:w="2489"/>
      <w:gridCol w:w="3464"/>
    </w:tblGrid>
    <w:tr w:rsidR="00566805" w14:paraId="47D14879" w14:textId="77777777">
      <w:tc>
        <w:tcPr>
          <w:tcW w:w="2489" w:type="dxa"/>
          <w:shd w:val="clear" w:color="auto" w:fill="auto"/>
        </w:tcPr>
        <w:p w14:paraId="17FD8684" w14:textId="77777777" w:rsidR="00566805" w:rsidRDefault="008838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41E41DA" w14:textId="77777777" w:rsidR="00566805" w:rsidRDefault="0088381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02029/INFOEM/IP/RR/2025</w:t>
          </w:r>
        </w:p>
      </w:tc>
    </w:tr>
    <w:tr w:rsidR="00566805" w14:paraId="3531A5CC" w14:textId="77777777">
      <w:trPr>
        <w:trHeight w:val="228"/>
      </w:trPr>
      <w:tc>
        <w:tcPr>
          <w:tcW w:w="2489" w:type="dxa"/>
          <w:shd w:val="clear" w:color="auto" w:fill="auto"/>
          <w:vAlign w:val="center"/>
        </w:tcPr>
        <w:p w14:paraId="42D62299" w14:textId="77777777" w:rsidR="00566805" w:rsidRDefault="008838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FA1CDA" w14:textId="77777777" w:rsidR="00566805" w:rsidRDefault="0088381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Contraloría</w:t>
          </w:r>
        </w:p>
      </w:tc>
    </w:tr>
    <w:tr w:rsidR="00566805" w14:paraId="1A28BA5D" w14:textId="77777777">
      <w:tc>
        <w:tcPr>
          <w:tcW w:w="2489" w:type="dxa"/>
          <w:shd w:val="clear" w:color="auto" w:fill="auto"/>
          <w:vAlign w:val="center"/>
        </w:tcPr>
        <w:p w14:paraId="4CB24B57" w14:textId="77777777" w:rsidR="00566805" w:rsidRDefault="0088381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F012657" w14:textId="77777777" w:rsidR="00566805" w:rsidRDefault="0088381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8244D9" w14:textId="77777777" w:rsidR="00566805" w:rsidRDefault="0088381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D493" w14:textId="77777777" w:rsidR="00566805" w:rsidRDefault="0088381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4BBE03A" wp14:editId="5695C958">
          <wp:simplePos x="0" y="0"/>
          <wp:positionH relativeFrom="column">
            <wp:posOffset>-1080119</wp:posOffset>
          </wp:positionH>
          <wp:positionV relativeFrom="paragraph">
            <wp:posOffset>-369894</wp:posOffset>
          </wp:positionV>
          <wp:extent cx="7809865" cy="10165715"/>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8"/>
      <w:tblW w:w="5953" w:type="dxa"/>
      <w:tblInd w:w="3261" w:type="dxa"/>
      <w:tblLayout w:type="fixed"/>
      <w:tblLook w:val="0400" w:firstRow="0" w:lastRow="0" w:firstColumn="0" w:lastColumn="0" w:noHBand="0" w:noVBand="1"/>
    </w:tblPr>
    <w:tblGrid>
      <w:gridCol w:w="2489"/>
      <w:gridCol w:w="3464"/>
    </w:tblGrid>
    <w:tr w:rsidR="00566805" w14:paraId="10A48183" w14:textId="77777777">
      <w:tc>
        <w:tcPr>
          <w:tcW w:w="2489" w:type="dxa"/>
          <w:shd w:val="clear" w:color="auto" w:fill="auto"/>
        </w:tcPr>
        <w:p w14:paraId="637BCBEA" w14:textId="77777777" w:rsidR="00566805" w:rsidRDefault="008838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F4AB8E9" w14:textId="77777777" w:rsidR="00566805" w:rsidRDefault="0088381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02029/INFOEM/IP/RR/2025</w:t>
          </w:r>
        </w:p>
      </w:tc>
    </w:tr>
    <w:tr w:rsidR="00566805" w14:paraId="6A886106" w14:textId="77777777">
      <w:tc>
        <w:tcPr>
          <w:tcW w:w="2489" w:type="dxa"/>
          <w:shd w:val="clear" w:color="auto" w:fill="auto"/>
        </w:tcPr>
        <w:p w14:paraId="12094147" w14:textId="77777777" w:rsidR="00566805" w:rsidRDefault="008838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81A0D99" w14:textId="21454364" w:rsidR="00566805" w:rsidRDefault="008A67B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 XXXXXX XXXXXXX </w:t>
          </w:r>
        </w:p>
      </w:tc>
    </w:tr>
    <w:tr w:rsidR="00566805" w14:paraId="1248D8C1" w14:textId="77777777">
      <w:trPr>
        <w:trHeight w:val="228"/>
      </w:trPr>
      <w:tc>
        <w:tcPr>
          <w:tcW w:w="2489" w:type="dxa"/>
          <w:shd w:val="clear" w:color="auto" w:fill="auto"/>
          <w:vAlign w:val="center"/>
        </w:tcPr>
        <w:p w14:paraId="0CFF1719" w14:textId="77777777" w:rsidR="00566805" w:rsidRDefault="008838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125CD7C" w14:textId="77777777" w:rsidR="00566805" w:rsidRDefault="0088381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Contraloría</w:t>
          </w:r>
        </w:p>
      </w:tc>
    </w:tr>
    <w:tr w:rsidR="00566805" w14:paraId="50A4D213" w14:textId="77777777">
      <w:tc>
        <w:tcPr>
          <w:tcW w:w="2489" w:type="dxa"/>
          <w:shd w:val="clear" w:color="auto" w:fill="auto"/>
          <w:vAlign w:val="center"/>
        </w:tcPr>
        <w:p w14:paraId="0FB01B44" w14:textId="77777777" w:rsidR="00566805" w:rsidRDefault="0088381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212A730" w14:textId="77777777" w:rsidR="00566805" w:rsidRDefault="0088381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1C03A2" w14:textId="77777777" w:rsidR="00566805" w:rsidRDefault="005668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428E8"/>
    <w:multiLevelType w:val="multilevel"/>
    <w:tmpl w:val="05FE5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706197"/>
    <w:multiLevelType w:val="multilevel"/>
    <w:tmpl w:val="5B7C3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7A25BC"/>
    <w:multiLevelType w:val="multilevel"/>
    <w:tmpl w:val="BA943850"/>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05"/>
    <w:rsid w:val="00311615"/>
    <w:rsid w:val="00401827"/>
    <w:rsid w:val="00412F0E"/>
    <w:rsid w:val="00430750"/>
    <w:rsid w:val="00485D44"/>
    <w:rsid w:val="004C7C62"/>
    <w:rsid w:val="004F595A"/>
    <w:rsid w:val="00566805"/>
    <w:rsid w:val="005B2753"/>
    <w:rsid w:val="00683775"/>
    <w:rsid w:val="00763381"/>
    <w:rsid w:val="007B4F91"/>
    <w:rsid w:val="0080043F"/>
    <w:rsid w:val="0088381A"/>
    <w:rsid w:val="008A67BD"/>
    <w:rsid w:val="008D045C"/>
    <w:rsid w:val="0099193A"/>
    <w:rsid w:val="00A06B4F"/>
    <w:rsid w:val="00CB2003"/>
    <w:rsid w:val="00CB7A9E"/>
    <w:rsid w:val="00E11169"/>
    <w:rsid w:val="00F90B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4BAE9"/>
  <w15:docId w15:val="{FF9CB291-8147-42AC-AA8E-F82EE37F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7265A"/>
    <w:rPr>
      <w:sz w:val="16"/>
      <w:szCs w:val="16"/>
    </w:rPr>
  </w:style>
  <w:style w:type="paragraph" w:styleId="Textocomentario">
    <w:name w:val="annotation text"/>
    <w:basedOn w:val="Normal"/>
    <w:link w:val="TextocomentarioCar"/>
    <w:uiPriority w:val="99"/>
    <w:semiHidden/>
    <w:unhideWhenUsed/>
    <w:rsid w:val="0097265A"/>
    <w:rPr>
      <w:sz w:val="20"/>
      <w:szCs w:val="20"/>
    </w:rPr>
  </w:style>
  <w:style w:type="character" w:customStyle="1" w:styleId="TextocomentarioCar">
    <w:name w:val="Texto comentario Car"/>
    <w:basedOn w:val="Fuentedeprrafopredeter"/>
    <w:link w:val="Textocomentario"/>
    <w:uiPriority w:val="99"/>
    <w:semiHidden/>
    <w:rsid w:val="0097265A"/>
    <w:rPr>
      <w:sz w:val="20"/>
      <w:szCs w:val="20"/>
    </w:rPr>
  </w:style>
  <w:style w:type="paragraph" w:styleId="Asuntodelcomentario">
    <w:name w:val="annotation subject"/>
    <w:basedOn w:val="Textocomentario"/>
    <w:next w:val="Textocomentario"/>
    <w:link w:val="AsuntodelcomentarioCar"/>
    <w:uiPriority w:val="99"/>
    <w:semiHidden/>
    <w:unhideWhenUsed/>
    <w:rsid w:val="0097265A"/>
    <w:rPr>
      <w:b/>
      <w:bCs/>
    </w:rPr>
  </w:style>
  <w:style w:type="character" w:customStyle="1" w:styleId="AsuntodelcomentarioCar">
    <w:name w:val="Asunto del comentario Car"/>
    <w:basedOn w:val="TextocomentarioCar"/>
    <w:link w:val="Asuntodelcomentario"/>
    <w:uiPriority w:val="99"/>
    <w:semiHidden/>
    <w:rsid w:val="0097265A"/>
    <w:rPr>
      <w:b/>
      <w:bCs/>
      <w:sz w:val="20"/>
      <w:szCs w:val="20"/>
    </w:r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dof.gob.mx/nota_detalle.php?codigo=5582735&amp;fecha=24/12/2019"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f.gob.mx/nota_detalle.php?codigo=5573194&amp;fecha=23/09/2019"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lGgkIDczEm3deVY8ap+1u74ng==">CgMxLjAyDmguZGFqM2oyeG82cTY2MghoLmdqZGd4czIJaC4zZHk2dmttMgloLjMwajB6bGwyCWguMnM4ZXlvMTIIaC50eWpjd3QyCWguM3pueXNoNzIJaC4yZXQ5MnAwMgloLjF0M2g1c2YyCGgubG54Yno5Mg5oLmlpeHVocjM3djBzYTgAciExZFNZMk13Q29MRktnWlJwU3NibDVEYWVwSEJueWJQQzY=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9674</Words>
  <Characters>53212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2025-05-06T17:08:00Z</cp:lastPrinted>
  <dcterms:created xsi:type="dcterms:W3CDTF">2025-05-08T18:01:00Z</dcterms:created>
  <dcterms:modified xsi:type="dcterms:W3CDTF">2025-05-08T18:01:00Z</dcterms:modified>
</cp:coreProperties>
</file>