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4409154"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522D80" w:rsidRDefault="00AE3DA7" w:rsidP="00141876">
          <w:pPr>
            <w:pStyle w:val="TtulodeTDC"/>
            <w:spacing w:before="0" w:line="240" w:lineRule="auto"/>
            <w:rPr>
              <w:rFonts w:ascii="Palatino Linotype" w:hAnsi="Palatino Linotype"/>
              <w:sz w:val="24"/>
              <w:szCs w:val="24"/>
              <w:lang w:val="es-ES"/>
            </w:rPr>
          </w:pPr>
          <w:r w:rsidRPr="00522D80">
            <w:rPr>
              <w:rFonts w:ascii="Palatino Linotype" w:hAnsi="Palatino Linotype"/>
              <w:sz w:val="24"/>
              <w:szCs w:val="24"/>
              <w:lang w:val="es-ES"/>
            </w:rPr>
            <w:t>Contenido</w:t>
          </w:r>
        </w:p>
        <w:p w14:paraId="3EB312A7" w14:textId="77777777" w:rsidR="00AA6EA9" w:rsidRPr="00522D80" w:rsidRDefault="00AA6EA9" w:rsidP="00141876">
          <w:pPr>
            <w:spacing w:line="240" w:lineRule="auto"/>
            <w:rPr>
              <w:sz w:val="16"/>
              <w:szCs w:val="16"/>
              <w:lang w:val="es-ES" w:eastAsia="es-MX"/>
            </w:rPr>
          </w:pPr>
        </w:p>
        <w:p w14:paraId="7830225E" w14:textId="5E758D04" w:rsidR="001469AF" w:rsidRPr="00522D80" w:rsidRDefault="00AE3DA7">
          <w:pPr>
            <w:pStyle w:val="TDC1"/>
            <w:tabs>
              <w:tab w:val="right" w:leader="dot" w:pos="9034"/>
            </w:tabs>
            <w:rPr>
              <w:rFonts w:asciiTheme="minorHAnsi" w:eastAsiaTheme="minorEastAsia" w:hAnsiTheme="minorHAnsi" w:cstheme="minorBidi"/>
              <w:noProof/>
              <w:szCs w:val="22"/>
              <w:lang w:eastAsia="es-MX"/>
            </w:rPr>
          </w:pPr>
          <w:r w:rsidRPr="00522D80">
            <w:rPr>
              <w:sz w:val="16"/>
              <w:szCs w:val="16"/>
            </w:rPr>
            <w:fldChar w:fldCharType="begin"/>
          </w:r>
          <w:r w:rsidRPr="00522D80">
            <w:rPr>
              <w:sz w:val="16"/>
              <w:szCs w:val="16"/>
            </w:rPr>
            <w:instrText xml:space="preserve"> TOC \o "1-3" \h \z \u </w:instrText>
          </w:r>
          <w:r w:rsidRPr="00522D80">
            <w:rPr>
              <w:sz w:val="16"/>
              <w:szCs w:val="16"/>
            </w:rPr>
            <w:fldChar w:fldCharType="separate"/>
          </w:r>
          <w:hyperlink w:anchor="_Toc208350915" w:history="1">
            <w:r w:rsidR="001469AF" w:rsidRPr="00522D80">
              <w:rPr>
                <w:rStyle w:val="Hipervnculo"/>
                <w:noProof/>
              </w:rPr>
              <w:t>ANTECEDENTES</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_Toc208350915 \h </w:instrText>
            </w:r>
            <w:r w:rsidR="001469AF" w:rsidRPr="00522D80">
              <w:rPr>
                <w:noProof/>
                <w:webHidden/>
              </w:rPr>
            </w:r>
            <w:r w:rsidR="001469AF" w:rsidRPr="00522D80">
              <w:rPr>
                <w:noProof/>
                <w:webHidden/>
              </w:rPr>
              <w:fldChar w:fldCharType="separate"/>
            </w:r>
            <w:r w:rsidR="00522D80">
              <w:rPr>
                <w:noProof/>
                <w:webHidden/>
              </w:rPr>
              <w:t>1</w:t>
            </w:r>
            <w:r w:rsidR="001469AF" w:rsidRPr="00522D80">
              <w:rPr>
                <w:noProof/>
                <w:webHidden/>
              </w:rPr>
              <w:fldChar w:fldCharType="end"/>
            </w:r>
          </w:hyperlink>
        </w:p>
        <w:p w14:paraId="69A36D80" w14:textId="743A4ECA" w:rsidR="001469AF" w:rsidRPr="00522D80" w:rsidRDefault="000E61DE">
          <w:pPr>
            <w:pStyle w:val="TDC2"/>
            <w:rPr>
              <w:rFonts w:asciiTheme="minorHAnsi" w:eastAsiaTheme="minorEastAsia" w:hAnsiTheme="minorHAnsi" w:cstheme="minorBidi"/>
              <w:noProof/>
              <w:szCs w:val="22"/>
              <w:lang w:eastAsia="es-MX"/>
            </w:rPr>
          </w:pPr>
          <w:hyperlink w:anchor="_Toc208350916" w:history="1">
            <w:r w:rsidR="001469AF" w:rsidRPr="00522D80">
              <w:rPr>
                <w:rStyle w:val="Hipervnculo"/>
                <w:noProof/>
              </w:rPr>
              <w:t>DE LA SOLICITUD DE INFORMACIÓN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_Toc208350916 \h </w:instrText>
            </w:r>
            <w:r w:rsidR="001469AF" w:rsidRPr="00522D80">
              <w:rPr>
                <w:noProof/>
                <w:webHidden/>
              </w:rPr>
            </w:r>
            <w:r w:rsidR="001469AF" w:rsidRPr="00522D80">
              <w:rPr>
                <w:noProof/>
                <w:webHidden/>
              </w:rPr>
              <w:fldChar w:fldCharType="separate"/>
            </w:r>
            <w:r w:rsidR="00522D80">
              <w:rPr>
                <w:noProof/>
                <w:webHidden/>
              </w:rPr>
              <w:t>1</w:t>
            </w:r>
            <w:r w:rsidR="001469AF" w:rsidRPr="00522D80">
              <w:rPr>
                <w:noProof/>
                <w:webHidden/>
              </w:rPr>
              <w:fldChar w:fldCharType="end"/>
            </w:r>
          </w:hyperlink>
        </w:p>
        <w:p w14:paraId="3DACC35B" w14:textId="7E775C09" w:rsidR="001469AF" w:rsidRPr="00522D80" w:rsidRDefault="000E61DE">
          <w:pPr>
            <w:pStyle w:val="TDC3"/>
            <w:rPr>
              <w:rFonts w:asciiTheme="minorHAnsi" w:eastAsiaTheme="minorEastAsia" w:hAnsiTheme="minorHAnsi" w:cstheme="minorBidi"/>
              <w:noProof/>
              <w:szCs w:val="22"/>
              <w:lang w:eastAsia="es-MX"/>
            </w:rPr>
          </w:pPr>
          <w:hyperlink w:anchor="_Toc208350917" w:history="1">
            <w:r w:rsidR="001469AF" w:rsidRPr="00522D80">
              <w:rPr>
                <w:rStyle w:val="Hipervnculo"/>
                <w:noProof/>
              </w:rPr>
              <w:t>a) Solicitud de información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_Toc208350917 \h </w:instrText>
            </w:r>
            <w:r w:rsidR="001469AF" w:rsidRPr="00522D80">
              <w:rPr>
                <w:noProof/>
                <w:webHidden/>
              </w:rPr>
            </w:r>
            <w:r w:rsidR="001469AF" w:rsidRPr="00522D80">
              <w:rPr>
                <w:noProof/>
                <w:webHidden/>
              </w:rPr>
              <w:fldChar w:fldCharType="separate"/>
            </w:r>
            <w:r w:rsidR="00522D80">
              <w:rPr>
                <w:noProof/>
                <w:webHidden/>
              </w:rPr>
              <w:t>1</w:t>
            </w:r>
            <w:r w:rsidR="001469AF" w:rsidRPr="00522D80">
              <w:rPr>
                <w:noProof/>
                <w:webHidden/>
              </w:rPr>
              <w:fldChar w:fldCharType="end"/>
            </w:r>
          </w:hyperlink>
        </w:p>
        <w:p w14:paraId="27CF5D91" w14:textId="0F8CA33E" w:rsidR="001469AF" w:rsidRPr="00522D80" w:rsidRDefault="000E61DE">
          <w:pPr>
            <w:pStyle w:val="TDC3"/>
            <w:rPr>
              <w:rFonts w:asciiTheme="minorHAnsi" w:eastAsiaTheme="minorEastAsia" w:hAnsiTheme="minorHAnsi" w:cstheme="minorBidi"/>
              <w:noProof/>
              <w:szCs w:val="22"/>
              <w:lang w:eastAsia="es-MX"/>
            </w:rPr>
          </w:pPr>
          <w:hyperlink w:anchor="_Toc208350918" w:history="1">
            <w:r w:rsidR="001469AF" w:rsidRPr="00522D80">
              <w:rPr>
                <w:rStyle w:val="Hipervnculo"/>
                <w:noProof/>
              </w:rPr>
              <w:t>b) Turno de la solicitud de información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_Toc208350918 \h </w:instrText>
            </w:r>
            <w:r w:rsidR="001469AF" w:rsidRPr="00522D80">
              <w:rPr>
                <w:noProof/>
                <w:webHidden/>
              </w:rPr>
            </w:r>
            <w:r w:rsidR="001469AF" w:rsidRPr="00522D80">
              <w:rPr>
                <w:noProof/>
                <w:webHidden/>
              </w:rPr>
              <w:fldChar w:fldCharType="separate"/>
            </w:r>
            <w:r w:rsidR="00522D80">
              <w:rPr>
                <w:noProof/>
                <w:webHidden/>
              </w:rPr>
              <w:t>2</w:t>
            </w:r>
            <w:r w:rsidR="001469AF" w:rsidRPr="00522D80">
              <w:rPr>
                <w:noProof/>
                <w:webHidden/>
              </w:rPr>
              <w:fldChar w:fldCharType="end"/>
            </w:r>
          </w:hyperlink>
        </w:p>
        <w:p w14:paraId="59453F8B" w14:textId="217C7F82" w:rsidR="001469AF" w:rsidRPr="00522D80" w:rsidRDefault="000E61DE">
          <w:pPr>
            <w:pStyle w:val="TDC3"/>
            <w:rPr>
              <w:rFonts w:asciiTheme="minorHAnsi" w:eastAsiaTheme="minorEastAsia" w:hAnsiTheme="minorHAnsi" w:cstheme="minorBidi"/>
              <w:noProof/>
              <w:szCs w:val="22"/>
              <w:lang w:eastAsia="es-MX"/>
            </w:rPr>
          </w:pPr>
          <w:hyperlink w:anchor="_Toc208350919" w:history="1">
            <w:r w:rsidR="001469AF" w:rsidRPr="00522D80">
              <w:rPr>
                <w:rStyle w:val="Hipervnculo"/>
                <w:noProof/>
              </w:rPr>
              <w:t>c) Respuesta del Sujeto Obligado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_Toc208350919 \h </w:instrText>
            </w:r>
            <w:r w:rsidR="001469AF" w:rsidRPr="00522D80">
              <w:rPr>
                <w:noProof/>
                <w:webHidden/>
              </w:rPr>
            </w:r>
            <w:r w:rsidR="001469AF" w:rsidRPr="00522D80">
              <w:rPr>
                <w:noProof/>
                <w:webHidden/>
              </w:rPr>
              <w:fldChar w:fldCharType="separate"/>
            </w:r>
            <w:r w:rsidR="00522D80">
              <w:rPr>
                <w:noProof/>
                <w:webHidden/>
              </w:rPr>
              <w:t>2</w:t>
            </w:r>
            <w:r w:rsidR="001469AF" w:rsidRPr="00522D80">
              <w:rPr>
                <w:noProof/>
                <w:webHidden/>
              </w:rPr>
              <w:fldChar w:fldCharType="end"/>
            </w:r>
          </w:hyperlink>
        </w:p>
        <w:p w14:paraId="50A3965B" w14:textId="0A2D9C43" w:rsidR="001469AF" w:rsidRPr="00522D80" w:rsidRDefault="000E61DE">
          <w:pPr>
            <w:pStyle w:val="TDC2"/>
            <w:rPr>
              <w:rFonts w:asciiTheme="minorHAnsi" w:eastAsiaTheme="minorEastAsia" w:hAnsiTheme="minorHAnsi" w:cstheme="minorBidi"/>
              <w:noProof/>
              <w:szCs w:val="22"/>
              <w:lang w:eastAsia="es-MX"/>
            </w:rPr>
          </w:pPr>
          <w:hyperlink w:anchor="_Toc208350920" w:history="1">
            <w:r w:rsidR="001469AF" w:rsidRPr="00522D80">
              <w:rPr>
                <w:rStyle w:val="Hipervnculo"/>
                <w:noProof/>
              </w:rPr>
              <w:t>DEL RECURSO DE REVISIÓN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_Toc208350920 \h </w:instrText>
            </w:r>
            <w:r w:rsidR="001469AF" w:rsidRPr="00522D80">
              <w:rPr>
                <w:noProof/>
                <w:webHidden/>
              </w:rPr>
            </w:r>
            <w:r w:rsidR="001469AF" w:rsidRPr="00522D80">
              <w:rPr>
                <w:noProof/>
                <w:webHidden/>
              </w:rPr>
              <w:fldChar w:fldCharType="separate"/>
            </w:r>
            <w:r w:rsidR="00522D80">
              <w:rPr>
                <w:noProof/>
                <w:webHidden/>
              </w:rPr>
              <w:t>5</w:t>
            </w:r>
            <w:r w:rsidR="001469AF" w:rsidRPr="00522D80">
              <w:rPr>
                <w:noProof/>
                <w:webHidden/>
              </w:rPr>
              <w:fldChar w:fldCharType="end"/>
            </w:r>
          </w:hyperlink>
        </w:p>
        <w:p w14:paraId="2ECBF940" w14:textId="751A67EF" w:rsidR="001469AF" w:rsidRPr="00522D80" w:rsidRDefault="000E61DE">
          <w:pPr>
            <w:pStyle w:val="TDC3"/>
            <w:rPr>
              <w:rFonts w:asciiTheme="minorHAnsi" w:eastAsiaTheme="minorEastAsia" w:hAnsiTheme="minorHAnsi" w:cstheme="minorBidi"/>
              <w:noProof/>
              <w:szCs w:val="22"/>
              <w:lang w:eastAsia="es-MX"/>
            </w:rPr>
          </w:pPr>
          <w:hyperlink w:anchor="_Toc208350921" w:history="1">
            <w:r w:rsidR="001469AF" w:rsidRPr="00522D80">
              <w:rPr>
                <w:rStyle w:val="Hipervnculo"/>
                <w:noProof/>
              </w:rPr>
              <w:t>a) Interposición del Recurso de Revisión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_Toc208350921 \h </w:instrText>
            </w:r>
            <w:r w:rsidR="001469AF" w:rsidRPr="00522D80">
              <w:rPr>
                <w:noProof/>
                <w:webHidden/>
              </w:rPr>
            </w:r>
            <w:r w:rsidR="001469AF" w:rsidRPr="00522D80">
              <w:rPr>
                <w:noProof/>
                <w:webHidden/>
              </w:rPr>
              <w:fldChar w:fldCharType="separate"/>
            </w:r>
            <w:r w:rsidR="00522D80">
              <w:rPr>
                <w:noProof/>
                <w:webHidden/>
              </w:rPr>
              <w:t>5</w:t>
            </w:r>
            <w:r w:rsidR="001469AF" w:rsidRPr="00522D80">
              <w:rPr>
                <w:noProof/>
                <w:webHidden/>
              </w:rPr>
              <w:fldChar w:fldCharType="end"/>
            </w:r>
          </w:hyperlink>
        </w:p>
        <w:p w14:paraId="6225DE12" w14:textId="77510D2A" w:rsidR="001469AF" w:rsidRPr="00522D80" w:rsidRDefault="000E61DE">
          <w:pPr>
            <w:pStyle w:val="TDC3"/>
            <w:rPr>
              <w:rFonts w:asciiTheme="minorHAnsi" w:eastAsiaTheme="minorEastAsia" w:hAnsiTheme="minorHAnsi" w:cstheme="minorBidi"/>
              <w:noProof/>
              <w:szCs w:val="22"/>
              <w:lang w:eastAsia="es-MX"/>
            </w:rPr>
          </w:pPr>
          <w:hyperlink w:anchor="_Toc208350922" w:history="1">
            <w:r w:rsidR="001469AF" w:rsidRPr="00522D80">
              <w:rPr>
                <w:rStyle w:val="Hipervnculo"/>
                <w:noProof/>
              </w:rPr>
              <w:t>b) Turno del Recurso de Revisión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_Toc208350922 \h </w:instrText>
            </w:r>
            <w:r w:rsidR="001469AF" w:rsidRPr="00522D80">
              <w:rPr>
                <w:noProof/>
                <w:webHidden/>
              </w:rPr>
            </w:r>
            <w:r w:rsidR="001469AF" w:rsidRPr="00522D80">
              <w:rPr>
                <w:noProof/>
                <w:webHidden/>
              </w:rPr>
              <w:fldChar w:fldCharType="separate"/>
            </w:r>
            <w:r w:rsidR="00522D80">
              <w:rPr>
                <w:noProof/>
                <w:webHidden/>
              </w:rPr>
              <w:t>6</w:t>
            </w:r>
            <w:r w:rsidR="001469AF" w:rsidRPr="00522D80">
              <w:rPr>
                <w:noProof/>
                <w:webHidden/>
              </w:rPr>
              <w:fldChar w:fldCharType="end"/>
            </w:r>
          </w:hyperlink>
        </w:p>
        <w:p w14:paraId="61C53FDD" w14:textId="023B32AD" w:rsidR="001469AF" w:rsidRPr="00522D80" w:rsidRDefault="000E61DE">
          <w:pPr>
            <w:pStyle w:val="TDC3"/>
            <w:rPr>
              <w:rFonts w:asciiTheme="minorHAnsi" w:eastAsiaTheme="minorEastAsia" w:hAnsiTheme="minorHAnsi" w:cstheme="minorBidi"/>
              <w:noProof/>
              <w:szCs w:val="22"/>
              <w:lang w:eastAsia="es-MX"/>
            </w:rPr>
          </w:pPr>
          <w:hyperlink w:anchor="_Toc208350923" w:history="1">
            <w:r w:rsidR="001469AF" w:rsidRPr="00522D80">
              <w:rPr>
                <w:rStyle w:val="Hipervnculo"/>
                <w:noProof/>
              </w:rPr>
              <w:t>c) Admisión del Recurso de Revisión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_Toc208350923 \h </w:instrText>
            </w:r>
            <w:r w:rsidR="001469AF" w:rsidRPr="00522D80">
              <w:rPr>
                <w:noProof/>
                <w:webHidden/>
              </w:rPr>
            </w:r>
            <w:r w:rsidR="001469AF" w:rsidRPr="00522D80">
              <w:rPr>
                <w:noProof/>
                <w:webHidden/>
              </w:rPr>
              <w:fldChar w:fldCharType="separate"/>
            </w:r>
            <w:r w:rsidR="00522D80">
              <w:rPr>
                <w:noProof/>
                <w:webHidden/>
              </w:rPr>
              <w:t>6</w:t>
            </w:r>
            <w:r w:rsidR="001469AF" w:rsidRPr="00522D80">
              <w:rPr>
                <w:noProof/>
                <w:webHidden/>
              </w:rPr>
              <w:fldChar w:fldCharType="end"/>
            </w:r>
          </w:hyperlink>
        </w:p>
        <w:p w14:paraId="672FEDA1" w14:textId="4BDDB14D" w:rsidR="001469AF" w:rsidRPr="00522D80" w:rsidRDefault="000E61DE">
          <w:pPr>
            <w:pStyle w:val="TDC3"/>
            <w:rPr>
              <w:rFonts w:asciiTheme="minorHAnsi" w:eastAsiaTheme="minorEastAsia" w:hAnsiTheme="minorHAnsi" w:cstheme="minorBidi"/>
              <w:noProof/>
              <w:szCs w:val="22"/>
              <w:lang w:eastAsia="es-MX"/>
            </w:rPr>
          </w:pPr>
          <w:hyperlink w:anchor="_Toc208350924" w:history="1">
            <w:r w:rsidR="001469AF" w:rsidRPr="00522D80">
              <w:rPr>
                <w:rStyle w:val="Hipervnculo"/>
                <w:noProof/>
              </w:rPr>
              <w:t>d) Informe Justificado del Sujeto Obligado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_Toc208350924 \h </w:instrText>
            </w:r>
            <w:r w:rsidR="001469AF" w:rsidRPr="00522D80">
              <w:rPr>
                <w:noProof/>
                <w:webHidden/>
              </w:rPr>
            </w:r>
            <w:r w:rsidR="001469AF" w:rsidRPr="00522D80">
              <w:rPr>
                <w:noProof/>
                <w:webHidden/>
              </w:rPr>
              <w:fldChar w:fldCharType="separate"/>
            </w:r>
            <w:r w:rsidR="00522D80">
              <w:rPr>
                <w:noProof/>
                <w:webHidden/>
              </w:rPr>
              <w:t>6</w:t>
            </w:r>
            <w:r w:rsidR="001469AF" w:rsidRPr="00522D80">
              <w:rPr>
                <w:noProof/>
                <w:webHidden/>
              </w:rPr>
              <w:fldChar w:fldCharType="end"/>
            </w:r>
          </w:hyperlink>
        </w:p>
        <w:p w14:paraId="34BC2C5B" w14:textId="1B5D69F3" w:rsidR="001469AF" w:rsidRPr="00522D80" w:rsidRDefault="000E61DE">
          <w:pPr>
            <w:pStyle w:val="TDC3"/>
            <w:rPr>
              <w:rFonts w:asciiTheme="minorHAnsi" w:eastAsiaTheme="minorEastAsia" w:hAnsiTheme="minorHAnsi" w:cstheme="minorBidi"/>
              <w:noProof/>
              <w:szCs w:val="22"/>
              <w:lang w:eastAsia="es-MX"/>
            </w:rPr>
          </w:pPr>
          <w:hyperlink w:anchor="_Toc208350925" w:history="1">
            <w:r w:rsidR="001469AF" w:rsidRPr="00522D80">
              <w:rPr>
                <w:rStyle w:val="Hipervnculo"/>
                <w:rFonts w:eastAsia="Calibri"/>
                <w:bCs/>
                <w:noProof/>
                <w:lang w:eastAsia="en-US"/>
              </w:rPr>
              <w:t>e)</w:t>
            </w:r>
            <w:r w:rsidR="001469AF" w:rsidRPr="00522D80">
              <w:rPr>
                <w:rStyle w:val="Hipervnculo"/>
                <w:noProof/>
              </w:rPr>
              <w:t xml:space="preserve"> </w:t>
            </w:r>
            <w:r w:rsidR="001469AF" w:rsidRPr="00522D80">
              <w:rPr>
                <w:rStyle w:val="Hipervnculo"/>
                <w:noProof/>
                <w:lang w:val="es-ES"/>
              </w:rPr>
              <w:t>Manifestaciones de la Parte Recurrente</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_Toc208350925 \h </w:instrText>
            </w:r>
            <w:r w:rsidR="001469AF" w:rsidRPr="00522D80">
              <w:rPr>
                <w:noProof/>
                <w:webHidden/>
              </w:rPr>
            </w:r>
            <w:r w:rsidR="001469AF" w:rsidRPr="00522D80">
              <w:rPr>
                <w:noProof/>
                <w:webHidden/>
              </w:rPr>
              <w:fldChar w:fldCharType="separate"/>
            </w:r>
            <w:r w:rsidR="00522D80">
              <w:rPr>
                <w:noProof/>
                <w:webHidden/>
              </w:rPr>
              <w:t>7</w:t>
            </w:r>
            <w:r w:rsidR="001469AF" w:rsidRPr="00522D80">
              <w:rPr>
                <w:noProof/>
                <w:webHidden/>
              </w:rPr>
              <w:fldChar w:fldCharType="end"/>
            </w:r>
          </w:hyperlink>
        </w:p>
        <w:p w14:paraId="31FE63FE" w14:textId="4C7661D0" w:rsidR="001469AF" w:rsidRPr="00522D80" w:rsidRDefault="000E61DE">
          <w:pPr>
            <w:pStyle w:val="TDC3"/>
            <w:rPr>
              <w:rFonts w:asciiTheme="minorHAnsi" w:eastAsiaTheme="minorEastAsia" w:hAnsiTheme="minorHAnsi" w:cstheme="minorBidi"/>
              <w:noProof/>
              <w:szCs w:val="22"/>
              <w:lang w:eastAsia="es-MX"/>
            </w:rPr>
          </w:pPr>
          <w:hyperlink w:anchor="_Toc208350926" w:history="1">
            <w:r w:rsidR="001469AF" w:rsidRPr="00522D80">
              <w:rPr>
                <w:rStyle w:val="Hipervnculo"/>
                <w:rFonts w:eastAsia="Calibri"/>
                <w:noProof/>
              </w:rPr>
              <w:t xml:space="preserve">f) </w:t>
            </w:r>
            <w:r w:rsidR="001469AF" w:rsidRPr="00522D80">
              <w:rPr>
                <w:rStyle w:val="Hipervnculo"/>
                <w:noProof/>
              </w:rPr>
              <w:t>Cierre de instrucción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_Toc208350926 \h </w:instrText>
            </w:r>
            <w:r w:rsidR="001469AF" w:rsidRPr="00522D80">
              <w:rPr>
                <w:noProof/>
                <w:webHidden/>
              </w:rPr>
            </w:r>
            <w:r w:rsidR="001469AF" w:rsidRPr="00522D80">
              <w:rPr>
                <w:noProof/>
                <w:webHidden/>
              </w:rPr>
              <w:fldChar w:fldCharType="separate"/>
            </w:r>
            <w:r w:rsidR="00522D80">
              <w:rPr>
                <w:noProof/>
                <w:webHidden/>
              </w:rPr>
              <w:t>7</w:t>
            </w:r>
            <w:r w:rsidR="001469AF" w:rsidRPr="00522D80">
              <w:rPr>
                <w:noProof/>
                <w:webHidden/>
              </w:rPr>
              <w:fldChar w:fldCharType="end"/>
            </w:r>
          </w:hyperlink>
        </w:p>
        <w:p w14:paraId="074EE550" w14:textId="3D16DDC3" w:rsidR="001469AF" w:rsidRPr="00522D80" w:rsidRDefault="000E61DE">
          <w:pPr>
            <w:pStyle w:val="TDC1"/>
            <w:tabs>
              <w:tab w:val="right" w:leader="dot" w:pos="9034"/>
            </w:tabs>
            <w:rPr>
              <w:rFonts w:asciiTheme="minorHAnsi" w:eastAsiaTheme="minorEastAsia" w:hAnsiTheme="minorHAnsi" w:cstheme="minorBidi"/>
              <w:noProof/>
              <w:szCs w:val="22"/>
              <w:lang w:eastAsia="es-MX"/>
            </w:rPr>
          </w:pPr>
          <w:hyperlink w:anchor="_Toc208350927" w:history="1">
            <w:r w:rsidR="001469AF" w:rsidRPr="00522D80">
              <w:rPr>
                <w:rStyle w:val="Hipervnculo"/>
                <w:rFonts w:eastAsiaTheme="minorHAnsi"/>
                <w:noProof/>
                <w:lang w:eastAsia="en-US"/>
              </w:rPr>
              <w:t>CONSIDERANDOS</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_Toc208350927 \h </w:instrText>
            </w:r>
            <w:r w:rsidR="001469AF" w:rsidRPr="00522D80">
              <w:rPr>
                <w:noProof/>
                <w:webHidden/>
              </w:rPr>
            </w:r>
            <w:r w:rsidR="001469AF" w:rsidRPr="00522D80">
              <w:rPr>
                <w:noProof/>
                <w:webHidden/>
              </w:rPr>
              <w:fldChar w:fldCharType="separate"/>
            </w:r>
            <w:r w:rsidR="00522D80">
              <w:rPr>
                <w:noProof/>
                <w:webHidden/>
              </w:rPr>
              <w:t>8</w:t>
            </w:r>
            <w:r w:rsidR="001469AF" w:rsidRPr="00522D80">
              <w:rPr>
                <w:noProof/>
                <w:webHidden/>
              </w:rPr>
              <w:fldChar w:fldCharType="end"/>
            </w:r>
          </w:hyperlink>
        </w:p>
        <w:p w14:paraId="78BFDFF6" w14:textId="3ACB7358" w:rsidR="001469AF" w:rsidRPr="00522D80" w:rsidRDefault="000E61DE">
          <w:pPr>
            <w:pStyle w:val="TDC2"/>
            <w:rPr>
              <w:rFonts w:asciiTheme="minorHAnsi" w:eastAsiaTheme="minorEastAsia" w:hAnsiTheme="minorHAnsi" w:cstheme="minorBidi"/>
              <w:noProof/>
              <w:szCs w:val="22"/>
              <w:lang w:eastAsia="es-MX"/>
            </w:rPr>
          </w:pPr>
          <w:hyperlink w:anchor="_Toc208350928" w:history="1">
            <w:r w:rsidR="001469AF" w:rsidRPr="00522D80">
              <w:rPr>
                <w:rStyle w:val="Hipervnculo"/>
                <w:rFonts w:eastAsia="Batang"/>
                <w:noProof/>
              </w:rPr>
              <w:t>PRIMERO. Procedibilidad</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_Toc208350928 \h </w:instrText>
            </w:r>
            <w:r w:rsidR="001469AF" w:rsidRPr="00522D80">
              <w:rPr>
                <w:noProof/>
                <w:webHidden/>
              </w:rPr>
            </w:r>
            <w:r w:rsidR="001469AF" w:rsidRPr="00522D80">
              <w:rPr>
                <w:noProof/>
                <w:webHidden/>
              </w:rPr>
              <w:fldChar w:fldCharType="separate"/>
            </w:r>
            <w:r w:rsidR="00522D80">
              <w:rPr>
                <w:noProof/>
                <w:webHidden/>
              </w:rPr>
              <w:t>8</w:t>
            </w:r>
            <w:r w:rsidR="001469AF" w:rsidRPr="00522D80">
              <w:rPr>
                <w:noProof/>
                <w:webHidden/>
              </w:rPr>
              <w:fldChar w:fldCharType="end"/>
            </w:r>
          </w:hyperlink>
        </w:p>
        <w:p w14:paraId="73FFDF85" w14:textId="677C5DFF" w:rsidR="001469AF" w:rsidRPr="00522D80" w:rsidRDefault="000E61DE">
          <w:pPr>
            <w:pStyle w:val="TDC3"/>
            <w:rPr>
              <w:rFonts w:asciiTheme="minorHAnsi" w:eastAsiaTheme="minorEastAsia" w:hAnsiTheme="minorHAnsi" w:cstheme="minorBidi"/>
              <w:noProof/>
              <w:szCs w:val="22"/>
              <w:lang w:eastAsia="es-MX"/>
            </w:rPr>
          </w:pPr>
          <w:hyperlink w:anchor="_Toc208350929" w:history="1">
            <w:r w:rsidR="001469AF" w:rsidRPr="00522D80">
              <w:rPr>
                <w:rStyle w:val="Hipervnculo"/>
                <w:noProof/>
              </w:rPr>
              <w:t>a) Competencia del Instituto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_Toc208350929 \h </w:instrText>
            </w:r>
            <w:r w:rsidR="001469AF" w:rsidRPr="00522D80">
              <w:rPr>
                <w:noProof/>
                <w:webHidden/>
              </w:rPr>
            </w:r>
            <w:r w:rsidR="001469AF" w:rsidRPr="00522D80">
              <w:rPr>
                <w:noProof/>
                <w:webHidden/>
              </w:rPr>
              <w:fldChar w:fldCharType="separate"/>
            </w:r>
            <w:r w:rsidR="00522D80">
              <w:rPr>
                <w:noProof/>
                <w:webHidden/>
              </w:rPr>
              <w:t>8</w:t>
            </w:r>
            <w:r w:rsidR="001469AF" w:rsidRPr="00522D80">
              <w:rPr>
                <w:noProof/>
                <w:webHidden/>
              </w:rPr>
              <w:fldChar w:fldCharType="end"/>
            </w:r>
          </w:hyperlink>
        </w:p>
        <w:p w14:paraId="3A2ED499" w14:textId="26AB6FAD" w:rsidR="001469AF" w:rsidRPr="00522D80" w:rsidRDefault="000E61DE">
          <w:pPr>
            <w:pStyle w:val="TDC3"/>
            <w:rPr>
              <w:rFonts w:asciiTheme="minorHAnsi" w:eastAsiaTheme="minorEastAsia" w:hAnsiTheme="minorHAnsi" w:cstheme="minorBidi"/>
              <w:noProof/>
              <w:szCs w:val="22"/>
              <w:lang w:eastAsia="es-MX"/>
            </w:rPr>
          </w:pPr>
          <w:hyperlink w:anchor="_Toc208350930" w:history="1">
            <w:r w:rsidR="001469AF" w:rsidRPr="00522D80">
              <w:rPr>
                <w:rStyle w:val="Hipervnculo"/>
                <w:noProof/>
              </w:rPr>
              <w:t>b) Legitimidad de la parte recurrente</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_Toc208350930 \h </w:instrText>
            </w:r>
            <w:r w:rsidR="001469AF" w:rsidRPr="00522D80">
              <w:rPr>
                <w:noProof/>
                <w:webHidden/>
              </w:rPr>
            </w:r>
            <w:r w:rsidR="001469AF" w:rsidRPr="00522D80">
              <w:rPr>
                <w:noProof/>
                <w:webHidden/>
              </w:rPr>
              <w:fldChar w:fldCharType="separate"/>
            </w:r>
            <w:r w:rsidR="00522D80">
              <w:rPr>
                <w:noProof/>
                <w:webHidden/>
              </w:rPr>
              <w:t>8</w:t>
            </w:r>
            <w:r w:rsidR="001469AF" w:rsidRPr="00522D80">
              <w:rPr>
                <w:noProof/>
                <w:webHidden/>
              </w:rPr>
              <w:fldChar w:fldCharType="end"/>
            </w:r>
          </w:hyperlink>
        </w:p>
        <w:p w14:paraId="319EBEFC" w14:textId="4A2806C3" w:rsidR="001469AF" w:rsidRPr="00522D80" w:rsidRDefault="000E61DE">
          <w:pPr>
            <w:pStyle w:val="TDC3"/>
            <w:rPr>
              <w:rFonts w:asciiTheme="minorHAnsi" w:eastAsiaTheme="minorEastAsia" w:hAnsiTheme="minorHAnsi" w:cstheme="minorBidi"/>
              <w:noProof/>
              <w:szCs w:val="22"/>
              <w:lang w:eastAsia="es-MX"/>
            </w:rPr>
          </w:pPr>
          <w:hyperlink w:anchor="_Toc208350931" w:history="1">
            <w:r w:rsidR="001469AF" w:rsidRPr="00522D80">
              <w:rPr>
                <w:rStyle w:val="Hipervnculo"/>
                <w:rFonts w:eastAsia="Calibri"/>
                <w:noProof/>
                <w:lang w:eastAsia="es-ES_tradnl"/>
              </w:rPr>
              <w:t>c) Plazo para interponer el recurso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_Toc208350931 \h </w:instrText>
            </w:r>
            <w:r w:rsidR="001469AF" w:rsidRPr="00522D80">
              <w:rPr>
                <w:noProof/>
                <w:webHidden/>
              </w:rPr>
            </w:r>
            <w:r w:rsidR="001469AF" w:rsidRPr="00522D80">
              <w:rPr>
                <w:noProof/>
                <w:webHidden/>
              </w:rPr>
              <w:fldChar w:fldCharType="separate"/>
            </w:r>
            <w:r w:rsidR="00522D80">
              <w:rPr>
                <w:noProof/>
                <w:webHidden/>
              </w:rPr>
              <w:t>8</w:t>
            </w:r>
            <w:r w:rsidR="001469AF" w:rsidRPr="00522D80">
              <w:rPr>
                <w:noProof/>
                <w:webHidden/>
              </w:rPr>
              <w:fldChar w:fldCharType="end"/>
            </w:r>
          </w:hyperlink>
        </w:p>
        <w:p w14:paraId="32119560" w14:textId="14EDAA91" w:rsidR="001469AF" w:rsidRPr="00522D80" w:rsidRDefault="000E61DE">
          <w:pPr>
            <w:pStyle w:val="TDC3"/>
            <w:rPr>
              <w:rFonts w:asciiTheme="minorHAnsi" w:eastAsiaTheme="minorEastAsia" w:hAnsiTheme="minorHAnsi" w:cstheme="minorBidi"/>
              <w:noProof/>
              <w:szCs w:val="22"/>
              <w:lang w:eastAsia="es-MX"/>
            </w:rPr>
          </w:pPr>
          <w:hyperlink w:anchor="_Toc208350932" w:history="1">
            <w:r w:rsidR="001469AF" w:rsidRPr="00522D80">
              <w:rPr>
                <w:rStyle w:val="Hipervnculo"/>
                <w:rFonts w:eastAsia="Calibri"/>
                <w:noProof/>
                <w:lang w:eastAsia="es-ES_tradnl"/>
              </w:rPr>
              <w:t>d) Causal de procedencia</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_Toc208350932 \h </w:instrText>
            </w:r>
            <w:r w:rsidR="001469AF" w:rsidRPr="00522D80">
              <w:rPr>
                <w:noProof/>
                <w:webHidden/>
              </w:rPr>
            </w:r>
            <w:r w:rsidR="001469AF" w:rsidRPr="00522D80">
              <w:rPr>
                <w:noProof/>
                <w:webHidden/>
              </w:rPr>
              <w:fldChar w:fldCharType="separate"/>
            </w:r>
            <w:r w:rsidR="00522D80">
              <w:rPr>
                <w:noProof/>
                <w:webHidden/>
              </w:rPr>
              <w:t>10</w:t>
            </w:r>
            <w:r w:rsidR="001469AF" w:rsidRPr="00522D80">
              <w:rPr>
                <w:noProof/>
                <w:webHidden/>
              </w:rPr>
              <w:fldChar w:fldCharType="end"/>
            </w:r>
          </w:hyperlink>
        </w:p>
        <w:p w14:paraId="679C56D2" w14:textId="70F367EB" w:rsidR="001469AF" w:rsidRPr="00522D80" w:rsidRDefault="000E61DE">
          <w:pPr>
            <w:pStyle w:val="TDC3"/>
            <w:rPr>
              <w:rFonts w:asciiTheme="minorHAnsi" w:eastAsiaTheme="minorEastAsia" w:hAnsiTheme="minorHAnsi" w:cstheme="minorBidi"/>
              <w:noProof/>
              <w:szCs w:val="22"/>
              <w:lang w:eastAsia="es-MX"/>
            </w:rPr>
          </w:pPr>
          <w:hyperlink w:anchor="_Toc208350933" w:history="1">
            <w:r w:rsidR="001469AF" w:rsidRPr="00522D80">
              <w:rPr>
                <w:rStyle w:val="Hipervnculo"/>
                <w:noProof/>
              </w:rPr>
              <w:t>e) Requisitos formales para la interposición del recurso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_Toc208350933 \h </w:instrText>
            </w:r>
            <w:r w:rsidR="001469AF" w:rsidRPr="00522D80">
              <w:rPr>
                <w:noProof/>
                <w:webHidden/>
              </w:rPr>
            </w:r>
            <w:r w:rsidR="001469AF" w:rsidRPr="00522D80">
              <w:rPr>
                <w:noProof/>
                <w:webHidden/>
              </w:rPr>
              <w:fldChar w:fldCharType="separate"/>
            </w:r>
            <w:r w:rsidR="00522D80">
              <w:rPr>
                <w:noProof/>
                <w:webHidden/>
              </w:rPr>
              <w:t>10</w:t>
            </w:r>
            <w:r w:rsidR="001469AF" w:rsidRPr="00522D80">
              <w:rPr>
                <w:noProof/>
                <w:webHidden/>
              </w:rPr>
              <w:fldChar w:fldCharType="end"/>
            </w:r>
          </w:hyperlink>
        </w:p>
        <w:p w14:paraId="73BB930C" w14:textId="4B63940C" w:rsidR="001469AF" w:rsidRPr="00522D80" w:rsidRDefault="000E61DE">
          <w:pPr>
            <w:pStyle w:val="TDC2"/>
            <w:rPr>
              <w:rFonts w:asciiTheme="minorHAnsi" w:eastAsiaTheme="minorEastAsia" w:hAnsiTheme="minorHAnsi" w:cstheme="minorBidi"/>
              <w:noProof/>
              <w:szCs w:val="22"/>
              <w:lang w:eastAsia="es-MX"/>
            </w:rPr>
          </w:pPr>
          <w:hyperlink w:anchor="_Toc208350934" w:history="1">
            <w:r w:rsidR="001469AF" w:rsidRPr="00522D80">
              <w:rPr>
                <w:rStyle w:val="Hipervnculo"/>
                <w:noProof/>
              </w:rPr>
              <w:t>SEGUNDO. Estudio de Fondo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_Toc208350934 \h </w:instrText>
            </w:r>
            <w:r w:rsidR="001469AF" w:rsidRPr="00522D80">
              <w:rPr>
                <w:noProof/>
                <w:webHidden/>
              </w:rPr>
            </w:r>
            <w:r w:rsidR="001469AF" w:rsidRPr="00522D80">
              <w:rPr>
                <w:noProof/>
                <w:webHidden/>
              </w:rPr>
              <w:fldChar w:fldCharType="separate"/>
            </w:r>
            <w:r w:rsidR="00522D80">
              <w:rPr>
                <w:noProof/>
                <w:webHidden/>
              </w:rPr>
              <w:t>11</w:t>
            </w:r>
            <w:r w:rsidR="001469AF" w:rsidRPr="00522D80">
              <w:rPr>
                <w:noProof/>
                <w:webHidden/>
              </w:rPr>
              <w:fldChar w:fldCharType="end"/>
            </w:r>
          </w:hyperlink>
        </w:p>
        <w:p w14:paraId="7E052E9D" w14:textId="701E5EF3" w:rsidR="001469AF" w:rsidRPr="00522D80" w:rsidRDefault="000E61DE">
          <w:pPr>
            <w:pStyle w:val="TDC3"/>
            <w:rPr>
              <w:rFonts w:asciiTheme="minorHAnsi" w:eastAsiaTheme="minorEastAsia" w:hAnsiTheme="minorHAnsi" w:cstheme="minorBidi"/>
              <w:noProof/>
              <w:szCs w:val="22"/>
              <w:lang w:eastAsia="es-MX"/>
            </w:rPr>
          </w:pPr>
          <w:hyperlink w:anchor="_Toc208350935" w:history="1">
            <w:r w:rsidR="001469AF" w:rsidRPr="00522D80">
              <w:rPr>
                <w:rStyle w:val="Hipervnculo"/>
                <w:noProof/>
              </w:rPr>
              <w:t>a) Mandato de transparencia y responsabilidad del Sujeto Obligado</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_Toc208350935 \h </w:instrText>
            </w:r>
            <w:r w:rsidR="001469AF" w:rsidRPr="00522D80">
              <w:rPr>
                <w:noProof/>
                <w:webHidden/>
              </w:rPr>
            </w:r>
            <w:r w:rsidR="001469AF" w:rsidRPr="00522D80">
              <w:rPr>
                <w:noProof/>
                <w:webHidden/>
              </w:rPr>
              <w:fldChar w:fldCharType="separate"/>
            </w:r>
            <w:r w:rsidR="00522D80">
              <w:rPr>
                <w:noProof/>
                <w:webHidden/>
              </w:rPr>
              <w:t>11</w:t>
            </w:r>
            <w:r w:rsidR="001469AF" w:rsidRPr="00522D80">
              <w:rPr>
                <w:noProof/>
                <w:webHidden/>
              </w:rPr>
              <w:fldChar w:fldCharType="end"/>
            </w:r>
          </w:hyperlink>
        </w:p>
        <w:p w14:paraId="27DA3599" w14:textId="0B44366A" w:rsidR="001469AF" w:rsidRPr="00522D80" w:rsidRDefault="000E61DE">
          <w:pPr>
            <w:pStyle w:val="TDC3"/>
            <w:rPr>
              <w:rFonts w:asciiTheme="minorHAnsi" w:eastAsiaTheme="minorEastAsia" w:hAnsiTheme="minorHAnsi" w:cstheme="minorBidi"/>
              <w:noProof/>
              <w:szCs w:val="22"/>
              <w:lang w:eastAsia="es-MX"/>
            </w:rPr>
          </w:pPr>
          <w:hyperlink w:anchor="_Toc208350936" w:history="1">
            <w:r w:rsidR="001469AF" w:rsidRPr="00522D80">
              <w:rPr>
                <w:rStyle w:val="Hipervnculo"/>
                <w:rFonts w:eastAsia="Calibri"/>
                <w:noProof/>
                <w:lang w:eastAsia="es-ES_tradnl"/>
              </w:rPr>
              <w:t>b) Controversia a resolver</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_Toc208350936 \h </w:instrText>
            </w:r>
            <w:r w:rsidR="001469AF" w:rsidRPr="00522D80">
              <w:rPr>
                <w:noProof/>
                <w:webHidden/>
              </w:rPr>
            </w:r>
            <w:r w:rsidR="001469AF" w:rsidRPr="00522D80">
              <w:rPr>
                <w:noProof/>
                <w:webHidden/>
              </w:rPr>
              <w:fldChar w:fldCharType="separate"/>
            </w:r>
            <w:r w:rsidR="00522D80">
              <w:rPr>
                <w:noProof/>
                <w:webHidden/>
              </w:rPr>
              <w:t>13</w:t>
            </w:r>
            <w:r w:rsidR="001469AF" w:rsidRPr="00522D80">
              <w:rPr>
                <w:noProof/>
                <w:webHidden/>
              </w:rPr>
              <w:fldChar w:fldCharType="end"/>
            </w:r>
          </w:hyperlink>
        </w:p>
        <w:p w14:paraId="7946EC18" w14:textId="2FD4F876" w:rsidR="001469AF" w:rsidRPr="00522D80" w:rsidRDefault="000E61DE">
          <w:pPr>
            <w:pStyle w:val="TDC3"/>
            <w:rPr>
              <w:rFonts w:asciiTheme="minorHAnsi" w:eastAsiaTheme="minorEastAsia" w:hAnsiTheme="minorHAnsi" w:cstheme="minorBidi"/>
              <w:noProof/>
              <w:szCs w:val="22"/>
              <w:lang w:eastAsia="es-MX"/>
            </w:rPr>
          </w:pPr>
          <w:hyperlink w:anchor="_Toc208350937" w:history="1">
            <w:r w:rsidR="001469AF" w:rsidRPr="00522D80">
              <w:rPr>
                <w:rStyle w:val="Hipervnculo"/>
                <w:noProof/>
              </w:rPr>
              <w:t>c) Estudio de la controversia</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_Toc208350937 \h </w:instrText>
            </w:r>
            <w:r w:rsidR="001469AF" w:rsidRPr="00522D80">
              <w:rPr>
                <w:noProof/>
                <w:webHidden/>
              </w:rPr>
            </w:r>
            <w:r w:rsidR="001469AF" w:rsidRPr="00522D80">
              <w:rPr>
                <w:noProof/>
                <w:webHidden/>
              </w:rPr>
              <w:fldChar w:fldCharType="separate"/>
            </w:r>
            <w:r w:rsidR="00522D80">
              <w:rPr>
                <w:noProof/>
                <w:webHidden/>
              </w:rPr>
              <w:t>15</w:t>
            </w:r>
            <w:r w:rsidR="001469AF" w:rsidRPr="00522D80">
              <w:rPr>
                <w:noProof/>
                <w:webHidden/>
              </w:rPr>
              <w:fldChar w:fldCharType="end"/>
            </w:r>
          </w:hyperlink>
        </w:p>
        <w:p w14:paraId="30DC59CB" w14:textId="564155B7" w:rsidR="001469AF" w:rsidRPr="00522D80" w:rsidRDefault="000E61DE">
          <w:pPr>
            <w:pStyle w:val="TDC3"/>
            <w:rPr>
              <w:rFonts w:asciiTheme="minorHAnsi" w:eastAsiaTheme="minorEastAsia" w:hAnsiTheme="minorHAnsi" w:cstheme="minorBidi"/>
              <w:noProof/>
              <w:szCs w:val="22"/>
              <w:lang w:eastAsia="es-MX"/>
            </w:rPr>
          </w:pPr>
          <w:hyperlink w:anchor="_Toc208350938" w:history="1">
            <w:r w:rsidR="001469AF" w:rsidRPr="00522D80">
              <w:rPr>
                <w:rStyle w:val="Hipervnculo"/>
                <w:noProof/>
              </w:rPr>
              <w:t>d) Conclusión</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_Toc208350938 \h </w:instrText>
            </w:r>
            <w:r w:rsidR="001469AF" w:rsidRPr="00522D80">
              <w:rPr>
                <w:noProof/>
                <w:webHidden/>
              </w:rPr>
            </w:r>
            <w:r w:rsidR="001469AF" w:rsidRPr="00522D80">
              <w:rPr>
                <w:noProof/>
                <w:webHidden/>
              </w:rPr>
              <w:fldChar w:fldCharType="separate"/>
            </w:r>
            <w:r w:rsidR="00522D80">
              <w:rPr>
                <w:noProof/>
                <w:webHidden/>
              </w:rPr>
              <w:t>23</w:t>
            </w:r>
            <w:r w:rsidR="001469AF" w:rsidRPr="00522D80">
              <w:rPr>
                <w:noProof/>
                <w:webHidden/>
              </w:rPr>
              <w:fldChar w:fldCharType="end"/>
            </w:r>
          </w:hyperlink>
        </w:p>
        <w:p w14:paraId="106D8B01" w14:textId="27D445BF" w:rsidR="001469AF" w:rsidRPr="00522D80" w:rsidRDefault="000E61DE">
          <w:pPr>
            <w:pStyle w:val="TDC1"/>
            <w:tabs>
              <w:tab w:val="right" w:leader="dot" w:pos="9034"/>
            </w:tabs>
            <w:rPr>
              <w:rFonts w:asciiTheme="minorHAnsi" w:eastAsiaTheme="minorEastAsia" w:hAnsiTheme="minorHAnsi" w:cstheme="minorBidi"/>
              <w:noProof/>
              <w:szCs w:val="22"/>
              <w:lang w:eastAsia="es-MX"/>
            </w:rPr>
          </w:pPr>
          <w:hyperlink w:anchor="_Toc208350939" w:history="1">
            <w:r w:rsidR="001469AF" w:rsidRPr="00522D80">
              <w:rPr>
                <w:rStyle w:val="Hipervnculo"/>
                <w:noProof/>
              </w:rPr>
              <w:t>RESUELVE</w:t>
            </w:r>
            <w:r w:rsidR="001469AF" w:rsidRPr="00522D80">
              <w:rPr>
                <w:noProof/>
                <w:webHidden/>
              </w:rPr>
              <w:tab/>
            </w:r>
            <w:r w:rsidR="001469AF" w:rsidRPr="00522D80">
              <w:rPr>
                <w:noProof/>
                <w:webHidden/>
              </w:rPr>
              <w:fldChar w:fldCharType="begin"/>
            </w:r>
            <w:r w:rsidR="001469AF" w:rsidRPr="00522D80">
              <w:rPr>
                <w:noProof/>
                <w:webHidden/>
              </w:rPr>
              <w:instrText xml:space="preserve"> PAGEREF _Toc208350939 \h </w:instrText>
            </w:r>
            <w:r w:rsidR="001469AF" w:rsidRPr="00522D80">
              <w:rPr>
                <w:noProof/>
                <w:webHidden/>
              </w:rPr>
            </w:r>
            <w:r w:rsidR="001469AF" w:rsidRPr="00522D80">
              <w:rPr>
                <w:noProof/>
                <w:webHidden/>
              </w:rPr>
              <w:fldChar w:fldCharType="separate"/>
            </w:r>
            <w:r w:rsidR="00522D80">
              <w:rPr>
                <w:noProof/>
                <w:webHidden/>
              </w:rPr>
              <w:t>24</w:t>
            </w:r>
            <w:r w:rsidR="001469AF" w:rsidRPr="00522D80">
              <w:rPr>
                <w:noProof/>
                <w:webHidden/>
              </w:rPr>
              <w:fldChar w:fldCharType="end"/>
            </w:r>
          </w:hyperlink>
        </w:p>
        <w:p w14:paraId="0C82FD7A" w14:textId="308BA470" w:rsidR="009B2945" w:rsidRPr="00522D80" w:rsidRDefault="00AE3DA7" w:rsidP="00141876">
          <w:pPr>
            <w:spacing w:line="240" w:lineRule="auto"/>
            <w:rPr>
              <w:b/>
              <w:bCs/>
              <w:lang w:val="es-ES"/>
            </w:rPr>
          </w:pPr>
          <w:r w:rsidRPr="00522D80">
            <w:rPr>
              <w:b/>
              <w:bCs/>
              <w:sz w:val="16"/>
              <w:szCs w:val="16"/>
              <w:lang w:val="es-ES"/>
            </w:rPr>
            <w:fldChar w:fldCharType="end"/>
          </w:r>
        </w:p>
      </w:sdtContent>
    </w:sdt>
    <w:p w14:paraId="603A07E2" w14:textId="77777777" w:rsidR="00646436" w:rsidRPr="00522D80" w:rsidRDefault="00646436" w:rsidP="00664420">
      <w:pPr>
        <w:rPr>
          <w:rFonts w:cs="Tahoma"/>
          <w:szCs w:val="22"/>
        </w:rPr>
        <w:sectPr w:rsidR="00646436" w:rsidRPr="00522D80"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12F0257" w:rsidR="00775BFC" w:rsidRPr="00522D80" w:rsidRDefault="00775BFC" w:rsidP="00775BFC">
      <w:r w:rsidRPr="00522D80">
        <w:lastRenderedPageBreak/>
        <w:t>Resolución del Pleno del Instituto de Transparencia, Acceso a la Información Pública y Protección de Datos Personales del Estado de México y Municipios, con domicilio e</w:t>
      </w:r>
      <w:r w:rsidR="004D0573" w:rsidRPr="00522D80">
        <w:t>n Metepec, Estado de México, de</w:t>
      </w:r>
      <w:r w:rsidR="001469AF" w:rsidRPr="00522D80">
        <w:t>l</w:t>
      </w:r>
      <w:r w:rsidR="004D0573" w:rsidRPr="00522D80">
        <w:t xml:space="preserve"> </w:t>
      </w:r>
      <w:r w:rsidR="008C00BD" w:rsidRPr="00522D80">
        <w:rPr>
          <w:b/>
        </w:rPr>
        <w:t xml:space="preserve">diez de septiembre </w:t>
      </w:r>
      <w:r w:rsidR="006E7E69" w:rsidRPr="00522D80">
        <w:rPr>
          <w:b/>
        </w:rPr>
        <w:t>de dos mil veinticinco</w:t>
      </w:r>
      <w:r w:rsidRPr="00522D80">
        <w:t>.</w:t>
      </w:r>
    </w:p>
    <w:p w14:paraId="0AF3AAC4" w14:textId="77777777" w:rsidR="00775BFC" w:rsidRPr="00522D80" w:rsidRDefault="00775BFC" w:rsidP="00775BFC"/>
    <w:p w14:paraId="40EAE038" w14:textId="512272AE" w:rsidR="00775BFC" w:rsidRPr="00522D80" w:rsidRDefault="00775BFC" w:rsidP="0086345C">
      <w:r w:rsidRPr="00522D80">
        <w:rPr>
          <w:b/>
        </w:rPr>
        <w:t xml:space="preserve">VISTO </w:t>
      </w:r>
      <w:r w:rsidRPr="00522D80">
        <w:t xml:space="preserve">el expediente formado con motivo del Recurso de Revisión </w:t>
      </w:r>
      <w:r w:rsidR="006E7E69" w:rsidRPr="00522D80">
        <w:rPr>
          <w:rFonts w:eastAsia="Calibri"/>
          <w:b/>
          <w:lang w:eastAsia="en-US"/>
        </w:rPr>
        <w:t>0</w:t>
      </w:r>
      <w:r w:rsidR="00C66138" w:rsidRPr="00522D80">
        <w:rPr>
          <w:rFonts w:eastAsia="Calibri"/>
          <w:b/>
          <w:lang w:eastAsia="en-US"/>
        </w:rPr>
        <w:t>6837</w:t>
      </w:r>
      <w:r w:rsidR="006E7E69" w:rsidRPr="00522D80">
        <w:rPr>
          <w:rFonts w:eastAsia="Calibri"/>
          <w:b/>
          <w:lang w:eastAsia="en-US"/>
        </w:rPr>
        <w:t>/INFOEM/IP/RR/2025</w:t>
      </w:r>
      <w:r w:rsidRPr="00522D80">
        <w:rPr>
          <w:rFonts w:eastAsia="Calibri"/>
          <w:lang w:eastAsia="en-US"/>
        </w:rPr>
        <w:t xml:space="preserve"> </w:t>
      </w:r>
      <w:r w:rsidRPr="00522D80">
        <w:t>interpuesto por</w:t>
      </w:r>
      <w:r w:rsidR="00AE4B12" w:rsidRPr="00522D80">
        <w:t xml:space="preserve"> </w:t>
      </w:r>
      <w:bookmarkStart w:id="3" w:name="_GoBack"/>
      <w:r w:rsidR="00130B10">
        <w:rPr>
          <w:rFonts w:eastAsia="Calibri" w:cs="Tahoma"/>
          <w:b/>
          <w:szCs w:val="22"/>
          <w:lang w:eastAsia="en-US"/>
        </w:rPr>
        <w:t>XXXX XXXXXXX</w:t>
      </w:r>
      <w:bookmarkEnd w:id="3"/>
      <w:r w:rsidRPr="00522D80">
        <w:rPr>
          <w:rFonts w:eastAsia="Calibri"/>
          <w:b/>
          <w:lang w:eastAsia="en-US"/>
        </w:rPr>
        <w:t>,</w:t>
      </w:r>
      <w:r w:rsidRPr="00522D80">
        <w:t xml:space="preserve"> a quien en lo subsecuente se le denominará </w:t>
      </w:r>
      <w:r w:rsidRPr="00522D80">
        <w:rPr>
          <w:b/>
          <w:bCs/>
        </w:rPr>
        <w:t>LA PARTE RECURRENTE</w:t>
      </w:r>
      <w:r w:rsidRPr="00522D80">
        <w:t xml:space="preserve">, en contra de la </w:t>
      </w:r>
      <w:r w:rsidR="00773DD6" w:rsidRPr="00522D80">
        <w:t xml:space="preserve">respuesta </w:t>
      </w:r>
      <w:r w:rsidR="00BA1AB6" w:rsidRPr="00522D80">
        <w:t>de</w:t>
      </w:r>
      <w:r w:rsidR="005A5BF2" w:rsidRPr="00522D80">
        <w:t>l</w:t>
      </w:r>
      <w:r w:rsidR="00773DD6" w:rsidRPr="00522D80">
        <w:t xml:space="preserve"> </w:t>
      </w:r>
      <w:r w:rsidR="00C66138" w:rsidRPr="00522D80">
        <w:rPr>
          <w:b/>
          <w:bCs/>
        </w:rPr>
        <w:t>Instituto Electoral del Estado de México</w:t>
      </w:r>
      <w:r w:rsidRPr="00522D80">
        <w:rPr>
          <w:b/>
          <w:bCs/>
        </w:rPr>
        <w:t xml:space="preserve">, </w:t>
      </w:r>
      <w:r w:rsidRPr="00522D80">
        <w:t xml:space="preserve">en adelante </w:t>
      </w:r>
      <w:r w:rsidRPr="00522D80">
        <w:rPr>
          <w:b/>
          <w:bCs/>
        </w:rPr>
        <w:t>EL SUJETO OBLIGADO</w:t>
      </w:r>
      <w:r w:rsidRPr="00522D80">
        <w:rPr>
          <w:rFonts w:eastAsia="Calibri"/>
          <w:lang w:eastAsia="en-US"/>
        </w:rPr>
        <w:t xml:space="preserve">, </w:t>
      </w:r>
      <w:r w:rsidRPr="00522D80">
        <w:t>se emite la presente Resolución con base en los Antecedentes y Considerandos que se exponen a continuación:</w:t>
      </w:r>
    </w:p>
    <w:p w14:paraId="2116968C" w14:textId="77777777" w:rsidR="00775BFC" w:rsidRPr="00522D80" w:rsidRDefault="00775BFC" w:rsidP="00775BFC"/>
    <w:p w14:paraId="5A444FB6" w14:textId="639D3567" w:rsidR="00664420" w:rsidRPr="00522D80" w:rsidRDefault="00664420" w:rsidP="00664420">
      <w:pPr>
        <w:pStyle w:val="Ttulo1"/>
      </w:pPr>
      <w:bookmarkStart w:id="4" w:name="_Toc208350915"/>
      <w:r w:rsidRPr="00522D80">
        <w:t>ANTECEDENTES</w:t>
      </w:r>
      <w:bookmarkEnd w:id="4"/>
    </w:p>
    <w:p w14:paraId="5CB5034E" w14:textId="77777777" w:rsidR="00AC2DB8" w:rsidRPr="00522D80" w:rsidRDefault="00AC2DB8" w:rsidP="00E37A3F"/>
    <w:p w14:paraId="09B2D38F" w14:textId="6E49D146" w:rsidR="00664420" w:rsidRPr="00522D80" w:rsidRDefault="00E37A3F" w:rsidP="00C80B14">
      <w:pPr>
        <w:pStyle w:val="Ttulo2"/>
      </w:pPr>
      <w:bookmarkStart w:id="5" w:name="_Toc208350916"/>
      <w:r w:rsidRPr="00522D80">
        <w:t>DE LA SOLICITUD DE INFORMACIÓN</w:t>
      </w:r>
      <w:bookmarkEnd w:id="5"/>
    </w:p>
    <w:p w14:paraId="2C6AD1A5" w14:textId="0405B3CD" w:rsidR="00664420" w:rsidRPr="00522D80" w:rsidRDefault="00E37A3F" w:rsidP="00E37A3F">
      <w:pPr>
        <w:pStyle w:val="Ttulo3"/>
      </w:pPr>
      <w:bookmarkStart w:id="6" w:name="_Toc208350917"/>
      <w:r w:rsidRPr="00522D80">
        <w:t xml:space="preserve">a) </w:t>
      </w:r>
      <w:r w:rsidR="006B10B0" w:rsidRPr="00522D80">
        <w:t>S</w:t>
      </w:r>
      <w:r w:rsidR="00664420" w:rsidRPr="00522D80">
        <w:t xml:space="preserve">olicitud de </w:t>
      </w:r>
      <w:r w:rsidR="006B10B0" w:rsidRPr="00522D80">
        <w:t>i</w:t>
      </w:r>
      <w:r w:rsidR="00664420" w:rsidRPr="00522D80">
        <w:t>nformación</w:t>
      </w:r>
      <w:bookmarkEnd w:id="6"/>
    </w:p>
    <w:p w14:paraId="6F73510B" w14:textId="6462CA0D" w:rsidR="000F32E8" w:rsidRPr="00522D80" w:rsidRDefault="00B169A2" w:rsidP="000F32E8">
      <w:pPr>
        <w:pStyle w:val="Prrafodelista"/>
        <w:tabs>
          <w:tab w:val="left" w:pos="0"/>
        </w:tabs>
        <w:ind w:left="0"/>
        <w:contextualSpacing w:val="0"/>
        <w:rPr>
          <w:rFonts w:cs="Tahoma"/>
        </w:rPr>
      </w:pPr>
      <w:r w:rsidRPr="00522D80">
        <w:rPr>
          <w:rFonts w:cs="Tahoma"/>
        </w:rPr>
        <w:t xml:space="preserve">El </w:t>
      </w:r>
      <w:r w:rsidR="00C66138" w:rsidRPr="00522D80">
        <w:rPr>
          <w:rFonts w:cs="Tahoma"/>
          <w:b/>
          <w:bCs/>
        </w:rPr>
        <w:t xml:space="preserve">veintiuno de mayo </w:t>
      </w:r>
      <w:r w:rsidR="006E7E69" w:rsidRPr="00522D80">
        <w:rPr>
          <w:rFonts w:cs="Tahoma"/>
          <w:b/>
          <w:bCs/>
        </w:rPr>
        <w:t>de dos mil veinticinco</w:t>
      </w:r>
      <w:r w:rsidRPr="00522D80">
        <w:rPr>
          <w:rFonts w:cs="Tahoma"/>
        </w:rPr>
        <w:t xml:space="preserve">, </w:t>
      </w:r>
      <w:r w:rsidRPr="00522D80">
        <w:rPr>
          <w:b/>
          <w:bCs/>
        </w:rPr>
        <w:t>LA PARTE RECURRENTE</w:t>
      </w:r>
      <w:r w:rsidRPr="00522D80">
        <w:rPr>
          <w:rFonts w:cs="Tahoma"/>
        </w:rPr>
        <w:t xml:space="preserve"> presentó una solicitud de acceso a la información pública ante el </w:t>
      </w:r>
      <w:r w:rsidRPr="00522D80">
        <w:rPr>
          <w:rFonts w:cs="Tahoma"/>
          <w:b/>
          <w:bCs/>
        </w:rPr>
        <w:t>SUJETO OBLIGADO</w:t>
      </w:r>
      <w:r w:rsidRPr="00522D80">
        <w:rPr>
          <w:rFonts w:cs="Tahoma"/>
        </w:rPr>
        <w:t xml:space="preserve">, a través </w:t>
      </w:r>
      <w:r w:rsidR="00CC5ED7" w:rsidRPr="00522D80">
        <w:rPr>
          <w:rFonts w:cs="Tahoma"/>
        </w:rPr>
        <w:t xml:space="preserve">del </w:t>
      </w:r>
      <w:r w:rsidR="000F32E8" w:rsidRPr="00522D80">
        <w:rPr>
          <w:rFonts w:cs="Tahoma"/>
        </w:rPr>
        <w:t>Sistema de Acceso a la Información Mexiquense (</w:t>
      </w:r>
      <w:r w:rsidR="000F32E8" w:rsidRPr="00522D80">
        <w:rPr>
          <w:rFonts w:cs="Tahoma"/>
          <w:b/>
        </w:rPr>
        <w:t>SAIMEX</w:t>
      </w:r>
      <w:r w:rsidR="000F32E8" w:rsidRPr="00522D80">
        <w:rPr>
          <w:rFonts w:cs="Tahoma"/>
        </w:rPr>
        <w:t xml:space="preserve">). </w:t>
      </w:r>
      <w:r w:rsidRPr="00522D80">
        <w:rPr>
          <w:rFonts w:cs="Tahoma"/>
        </w:rPr>
        <w:t>Dicha solicitud quedó registrada con el número de folio</w:t>
      </w:r>
      <w:r w:rsidRPr="00522D80">
        <w:rPr>
          <w:rFonts w:cs="Tahoma"/>
          <w:b/>
          <w:bCs/>
        </w:rPr>
        <w:t xml:space="preserve"> </w:t>
      </w:r>
      <w:r w:rsidR="00C66138" w:rsidRPr="00522D80">
        <w:rPr>
          <w:rFonts w:cs="Tahoma"/>
          <w:b/>
        </w:rPr>
        <w:t>00881/IEEM/IP/2025</w:t>
      </w:r>
      <w:r w:rsidR="00C66138" w:rsidRPr="00522D80">
        <w:rPr>
          <w:rFonts w:cs="Tahoma"/>
        </w:rPr>
        <w:t xml:space="preserve"> </w:t>
      </w:r>
      <w:r w:rsidRPr="00522D80">
        <w:rPr>
          <w:rFonts w:cs="Tahoma"/>
        </w:rPr>
        <w:t>y en ella se requirió la siguiente información:</w:t>
      </w:r>
    </w:p>
    <w:p w14:paraId="0459D6AC" w14:textId="77777777" w:rsidR="00664420" w:rsidRPr="00522D80" w:rsidRDefault="00664420" w:rsidP="00664420">
      <w:pPr>
        <w:tabs>
          <w:tab w:val="left" w:pos="4667"/>
        </w:tabs>
        <w:ind w:left="567" w:right="567"/>
        <w:rPr>
          <w:rFonts w:cs="Tahoma"/>
          <w:b/>
          <w:bCs/>
        </w:rPr>
      </w:pPr>
    </w:p>
    <w:p w14:paraId="64B27DE3" w14:textId="4B4BF567" w:rsidR="00664420" w:rsidRPr="00522D80" w:rsidRDefault="002B1D44" w:rsidP="00B169A2">
      <w:pPr>
        <w:pStyle w:val="Puesto"/>
      </w:pPr>
      <w:r w:rsidRPr="00522D80">
        <w:t>“</w:t>
      </w:r>
      <w:r w:rsidR="00C66138" w:rsidRPr="00522D80">
        <w:t>Solicito los foros y conferencias para promover el voto libre y razonado de la elección extraordinaria 2025, precisando las sedes donde se realizaron, las fechas y las listas de asistentes.</w:t>
      </w:r>
      <w:r w:rsidRPr="00522D80">
        <w:t>”</w:t>
      </w:r>
      <w:r w:rsidR="00BA1AB6" w:rsidRPr="00522D80">
        <w:t xml:space="preserve"> (</w:t>
      </w:r>
      <w:proofErr w:type="gramStart"/>
      <w:r w:rsidR="00BA1AB6" w:rsidRPr="00522D80">
        <w:t>sic</w:t>
      </w:r>
      <w:proofErr w:type="gramEnd"/>
      <w:r w:rsidR="00BA1AB6" w:rsidRPr="00522D80">
        <w:t>)</w:t>
      </w:r>
    </w:p>
    <w:p w14:paraId="07B1E1B5" w14:textId="77777777" w:rsidR="004D0573" w:rsidRPr="00522D80" w:rsidRDefault="004D0573" w:rsidP="006E7E69">
      <w:pPr>
        <w:pStyle w:val="Puesto"/>
      </w:pPr>
    </w:p>
    <w:p w14:paraId="0BD6321D" w14:textId="5D8567EA" w:rsidR="00664420" w:rsidRPr="00522D80" w:rsidRDefault="009A2D78" w:rsidP="009A2D78">
      <w:pPr>
        <w:tabs>
          <w:tab w:val="left" w:pos="4667"/>
        </w:tabs>
        <w:ind w:left="567" w:right="567"/>
        <w:rPr>
          <w:rFonts w:cs="Tahoma"/>
          <w:bCs/>
          <w:szCs w:val="22"/>
        </w:rPr>
      </w:pPr>
      <w:r w:rsidRPr="00522D80">
        <w:rPr>
          <w:rFonts w:cs="Tahoma"/>
          <w:b/>
          <w:bCs/>
          <w:szCs w:val="22"/>
        </w:rPr>
        <w:t>Modalidad de entrega</w:t>
      </w:r>
      <w:r w:rsidRPr="00522D80">
        <w:rPr>
          <w:rFonts w:cs="Tahoma"/>
          <w:bCs/>
          <w:szCs w:val="22"/>
        </w:rPr>
        <w:t>: a</w:t>
      </w:r>
      <w:r w:rsidR="00664420" w:rsidRPr="00522D80">
        <w:rPr>
          <w:rFonts w:cs="Tahoma"/>
          <w:bCs/>
          <w:i/>
          <w:szCs w:val="22"/>
        </w:rPr>
        <w:t xml:space="preserve"> través del </w:t>
      </w:r>
      <w:r w:rsidR="00664420" w:rsidRPr="00522D80">
        <w:rPr>
          <w:rFonts w:cs="Tahoma"/>
          <w:b/>
          <w:bCs/>
          <w:i/>
          <w:szCs w:val="22"/>
        </w:rPr>
        <w:t>SAIMEX</w:t>
      </w:r>
      <w:r w:rsidRPr="00522D80">
        <w:rPr>
          <w:rFonts w:cs="Tahoma"/>
          <w:bCs/>
          <w:i/>
          <w:szCs w:val="22"/>
        </w:rPr>
        <w:t>.</w:t>
      </w:r>
    </w:p>
    <w:p w14:paraId="334D2860" w14:textId="77777777" w:rsidR="00664420" w:rsidRPr="00522D80" w:rsidRDefault="00664420" w:rsidP="00664420">
      <w:pPr>
        <w:autoSpaceDE w:val="0"/>
        <w:autoSpaceDN w:val="0"/>
        <w:adjustRightInd w:val="0"/>
        <w:ind w:right="-28"/>
        <w:rPr>
          <w:rFonts w:cs="Tahoma"/>
          <w:bCs/>
          <w:i/>
          <w:szCs w:val="22"/>
        </w:rPr>
      </w:pPr>
    </w:p>
    <w:p w14:paraId="6C03ED27" w14:textId="77777777" w:rsidR="00523DD3" w:rsidRPr="00522D80" w:rsidRDefault="00523DD3" w:rsidP="00523DD3">
      <w:pPr>
        <w:pStyle w:val="Ttulo3"/>
        <w:rPr>
          <w:szCs w:val="32"/>
        </w:rPr>
      </w:pPr>
      <w:bookmarkStart w:id="7" w:name="_Toc208350918"/>
      <w:r w:rsidRPr="00522D80">
        <w:rPr>
          <w:szCs w:val="32"/>
        </w:rPr>
        <w:lastRenderedPageBreak/>
        <w:t>b) Turno de la solicitud de información</w:t>
      </w:r>
      <w:bookmarkEnd w:id="7"/>
    </w:p>
    <w:p w14:paraId="6DADD006" w14:textId="55018D9D" w:rsidR="00523DD3" w:rsidRPr="00522D80" w:rsidRDefault="00523DD3" w:rsidP="00523DD3">
      <w:pPr>
        <w:rPr>
          <w:color w:val="000000"/>
        </w:rPr>
      </w:pPr>
      <w:r w:rsidRPr="00522D80">
        <w:rPr>
          <w:color w:val="000000"/>
        </w:rPr>
        <w:t xml:space="preserve">En cumplimiento al artículo 162 de la Ley de Transparencia y Acceso a la Información Pública del Estado de México y Municipios, el </w:t>
      </w:r>
      <w:r w:rsidR="00C66138" w:rsidRPr="00522D80">
        <w:rPr>
          <w:b/>
        </w:rPr>
        <w:t xml:space="preserve">veintidós de mayo </w:t>
      </w:r>
      <w:r w:rsidRPr="00522D80">
        <w:rPr>
          <w:b/>
        </w:rPr>
        <w:t>de dos mil veinticinco</w:t>
      </w:r>
      <w:r w:rsidRPr="00522D80">
        <w:rPr>
          <w:color w:val="000000"/>
        </w:rPr>
        <w:t xml:space="preserve">, el Titular de la Unidad de Transparencia del </w:t>
      </w:r>
      <w:r w:rsidRPr="00522D80">
        <w:rPr>
          <w:b/>
          <w:color w:val="000000"/>
        </w:rPr>
        <w:t>SUJETO OBLIGADO</w:t>
      </w:r>
      <w:r w:rsidRPr="00522D80">
        <w:rPr>
          <w:color w:val="000000"/>
        </w:rPr>
        <w:t xml:space="preserve"> turnó la solicitud de información al servidor público habilitado que estimó pertinente.</w:t>
      </w:r>
    </w:p>
    <w:p w14:paraId="2C6F0706" w14:textId="77777777" w:rsidR="00523DD3" w:rsidRPr="00522D80" w:rsidRDefault="00523DD3" w:rsidP="00664420">
      <w:pPr>
        <w:autoSpaceDE w:val="0"/>
        <w:autoSpaceDN w:val="0"/>
        <w:adjustRightInd w:val="0"/>
        <w:ind w:right="-28"/>
        <w:rPr>
          <w:rFonts w:cs="Tahoma"/>
          <w:bCs/>
          <w:i/>
          <w:szCs w:val="22"/>
        </w:rPr>
      </w:pPr>
    </w:p>
    <w:p w14:paraId="3212BA4D" w14:textId="1BE581DD" w:rsidR="00664420" w:rsidRPr="00522D80" w:rsidRDefault="00523DD3" w:rsidP="00396C48">
      <w:pPr>
        <w:pStyle w:val="Ttulo3"/>
        <w:rPr>
          <w:szCs w:val="32"/>
        </w:rPr>
      </w:pPr>
      <w:bookmarkStart w:id="8" w:name="_Toc204692533"/>
      <w:bookmarkStart w:id="9" w:name="_Toc208350919"/>
      <w:r w:rsidRPr="00522D80">
        <w:rPr>
          <w:szCs w:val="32"/>
        </w:rPr>
        <w:t xml:space="preserve">c) </w:t>
      </w:r>
      <w:bookmarkEnd w:id="8"/>
      <w:r w:rsidR="00664420" w:rsidRPr="00522D80">
        <w:rPr>
          <w:szCs w:val="32"/>
        </w:rPr>
        <w:t>Respuesta del Sujeto Obligado</w:t>
      </w:r>
      <w:bookmarkEnd w:id="9"/>
    </w:p>
    <w:p w14:paraId="2143017E" w14:textId="6EEF862D" w:rsidR="00BA1AB6" w:rsidRPr="00522D80" w:rsidRDefault="003B0255" w:rsidP="003B0255">
      <w:pPr>
        <w:rPr>
          <w:lang w:val="es-ES"/>
        </w:rPr>
      </w:pPr>
      <w:r w:rsidRPr="00522D80">
        <w:rPr>
          <w:lang w:val="es-ES"/>
        </w:rPr>
        <w:t xml:space="preserve">El </w:t>
      </w:r>
      <w:r w:rsidR="00C66138" w:rsidRPr="00522D80">
        <w:rPr>
          <w:b/>
          <w:bCs/>
          <w:lang w:val="es-ES"/>
        </w:rPr>
        <w:t>once de juni</w:t>
      </w:r>
      <w:r w:rsidR="00523DD3" w:rsidRPr="00522D80">
        <w:rPr>
          <w:b/>
          <w:bCs/>
          <w:lang w:val="es-ES"/>
        </w:rPr>
        <w:t xml:space="preserve">o </w:t>
      </w:r>
      <w:r w:rsidRPr="00522D80">
        <w:rPr>
          <w:b/>
          <w:bCs/>
          <w:lang w:val="es-ES"/>
        </w:rPr>
        <w:t>de dos mil veintic</w:t>
      </w:r>
      <w:r w:rsidR="006E7E69" w:rsidRPr="00522D80">
        <w:rPr>
          <w:b/>
          <w:bCs/>
          <w:lang w:val="es-ES"/>
        </w:rPr>
        <w:t>inco</w:t>
      </w:r>
      <w:r w:rsidRPr="00522D80">
        <w:rPr>
          <w:lang w:val="es-ES"/>
        </w:rPr>
        <w:t xml:space="preserve">, el Titular de la Unidad de Transparencia del </w:t>
      </w:r>
      <w:r w:rsidRPr="00522D80">
        <w:rPr>
          <w:b/>
          <w:lang w:val="es-ES"/>
        </w:rPr>
        <w:t>SUJETO OBLIGADO</w:t>
      </w:r>
      <w:r w:rsidRPr="00522D80">
        <w:rPr>
          <w:lang w:val="es-ES"/>
        </w:rPr>
        <w:t xml:space="preserve"> notificó la siguiente respuesta a través del </w:t>
      </w:r>
      <w:r w:rsidRPr="00522D80">
        <w:rPr>
          <w:b/>
          <w:lang w:val="es-ES"/>
        </w:rPr>
        <w:t>SAIMEX</w:t>
      </w:r>
      <w:r w:rsidRPr="00522D80">
        <w:rPr>
          <w:lang w:val="es-ES"/>
        </w:rPr>
        <w:t>:</w:t>
      </w:r>
    </w:p>
    <w:p w14:paraId="64166B4B" w14:textId="77777777" w:rsidR="003B0255" w:rsidRPr="00522D80" w:rsidRDefault="003B0255" w:rsidP="003B0255"/>
    <w:p w14:paraId="7E722494" w14:textId="77777777" w:rsidR="00C66138" w:rsidRPr="00522D80" w:rsidRDefault="003B0255" w:rsidP="00C66138">
      <w:pPr>
        <w:pStyle w:val="Puesto"/>
      </w:pPr>
      <w:r w:rsidRPr="00522D80">
        <w:t>“</w:t>
      </w:r>
      <w:r w:rsidR="00C66138" w:rsidRPr="00522D80">
        <w:t>En respuesta a la solicitud recibida, nos permitimos hacer de su conocimiento que con fundamento en el artículo 53, Fracciones: II, V y VI de la Ley de Transparencia y Acceso a la Información Pública del Estado de México y Municipios, le contestamos que:</w:t>
      </w:r>
    </w:p>
    <w:p w14:paraId="2EAC6B85" w14:textId="77777777" w:rsidR="00C66138" w:rsidRPr="00522D80" w:rsidRDefault="00C66138" w:rsidP="00C66138"/>
    <w:p w14:paraId="7BF234C7" w14:textId="77777777" w:rsidR="00C66138" w:rsidRPr="00522D80" w:rsidRDefault="00C66138" w:rsidP="00C66138">
      <w:pPr>
        <w:pStyle w:val="Puesto"/>
      </w:pPr>
      <w:r w:rsidRPr="00522D80">
        <w:t>Se adjunta respuesta a su solicitud de información.</w:t>
      </w:r>
    </w:p>
    <w:p w14:paraId="27A59B52" w14:textId="77777777" w:rsidR="00C66138" w:rsidRPr="00522D80" w:rsidRDefault="00C66138" w:rsidP="00C66138"/>
    <w:p w14:paraId="15DFAF9B" w14:textId="77777777" w:rsidR="00C66138" w:rsidRPr="00522D80" w:rsidRDefault="00C66138" w:rsidP="00C66138">
      <w:pPr>
        <w:pStyle w:val="Puesto"/>
      </w:pPr>
      <w:r w:rsidRPr="00522D80">
        <w:t>ATENTAMENTE</w:t>
      </w:r>
    </w:p>
    <w:p w14:paraId="4A08B1BE" w14:textId="416083C8" w:rsidR="003B0255" w:rsidRPr="00522D80" w:rsidRDefault="00C66138" w:rsidP="00C66138">
      <w:pPr>
        <w:pStyle w:val="Puesto"/>
      </w:pPr>
      <w:r w:rsidRPr="00522D80">
        <w:t>MAESTRA LILIBETH ÁLVAREZ RODRÍGUEZ</w:t>
      </w:r>
      <w:r w:rsidR="003B0255" w:rsidRPr="00522D80">
        <w:t>” (sic)</w:t>
      </w:r>
    </w:p>
    <w:p w14:paraId="4B1F18A0" w14:textId="77777777" w:rsidR="003B0255" w:rsidRPr="00522D80" w:rsidRDefault="003B0255" w:rsidP="003B0255"/>
    <w:p w14:paraId="3D1C6C45" w14:textId="23CC5111" w:rsidR="00523DD3" w:rsidRPr="00522D80" w:rsidRDefault="003B0255" w:rsidP="00B169A2">
      <w:pPr>
        <w:autoSpaceDE w:val="0"/>
        <w:autoSpaceDN w:val="0"/>
        <w:adjustRightInd w:val="0"/>
        <w:ind w:right="-28"/>
        <w:rPr>
          <w:rFonts w:cs="Tahoma"/>
          <w:bCs/>
          <w:szCs w:val="22"/>
          <w:lang w:val="es-ES"/>
        </w:rPr>
      </w:pPr>
      <w:r w:rsidRPr="00522D80">
        <w:rPr>
          <w:rFonts w:cs="Tahoma"/>
          <w:bCs/>
          <w:szCs w:val="22"/>
          <w:lang w:val="es-ES"/>
        </w:rPr>
        <w:t xml:space="preserve">Asimismo, </w:t>
      </w:r>
      <w:r w:rsidRPr="00522D80">
        <w:rPr>
          <w:rFonts w:cs="Tahoma"/>
          <w:b/>
          <w:szCs w:val="22"/>
          <w:lang w:val="es-ES"/>
        </w:rPr>
        <w:t xml:space="preserve">EL SUJETO OBLIGADO </w:t>
      </w:r>
      <w:r w:rsidRPr="00522D80">
        <w:rPr>
          <w:rFonts w:cs="Tahoma"/>
          <w:bCs/>
          <w:szCs w:val="22"/>
          <w:lang w:val="es-ES"/>
        </w:rPr>
        <w:t xml:space="preserve">adjuntó a su respuesta </w:t>
      </w:r>
      <w:r w:rsidR="00C66138" w:rsidRPr="00522D80">
        <w:rPr>
          <w:rFonts w:cs="Tahoma"/>
          <w:bCs/>
          <w:szCs w:val="22"/>
          <w:lang w:val="es-ES"/>
        </w:rPr>
        <w:t xml:space="preserve">la carpeta comprimida denominada </w:t>
      </w:r>
      <w:r w:rsidR="00C66138" w:rsidRPr="00522D80">
        <w:rPr>
          <w:rFonts w:cs="Tahoma"/>
          <w:b/>
          <w:bCs/>
          <w:i/>
          <w:szCs w:val="22"/>
        </w:rPr>
        <w:t xml:space="preserve">RESPUESTA 881-2025.rar, </w:t>
      </w:r>
      <w:r w:rsidR="00C66138" w:rsidRPr="00522D80">
        <w:rPr>
          <w:rFonts w:cs="Tahoma"/>
          <w:bCs/>
          <w:szCs w:val="22"/>
        </w:rPr>
        <w:t xml:space="preserve">la cual de su contenido se advierten los </w:t>
      </w:r>
      <w:r w:rsidR="009D1BF6" w:rsidRPr="00522D80">
        <w:rPr>
          <w:rFonts w:cs="Tahoma"/>
          <w:bCs/>
          <w:szCs w:val="22"/>
          <w:lang w:val="es-ES"/>
        </w:rPr>
        <w:t>archivo</w:t>
      </w:r>
      <w:r w:rsidR="00523DD3" w:rsidRPr="00522D80">
        <w:rPr>
          <w:rFonts w:cs="Tahoma"/>
          <w:bCs/>
          <w:szCs w:val="22"/>
          <w:lang w:val="es-ES"/>
        </w:rPr>
        <w:t>s</w:t>
      </w:r>
      <w:r w:rsidR="009D1BF6" w:rsidRPr="00522D80">
        <w:rPr>
          <w:rFonts w:cs="Tahoma"/>
          <w:bCs/>
          <w:szCs w:val="22"/>
          <w:lang w:val="es-ES"/>
        </w:rPr>
        <w:t xml:space="preserve"> electrónico</w:t>
      </w:r>
      <w:r w:rsidR="00523DD3" w:rsidRPr="00522D80">
        <w:rPr>
          <w:rFonts w:cs="Tahoma"/>
          <w:bCs/>
          <w:szCs w:val="22"/>
          <w:lang w:val="es-ES"/>
        </w:rPr>
        <w:t xml:space="preserve">s que a continuación se describen: </w:t>
      </w:r>
    </w:p>
    <w:p w14:paraId="70A03CBE" w14:textId="77777777" w:rsidR="00523DD3" w:rsidRPr="00522D80" w:rsidRDefault="00523DD3" w:rsidP="00B169A2">
      <w:pPr>
        <w:autoSpaceDE w:val="0"/>
        <w:autoSpaceDN w:val="0"/>
        <w:adjustRightInd w:val="0"/>
        <w:ind w:right="-28"/>
        <w:rPr>
          <w:rFonts w:cs="Tahoma"/>
          <w:bCs/>
          <w:szCs w:val="22"/>
          <w:lang w:val="es-ES"/>
        </w:rPr>
      </w:pPr>
    </w:p>
    <w:p w14:paraId="3280ED6A" w14:textId="5C7BCDC6" w:rsidR="00C66138" w:rsidRPr="00522D80" w:rsidRDefault="00C66138" w:rsidP="00C66138">
      <w:pPr>
        <w:pStyle w:val="Prrafodelista"/>
        <w:numPr>
          <w:ilvl w:val="0"/>
          <w:numId w:val="5"/>
        </w:numPr>
        <w:autoSpaceDE w:val="0"/>
        <w:autoSpaceDN w:val="0"/>
        <w:adjustRightInd w:val="0"/>
        <w:ind w:right="-28"/>
        <w:rPr>
          <w:rFonts w:cs="Tahoma"/>
          <w:b/>
          <w:bCs/>
          <w:i/>
          <w:szCs w:val="22"/>
        </w:rPr>
      </w:pPr>
      <w:r w:rsidRPr="00522D80">
        <w:rPr>
          <w:rFonts w:cs="Tahoma"/>
          <w:b/>
          <w:bCs/>
          <w:i/>
          <w:szCs w:val="22"/>
        </w:rPr>
        <w:t xml:space="preserve">UCS_332_2025.docx </w:t>
      </w:r>
      <w:r w:rsidRPr="00522D80">
        <w:rPr>
          <w:rFonts w:cs="Tahoma"/>
          <w:bCs/>
          <w:szCs w:val="22"/>
        </w:rPr>
        <w:t xml:space="preserve">y </w:t>
      </w:r>
      <w:r w:rsidRPr="00522D80">
        <w:rPr>
          <w:rFonts w:cs="Tahoma"/>
          <w:b/>
          <w:bCs/>
          <w:i/>
          <w:szCs w:val="22"/>
        </w:rPr>
        <w:t xml:space="preserve">RESPUESTA 881-2025 UCS.pdf, </w:t>
      </w:r>
      <w:r w:rsidRPr="00522D80">
        <w:rPr>
          <w:rFonts w:cs="Tahoma"/>
          <w:bCs/>
          <w:szCs w:val="22"/>
        </w:rPr>
        <w:t xml:space="preserve">el cual contiene el oficio IEEM/UCS/332/2025 del once de junio de dos mil veinticinco, por medio del cual la Jefa de la Unidad de Comunicación Social, refiere no contar con la información requerida; no obstante proporciona liga electrónica del canal institucional del IEEM en el que se </w:t>
      </w:r>
      <w:r w:rsidRPr="00522D80">
        <w:rPr>
          <w:rFonts w:cs="Tahoma"/>
          <w:bCs/>
          <w:szCs w:val="22"/>
        </w:rPr>
        <w:lastRenderedPageBreak/>
        <w:t xml:space="preserve">encuentran publicados videos de foros y conferencias que se han realizado en torno al Proceso Electora Judicial Extraordinario 2025 del Estado de México. </w:t>
      </w:r>
    </w:p>
    <w:p w14:paraId="1720C145" w14:textId="6FB26F99" w:rsidR="00C66138" w:rsidRPr="00522D80" w:rsidRDefault="00C66138" w:rsidP="00C66138">
      <w:pPr>
        <w:pStyle w:val="Prrafodelista"/>
        <w:numPr>
          <w:ilvl w:val="0"/>
          <w:numId w:val="5"/>
        </w:numPr>
        <w:autoSpaceDE w:val="0"/>
        <w:autoSpaceDN w:val="0"/>
        <w:adjustRightInd w:val="0"/>
        <w:ind w:right="-28"/>
        <w:rPr>
          <w:rFonts w:cs="Tahoma"/>
          <w:b/>
          <w:bCs/>
          <w:i/>
          <w:szCs w:val="22"/>
        </w:rPr>
      </w:pPr>
      <w:r w:rsidRPr="00522D80">
        <w:rPr>
          <w:rFonts w:cs="Tahoma"/>
          <w:b/>
          <w:bCs/>
          <w:i/>
          <w:szCs w:val="22"/>
        </w:rPr>
        <w:t xml:space="preserve">Relación de presentaciones y sedes Sistema Conóceles 2025.pdf, </w:t>
      </w:r>
      <w:r w:rsidRPr="00522D80">
        <w:rPr>
          <w:rFonts w:cs="Tahoma"/>
          <w:bCs/>
          <w:szCs w:val="22"/>
        </w:rPr>
        <w:t xml:space="preserve">el cual contiene listado de presentaciones del Sistema Conóceles con Alianzas Estratégicas, que contiene los apartados de Distrito, Municipio, Sedes, fecha y hora y modalidad. </w:t>
      </w:r>
    </w:p>
    <w:p w14:paraId="34CEEA0E" w14:textId="433F41A2" w:rsidR="00C66138" w:rsidRPr="00522D80" w:rsidRDefault="00C66138" w:rsidP="00342F30">
      <w:pPr>
        <w:pStyle w:val="Prrafodelista"/>
        <w:numPr>
          <w:ilvl w:val="0"/>
          <w:numId w:val="5"/>
        </w:numPr>
        <w:autoSpaceDE w:val="0"/>
        <w:autoSpaceDN w:val="0"/>
        <w:adjustRightInd w:val="0"/>
        <w:ind w:right="-28"/>
        <w:rPr>
          <w:rFonts w:cs="Tahoma"/>
          <w:bCs/>
          <w:szCs w:val="22"/>
        </w:rPr>
      </w:pPr>
      <w:r w:rsidRPr="00522D80">
        <w:rPr>
          <w:rFonts w:cs="Tahoma"/>
          <w:b/>
          <w:bCs/>
          <w:i/>
          <w:szCs w:val="22"/>
        </w:rPr>
        <w:t>Oficio 1619-2025 respuesta  SIP 00881.docx</w:t>
      </w:r>
      <w:r w:rsidR="00342F30" w:rsidRPr="00522D80">
        <w:rPr>
          <w:rFonts w:cs="Tahoma"/>
          <w:b/>
          <w:bCs/>
          <w:i/>
          <w:szCs w:val="22"/>
        </w:rPr>
        <w:t xml:space="preserve"> </w:t>
      </w:r>
      <w:r w:rsidR="00342F30" w:rsidRPr="00522D80">
        <w:rPr>
          <w:rFonts w:cs="Tahoma"/>
          <w:bCs/>
          <w:szCs w:val="22"/>
        </w:rPr>
        <w:t>y</w:t>
      </w:r>
      <w:r w:rsidR="00342F30" w:rsidRPr="00522D80">
        <w:rPr>
          <w:rFonts w:cs="Tahoma"/>
          <w:b/>
          <w:bCs/>
          <w:i/>
          <w:szCs w:val="22"/>
        </w:rPr>
        <w:t xml:space="preserve"> OFICIO RESPUESTA 881-2025 UT</w:t>
      </w:r>
      <w:r w:rsidRPr="00522D80">
        <w:rPr>
          <w:rFonts w:cs="Tahoma"/>
          <w:b/>
          <w:bCs/>
          <w:i/>
          <w:szCs w:val="22"/>
        </w:rPr>
        <w:t xml:space="preserve">, </w:t>
      </w:r>
      <w:r w:rsidRPr="00522D80">
        <w:rPr>
          <w:rFonts w:cs="Tahoma"/>
          <w:bCs/>
          <w:szCs w:val="22"/>
        </w:rPr>
        <w:t>el cual contiene el oficio IEEM/UT/1619/2025 del nueve de junio de dos mil veinticinco, por medio del cual la Jefa de la Unidad de Transparencia,</w:t>
      </w:r>
      <w:r w:rsidR="00336663" w:rsidRPr="00522D80">
        <w:rPr>
          <w:rFonts w:cs="Tahoma"/>
          <w:bCs/>
          <w:szCs w:val="22"/>
        </w:rPr>
        <w:t xml:space="preserve"> refiere adjuntar las respuestas emitidas por el Centro de Formación y Documentación Electoral, la Unidad Coordinadora de Género, la Unidad de Comunicación Social y de la Dirección de Participación Ciudadana; asimismo precisó que para difundir, promocionar el voto entre la ciudadanía y transparentar las candidaturas de las personas que participan en el Proceso Electoral Judicial Extraordinario 2025 del Estado de México, </w:t>
      </w:r>
      <w:r w:rsidR="00336663" w:rsidRPr="00522D80">
        <w:rPr>
          <w:rFonts w:cs="Tahoma"/>
          <w:b/>
          <w:bCs/>
          <w:szCs w:val="22"/>
        </w:rPr>
        <w:t>se desarrolló el Sistema “Conóceles” para el Proceso Electoral Judicial Extraordinario 2025</w:t>
      </w:r>
      <w:r w:rsidR="00336663" w:rsidRPr="00522D80">
        <w:rPr>
          <w:rFonts w:cs="Tahoma"/>
          <w:bCs/>
          <w:szCs w:val="22"/>
        </w:rPr>
        <w:t>, cuyo propósito fue proporcionar a la ciudadanía mexiquense información suficiente y relevante respecto a la identidad, el perfil e información curricular, los medios de contacto públicos, grado máximo de estudios, las razones y/o motivaciones personales, trayectoria y formación académica, historia profesional y/o laboral, su visión acerca de la función jurisdiccional y de la impartición de justicia en el Estado de México; así como las principales propuestas de mejora de la función jurisdiccional de las personas candidatas que se postularon para ocupar un cargo en el Poder Judicial del Estado de México.</w:t>
      </w:r>
      <w:r w:rsidRPr="00522D80">
        <w:rPr>
          <w:rFonts w:cs="Tahoma"/>
          <w:bCs/>
          <w:szCs w:val="22"/>
        </w:rPr>
        <w:t xml:space="preserve"> </w:t>
      </w:r>
    </w:p>
    <w:p w14:paraId="00F5F800" w14:textId="297608F3" w:rsidR="00C66138" w:rsidRPr="00522D80" w:rsidRDefault="00336663" w:rsidP="00336663">
      <w:pPr>
        <w:pStyle w:val="Prrafodelista"/>
        <w:numPr>
          <w:ilvl w:val="0"/>
          <w:numId w:val="5"/>
        </w:numPr>
        <w:autoSpaceDE w:val="0"/>
        <w:autoSpaceDN w:val="0"/>
        <w:adjustRightInd w:val="0"/>
        <w:ind w:right="-28"/>
        <w:rPr>
          <w:rFonts w:cs="Tahoma"/>
          <w:b/>
          <w:bCs/>
          <w:i/>
          <w:szCs w:val="22"/>
        </w:rPr>
      </w:pPr>
      <w:r w:rsidRPr="00522D80">
        <w:rPr>
          <w:rFonts w:cs="Tahoma"/>
          <w:b/>
          <w:bCs/>
          <w:i/>
          <w:szCs w:val="22"/>
        </w:rPr>
        <w:t xml:space="preserve">a031_25 METODOLOGÍA.pdf, </w:t>
      </w:r>
      <w:r w:rsidRPr="00522D80">
        <w:rPr>
          <w:rFonts w:cs="Tahoma"/>
          <w:bCs/>
          <w:szCs w:val="22"/>
        </w:rPr>
        <w:t xml:space="preserve">el cual contiene el Acuerdo IEEM/CG/31/2025 por el que se aprueba la Metodología para la difusión y promoción de la participación ciudadana en el Proceso Electoral Judicial Extraordinario 2025 del Estado de México. </w:t>
      </w:r>
    </w:p>
    <w:p w14:paraId="60C0F358" w14:textId="35EDF92E" w:rsidR="00336663" w:rsidRPr="00522D80" w:rsidRDefault="00336663" w:rsidP="00012348">
      <w:pPr>
        <w:pStyle w:val="Prrafodelista"/>
        <w:numPr>
          <w:ilvl w:val="0"/>
          <w:numId w:val="5"/>
        </w:numPr>
        <w:autoSpaceDE w:val="0"/>
        <w:autoSpaceDN w:val="0"/>
        <w:adjustRightInd w:val="0"/>
        <w:ind w:right="-28"/>
        <w:rPr>
          <w:rFonts w:cs="Tahoma"/>
          <w:bCs/>
          <w:szCs w:val="22"/>
        </w:rPr>
      </w:pPr>
      <w:r w:rsidRPr="00522D80">
        <w:rPr>
          <w:rFonts w:cs="Tahoma"/>
          <w:b/>
          <w:bCs/>
          <w:i/>
          <w:szCs w:val="22"/>
        </w:rPr>
        <w:lastRenderedPageBreak/>
        <w:t xml:space="preserve">881-2025 DPC.docx </w:t>
      </w:r>
      <w:r w:rsidRPr="00522D80">
        <w:rPr>
          <w:rFonts w:cs="Tahoma"/>
          <w:bCs/>
          <w:szCs w:val="22"/>
        </w:rPr>
        <w:t>y</w:t>
      </w:r>
      <w:r w:rsidRPr="00522D80">
        <w:rPr>
          <w:rFonts w:cs="Tahoma"/>
          <w:b/>
          <w:bCs/>
          <w:i/>
          <w:szCs w:val="22"/>
        </w:rPr>
        <w:t xml:space="preserve"> RESPUESTA 881-2025 DPC.pdf, </w:t>
      </w:r>
      <w:r w:rsidRPr="00522D80">
        <w:rPr>
          <w:rFonts w:cs="Tahoma"/>
          <w:bCs/>
          <w:szCs w:val="22"/>
        </w:rPr>
        <w:t>el cual contiene el oficio IEEM/DPC/465/2025 del treinta de mayo de dos mil veinticinco, por medio del cual la Directora de Participación Ciudadana informa que la Metodología para la difusión y promoción de la participación ciudadana en el Proceso Electoral Judicial Extraordinario 2025 del Estado de México, establece en su línea de acción 4. Acciones de Educación Electoral, el área encargada de realizar las conferencias es el Centro de Formación y Documentación Electoral.</w:t>
      </w:r>
    </w:p>
    <w:p w14:paraId="5F6B3A3D" w14:textId="487314B1" w:rsidR="00336663" w:rsidRPr="00522D80" w:rsidRDefault="00336663" w:rsidP="00336663">
      <w:pPr>
        <w:pStyle w:val="Prrafodelista"/>
        <w:numPr>
          <w:ilvl w:val="0"/>
          <w:numId w:val="5"/>
        </w:numPr>
        <w:autoSpaceDE w:val="0"/>
        <w:autoSpaceDN w:val="0"/>
        <w:adjustRightInd w:val="0"/>
        <w:ind w:right="-28"/>
        <w:rPr>
          <w:rFonts w:cs="Tahoma"/>
          <w:b/>
          <w:bCs/>
          <w:i/>
          <w:szCs w:val="22"/>
        </w:rPr>
      </w:pPr>
      <w:r w:rsidRPr="00522D80">
        <w:rPr>
          <w:rFonts w:cs="Tahoma"/>
          <w:b/>
          <w:bCs/>
          <w:i/>
          <w:szCs w:val="22"/>
        </w:rPr>
        <w:t>RESPUESTA 881-2025 UCG</w:t>
      </w:r>
      <w:r w:rsidR="00012348" w:rsidRPr="00522D80">
        <w:rPr>
          <w:rFonts w:cs="Tahoma"/>
          <w:b/>
          <w:bCs/>
          <w:i/>
          <w:szCs w:val="22"/>
        </w:rPr>
        <w:t xml:space="preserve">.pdf, </w:t>
      </w:r>
      <w:r w:rsidR="00012348" w:rsidRPr="00522D80">
        <w:rPr>
          <w:rFonts w:cs="Tahoma"/>
          <w:bCs/>
          <w:szCs w:val="22"/>
        </w:rPr>
        <w:t xml:space="preserve">el cual contiene el oficio IEEM/UCG/122/2025 del veintiocho de mayo de dos mil veinticinco, por medio del cual la Jefa de la Unidad Coordinadora de Género, refiere no contar con la información relacionada con foros y conferencias para promover el voto libre y razonado de la elección extraordinario 2025. </w:t>
      </w:r>
    </w:p>
    <w:p w14:paraId="01EDAEC9" w14:textId="228B6DDE" w:rsidR="00012348" w:rsidRPr="00522D80" w:rsidRDefault="00012348" w:rsidP="00012348">
      <w:pPr>
        <w:pStyle w:val="Prrafodelista"/>
        <w:numPr>
          <w:ilvl w:val="0"/>
          <w:numId w:val="5"/>
        </w:numPr>
        <w:autoSpaceDE w:val="0"/>
        <w:autoSpaceDN w:val="0"/>
        <w:adjustRightInd w:val="0"/>
        <w:ind w:right="-28"/>
        <w:rPr>
          <w:rFonts w:cs="Tahoma"/>
          <w:b/>
          <w:bCs/>
          <w:i/>
          <w:szCs w:val="22"/>
        </w:rPr>
      </w:pPr>
      <w:r w:rsidRPr="00522D80">
        <w:rPr>
          <w:rFonts w:cs="Tahoma"/>
          <w:b/>
          <w:bCs/>
          <w:i/>
          <w:szCs w:val="22"/>
        </w:rPr>
        <w:t xml:space="preserve">RESPUESTA 881-2025 CFDE.pdf, </w:t>
      </w:r>
      <w:r w:rsidRPr="00522D80">
        <w:rPr>
          <w:rFonts w:cs="Tahoma"/>
          <w:bCs/>
          <w:szCs w:val="22"/>
        </w:rPr>
        <w:t xml:space="preserve">el cual contiene el oficio IEEM/CG/CFDE/1125/2025 del veintiocho de mayo de dos mil veinticinco, por medio del cual la Jefa del Centro de Formación y Documentación Electoral, enlista 7 conferencias que el Centro de Formación y Documentación Electoral (CFDE) realizó el cumplimiento a la </w:t>
      </w:r>
      <w:r w:rsidRPr="00522D80">
        <w:rPr>
          <w:rFonts w:cs="Tahoma"/>
          <w:bCs/>
          <w:i/>
          <w:szCs w:val="22"/>
        </w:rPr>
        <w:t xml:space="preserve">Línea de Acción 4, Acciones de Educación Electoral, </w:t>
      </w:r>
      <w:r w:rsidRPr="00522D80">
        <w:rPr>
          <w:rFonts w:cs="Tahoma"/>
          <w:bCs/>
          <w:szCs w:val="22"/>
        </w:rPr>
        <w:t>de la metodología mencionada, denominada Ciclo de Conferencias sobre el “Proceso Electoral Judicial Extraordinario 2025 del Estado de México”. Adicionalmente a los eventos académicos establecidos en la metodología llevo a cabo diverso foros y conferencias las cuales enlista. Ahora bien respecto de la lista de asistentes refirió no contar con fuente obligacional para elaborar listas de asistencia, no obstante, sí se llevaron a cabo, salvo el evento realizado en el Auditorio Institucional el diez de abril de dos mil veinticinco, los cuales adjunta a su respuesta en versión pública, no omitiendo señalar que la Conferencia “Los nuevos desafíos de los órganos elector</w:t>
      </w:r>
      <w:r w:rsidR="00342F30" w:rsidRPr="00522D80">
        <w:rPr>
          <w:rFonts w:cs="Tahoma"/>
          <w:bCs/>
          <w:szCs w:val="22"/>
        </w:rPr>
        <w:t xml:space="preserve">ales ante la reforma judicial”, se dejó a la vista el nombre y cuentas de correos electrónicos institucional, toda vez que, corresponden a personas servidoras públicas. </w:t>
      </w:r>
    </w:p>
    <w:p w14:paraId="548F5758" w14:textId="77777777" w:rsidR="00342F30" w:rsidRPr="00522D80" w:rsidRDefault="00342F30" w:rsidP="00342F30">
      <w:pPr>
        <w:pStyle w:val="Prrafodelista"/>
        <w:numPr>
          <w:ilvl w:val="0"/>
          <w:numId w:val="5"/>
        </w:numPr>
        <w:autoSpaceDE w:val="0"/>
        <w:autoSpaceDN w:val="0"/>
        <w:adjustRightInd w:val="0"/>
        <w:ind w:right="-28"/>
        <w:rPr>
          <w:rFonts w:cs="Tahoma"/>
          <w:b/>
          <w:bCs/>
          <w:i/>
          <w:szCs w:val="22"/>
        </w:rPr>
      </w:pPr>
      <w:r w:rsidRPr="00522D80">
        <w:rPr>
          <w:rFonts w:cs="Tahoma"/>
          <w:b/>
          <w:bCs/>
          <w:i/>
          <w:szCs w:val="22"/>
        </w:rPr>
        <w:lastRenderedPageBreak/>
        <w:t xml:space="preserve">Acuerdo IEEM-CT-121-2025.pdf, </w:t>
      </w:r>
      <w:r w:rsidRPr="00522D80">
        <w:rPr>
          <w:rFonts w:cs="Tahoma"/>
          <w:bCs/>
          <w:szCs w:val="22"/>
        </w:rPr>
        <w:t xml:space="preserve">el cual contiene el Acuerdo IEEM/CT/121/2025 por medio del cual el Comité de Transparencia aprueba la clasificación de la información confidencial contenida en las listas de asistencia de los foros y conferencias solicitados por la parte recurrente. </w:t>
      </w:r>
    </w:p>
    <w:p w14:paraId="0FB79A7A" w14:textId="790457DE" w:rsidR="00342F30" w:rsidRPr="00522D80" w:rsidRDefault="00342F30" w:rsidP="00342F30">
      <w:pPr>
        <w:pStyle w:val="Prrafodelista"/>
        <w:numPr>
          <w:ilvl w:val="0"/>
          <w:numId w:val="5"/>
        </w:numPr>
        <w:autoSpaceDE w:val="0"/>
        <w:autoSpaceDN w:val="0"/>
        <w:adjustRightInd w:val="0"/>
        <w:ind w:right="-28"/>
        <w:rPr>
          <w:rFonts w:cs="Tahoma"/>
          <w:b/>
          <w:bCs/>
          <w:i/>
          <w:szCs w:val="22"/>
        </w:rPr>
      </w:pPr>
      <w:r w:rsidRPr="00522D80">
        <w:rPr>
          <w:rFonts w:cs="Tahoma"/>
          <w:bCs/>
          <w:szCs w:val="22"/>
        </w:rPr>
        <w:t xml:space="preserve">Carpeta denominada </w:t>
      </w:r>
      <w:r w:rsidRPr="00522D80">
        <w:rPr>
          <w:rFonts w:cs="Tahoma"/>
          <w:b/>
          <w:bCs/>
          <w:i/>
          <w:szCs w:val="22"/>
        </w:rPr>
        <w:t xml:space="preserve">IEEM-CG-CFDE-1125-2025-Anexos, </w:t>
      </w:r>
      <w:r w:rsidRPr="00522D80">
        <w:rPr>
          <w:rFonts w:cs="Tahoma"/>
          <w:bCs/>
          <w:szCs w:val="22"/>
        </w:rPr>
        <w:t xml:space="preserve">la cual contiene las lista de asistencia en el que se testaron los nombres de particulares y correos electrónicos, consistentes en los siguientes archivos electrónicos: </w:t>
      </w:r>
    </w:p>
    <w:p w14:paraId="2FA618D8" w14:textId="0B88C142" w:rsidR="00336663"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1. 090425_Vp lista de Asistencia conferencia Atlacomulco.pdf, </w:t>
      </w:r>
    </w:p>
    <w:p w14:paraId="6FFFF8A5" w14:textId="495CA8F2"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2. 230425_Vp lista de Asistencia conferencia Tenancingo.pdf, </w:t>
      </w:r>
    </w:p>
    <w:p w14:paraId="4AD231F1" w14:textId="56CA2D3C"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3. 240425_Vp lista de Asistencia conferencia Ecatepec.pdf, </w:t>
      </w:r>
    </w:p>
    <w:p w14:paraId="4343101E" w14:textId="133CDB91"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4. 020525_Vp lista de Asistencia conferencia Valle de Bravo.pdf, </w:t>
      </w:r>
    </w:p>
    <w:p w14:paraId="2840AC9A" w14:textId="3C28CAB0"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5. 130525_Vp lista de Asistencia conferencia Valle de Chalco.pdf, </w:t>
      </w:r>
    </w:p>
    <w:p w14:paraId="0EFC42B9" w14:textId="2834E44A"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6. 140525_Lista de Asistencia conferencia Naucalpan.pdf, </w:t>
      </w:r>
    </w:p>
    <w:p w14:paraId="53236E0D" w14:textId="7B4A163B"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7. 160525_Lista de Asistencia conferencia Toluca.pdf, </w:t>
      </w:r>
    </w:p>
    <w:p w14:paraId="7074FD0E" w14:textId="0E265747"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8. 020425_Vp lista de Asistencia foro Ixtlahuaca.pdf, </w:t>
      </w:r>
    </w:p>
    <w:p w14:paraId="6A38296A" w14:textId="32436C70"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10. 090525_Vp lista de Asistencia conferencia Ocoyoacac.pdf, </w:t>
      </w:r>
    </w:p>
    <w:p w14:paraId="1600988E" w14:textId="463E1C0F" w:rsidR="00342F30" w:rsidRPr="00522D80" w:rsidRDefault="00342F30" w:rsidP="00342F30">
      <w:pPr>
        <w:pStyle w:val="Prrafodelista"/>
        <w:numPr>
          <w:ilvl w:val="0"/>
          <w:numId w:val="7"/>
        </w:numPr>
        <w:autoSpaceDE w:val="0"/>
        <w:autoSpaceDN w:val="0"/>
        <w:adjustRightInd w:val="0"/>
        <w:ind w:right="-28"/>
        <w:rPr>
          <w:rFonts w:cs="Tahoma"/>
          <w:b/>
          <w:bCs/>
          <w:i/>
          <w:szCs w:val="22"/>
        </w:rPr>
      </w:pPr>
      <w:r w:rsidRPr="00522D80">
        <w:rPr>
          <w:rFonts w:cs="Tahoma"/>
          <w:b/>
          <w:bCs/>
          <w:i/>
          <w:szCs w:val="22"/>
        </w:rPr>
        <w:t xml:space="preserve">Acuerdo IEEM-CT-121-2025.pdf, </w:t>
      </w:r>
    </w:p>
    <w:p w14:paraId="1213D26A" w14:textId="77777777" w:rsidR="00336663" w:rsidRPr="00522D80" w:rsidRDefault="00336663" w:rsidP="00336663">
      <w:pPr>
        <w:autoSpaceDE w:val="0"/>
        <w:autoSpaceDN w:val="0"/>
        <w:adjustRightInd w:val="0"/>
        <w:ind w:right="-28"/>
        <w:rPr>
          <w:rFonts w:cs="Tahoma"/>
          <w:b/>
          <w:bCs/>
          <w:i/>
          <w:szCs w:val="22"/>
        </w:rPr>
      </w:pPr>
    </w:p>
    <w:p w14:paraId="0F24A322" w14:textId="7F9E5F9A" w:rsidR="00B137E8" w:rsidRPr="00522D80" w:rsidRDefault="00B137E8" w:rsidP="00B137E8">
      <w:pPr>
        <w:pStyle w:val="Ttulo2"/>
        <w:jc w:val="left"/>
      </w:pPr>
      <w:bookmarkStart w:id="10" w:name="_Toc171527280"/>
      <w:bookmarkStart w:id="11" w:name="_Toc208350920"/>
      <w:r w:rsidRPr="00522D80">
        <w:t>DEL RECURSO DE REVISIÓN</w:t>
      </w:r>
      <w:bookmarkEnd w:id="10"/>
      <w:bookmarkEnd w:id="11"/>
    </w:p>
    <w:p w14:paraId="2B216813" w14:textId="61ADBB2B" w:rsidR="00664420" w:rsidRPr="00522D80" w:rsidRDefault="006E25BC" w:rsidP="006E25BC">
      <w:pPr>
        <w:pStyle w:val="Ttulo3"/>
      </w:pPr>
      <w:bookmarkStart w:id="12" w:name="_Toc208350921"/>
      <w:r w:rsidRPr="00522D80">
        <w:rPr>
          <w:szCs w:val="32"/>
        </w:rPr>
        <w:t>a)</w:t>
      </w:r>
      <w:r w:rsidRPr="00522D80">
        <w:t xml:space="preserve"> </w:t>
      </w:r>
      <w:r w:rsidR="00664420" w:rsidRPr="00522D80">
        <w:t>Interposición del Recurso de Revisión</w:t>
      </w:r>
      <w:bookmarkEnd w:id="12"/>
    </w:p>
    <w:p w14:paraId="6279C622" w14:textId="14181D3F" w:rsidR="00664420" w:rsidRPr="00522D80" w:rsidRDefault="00664420" w:rsidP="00664420">
      <w:pPr>
        <w:autoSpaceDE w:val="0"/>
        <w:autoSpaceDN w:val="0"/>
        <w:adjustRightInd w:val="0"/>
        <w:ind w:right="-28"/>
        <w:rPr>
          <w:rFonts w:cs="Tahoma"/>
          <w:szCs w:val="22"/>
        </w:rPr>
      </w:pPr>
      <w:r w:rsidRPr="00522D80">
        <w:rPr>
          <w:rFonts w:cs="Tahoma"/>
          <w:szCs w:val="22"/>
        </w:rPr>
        <w:t xml:space="preserve">El </w:t>
      </w:r>
      <w:r w:rsidR="00342F30" w:rsidRPr="00522D80">
        <w:rPr>
          <w:rFonts w:cs="Tahoma"/>
          <w:b/>
          <w:bCs/>
          <w:szCs w:val="22"/>
        </w:rPr>
        <w:t xml:space="preserve">once de junio </w:t>
      </w:r>
      <w:r w:rsidR="00B05304" w:rsidRPr="00522D80">
        <w:rPr>
          <w:rFonts w:cs="Tahoma"/>
          <w:b/>
          <w:bCs/>
          <w:szCs w:val="22"/>
        </w:rPr>
        <w:t>d</w:t>
      </w:r>
      <w:r w:rsidR="00475FF6" w:rsidRPr="00522D80">
        <w:rPr>
          <w:rFonts w:cs="Tahoma"/>
          <w:b/>
          <w:bCs/>
          <w:szCs w:val="22"/>
        </w:rPr>
        <w:t xml:space="preserve">e </w:t>
      </w:r>
      <w:r w:rsidRPr="00522D80">
        <w:rPr>
          <w:rFonts w:cs="Tahoma"/>
          <w:b/>
          <w:bCs/>
          <w:szCs w:val="22"/>
        </w:rPr>
        <w:t>dos mil</w:t>
      </w:r>
      <w:r w:rsidR="00F45902" w:rsidRPr="00522D80">
        <w:rPr>
          <w:rFonts w:cs="Tahoma"/>
          <w:b/>
          <w:bCs/>
          <w:szCs w:val="22"/>
        </w:rPr>
        <w:t xml:space="preserve"> veintic</w:t>
      </w:r>
      <w:r w:rsidR="006E7E69" w:rsidRPr="00522D80">
        <w:rPr>
          <w:rFonts w:cs="Tahoma"/>
          <w:b/>
          <w:bCs/>
          <w:szCs w:val="22"/>
        </w:rPr>
        <w:t>inco</w:t>
      </w:r>
      <w:r w:rsidR="00E0690A" w:rsidRPr="00522D80">
        <w:rPr>
          <w:rFonts w:cs="Tahoma"/>
          <w:b/>
          <w:bCs/>
          <w:szCs w:val="22"/>
        </w:rPr>
        <w:t xml:space="preserve"> </w:t>
      </w:r>
      <w:r w:rsidR="00F75D23" w:rsidRPr="00522D80">
        <w:rPr>
          <w:rFonts w:cs="Tahoma"/>
          <w:b/>
          <w:bCs/>
          <w:szCs w:val="22"/>
        </w:rPr>
        <w:t>LA PARTE RECURRENTE</w:t>
      </w:r>
      <w:r w:rsidR="00F75D23" w:rsidRPr="00522D80">
        <w:rPr>
          <w:rFonts w:cs="Tahoma"/>
          <w:szCs w:val="22"/>
        </w:rPr>
        <w:t xml:space="preserve"> interpuso el recurso de revisión en contra de la respuesta emitida por el </w:t>
      </w:r>
      <w:r w:rsidR="00F75D23" w:rsidRPr="00522D80">
        <w:rPr>
          <w:rFonts w:cs="Tahoma"/>
          <w:b/>
          <w:bCs/>
          <w:szCs w:val="22"/>
        </w:rPr>
        <w:t>SUJETO OBLIGADO</w:t>
      </w:r>
      <w:r w:rsidR="00953430" w:rsidRPr="00522D80">
        <w:rPr>
          <w:rFonts w:cs="Tahoma"/>
          <w:szCs w:val="22"/>
        </w:rPr>
        <w:t xml:space="preserve">, mismo que fue registrado en el </w:t>
      </w:r>
      <w:r w:rsidR="00953430" w:rsidRPr="00522D80">
        <w:rPr>
          <w:rFonts w:cs="Tahoma"/>
          <w:b/>
          <w:szCs w:val="22"/>
        </w:rPr>
        <w:t>SAIMEX</w:t>
      </w:r>
      <w:r w:rsidR="00953430" w:rsidRPr="00522D80">
        <w:rPr>
          <w:rFonts w:cs="Tahoma"/>
          <w:szCs w:val="22"/>
        </w:rPr>
        <w:t xml:space="preserve"> con el número de expediente </w:t>
      </w:r>
      <w:r w:rsidR="006E7E69" w:rsidRPr="00522D80">
        <w:rPr>
          <w:rFonts w:cs="Tahoma"/>
          <w:b/>
          <w:bCs/>
          <w:szCs w:val="22"/>
        </w:rPr>
        <w:t>0</w:t>
      </w:r>
      <w:r w:rsidR="00342F30" w:rsidRPr="00522D80">
        <w:rPr>
          <w:rFonts w:cs="Tahoma"/>
          <w:b/>
          <w:bCs/>
          <w:szCs w:val="22"/>
        </w:rPr>
        <w:t>6837</w:t>
      </w:r>
      <w:r w:rsidR="006E7E69" w:rsidRPr="00522D80">
        <w:rPr>
          <w:rFonts w:cs="Tahoma"/>
          <w:b/>
          <w:bCs/>
          <w:szCs w:val="22"/>
        </w:rPr>
        <w:t>/INFOEM/IP/RR/2025</w:t>
      </w:r>
      <w:r w:rsidR="00953430" w:rsidRPr="00522D80">
        <w:rPr>
          <w:rFonts w:cs="Tahoma"/>
          <w:szCs w:val="22"/>
        </w:rPr>
        <w:t>, y en el cual manifiesta lo siguiente</w:t>
      </w:r>
      <w:r w:rsidRPr="00522D80">
        <w:rPr>
          <w:rFonts w:cs="Tahoma"/>
          <w:szCs w:val="22"/>
        </w:rPr>
        <w:t>:</w:t>
      </w:r>
    </w:p>
    <w:p w14:paraId="74B30008" w14:textId="77777777" w:rsidR="00664420" w:rsidRPr="00522D80" w:rsidRDefault="00664420" w:rsidP="00664420">
      <w:pPr>
        <w:tabs>
          <w:tab w:val="left" w:pos="4667"/>
        </w:tabs>
        <w:ind w:right="539"/>
        <w:rPr>
          <w:rFonts w:cs="Tahoma"/>
          <w:szCs w:val="22"/>
        </w:rPr>
      </w:pPr>
    </w:p>
    <w:p w14:paraId="2780191D" w14:textId="77777777" w:rsidR="006415E5" w:rsidRPr="00522D80" w:rsidRDefault="00664420" w:rsidP="00CE3DBD">
      <w:pPr>
        <w:tabs>
          <w:tab w:val="left" w:pos="4667"/>
        </w:tabs>
        <w:ind w:right="539"/>
        <w:rPr>
          <w:rFonts w:cs="Tahoma"/>
          <w:b/>
          <w:iCs/>
        </w:rPr>
      </w:pPr>
      <w:r w:rsidRPr="00522D80">
        <w:rPr>
          <w:rFonts w:cs="Tahoma"/>
          <w:b/>
          <w:iCs/>
        </w:rPr>
        <w:t>ACTO IMPUGNADO</w:t>
      </w:r>
      <w:r w:rsidR="006415E5" w:rsidRPr="00522D80">
        <w:rPr>
          <w:rFonts w:cs="Tahoma"/>
          <w:b/>
          <w:iCs/>
        </w:rPr>
        <w:t xml:space="preserve">: </w:t>
      </w:r>
    </w:p>
    <w:p w14:paraId="369BEFEA" w14:textId="77777777" w:rsidR="006415E5" w:rsidRPr="00522D80" w:rsidRDefault="006415E5" w:rsidP="006415E5">
      <w:pPr>
        <w:pStyle w:val="Puesto"/>
      </w:pPr>
    </w:p>
    <w:p w14:paraId="174FC425" w14:textId="7114D82E" w:rsidR="006415E5" w:rsidRPr="00522D80" w:rsidRDefault="006415E5" w:rsidP="006415E5">
      <w:pPr>
        <w:pStyle w:val="Puesto"/>
      </w:pPr>
      <w:r w:rsidRPr="00522D80">
        <w:t>“</w:t>
      </w:r>
      <w:r w:rsidR="00342F30" w:rsidRPr="00522D80">
        <w:t>Se clasifican los nombres de los asistentes.</w:t>
      </w:r>
      <w:r w:rsidRPr="00522D80">
        <w:t>” (</w:t>
      </w:r>
      <w:proofErr w:type="gramStart"/>
      <w:r w:rsidRPr="00522D80">
        <w:t>sic</w:t>
      </w:r>
      <w:proofErr w:type="gramEnd"/>
      <w:r w:rsidRPr="00522D80">
        <w:t xml:space="preserve">) </w:t>
      </w:r>
    </w:p>
    <w:p w14:paraId="737EA022" w14:textId="77777777" w:rsidR="006415E5" w:rsidRPr="00522D80" w:rsidRDefault="006415E5" w:rsidP="006415E5">
      <w:pPr>
        <w:pStyle w:val="Puesto"/>
      </w:pPr>
    </w:p>
    <w:p w14:paraId="7753408F" w14:textId="5E7CE11A" w:rsidR="0043654A" w:rsidRPr="00522D80" w:rsidRDefault="0086345C" w:rsidP="00CE3DBD">
      <w:pPr>
        <w:tabs>
          <w:tab w:val="left" w:pos="4667"/>
        </w:tabs>
        <w:ind w:right="539"/>
        <w:rPr>
          <w:rFonts w:cs="Tahoma"/>
          <w:b/>
          <w:iCs/>
        </w:rPr>
      </w:pPr>
      <w:r w:rsidRPr="00522D80">
        <w:rPr>
          <w:rFonts w:cs="Tahoma"/>
          <w:b/>
          <w:iCs/>
        </w:rPr>
        <w:t xml:space="preserve">RAZONES O MOTIVOS DE INCONFORMIDAD: </w:t>
      </w:r>
    </w:p>
    <w:p w14:paraId="776C5805" w14:textId="77777777" w:rsidR="0043654A" w:rsidRPr="00522D80" w:rsidRDefault="0043654A" w:rsidP="00CE3DBD">
      <w:pPr>
        <w:tabs>
          <w:tab w:val="left" w:pos="4667"/>
        </w:tabs>
        <w:ind w:right="539"/>
        <w:rPr>
          <w:rFonts w:cs="Tahoma"/>
          <w:b/>
          <w:iCs/>
        </w:rPr>
      </w:pPr>
    </w:p>
    <w:p w14:paraId="1279BAF2" w14:textId="0F7CCB11" w:rsidR="0043654A" w:rsidRPr="00522D80" w:rsidRDefault="0043654A" w:rsidP="0043654A">
      <w:pPr>
        <w:pStyle w:val="Puesto"/>
      </w:pPr>
      <w:r w:rsidRPr="00522D80">
        <w:t>“</w:t>
      </w:r>
      <w:r w:rsidR="00342F30" w:rsidRPr="00522D80">
        <w:t>Por la clasificación de los nombres en las listas de las conferencias realizadas para la difusión del Proceso Electoral Judicial Extraordinario 2025.</w:t>
      </w:r>
      <w:r w:rsidRPr="00522D80">
        <w:t>” (</w:t>
      </w:r>
      <w:proofErr w:type="gramStart"/>
      <w:r w:rsidRPr="00522D80">
        <w:t>sic</w:t>
      </w:r>
      <w:proofErr w:type="gramEnd"/>
      <w:r w:rsidRPr="00522D80">
        <w:t xml:space="preserve">) </w:t>
      </w:r>
    </w:p>
    <w:p w14:paraId="366F3F95" w14:textId="77777777" w:rsidR="0043654A" w:rsidRPr="00522D80" w:rsidRDefault="0043654A" w:rsidP="006415E5">
      <w:pPr>
        <w:pStyle w:val="Puesto"/>
      </w:pPr>
    </w:p>
    <w:p w14:paraId="6804DEF1" w14:textId="1FD3227A" w:rsidR="00664420" w:rsidRPr="00522D80" w:rsidRDefault="006E25BC" w:rsidP="006E25BC">
      <w:pPr>
        <w:pStyle w:val="Ttulo3"/>
      </w:pPr>
      <w:bookmarkStart w:id="13" w:name="_Toc208350922"/>
      <w:r w:rsidRPr="00522D80">
        <w:t>b</w:t>
      </w:r>
      <w:r w:rsidR="00664420" w:rsidRPr="00522D80">
        <w:t>) Turno del Recurso de Revisión</w:t>
      </w:r>
      <w:bookmarkEnd w:id="13"/>
    </w:p>
    <w:p w14:paraId="1173671B" w14:textId="5F610A58" w:rsidR="00C72DAA" w:rsidRPr="00522D80" w:rsidRDefault="00C72DAA" w:rsidP="00C72DAA">
      <w:r w:rsidRPr="00522D80">
        <w:t>Con fundamento en el artículo 185, fracción I de la Ley de Transparencia y Acceso a la Información Pública del Estado de México y Municipios, el</w:t>
      </w:r>
      <w:r w:rsidRPr="00522D80">
        <w:rPr>
          <w:b/>
          <w:bCs/>
        </w:rPr>
        <w:t xml:space="preserve"> </w:t>
      </w:r>
      <w:r w:rsidR="005E61D3" w:rsidRPr="00522D80">
        <w:rPr>
          <w:rFonts w:eastAsia="Palatino Linotype" w:cs="Palatino Linotype"/>
          <w:b/>
        </w:rPr>
        <w:t xml:space="preserve">once de junio </w:t>
      </w:r>
      <w:r w:rsidR="009A1340" w:rsidRPr="00522D80">
        <w:rPr>
          <w:rFonts w:eastAsia="Palatino Linotype" w:cs="Palatino Linotype"/>
          <w:b/>
        </w:rPr>
        <w:t xml:space="preserve">de dos mil veinticinco, </w:t>
      </w:r>
      <w:r w:rsidRPr="00522D80">
        <w:t>se turnó el recurso de revisión a través del</w:t>
      </w:r>
      <w:r w:rsidRPr="00522D80">
        <w:rPr>
          <w:rFonts w:eastAsia="Arial Unicode MS"/>
        </w:rPr>
        <w:t xml:space="preserve"> </w:t>
      </w:r>
      <w:r w:rsidRPr="00522D80">
        <w:rPr>
          <w:rFonts w:eastAsia="Arial Unicode MS"/>
          <w:b/>
          <w:bCs/>
        </w:rPr>
        <w:t>SAIMEX</w:t>
      </w:r>
      <w:r w:rsidRPr="00522D80">
        <w:t xml:space="preserve"> a la </w:t>
      </w:r>
      <w:r w:rsidRPr="00522D80">
        <w:rPr>
          <w:b/>
        </w:rPr>
        <w:t>Comisionada Sharon Cristina Morales Martínez</w:t>
      </w:r>
      <w:r w:rsidRPr="00522D80">
        <w:rPr>
          <w:bCs/>
        </w:rPr>
        <w:t xml:space="preserve">, </w:t>
      </w:r>
      <w:r w:rsidRPr="00522D80">
        <w:t xml:space="preserve">a efecto de decretar su admisión o </w:t>
      </w:r>
      <w:proofErr w:type="spellStart"/>
      <w:r w:rsidRPr="00522D80">
        <w:t>desechamiento</w:t>
      </w:r>
      <w:proofErr w:type="spellEnd"/>
      <w:r w:rsidRPr="00522D80">
        <w:t xml:space="preserve">. </w:t>
      </w:r>
    </w:p>
    <w:p w14:paraId="18F305CB" w14:textId="77777777" w:rsidR="00664420" w:rsidRPr="00522D80" w:rsidRDefault="00664420" w:rsidP="00664420">
      <w:pPr>
        <w:rPr>
          <w:rFonts w:eastAsia="Batang" w:cs="Tahoma"/>
          <w:bCs/>
          <w:szCs w:val="22"/>
        </w:rPr>
      </w:pPr>
    </w:p>
    <w:p w14:paraId="3E31EC2D" w14:textId="295256A1" w:rsidR="00664420" w:rsidRPr="00522D80" w:rsidRDefault="006E25BC" w:rsidP="006E25BC">
      <w:pPr>
        <w:pStyle w:val="Ttulo3"/>
      </w:pPr>
      <w:bookmarkStart w:id="14" w:name="_Toc208350923"/>
      <w:r w:rsidRPr="00522D80">
        <w:t>c</w:t>
      </w:r>
      <w:r w:rsidR="00664420" w:rsidRPr="00522D80">
        <w:t>) Admisión del Recurso de Revisión</w:t>
      </w:r>
      <w:bookmarkEnd w:id="14"/>
    </w:p>
    <w:p w14:paraId="240447D5" w14:textId="1862FB1A" w:rsidR="000E09C4" w:rsidRPr="00522D80" w:rsidRDefault="000E09C4" w:rsidP="000E09C4">
      <w:pPr>
        <w:rPr>
          <w:rFonts w:cs="Arial"/>
          <w:color w:val="000000" w:themeColor="text1"/>
        </w:rPr>
      </w:pPr>
      <w:r w:rsidRPr="00522D80">
        <w:rPr>
          <w:rFonts w:cs="Arial"/>
          <w:color w:val="000000" w:themeColor="text1"/>
        </w:rPr>
        <w:t xml:space="preserve">El </w:t>
      </w:r>
      <w:r w:rsidR="005E61D3" w:rsidRPr="00522D80">
        <w:rPr>
          <w:rFonts w:eastAsia="Palatino Linotype" w:cs="Palatino Linotype"/>
          <w:b/>
        </w:rPr>
        <w:t>dieciséis de ju</w:t>
      </w:r>
      <w:r w:rsidR="00ED32F6" w:rsidRPr="00522D80">
        <w:rPr>
          <w:rFonts w:eastAsia="Palatino Linotype" w:cs="Palatino Linotype"/>
          <w:b/>
        </w:rPr>
        <w:t>n</w:t>
      </w:r>
      <w:r w:rsidR="005E61D3" w:rsidRPr="00522D80">
        <w:rPr>
          <w:rFonts w:eastAsia="Palatino Linotype" w:cs="Palatino Linotype"/>
          <w:b/>
        </w:rPr>
        <w:t xml:space="preserve">io </w:t>
      </w:r>
      <w:r w:rsidR="00B74D32" w:rsidRPr="00522D80">
        <w:rPr>
          <w:rFonts w:eastAsia="Palatino Linotype" w:cs="Palatino Linotype"/>
          <w:b/>
        </w:rPr>
        <w:t>d</w:t>
      </w:r>
      <w:r w:rsidR="00657603" w:rsidRPr="00522D80">
        <w:rPr>
          <w:rFonts w:eastAsia="Palatino Linotype" w:cs="Palatino Linotype"/>
          <w:b/>
        </w:rPr>
        <w:t>e dos mil veintic</w:t>
      </w:r>
      <w:r w:rsidR="009A1340" w:rsidRPr="00522D80">
        <w:rPr>
          <w:rFonts w:eastAsia="Palatino Linotype" w:cs="Palatino Linotype"/>
          <w:b/>
        </w:rPr>
        <w:t>inco</w:t>
      </w:r>
      <w:r w:rsidRPr="00522D80">
        <w:rPr>
          <w:rFonts w:cs="Arial"/>
          <w:color w:val="000000" w:themeColor="text1"/>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22D80">
        <w:rPr>
          <w:rFonts w:cs="Arial"/>
          <w:color w:val="000000" w:themeColor="text1"/>
        </w:rPr>
        <w:t>, fracción II</w:t>
      </w:r>
      <w:r w:rsidRPr="00522D80">
        <w:rPr>
          <w:rFonts w:cs="Arial"/>
          <w:color w:val="000000" w:themeColor="text1"/>
        </w:rPr>
        <w:t xml:space="preserve"> de la Ley de Transparencia y Acceso a la Información Pública del Estado de México y Municipios.</w:t>
      </w:r>
    </w:p>
    <w:p w14:paraId="34EC3F86" w14:textId="77777777" w:rsidR="00D2790D" w:rsidRPr="00522D80" w:rsidRDefault="00D2790D" w:rsidP="000E09C4">
      <w:pPr>
        <w:rPr>
          <w:rFonts w:cs="Arial"/>
          <w:color w:val="000000" w:themeColor="text1"/>
        </w:rPr>
      </w:pPr>
    </w:p>
    <w:p w14:paraId="3B820F58" w14:textId="503F9071" w:rsidR="00865CF4" w:rsidRPr="00522D80" w:rsidRDefault="0075751F" w:rsidP="006E25BC">
      <w:pPr>
        <w:pStyle w:val="Ttulo3"/>
      </w:pPr>
      <w:bookmarkStart w:id="15" w:name="_Toc208350924"/>
      <w:r w:rsidRPr="00522D80">
        <w:t>d</w:t>
      </w:r>
      <w:r w:rsidR="00664420" w:rsidRPr="00522D80">
        <w:t xml:space="preserve">) </w:t>
      </w:r>
      <w:r w:rsidR="00865CF4" w:rsidRPr="00522D80">
        <w:t>Informe Justificado del Sujeto Obligado</w:t>
      </w:r>
      <w:bookmarkEnd w:id="15"/>
    </w:p>
    <w:p w14:paraId="17F48869" w14:textId="26D24821" w:rsidR="005E61D3" w:rsidRPr="00522D80" w:rsidRDefault="005E61D3" w:rsidP="005E61D3">
      <w:pPr>
        <w:rPr>
          <w:rFonts w:cs="Tahoma"/>
          <w:szCs w:val="24"/>
        </w:rPr>
      </w:pPr>
      <w:r w:rsidRPr="00522D80">
        <w:rPr>
          <w:rFonts w:cs="Tahoma"/>
          <w:szCs w:val="24"/>
        </w:rPr>
        <w:t xml:space="preserve">El </w:t>
      </w:r>
      <w:r w:rsidRPr="00522D80">
        <w:rPr>
          <w:rFonts w:cs="Tahoma"/>
          <w:b/>
          <w:bCs/>
          <w:szCs w:val="24"/>
        </w:rPr>
        <w:t>dieciocho de junio de dos mil veinticinco</w:t>
      </w:r>
      <w:r w:rsidRPr="00522D80">
        <w:rPr>
          <w:rFonts w:cs="Tahoma"/>
          <w:szCs w:val="24"/>
        </w:rPr>
        <w:t xml:space="preserve"> </w:t>
      </w:r>
      <w:r w:rsidRPr="00522D80">
        <w:rPr>
          <w:rFonts w:cs="Tahoma"/>
          <w:b/>
          <w:bCs/>
          <w:szCs w:val="24"/>
        </w:rPr>
        <w:t>EL SUJETO OBLIGADO</w:t>
      </w:r>
      <w:r w:rsidRPr="00522D80">
        <w:rPr>
          <w:rFonts w:cs="Tahoma"/>
          <w:szCs w:val="24"/>
        </w:rPr>
        <w:t xml:space="preserve"> rindió su informe justificado a través del </w:t>
      </w:r>
      <w:r w:rsidRPr="00522D80">
        <w:rPr>
          <w:rFonts w:cs="Tahoma"/>
          <w:b/>
          <w:bCs/>
          <w:szCs w:val="24"/>
        </w:rPr>
        <w:t>SAIMEX</w:t>
      </w:r>
      <w:r w:rsidRPr="00522D80">
        <w:rPr>
          <w:rFonts w:cs="Tahoma"/>
          <w:szCs w:val="24"/>
        </w:rPr>
        <w:t xml:space="preserve">, </w:t>
      </w:r>
      <w:bookmarkStart w:id="16" w:name="_Hlk165379932"/>
      <w:r w:rsidRPr="00522D80">
        <w:rPr>
          <w:rFonts w:cs="Tahoma"/>
          <w:szCs w:val="24"/>
        </w:rPr>
        <w:t xml:space="preserve">adjuntando para ello los archivos electrónicos que a continuación se describen: </w:t>
      </w:r>
    </w:p>
    <w:p w14:paraId="7CE3BA39" w14:textId="77777777" w:rsidR="005E61D3" w:rsidRPr="00522D80" w:rsidRDefault="005E61D3" w:rsidP="005E61D3">
      <w:pPr>
        <w:rPr>
          <w:rFonts w:cs="Tahoma"/>
          <w:szCs w:val="24"/>
        </w:rPr>
      </w:pPr>
    </w:p>
    <w:p w14:paraId="24639F5F" w14:textId="77777777" w:rsidR="00B73AD1" w:rsidRPr="00522D80" w:rsidRDefault="005E61D3" w:rsidP="00B73AD1">
      <w:pPr>
        <w:pStyle w:val="Prrafodelista"/>
        <w:numPr>
          <w:ilvl w:val="0"/>
          <w:numId w:val="9"/>
        </w:numPr>
        <w:autoSpaceDE w:val="0"/>
        <w:autoSpaceDN w:val="0"/>
        <w:adjustRightInd w:val="0"/>
        <w:ind w:right="-28"/>
        <w:rPr>
          <w:rFonts w:eastAsiaTheme="minorHAnsi" w:cs="Tahoma"/>
          <w:bCs/>
          <w:iCs/>
          <w:color w:val="000000" w:themeColor="text1"/>
          <w:szCs w:val="22"/>
          <w:lang w:eastAsia="en-US"/>
        </w:rPr>
      </w:pPr>
      <w:r w:rsidRPr="00522D80">
        <w:rPr>
          <w:rFonts w:cs="Tahoma"/>
          <w:b/>
          <w:i/>
          <w:iCs/>
          <w:szCs w:val="24"/>
        </w:rPr>
        <w:lastRenderedPageBreak/>
        <w:t xml:space="preserve">INFORME JUSTIFICADO RR 6837-2025 UT.pdf </w:t>
      </w:r>
      <w:r w:rsidRPr="00522D80">
        <w:rPr>
          <w:rFonts w:cs="Tahoma"/>
          <w:iCs/>
          <w:szCs w:val="24"/>
        </w:rPr>
        <w:t xml:space="preserve">e </w:t>
      </w:r>
      <w:r w:rsidRPr="00522D80">
        <w:rPr>
          <w:rFonts w:cs="Tahoma"/>
          <w:b/>
          <w:i/>
          <w:iCs/>
          <w:szCs w:val="24"/>
        </w:rPr>
        <w:t xml:space="preserve">INFORME_JUSTIFICADO_RR_6837-2025_UT.docx, </w:t>
      </w:r>
      <w:r w:rsidRPr="00522D80">
        <w:rPr>
          <w:rFonts w:cs="Tahoma"/>
          <w:iCs/>
          <w:szCs w:val="24"/>
        </w:rPr>
        <w:t xml:space="preserve">el cual contiene el oficio del dieciocho de junio de dos mil veinticinco, por medio del cual la Jefa de la Unidad de Transparencia, medularmente </w:t>
      </w:r>
      <w:r w:rsidR="00B73AD1" w:rsidRPr="00522D80">
        <w:rPr>
          <w:rFonts w:eastAsiaTheme="minorHAnsi" w:cs="Tahoma"/>
          <w:bCs/>
          <w:iCs/>
          <w:color w:val="000000" w:themeColor="text1"/>
          <w:szCs w:val="22"/>
          <w:lang w:eastAsia="en-US"/>
        </w:rPr>
        <w:t xml:space="preserve">precisó que los nombres de particulares, así como los correos electrónicos de particulares, es información susceptible de ser clasificada como confidencial, por tratarse de datos identificativos y electrónicos. </w:t>
      </w:r>
    </w:p>
    <w:bookmarkEnd w:id="16"/>
    <w:p w14:paraId="73BC1230" w14:textId="77777777" w:rsidR="005E61D3" w:rsidRPr="00522D80" w:rsidRDefault="005E61D3" w:rsidP="005E61D3">
      <w:pPr>
        <w:rPr>
          <w:rFonts w:cs="Tahoma"/>
          <w:szCs w:val="24"/>
        </w:rPr>
      </w:pPr>
    </w:p>
    <w:p w14:paraId="216BA968" w14:textId="112CC6D6" w:rsidR="005E61D3" w:rsidRPr="00522D80" w:rsidRDefault="005E61D3" w:rsidP="005E61D3">
      <w:pPr>
        <w:rPr>
          <w:rFonts w:cs="Tahoma"/>
          <w:szCs w:val="24"/>
        </w:rPr>
      </w:pPr>
      <w:r w:rsidRPr="00522D80">
        <w:rPr>
          <w:rFonts w:cs="Tahoma"/>
          <w:szCs w:val="24"/>
        </w:rPr>
        <w:t xml:space="preserve">Esta información fue puesta a la vista de </w:t>
      </w:r>
      <w:r w:rsidRPr="00522D80">
        <w:rPr>
          <w:rFonts w:cs="Tahoma"/>
          <w:b/>
          <w:bCs/>
          <w:szCs w:val="24"/>
        </w:rPr>
        <w:t>LA PARTE RECURRENTE</w:t>
      </w:r>
      <w:r w:rsidRPr="00522D80">
        <w:rPr>
          <w:rFonts w:cs="Tahoma"/>
          <w:szCs w:val="24"/>
        </w:rPr>
        <w:t xml:space="preserve"> el </w:t>
      </w:r>
      <w:r w:rsidRPr="00522D80">
        <w:rPr>
          <w:rFonts w:cs="Tahoma"/>
          <w:b/>
          <w:bCs/>
          <w:szCs w:val="24"/>
        </w:rPr>
        <w:t xml:space="preserve">veintisiete de agosto de dos mil veinticinco </w:t>
      </w:r>
      <w:r w:rsidRPr="00522D80">
        <w:rPr>
          <w:rFonts w:cs="Tahoma"/>
          <w:szCs w:val="24"/>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3FA590DE" w14:textId="77777777" w:rsidR="00B05304" w:rsidRPr="00522D80" w:rsidRDefault="00B05304" w:rsidP="00B05304"/>
    <w:p w14:paraId="755B7730" w14:textId="3EA3E31D" w:rsidR="00664420" w:rsidRPr="00522D80" w:rsidRDefault="0075751F" w:rsidP="00664420">
      <w:pPr>
        <w:pStyle w:val="Ttulo3"/>
        <w:rPr>
          <w:lang w:val="es-ES"/>
        </w:rPr>
      </w:pPr>
      <w:bookmarkStart w:id="17" w:name="_Toc208350925"/>
      <w:r w:rsidRPr="00522D80">
        <w:rPr>
          <w:rFonts w:eastAsia="Calibri"/>
          <w:bCs/>
          <w:lang w:eastAsia="en-US"/>
        </w:rPr>
        <w:t>e</w:t>
      </w:r>
      <w:r w:rsidR="00664420" w:rsidRPr="00522D80">
        <w:rPr>
          <w:rFonts w:eastAsia="Calibri"/>
          <w:bCs/>
          <w:lang w:eastAsia="en-US"/>
        </w:rPr>
        <w:t>)</w:t>
      </w:r>
      <w:r w:rsidR="00664420" w:rsidRPr="00522D80">
        <w:t xml:space="preserve"> </w:t>
      </w:r>
      <w:r w:rsidR="00865CF4" w:rsidRPr="00522D80">
        <w:rPr>
          <w:lang w:val="es-ES"/>
        </w:rPr>
        <w:t>Manifestaciones de la Parte Recurrente</w:t>
      </w:r>
      <w:bookmarkEnd w:id="17"/>
    </w:p>
    <w:p w14:paraId="217A35D8" w14:textId="77777777" w:rsidR="0086345C" w:rsidRPr="00522D80" w:rsidRDefault="0086345C" w:rsidP="0086345C">
      <w:pPr>
        <w:rPr>
          <w:rFonts w:eastAsia="Arial Unicode MS" w:cs="Arial"/>
          <w:color w:val="000000" w:themeColor="text1"/>
        </w:rPr>
      </w:pPr>
      <w:r w:rsidRPr="00522D80">
        <w:rPr>
          <w:rFonts w:cs="Tahoma"/>
          <w:b/>
          <w:szCs w:val="24"/>
        </w:rPr>
        <w:t xml:space="preserve">LA PARTE RECURRENTE </w:t>
      </w:r>
      <w:r w:rsidRPr="00522D80">
        <w:rPr>
          <w:rFonts w:eastAsia="Arial Unicode MS" w:cs="Arial"/>
          <w:color w:val="000000" w:themeColor="text1"/>
        </w:rPr>
        <w:t>no realizó manifestación alguna dentro del término legalmente concedido para tal efecto, ni presentó pruebas o alegatos.</w:t>
      </w:r>
    </w:p>
    <w:p w14:paraId="43289D82" w14:textId="77777777" w:rsidR="00865CF4" w:rsidRPr="00522D80" w:rsidRDefault="00865CF4" w:rsidP="00865CF4">
      <w:pPr>
        <w:rPr>
          <w:rFonts w:eastAsia="Arial Unicode MS" w:cs="Arial"/>
          <w:color w:val="000000" w:themeColor="text1"/>
        </w:rPr>
      </w:pPr>
    </w:p>
    <w:p w14:paraId="0E651988" w14:textId="285B543E" w:rsidR="00664420" w:rsidRPr="00522D80" w:rsidRDefault="00E0690A" w:rsidP="00664420">
      <w:pPr>
        <w:pStyle w:val="Ttulo3"/>
      </w:pPr>
      <w:bookmarkStart w:id="18" w:name="_Toc171349463"/>
      <w:bookmarkStart w:id="19" w:name="_Toc194501117"/>
      <w:bookmarkStart w:id="20" w:name="_Toc196843280"/>
      <w:bookmarkStart w:id="21" w:name="_Toc197955306"/>
      <w:bookmarkStart w:id="22" w:name="_Toc198655058"/>
      <w:bookmarkStart w:id="23" w:name="_Toc208350926"/>
      <w:r w:rsidRPr="00522D80">
        <w:rPr>
          <w:rFonts w:eastAsia="Calibri"/>
        </w:rPr>
        <w:t xml:space="preserve">f) </w:t>
      </w:r>
      <w:bookmarkEnd w:id="18"/>
      <w:bookmarkEnd w:id="19"/>
      <w:bookmarkEnd w:id="20"/>
      <w:bookmarkEnd w:id="21"/>
      <w:bookmarkEnd w:id="22"/>
      <w:r w:rsidR="00664420" w:rsidRPr="00522D80">
        <w:t>Cierre de instrucción</w:t>
      </w:r>
      <w:bookmarkEnd w:id="23"/>
    </w:p>
    <w:p w14:paraId="79AF95DC" w14:textId="6F64BC02" w:rsidR="00664420" w:rsidRPr="00522D80" w:rsidRDefault="00BF091A" w:rsidP="00664420">
      <w:pPr>
        <w:rPr>
          <w:color w:val="000000" w:themeColor="text1"/>
        </w:rPr>
      </w:pPr>
      <w:r w:rsidRPr="00522D80">
        <w:rPr>
          <w:rFonts w:cs="Tahoma"/>
          <w:szCs w:val="22"/>
        </w:rPr>
        <w:t>Al no existir diligencias pendientes por desahogar</w:t>
      </w:r>
      <w:r w:rsidRPr="00522D80">
        <w:rPr>
          <w:rFonts w:cs="Arial"/>
          <w:color w:val="000000" w:themeColor="text1"/>
        </w:rPr>
        <w:t xml:space="preserve">, el </w:t>
      </w:r>
      <w:bookmarkStart w:id="24" w:name="_Hlk104892386"/>
      <w:r w:rsidR="005E61D3" w:rsidRPr="00522D80">
        <w:rPr>
          <w:rFonts w:cs="Arial"/>
          <w:b/>
          <w:color w:val="000000" w:themeColor="text1"/>
        </w:rPr>
        <w:t xml:space="preserve">cuatro </w:t>
      </w:r>
      <w:r w:rsidR="00B05304" w:rsidRPr="00522D80">
        <w:rPr>
          <w:rFonts w:cs="Arial"/>
          <w:b/>
          <w:color w:val="000000" w:themeColor="text1"/>
        </w:rPr>
        <w:t xml:space="preserve">de </w:t>
      </w:r>
      <w:r w:rsidR="008C00BD" w:rsidRPr="00522D80">
        <w:rPr>
          <w:rFonts w:cs="Arial"/>
          <w:b/>
          <w:color w:val="000000" w:themeColor="text1"/>
        </w:rPr>
        <w:t xml:space="preserve">septiembre </w:t>
      </w:r>
      <w:r w:rsidR="009A1340" w:rsidRPr="00522D80">
        <w:rPr>
          <w:rFonts w:cs="Arial"/>
          <w:b/>
          <w:color w:val="000000" w:themeColor="text1"/>
        </w:rPr>
        <w:t xml:space="preserve">de dos mil veinticinco </w:t>
      </w:r>
      <w:bookmarkEnd w:id="24"/>
      <w:r w:rsidRPr="00522D80">
        <w:rPr>
          <w:rFonts w:cs="Arial"/>
          <w:color w:val="000000" w:themeColor="text1"/>
        </w:rPr>
        <w:t xml:space="preserve">la </w:t>
      </w:r>
      <w:r w:rsidRPr="00522D80">
        <w:rPr>
          <w:rFonts w:cs="Arial"/>
          <w:b/>
          <w:bCs/>
          <w:color w:val="000000" w:themeColor="text1"/>
        </w:rPr>
        <w:t xml:space="preserve">Comisionada </w:t>
      </w:r>
      <w:r w:rsidRPr="00522D80">
        <w:rPr>
          <w:b/>
          <w:color w:val="000000" w:themeColor="text1"/>
        </w:rPr>
        <w:t xml:space="preserve">Sharon Cristina Morales Martínez </w:t>
      </w:r>
      <w:r w:rsidRPr="00522D80">
        <w:rPr>
          <w:rFonts w:cs="Arial"/>
          <w:color w:val="000000" w:themeColor="text1"/>
        </w:rPr>
        <w:t>acordó el cierre de instrucción</w:t>
      </w:r>
      <w:r w:rsidR="0011350D" w:rsidRPr="00522D80">
        <w:rPr>
          <w:rFonts w:cs="Arial"/>
          <w:color w:val="000000" w:themeColor="text1"/>
        </w:rPr>
        <w:t xml:space="preserve"> y</w:t>
      </w:r>
      <w:r w:rsidRPr="00522D80">
        <w:rPr>
          <w:rFonts w:cs="Arial"/>
          <w:color w:val="000000" w:themeColor="text1"/>
        </w:rPr>
        <w:t xml:space="preserve"> </w:t>
      </w:r>
      <w:r w:rsidR="0011350D" w:rsidRPr="00522D80">
        <w:rPr>
          <w:rFonts w:cs="Arial"/>
          <w:color w:val="000000" w:themeColor="text1"/>
        </w:rPr>
        <w:t xml:space="preserve">la </w:t>
      </w:r>
      <w:r w:rsidRPr="00522D80">
        <w:rPr>
          <w:rFonts w:cs="Arial"/>
          <w:color w:val="000000" w:themeColor="text1"/>
        </w:rPr>
        <w:t>remisión del expediente a efecto de ser resuelto, de conformidad con lo establecido en el artículo 185 fracciones VI y VIII de la Ley de Transparencia y Acceso a la Información Pública del Estado de México y Municipios</w:t>
      </w:r>
      <w:r w:rsidRPr="00522D80">
        <w:rPr>
          <w:color w:val="000000" w:themeColor="text1"/>
        </w:rPr>
        <w:t>.</w:t>
      </w:r>
      <w:r w:rsidR="0011350D" w:rsidRPr="00522D80">
        <w:rPr>
          <w:color w:val="000000" w:themeColor="text1"/>
        </w:rPr>
        <w:t xml:space="preserve"> Dicho acuerdo </w:t>
      </w:r>
      <w:r w:rsidR="00664420" w:rsidRPr="00522D80">
        <w:rPr>
          <w:rFonts w:cs="Tahoma"/>
          <w:szCs w:val="22"/>
        </w:rPr>
        <w:t xml:space="preserve">fue notificado a las partes el mismo día a través del </w:t>
      </w:r>
      <w:r w:rsidR="00664420" w:rsidRPr="00522D80">
        <w:rPr>
          <w:rFonts w:cs="Tahoma"/>
          <w:szCs w:val="22"/>
          <w:lang w:val="es-ES"/>
        </w:rPr>
        <w:t>SAIMEX</w:t>
      </w:r>
      <w:r w:rsidR="00664420" w:rsidRPr="00522D80">
        <w:rPr>
          <w:rFonts w:cs="Tahoma"/>
          <w:szCs w:val="22"/>
        </w:rPr>
        <w:t>.</w:t>
      </w:r>
    </w:p>
    <w:p w14:paraId="741683E3" w14:textId="77777777" w:rsidR="0011350D" w:rsidRPr="00522D80" w:rsidRDefault="0011350D" w:rsidP="00664420">
      <w:pPr>
        <w:rPr>
          <w:rFonts w:cs="Tahoma"/>
          <w:color w:val="000000"/>
          <w:szCs w:val="22"/>
        </w:rPr>
      </w:pPr>
    </w:p>
    <w:p w14:paraId="7A9629DE" w14:textId="77777777" w:rsidR="00664420" w:rsidRPr="00522D80" w:rsidRDefault="00664420" w:rsidP="00664420">
      <w:pPr>
        <w:pStyle w:val="Ttulo1"/>
        <w:rPr>
          <w:rFonts w:eastAsiaTheme="minorHAnsi"/>
          <w:lang w:eastAsia="en-US"/>
        </w:rPr>
      </w:pPr>
      <w:bookmarkStart w:id="25" w:name="_Toc208350927"/>
      <w:r w:rsidRPr="00522D80">
        <w:rPr>
          <w:rFonts w:eastAsiaTheme="minorHAnsi"/>
          <w:lang w:eastAsia="en-US"/>
        </w:rPr>
        <w:lastRenderedPageBreak/>
        <w:t>CONSIDERANDOS</w:t>
      </w:r>
      <w:bookmarkEnd w:id="25"/>
    </w:p>
    <w:p w14:paraId="6DD1243B" w14:textId="77777777" w:rsidR="00664420" w:rsidRPr="00522D80" w:rsidRDefault="00664420" w:rsidP="00664420">
      <w:pPr>
        <w:contextualSpacing/>
        <w:jc w:val="center"/>
        <w:rPr>
          <w:rFonts w:eastAsiaTheme="minorHAnsi" w:cs="Tahoma"/>
          <w:b/>
          <w:color w:val="000000" w:themeColor="text1"/>
          <w:szCs w:val="22"/>
          <w:lang w:eastAsia="en-US"/>
        </w:rPr>
      </w:pPr>
    </w:p>
    <w:p w14:paraId="0B67CB92" w14:textId="2E307D3B" w:rsidR="00664420" w:rsidRPr="00522D80" w:rsidRDefault="00664420" w:rsidP="00AE3DA7">
      <w:pPr>
        <w:pStyle w:val="Ttulo2"/>
        <w:rPr>
          <w:rFonts w:eastAsia="Batang"/>
        </w:rPr>
      </w:pPr>
      <w:bookmarkStart w:id="26" w:name="_Toc208350928"/>
      <w:r w:rsidRPr="00522D80">
        <w:rPr>
          <w:rFonts w:eastAsia="Batang"/>
        </w:rPr>
        <w:t xml:space="preserve">PRIMERO. </w:t>
      </w:r>
      <w:proofErr w:type="spellStart"/>
      <w:r w:rsidR="00BA55A8" w:rsidRPr="00522D80">
        <w:rPr>
          <w:rFonts w:eastAsia="Batang"/>
        </w:rPr>
        <w:t>Procedibilidad</w:t>
      </w:r>
      <w:bookmarkEnd w:id="26"/>
      <w:proofErr w:type="spellEnd"/>
    </w:p>
    <w:p w14:paraId="39C52BC1" w14:textId="56FCC20D" w:rsidR="00BA55A8" w:rsidRPr="00522D80" w:rsidRDefault="00BA55A8" w:rsidP="00BA55A8">
      <w:pPr>
        <w:pStyle w:val="Ttulo3"/>
      </w:pPr>
      <w:bookmarkStart w:id="27" w:name="_Toc208350929"/>
      <w:r w:rsidRPr="00522D80">
        <w:t>a) Competencia</w:t>
      </w:r>
      <w:r w:rsidR="00150C49" w:rsidRPr="00522D80">
        <w:t xml:space="preserve"> del Instituto</w:t>
      </w:r>
      <w:bookmarkEnd w:id="27"/>
    </w:p>
    <w:p w14:paraId="56E64942" w14:textId="360F74F5" w:rsidR="0011350D" w:rsidRPr="00522D80" w:rsidRDefault="0011350D" w:rsidP="0011350D">
      <w:pPr>
        <w:rPr>
          <w:rFonts w:cs="Arial"/>
          <w:color w:val="000000" w:themeColor="text1"/>
        </w:rPr>
      </w:pPr>
      <w:r w:rsidRPr="00522D80">
        <w:rPr>
          <w:color w:val="000000" w:themeColor="text1"/>
        </w:rPr>
        <w:t xml:space="preserve">Este Instituto de Transparencia, Acceso a la Información Pública y Protección de Datos Personales del Estado de México y Municipios es competente para conocer y resolver </w:t>
      </w:r>
      <w:r w:rsidR="005F65B7" w:rsidRPr="00522D80">
        <w:rPr>
          <w:color w:val="000000" w:themeColor="text1"/>
        </w:rPr>
        <w:t xml:space="preserve">el </w:t>
      </w:r>
      <w:r w:rsidRPr="00522D80">
        <w:rPr>
          <w:color w:val="000000" w:themeColor="text1"/>
        </w:rPr>
        <w:t xml:space="preserve">presente Recurso de Revisión, conforme a lo dispuesto en los artículos 6, Apartado A de la Constitución Política de los Estados Unidos Mexicanos; 5, </w:t>
      </w:r>
      <w:r w:rsidR="0060579A" w:rsidRPr="00522D80">
        <w:rPr>
          <w:rFonts w:cs="Tahoma"/>
          <w:bCs/>
          <w:szCs w:val="22"/>
        </w:rPr>
        <w:t xml:space="preserve">párrafos trigésimo noveno, cuadragésimo y cuadragésimo primero, fracciones IV y V, </w:t>
      </w:r>
      <w:r w:rsidRPr="00522D80">
        <w:rPr>
          <w:color w:val="000000" w:themeColor="text1"/>
        </w:rPr>
        <w:t>de la Constitución Política del Estado Libre y Soberano de México; ordinal 2, fracción II, 13, 29, 36, fracciones I y II, 176, 178, 179, 181 párrafo tercero y 185 de la Ley de Transparencia y Acceso a la Información Pública del Estado de México y Municipios</w:t>
      </w:r>
      <w:r w:rsidRPr="00522D80">
        <w:rPr>
          <w:rFonts w:cs="Arial"/>
          <w:color w:val="000000" w:themeColor="text1"/>
        </w:rPr>
        <w:t>; y 9, fracciones I y XXIII y 11 del Reglamento Interior del Instituto de Transparencia, Acceso a la Información Pública y Protección de Datos Personales del Estado de México y Municipios.</w:t>
      </w:r>
    </w:p>
    <w:p w14:paraId="6C36A399" w14:textId="77777777" w:rsidR="00DB1C09" w:rsidRPr="00522D80" w:rsidRDefault="00DB1C09" w:rsidP="0011350D">
      <w:pPr>
        <w:rPr>
          <w:rFonts w:cs="Arial"/>
          <w:color w:val="000000" w:themeColor="text1"/>
        </w:rPr>
      </w:pPr>
    </w:p>
    <w:p w14:paraId="517A2DD6" w14:textId="4169BE4D" w:rsidR="00664420" w:rsidRPr="00522D80" w:rsidRDefault="00BA55A8" w:rsidP="00BA55A8">
      <w:pPr>
        <w:pStyle w:val="Ttulo3"/>
      </w:pPr>
      <w:bookmarkStart w:id="28" w:name="_Toc208350930"/>
      <w:r w:rsidRPr="00522D80">
        <w:t>b)</w:t>
      </w:r>
      <w:r w:rsidR="00664420" w:rsidRPr="00522D80">
        <w:t xml:space="preserve"> </w:t>
      </w:r>
      <w:r w:rsidR="00D91CB4" w:rsidRPr="00522D80">
        <w:t>Legitimidad</w:t>
      </w:r>
      <w:r w:rsidRPr="00522D80">
        <w:t xml:space="preserve"> de la parte recurrente</w:t>
      </w:r>
      <w:bookmarkEnd w:id="28"/>
    </w:p>
    <w:p w14:paraId="26FEA382" w14:textId="0B06695C" w:rsidR="00D91CB4" w:rsidRPr="00522D80" w:rsidRDefault="00D91CB4" w:rsidP="00D91CB4">
      <w:pPr>
        <w:rPr>
          <w:rFonts w:cs="Arial"/>
          <w:bCs/>
          <w:color w:val="000000" w:themeColor="text1"/>
        </w:rPr>
      </w:pPr>
      <w:r w:rsidRPr="00522D80">
        <w:rPr>
          <w:rFonts w:cs="Arial"/>
          <w:bCs/>
          <w:color w:val="000000" w:themeColor="text1"/>
        </w:rPr>
        <w:t>El recurso de revisión fue interpuesto por parte legítima, ya que se presentó por la misma persona que formuló la solicitud de acceso a la Información Pública,</w:t>
      </w:r>
      <w:r w:rsidRPr="00522D80">
        <w:rPr>
          <w:rFonts w:cs="Arial"/>
          <w:b/>
          <w:bCs/>
          <w:color w:val="000000" w:themeColor="text1"/>
        </w:rPr>
        <w:t xml:space="preserve"> </w:t>
      </w:r>
      <w:r w:rsidRPr="00522D80">
        <w:rPr>
          <w:rFonts w:cs="Arial"/>
          <w:color w:val="000000" w:themeColor="text1"/>
        </w:rPr>
        <w:t>debido a que los datos de acceso</w:t>
      </w:r>
      <w:r w:rsidRPr="00522D80">
        <w:rPr>
          <w:rFonts w:cs="Arial"/>
          <w:b/>
          <w:bCs/>
          <w:color w:val="000000" w:themeColor="text1"/>
        </w:rPr>
        <w:t xml:space="preserve"> </w:t>
      </w:r>
      <w:r w:rsidRPr="00522D80">
        <w:rPr>
          <w:rFonts w:cs="Arial"/>
          <w:b/>
          <w:color w:val="000000" w:themeColor="text1"/>
        </w:rPr>
        <w:t>SAIMEX</w:t>
      </w:r>
      <w:r w:rsidRPr="00522D80">
        <w:rPr>
          <w:rFonts w:eastAsia="Calibri" w:cs="Arial"/>
          <w:color w:val="000000" w:themeColor="text1"/>
          <w:lang w:eastAsia="en-US"/>
        </w:rPr>
        <w:t xml:space="preserve"> son personales e irrepetibles.</w:t>
      </w:r>
    </w:p>
    <w:p w14:paraId="2C367810" w14:textId="77777777" w:rsidR="00D91CB4" w:rsidRPr="00522D80" w:rsidRDefault="00D91CB4" w:rsidP="00D91CB4"/>
    <w:p w14:paraId="5C5FA5A8" w14:textId="77777777" w:rsidR="004565C2" w:rsidRPr="00522D80" w:rsidRDefault="004565C2" w:rsidP="004565C2">
      <w:pPr>
        <w:pStyle w:val="Ttulo3"/>
        <w:rPr>
          <w:rFonts w:eastAsia="Calibri"/>
          <w:lang w:eastAsia="es-ES_tradnl"/>
        </w:rPr>
      </w:pPr>
      <w:bookmarkStart w:id="29" w:name="_Toc170932820"/>
      <w:bookmarkStart w:id="30" w:name="_Toc208350931"/>
      <w:r w:rsidRPr="00522D80">
        <w:rPr>
          <w:rFonts w:eastAsia="Calibri"/>
          <w:lang w:eastAsia="es-ES_tradnl"/>
        </w:rPr>
        <w:t>c) Plazo para interponer el recurso</w:t>
      </w:r>
      <w:bookmarkEnd w:id="29"/>
      <w:bookmarkEnd w:id="30"/>
    </w:p>
    <w:p w14:paraId="5C63152A" w14:textId="2270B154" w:rsidR="004565C2" w:rsidRPr="00522D80" w:rsidRDefault="004565C2" w:rsidP="004565C2">
      <w:pPr>
        <w:rPr>
          <w:rFonts w:eastAsiaTheme="minorEastAsia" w:cs="Arial"/>
          <w:color w:val="000000" w:themeColor="text1"/>
          <w:lang w:val="es-ES_tradnl"/>
        </w:rPr>
      </w:pPr>
      <w:r w:rsidRPr="00522D80">
        <w:rPr>
          <w:rFonts w:cs="Arial"/>
          <w:b/>
          <w:color w:val="000000" w:themeColor="text1"/>
        </w:rPr>
        <w:t>EL SUJETO OBLIGADO</w:t>
      </w:r>
      <w:r w:rsidRPr="00522D80">
        <w:rPr>
          <w:rFonts w:cs="Arial"/>
          <w:color w:val="000000" w:themeColor="text1"/>
        </w:rPr>
        <w:t xml:space="preserve"> notificó la respuesta a la solicitud de acceso a la Información Pública el </w:t>
      </w:r>
      <w:r w:rsidR="005E61D3" w:rsidRPr="00522D80">
        <w:rPr>
          <w:rFonts w:eastAsia="Palatino Linotype" w:cs="Palatino Linotype"/>
          <w:b/>
        </w:rPr>
        <w:t>once de jun</w:t>
      </w:r>
      <w:r w:rsidR="00B05304" w:rsidRPr="00522D80">
        <w:rPr>
          <w:rFonts w:eastAsia="Palatino Linotype" w:cs="Palatino Linotype"/>
          <w:b/>
        </w:rPr>
        <w:t xml:space="preserve">io </w:t>
      </w:r>
      <w:r w:rsidR="00B373AF" w:rsidRPr="00522D80">
        <w:rPr>
          <w:rFonts w:eastAsia="Palatino Linotype" w:cs="Palatino Linotype"/>
          <w:b/>
        </w:rPr>
        <w:t>d</w:t>
      </w:r>
      <w:r w:rsidR="009A1340" w:rsidRPr="00522D80">
        <w:rPr>
          <w:rFonts w:eastAsia="Palatino Linotype" w:cs="Palatino Linotype"/>
          <w:b/>
        </w:rPr>
        <w:t xml:space="preserve">e dos mil veinticinco </w:t>
      </w:r>
      <w:r w:rsidRPr="00522D80">
        <w:rPr>
          <w:rFonts w:cs="Arial"/>
          <w:color w:val="000000" w:themeColor="text1"/>
        </w:rPr>
        <w:t xml:space="preserve">y el recurso </w:t>
      </w:r>
      <w:r w:rsidRPr="00522D80">
        <w:rPr>
          <w:rFonts w:eastAsia="Palatino Linotype" w:cs="Palatino Linotype"/>
          <w:color w:val="000000" w:themeColor="text1"/>
        </w:rPr>
        <w:t>que nos ocupa se interpu</w:t>
      </w:r>
      <w:r w:rsidR="00E27023" w:rsidRPr="00522D80">
        <w:rPr>
          <w:rFonts w:eastAsia="Palatino Linotype" w:cs="Palatino Linotype"/>
          <w:color w:val="000000" w:themeColor="text1"/>
        </w:rPr>
        <w:t>so</w:t>
      </w:r>
      <w:r w:rsidRPr="00522D80">
        <w:rPr>
          <w:rFonts w:eastAsia="Palatino Linotype" w:cs="Palatino Linotype"/>
          <w:color w:val="000000" w:themeColor="text1"/>
        </w:rPr>
        <w:t xml:space="preserve"> el </w:t>
      </w:r>
      <w:r w:rsidR="005E61D3" w:rsidRPr="00522D80">
        <w:rPr>
          <w:rFonts w:eastAsia="Palatino Linotype" w:cs="Palatino Linotype"/>
          <w:b/>
          <w:color w:val="000000" w:themeColor="text1"/>
        </w:rPr>
        <w:t xml:space="preserve">once de junio </w:t>
      </w:r>
      <w:r w:rsidR="009A1340" w:rsidRPr="00522D80">
        <w:rPr>
          <w:rFonts w:eastAsia="Palatino Linotype" w:cs="Palatino Linotype"/>
          <w:b/>
          <w:color w:val="000000" w:themeColor="text1"/>
        </w:rPr>
        <w:t>de dos mil veinticinco</w:t>
      </w:r>
      <w:r w:rsidRPr="00522D80">
        <w:rPr>
          <w:rFonts w:eastAsia="Palatino Linotype" w:cs="Palatino Linotype"/>
          <w:bCs/>
          <w:color w:val="000000" w:themeColor="text1"/>
        </w:rPr>
        <w:t>;</w:t>
      </w:r>
      <w:r w:rsidRPr="00522D80">
        <w:rPr>
          <w:rFonts w:eastAsia="Palatino Linotype" w:cs="Palatino Linotype"/>
          <w:color w:val="000000" w:themeColor="text1"/>
        </w:rPr>
        <w:t xml:space="preserve"> por lo tanto, éste se encuentra dentro del margen temporal </w:t>
      </w:r>
      <w:r w:rsidRPr="00522D80">
        <w:rPr>
          <w:rFonts w:eastAsia="Palatino Linotype" w:cs="Palatino Linotype"/>
          <w:color w:val="000000" w:themeColor="text1"/>
        </w:rPr>
        <w:lastRenderedPageBreak/>
        <w:t xml:space="preserve">previsto en el artículo 178 de la </w:t>
      </w:r>
      <w:r w:rsidRPr="00522D80">
        <w:rPr>
          <w:rFonts w:cs="Arial"/>
          <w:color w:val="000000" w:themeColor="text1"/>
        </w:rPr>
        <w:t>Ley de Transparencia y Acceso a la Información Pública del Estado de México y Municipios</w:t>
      </w:r>
      <w:r w:rsidRPr="00522D80">
        <w:rPr>
          <w:rFonts w:eastAsiaTheme="minorEastAsia" w:cs="Arial"/>
          <w:color w:val="000000" w:themeColor="text1"/>
          <w:lang w:val="es-ES_tradnl"/>
        </w:rPr>
        <w:t>.</w:t>
      </w:r>
    </w:p>
    <w:p w14:paraId="584FAE11" w14:textId="77777777" w:rsidR="005E61D3" w:rsidRPr="00522D80" w:rsidRDefault="005E61D3" w:rsidP="004565C2">
      <w:pPr>
        <w:rPr>
          <w:rFonts w:eastAsiaTheme="minorEastAsia" w:cs="Arial"/>
          <w:color w:val="000000" w:themeColor="text1"/>
          <w:lang w:val="es-ES_tradnl"/>
        </w:rPr>
      </w:pPr>
    </w:p>
    <w:p w14:paraId="1CEF75DC" w14:textId="77777777" w:rsidR="005E61D3" w:rsidRPr="00522D80" w:rsidRDefault="005E61D3" w:rsidP="005E61D3">
      <w:r w:rsidRPr="00522D80">
        <w:t xml:space="preserve">En ese tenor, se advierte que </w:t>
      </w:r>
      <w:r w:rsidRPr="00522D80">
        <w:rPr>
          <w:b/>
        </w:rPr>
        <w:t>LA PARTE RECURRENTE</w:t>
      </w:r>
      <w:r w:rsidRPr="00522D80">
        <w:t xml:space="preserve"> presentó el medio de impugnación al rubro anotado, el mismo día en que se le notificó la respuesta impugnada;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el particular tenga conocimiento de la respuesta impugnada, no limita a los particulares para que lo puedan presentar el mismo día en que le sea notificada dicha respuesta; esto es, no implica que de presentarse el recurso de revisión el mismo día de su notificación, deba considerarse como extemporáneo.</w:t>
      </w:r>
    </w:p>
    <w:p w14:paraId="298929C7" w14:textId="77777777" w:rsidR="005E61D3" w:rsidRPr="00522D80" w:rsidRDefault="005E61D3" w:rsidP="005E61D3"/>
    <w:p w14:paraId="0E147B42" w14:textId="77777777" w:rsidR="005E61D3" w:rsidRPr="00522D80" w:rsidRDefault="005E61D3" w:rsidP="005E61D3">
      <w:r w:rsidRPr="00522D80">
        <w:t>En apoyo a lo anterior, resulta aplicable por analogía la Jurisprudencia número 1a</w:t>
      </w:r>
      <w:proofErr w:type="gramStart"/>
      <w:r w:rsidRPr="00522D80">
        <w:t>./</w:t>
      </w:r>
      <w:proofErr w:type="gramEnd"/>
      <w:r w:rsidRPr="00522D80">
        <w:t>J. 41/2015 (10a.), Décima Época, sustentada por la Primera Sala de la Suprema Corte de Justicia de la Nación, visible en la página 569, libro 19, tomo I, del Semanario Judicial de la Federación y su de la Gaceta de junio de 2015, cuyo rubro y texto esgrimen:</w:t>
      </w:r>
    </w:p>
    <w:p w14:paraId="42C93CC9" w14:textId="77777777" w:rsidR="005E61D3" w:rsidRPr="00522D80" w:rsidRDefault="005E61D3" w:rsidP="005E61D3"/>
    <w:p w14:paraId="3D2DD27F" w14:textId="77777777" w:rsidR="005E61D3" w:rsidRPr="00522D80" w:rsidRDefault="005E61D3" w:rsidP="005E61D3">
      <w:pPr>
        <w:spacing w:line="240" w:lineRule="auto"/>
        <w:ind w:left="567" w:right="567"/>
        <w:contextualSpacing/>
        <w:rPr>
          <w:i/>
          <w:kern w:val="28"/>
          <w:szCs w:val="56"/>
        </w:rPr>
      </w:pPr>
      <w:r w:rsidRPr="00522D80">
        <w:rPr>
          <w:i/>
          <w:kern w:val="28"/>
          <w:szCs w:val="56"/>
        </w:rPr>
        <w:t>“</w:t>
      </w:r>
      <w:r w:rsidRPr="00522D80">
        <w:rPr>
          <w:b/>
          <w:bCs/>
          <w:i/>
          <w:kern w:val="28"/>
          <w:szCs w:val="56"/>
        </w:rPr>
        <w:t>RECURSO DE RECLAMACIÓN. SU INTERPOSICIÓN NO ES EXTEMPORÁNEA SI SE REALIZA ANTES DE QUE INICIE EL PLAZO PARA HACERLO</w:t>
      </w:r>
      <w:r w:rsidRPr="00522D80">
        <w:rPr>
          <w:i/>
          <w:kern w:val="28"/>
          <w:szCs w:val="56"/>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1262D82" w14:textId="31B14B00" w:rsidR="00813497" w:rsidRPr="00522D80" w:rsidRDefault="00813497" w:rsidP="00D91CB4">
      <w:pPr>
        <w:rPr>
          <w:lang w:val="es-ES_tradnl"/>
        </w:rPr>
      </w:pPr>
    </w:p>
    <w:p w14:paraId="46C0EB3A" w14:textId="5A92AF42" w:rsidR="00A53315" w:rsidRPr="00522D80" w:rsidRDefault="00BA55A8" w:rsidP="00362A11">
      <w:pPr>
        <w:pStyle w:val="Ttulo3"/>
        <w:rPr>
          <w:rFonts w:eastAsia="Calibri"/>
          <w:lang w:eastAsia="es-ES_tradnl"/>
        </w:rPr>
      </w:pPr>
      <w:bookmarkStart w:id="31" w:name="_Toc208350932"/>
      <w:r w:rsidRPr="00522D80">
        <w:rPr>
          <w:rFonts w:eastAsia="Calibri"/>
          <w:lang w:eastAsia="es-ES_tradnl"/>
        </w:rPr>
        <w:lastRenderedPageBreak/>
        <w:t>d)</w:t>
      </w:r>
      <w:r w:rsidR="00D91CB4" w:rsidRPr="00522D80">
        <w:rPr>
          <w:rFonts w:eastAsia="Calibri"/>
          <w:lang w:eastAsia="es-ES_tradnl"/>
        </w:rPr>
        <w:t xml:space="preserve"> </w:t>
      </w:r>
      <w:r w:rsidR="004565C2" w:rsidRPr="00522D80">
        <w:rPr>
          <w:rFonts w:eastAsia="Calibri"/>
          <w:lang w:eastAsia="es-ES_tradnl"/>
        </w:rPr>
        <w:t>Causal de procedencia</w:t>
      </w:r>
      <w:bookmarkEnd w:id="31"/>
    </w:p>
    <w:p w14:paraId="190404A6" w14:textId="21F1260F" w:rsidR="00BA55A8" w:rsidRPr="00522D80" w:rsidRDefault="00BA55A8" w:rsidP="00BA55A8">
      <w:r w:rsidRPr="00522D80">
        <w:rPr>
          <w:rFonts w:cs="Arial"/>
        </w:rPr>
        <w:t xml:space="preserve">Resulta procedente la interposición del recurso de revisión, ya que </w:t>
      </w:r>
      <w:r w:rsidRPr="00522D80">
        <w:rPr>
          <w:rFonts w:eastAsia="Calibri" w:cs="Tahoma"/>
          <w:color w:val="000000"/>
          <w:szCs w:val="22"/>
          <w:lang w:eastAsia="es-MX"/>
        </w:rPr>
        <w:t xml:space="preserve">se actualiza la causal de procedencia señalada en el artículo 179, fracción </w:t>
      </w:r>
      <w:r w:rsidR="00D15341" w:rsidRPr="00522D80">
        <w:rPr>
          <w:rFonts w:eastAsia="Calibri" w:cs="Tahoma"/>
          <w:color w:val="000000"/>
          <w:szCs w:val="22"/>
          <w:lang w:eastAsia="es-MX"/>
        </w:rPr>
        <w:t>I</w:t>
      </w:r>
      <w:r w:rsidR="005E61D3" w:rsidRPr="00522D80">
        <w:rPr>
          <w:rFonts w:eastAsia="Calibri" w:cs="Tahoma"/>
          <w:color w:val="000000"/>
          <w:szCs w:val="22"/>
          <w:lang w:eastAsia="es-MX"/>
        </w:rPr>
        <w:t>I</w:t>
      </w:r>
      <w:r w:rsidRPr="00522D80">
        <w:rPr>
          <w:rFonts w:cs="Arial"/>
        </w:rPr>
        <w:t xml:space="preserve"> de la </w:t>
      </w:r>
      <w:r w:rsidRPr="00522D80">
        <w:t>Ley de Transparencia y Acceso a la Información Pública del Estado de México y Municipios.</w:t>
      </w:r>
    </w:p>
    <w:p w14:paraId="0EFF7141" w14:textId="77777777" w:rsidR="00362A11" w:rsidRPr="00522D80" w:rsidRDefault="00362A11" w:rsidP="00BA55A8"/>
    <w:p w14:paraId="2284D7EB" w14:textId="3EE1D036" w:rsidR="00BA55A8" w:rsidRPr="00522D80" w:rsidRDefault="00362A11" w:rsidP="00362A11">
      <w:pPr>
        <w:pStyle w:val="Ttulo3"/>
      </w:pPr>
      <w:bookmarkStart w:id="32" w:name="_Toc208350933"/>
      <w:r w:rsidRPr="00522D80">
        <w:t>e) Requisitos formales para la interposición del recurso</w:t>
      </w:r>
      <w:bookmarkEnd w:id="32"/>
    </w:p>
    <w:p w14:paraId="677C7009" w14:textId="77777777" w:rsidR="00185C7C" w:rsidRPr="00522D80" w:rsidRDefault="00185C7C" w:rsidP="00185C7C">
      <w:pPr>
        <w:rPr>
          <w:rFonts w:cs="Arial"/>
        </w:rPr>
      </w:pPr>
      <w:r w:rsidRPr="00522D80">
        <w:rPr>
          <w:rFonts w:cs="Arial"/>
          <w:b/>
          <w:bCs/>
        </w:rPr>
        <w:t xml:space="preserve">LA PARTE RECURRENTE </w:t>
      </w:r>
      <w:r w:rsidRPr="00522D80">
        <w:rPr>
          <w:rFonts w:cs="Arial"/>
        </w:rPr>
        <w:t>acreditó todos y cada uno de los elementos formales exigidos por el artículo 180 de la misma normatividad.</w:t>
      </w:r>
    </w:p>
    <w:p w14:paraId="2BE2EBCD" w14:textId="77777777" w:rsidR="00185C7C" w:rsidRPr="00522D80" w:rsidRDefault="00185C7C" w:rsidP="00185C7C">
      <w:pPr>
        <w:rPr>
          <w:rFonts w:cs="Arial"/>
        </w:rPr>
      </w:pPr>
    </w:p>
    <w:p w14:paraId="05831AAD" w14:textId="77777777" w:rsidR="008C00BD" w:rsidRPr="00522D80" w:rsidRDefault="008C00BD" w:rsidP="008C00BD">
      <w:pPr>
        <w:rPr>
          <w:rFonts w:cs="Arial"/>
          <w:lang w:val="es-ES"/>
        </w:rPr>
      </w:pPr>
      <w:r w:rsidRPr="00522D80">
        <w:rPr>
          <w:rFonts w:cs="Arial"/>
          <w:lang w:val="es-ES"/>
        </w:rPr>
        <w:t xml:space="preserve">Sin embargo, es importante mencionar que, de la revisión de los expedientes electrónicos del </w:t>
      </w:r>
      <w:r w:rsidRPr="00522D80">
        <w:rPr>
          <w:rFonts w:cs="Arial"/>
          <w:b/>
          <w:bCs/>
          <w:lang w:val="es-ES"/>
        </w:rPr>
        <w:t>SAIMEX</w:t>
      </w:r>
      <w:r w:rsidRPr="00522D80">
        <w:rPr>
          <w:rFonts w:cs="Arial"/>
          <w:bCs/>
          <w:lang w:val="es-ES"/>
        </w:rPr>
        <w:t>,</w:t>
      </w:r>
      <w:r w:rsidRPr="00522D80">
        <w:rPr>
          <w:rFonts w:cs="Arial"/>
          <w:lang w:val="es-ES"/>
        </w:rPr>
        <w:t xml:space="preserve"> se observa que </w:t>
      </w:r>
      <w:r w:rsidRPr="00522D80">
        <w:rPr>
          <w:rFonts w:cs="Arial"/>
          <w:b/>
          <w:bCs/>
          <w:lang w:val="es-ES"/>
        </w:rPr>
        <w:t>LA PARTE RECURRENTE</w:t>
      </w:r>
      <w:r w:rsidRPr="00522D80">
        <w:rPr>
          <w:rFonts w:cs="Arial"/>
          <w:lang w:val="es-ES"/>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w:t>
      </w:r>
      <w:r w:rsidRPr="00522D80">
        <w:rPr>
          <w:rFonts w:cs="Arial"/>
          <w:iCs/>
          <w:lang w:val="es-ES"/>
        </w:rPr>
        <w:t xml:space="preserve">prevé que </w:t>
      </w:r>
      <w:r w:rsidRPr="00522D80">
        <w:rPr>
          <w:rFonts w:cs="Arial"/>
          <w:lang w:val="es-ES"/>
        </w:rPr>
        <w:t xml:space="preserve">toda persona tendrá acceso a la información sin necesidad de acreditar interés alguno o justificar su utilización, de lo que se infiere que </w:t>
      </w:r>
      <w:r w:rsidRPr="00522D80">
        <w:rPr>
          <w:rFonts w:cs="Arial"/>
          <w:b/>
          <w:u w:val="single"/>
          <w:lang w:val="es-ES"/>
        </w:rPr>
        <w:t xml:space="preserve">el nombre no es un requisito </w:t>
      </w:r>
      <w:r w:rsidRPr="00522D80">
        <w:rPr>
          <w:rFonts w:cs="Arial"/>
          <w:b/>
          <w:iCs/>
          <w:u w:val="single"/>
          <w:lang w:val="es-ES"/>
        </w:rPr>
        <w:t>indispensable</w:t>
      </w:r>
      <w:r w:rsidRPr="00522D80">
        <w:rPr>
          <w:rFonts w:cs="Arial"/>
          <w:lang w:val="es-ES"/>
        </w:rPr>
        <w:t xml:space="preserve"> para que las y los ciudadanos ejerzan el derecho de acceso a la información pública. </w:t>
      </w:r>
    </w:p>
    <w:p w14:paraId="11A30597" w14:textId="77777777" w:rsidR="008C00BD" w:rsidRPr="00522D80" w:rsidRDefault="008C00BD" w:rsidP="008C00BD">
      <w:pPr>
        <w:rPr>
          <w:rFonts w:cs="Arial"/>
          <w:lang w:val="es-ES"/>
        </w:rPr>
      </w:pPr>
    </w:p>
    <w:p w14:paraId="361A21CF" w14:textId="77777777" w:rsidR="008C00BD" w:rsidRPr="00522D80" w:rsidRDefault="008C00BD" w:rsidP="008C00BD">
      <w:pPr>
        <w:rPr>
          <w:rFonts w:cs="Arial"/>
          <w:lang w:val="es-ES"/>
        </w:rPr>
      </w:pPr>
      <w:r w:rsidRPr="00522D80">
        <w:rPr>
          <w:rFonts w:cs="Arial"/>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22D80">
        <w:rPr>
          <w:rFonts w:cs="Arial"/>
          <w:b/>
          <w:bCs/>
          <w:lang w:val="es-ES"/>
        </w:rPr>
        <w:t>LA PARTE RECURRENTE</w:t>
      </w:r>
      <w:r w:rsidRPr="00522D80">
        <w:rPr>
          <w:rFonts w:cs="Arial"/>
          <w:b/>
          <w:lang w:val="es-ES"/>
        </w:rPr>
        <w:t>;</w:t>
      </w:r>
      <w:r w:rsidRPr="00522D80">
        <w:rPr>
          <w:rFonts w:cs="Arial"/>
          <w:lang w:val="es-ES"/>
        </w:rPr>
        <w:t xml:space="preserve"> por lo que, en el presente caso, al haber sido presentado el recurso de revisión vía </w:t>
      </w:r>
      <w:r w:rsidRPr="00522D80">
        <w:rPr>
          <w:rFonts w:cs="Arial"/>
          <w:b/>
          <w:bCs/>
          <w:lang w:val="es-ES"/>
        </w:rPr>
        <w:t>SAIMEX</w:t>
      </w:r>
      <w:r w:rsidRPr="00522D80">
        <w:rPr>
          <w:rFonts w:cs="Arial"/>
          <w:lang w:val="es-ES"/>
        </w:rPr>
        <w:t>, dicho requisito resulta innecesario.</w:t>
      </w:r>
    </w:p>
    <w:p w14:paraId="2B8E208C" w14:textId="77777777" w:rsidR="008C00BD" w:rsidRPr="00522D80" w:rsidRDefault="008C00BD" w:rsidP="00185C7C">
      <w:pPr>
        <w:rPr>
          <w:rFonts w:cs="Arial"/>
          <w:lang w:val="es-ES"/>
        </w:rPr>
      </w:pPr>
    </w:p>
    <w:p w14:paraId="457548E9" w14:textId="3F7AF03B" w:rsidR="00C71CEF" w:rsidRPr="00522D80" w:rsidRDefault="00C71CEF" w:rsidP="00C71CEF">
      <w:pPr>
        <w:pStyle w:val="Ttulo2"/>
      </w:pPr>
      <w:bookmarkStart w:id="33" w:name="_Toc208350934"/>
      <w:r w:rsidRPr="00522D80">
        <w:t>SEGUNDO. Estudio de Fondo</w:t>
      </w:r>
      <w:bookmarkEnd w:id="33"/>
    </w:p>
    <w:p w14:paraId="2A308F59" w14:textId="0FF373F0" w:rsidR="00C049E2" w:rsidRPr="00522D80" w:rsidRDefault="00C71CEF" w:rsidP="00A21A20">
      <w:pPr>
        <w:pStyle w:val="Ttulo3"/>
      </w:pPr>
      <w:bookmarkStart w:id="34" w:name="_Toc208350935"/>
      <w:r w:rsidRPr="00522D80">
        <w:t>a</w:t>
      </w:r>
      <w:r w:rsidR="00C049E2" w:rsidRPr="00522D80">
        <w:t>) Mandato de transparencia y responsabilidad del Sujeto Obligado</w:t>
      </w:r>
      <w:bookmarkEnd w:id="34"/>
    </w:p>
    <w:p w14:paraId="6901A889" w14:textId="59EEDAE1" w:rsidR="00C049E2" w:rsidRPr="00522D80" w:rsidRDefault="00C049E2" w:rsidP="00C049E2">
      <w:pPr>
        <w:rPr>
          <w:rFonts w:eastAsia="Palatino Linotype"/>
        </w:rPr>
      </w:pPr>
      <w:r w:rsidRPr="00522D80">
        <w:rPr>
          <w:rFonts w:eastAsia="Palatino Linotype"/>
        </w:rPr>
        <w:t xml:space="preserve">El </w:t>
      </w:r>
      <w:r w:rsidR="00717E59" w:rsidRPr="00522D80">
        <w:rPr>
          <w:rFonts w:eastAsia="Palatino Linotype"/>
        </w:rPr>
        <w:t>d</w:t>
      </w:r>
      <w:r w:rsidRPr="00522D80">
        <w:rPr>
          <w:rFonts w:eastAsia="Palatino Linotype"/>
        </w:rPr>
        <w:t xml:space="preserve">erecho de </w:t>
      </w:r>
      <w:r w:rsidR="00717E59" w:rsidRPr="00522D80">
        <w:rPr>
          <w:rFonts w:eastAsia="Palatino Linotype"/>
        </w:rPr>
        <w:t>a</w:t>
      </w:r>
      <w:r w:rsidRPr="00522D80">
        <w:rPr>
          <w:rFonts w:eastAsia="Palatino Linotype"/>
        </w:rPr>
        <w:t xml:space="preserve">cceso a la </w:t>
      </w:r>
      <w:r w:rsidR="00717E59" w:rsidRPr="00522D80">
        <w:rPr>
          <w:rFonts w:eastAsia="Palatino Linotype"/>
        </w:rPr>
        <w:t>i</w:t>
      </w:r>
      <w:r w:rsidRPr="00522D80">
        <w:rPr>
          <w:rFonts w:eastAsia="Palatino Linotype"/>
        </w:rPr>
        <w:t xml:space="preserve">nformación </w:t>
      </w:r>
      <w:r w:rsidR="00717E59" w:rsidRPr="00522D80">
        <w:rPr>
          <w:rFonts w:eastAsia="Palatino Linotype"/>
        </w:rPr>
        <w:t>p</w:t>
      </w:r>
      <w:r w:rsidRPr="00522D80">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522D80">
        <w:rPr>
          <w:rFonts w:eastAsia="Palatino Linotype"/>
        </w:rPr>
        <w:t>:</w:t>
      </w:r>
    </w:p>
    <w:p w14:paraId="7FAB8D32" w14:textId="77777777" w:rsidR="00C049E2" w:rsidRPr="00522D80" w:rsidRDefault="00C049E2" w:rsidP="00C049E2">
      <w:pPr>
        <w:rPr>
          <w:rFonts w:eastAsia="Palatino Linotype"/>
        </w:rPr>
      </w:pPr>
    </w:p>
    <w:p w14:paraId="05320813" w14:textId="77777777" w:rsidR="00C049E2" w:rsidRPr="00522D80" w:rsidRDefault="00C049E2" w:rsidP="004C43D3">
      <w:pPr>
        <w:pStyle w:val="Puesto"/>
        <w:rPr>
          <w:rFonts w:eastAsia="Palatino Linotype"/>
          <w:b/>
        </w:rPr>
      </w:pPr>
      <w:r w:rsidRPr="00522D80">
        <w:rPr>
          <w:rFonts w:eastAsia="Palatino Linotype"/>
          <w:b/>
        </w:rPr>
        <w:t>Constitución Política de los Estados Unidos Mexicanos</w:t>
      </w:r>
    </w:p>
    <w:p w14:paraId="6B6C67B6" w14:textId="77777777" w:rsidR="00C049E2" w:rsidRPr="00522D80" w:rsidRDefault="00C049E2" w:rsidP="004C43D3">
      <w:pPr>
        <w:pStyle w:val="Puesto"/>
        <w:rPr>
          <w:rFonts w:eastAsia="Palatino Linotype"/>
          <w:b/>
        </w:rPr>
      </w:pPr>
      <w:r w:rsidRPr="00522D80">
        <w:rPr>
          <w:rFonts w:eastAsia="Palatino Linotype"/>
        </w:rPr>
        <w:t>“</w:t>
      </w:r>
      <w:r w:rsidRPr="00522D80">
        <w:rPr>
          <w:rFonts w:eastAsia="Palatino Linotype"/>
          <w:b/>
        </w:rPr>
        <w:t>Artículo 6.</w:t>
      </w:r>
    </w:p>
    <w:p w14:paraId="38D3B4C4" w14:textId="77777777" w:rsidR="00C049E2" w:rsidRPr="00522D80" w:rsidRDefault="00C049E2" w:rsidP="004C43D3">
      <w:pPr>
        <w:pStyle w:val="Puesto"/>
        <w:rPr>
          <w:rFonts w:eastAsia="Palatino Linotype"/>
        </w:rPr>
      </w:pPr>
      <w:r w:rsidRPr="00522D80">
        <w:rPr>
          <w:rFonts w:eastAsia="Palatino Linotype"/>
        </w:rPr>
        <w:t>(…)</w:t>
      </w:r>
    </w:p>
    <w:p w14:paraId="2CCAA297" w14:textId="6602827B" w:rsidR="00C049E2" w:rsidRPr="00522D80" w:rsidRDefault="00C049E2" w:rsidP="004C43D3">
      <w:pPr>
        <w:pStyle w:val="Puesto"/>
        <w:rPr>
          <w:rFonts w:eastAsia="Palatino Linotype"/>
        </w:rPr>
      </w:pPr>
      <w:r w:rsidRPr="00522D80">
        <w:rPr>
          <w:rFonts w:eastAsia="Palatino Linotype"/>
        </w:rPr>
        <w:t>Para efectos de lo dispuesto en el presente artículo se observará lo siguiente:</w:t>
      </w:r>
    </w:p>
    <w:p w14:paraId="74CC3718" w14:textId="77777777" w:rsidR="00C049E2" w:rsidRPr="00522D80" w:rsidRDefault="00C049E2" w:rsidP="004C43D3">
      <w:pPr>
        <w:pStyle w:val="Puesto"/>
        <w:rPr>
          <w:rFonts w:eastAsia="Palatino Linotype"/>
        </w:rPr>
      </w:pPr>
      <w:r w:rsidRPr="00522D80">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522D80" w:rsidRDefault="00C049E2" w:rsidP="004C43D3">
      <w:pPr>
        <w:pStyle w:val="Puesto"/>
        <w:rPr>
          <w:rFonts w:eastAsia="Palatino Linotype"/>
        </w:rPr>
      </w:pPr>
      <w:r w:rsidRPr="00522D80">
        <w:rPr>
          <w:rFonts w:eastAsia="Palatino Linotype"/>
        </w:rPr>
        <w:t xml:space="preserve">I. </w:t>
      </w:r>
      <w:r w:rsidRPr="00522D80">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522D80" w:rsidRDefault="00C049E2" w:rsidP="004C43D3">
      <w:pPr>
        <w:pStyle w:val="Puesto"/>
        <w:rPr>
          <w:rFonts w:eastAsia="Palatino Linotype"/>
        </w:rPr>
      </w:pPr>
    </w:p>
    <w:p w14:paraId="504F12DB" w14:textId="77777777" w:rsidR="00C049E2" w:rsidRPr="00522D80" w:rsidRDefault="00C049E2" w:rsidP="004C43D3">
      <w:pPr>
        <w:pStyle w:val="Puesto"/>
        <w:rPr>
          <w:rFonts w:eastAsia="Palatino Linotype"/>
          <w:b/>
        </w:rPr>
      </w:pPr>
      <w:r w:rsidRPr="00522D80">
        <w:rPr>
          <w:rFonts w:eastAsia="Palatino Linotype"/>
          <w:b/>
        </w:rPr>
        <w:t>Constitución Política del Estado Libre y Soberano de México</w:t>
      </w:r>
    </w:p>
    <w:p w14:paraId="04932D29" w14:textId="77777777" w:rsidR="00C049E2" w:rsidRPr="00522D80" w:rsidRDefault="00C049E2" w:rsidP="004C43D3">
      <w:pPr>
        <w:pStyle w:val="Puesto"/>
        <w:rPr>
          <w:rFonts w:eastAsia="Palatino Linotype"/>
          <w:b/>
        </w:rPr>
      </w:pPr>
      <w:r w:rsidRPr="00522D80">
        <w:rPr>
          <w:rFonts w:eastAsia="Palatino Linotype"/>
        </w:rPr>
        <w:t>“</w:t>
      </w:r>
      <w:r w:rsidRPr="00522D80">
        <w:rPr>
          <w:rFonts w:eastAsia="Palatino Linotype"/>
          <w:b/>
        </w:rPr>
        <w:t xml:space="preserve">Artículo 5.- </w:t>
      </w:r>
    </w:p>
    <w:p w14:paraId="1D3829F4" w14:textId="77777777" w:rsidR="00C049E2" w:rsidRPr="00522D80" w:rsidRDefault="00C049E2" w:rsidP="004C43D3">
      <w:pPr>
        <w:pStyle w:val="Puesto"/>
        <w:rPr>
          <w:rFonts w:eastAsia="Palatino Linotype"/>
        </w:rPr>
      </w:pPr>
      <w:r w:rsidRPr="00522D80">
        <w:rPr>
          <w:rFonts w:eastAsia="Palatino Linotype"/>
        </w:rPr>
        <w:t>(…)</w:t>
      </w:r>
    </w:p>
    <w:p w14:paraId="0EAE47FD" w14:textId="77777777" w:rsidR="00C049E2" w:rsidRPr="00522D80" w:rsidRDefault="00C049E2" w:rsidP="004C43D3">
      <w:pPr>
        <w:pStyle w:val="Puesto"/>
        <w:rPr>
          <w:rFonts w:eastAsia="Palatino Linotype"/>
        </w:rPr>
      </w:pPr>
      <w:r w:rsidRPr="00522D80">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522D80" w:rsidRDefault="00C049E2" w:rsidP="004C43D3">
      <w:pPr>
        <w:pStyle w:val="Puesto"/>
        <w:rPr>
          <w:rFonts w:eastAsia="Palatino Linotype"/>
        </w:rPr>
      </w:pPr>
      <w:r w:rsidRPr="00522D80">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522D80" w:rsidRDefault="00C049E2" w:rsidP="004C43D3">
      <w:pPr>
        <w:pStyle w:val="Puesto"/>
        <w:rPr>
          <w:rFonts w:eastAsia="Palatino Linotype"/>
        </w:rPr>
      </w:pPr>
      <w:r w:rsidRPr="00522D80">
        <w:rPr>
          <w:rFonts w:eastAsia="Palatino Linotype"/>
        </w:rPr>
        <w:t>Este derecho se regirá por los principios y bases siguientes:</w:t>
      </w:r>
    </w:p>
    <w:p w14:paraId="4A3E8CBA" w14:textId="77777777" w:rsidR="00C049E2" w:rsidRPr="00522D80" w:rsidRDefault="00C049E2" w:rsidP="004C43D3">
      <w:pPr>
        <w:pStyle w:val="Puesto"/>
        <w:rPr>
          <w:rFonts w:eastAsia="Palatino Linotype"/>
        </w:rPr>
      </w:pPr>
      <w:r w:rsidRPr="00522D80">
        <w:rPr>
          <w:rFonts w:eastAsia="Palatino Linotype"/>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522D80" w:rsidRDefault="00C049E2" w:rsidP="00C049E2">
      <w:pPr>
        <w:rPr>
          <w:rFonts w:eastAsia="Palatino Linotype"/>
          <w:b/>
          <w:i/>
        </w:rPr>
      </w:pPr>
    </w:p>
    <w:p w14:paraId="6FC1BB3B" w14:textId="3BF4A33D" w:rsidR="00C049E2" w:rsidRPr="00522D80" w:rsidRDefault="00717E59" w:rsidP="00331F35">
      <w:pPr>
        <w:rPr>
          <w:rFonts w:eastAsia="Palatino Linotype"/>
          <w:i/>
        </w:rPr>
      </w:pPr>
      <w:r w:rsidRPr="00522D80">
        <w:rPr>
          <w:rFonts w:eastAsia="Palatino Linotype"/>
        </w:rPr>
        <w:t xml:space="preserve">Asimismo, </w:t>
      </w:r>
      <w:r w:rsidR="00C049E2" w:rsidRPr="00522D80">
        <w:rPr>
          <w:rFonts w:eastAsia="Palatino Linotype"/>
        </w:rPr>
        <w:t>el artículo 150 de la Ley de Transparencia y Acceso a la Información Pública del Estado de México y Municipios</w:t>
      </w:r>
      <w:r w:rsidR="00057B2D" w:rsidRPr="00522D80">
        <w:rPr>
          <w:rFonts w:eastAsia="Palatino Linotype"/>
        </w:rPr>
        <w:t xml:space="preserve"> </w:t>
      </w:r>
      <w:r w:rsidR="00E9335C" w:rsidRPr="00522D80">
        <w:rPr>
          <w:rFonts w:eastAsia="Palatino Linotype"/>
        </w:rPr>
        <w:t xml:space="preserve">indica </w:t>
      </w:r>
      <w:r w:rsidR="00057B2D" w:rsidRPr="00522D80">
        <w:rPr>
          <w:rFonts w:eastAsia="Palatino Linotype"/>
        </w:rPr>
        <w:t>que</w:t>
      </w:r>
      <w:r w:rsidR="00C049E2" w:rsidRPr="00522D80">
        <w:rPr>
          <w:rFonts w:eastAsia="Palatino Linotype"/>
        </w:rPr>
        <w:t xml:space="preserve"> la solicitud es la garantía primaria del Derecho de Acceso a la Información, además, establece que se regirá </w:t>
      </w:r>
      <w:r w:rsidR="00C049E2" w:rsidRPr="00522D80">
        <w:rPr>
          <w:rFonts w:eastAsia="Palatino Linotype"/>
          <w:i/>
        </w:rPr>
        <w:t>por los principios de simplicidad, rapidez</w:t>
      </w:r>
      <w:r w:rsidR="005F65B7" w:rsidRPr="00522D80">
        <w:rPr>
          <w:rFonts w:eastAsia="Palatino Linotype"/>
          <w:i/>
        </w:rPr>
        <w:t>,</w:t>
      </w:r>
      <w:r w:rsidR="00C049E2" w:rsidRPr="00522D80">
        <w:rPr>
          <w:rFonts w:eastAsia="Palatino Linotype"/>
          <w:i/>
        </w:rPr>
        <w:t xml:space="preserve"> gratuidad del procedimiento, auxilio y orientación a los particulare</w:t>
      </w:r>
      <w:r w:rsidR="001A58B3" w:rsidRPr="00522D80">
        <w:rPr>
          <w:rFonts w:eastAsia="Palatino Linotype"/>
          <w:i/>
        </w:rPr>
        <w:t>s.</w:t>
      </w:r>
    </w:p>
    <w:p w14:paraId="033466A6" w14:textId="77777777" w:rsidR="001A58B3" w:rsidRPr="00522D80" w:rsidRDefault="001A58B3" w:rsidP="00331F35">
      <w:pPr>
        <w:rPr>
          <w:rFonts w:eastAsia="Palatino Linotype"/>
          <w:i/>
        </w:rPr>
      </w:pPr>
    </w:p>
    <w:p w14:paraId="04ADA10B" w14:textId="574A944A" w:rsidR="001A58B3" w:rsidRPr="00522D80" w:rsidRDefault="00233F17" w:rsidP="00331F35">
      <w:pPr>
        <w:rPr>
          <w:rFonts w:eastAsia="Palatino Linotype" w:cs="Palatino Linotype"/>
          <w:i/>
          <w:szCs w:val="22"/>
        </w:rPr>
      </w:pPr>
      <w:r w:rsidRPr="00522D80">
        <w:rPr>
          <w:rFonts w:eastAsia="Palatino Linotype" w:cs="Palatino Linotype"/>
        </w:rPr>
        <w:t xml:space="preserve">Por su parte, el artículo 4 de </w:t>
      </w:r>
      <w:r w:rsidR="001A58B3" w:rsidRPr="00522D80">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22D80">
        <w:rPr>
          <w:rFonts w:eastAsia="Palatino Linotype" w:cs="Palatino Linotype"/>
        </w:rPr>
        <w:t>.</w:t>
      </w:r>
    </w:p>
    <w:p w14:paraId="1407DBB8" w14:textId="77777777" w:rsidR="001A58B3" w:rsidRPr="00522D80" w:rsidRDefault="001A58B3" w:rsidP="00331F35">
      <w:pPr>
        <w:rPr>
          <w:rFonts w:eastAsia="Palatino Linotype" w:cs="Palatino Linotype"/>
        </w:rPr>
      </w:pPr>
    </w:p>
    <w:p w14:paraId="7552AA79" w14:textId="5C52E4A4" w:rsidR="001A58B3" w:rsidRPr="00522D80" w:rsidRDefault="001A58B3" w:rsidP="00331F35">
      <w:pPr>
        <w:rPr>
          <w:rFonts w:eastAsia="Palatino Linotype" w:cs="Palatino Linotype"/>
        </w:rPr>
      </w:pPr>
      <w:r w:rsidRPr="00522D80">
        <w:rPr>
          <w:rFonts w:eastAsia="Palatino Linotype" w:cs="Palatino Linotype"/>
        </w:rPr>
        <w:t xml:space="preserve">Esto es, que los Sujetos Obligados </w:t>
      </w:r>
      <w:r w:rsidR="00FA5957" w:rsidRPr="00522D80">
        <w:rPr>
          <w:rFonts w:eastAsia="Palatino Linotype" w:cs="Palatino Linotype"/>
        </w:rPr>
        <w:t>deben</w:t>
      </w:r>
      <w:r w:rsidRPr="00522D80">
        <w:rPr>
          <w:rFonts w:eastAsia="Palatino Linotype" w:cs="Palatino Linotype"/>
        </w:rPr>
        <w:t xml:space="preserve"> atender las solicitudes de acceso a la información pública que se les </w:t>
      </w:r>
      <w:r w:rsidR="00FA5957" w:rsidRPr="00522D80">
        <w:rPr>
          <w:rFonts w:eastAsia="Palatino Linotype" w:cs="Palatino Linotype"/>
        </w:rPr>
        <w:t>sean realizadas,</w:t>
      </w:r>
      <w:r w:rsidRPr="00522D80">
        <w:rPr>
          <w:rFonts w:eastAsia="Palatino Linotype" w:cs="Palatino Linotype"/>
        </w:rPr>
        <w:t xml:space="preserve"> y proporcionar la información pública que obre en su poder</w:t>
      </w:r>
      <w:r w:rsidR="00FA5957" w:rsidRPr="00522D80">
        <w:rPr>
          <w:rFonts w:eastAsia="Palatino Linotype" w:cs="Palatino Linotype"/>
        </w:rPr>
        <w:t>,</w:t>
      </w:r>
      <w:r w:rsidRPr="00522D80">
        <w:rPr>
          <w:rFonts w:eastAsia="Palatino Linotype" w:cs="Palatino Linotype"/>
        </w:rPr>
        <w:t xml:space="preserve"> conforme </w:t>
      </w:r>
      <w:r w:rsidR="00FA5957" w:rsidRPr="00522D80">
        <w:rPr>
          <w:rFonts w:eastAsia="Palatino Linotype" w:cs="Palatino Linotype"/>
        </w:rPr>
        <w:t>a</w:t>
      </w:r>
      <w:r w:rsidRPr="00522D80">
        <w:rPr>
          <w:rFonts w:eastAsia="Palatino Linotype" w:cs="Palatino Linotype"/>
        </w:rPr>
        <w:t xml:space="preserve">l estado </w:t>
      </w:r>
      <w:r w:rsidR="00FA5957" w:rsidRPr="00522D80">
        <w:rPr>
          <w:rFonts w:eastAsia="Palatino Linotype" w:cs="Palatino Linotype"/>
        </w:rPr>
        <w:t xml:space="preserve">en </w:t>
      </w:r>
      <w:r w:rsidRPr="00522D80">
        <w:rPr>
          <w:rFonts w:eastAsia="Palatino Linotype" w:cs="Palatino Linotype"/>
        </w:rPr>
        <w:t>que se encuentr</w:t>
      </w:r>
      <w:r w:rsidR="00FA5957" w:rsidRPr="00522D80">
        <w:rPr>
          <w:rFonts w:eastAsia="Palatino Linotype" w:cs="Palatino Linotype"/>
        </w:rPr>
        <w:t>e, sin que sea necesario</w:t>
      </w:r>
      <w:r w:rsidRPr="00522D80">
        <w:rPr>
          <w:rFonts w:eastAsia="Palatino Linotype" w:cs="Palatino Linotype"/>
        </w:rPr>
        <w:t xml:space="preserve"> </w:t>
      </w:r>
      <w:r w:rsidR="00FA5957" w:rsidRPr="00522D80">
        <w:rPr>
          <w:rFonts w:eastAsia="Palatino Linotype" w:cs="Palatino Linotype"/>
        </w:rPr>
        <w:t>procesar</w:t>
      </w:r>
      <w:r w:rsidRPr="00522D80">
        <w:rPr>
          <w:rFonts w:eastAsia="Palatino Linotype" w:cs="Palatino Linotype"/>
        </w:rPr>
        <w:t xml:space="preserve"> la misma, ni presentarla conforme al interés del solicitante; </w:t>
      </w:r>
      <w:r w:rsidR="00FA5957" w:rsidRPr="00522D80">
        <w:rPr>
          <w:rFonts w:eastAsia="Palatino Linotype" w:cs="Palatino Linotype"/>
        </w:rPr>
        <w:t>tal y como</w:t>
      </w:r>
      <w:r w:rsidRPr="00522D80">
        <w:rPr>
          <w:rFonts w:eastAsia="Palatino Linotype" w:cs="Palatino Linotype"/>
        </w:rPr>
        <w:t xml:space="preserve"> lo establece el artículo 12 de la Ley de Transparencia y Acceso a la Información Pública del Estado de México y Municipios</w:t>
      </w:r>
      <w:r w:rsidR="00970EB3" w:rsidRPr="00522D80">
        <w:rPr>
          <w:rFonts w:eastAsia="Palatino Linotype" w:cs="Palatino Linotype"/>
        </w:rPr>
        <w:t>.</w:t>
      </w:r>
    </w:p>
    <w:p w14:paraId="73245195" w14:textId="77777777" w:rsidR="00970EB3" w:rsidRPr="00522D80" w:rsidRDefault="00970EB3" w:rsidP="00331F35">
      <w:pPr>
        <w:rPr>
          <w:rFonts w:eastAsia="Palatino Linotype" w:cs="Palatino Linotype"/>
        </w:rPr>
      </w:pPr>
    </w:p>
    <w:p w14:paraId="7F62D4DF" w14:textId="775730E1" w:rsidR="001A58B3" w:rsidRPr="00522D80" w:rsidRDefault="001A58B3" w:rsidP="00331F35">
      <w:pPr>
        <w:rPr>
          <w:rFonts w:eastAsia="Palatino Linotype" w:cs="Palatino Linotype"/>
        </w:rPr>
      </w:pPr>
      <w:r w:rsidRPr="00522D80">
        <w:rPr>
          <w:rFonts w:eastAsia="Palatino Linotype" w:cs="Palatino Linotype"/>
        </w:rPr>
        <w:lastRenderedPageBreak/>
        <w:t>Es decir, que todo sujeto obligado que genere, recopile, administre, procese, archive, posea o conserven, son responsables de la misma</w:t>
      </w:r>
      <w:r w:rsidR="00970EB3" w:rsidRPr="00522D80">
        <w:rPr>
          <w:rFonts w:eastAsia="Palatino Linotype" w:cs="Palatino Linotype"/>
        </w:rPr>
        <w:t>,</w:t>
      </w:r>
      <w:r w:rsidRPr="00522D80">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522D80">
        <w:rPr>
          <w:rFonts w:eastAsia="Palatino Linotype" w:cs="Palatino Linotype"/>
        </w:rPr>
        <w:t>o</w:t>
      </w:r>
      <w:r w:rsidRPr="00522D80">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22D80" w:rsidRDefault="001A58B3" w:rsidP="00331F35">
      <w:pPr>
        <w:rPr>
          <w:rFonts w:eastAsia="Palatino Linotype" w:cs="Palatino Linotype"/>
        </w:rPr>
      </w:pPr>
    </w:p>
    <w:p w14:paraId="04E42DFE" w14:textId="573F1198" w:rsidR="001A58B3" w:rsidRPr="00522D80" w:rsidRDefault="001A58B3" w:rsidP="00331F35">
      <w:pPr>
        <w:rPr>
          <w:rFonts w:eastAsia="Palatino Linotype" w:cs="Palatino Linotype"/>
        </w:rPr>
      </w:pPr>
      <w:r w:rsidRPr="00522D80">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22D80">
        <w:rPr>
          <w:rFonts w:eastAsia="Palatino Linotype" w:cs="Palatino Linotype"/>
        </w:rPr>
        <w:t>, s</w:t>
      </w:r>
      <w:r w:rsidRPr="00522D80">
        <w:rPr>
          <w:rFonts w:eastAsia="Palatino Linotype" w:cs="Palatino Linotype"/>
        </w:rPr>
        <w:t xml:space="preserve">iempre y cuando no se trate de información reservada o </w:t>
      </w:r>
      <w:r w:rsidR="00331F35" w:rsidRPr="00522D80">
        <w:rPr>
          <w:rFonts w:eastAsia="Palatino Linotype" w:cs="Palatino Linotype"/>
        </w:rPr>
        <w:t>confidencial.</w:t>
      </w:r>
    </w:p>
    <w:p w14:paraId="40C5219F" w14:textId="77777777" w:rsidR="001A58B3" w:rsidRPr="00522D80" w:rsidRDefault="001A58B3" w:rsidP="00331F35">
      <w:pPr>
        <w:rPr>
          <w:rFonts w:eastAsia="Palatino Linotype" w:cs="Palatino Linotype"/>
        </w:rPr>
      </w:pPr>
    </w:p>
    <w:p w14:paraId="2E629608" w14:textId="01727E15" w:rsidR="00C049E2" w:rsidRPr="00522D80" w:rsidRDefault="006067C7" w:rsidP="00331F35">
      <w:pPr>
        <w:rPr>
          <w:rFonts w:eastAsia="Palatino Linotype"/>
        </w:rPr>
      </w:pPr>
      <w:bookmarkStart w:id="35" w:name="_heading=h.2s8eyo1" w:colFirst="0" w:colLast="0"/>
      <w:bookmarkEnd w:id="35"/>
      <w:r w:rsidRPr="00522D80">
        <w:rPr>
          <w:rFonts w:eastAsia="Palatino Linotype"/>
        </w:rPr>
        <w:t>Con base en lo anterior</w:t>
      </w:r>
      <w:r w:rsidR="00B22A80" w:rsidRPr="00522D80">
        <w:rPr>
          <w:rFonts w:eastAsia="Palatino Linotype"/>
        </w:rPr>
        <w:t>, se considera que</w:t>
      </w:r>
      <w:r w:rsidR="00C049E2" w:rsidRPr="00522D80">
        <w:rPr>
          <w:rFonts w:eastAsia="Palatino Linotype"/>
        </w:rPr>
        <w:t xml:space="preserve"> </w:t>
      </w:r>
      <w:r w:rsidR="00B22A80" w:rsidRPr="00522D80">
        <w:rPr>
          <w:rFonts w:eastAsia="Palatino Linotype"/>
          <w:b/>
          <w:bCs/>
        </w:rPr>
        <w:t>EL</w:t>
      </w:r>
      <w:r w:rsidR="00C049E2" w:rsidRPr="00522D80">
        <w:rPr>
          <w:rFonts w:eastAsia="Palatino Linotype"/>
        </w:rPr>
        <w:t xml:space="preserve"> </w:t>
      </w:r>
      <w:r w:rsidR="00C049E2" w:rsidRPr="00522D80">
        <w:rPr>
          <w:rFonts w:eastAsia="Palatino Linotype"/>
          <w:b/>
        </w:rPr>
        <w:t>SUJETO OBLIGADO</w:t>
      </w:r>
      <w:r w:rsidR="00C049E2" w:rsidRPr="00522D80">
        <w:rPr>
          <w:rFonts w:eastAsia="Palatino Linotype"/>
        </w:rPr>
        <w:t xml:space="preserve"> </w:t>
      </w:r>
      <w:r w:rsidR="00B22A80" w:rsidRPr="00522D80">
        <w:rPr>
          <w:rFonts w:eastAsia="Palatino Linotype"/>
        </w:rPr>
        <w:t xml:space="preserve">se </w:t>
      </w:r>
      <w:r w:rsidR="00717E59" w:rsidRPr="00522D80">
        <w:rPr>
          <w:rFonts w:eastAsia="Palatino Linotype"/>
        </w:rPr>
        <w:t>encontraba</w:t>
      </w:r>
      <w:r w:rsidR="00B22A80" w:rsidRPr="00522D80">
        <w:rPr>
          <w:rFonts w:eastAsia="Palatino Linotype"/>
        </w:rPr>
        <w:t xml:space="preserve"> compelido a</w:t>
      </w:r>
      <w:r w:rsidR="00C049E2" w:rsidRPr="00522D80">
        <w:rPr>
          <w:rFonts w:eastAsia="Palatino Linotype"/>
        </w:rPr>
        <w:t xml:space="preserve"> atender la solicitud de acceso a la información </w:t>
      </w:r>
      <w:r w:rsidR="00B22A80" w:rsidRPr="00522D80">
        <w:rPr>
          <w:rFonts w:eastAsia="Palatino Linotype"/>
        </w:rPr>
        <w:t xml:space="preserve">realizada por </w:t>
      </w:r>
      <w:r w:rsidR="00B22A80" w:rsidRPr="00522D80">
        <w:rPr>
          <w:rFonts w:eastAsia="Palatino Linotype"/>
          <w:b/>
          <w:bCs/>
        </w:rPr>
        <w:t>LA PARTE RECURRENTE</w:t>
      </w:r>
      <w:r w:rsidR="00331F35" w:rsidRPr="00522D80">
        <w:rPr>
          <w:rFonts w:eastAsia="Palatino Linotype"/>
        </w:rPr>
        <w:t>.</w:t>
      </w:r>
    </w:p>
    <w:p w14:paraId="1611F147" w14:textId="77777777" w:rsidR="00BD5A7C" w:rsidRPr="00522D80" w:rsidRDefault="00BD5A7C" w:rsidP="00331F35">
      <w:pPr>
        <w:rPr>
          <w:rFonts w:eastAsia="Palatino Linotype"/>
        </w:rPr>
      </w:pPr>
    </w:p>
    <w:p w14:paraId="1461D2C3" w14:textId="77777777" w:rsidR="00EA5EE8" w:rsidRPr="00522D80" w:rsidRDefault="00EA5EE8" w:rsidP="00EA5EE8">
      <w:pPr>
        <w:pStyle w:val="Ttulo3"/>
        <w:rPr>
          <w:rFonts w:eastAsia="Calibri"/>
          <w:lang w:eastAsia="es-ES_tradnl"/>
        </w:rPr>
      </w:pPr>
      <w:bookmarkStart w:id="36" w:name="_Toc193371695"/>
      <w:bookmarkStart w:id="37" w:name="_Toc208350936"/>
      <w:r w:rsidRPr="00522D80">
        <w:rPr>
          <w:rFonts w:eastAsia="Calibri"/>
          <w:lang w:eastAsia="es-ES_tradnl"/>
        </w:rPr>
        <w:t>b) Controversia a resolver</w:t>
      </w:r>
      <w:bookmarkEnd w:id="36"/>
      <w:bookmarkEnd w:id="37"/>
    </w:p>
    <w:p w14:paraId="4F17325D" w14:textId="2BB76095" w:rsidR="005E61D3" w:rsidRPr="00522D80" w:rsidRDefault="00EA5EE8" w:rsidP="008C00BD">
      <w:pPr>
        <w:rPr>
          <w:rFonts w:eastAsia="Calibri"/>
          <w:lang w:eastAsia="es-ES_tradnl"/>
        </w:rPr>
      </w:pPr>
      <w:r w:rsidRPr="00522D80">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Pr="00522D80">
        <w:rPr>
          <w:rFonts w:eastAsia="Calibri"/>
          <w:b/>
          <w:bCs/>
          <w:lang w:eastAsia="es-ES_tradnl"/>
        </w:rPr>
        <w:t>LA PARTE RECURRENTE</w:t>
      </w:r>
      <w:r w:rsidRPr="00522D80">
        <w:rPr>
          <w:rFonts w:eastAsia="Calibri"/>
          <w:lang w:eastAsia="es-ES_tradnl"/>
        </w:rPr>
        <w:t xml:space="preserve"> solicitó </w:t>
      </w:r>
      <w:r w:rsidR="005E61D3" w:rsidRPr="00522D80">
        <w:rPr>
          <w:rFonts w:eastAsia="Calibri"/>
          <w:lang w:eastAsia="es-ES_tradnl"/>
        </w:rPr>
        <w:t>los foros y conferencias para promover el voto libre y razonado de la elección extraordinaria 2025, precisando las sedes donde se realizaron, las fechas y las listas de asistentes.</w:t>
      </w:r>
    </w:p>
    <w:p w14:paraId="049CA14C" w14:textId="77777777" w:rsidR="008C00BD" w:rsidRPr="00522D80" w:rsidRDefault="008C00BD" w:rsidP="00EA5EE8">
      <w:pPr>
        <w:rPr>
          <w:rFonts w:eastAsia="Calibri"/>
          <w:lang w:eastAsia="es-ES_tradnl"/>
        </w:rPr>
      </w:pPr>
    </w:p>
    <w:p w14:paraId="720DB777" w14:textId="239A60C6" w:rsidR="005E61D3" w:rsidRPr="00522D80" w:rsidRDefault="00EA5EE8" w:rsidP="00B05304">
      <w:pPr>
        <w:autoSpaceDE w:val="0"/>
        <w:autoSpaceDN w:val="0"/>
        <w:adjustRightInd w:val="0"/>
        <w:ind w:right="-28"/>
        <w:rPr>
          <w:rFonts w:eastAsiaTheme="minorHAnsi" w:cs="Tahoma"/>
          <w:bCs/>
          <w:iCs/>
          <w:color w:val="000000" w:themeColor="text1"/>
          <w:szCs w:val="22"/>
          <w:lang w:eastAsia="en-US"/>
        </w:rPr>
      </w:pPr>
      <w:r w:rsidRPr="00522D80">
        <w:rPr>
          <w:rFonts w:eastAsiaTheme="minorHAnsi" w:cs="Tahoma"/>
          <w:bCs/>
          <w:iCs/>
          <w:color w:val="000000" w:themeColor="text1"/>
          <w:szCs w:val="22"/>
          <w:lang w:eastAsia="en-US"/>
        </w:rPr>
        <w:lastRenderedPageBreak/>
        <w:t xml:space="preserve">En respuesta, </w:t>
      </w:r>
      <w:r w:rsidRPr="00522D80">
        <w:rPr>
          <w:rFonts w:eastAsiaTheme="minorHAnsi" w:cs="Tahoma"/>
          <w:b/>
          <w:iCs/>
          <w:color w:val="000000" w:themeColor="text1"/>
          <w:szCs w:val="22"/>
          <w:lang w:eastAsia="en-US"/>
        </w:rPr>
        <w:t>EL SUJETO OBLIGADO</w:t>
      </w:r>
      <w:r w:rsidR="00B05304" w:rsidRPr="00522D80">
        <w:rPr>
          <w:rFonts w:eastAsiaTheme="minorHAnsi" w:cs="Tahoma"/>
          <w:b/>
          <w:iCs/>
          <w:color w:val="000000" w:themeColor="text1"/>
          <w:szCs w:val="22"/>
          <w:lang w:eastAsia="en-US"/>
        </w:rPr>
        <w:t xml:space="preserve"> </w:t>
      </w:r>
      <w:r w:rsidR="005E61D3" w:rsidRPr="00522D80">
        <w:rPr>
          <w:rFonts w:eastAsiaTheme="minorHAnsi" w:cs="Tahoma"/>
          <w:bCs/>
          <w:iCs/>
          <w:color w:val="000000" w:themeColor="text1"/>
          <w:szCs w:val="22"/>
          <w:lang w:eastAsia="en-US"/>
        </w:rPr>
        <w:t xml:space="preserve">adjuntó oficio por medio del cual la </w:t>
      </w:r>
      <w:r w:rsidR="005E61D3" w:rsidRPr="00522D80">
        <w:rPr>
          <w:rFonts w:cs="Tahoma"/>
          <w:bCs/>
          <w:szCs w:val="22"/>
        </w:rPr>
        <w:t xml:space="preserve">Directora de Participación Ciudadana informó </w:t>
      </w:r>
      <w:r w:rsidR="005E61D3" w:rsidRPr="00522D80">
        <w:rPr>
          <w:rFonts w:eastAsiaTheme="minorHAnsi" w:cs="Tahoma"/>
          <w:bCs/>
          <w:iCs/>
          <w:color w:val="000000" w:themeColor="text1"/>
          <w:szCs w:val="22"/>
          <w:lang w:eastAsia="en-US"/>
        </w:rPr>
        <w:t xml:space="preserve">que </w:t>
      </w:r>
      <w:r w:rsidR="005E61D3" w:rsidRPr="00522D80">
        <w:rPr>
          <w:rFonts w:cs="Tahoma"/>
          <w:bCs/>
          <w:szCs w:val="22"/>
        </w:rPr>
        <w:t xml:space="preserve">la Metodología para la difusión y promoción de la participación ciudadana en el Proceso Electoral Judicial Extraordinario 2025 del Estado de México, establece en su línea de acción 4. Acciones de Educación Electoral, el área encargada de realizar las conferencias es el Centro de Formación y Documentación Electoral. Asimismo, </w:t>
      </w:r>
      <w:r w:rsidR="00B73AD1" w:rsidRPr="00522D80">
        <w:rPr>
          <w:rFonts w:cs="Tahoma"/>
          <w:bCs/>
          <w:szCs w:val="22"/>
        </w:rPr>
        <w:t xml:space="preserve">adjuntó oficio de la Jefa del Centro de Formación y Documentación Electoral, la cual </w:t>
      </w:r>
      <w:r w:rsidR="005E61D3" w:rsidRPr="00522D80">
        <w:rPr>
          <w:rFonts w:cs="Tahoma"/>
          <w:bCs/>
          <w:szCs w:val="22"/>
        </w:rPr>
        <w:t xml:space="preserve">enlistó 7 conferencias que realizó el cumplimiento a la </w:t>
      </w:r>
      <w:r w:rsidR="005E61D3" w:rsidRPr="00522D80">
        <w:rPr>
          <w:rFonts w:cs="Tahoma"/>
          <w:bCs/>
          <w:i/>
          <w:szCs w:val="22"/>
        </w:rPr>
        <w:t xml:space="preserve">Línea de Acción 4, Acciones de Educación Electoral, </w:t>
      </w:r>
      <w:r w:rsidR="005E61D3" w:rsidRPr="00522D80">
        <w:rPr>
          <w:rFonts w:cs="Tahoma"/>
          <w:bCs/>
          <w:szCs w:val="22"/>
        </w:rPr>
        <w:t>de la metodología mencionada, denominada Ciclo de Conferencias sobre el “Proceso Electoral Judicial Extraordinario 2025 del Estado de México”. Adicionalmente a los eventos académicos establecidos en la metodología llevo a cabo diverso foros y conferencias las cuales enlista</w:t>
      </w:r>
      <w:r w:rsidR="00B73AD1" w:rsidRPr="00522D80">
        <w:rPr>
          <w:rFonts w:cs="Tahoma"/>
          <w:bCs/>
          <w:szCs w:val="22"/>
        </w:rPr>
        <w:t xml:space="preserve">. Ahora bien, respecto de la lista de asistentes refirió no contar con fuente obligacional para elaborar listas de asistencia, no obstante, sí se llevaron a cabo, motivo por el cual adjunta a su respuesta. </w:t>
      </w:r>
    </w:p>
    <w:p w14:paraId="134436F6" w14:textId="77777777" w:rsidR="005E61D3" w:rsidRPr="00522D80" w:rsidRDefault="005E61D3" w:rsidP="00B05304">
      <w:pPr>
        <w:autoSpaceDE w:val="0"/>
        <w:autoSpaceDN w:val="0"/>
        <w:adjustRightInd w:val="0"/>
        <w:ind w:right="-28"/>
        <w:rPr>
          <w:rFonts w:eastAsiaTheme="minorHAnsi" w:cs="Tahoma"/>
          <w:bCs/>
          <w:iCs/>
          <w:color w:val="000000" w:themeColor="text1"/>
          <w:szCs w:val="22"/>
          <w:lang w:eastAsia="en-US"/>
        </w:rPr>
      </w:pPr>
    </w:p>
    <w:p w14:paraId="0490226E" w14:textId="7E6B7301" w:rsidR="00EA5EE8" w:rsidRPr="00522D80" w:rsidRDefault="00EA5EE8" w:rsidP="00F305A9">
      <w:pPr>
        <w:autoSpaceDE w:val="0"/>
        <w:autoSpaceDN w:val="0"/>
        <w:adjustRightInd w:val="0"/>
        <w:ind w:right="-28"/>
        <w:rPr>
          <w:rFonts w:eastAsiaTheme="minorHAnsi" w:cs="Tahoma"/>
          <w:bCs/>
          <w:iCs/>
          <w:color w:val="000000" w:themeColor="text1"/>
          <w:szCs w:val="22"/>
          <w:lang w:eastAsia="en-US"/>
        </w:rPr>
      </w:pPr>
      <w:r w:rsidRPr="00522D80">
        <w:rPr>
          <w:rFonts w:eastAsiaTheme="minorHAnsi" w:cs="Tahoma"/>
          <w:bCs/>
          <w:iCs/>
          <w:color w:val="000000" w:themeColor="text1"/>
          <w:szCs w:val="22"/>
          <w:lang w:eastAsia="en-US"/>
        </w:rPr>
        <w:t xml:space="preserve">Ahora bien, en la interposición del presente recurso </w:t>
      </w:r>
      <w:r w:rsidRPr="00522D80">
        <w:rPr>
          <w:rFonts w:eastAsiaTheme="minorHAnsi" w:cs="Tahoma"/>
          <w:b/>
          <w:iCs/>
          <w:color w:val="000000" w:themeColor="text1"/>
          <w:szCs w:val="22"/>
          <w:lang w:eastAsia="en-US"/>
        </w:rPr>
        <w:t>LA PARTE RECURRENTE</w:t>
      </w:r>
      <w:r w:rsidRPr="00522D80">
        <w:rPr>
          <w:rFonts w:eastAsiaTheme="minorHAnsi" w:cs="Tahoma"/>
          <w:bCs/>
          <w:iCs/>
          <w:color w:val="000000" w:themeColor="text1"/>
          <w:szCs w:val="22"/>
          <w:lang w:eastAsia="en-US"/>
        </w:rPr>
        <w:t xml:space="preserve"> se inconformó medularmente por</w:t>
      </w:r>
      <w:r w:rsidR="00111E31" w:rsidRPr="00522D80">
        <w:rPr>
          <w:rFonts w:eastAsiaTheme="minorHAnsi" w:cs="Tahoma"/>
          <w:bCs/>
          <w:iCs/>
          <w:color w:val="000000" w:themeColor="text1"/>
          <w:szCs w:val="22"/>
          <w:lang w:eastAsia="en-US"/>
        </w:rPr>
        <w:t xml:space="preserve">que </w:t>
      </w:r>
      <w:r w:rsidR="00B73AD1" w:rsidRPr="00522D80">
        <w:rPr>
          <w:rFonts w:eastAsiaTheme="minorHAnsi" w:cs="Tahoma"/>
          <w:bCs/>
          <w:iCs/>
          <w:color w:val="000000" w:themeColor="text1"/>
          <w:szCs w:val="22"/>
          <w:lang w:eastAsia="en-US"/>
        </w:rPr>
        <w:t>se clasificó el nombre de los asistentes a las conferencias realizadas para la difusión del Proceso Electoral Judicial  Extraordinario 2025</w:t>
      </w:r>
      <w:r w:rsidR="00111E31" w:rsidRPr="00522D80">
        <w:rPr>
          <w:rFonts w:eastAsiaTheme="minorHAnsi" w:cs="Tahoma"/>
          <w:bCs/>
          <w:iCs/>
          <w:color w:val="000000" w:themeColor="text1"/>
          <w:szCs w:val="22"/>
          <w:lang w:eastAsia="en-US"/>
        </w:rPr>
        <w:t xml:space="preserve">. </w:t>
      </w:r>
      <w:r w:rsidR="00F305A9" w:rsidRPr="00522D80">
        <w:rPr>
          <w:rFonts w:eastAsiaTheme="minorHAnsi" w:cs="Tahoma"/>
          <w:bCs/>
          <w:iCs/>
          <w:color w:val="000000" w:themeColor="text1"/>
          <w:szCs w:val="22"/>
          <w:lang w:eastAsia="en-US"/>
        </w:rPr>
        <w:t xml:space="preserve"> </w:t>
      </w:r>
    </w:p>
    <w:p w14:paraId="4BDD3902" w14:textId="77777777" w:rsidR="00F305A9" w:rsidRPr="00522D80" w:rsidRDefault="00F305A9" w:rsidP="00F305A9">
      <w:pPr>
        <w:autoSpaceDE w:val="0"/>
        <w:autoSpaceDN w:val="0"/>
        <w:adjustRightInd w:val="0"/>
        <w:ind w:right="-28"/>
        <w:rPr>
          <w:rFonts w:eastAsiaTheme="minorHAnsi" w:cs="Tahoma"/>
          <w:bCs/>
          <w:iCs/>
          <w:color w:val="000000" w:themeColor="text1"/>
          <w:szCs w:val="22"/>
          <w:lang w:eastAsia="en-US"/>
        </w:rPr>
      </w:pPr>
    </w:p>
    <w:p w14:paraId="75C5278D" w14:textId="5A5D835B" w:rsidR="00B73AD1" w:rsidRPr="00522D80" w:rsidRDefault="00B05304" w:rsidP="00B05304">
      <w:pPr>
        <w:autoSpaceDE w:val="0"/>
        <w:autoSpaceDN w:val="0"/>
        <w:adjustRightInd w:val="0"/>
        <w:ind w:right="-28"/>
        <w:rPr>
          <w:rFonts w:eastAsiaTheme="minorHAnsi" w:cs="Tahoma"/>
          <w:bCs/>
          <w:iCs/>
          <w:color w:val="000000" w:themeColor="text1"/>
          <w:szCs w:val="22"/>
          <w:lang w:eastAsia="en-US"/>
        </w:rPr>
      </w:pPr>
      <w:bookmarkStart w:id="38" w:name="_Toc193371696"/>
      <w:r w:rsidRPr="00522D80">
        <w:rPr>
          <w:rFonts w:eastAsiaTheme="minorHAnsi" w:cs="Tahoma"/>
          <w:bCs/>
          <w:iCs/>
          <w:color w:val="000000" w:themeColor="text1"/>
          <w:szCs w:val="22"/>
          <w:lang w:eastAsia="en-US"/>
        </w:rPr>
        <w:t xml:space="preserve">Asimismo, es importante señalar que </w:t>
      </w:r>
      <w:r w:rsidRPr="00522D80">
        <w:rPr>
          <w:rFonts w:eastAsiaTheme="minorHAnsi" w:cs="Tahoma"/>
          <w:b/>
          <w:bCs/>
          <w:iCs/>
          <w:color w:val="000000" w:themeColor="text1"/>
          <w:szCs w:val="22"/>
          <w:lang w:eastAsia="en-US"/>
        </w:rPr>
        <w:t>LA PARTE RECURRENTE</w:t>
      </w:r>
      <w:r w:rsidRPr="00522D80">
        <w:rPr>
          <w:rFonts w:eastAsiaTheme="minorHAnsi" w:cs="Tahoma"/>
          <w:bCs/>
          <w:iCs/>
          <w:color w:val="000000" w:themeColor="text1"/>
          <w:szCs w:val="22"/>
          <w:lang w:eastAsia="en-US"/>
        </w:rPr>
        <w:t xml:space="preserve"> no realizó manifestaciones, alegatos o pruebas y por su parte </w:t>
      </w:r>
      <w:r w:rsidRPr="00522D80">
        <w:rPr>
          <w:rFonts w:eastAsiaTheme="minorHAnsi" w:cs="Tahoma"/>
          <w:b/>
          <w:bCs/>
          <w:iCs/>
          <w:color w:val="000000" w:themeColor="text1"/>
          <w:szCs w:val="22"/>
          <w:lang w:eastAsia="en-US"/>
        </w:rPr>
        <w:t>EL SUJETO OBLIGADO</w:t>
      </w:r>
      <w:r w:rsidRPr="00522D80">
        <w:rPr>
          <w:rFonts w:eastAsiaTheme="minorHAnsi" w:cs="Tahoma"/>
          <w:bCs/>
          <w:iCs/>
          <w:color w:val="000000" w:themeColor="text1"/>
          <w:szCs w:val="22"/>
          <w:lang w:eastAsia="en-US"/>
        </w:rPr>
        <w:t xml:space="preserve"> </w:t>
      </w:r>
      <w:r w:rsidR="00B73AD1" w:rsidRPr="00522D80">
        <w:rPr>
          <w:rFonts w:eastAsiaTheme="minorHAnsi" w:cs="Tahoma"/>
          <w:bCs/>
          <w:iCs/>
          <w:color w:val="000000" w:themeColor="text1"/>
          <w:szCs w:val="22"/>
          <w:lang w:eastAsia="en-US"/>
        </w:rPr>
        <w:t xml:space="preserve">mediante Informe Justificado, medularmente precisó que los nombres de particulares, así como los correos electrónicos de particulares, es información susceptible de ser clasificada como confidencial, por tratarse de datos identificativos y electrónicos. </w:t>
      </w:r>
    </w:p>
    <w:p w14:paraId="2690C288" w14:textId="77777777" w:rsidR="00B73AD1" w:rsidRPr="00522D80" w:rsidRDefault="00B73AD1" w:rsidP="00B05304">
      <w:pPr>
        <w:autoSpaceDE w:val="0"/>
        <w:autoSpaceDN w:val="0"/>
        <w:adjustRightInd w:val="0"/>
        <w:ind w:right="-28"/>
        <w:rPr>
          <w:rFonts w:eastAsiaTheme="minorHAnsi" w:cs="Tahoma"/>
          <w:bCs/>
          <w:iCs/>
          <w:color w:val="000000" w:themeColor="text1"/>
          <w:szCs w:val="22"/>
          <w:lang w:eastAsia="en-US"/>
        </w:rPr>
      </w:pPr>
    </w:p>
    <w:p w14:paraId="167BA6CD" w14:textId="529C8859" w:rsidR="00B05304" w:rsidRPr="00522D80" w:rsidRDefault="00B73AD1" w:rsidP="00B73AD1">
      <w:pPr>
        <w:rPr>
          <w:rFonts w:eastAsiaTheme="minorHAnsi" w:cs="Tahoma"/>
          <w:bCs/>
          <w:iCs/>
          <w:color w:val="000000" w:themeColor="text1"/>
          <w:szCs w:val="22"/>
          <w:lang w:eastAsia="en-US"/>
        </w:rPr>
      </w:pPr>
      <w:r w:rsidRPr="00522D80">
        <w:rPr>
          <w:color w:val="000000"/>
        </w:rPr>
        <w:t xml:space="preserve">Una vez precisado lo anterior, como se mencionó en líneas anteriores </w:t>
      </w:r>
      <w:r w:rsidRPr="00522D80">
        <w:rPr>
          <w:b/>
          <w:bCs/>
          <w:color w:val="000000"/>
        </w:rPr>
        <w:t>LA PARTE RECURRENTE</w:t>
      </w:r>
      <w:r w:rsidRPr="00522D80">
        <w:rPr>
          <w:color w:val="000000"/>
        </w:rPr>
        <w:t xml:space="preserve"> se inconformó únicamente </w:t>
      </w:r>
      <w:r w:rsidRPr="00522D80">
        <w:rPr>
          <w:rFonts w:eastAsiaTheme="minorHAnsi" w:cs="Tahoma"/>
          <w:bCs/>
          <w:iCs/>
          <w:color w:val="000000" w:themeColor="text1"/>
          <w:szCs w:val="22"/>
          <w:lang w:eastAsia="en-US"/>
        </w:rPr>
        <w:t xml:space="preserve">porque en las listas de asistencia fue clasificado el </w:t>
      </w:r>
      <w:r w:rsidRPr="00522D80">
        <w:rPr>
          <w:rFonts w:eastAsiaTheme="minorHAnsi" w:cs="Tahoma"/>
          <w:bCs/>
          <w:iCs/>
          <w:color w:val="000000" w:themeColor="text1"/>
          <w:szCs w:val="22"/>
          <w:lang w:eastAsia="en-US"/>
        </w:rPr>
        <w:lastRenderedPageBreak/>
        <w:t xml:space="preserve">nombre de los asistentes a las conferencias; motivo por el cual </w:t>
      </w:r>
      <w:r w:rsidR="00B05304" w:rsidRPr="00522D80">
        <w:rPr>
          <w:rFonts w:eastAsiaTheme="minorHAnsi" w:cs="Tahoma"/>
          <w:bCs/>
          <w:iCs/>
          <w:color w:val="000000" w:themeColor="text1"/>
          <w:szCs w:val="22"/>
          <w:lang w:eastAsia="en-US"/>
        </w:rPr>
        <w:t xml:space="preserve">el estudio se centrará en determinar si la </w:t>
      </w:r>
      <w:r w:rsidRPr="00522D80">
        <w:rPr>
          <w:rFonts w:eastAsiaTheme="minorHAnsi" w:cs="Tahoma"/>
          <w:bCs/>
          <w:iCs/>
          <w:color w:val="000000" w:themeColor="text1"/>
          <w:szCs w:val="22"/>
          <w:lang w:eastAsia="en-US"/>
        </w:rPr>
        <w:t xml:space="preserve">información clasificada en la lista de asistencia corresponde a información susceptible de ser clasificada como confidencial. </w:t>
      </w:r>
    </w:p>
    <w:p w14:paraId="4DAE35A3" w14:textId="77777777" w:rsidR="00B73AD1" w:rsidRPr="00522D80" w:rsidRDefault="00B73AD1" w:rsidP="00B05304">
      <w:pPr>
        <w:tabs>
          <w:tab w:val="left" w:pos="4962"/>
        </w:tabs>
        <w:contextualSpacing/>
        <w:rPr>
          <w:rFonts w:eastAsiaTheme="minorHAnsi" w:cs="Tahoma"/>
          <w:bCs/>
          <w:iCs/>
          <w:color w:val="000000" w:themeColor="text1"/>
          <w:szCs w:val="22"/>
          <w:lang w:eastAsia="en-US"/>
        </w:rPr>
      </w:pPr>
    </w:p>
    <w:p w14:paraId="39CFD374" w14:textId="77777777" w:rsidR="00EA5EE8" w:rsidRPr="00522D80" w:rsidRDefault="00EA5EE8" w:rsidP="00EA5EE8">
      <w:pPr>
        <w:pStyle w:val="Ttulo3"/>
      </w:pPr>
      <w:bookmarkStart w:id="39" w:name="_Toc208350937"/>
      <w:r w:rsidRPr="00522D80">
        <w:t>c) Estudio de la controversia</w:t>
      </w:r>
      <w:bookmarkEnd w:id="38"/>
      <w:bookmarkEnd w:id="39"/>
    </w:p>
    <w:p w14:paraId="5E812763" w14:textId="63F7667A" w:rsidR="008E219A" w:rsidRPr="00522D80" w:rsidRDefault="00B05304" w:rsidP="008E219A">
      <w:pPr>
        <w:rPr>
          <w:rFonts w:cs="Arial"/>
        </w:rPr>
      </w:pPr>
      <w:r w:rsidRPr="00522D80">
        <w:rPr>
          <w:rFonts w:cs="Arial"/>
        </w:rPr>
        <w:t xml:space="preserve">Primero, se considera </w:t>
      </w:r>
      <w:r w:rsidR="008E219A" w:rsidRPr="00522D80">
        <w:rPr>
          <w:rFonts w:cs="Arial"/>
        </w:rPr>
        <w:t xml:space="preserve">conveniente precisar </w:t>
      </w:r>
      <w:r w:rsidR="008E219A" w:rsidRPr="00522D80">
        <w:rPr>
          <w:rFonts w:cs="Arial"/>
        </w:rPr>
        <w:tab/>
        <w:t xml:space="preserve">que el Consejo General del </w:t>
      </w:r>
      <w:r w:rsidR="008E219A" w:rsidRPr="00522D80">
        <w:rPr>
          <w:rFonts w:cs="Arial"/>
          <w:b/>
        </w:rPr>
        <w:t>SUJETO OBLIGADO</w:t>
      </w:r>
      <w:r w:rsidR="008E219A" w:rsidRPr="00522D80">
        <w:rPr>
          <w:rFonts w:cs="Arial"/>
        </w:rPr>
        <w:t xml:space="preserve">, aprobó en la Novena Sesión Extraordinaria celebrada el veintisiete de febrero de dos mil veinticinco, el Acuerdo IEEM/CG/31/2025, la </w:t>
      </w:r>
      <w:r w:rsidR="008E219A" w:rsidRPr="00522D80">
        <w:rPr>
          <w:rFonts w:cs="Arial"/>
          <w:b/>
          <w:i/>
        </w:rPr>
        <w:t>Metodología para la Difusión y Promoción de la Participación Ciudadana en el Proceso Electoral Judicial Extraordinario 2025 del Estado de México</w:t>
      </w:r>
      <w:r w:rsidR="008E219A" w:rsidRPr="00522D80">
        <w:rPr>
          <w:rFonts w:cs="Arial"/>
        </w:rPr>
        <w:t>, cuyo objetivo principal fue incentivar a la ciudadanía mexiquense a ejercer su derecho a votar en la Elección Extraordinaria de integrantes del Poder Judicial del Estado de México 2025, de manera informada, mediante la implementación de acciones de promoción, comunicación, información y educación electoral.</w:t>
      </w:r>
    </w:p>
    <w:p w14:paraId="1313DFD8" w14:textId="77777777" w:rsidR="008E219A" w:rsidRPr="00522D80" w:rsidRDefault="008E219A" w:rsidP="00B05304">
      <w:pPr>
        <w:rPr>
          <w:rFonts w:cs="Arial"/>
        </w:rPr>
      </w:pPr>
    </w:p>
    <w:p w14:paraId="48ADA6C6" w14:textId="456B7BDF" w:rsidR="00703B92" w:rsidRPr="00522D80" w:rsidRDefault="0011165A" w:rsidP="00703B92">
      <w:pPr>
        <w:pStyle w:val="paragraph"/>
        <w:spacing w:before="0" w:beforeAutospacing="0" w:after="0" w:afterAutospacing="0"/>
        <w:textAlignment w:val="baseline"/>
        <w:rPr>
          <w:rFonts w:cs="Arial"/>
          <w:sz w:val="22"/>
          <w:szCs w:val="20"/>
          <w:lang w:eastAsia="es-ES"/>
        </w:rPr>
      </w:pPr>
      <w:r w:rsidRPr="00522D80">
        <w:rPr>
          <w:rFonts w:cs="Arial"/>
        </w:rPr>
        <w:t xml:space="preserve">Asimismo, dentro de dicha </w:t>
      </w:r>
      <w:r w:rsidRPr="00522D80">
        <w:rPr>
          <w:rFonts w:cs="Arial"/>
          <w:sz w:val="22"/>
          <w:szCs w:val="20"/>
          <w:lang w:eastAsia="es-ES"/>
        </w:rPr>
        <w:t xml:space="preserve">metodología para la difusión y promoción de la participación ciudadana en el Proceso Electoral Judicial Extraordinario 2025 del Estado de México, establece en su línea de acción 4. Acciones de Educación Electoral, </w:t>
      </w:r>
      <w:r w:rsidR="005033E6" w:rsidRPr="00522D80">
        <w:rPr>
          <w:rFonts w:cs="Arial"/>
          <w:sz w:val="22"/>
          <w:szCs w:val="20"/>
          <w:lang w:eastAsia="es-ES"/>
        </w:rPr>
        <w:t xml:space="preserve">la cual tiene como objetivo es el promover información y motivar a la reflexión sobre el Proceso Electoral Judicial Extraordinario 2025 del Estado de México, a través de espacios de discusión de corte académico-electoral, a desarrollarse en diversos espacios de la entidad mexiquense, en la que </w:t>
      </w:r>
      <w:r w:rsidRPr="00522D80">
        <w:rPr>
          <w:rFonts w:cs="Arial"/>
          <w:sz w:val="22"/>
          <w:szCs w:val="20"/>
          <w:lang w:eastAsia="es-ES"/>
        </w:rPr>
        <w:t xml:space="preserve">el área coordinadora </w:t>
      </w:r>
      <w:r w:rsidR="00703B92" w:rsidRPr="00522D80">
        <w:rPr>
          <w:rFonts w:cs="Arial"/>
          <w:sz w:val="22"/>
          <w:szCs w:val="20"/>
          <w:lang w:eastAsia="es-ES"/>
        </w:rPr>
        <w:t>es el Centro de Formación y Documentación Electoral</w:t>
      </w:r>
      <w:r w:rsidR="005033E6" w:rsidRPr="00522D80">
        <w:rPr>
          <w:rFonts w:cs="Arial"/>
          <w:sz w:val="22"/>
          <w:szCs w:val="20"/>
          <w:lang w:eastAsia="es-ES"/>
        </w:rPr>
        <w:t xml:space="preserve">, la cual de </w:t>
      </w:r>
      <w:r w:rsidR="00703B92" w:rsidRPr="00522D80">
        <w:rPr>
          <w:rFonts w:cs="Arial"/>
          <w:sz w:val="22"/>
          <w:szCs w:val="20"/>
          <w:lang w:eastAsia="es-ES"/>
        </w:rPr>
        <w:t xml:space="preserve">abril a mayo se tenía contemplado realizar un total de 7 conferencias en las que el desarrollo de dichas conferencia se invitaron a personas expertas de la academia y de la investigación, así como autoridades gubernamentales y electorales, para que aborden y expliquen el proceso electoral </w:t>
      </w:r>
      <w:r w:rsidR="00703B92" w:rsidRPr="00522D80">
        <w:rPr>
          <w:rFonts w:cs="Arial"/>
          <w:sz w:val="22"/>
          <w:szCs w:val="20"/>
          <w:lang w:eastAsia="es-ES"/>
        </w:rPr>
        <w:lastRenderedPageBreak/>
        <w:t xml:space="preserve">judicial extraordinario 2025 del Estado de México, para mejor referencia se inserta la siguiente imagen: </w:t>
      </w:r>
    </w:p>
    <w:p w14:paraId="180517E9" w14:textId="4F74E2E6" w:rsidR="00703B92" w:rsidRPr="00522D80" w:rsidRDefault="00703B92" w:rsidP="00703B92">
      <w:pPr>
        <w:pStyle w:val="paragraph"/>
        <w:spacing w:before="0" w:beforeAutospacing="0" w:after="0" w:afterAutospacing="0"/>
        <w:jc w:val="center"/>
        <w:textAlignment w:val="baseline"/>
        <w:rPr>
          <w:rFonts w:cs="Arial"/>
          <w:sz w:val="22"/>
          <w:szCs w:val="20"/>
          <w:lang w:eastAsia="es-ES"/>
        </w:rPr>
      </w:pPr>
      <w:r w:rsidRPr="00522D80">
        <w:rPr>
          <w:rFonts w:cs="Arial"/>
          <w:noProof/>
          <w:sz w:val="22"/>
          <w:szCs w:val="20"/>
        </w:rPr>
        <w:drawing>
          <wp:inline distT="0" distB="0" distL="0" distR="0" wp14:anchorId="52316433" wp14:editId="0F7AD95C">
            <wp:extent cx="5742940" cy="6629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6629400"/>
                    </a:xfrm>
                    <a:prstGeom prst="rect">
                      <a:avLst/>
                    </a:prstGeom>
                  </pic:spPr>
                </pic:pic>
              </a:graphicData>
            </a:graphic>
          </wp:inline>
        </w:drawing>
      </w:r>
    </w:p>
    <w:p w14:paraId="76F15950" w14:textId="77777777" w:rsidR="005033E6" w:rsidRPr="00522D80" w:rsidRDefault="005033E6" w:rsidP="00703B92">
      <w:pPr>
        <w:pStyle w:val="paragraph"/>
        <w:spacing w:before="0" w:beforeAutospacing="0" w:after="0" w:afterAutospacing="0"/>
        <w:jc w:val="center"/>
        <w:textAlignment w:val="baseline"/>
        <w:rPr>
          <w:rFonts w:cs="Arial"/>
          <w:sz w:val="22"/>
          <w:szCs w:val="20"/>
          <w:lang w:eastAsia="es-ES"/>
        </w:rPr>
      </w:pPr>
    </w:p>
    <w:p w14:paraId="4D930422" w14:textId="333195C4" w:rsidR="00703B92" w:rsidRPr="00522D80" w:rsidRDefault="00703B92" w:rsidP="00703B92">
      <w:pPr>
        <w:pStyle w:val="paragraph"/>
        <w:spacing w:before="0" w:beforeAutospacing="0" w:after="0" w:afterAutospacing="0"/>
        <w:textAlignment w:val="baseline"/>
        <w:rPr>
          <w:rFonts w:eastAsia="Palatino Linotype" w:cs="Palatino Linotype"/>
          <w:sz w:val="22"/>
          <w:szCs w:val="22"/>
        </w:rPr>
      </w:pPr>
      <w:r w:rsidRPr="00522D80">
        <w:rPr>
          <w:rFonts w:cs="Arial"/>
          <w:sz w:val="22"/>
          <w:szCs w:val="20"/>
          <w:lang w:eastAsia="es-ES"/>
        </w:rPr>
        <w:t xml:space="preserve">Una vez precisado lo anterior, </w:t>
      </w:r>
      <w:r w:rsidRPr="00522D80">
        <w:rPr>
          <w:rFonts w:eastAsia="Palatino Linotype" w:cs="Palatino Linotype"/>
          <w:szCs w:val="22"/>
        </w:rPr>
        <w:t xml:space="preserve">que </w:t>
      </w:r>
      <w:r w:rsidRPr="00522D80">
        <w:rPr>
          <w:rFonts w:eastAsia="Palatino Linotype" w:cs="Palatino Linotype"/>
          <w:b/>
          <w:sz w:val="22"/>
          <w:szCs w:val="22"/>
        </w:rPr>
        <w:t xml:space="preserve">EL SUJETO OBLIGADO </w:t>
      </w:r>
      <w:r w:rsidRPr="00522D80">
        <w:rPr>
          <w:rFonts w:eastAsia="Palatino Linotype" w:cs="Palatino Linotype"/>
          <w:sz w:val="22"/>
          <w:szCs w:val="22"/>
        </w:rPr>
        <w:t>cumpli</w:t>
      </w:r>
      <w:r w:rsidRPr="00522D80">
        <w:rPr>
          <w:rFonts w:eastAsia="Palatino Linotype" w:cs="Palatino Linotype"/>
          <w:szCs w:val="22"/>
        </w:rPr>
        <w:t xml:space="preserve">ó </w:t>
      </w:r>
      <w:r w:rsidRPr="00522D80">
        <w:rPr>
          <w:rFonts w:eastAsia="Palatino Linotype" w:cs="Palatino Linotype"/>
          <w:sz w:val="22"/>
          <w:szCs w:val="22"/>
        </w:rPr>
        <w:t>con lo que disponen los artículos 151, 160, 162, 163, 164, 165 y 166, de la Ley de Transparencia y Acceso a la Información Pública del Estado de México y Municipios:</w:t>
      </w:r>
    </w:p>
    <w:p w14:paraId="1C127E18" w14:textId="77777777" w:rsidR="00703B92" w:rsidRPr="00522D80" w:rsidRDefault="00703B92" w:rsidP="00703B92">
      <w:pPr>
        <w:pBdr>
          <w:top w:val="nil"/>
          <w:left w:val="nil"/>
          <w:bottom w:val="nil"/>
          <w:right w:val="nil"/>
          <w:between w:val="nil"/>
        </w:pBdr>
        <w:ind w:right="-150"/>
        <w:rPr>
          <w:rFonts w:eastAsia="Palatino Linotype" w:cs="Palatino Linotype"/>
          <w:szCs w:val="22"/>
          <w:lang w:eastAsia="es-MX"/>
        </w:rPr>
      </w:pPr>
    </w:p>
    <w:p w14:paraId="0C7C2E39" w14:textId="77777777" w:rsidR="00703B92" w:rsidRPr="00522D80" w:rsidRDefault="00703B92" w:rsidP="00703B92">
      <w:pPr>
        <w:pStyle w:val="Prrafodelista"/>
        <w:numPr>
          <w:ilvl w:val="0"/>
          <w:numId w:val="6"/>
        </w:numPr>
        <w:ind w:right="191"/>
        <w:rPr>
          <w:rFonts w:eastAsia="Palatino Linotype" w:cs="Palatino Linotype"/>
          <w:szCs w:val="22"/>
          <w:lang w:eastAsia="es-MX"/>
        </w:rPr>
      </w:pPr>
      <w:r w:rsidRPr="00522D80">
        <w:rPr>
          <w:rFonts w:eastAsia="Palatino Linotype" w:cs="Palatino Linotype"/>
          <w:szCs w:val="22"/>
          <w:lang w:eastAsia="es-MX"/>
        </w:rPr>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305E979" w14:textId="77777777" w:rsidR="00703B92" w:rsidRPr="00522D80" w:rsidRDefault="00703B92" w:rsidP="00703B92">
      <w:pPr>
        <w:pStyle w:val="Prrafodelista"/>
        <w:numPr>
          <w:ilvl w:val="0"/>
          <w:numId w:val="6"/>
        </w:numPr>
        <w:ind w:right="191"/>
        <w:rPr>
          <w:rFonts w:eastAsia="Palatino Linotype" w:cs="Palatino Linotype"/>
          <w:szCs w:val="22"/>
          <w:lang w:eastAsia="es-MX"/>
        </w:rPr>
      </w:pPr>
      <w:r w:rsidRPr="00522D80">
        <w:rPr>
          <w:rFonts w:eastAsia="Palatino Linotype" w:cs="Palatino Linotype"/>
          <w:szCs w:val="22"/>
          <w:lang w:eastAsia="es-MX"/>
        </w:rPr>
        <w:t xml:space="preserve">La respuesta a los requerimientos informativos, deberá notificarse al interesado en el menor tiempo posible, que no podrá exceder de quince días hábiles, contados a partir del día siguiente a la presentación de esta.  </w:t>
      </w:r>
    </w:p>
    <w:p w14:paraId="64DA733D" w14:textId="77777777" w:rsidR="00703B92" w:rsidRPr="00522D80" w:rsidRDefault="00703B92" w:rsidP="00703B92">
      <w:pPr>
        <w:pStyle w:val="Prrafodelista"/>
        <w:numPr>
          <w:ilvl w:val="0"/>
          <w:numId w:val="6"/>
        </w:numPr>
        <w:ind w:right="191"/>
        <w:rPr>
          <w:rFonts w:eastAsia="Palatino Linotype" w:cs="Palatino Linotype"/>
          <w:szCs w:val="22"/>
          <w:lang w:eastAsia="es-MX"/>
        </w:rPr>
      </w:pPr>
      <w:r w:rsidRPr="00522D80">
        <w:rPr>
          <w:rFonts w:eastAsia="Palatino Linotype" w:cs="Palatino Linotype"/>
          <w:szCs w:val="22"/>
          <w:lang w:eastAsia="es-MX"/>
        </w:rPr>
        <w:t xml:space="preserve">Excepcionalmente, el plazo referido podrá ampliarse por siete días hábiles más, cuando existan razones fundadas y motivadas, a través del Comité de Transparencia; </w:t>
      </w:r>
    </w:p>
    <w:p w14:paraId="2B83D26A" w14:textId="77777777" w:rsidR="00703B92" w:rsidRPr="00522D80" w:rsidRDefault="00703B92" w:rsidP="00703B92">
      <w:pPr>
        <w:pStyle w:val="Prrafodelista"/>
        <w:numPr>
          <w:ilvl w:val="0"/>
          <w:numId w:val="6"/>
        </w:numPr>
        <w:ind w:right="191"/>
        <w:rPr>
          <w:rFonts w:eastAsia="Palatino Linotype" w:cs="Palatino Linotype"/>
          <w:szCs w:val="22"/>
          <w:lang w:eastAsia="es-MX"/>
        </w:rPr>
      </w:pPr>
      <w:r w:rsidRPr="00522D80">
        <w:rPr>
          <w:rFonts w:eastAsia="Palatino Linotype" w:cs="Palatino Linotype"/>
          <w:szCs w:val="22"/>
          <w:lang w:eastAsia="es-MX"/>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B2BEB85" w14:textId="77777777" w:rsidR="00703B92" w:rsidRPr="00522D80" w:rsidRDefault="00703B92" w:rsidP="00703B92">
      <w:pPr>
        <w:pStyle w:val="Prrafodelista"/>
        <w:numPr>
          <w:ilvl w:val="0"/>
          <w:numId w:val="6"/>
        </w:numPr>
        <w:ind w:right="191"/>
        <w:rPr>
          <w:rFonts w:eastAsia="Palatino Linotype" w:cs="Palatino Linotype"/>
          <w:szCs w:val="22"/>
          <w:lang w:eastAsia="es-MX"/>
        </w:rPr>
      </w:pPr>
      <w:r w:rsidRPr="00522D80">
        <w:rPr>
          <w:rFonts w:eastAsia="Palatino Linotype" w:cs="Palatino Linotype"/>
          <w:szCs w:val="22"/>
          <w:lang w:eastAsia="es-MX"/>
        </w:rPr>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EF7444D" w14:textId="77777777" w:rsidR="00703B92" w:rsidRPr="00522D80" w:rsidRDefault="00703B92" w:rsidP="00703B92">
      <w:pPr>
        <w:pStyle w:val="Prrafodelista"/>
        <w:numPr>
          <w:ilvl w:val="0"/>
          <w:numId w:val="6"/>
        </w:numPr>
        <w:ind w:right="191"/>
        <w:rPr>
          <w:rFonts w:eastAsia="Palatino Linotype" w:cs="Palatino Linotype"/>
          <w:szCs w:val="22"/>
          <w:lang w:eastAsia="es-MX"/>
        </w:rPr>
      </w:pPr>
      <w:r w:rsidRPr="00522D80">
        <w:rPr>
          <w:rFonts w:eastAsia="Palatino Linotype" w:cs="Palatino Linotype"/>
          <w:szCs w:val="22"/>
          <w:lang w:eastAsia="es-MX"/>
        </w:rPr>
        <w:lastRenderedPageBreak/>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F0428E5" w14:textId="77777777" w:rsidR="00703B92" w:rsidRPr="00522D80" w:rsidRDefault="00703B92" w:rsidP="00703B92">
      <w:pPr>
        <w:ind w:left="284" w:right="191"/>
        <w:rPr>
          <w:rFonts w:eastAsia="Palatino Linotype" w:cs="Palatino Linotype"/>
          <w:szCs w:val="22"/>
          <w:lang w:eastAsia="es-MX"/>
        </w:rPr>
      </w:pPr>
    </w:p>
    <w:p w14:paraId="6B54D0CF" w14:textId="77777777" w:rsidR="00703B92" w:rsidRPr="00522D80" w:rsidRDefault="00703B92" w:rsidP="00703B92">
      <w:pPr>
        <w:pBdr>
          <w:top w:val="nil"/>
          <w:left w:val="nil"/>
          <w:bottom w:val="nil"/>
          <w:right w:val="nil"/>
          <w:between w:val="nil"/>
        </w:pBdr>
        <w:ind w:right="191"/>
        <w:rPr>
          <w:rFonts w:cs="Tahoma"/>
          <w:bCs/>
          <w:szCs w:val="22"/>
        </w:rPr>
      </w:pPr>
      <w:r w:rsidRPr="00522D80">
        <w:rPr>
          <w:rFonts w:eastAsia="Palatino Linotype" w:cs="Palatino Linotype"/>
          <w:szCs w:val="22"/>
          <w:lang w:eastAsia="es-MX"/>
        </w:rPr>
        <w:t xml:space="preserve">En este orden de ideas, se reitera que la Unidad de Transparencia siguió el procedimiento que establece el artículo 162 de la Ley de Transparencia Local, ya que turnó la solicitud de información a la Unidad Administrativa competente para generar la documentación requerida por el particular, como lo es el </w:t>
      </w:r>
      <w:r w:rsidRPr="00522D80">
        <w:rPr>
          <w:rFonts w:cs="Arial"/>
          <w:b/>
        </w:rPr>
        <w:t>Centro de Formación y Documentación Electoral</w:t>
      </w:r>
      <w:r w:rsidRPr="00522D80">
        <w:rPr>
          <w:rFonts w:eastAsia="Palatino Linotype" w:cs="Palatino Linotype"/>
          <w:szCs w:val="22"/>
          <w:lang w:eastAsia="es-MX"/>
        </w:rPr>
        <w:t xml:space="preserve">, el cual informó respecto de las 7 conferencia que coordinó y demás </w:t>
      </w:r>
      <w:r w:rsidRPr="00522D80">
        <w:rPr>
          <w:rFonts w:cs="Tahoma"/>
          <w:bCs/>
          <w:szCs w:val="22"/>
        </w:rPr>
        <w:t xml:space="preserve">foros y conferencias los cuales fueron los siguientes: </w:t>
      </w:r>
    </w:p>
    <w:p w14:paraId="1638DF95" w14:textId="51185397" w:rsidR="00703B92" w:rsidRPr="00522D80" w:rsidRDefault="00703B92" w:rsidP="00703B92">
      <w:pPr>
        <w:pBdr>
          <w:top w:val="nil"/>
          <w:left w:val="nil"/>
          <w:bottom w:val="nil"/>
          <w:right w:val="nil"/>
          <w:between w:val="nil"/>
        </w:pBdr>
        <w:ind w:right="191"/>
        <w:rPr>
          <w:rFonts w:cs="Tahoma"/>
          <w:bCs/>
          <w:szCs w:val="22"/>
        </w:rPr>
      </w:pPr>
      <w:r w:rsidRPr="00522D80">
        <w:rPr>
          <w:rFonts w:cs="Tahoma"/>
          <w:bCs/>
          <w:noProof/>
          <w:szCs w:val="22"/>
          <w:lang w:eastAsia="es-MX"/>
        </w:rPr>
        <w:drawing>
          <wp:inline distT="0" distB="0" distL="0" distR="0" wp14:anchorId="2D4B988E" wp14:editId="5C6B2962">
            <wp:extent cx="5742940" cy="3457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457575"/>
                    </a:xfrm>
                    <a:prstGeom prst="rect">
                      <a:avLst/>
                    </a:prstGeom>
                  </pic:spPr>
                </pic:pic>
              </a:graphicData>
            </a:graphic>
          </wp:inline>
        </w:drawing>
      </w:r>
    </w:p>
    <w:p w14:paraId="6F5F7C35" w14:textId="687E2F39" w:rsidR="00703B92" w:rsidRPr="00522D80" w:rsidRDefault="00703B92" w:rsidP="00703B92">
      <w:pPr>
        <w:pBdr>
          <w:top w:val="nil"/>
          <w:left w:val="nil"/>
          <w:bottom w:val="nil"/>
          <w:right w:val="nil"/>
          <w:between w:val="nil"/>
        </w:pBdr>
        <w:ind w:right="191"/>
        <w:rPr>
          <w:rFonts w:cs="Tahoma"/>
          <w:bCs/>
          <w:szCs w:val="22"/>
        </w:rPr>
      </w:pPr>
      <w:r w:rsidRPr="00522D80">
        <w:rPr>
          <w:rFonts w:cs="Tahoma"/>
          <w:bCs/>
          <w:noProof/>
          <w:szCs w:val="22"/>
          <w:lang w:eastAsia="es-MX"/>
        </w:rPr>
        <w:lastRenderedPageBreak/>
        <w:drawing>
          <wp:inline distT="0" distB="0" distL="0" distR="0" wp14:anchorId="4BE68841" wp14:editId="6F30D747">
            <wp:extent cx="5742940" cy="25057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2505710"/>
                    </a:xfrm>
                    <a:prstGeom prst="rect">
                      <a:avLst/>
                    </a:prstGeom>
                  </pic:spPr>
                </pic:pic>
              </a:graphicData>
            </a:graphic>
          </wp:inline>
        </w:drawing>
      </w:r>
    </w:p>
    <w:p w14:paraId="1EE60B6E" w14:textId="25235EC9" w:rsidR="00703B92" w:rsidRPr="00522D80" w:rsidRDefault="00703B92" w:rsidP="00703B92">
      <w:pPr>
        <w:pBdr>
          <w:top w:val="nil"/>
          <w:left w:val="nil"/>
          <w:bottom w:val="nil"/>
          <w:right w:val="nil"/>
          <w:between w:val="nil"/>
        </w:pBdr>
        <w:ind w:right="191"/>
        <w:rPr>
          <w:rFonts w:cs="Tahoma"/>
          <w:bCs/>
          <w:szCs w:val="22"/>
        </w:rPr>
      </w:pPr>
      <w:r w:rsidRPr="00522D80">
        <w:rPr>
          <w:rFonts w:cs="Tahoma"/>
          <w:bCs/>
          <w:noProof/>
          <w:szCs w:val="22"/>
          <w:lang w:eastAsia="es-MX"/>
        </w:rPr>
        <w:drawing>
          <wp:inline distT="0" distB="0" distL="0" distR="0" wp14:anchorId="58F805AE" wp14:editId="52408E3B">
            <wp:extent cx="5772150" cy="3524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959" cy="3524744"/>
                    </a:xfrm>
                    <a:prstGeom prst="rect">
                      <a:avLst/>
                    </a:prstGeom>
                  </pic:spPr>
                </pic:pic>
              </a:graphicData>
            </a:graphic>
          </wp:inline>
        </w:drawing>
      </w:r>
    </w:p>
    <w:p w14:paraId="7A514C8E" w14:textId="5ED06EEB" w:rsidR="00703B92" w:rsidRPr="00522D80" w:rsidRDefault="00703B92" w:rsidP="00703B92">
      <w:pPr>
        <w:pBdr>
          <w:top w:val="nil"/>
          <w:left w:val="nil"/>
          <w:bottom w:val="nil"/>
          <w:right w:val="nil"/>
          <w:between w:val="nil"/>
        </w:pBdr>
        <w:ind w:right="191"/>
        <w:rPr>
          <w:rFonts w:cs="Tahoma"/>
          <w:bCs/>
          <w:szCs w:val="22"/>
        </w:rPr>
      </w:pPr>
      <w:r w:rsidRPr="00522D80">
        <w:rPr>
          <w:rFonts w:cs="Tahoma"/>
          <w:bCs/>
          <w:noProof/>
          <w:szCs w:val="22"/>
          <w:lang w:eastAsia="es-MX"/>
        </w:rPr>
        <w:drawing>
          <wp:inline distT="0" distB="0" distL="0" distR="0" wp14:anchorId="7D3C0436" wp14:editId="3FA2A389">
            <wp:extent cx="5742940" cy="1114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744" cy="1114581"/>
                    </a:xfrm>
                    <a:prstGeom prst="rect">
                      <a:avLst/>
                    </a:prstGeom>
                  </pic:spPr>
                </pic:pic>
              </a:graphicData>
            </a:graphic>
          </wp:inline>
        </w:drawing>
      </w:r>
    </w:p>
    <w:p w14:paraId="05149FAA" w14:textId="553977E4" w:rsidR="00BA4BEA" w:rsidRPr="00522D80" w:rsidRDefault="00703B92" w:rsidP="00BA4BEA">
      <w:pPr>
        <w:pBdr>
          <w:top w:val="nil"/>
          <w:left w:val="nil"/>
          <w:bottom w:val="nil"/>
          <w:right w:val="nil"/>
          <w:between w:val="nil"/>
        </w:pBdr>
        <w:ind w:right="191"/>
        <w:rPr>
          <w:rFonts w:cs="Tahoma"/>
          <w:bCs/>
          <w:szCs w:val="22"/>
        </w:rPr>
      </w:pPr>
      <w:r w:rsidRPr="00522D80">
        <w:rPr>
          <w:rFonts w:cs="Tahoma"/>
          <w:bCs/>
          <w:szCs w:val="22"/>
        </w:rPr>
        <w:lastRenderedPageBreak/>
        <w:t xml:space="preserve">De las conferencias y foros enlistados proporcionó las listas de asistencia que fueron generados, de las cuales se advierte que se </w:t>
      </w:r>
      <w:r w:rsidR="00BA4BEA" w:rsidRPr="00522D80">
        <w:rPr>
          <w:rFonts w:cs="Tahoma"/>
          <w:bCs/>
          <w:szCs w:val="22"/>
        </w:rPr>
        <w:t>clasificó como información confidencial el nombre y correo electrónico de particulares, misma que fue aprobada por el Comité de Transparencia mediante Acuerdo IEEM/CT/121/2025, el cual del análisis realizado al mismo, se advierte que está debidamente fundado y motivado, pues debe de precisarse que dicho acuerdo fue en atención a la presente solicitud y se encuentra relacionado con la lista de asistencia que fueron entregadas en respuesta en las que se determinó clasificar los nombres de particulares y correos electrónicos particulares por las siguientes consideraciones:</w:t>
      </w:r>
    </w:p>
    <w:p w14:paraId="18B953D3" w14:textId="77777777" w:rsidR="00BA4BEA" w:rsidRPr="00522D80" w:rsidRDefault="00BA4BEA" w:rsidP="00BA4BEA">
      <w:pPr>
        <w:pBdr>
          <w:top w:val="nil"/>
          <w:left w:val="nil"/>
          <w:bottom w:val="nil"/>
          <w:right w:val="nil"/>
          <w:between w:val="nil"/>
        </w:pBdr>
        <w:ind w:right="191"/>
        <w:rPr>
          <w:rFonts w:cs="Tahoma"/>
          <w:bCs/>
          <w:szCs w:val="22"/>
        </w:rPr>
      </w:pPr>
    </w:p>
    <w:p w14:paraId="3417BF95" w14:textId="07D0BDFA" w:rsidR="005033E6" w:rsidRPr="00522D80" w:rsidRDefault="005033E6" w:rsidP="005033E6">
      <w:pPr>
        <w:rPr>
          <w:rFonts w:eastAsia="Palatino Linotype" w:cs="Palatino Linotype"/>
        </w:rPr>
      </w:pPr>
      <w:r w:rsidRPr="00522D80">
        <w:rPr>
          <w:rFonts w:eastAsia="Palatino Linotype" w:cs="Palatino Linotype"/>
        </w:rPr>
        <w:t xml:space="preserve">Por lo que resulta necesario, analizar dicho Acuerdo de clasificación antes referido, entregado por a fin de establecer si el Comité de Transparencia cumplió cabalmente con las formalidades exigidas por la Ley de Transparencia y Acceso a la Información Pública del Estado de México y Municipios: </w:t>
      </w:r>
    </w:p>
    <w:p w14:paraId="0E1D7BD7" w14:textId="77777777" w:rsidR="005033E6" w:rsidRPr="00522D80" w:rsidRDefault="005033E6" w:rsidP="005033E6">
      <w:pPr>
        <w:rPr>
          <w:rFonts w:eastAsia="Palatino Linotype" w:cs="Palatino Linotype"/>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5033E6" w:rsidRPr="00522D80" w14:paraId="199E331D" w14:textId="77777777" w:rsidTr="00C1121F">
        <w:trPr>
          <w:tblHeader/>
        </w:trPr>
        <w:tc>
          <w:tcPr>
            <w:tcW w:w="1560" w:type="dxa"/>
            <w:tcBorders>
              <w:top w:val="nil"/>
              <w:left w:val="nil"/>
            </w:tcBorders>
          </w:tcPr>
          <w:p w14:paraId="1C24B03D" w14:textId="77777777" w:rsidR="005033E6" w:rsidRPr="00522D80" w:rsidRDefault="005033E6" w:rsidP="00C1121F">
            <w:pPr>
              <w:pBdr>
                <w:top w:val="nil"/>
                <w:left w:val="nil"/>
                <w:bottom w:val="nil"/>
                <w:right w:val="nil"/>
                <w:between w:val="nil"/>
              </w:pBdr>
              <w:ind w:left="47"/>
              <w:rPr>
                <w:rFonts w:eastAsia="Palatino Linotype" w:cs="Palatino Linotype"/>
                <w:b/>
                <w:color w:val="000000"/>
                <w:sz w:val="20"/>
              </w:rPr>
            </w:pPr>
          </w:p>
        </w:tc>
        <w:tc>
          <w:tcPr>
            <w:tcW w:w="1417" w:type="dxa"/>
            <w:tcBorders>
              <w:bottom w:val="single" w:sz="4" w:space="0" w:color="000000"/>
            </w:tcBorders>
            <w:shd w:val="clear" w:color="auto" w:fill="BFBFBF"/>
            <w:vAlign w:val="bottom"/>
          </w:tcPr>
          <w:p w14:paraId="4689D26D" w14:textId="77777777" w:rsidR="005033E6" w:rsidRPr="00522D80" w:rsidRDefault="005033E6" w:rsidP="00C1121F">
            <w:pPr>
              <w:pBdr>
                <w:top w:val="nil"/>
                <w:left w:val="nil"/>
                <w:bottom w:val="nil"/>
                <w:right w:val="nil"/>
                <w:between w:val="nil"/>
              </w:pBdr>
              <w:ind w:left="47"/>
              <w:jc w:val="center"/>
              <w:rPr>
                <w:rFonts w:eastAsia="Palatino Linotype" w:cs="Palatino Linotype"/>
                <w:b/>
                <w:color w:val="000000"/>
                <w:sz w:val="20"/>
              </w:rPr>
            </w:pPr>
            <w:r w:rsidRPr="00522D80">
              <w:rPr>
                <w:rFonts w:eastAsia="Palatino Linotype" w:cs="Palatino Linotype"/>
                <w:b/>
                <w:color w:val="000000"/>
              </w:rPr>
              <w:t>Cumplió:</w:t>
            </w:r>
          </w:p>
        </w:tc>
        <w:tc>
          <w:tcPr>
            <w:tcW w:w="6095" w:type="dxa"/>
            <w:tcBorders>
              <w:bottom w:val="single" w:sz="4" w:space="0" w:color="000000"/>
            </w:tcBorders>
            <w:shd w:val="clear" w:color="auto" w:fill="BFBFBF"/>
            <w:vAlign w:val="bottom"/>
          </w:tcPr>
          <w:p w14:paraId="305A7744" w14:textId="77777777" w:rsidR="005033E6" w:rsidRPr="00522D80" w:rsidRDefault="005033E6" w:rsidP="00C1121F">
            <w:pPr>
              <w:pBdr>
                <w:top w:val="nil"/>
                <w:left w:val="nil"/>
                <w:bottom w:val="nil"/>
                <w:right w:val="nil"/>
                <w:between w:val="nil"/>
              </w:pBdr>
              <w:ind w:left="47"/>
              <w:jc w:val="center"/>
              <w:rPr>
                <w:rFonts w:eastAsia="Palatino Linotype" w:cs="Palatino Linotype"/>
                <w:b/>
                <w:color w:val="000000"/>
              </w:rPr>
            </w:pPr>
            <w:r w:rsidRPr="00522D80">
              <w:rPr>
                <w:rFonts w:eastAsia="Palatino Linotype" w:cs="Palatino Linotype"/>
                <w:b/>
                <w:color w:val="000000"/>
              </w:rPr>
              <w:t>Contenido</w:t>
            </w:r>
          </w:p>
        </w:tc>
      </w:tr>
      <w:tr w:rsidR="005033E6" w:rsidRPr="00522D80" w14:paraId="4D2FDF72" w14:textId="77777777" w:rsidTr="00C1121F">
        <w:tc>
          <w:tcPr>
            <w:tcW w:w="1560" w:type="dxa"/>
            <w:vAlign w:val="center"/>
          </w:tcPr>
          <w:p w14:paraId="651B96FB" w14:textId="77777777" w:rsidR="005033E6" w:rsidRPr="00522D80" w:rsidRDefault="005033E6" w:rsidP="00C1121F">
            <w:pPr>
              <w:jc w:val="center"/>
              <w:rPr>
                <w:rFonts w:eastAsia="Palatino Linotype" w:cs="Palatino Linotype"/>
                <w:b/>
                <w:sz w:val="16"/>
                <w:szCs w:val="16"/>
              </w:rPr>
            </w:pPr>
            <w:r w:rsidRPr="00522D80">
              <w:rPr>
                <w:rFonts w:eastAsia="Palatino Linotype" w:cs="Palatino Linotype"/>
                <w:b/>
                <w:sz w:val="16"/>
                <w:szCs w:val="16"/>
              </w:rPr>
              <w:t>Número de folio de la solicitud</w:t>
            </w:r>
          </w:p>
        </w:tc>
        <w:tc>
          <w:tcPr>
            <w:tcW w:w="1417" w:type="dxa"/>
            <w:tcBorders>
              <w:top w:val="single" w:sz="4" w:space="0" w:color="000000"/>
            </w:tcBorders>
            <w:vAlign w:val="center"/>
          </w:tcPr>
          <w:p w14:paraId="6E7C04E8" w14:textId="77777777" w:rsidR="005033E6" w:rsidRPr="00522D80" w:rsidRDefault="005033E6" w:rsidP="00C1121F">
            <w:pPr>
              <w:ind w:left="47"/>
              <w:jc w:val="center"/>
              <w:rPr>
                <w:rFonts w:eastAsia="Palatino Linotype" w:cs="Palatino Linotype"/>
                <w:b/>
              </w:rPr>
            </w:pPr>
            <w:r w:rsidRPr="00522D80">
              <w:rPr>
                <w:rFonts w:eastAsia="Palatino Linotype" w:cs="Palatino Linotype"/>
                <w:b/>
              </w:rPr>
              <w:t>Sí</w:t>
            </w:r>
          </w:p>
        </w:tc>
        <w:tc>
          <w:tcPr>
            <w:tcW w:w="6095" w:type="dxa"/>
            <w:vMerge w:val="restart"/>
            <w:tcBorders>
              <w:top w:val="single" w:sz="4" w:space="0" w:color="000000"/>
            </w:tcBorders>
            <w:vAlign w:val="center"/>
          </w:tcPr>
          <w:p w14:paraId="26D51D70" w14:textId="77777777" w:rsidR="005033E6" w:rsidRPr="00522D80" w:rsidRDefault="005033E6" w:rsidP="00C1121F">
            <w:pPr>
              <w:ind w:left="-115"/>
              <w:jc w:val="center"/>
              <w:rPr>
                <w:rFonts w:eastAsia="Palatino Linotype" w:cs="Palatino Linotype"/>
                <w:sz w:val="2"/>
                <w:szCs w:val="2"/>
              </w:rPr>
            </w:pPr>
          </w:p>
          <w:p w14:paraId="6B284705" w14:textId="77777777" w:rsidR="005033E6" w:rsidRPr="00522D80" w:rsidRDefault="00F709B2" w:rsidP="00C1121F">
            <w:pPr>
              <w:ind w:left="-115"/>
              <w:jc w:val="center"/>
              <w:rPr>
                <w:rFonts w:eastAsia="Palatino Linotype" w:cs="Palatino Linotype"/>
              </w:rPr>
            </w:pPr>
            <w:r w:rsidRPr="00522D80">
              <w:rPr>
                <w:rFonts w:eastAsia="Palatino Linotype" w:cs="Palatino Linotype"/>
                <w:noProof/>
                <w:lang w:eastAsia="es-MX"/>
              </w:rPr>
              <w:drawing>
                <wp:inline distT="0" distB="0" distL="0" distR="0" wp14:anchorId="12B43803" wp14:editId="26D597AB">
                  <wp:extent cx="3733165" cy="926465"/>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926465"/>
                          </a:xfrm>
                          <a:prstGeom prst="rect">
                            <a:avLst/>
                          </a:prstGeom>
                        </pic:spPr>
                      </pic:pic>
                    </a:graphicData>
                  </a:graphic>
                </wp:inline>
              </w:drawing>
            </w:r>
          </w:p>
          <w:p w14:paraId="58D70D8E" w14:textId="172DA729" w:rsidR="00F709B2" w:rsidRPr="00522D80" w:rsidRDefault="00F709B2" w:rsidP="00C1121F">
            <w:pPr>
              <w:ind w:left="-115"/>
              <w:jc w:val="center"/>
              <w:rPr>
                <w:rFonts w:eastAsia="Palatino Linotype" w:cs="Palatino Linotype"/>
              </w:rPr>
            </w:pPr>
            <w:r w:rsidRPr="00522D80">
              <w:rPr>
                <w:rFonts w:eastAsia="Palatino Linotype" w:cs="Palatino Linotype"/>
                <w:noProof/>
                <w:lang w:eastAsia="es-MX"/>
              </w:rPr>
              <w:drawing>
                <wp:inline distT="0" distB="0" distL="0" distR="0" wp14:anchorId="4D728937" wp14:editId="3E06DB19">
                  <wp:extent cx="3733165" cy="532130"/>
                  <wp:effectExtent l="0" t="0" r="63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532130"/>
                          </a:xfrm>
                          <a:prstGeom prst="rect">
                            <a:avLst/>
                          </a:prstGeom>
                        </pic:spPr>
                      </pic:pic>
                    </a:graphicData>
                  </a:graphic>
                </wp:inline>
              </w:drawing>
            </w:r>
          </w:p>
        </w:tc>
      </w:tr>
      <w:tr w:rsidR="005033E6" w:rsidRPr="00522D80" w14:paraId="5D7FDA68" w14:textId="77777777" w:rsidTr="00C1121F">
        <w:tc>
          <w:tcPr>
            <w:tcW w:w="1560" w:type="dxa"/>
            <w:vAlign w:val="center"/>
          </w:tcPr>
          <w:p w14:paraId="409BF09B" w14:textId="77777777" w:rsidR="005033E6" w:rsidRPr="00522D80" w:rsidRDefault="005033E6" w:rsidP="00C1121F">
            <w:pPr>
              <w:jc w:val="center"/>
              <w:rPr>
                <w:rFonts w:eastAsia="Palatino Linotype" w:cs="Palatino Linotype"/>
                <w:b/>
                <w:sz w:val="16"/>
                <w:szCs w:val="16"/>
              </w:rPr>
            </w:pPr>
            <w:r w:rsidRPr="00522D80">
              <w:rPr>
                <w:rFonts w:eastAsia="Palatino Linotype" w:cs="Palatino Linotype"/>
                <w:b/>
                <w:sz w:val="16"/>
                <w:szCs w:val="16"/>
              </w:rPr>
              <w:t>Referencia de la información solicitada</w:t>
            </w:r>
          </w:p>
        </w:tc>
        <w:tc>
          <w:tcPr>
            <w:tcW w:w="1417" w:type="dxa"/>
            <w:vAlign w:val="center"/>
          </w:tcPr>
          <w:p w14:paraId="396A3C22" w14:textId="77777777" w:rsidR="005033E6" w:rsidRPr="00522D80" w:rsidRDefault="005033E6" w:rsidP="00C1121F">
            <w:pPr>
              <w:ind w:left="47"/>
              <w:jc w:val="center"/>
              <w:rPr>
                <w:rFonts w:eastAsia="Palatino Linotype" w:cs="Palatino Linotype"/>
                <w:b/>
              </w:rPr>
            </w:pPr>
            <w:r w:rsidRPr="00522D80">
              <w:rPr>
                <w:rFonts w:eastAsia="Palatino Linotype" w:cs="Palatino Linotype"/>
                <w:b/>
              </w:rPr>
              <w:t>Sí</w:t>
            </w:r>
          </w:p>
        </w:tc>
        <w:tc>
          <w:tcPr>
            <w:tcW w:w="6095" w:type="dxa"/>
            <w:vMerge/>
            <w:vAlign w:val="center"/>
          </w:tcPr>
          <w:p w14:paraId="3B91A551" w14:textId="77777777" w:rsidR="005033E6" w:rsidRPr="00522D80" w:rsidRDefault="005033E6" w:rsidP="00C1121F">
            <w:pPr>
              <w:jc w:val="center"/>
              <w:rPr>
                <w:rFonts w:eastAsia="Palatino Linotype" w:cs="Palatino Linotype"/>
                <w:b/>
              </w:rPr>
            </w:pPr>
          </w:p>
        </w:tc>
      </w:tr>
      <w:tr w:rsidR="005033E6" w:rsidRPr="00522D80" w14:paraId="5CA43F6E" w14:textId="77777777" w:rsidTr="00C1121F">
        <w:tc>
          <w:tcPr>
            <w:tcW w:w="1560" w:type="dxa"/>
            <w:vAlign w:val="center"/>
          </w:tcPr>
          <w:p w14:paraId="0CEABAA6" w14:textId="58DABF5A" w:rsidR="005033E6" w:rsidRPr="00522D80" w:rsidRDefault="00F709B2" w:rsidP="00C1121F">
            <w:pPr>
              <w:jc w:val="center"/>
              <w:rPr>
                <w:rFonts w:eastAsia="Palatino Linotype" w:cs="Palatino Linotype"/>
                <w:b/>
                <w:sz w:val="16"/>
                <w:szCs w:val="16"/>
              </w:rPr>
            </w:pPr>
            <w:r w:rsidRPr="00522D80">
              <w:rPr>
                <w:rFonts w:eastAsia="Palatino Linotype" w:cs="Palatino Linotype"/>
                <w:b/>
                <w:sz w:val="16"/>
                <w:szCs w:val="16"/>
              </w:rPr>
              <w:t>Documento que da repuesta a la solicitud</w:t>
            </w:r>
          </w:p>
        </w:tc>
        <w:tc>
          <w:tcPr>
            <w:tcW w:w="1417" w:type="dxa"/>
            <w:vAlign w:val="center"/>
          </w:tcPr>
          <w:p w14:paraId="2407373E" w14:textId="77777777" w:rsidR="005033E6" w:rsidRPr="00522D80" w:rsidRDefault="005033E6" w:rsidP="00C1121F">
            <w:pPr>
              <w:ind w:left="47"/>
              <w:jc w:val="center"/>
              <w:rPr>
                <w:rFonts w:eastAsia="Palatino Linotype" w:cs="Palatino Linotype"/>
                <w:b/>
              </w:rPr>
            </w:pPr>
            <w:r w:rsidRPr="00522D80">
              <w:rPr>
                <w:rFonts w:eastAsia="Palatino Linotype" w:cs="Palatino Linotype"/>
                <w:b/>
              </w:rPr>
              <w:t>Sí</w:t>
            </w:r>
          </w:p>
        </w:tc>
        <w:tc>
          <w:tcPr>
            <w:tcW w:w="6095" w:type="dxa"/>
            <w:vAlign w:val="center"/>
          </w:tcPr>
          <w:p w14:paraId="43DEFD32" w14:textId="7DE999CF" w:rsidR="005033E6" w:rsidRPr="00522D80" w:rsidRDefault="00F709B2" w:rsidP="00C1121F">
            <w:pPr>
              <w:jc w:val="center"/>
              <w:rPr>
                <w:rFonts w:eastAsia="Palatino Linotype" w:cs="Palatino Linotype"/>
                <w:b/>
              </w:rPr>
            </w:pPr>
            <w:r w:rsidRPr="00522D80">
              <w:rPr>
                <w:rFonts w:eastAsia="Palatino Linotype" w:cs="Palatino Linotype"/>
                <w:b/>
                <w:noProof/>
                <w:lang w:eastAsia="es-MX"/>
              </w:rPr>
              <w:drawing>
                <wp:inline distT="0" distB="0" distL="0" distR="0" wp14:anchorId="05BE8FD7" wp14:editId="7AA0E579">
                  <wp:extent cx="1181265" cy="14289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1265" cy="142895"/>
                          </a:xfrm>
                          <a:prstGeom prst="rect">
                            <a:avLst/>
                          </a:prstGeom>
                        </pic:spPr>
                      </pic:pic>
                    </a:graphicData>
                  </a:graphic>
                </wp:inline>
              </w:drawing>
            </w:r>
          </w:p>
        </w:tc>
      </w:tr>
      <w:tr w:rsidR="00F709B2" w:rsidRPr="00522D80" w14:paraId="4659B5C6" w14:textId="77777777" w:rsidTr="00C1121F">
        <w:tc>
          <w:tcPr>
            <w:tcW w:w="1560" w:type="dxa"/>
            <w:vAlign w:val="center"/>
          </w:tcPr>
          <w:p w14:paraId="4AB23339" w14:textId="75CF7FBE" w:rsidR="00F709B2" w:rsidRPr="00522D80" w:rsidRDefault="00F709B2" w:rsidP="00C1121F">
            <w:pPr>
              <w:jc w:val="center"/>
              <w:rPr>
                <w:rFonts w:eastAsia="Palatino Linotype" w:cs="Palatino Linotype"/>
                <w:b/>
                <w:sz w:val="16"/>
                <w:szCs w:val="16"/>
              </w:rPr>
            </w:pPr>
            <w:r w:rsidRPr="00522D80">
              <w:rPr>
                <w:rFonts w:eastAsia="Palatino Linotype" w:cs="Palatino Linotype"/>
                <w:b/>
                <w:sz w:val="16"/>
                <w:szCs w:val="16"/>
              </w:rPr>
              <w:t>Partes o secciones clasificadas</w:t>
            </w:r>
          </w:p>
        </w:tc>
        <w:tc>
          <w:tcPr>
            <w:tcW w:w="1417" w:type="dxa"/>
            <w:vAlign w:val="center"/>
          </w:tcPr>
          <w:p w14:paraId="3163DC7D" w14:textId="63C83462" w:rsidR="00F709B2" w:rsidRPr="00522D80" w:rsidRDefault="00F709B2" w:rsidP="00C1121F">
            <w:pPr>
              <w:ind w:left="47"/>
              <w:jc w:val="center"/>
              <w:rPr>
                <w:rFonts w:eastAsia="Palatino Linotype" w:cs="Palatino Linotype"/>
                <w:b/>
              </w:rPr>
            </w:pPr>
            <w:r w:rsidRPr="00522D80">
              <w:rPr>
                <w:rFonts w:eastAsia="Palatino Linotype" w:cs="Palatino Linotype"/>
                <w:b/>
              </w:rPr>
              <w:t xml:space="preserve">Sí </w:t>
            </w:r>
          </w:p>
        </w:tc>
        <w:tc>
          <w:tcPr>
            <w:tcW w:w="6095" w:type="dxa"/>
            <w:vAlign w:val="center"/>
          </w:tcPr>
          <w:p w14:paraId="5F0E6586" w14:textId="146F627B" w:rsidR="00F709B2" w:rsidRPr="00522D80" w:rsidRDefault="00F709B2" w:rsidP="00C1121F">
            <w:pPr>
              <w:jc w:val="center"/>
              <w:rPr>
                <w:rFonts w:eastAsia="Palatino Linotype" w:cs="Palatino Linotype"/>
                <w:b/>
              </w:rPr>
            </w:pPr>
            <w:r w:rsidRPr="00522D80">
              <w:rPr>
                <w:rFonts w:eastAsia="Palatino Linotype" w:cs="Palatino Linotype"/>
                <w:b/>
                <w:noProof/>
                <w:lang w:eastAsia="es-MX"/>
              </w:rPr>
              <w:drawing>
                <wp:inline distT="0" distB="0" distL="0" distR="0" wp14:anchorId="1021B2F2" wp14:editId="77DAB278">
                  <wp:extent cx="2086266" cy="27626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6266" cy="276264"/>
                          </a:xfrm>
                          <a:prstGeom prst="rect">
                            <a:avLst/>
                          </a:prstGeom>
                        </pic:spPr>
                      </pic:pic>
                    </a:graphicData>
                  </a:graphic>
                </wp:inline>
              </w:drawing>
            </w:r>
          </w:p>
        </w:tc>
      </w:tr>
      <w:tr w:rsidR="005033E6" w:rsidRPr="00522D80" w14:paraId="24AFA21B" w14:textId="77777777" w:rsidTr="00C1121F">
        <w:tc>
          <w:tcPr>
            <w:tcW w:w="1560" w:type="dxa"/>
            <w:vAlign w:val="center"/>
          </w:tcPr>
          <w:p w14:paraId="242237C1" w14:textId="77777777" w:rsidR="005033E6" w:rsidRPr="00522D80" w:rsidRDefault="005033E6" w:rsidP="00C1121F">
            <w:pPr>
              <w:tabs>
                <w:tab w:val="left" w:pos="317"/>
              </w:tabs>
              <w:jc w:val="center"/>
              <w:rPr>
                <w:rFonts w:eastAsia="Palatino Linotype" w:cs="Palatino Linotype"/>
                <w:b/>
                <w:sz w:val="16"/>
                <w:szCs w:val="16"/>
              </w:rPr>
            </w:pPr>
            <w:r w:rsidRPr="00522D80">
              <w:rPr>
                <w:rFonts w:eastAsia="Palatino Linotype" w:cs="Palatino Linotype"/>
                <w:b/>
                <w:sz w:val="16"/>
                <w:szCs w:val="16"/>
              </w:rPr>
              <w:lastRenderedPageBreak/>
              <w:t>Fundamento y Motivación Legal</w:t>
            </w:r>
          </w:p>
        </w:tc>
        <w:tc>
          <w:tcPr>
            <w:tcW w:w="1417" w:type="dxa"/>
            <w:vAlign w:val="center"/>
          </w:tcPr>
          <w:p w14:paraId="4FC1A3F4" w14:textId="77777777" w:rsidR="005033E6" w:rsidRPr="00522D80" w:rsidRDefault="005033E6" w:rsidP="00C1121F">
            <w:pPr>
              <w:ind w:left="47"/>
              <w:jc w:val="center"/>
              <w:rPr>
                <w:rFonts w:eastAsia="Palatino Linotype" w:cs="Palatino Linotype"/>
                <w:b/>
              </w:rPr>
            </w:pPr>
            <w:r w:rsidRPr="00522D80">
              <w:rPr>
                <w:rFonts w:eastAsia="Palatino Linotype" w:cs="Palatino Linotype"/>
                <w:b/>
              </w:rPr>
              <w:t>Sí.</w:t>
            </w:r>
          </w:p>
        </w:tc>
        <w:tc>
          <w:tcPr>
            <w:tcW w:w="6095" w:type="dxa"/>
            <w:vAlign w:val="center"/>
          </w:tcPr>
          <w:p w14:paraId="52BBB45C" w14:textId="77777777" w:rsidR="005033E6" w:rsidRPr="00522D80" w:rsidRDefault="005033E6" w:rsidP="00C1121F">
            <w:pPr>
              <w:jc w:val="center"/>
              <w:rPr>
                <w:rFonts w:eastAsia="Palatino Linotype" w:cs="Palatino Linotype"/>
                <w:b/>
                <w:sz w:val="2"/>
                <w:szCs w:val="2"/>
              </w:rPr>
            </w:pPr>
          </w:p>
          <w:p w14:paraId="257F6E1A" w14:textId="15CEB749" w:rsidR="005033E6" w:rsidRPr="00522D80" w:rsidRDefault="00F709B2" w:rsidP="00F709B2">
            <w:pPr>
              <w:ind w:left="47"/>
              <w:jc w:val="center"/>
              <w:rPr>
                <w:rFonts w:eastAsia="Palatino Linotype" w:cs="Palatino Linotype"/>
                <w:b/>
              </w:rPr>
            </w:pPr>
            <w:r w:rsidRPr="00522D80">
              <w:rPr>
                <w:rFonts w:eastAsia="Palatino Linotype" w:cs="Palatino Linotype"/>
                <w:b/>
                <w:noProof/>
                <w:lang w:eastAsia="es-MX"/>
              </w:rPr>
              <w:drawing>
                <wp:inline distT="0" distB="0" distL="0" distR="0" wp14:anchorId="27E5C219" wp14:editId="69A27554">
                  <wp:extent cx="3371850" cy="1057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2332" cy="1057426"/>
                          </a:xfrm>
                          <a:prstGeom prst="rect">
                            <a:avLst/>
                          </a:prstGeom>
                        </pic:spPr>
                      </pic:pic>
                    </a:graphicData>
                  </a:graphic>
                </wp:inline>
              </w:drawing>
            </w:r>
          </w:p>
        </w:tc>
      </w:tr>
      <w:tr w:rsidR="00F709B2" w:rsidRPr="00522D80" w14:paraId="71D6C403" w14:textId="77777777" w:rsidTr="00C1121F">
        <w:tc>
          <w:tcPr>
            <w:tcW w:w="1560" w:type="dxa"/>
            <w:vAlign w:val="center"/>
          </w:tcPr>
          <w:p w14:paraId="607261FE" w14:textId="54E156AE" w:rsidR="00F709B2" w:rsidRPr="00522D80" w:rsidRDefault="00F709B2" w:rsidP="00F709B2">
            <w:pPr>
              <w:tabs>
                <w:tab w:val="left" w:pos="317"/>
              </w:tabs>
              <w:jc w:val="center"/>
              <w:rPr>
                <w:rFonts w:eastAsia="Palatino Linotype" w:cs="Palatino Linotype"/>
                <w:b/>
                <w:sz w:val="16"/>
                <w:szCs w:val="16"/>
              </w:rPr>
            </w:pPr>
            <w:r w:rsidRPr="00522D80">
              <w:rPr>
                <w:rFonts w:eastAsia="Palatino Linotype" w:cs="Palatino Linotype"/>
                <w:b/>
                <w:sz w:val="16"/>
                <w:szCs w:val="16"/>
              </w:rPr>
              <w:t xml:space="preserve">Justificación de la clasificación </w:t>
            </w:r>
          </w:p>
        </w:tc>
        <w:tc>
          <w:tcPr>
            <w:tcW w:w="1417" w:type="dxa"/>
            <w:vAlign w:val="center"/>
          </w:tcPr>
          <w:p w14:paraId="1F263B6C" w14:textId="63C7352A" w:rsidR="00F709B2" w:rsidRPr="00522D80" w:rsidRDefault="00F709B2" w:rsidP="00F709B2">
            <w:pPr>
              <w:ind w:left="47"/>
              <w:jc w:val="center"/>
              <w:rPr>
                <w:rFonts w:eastAsia="Palatino Linotype" w:cs="Palatino Linotype"/>
                <w:b/>
              </w:rPr>
            </w:pPr>
            <w:r w:rsidRPr="00522D80">
              <w:rPr>
                <w:rFonts w:eastAsia="Palatino Linotype" w:cs="Palatino Linotype"/>
                <w:b/>
                <w:color w:val="000000"/>
              </w:rPr>
              <w:t>Sí</w:t>
            </w:r>
          </w:p>
        </w:tc>
        <w:tc>
          <w:tcPr>
            <w:tcW w:w="6095" w:type="dxa"/>
            <w:vAlign w:val="center"/>
          </w:tcPr>
          <w:p w14:paraId="6C4F71EF" w14:textId="77777777" w:rsidR="00F709B2" w:rsidRPr="00522D80" w:rsidRDefault="00F709B2" w:rsidP="00F709B2">
            <w:pPr>
              <w:pBdr>
                <w:top w:val="nil"/>
                <w:left w:val="nil"/>
                <w:bottom w:val="nil"/>
                <w:right w:val="nil"/>
                <w:between w:val="nil"/>
              </w:pBdr>
              <w:ind w:left="29" w:firstLine="18"/>
              <w:jc w:val="center"/>
              <w:rPr>
                <w:color w:val="000000"/>
              </w:rPr>
            </w:pPr>
            <w:r w:rsidRPr="00522D80">
              <w:rPr>
                <w:noProof/>
                <w:color w:val="000000"/>
                <w:lang w:eastAsia="es-MX"/>
              </w:rPr>
              <w:drawing>
                <wp:inline distT="0" distB="0" distL="0" distR="0" wp14:anchorId="57324220" wp14:editId="3E1FA469">
                  <wp:extent cx="3733165" cy="2752725"/>
                  <wp:effectExtent l="0" t="0" r="6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2752725"/>
                          </a:xfrm>
                          <a:prstGeom prst="rect">
                            <a:avLst/>
                          </a:prstGeom>
                        </pic:spPr>
                      </pic:pic>
                    </a:graphicData>
                  </a:graphic>
                </wp:inline>
              </w:drawing>
            </w:r>
          </w:p>
          <w:p w14:paraId="3ED2CA52" w14:textId="77777777" w:rsidR="00F709B2" w:rsidRPr="00522D80" w:rsidRDefault="00F709B2" w:rsidP="00F709B2">
            <w:pPr>
              <w:pBdr>
                <w:top w:val="nil"/>
                <w:left w:val="nil"/>
                <w:bottom w:val="nil"/>
                <w:right w:val="nil"/>
                <w:between w:val="nil"/>
              </w:pBdr>
              <w:ind w:left="29" w:firstLine="18"/>
              <w:jc w:val="center"/>
              <w:rPr>
                <w:color w:val="000000"/>
              </w:rPr>
            </w:pPr>
            <w:r w:rsidRPr="00522D80">
              <w:rPr>
                <w:noProof/>
                <w:color w:val="000000"/>
                <w:lang w:eastAsia="es-MX"/>
              </w:rPr>
              <w:drawing>
                <wp:inline distT="0" distB="0" distL="0" distR="0" wp14:anchorId="5EF3215E" wp14:editId="3053E918">
                  <wp:extent cx="3733165" cy="2828925"/>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2828925"/>
                          </a:xfrm>
                          <a:prstGeom prst="rect">
                            <a:avLst/>
                          </a:prstGeom>
                        </pic:spPr>
                      </pic:pic>
                    </a:graphicData>
                  </a:graphic>
                </wp:inline>
              </w:drawing>
            </w:r>
          </w:p>
          <w:p w14:paraId="18C2522A" w14:textId="37A8863A" w:rsidR="00F709B2" w:rsidRPr="00522D80" w:rsidRDefault="00F709B2" w:rsidP="00F709B2">
            <w:pPr>
              <w:jc w:val="center"/>
              <w:rPr>
                <w:rFonts w:eastAsia="Palatino Linotype" w:cs="Palatino Linotype"/>
                <w:b/>
                <w:sz w:val="2"/>
                <w:szCs w:val="2"/>
              </w:rPr>
            </w:pPr>
            <w:r w:rsidRPr="00522D80">
              <w:rPr>
                <w:noProof/>
                <w:color w:val="000000"/>
                <w:lang w:eastAsia="es-MX"/>
              </w:rPr>
              <w:lastRenderedPageBreak/>
              <w:drawing>
                <wp:inline distT="0" distB="0" distL="0" distR="0" wp14:anchorId="1E21FE4F" wp14:editId="1925E635">
                  <wp:extent cx="3733165" cy="7683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768350"/>
                          </a:xfrm>
                          <a:prstGeom prst="rect">
                            <a:avLst/>
                          </a:prstGeom>
                        </pic:spPr>
                      </pic:pic>
                    </a:graphicData>
                  </a:graphic>
                </wp:inline>
              </w:drawing>
            </w:r>
          </w:p>
        </w:tc>
      </w:tr>
      <w:tr w:rsidR="00F709B2" w:rsidRPr="00522D80" w14:paraId="5CBAE198" w14:textId="77777777" w:rsidTr="00C1121F">
        <w:trPr>
          <w:trHeight w:val="3517"/>
        </w:trPr>
        <w:tc>
          <w:tcPr>
            <w:tcW w:w="1560" w:type="dxa"/>
            <w:vAlign w:val="center"/>
          </w:tcPr>
          <w:p w14:paraId="55047036" w14:textId="77777777" w:rsidR="00F709B2" w:rsidRPr="00522D80" w:rsidRDefault="00F709B2" w:rsidP="00F709B2">
            <w:pPr>
              <w:tabs>
                <w:tab w:val="left" w:pos="317"/>
              </w:tabs>
              <w:jc w:val="center"/>
              <w:rPr>
                <w:rFonts w:eastAsia="Palatino Linotype" w:cs="Palatino Linotype"/>
                <w:b/>
                <w:sz w:val="16"/>
                <w:szCs w:val="16"/>
              </w:rPr>
            </w:pPr>
            <w:r w:rsidRPr="00522D80">
              <w:rPr>
                <w:rFonts w:eastAsia="Palatino Linotype" w:cs="Palatino Linotype"/>
                <w:b/>
                <w:sz w:val="16"/>
                <w:szCs w:val="16"/>
              </w:rPr>
              <w:lastRenderedPageBreak/>
              <w:t>Autoridades competentes.</w:t>
            </w:r>
          </w:p>
        </w:tc>
        <w:tc>
          <w:tcPr>
            <w:tcW w:w="1417" w:type="dxa"/>
            <w:vAlign w:val="center"/>
          </w:tcPr>
          <w:p w14:paraId="2651A9DA" w14:textId="77777777" w:rsidR="00F709B2" w:rsidRPr="00522D80" w:rsidRDefault="00F709B2" w:rsidP="00F709B2">
            <w:pPr>
              <w:pBdr>
                <w:top w:val="nil"/>
                <w:left w:val="nil"/>
                <w:bottom w:val="nil"/>
                <w:right w:val="nil"/>
                <w:between w:val="nil"/>
              </w:pBdr>
              <w:ind w:left="29" w:firstLine="18"/>
              <w:jc w:val="center"/>
              <w:rPr>
                <w:rFonts w:eastAsia="Palatino Linotype" w:cs="Palatino Linotype"/>
                <w:b/>
                <w:color w:val="000000"/>
              </w:rPr>
            </w:pPr>
            <w:r w:rsidRPr="00522D80">
              <w:rPr>
                <w:rFonts w:eastAsia="Palatino Linotype" w:cs="Palatino Linotype"/>
                <w:b/>
                <w:color w:val="000000"/>
              </w:rPr>
              <w:t>Sí</w:t>
            </w:r>
          </w:p>
        </w:tc>
        <w:tc>
          <w:tcPr>
            <w:tcW w:w="6095" w:type="dxa"/>
          </w:tcPr>
          <w:p w14:paraId="1581FE55" w14:textId="4C3901A6" w:rsidR="00F709B2" w:rsidRPr="00522D80" w:rsidRDefault="00F709B2" w:rsidP="00F709B2">
            <w:pPr>
              <w:rPr>
                <w:noProof/>
              </w:rPr>
            </w:pPr>
            <w:r w:rsidRPr="00522D80">
              <w:rPr>
                <w:noProof/>
                <w:lang w:eastAsia="es-MX"/>
              </w:rPr>
              <w:drawing>
                <wp:inline distT="0" distB="0" distL="0" distR="0" wp14:anchorId="42010DDA" wp14:editId="25AFD85D">
                  <wp:extent cx="3733165" cy="1838325"/>
                  <wp:effectExtent l="0" t="0" r="63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1838325"/>
                          </a:xfrm>
                          <a:prstGeom prst="rect">
                            <a:avLst/>
                          </a:prstGeom>
                        </pic:spPr>
                      </pic:pic>
                    </a:graphicData>
                  </a:graphic>
                </wp:inline>
              </w:drawing>
            </w:r>
          </w:p>
          <w:p w14:paraId="25EDC8B1" w14:textId="5720EE68" w:rsidR="00F709B2" w:rsidRPr="00522D80" w:rsidRDefault="00F709B2" w:rsidP="00F709B2">
            <w:r w:rsidRPr="00522D80">
              <w:rPr>
                <w:noProof/>
                <w:lang w:eastAsia="es-MX"/>
              </w:rPr>
              <w:drawing>
                <wp:inline distT="0" distB="0" distL="0" distR="0" wp14:anchorId="2566F189" wp14:editId="2BCDCFC5">
                  <wp:extent cx="3733165" cy="248602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2486025"/>
                          </a:xfrm>
                          <a:prstGeom prst="rect">
                            <a:avLst/>
                          </a:prstGeom>
                        </pic:spPr>
                      </pic:pic>
                    </a:graphicData>
                  </a:graphic>
                </wp:inline>
              </w:drawing>
            </w:r>
          </w:p>
          <w:p w14:paraId="2E39067E" w14:textId="77777777" w:rsidR="00F709B2" w:rsidRPr="00522D80" w:rsidRDefault="00F709B2" w:rsidP="00F709B2"/>
        </w:tc>
      </w:tr>
    </w:tbl>
    <w:p w14:paraId="086D6B8C" w14:textId="77777777" w:rsidR="005033E6" w:rsidRPr="00522D80" w:rsidRDefault="005033E6" w:rsidP="005033E6">
      <w:pPr>
        <w:rPr>
          <w:rFonts w:cs="Arial"/>
          <w:color w:val="000000" w:themeColor="text1"/>
        </w:rPr>
      </w:pPr>
    </w:p>
    <w:p w14:paraId="0AFA3100" w14:textId="137E05C0" w:rsidR="00AF5777" w:rsidRPr="00522D80" w:rsidRDefault="005033E6" w:rsidP="00AF5777">
      <w:pPr>
        <w:rPr>
          <w:rFonts w:eastAsia="Calibri"/>
          <w:lang w:eastAsia="es-ES_tradnl"/>
        </w:rPr>
      </w:pPr>
      <w:r w:rsidRPr="00522D80">
        <w:rPr>
          <w:rFonts w:eastAsia="Calibri" w:cs="Tahoma"/>
        </w:rPr>
        <w:t xml:space="preserve">Del análisis realizado a dicho acuerdo, se evidencia </w:t>
      </w:r>
      <w:r w:rsidR="00F709B2" w:rsidRPr="00522D80">
        <w:rPr>
          <w:rFonts w:eastAsia="Calibri" w:cs="Tahoma"/>
          <w:b/>
        </w:rPr>
        <w:t xml:space="preserve">EL SUJETO OBLIGADO </w:t>
      </w:r>
      <w:r w:rsidR="00F709B2" w:rsidRPr="00522D80">
        <w:rPr>
          <w:rFonts w:eastAsia="Calibri" w:cs="Tahoma"/>
        </w:rPr>
        <w:t xml:space="preserve">hizo entrega del Acuerdo que sustenta la versión pública de las listas de asistencia entregadas a </w:t>
      </w:r>
      <w:r w:rsidR="00F709B2" w:rsidRPr="00522D80">
        <w:rPr>
          <w:rFonts w:eastAsia="Calibri" w:cs="Tahoma"/>
          <w:b/>
        </w:rPr>
        <w:t xml:space="preserve">LA PARTE RECURRENTE </w:t>
      </w:r>
      <w:r w:rsidR="00F709B2" w:rsidRPr="00522D80">
        <w:rPr>
          <w:rFonts w:eastAsia="Calibri" w:cs="Tahoma"/>
        </w:rPr>
        <w:t>mediante respuesta;</w:t>
      </w:r>
      <w:r w:rsidR="00B11767" w:rsidRPr="00522D80">
        <w:t xml:space="preserve"> en consecuencia, este Órgano Garante determina que atendió cabalmente la solicitud realizada por </w:t>
      </w:r>
      <w:r w:rsidR="00B11767" w:rsidRPr="00522D80">
        <w:rPr>
          <w:b/>
        </w:rPr>
        <w:t>LA PARTE RECURRENTE</w:t>
      </w:r>
      <w:r w:rsidR="00AF5777" w:rsidRPr="00522D80">
        <w:rPr>
          <w:rFonts w:eastAsia="Calibri"/>
          <w:lang w:eastAsia="es-ES_tradnl"/>
        </w:rPr>
        <w:t xml:space="preserve">. </w:t>
      </w:r>
    </w:p>
    <w:p w14:paraId="767982A0" w14:textId="40B290DF" w:rsidR="00AF5777" w:rsidRPr="00522D80" w:rsidRDefault="00B11767" w:rsidP="001469AF">
      <w:pPr>
        <w:tabs>
          <w:tab w:val="left" w:pos="709"/>
        </w:tabs>
        <w:spacing w:after="240"/>
        <w:rPr>
          <w:rFonts w:eastAsia="Palatino Linotype" w:cs="Palatino Linotype"/>
          <w:color w:val="000000"/>
          <w:szCs w:val="22"/>
        </w:rPr>
      </w:pPr>
      <w:r w:rsidRPr="00522D80">
        <w:rPr>
          <w:rFonts w:eastAsia="Palatino Linotype" w:cs="Palatino Linotype"/>
          <w:color w:val="000000"/>
          <w:szCs w:val="22"/>
        </w:rPr>
        <w:lastRenderedPageBreak/>
        <w:t xml:space="preserve">Finalmente, no se omite comentar que </w:t>
      </w:r>
      <w:r w:rsidR="00AF5777" w:rsidRPr="00522D80">
        <w:rPr>
          <w:rFonts w:eastAsia="Palatino Linotype" w:cs="Palatino Linotype"/>
          <w:color w:val="000000"/>
          <w:szCs w:val="22"/>
        </w:rPr>
        <w:t>este Órgano Garante no está facultado para pronunciarse sobre la veracidad de la información que los Sujetos Obligados ponen a disposición de los solicitantes; situación que se aleja de las atribuciones de este Instituto.</w:t>
      </w:r>
    </w:p>
    <w:p w14:paraId="2BB7DB44" w14:textId="77777777" w:rsidR="00AF5777" w:rsidRPr="00522D80" w:rsidRDefault="00AF5777" w:rsidP="001469AF">
      <w:pPr>
        <w:spacing w:after="240"/>
        <w:rPr>
          <w:rFonts w:eastAsia="Palatino Linotype"/>
        </w:rPr>
      </w:pPr>
      <w:r w:rsidRPr="00522D80">
        <w:rPr>
          <w:rFonts w:eastAsia="Palatino Linotype"/>
        </w:rPr>
        <w:t>Sirviendo de apoyo a lo anterior por analogía, el criterio 31-10 emitido por el entonces Instituto Nacional de Transparencia, Acceso a la Información y Protección de Datos Personales, que a la letra dice:</w:t>
      </w:r>
    </w:p>
    <w:p w14:paraId="50E6F39C" w14:textId="7BA77E65" w:rsidR="00AF5777" w:rsidRPr="00522D80" w:rsidRDefault="00AF5777" w:rsidP="001469AF">
      <w:pPr>
        <w:spacing w:after="240" w:line="240" w:lineRule="auto"/>
        <w:ind w:left="567" w:right="567"/>
        <w:contextualSpacing/>
        <w:rPr>
          <w:i/>
          <w:kern w:val="28"/>
          <w:szCs w:val="56"/>
        </w:rPr>
      </w:pPr>
      <w:r w:rsidRPr="00522D80">
        <w:rPr>
          <w:i/>
          <w:kern w:val="28"/>
          <w:szCs w:val="56"/>
        </w:rPr>
        <w:t xml:space="preserve">“El Instituto Federal de Acceso a la Información y Protección de Datos </w:t>
      </w:r>
      <w:r w:rsidRPr="00522D80">
        <w:rPr>
          <w:b/>
          <w:i/>
          <w:kern w:val="28"/>
          <w:szCs w:val="56"/>
        </w:rPr>
        <w:t>no cuenta con facultades para pronunciarse respecto de la veracidad de los documentos proporcionados por los sujetos obligados.</w:t>
      </w:r>
      <w:r w:rsidRPr="00522D80">
        <w:rPr>
          <w:i/>
          <w:kern w:val="28"/>
          <w:szCs w:val="56"/>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A8DC3B" w14:textId="77777777" w:rsidR="001469AF" w:rsidRPr="00522D80" w:rsidRDefault="001469AF" w:rsidP="001469AF">
      <w:pPr>
        <w:spacing w:after="240" w:line="240" w:lineRule="auto"/>
        <w:ind w:left="567" w:right="567"/>
        <w:contextualSpacing/>
        <w:rPr>
          <w:i/>
          <w:kern w:val="28"/>
          <w:szCs w:val="56"/>
        </w:rPr>
      </w:pPr>
    </w:p>
    <w:p w14:paraId="2D4D9CFE" w14:textId="77777777" w:rsidR="00AF5777" w:rsidRPr="00522D80" w:rsidRDefault="00AF5777" w:rsidP="001469AF">
      <w:pPr>
        <w:keepNext/>
        <w:keepLines/>
        <w:spacing w:before="240" w:line="480" w:lineRule="auto"/>
        <w:jc w:val="left"/>
        <w:outlineLvl w:val="2"/>
        <w:rPr>
          <w:b/>
          <w:szCs w:val="28"/>
        </w:rPr>
      </w:pPr>
      <w:bookmarkStart w:id="40" w:name="_heading=h.lbakrexm1co0"/>
      <w:bookmarkStart w:id="41" w:name="_Toc208350938"/>
      <w:bookmarkEnd w:id="40"/>
      <w:r w:rsidRPr="00522D80">
        <w:rPr>
          <w:b/>
          <w:szCs w:val="28"/>
        </w:rPr>
        <w:t>d) Conclusión</w:t>
      </w:r>
      <w:bookmarkEnd w:id="41"/>
    </w:p>
    <w:p w14:paraId="158C9571" w14:textId="77777777" w:rsidR="00AF5777" w:rsidRPr="00522D80" w:rsidRDefault="00AF5777" w:rsidP="001469AF">
      <w:pPr>
        <w:spacing w:after="240"/>
        <w:rPr>
          <w:b/>
          <w:color w:val="000000"/>
        </w:rPr>
      </w:pPr>
      <w:r w:rsidRPr="00522D80">
        <w:rPr>
          <w:color w:val="000000"/>
        </w:rPr>
        <w:t xml:space="preserve">Por lo anteriormente expuesto, se considera que las razones o motivos de inconformidad planteadas por </w:t>
      </w:r>
      <w:r w:rsidRPr="00522D80">
        <w:rPr>
          <w:b/>
          <w:color w:val="000000"/>
        </w:rPr>
        <w:t xml:space="preserve">LA PARTE RECURRENTE, </w:t>
      </w:r>
      <w:r w:rsidRPr="00522D80">
        <w:rPr>
          <w:color w:val="000000"/>
        </w:rPr>
        <w:t xml:space="preserve">resultan infundadas; en consecuencia, este Órgano Garante determina </w:t>
      </w:r>
      <w:r w:rsidRPr="00522D80">
        <w:rPr>
          <w:b/>
          <w:color w:val="000000"/>
        </w:rPr>
        <w:t xml:space="preserve">CONFIRMAR </w:t>
      </w:r>
      <w:r w:rsidRPr="00522D80">
        <w:rPr>
          <w:color w:val="000000"/>
        </w:rPr>
        <w:t xml:space="preserve">la respuesta otorgada por el </w:t>
      </w:r>
      <w:r w:rsidRPr="00522D80">
        <w:rPr>
          <w:b/>
          <w:color w:val="000000"/>
        </w:rPr>
        <w:t>SUJETO OBLIGADO.</w:t>
      </w:r>
    </w:p>
    <w:p w14:paraId="5C991DB8" w14:textId="77777777" w:rsidR="00CA1F29" w:rsidRPr="00522D80" w:rsidRDefault="00CA1F29" w:rsidP="00CA1F29">
      <w:pPr>
        <w:ind w:right="-93"/>
        <w:rPr>
          <w:rFonts w:cs="Tahoma"/>
          <w:bCs/>
          <w:szCs w:val="22"/>
        </w:rPr>
      </w:pPr>
      <w:bookmarkStart w:id="42" w:name="_Hlk165381027"/>
      <w:r w:rsidRPr="00522D80">
        <w:rPr>
          <w:rFonts w:cs="Tahoma"/>
          <w:bCs/>
          <w:szCs w:val="22"/>
        </w:rPr>
        <w:t>Así, con fundamento en lo establecido en los artículos 5, párrafos trigésimo noveno, cuadragésimo y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6F8F50E" w14:textId="77777777" w:rsidR="00AF5777" w:rsidRPr="00522D80" w:rsidRDefault="00AF5777" w:rsidP="00AF5777">
      <w:pPr>
        <w:keepNext/>
        <w:keepLines/>
        <w:jc w:val="center"/>
        <w:outlineLvl w:val="0"/>
        <w:rPr>
          <w:b/>
          <w:szCs w:val="40"/>
        </w:rPr>
      </w:pPr>
      <w:bookmarkStart w:id="43" w:name="_Toc203636989"/>
      <w:bookmarkStart w:id="44" w:name="_Toc208350939"/>
      <w:bookmarkEnd w:id="42"/>
      <w:r w:rsidRPr="00522D80">
        <w:rPr>
          <w:b/>
          <w:szCs w:val="40"/>
        </w:rPr>
        <w:lastRenderedPageBreak/>
        <w:t>RESUELVE</w:t>
      </w:r>
      <w:bookmarkEnd w:id="43"/>
      <w:bookmarkEnd w:id="44"/>
    </w:p>
    <w:p w14:paraId="67DDDFB1" w14:textId="77777777" w:rsidR="00AF5777" w:rsidRPr="00522D80" w:rsidRDefault="00AF5777" w:rsidP="00AF5777">
      <w:pPr>
        <w:ind w:right="113"/>
        <w:rPr>
          <w:rFonts w:cs="Arial"/>
          <w:b/>
          <w:szCs w:val="22"/>
        </w:rPr>
      </w:pPr>
    </w:p>
    <w:p w14:paraId="45DB7FB0" w14:textId="3F4BD1F2" w:rsidR="00AF5777" w:rsidRPr="00522D80" w:rsidRDefault="00AF5777" w:rsidP="00AF5777">
      <w:pPr>
        <w:widowControl w:val="0"/>
        <w:rPr>
          <w:rFonts w:eastAsia="Calibri" w:cs="Tahoma"/>
          <w:bCs/>
          <w:szCs w:val="22"/>
          <w:lang w:eastAsia="en-US"/>
        </w:rPr>
      </w:pPr>
      <w:r w:rsidRPr="00522D80">
        <w:rPr>
          <w:b/>
          <w:bCs/>
        </w:rPr>
        <w:t>PRIMERO.</w:t>
      </w:r>
      <w:r w:rsidRPr="00522D80">
        <w:t xml:space="preserve"> </w:t>
      </w:r>
      <w:r w:rsidRPr="00522D80">
        <w:rPr>
          <w:rFonts w:cs="Tahoma"/>
          <w:szCs w:val="22"/>
        </w:rPr>
        <w:t xml:space="preserve">Se </w:t>
      </w:r>
      <w:r w:rsidRPr="00522D80">
        <w:rPr>
          <w:rFonts w:cs="Tahoma"/>
          <w:b/>
          <w:bCs/>
          <w:szCs w:val="22"/>
        </w:rPr>
        <w:t>CONFIRMA</w:t>
      </w:r>
      <w:r w:rsidRPr="00522D80">
        <w:rPr>
          <w:rFonts w:cs="Tahoma"/>
          <w:szCs w:val="22"/>
        </w:rPr>
        <w:t xml:space="preserve"> la respuesta entregada por el </w:t>
      </w:r>
      <w:r w:rsidRPr="00522D80">
        <w:rPr>
          <w:rFonts w:cs="Tahoma"/>
          <w:b/>
          <w:bCs/>
          <w:szCs w:val="22"/>
        </w:rPr>
        <w:t>SUJETO OBLIGADO</w:t>
      </w:r>
      <w:r w:rsidRPr="00522D80">
        <w:rPr>
          <w:rFonts w:cs="Tahoma"/>
          <w:szCs w:val="22"/>
        </w:rPr>
        <w:t xml:space="preserve"> en la solicitud de información </w:t>
      </w:r>
      <w:r w:rsidR="00B11767" w:rsidRPr="00522D80">
        <w:rPr>
          <w:rFonts w:cs="Tahoma"/>
          <w:b/>
          <w:bCs/>
          <w:szCs w:val="22"/>
        </w:rPr>
        <w:t>00881/IEEM/IP/2025</w:t>
      </w:r>
      <w:r w:rsidRPr="00522D80">
        <w:rPr>
          <w:rFonts w:cs="Tahoma"/>
          <w:bCs/>
          <w:szCs w:val="22"/>
        </w:rPr>
        <w:t xml:space="preserve">, </w:t>
      </w:r>
      <w:r w:rsidRPr="00522D80">
        <w:rPr>
          <w:rFonts w:eastAsia="Calibri" w:cs="Tahoma"/>
          <w:bCs/>
          <w:szCs w:val="22"/>
          <w:lang w:eastAsia="en-US"/>
        </w:rPr>
        <w:t xml:space="preserve">por resultar </w:t>
      </w:r>
      <w:r w:rsidRPr="00522D80">
        <w:rPr>
          <w:rFonts w:eastAsia="Calibri" w:cs="Tahoma"/>
          <w:b/>
          <w:szCs w:val="22"/>
          <w:lang w:eastAsia="en-US"/>
        </w:rPr>
        <w:t>IN</w:t>
      </w:r>
      <w:r w:rsidRPr="00522D80">
        <w:rPr>
          <w:rFonts w:eastAsia="Calibri" w:cs="Tahoma"/>
          <w:b/>
          <w:bCs/>
          <w:szCs w:val="22"/>
          <w:lang w:eastAsia="en-US"/>
        </w:rPr>
        <w:t>FUNDADAS</w:t>
      </w:r>
      <w:r w:rsidRPr="00522D80">
        <w:rPr>
          <w:rFonts w:eastAsia="Calibri" w:cs="Tahoma"/>
          <w:bCs/>
          <w:szCs w:val="22"/>
          <w:lang w:eastAsia="en-US"/>
        </w:rPr>
        <w:t xml:space="preserve"> las razones o motivos de inconformidad hechos valer por </w:t>
      </w:r>
      <w:r w:rsidRPr="00522D80">
        <w:rPr>
          <w:rFonts w:eastAsia="Calibri" w:cs="Tahoma"/>
          <w:b/>
          <w:szCs w:val="22"/>
          <w:lang w:eastAsia="en-US"/>
        </w:rPr>
        <w:t>LA PARTE RECURRENTE</w:t>
      </w:r>
      <w:r w:rsidRPr="00522D80">
        <w:rPr>
          <w:rFonts w:eastAsia="Calibri" w:cs="Tahoma"/>
          <w:bCs/>
          <w:szCs w:val="22"/>
          <w:lang w:eastAsia="en-US"/>
        </w:rPr>
        <w:t xml:space="preserve"> en el Recurso de Revisión </w:t>
      </w:r>
      <w:r w:rsidRPr="00522D80">
        <w:rPr>
          <w:rFonts w:eastAsia="Calibri" w:cs="Tahoma"/>
          <w:b/>
          <w:szCs w:val="22"/>
          <w:lang w:eastAsia="en-US"/>
        </w:rPr>
        <w:t>0</w:t>
      </w:r>
      <w:r w:rsidR="00B11767" w:rsidRPr="00522D80">
        <w:rPr>
          <w:rFonts w:eastAsia="Calibri" w:cs="Tahoma"/>
          <w:b/>
          <w:szCs w:val="22"/>
          <w:lang w:eastAsia="en-US"/>
        </w:rPr>
        <w:t>6837</w:t>
      </w:r>
      <w:r w:rsidRPr="00522D80">
        <w:rPr>
          <w:rFonts w:eastAsia="Calibri" w:cs="Tahoma"/>
          <w:b/>
          <w:szCs w:val="22"/>
          <w:lang w:eastAsia="en-US"/>
        </w:rPr>
        <w:t>/INFOEM/IP/RR/2025</w:t>
      </w:r>
      <w:r w:rsidRPr="00522D80">
        <w:rPr>
          <w:rFonts w:eastAsia="Aptos"/>
          <w:color w:val="000000" w:themeColor="text1"/>
          <w:szCs w:val="22"/>
          <w:lang w:eastAsia="en-US"/>
        </w:rPr>
        <w:t>,</w:t>
      </w:r>
      <w:r w:rsidRPr="00522D80">
        <w:rPr>
          <w:rFonts w:cs="Tahoma"/>
          <w:b/>
          <w:color w:val="0D0D0D"/>
          <w:szCs w:val="22"/>
        </w:rPr>
        <w:t xml:space="preserve"> </w:t>
      </w:r>
      <w:r w:rsidRPr="00522D80">
        <w:rPr>
          <w:rFonts w:eastAsia="Calibri" w:cs="Tahoma"/>
          <w:bCs/>
          <w:szCs w:val="22"/>
          <w:lang w:eastAsia="en-US"/>
        </w:rPr>
        <w:t xml:space="preserve">en términos del considerando </w:t>
      </w:r>
      <w:r w:rsidRPr="00522D80">
        <w:rPr>
          <w:rFonts w:eastAsia="Calibri" w:cs="Tahoma"/>
          <w:b/>
          <w:szCs w:val="22"/>
          <w:lang w:eastAsia="en-US"/>
        </w:rPr>
        <w:t>SEGUNDO</w:t>
      </w:r>
      <w:r w:rsidRPr="00522D80">
        <w:rPr>
          <w:rFonts w:eastAsia="Calibri" w:cs="Tahoma"/>
          <w:bCs/>
          <w:szCs w:val="22"/>
          <w:lang w:eastAsia="en-US"/>
        </w:rPr>
        <w:t xml:space="preserve"> de la presente Resolución.</w:t>
      </w:r>
    </w:p>
    <w:p w14:paraId="10BE5C7B" w14:textId="77777777" w:rsidR="00AF5777" w:rsidRPr="00522D80" w:rsidRDefault="00AF5777" w:rsidP="00AF5777">
      <w:pPr>
        <w:widowControl w:val="0"/>
        <w:rPr>
          <w:rFonts w:eastAsia="Calibri" w:cs="Tahoma"/>
          <w:bCs/>
          <w:szCs w:val="22"/>
          <w:lang w:eastAsia="en-US"/>
        </w:rPr>
      </w:pPr>
    </w:p>
    <w:p w14:paraId="71EE907B" w14:textId="77777777" w:rsidR="00AF5777" w:rsidRPr="00522D80" w:rsidRDefault="00AF5777" w:rsidP="00AF5777">
      <w:pPr>
        <w:ind w:right="-93"/>
      </w:pPr>
      <w:r w:rsidRPr="00522D80">
        <w:rPr>
          <w:rFonts w:eastAsia="Calibri" w:cs="Tahoma"/>
          <w:b/>
          <w:bCs/>
          <w:szCs w:val="22"/>
          <w:lang w:eastAsia="en-US"/>
        </w:rPr>
        <w:t>SEGUNDO.</w:t>
      </w:r>
      <w:r w:rsidRPr="00522D80">
        <w:rPr>
          <w:rFonts w:eastAsia="Calibri" w:cs="Tahoma"/>
          <w:szCs w:val="22"/>
          <w:lang w:eastAsia="es-MX"/>
        </w:rPr>
        <w:t xml:space="preserve"> </w:t>
      </w:r>
      <w:r w:rsidRPr="00522D80">
        <w:rPr>
          <w:rFonts w:eastAsia="Palatino Linotype" w:cs="Palatino Linotype"/>
          <w:b/>
          <w:color w:val="000000" w:themeColor="text1"/>
          <w:lang w:eastAsia="es-MX"/>
        </w:rPr>
        <w:t xml:space="preserve">Notifíquese </w:t>
      </w:r>
      <w:r w:rsidRPr="00522D80">
        <w:rPr>
          <w:color w:val="000000" w:themeColor="text1"/>
          <w:szCs w:val="17"/>
          <w:lang w:eastAsia="es-ES_tradnl"/>
        </w:rPr>
        <w:t xml:space="preserve">vía </w:t>
      </w:r>
      <w:r w:rsidRPr="00522D80">
        <w:rPr>
          <w:rFonts w:cs="Arial"/>
          <w:color w:val="000000" w:themeColor="text1"/>
        </w:rPr>
        <w:t>Sistema de Acceso a la Información Mexiquense (</w:t>
      </w:r>
      <w:r w:rsidRPr="00522D80">
        <w:rPr>
          <w:rFonts w:cs="Arial"/>
          <w:b/>
          <w:bCs/>
          <w:color w:val="000000" w:themeColor="text1"/>
        </w:rPr>
        <w:t>SAIMEX)</w:t>
      </w:r>
      <w:r w:rsidRPr="00522D80">
        <w:rPr>
          <w:color w:val="000000" w:themeColor="text1"/>
          <w:shd w:val="clear" w:color="auto" w:fill="FFFFFF"/>
        </w:rPr>
        <w:t xml:space="preserve"> la presente resolución al Titular de la Unidad de Transparencia del </w:t>
      </w:r>
      <w:r w:rsidRPr="00522D80">
        <w:rPr>
          <w:b/>
          <w:bCs/>
        </w:rPr>
        <w:t>SUJETO OBLIGADO</w:t>
      </w:r>
      <w:r w:rsidRPr="00522D80">
        <w:t>, para su conocimiento.</w:t>
      </w:r>
    </w:p>
    <w:p w14:paraId="6829A88E" w14:textId="77777777" w:rsidR="00AF5777" w:rsidRPr="00522D80" w:rsidRDefault="00AF5777" w:rsidP="00AF5777">
      <w:pPr>
        <w:ind w:right="-93"/>
      </w:pPr>
    </w:p>
    <w:p w14:paraId="213442C1" w14:textId="77777777" w:rsidR="00AF5777" w:rsidRPr="00522D80" w:rsidRDefault="00AF5777" w:rsidP="00AF5777">
      <w:r w:rsidRPr="00522D80">
        <w:rPr>
          <w:b/>
          <w:bCs/>
        </w:rPr>
        <w:t>TERCERO.</w:t>
      </w:r>
      <w:r w:rsidRPr="00522D80">
        <w:t xml:space="preserve"> Notifíquese a </w:t>
      </w:r>
      <w:r w:rsidRPr="00522D80">
        <w:rPr>
          <w:b/>
          <w:bCs/>
        </w:rPr>
        <w:t>LA PARTE RECURRENTE</w:t>
      </w:r>
      <w:r w:rsidRPr="00522D80">
        <w:t xml:space="preserve"> la presente resolución vía Sistema de Acceso a la Información Mexiquense (</w:t>
      </w:r>
      <w:r w:rsidRPr="00522D80">
        <w:rPr>
          <w:b/>
        </w:rPr>
        <w:t>SAIMEX</w:t>
      </w:r>
      <w:r w:rsidRPr="00522D80">
        <w:t>).</w:t>
      </w:r>
    </w:p>
    <w:p w14:paraId="6CF1A08E" w14:textId="77777777" w:rsidR="00AF5777" w:rsidRPr="00522D80" w:rsidRDefault="00AF5777" w:rsidP="00AF5777"/>
    <w:p w14:paraId="0CA95B81" w14:textId="77777777" w:rsidR="00AF5777" w:rsidRPr="00522D80" w:rsidRDefault="00AF5777" w:rsidP="00AF5777">
      <w:r w:rsidRPr="00522D80">
        <w:rPr>
          <w:b/>
          <w:bCs/>
        </w:rPr>
        <w:t>CUARTO</w:t>
      </w:r>
      <w:r w:rsidRPr="00522D80">
        <w:t xml:space="preserve">. Hágase del conocimiento a </w:t>
      </w:r>
      <w:r w:rsidRPr="00522D80">
        <w:rPr>
          <w:b/>
          <w:bCs/>
        </w:rPr>
        <w:t>LA PARTE RECURRENTE</w:t>
      </w:r>
      <w:r w:rsidRPr="00522D8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92D3F5" w14:textId="77777777" w:rsidR="00B22065" w:rsidRPr="00522D80" w:rsidRDefault="00B22065" w:rsidP="00DE0277">
      <w:pPr>
        <w:ind w:right="-93"/>
      </w:pPr>
    </w:p>
    <w:p w14:paraId="4E6361D0" w14:textId="3862CC85" w:rsidR="00DE0277" w:rsidRPr="00522D80" w:rsidRDefault="00DE0277" w:rsidP="00DE0277">
      <w:pPr>
        <w:ind w:right="-93"/>
      </w:pPr>
      <w:r w:rsidRPr="00522D80">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w:t>
      </w:r>
      <w:r w:rsidRPr="00522D80">
        <w:lastRenderedPageBreak/>
        <w:t>CELEBRADA EL DIEZ DE SEPTIEMBRE DE DOS MIL VEINTICINCO</w:t>
      </w:r>
      <w:r w:rsidR="00B22065" w:rsidRPr="00522D80">
        <w:t>,</w:t>
      </w:r>
      <w:r w:rsidRPr="00522D80">
        <w:t xml:space="preserve"> ANTE EL SECRETARIO TÉCNICO DEL PLENO, ALEXIS TAPIA RAMÍREZ.</w:t>
      </w:r>
      <w:r w:rsidR="00522D80" w:rsidRPr="00522D80">
        <w:t>----------------------------------------------------------------------------------------------------------------------------------------------------------------</w:t>
      </w:r>
    </w:p>
    <w:p w14:paraId="77886163" w14:textId="77777777" w:rsidR="00C876F7" w:rsidRPr="00ED32F6" w:rsidRDefault="00C876F7" w:rsidP="00C876F7">
      <w:pPr>
        <w:ind w:right="-93"/>
        <w:rPr>
          <w:rFonts w:eastAsia="Palatino Linotype" w:cs="Palatino Linotype"/>
          <w:color w:val="000000"/>
          <w:sz w:val="20"/>
        </w:rPr>
      </w:pPr>
      <w:r w:rsidRPr="00522D80">
        <w:rPr>
          <w:rFonts w:eastAsia="Palatino Linotype" w:cs="Palatino Linotype"/>
          <w:color w:val="000000"/>
          <w:sz w:val="20"/>
        </w:rPr>
        <w:t>SCMM/AGZ/DEMF/RPG</w:t>
      </w:r>
    </w:p>
    <w:p w14:paraId="1DA361E5" w14:textId="77777777" w:rsidR="00D85CEA" w:rsidRPr="00ED32F6" w:rsidRDefault="00D85CEA">
      <w:pPr>
        <w:spacing w:after="160" w:line="259" w:lineRule="auto"/>
        <w:jc w:val="left"/>
        <w:rPr>
          <w:rFonts w:eastAsia="Palatino Linotype" w:cs="Palatino Linotype"/>
          <w:color w:val="000000"/>
          <w:sz w:val="20"/>
        </w:rPr>
      </w:pPr>
      <w:r w:rsidRPr="00ED32F6">
        <w:rPr>
          <w:rFonts w:eastAsia="Palatino Linotype" w:cs="Palatino Linotype"/>
          <w:color w:val="000000"/>
          <w:sz w:val="20"/>
        </w:rPr>
        <w:br w:type="page"/>
      </w:r>
    </w:p>
    <w:p w14:paraId="2D425474" w14:textId="77777777" w:rsidR="009C04A8" w:rsidRPr="00ED32F6" w:rsidRDefault="009C04A8" w:rsidP="009C04A8">
      <w:pPr>
        <w:ind w:right="-93"/>
        <w:rPr>
          <w:rFonts w:eastAsia="Calibri" w:cs="Tahoma"/>
          <w:szCs w:val="22"/>
          <w:lang w:val="es-ES"/>
        </w:rPr>
      </w:pPr>
    </w:p>
    <w:p w14:paraId="696BC976" w14:textId="77777777" w:rsidR="00664420" w:rsidRPr="00ED32F6" w:rsidRDefault="00664420" w:rsidP="00664420">
      <w:pPr>
        <w:ind w:right="-93"/>
        <w:rPr>
          <w:rFonts w:eastAsia="Calibri" w:cs="Tahoma"/>
          <w:bCs/>
          <w:szCs w:val="22"/>
          <w:lang w:val="es-ES" w:eastAsia="en-US"/>
        </w:rPr>
      </w:pPr>
    </w:p>
    <w:p w14:paraId="671CB0C5" w14:textId="77777777" w:rsidR="00664420" w:rsidRPr="00ED32F6" w:rsidRDefault="00664420" w:rsidP="00664420">
      <w:pPr>
        <w:ind w:right="-93"/>
        <w:rPr>
          <w:rFonts w:eastAsia="Calibri" w:cs="Tahoma"/>
          <w:bCs/>
          <w:szCs w:val="22"/>
          <w:lang w:val="es-ES_tradnl" w:eastAsia="en-US"/>
        </w:rPr>
      </w:pPr>
    </w:p>
    <w:p w14:paraId="6FDF3D7E" w14:textId="77777777" w:rsidR="00664420" w:rsidRPr="00ED32F6" w:rsidRDefault="00664420" w:rsidP="00664420">
      <w:pPr>
        <w:tabs>
          <w:tab w:val="center" w:pos="4568"/>
        </w:tabs>
        <w:ind w:right="-93"/>
        <w:rPr>
          <w:rFonts w:eastAsia="Calibri" w:cs="Tahoma"/>
          <w:bCs/>
          <w:szCs w:val="22"/>
          <w:lang w:eastAsia="en-US"/>
        </w:rPr>
      </w:pPr>
    </w:p>
    <w:p w14:paraId="6246F818" w14:textId="77777777" w:rsidR="00664420" w:rsidRPr="00ED32F6" w:rsidRDefault="00664420" w:rsidP="00664420">
      <w:pPr>
        <w:tabs>
          <w:tab w:val="center" w:pos="4568"/>
        </w:tabs>
        <w:ind w:right="-93"/>
        <w:rPr>
          <w:rFonts w:eastAsia="Calibri" w:cs="Tahoma"/>
          <w:bCs/>
          <w:szCs w:val="22"/>
          <w:lang w:eastAsia="en-US"/>
        </w:rPr>
      </w:pPr>
    </w:p>
    <w:p w14:paraId="57A88B28" w14:textId="77777777" w:rsidR="00664420" w:rsidRPr="00ED32F6" w:rsidRDefault="00664420" w:rsidP="00664420">
      <w:pPr>
        <w:tabs>
          <w:tab w:val="center" w:pos="4568"/>
        </w:tabs>
        <w:ind w:right="-93"/>
        <w:rPr>
          <w:rFonts w:eastAsia="Calibri" w:cs="Tahoma"/>
          <w:bCs/>
          <w:szCs w:val="22"/>
          <w:lang w:eastAsia="en-US"/>
        </w:rPr>
      </w:pPr>
    </w:p>
    <w:p w14:paraId="77EF6095" w14:textId="77777777" w:rsidR="00664420" w:rsidRPr="00ED32F6" w:rsidRDefault="00664420" w:rsidP="00664420">
      <w:pPr>
        <w:tabs>
          <w:tab w:val="center" w:pos="4568"/>
        </w:tabs>
        <w:ind w:right="-93"/>
        <w:rPr>
          <w:rFonts w:eastAsia="Calibri" w:cs="Tahoma"/>
          <w:bCs/>
          <w:szCs w:val="22"/>
          <w:lang w:eastAsia="en-US"/>
        </w:rPr>
      </w:pPr>
    </w:p>
    <w:p w14:paraId="35593947" w14:textId="77777777" w:rsidR="00664420" w:rsidRPr="00ED32F6" w:rsidRDefault="00664420" w:rsidP="00664420">
      <w:pPr>
        <w:tabs>
          <w:tab w:val="center" w:pos="4568"/>
        </w:tabs>
        <w:ind w:right="-93"/>
        <w:rPr>
          <w:rFonts w:eastAsia="Calibri" w:cs="Tahoma"/>
          <w:bCs/>
          <w:szCs w:val="22"/>
          <w:lang w:eastAsia="en-US"/>
        </w:rPr>
      </w:pPr>
    </w:p>
    <w:p w14:paraId="3AF72A17" w14:textId="77777777" w:rsidR="00664420" w:rsidRPr="00ED32F6" w:rsidRDefault="00664420" w:rsidP="00664420">
      <w:pPr>
        <w:tabs>
          <w:tab w:val="center" w:pos="4568"/>
        </w:tabs>
        <w:ind w:right="-93"/>
        <w:rPr>
          <w:rFonts w:eastAsia="Calibri" w:cs="Tahoma"/>
          <w:bCs/>
          <w:szCs w:val="22"/>
          <w:lang w:eastAsia="en-US"/>
        </w:rPr>
      </w:pPr>
    </w:p>
    <w:p w14:paraId="37169144" w14:textId="77777777" w:rsidR="00664420" w:rsidRPr="00ED32F6" w:rsidRDefault="00664420" w:rsidP="00664420">
      <w:pPr>
        <w:tabs>
          <w:tab w:val="center" w:pos="4568"/>
        </w:tabs>
        <w:ind w:right="-93"/>
        <w:rPr>
          <w:rFonts w:eastAsia="Calibri" w:cs="Tahoma"/>
          <w:bCs/>
          <w:szCs w:val="22"/>
          <w:lang w:eastAsia="en-US"/>
        </w:rPr>
      </w:pPr>
    </w:p>
    <w:p w14:paraId="77CFC088" w14:textId="77777777" w:rsidR="00664420" w:rsidRPr="00ED32F6" w:rsidRDefault="00664420" w:rsidP="00664420">
      <w:pPr>
        <w:tabs>
          <w:tab w:val="center" w:pos="4568"/>
        </w:tabs>
        <w:ind w:right="-93"/>
        <w:rPr>
          <w:rFonts w:eastAsia="Calibri" w:cs="Tahoma"/>
          <w:bCs/>
          <w:szCs w:val="22"/>
          <w:lang w:eastAsia="en-US"/>
        </w:rPr>
      </w:pPr>
    </w:p>
    <w:p w14:paraId="781A11A5" w14:textId="77777777" w:rsidR="00664420" w:rsidRPr="00ED32F6" w:rsidRDefault="00664420" w:rsidP="00664420">
      <w:pPr>
        <w:tabs>
          <w:tab w:val="center" w:pos="4568"/>
        </w:tabs>
        <w:ind w:right="-93"/>
        <w:rPr>
          <w:rFonts w:eastAsia="Calibri" w:cs="Tahoma"/>
          <w:bCs/>
          <w:szCs w:val="22"/>
          <w:lang w:eastAsia="en-US"/>
        </w:rPr>
      </w:pPr>
    </w:p>
    <w:bookmarkEnd w:id="0"/>
    <w:p w14:paraId="5B4ADFF3" w14:textId="77777777" w:rsidR="00A131AC" w:rsidRPr="00ED32F6" w:rsidRDefault="00A131AC"/>
    <w:sectPr w:rsidR="00A131AC" w:rsidRPr="00ED32F6" w:rsidSect="00EE2AF2">
      <w:footerReference w:type="default" r:id="rId2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274BC" w14:textId="77777777" w:rsidR="000E61DE" w:rsidRDefault="000E61DE" w:rsidP="00664420">
      <w:pPr>
        <w:spacing w:line="240" w:lineRule="auto"/>
      </w:pPr>
      <w:r>
        <w:separator/>
      </w:r>
    </w:p>
  </w:endnote>
  <w:endnote w:type="continuationSeparator" w:id="0">
    <w:p w14:paraId="50C73877" w14:textId="77777777" w:rsidR="000E61DE" w:rsidRDefault="000E61DE"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A4BEA" w:rsidRDefault="00BA4BEA">
    <w:pPr>
      <w:tabs>
        <w:tab w:val="center" w:pos="4550"/>
        <w:tab w:val="left" w:pos="5818"/>
      </w:tabs>
      <w:ind w:right="260"/>
      <w:jc w:val="right"/>
      <w:rPr>
        <w:color w:val="071320" w:themeColor="text2" w:themeShade="80"/>
        <w:sz w:val="24"/>
        <w:szCs w:val="24"/>
      </w:rPr>
    </w:pPr>
  </w:p>
  <w:p w14:paraId="1BCA7F23" w14:textId="77777777" w:rsidR="00BA4BEA" w:rsidRDefault="00BA4B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587B58C2" w:rsidR="00BA4BEA" w:rsidRDefault="00BA4BEA">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130B10" w:rsidRPr="00130B10">
      <w:rPr>
        <w:noProof/>
        <w:color w:val="0A1D30" w:themeColor="text2" w:themeShade="BF"/>
        <w:sz w:val="24"/>
        <w:szCs w:val="24"/>
        <w:lang w:val="es-ES"/>
      </w:rPr>
      <w:t>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130B10" w:rsidRPr="00130B10">
      <w:rPr>
        <w:noProof/>
        <w:color w:val="0A1D30" w:themeColor="text2" w:themeShade="BF"/>
        <w:sz w:val="24"/>
        <w:szCs w:val="24"/>
        <w:lang w:val="es-ES"/>
      </w:rPr>
      <w:t>27</w:t>
    </w:r>
    <w:r>
      <w:rPr>
        <w:color w:val="0A1D30" w:themeColor="text2" w:themeShade="BF"/>
        <w:sz w:val="24"/>
        <w:szCs w:val="24"/>
      </w:rPr>
      <w:fldChar w:fldCharType="end"/>
    </w:r>
  </w:p>
  <w:p w14:paraId="310E15C0" w14:textId="77777777" w:rsidR="00BA4BEA" w:rsidRDefault="00BA4B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D5742" w14:textId="77777777" w:rsidR="000E61DE" w:rsidRDefault="000E61DE" w:rsidP="00664420">
      <w:pPr>
        <w:spacing w:line="240" w:lineRule="auto"/>
      </w:pPr>
      <w:r>
        <w:separator/>
      </w:r>
    </w:p>
  </w:footnote>
  <w:footnote w:type="continuationSeparator" w:id="0">
    <w:p w14:paraId="767F23EE" w14:textId="77777777" w:rsidR="000E61DE" w:rsidRDefault="000E61DE"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A4BEA" w:rsidRPr="00330DA7" w14:paraId="070A4B18" w14:textId="77777777" w:rsidTr="003F35FD">
      <w:trPr>
        <w:trHeight w:val="144"/>
        <w:jc w:val="right"/>
      </w:trPr>
      <w:tc>
        <w:tcPr>
          <w:tcW w:w="2727" w:type="dxa"/>
        </w:tcPr>
        <w:p w14:paraId="62B7493A" w14:textId="77777777" w:rsidR="00BA4BEA" w:rsidRPr="00330DA7" w:rsidRDefault="00BA4BEA"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4A01A49" w:rsidR="00BA4BEA" w:rsidRPr="00A90C72" w:rsidRDefault="00BA4BEA" w:rsidP="00C66138">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Pr>
              <w:rFonts w:eastAsia="Calibri" w:cs="Tahoma"/>
              <w:szCs w:val="22"/>
              <w:lang w:eastAsia="en-US"/>
            </w:rPr>
            <w:t>6837</w:t>
          </w:r>
          <w:r w:rsidRPr="006E7E69">
            <w:rPr>
              <w:rFonts w:eastAsia="Calibri" w:cs="Tahoma"/>
              <w:szCs w:val="22"/>
              <w:lang w:eastAsia="en-US"/>
            </w:rPr>
            <w:t>/INFOEM/IP/RR/2025</w:t>
          </w:r>
        </w:p>
      </w:tc>
    </w:tr>
    <w:tr w:rsidR="00BA4BEA" w:rsidRPr="00330DA7" w14:paraId="4521E058" w14:textId="77777777" w:rsidTr="003F35FD">
      <w:trPr>
        <w:trHeight w:val="283"/>
        <w:jc w:val="right"/>
      </w:trPr>
      <w:tc>
        <w:tcPr>
          <w:tcW w:w="2727" w:type="dxa"/>
        </w:tcPr>
        <w:p w14:paraId="0B68C086" w14:textId="77777777" w:rsidR="00BA4BEA" w:rsidRPr="00330DA7" w:rsidRDefault="00BA4BEA"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3E03DF6" w:rsidR="00BA4BEA" w:rsidRPr="009233A1" w:rsidRDefault="00BA4BEA" w:rsidP="006E7E69">
          <w:pPr>
            <w:tabs>
              <w:tab w:val="right" w:pos="8838"/>
            </w:tabs>
            <w:spacing w:line="240" w:lineRule="auto"/>
            <w:ind w:left="-74" w:right="-105"/>
            <w:rPr>
              <w:rFonts w:eastAsia="Calibri" w:cs="Tahoma"/>
              <w:szCs w:val="22"/>
              <w:lang w:val="es-MX" w:eastAsia="en-US"/>
            </w:rPr>
          </w:pPr>
          <w:r w:rsidRPr="00C66138">
            <w:rPr>
              <w:rFonts w:eastAsia="Calibri" w:cs="Tahoma"/>
              <w:szCs w:val="22"/>
              <w:lang w:eastAsia="en-US"/>
            </w:rPr>
            <w:t>Instituto Electoral del Estado de México</w:t>
          </w:r>
        </w:p>
      </w:tc>
    </w:tr>
    <w:tr w:rsidR="00BA4BEA" w:rsidRPr="00330DA7" w14:paraId="6331D9B6" w14:textId="77777777" w:rsidTr="003F35FD">
      <w:trPr>
        <w:trHeight w:val="283"/>
        <w:jc w:val="right"/>
      </w:trPr>
      <w:tc>
        <w:tcPr>
          <w:tcW w:w="2727" w:type="dxa"/>
        </w:tcPr>
        <w:p w14:paraId="3FA86BAE" w14:textId="6568823B" w:rsidR="00BA4BEA" w:rsidRPr="00330DA7" w:rsidRDefault="00BA4BEA"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A4BEA" w:rsidRPr="00EA66FC" w:rsidRDefault="00BA4BEA"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A4BEA" w:rsidRPr="00443C6B" w:rsidRDefault="00BA4BEA"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49379092" name="Imagen 34937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552" w:type="dxa"/>
      <w:tblLayout w:type="fixed"/>
      <w:tblLook w:val="04A0" w:firstRow="1" w:lastRow="0" w:firstColumn="1" w:lastColumn="0" w:noHBand="0" w:noVBand="1"/>
    </w:tblPr>
    <w:tblGrid>
      <w:gridCol w:w="567"/>
      <w:gridCol w:w="6379"/>
    </w:tblGrid>
    <w:tr w:rsidR="00BA4BEA" w:rsidRPr="00330DA7" w14:paraId="29CFF901" w14:textId="77777777" w:rsidTr="00B22065">
      <w:trPr>
        <w:trHeight w:val="1435"/>
      </w:trPr>
      <w:tc>
        <w:tcPr>
          <w:tcW w:w="567" w:type="dxa"/>
        </w:tcPr>
        <w:p w14:paraId="046B9F8F" w14:textId="77777777" w:rsidR="00BA4BEA" w:rsidRPr="00330DA7" w:rsidRDefault="00BA4BEA" w:rsidP="004D0573">
          <w:pPr>
            <w:tabs>
              <w:tab w:val="right" w:pos="4273"/>
            </w:tabs>
            <w:rPr>
              <w:rFonts w:ascii="Garamond" w:eastAsia="Calibri" w:hAnsi="Garamond"/>
              <w:szCs w:val="22"/>
              <w:lang w:eastAsia="en-US"/>
            </w:rPr>
          </w:pPr>
        </w:p>
      </w:tc>
      <w:tc>
        <w:tcPr>
          <w:tcW w:w="6379" w:type="dxa"/>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5"/>
            <w:gridCol w:w="3684"/>
            <w:gridCol w:w="3402"/>
          </w:tblGrid>
          <w:tr w:rsidR="00BA4BEA" w:rsidRPr="00330DA7" w14:paraId="04F272D2" w14:textId="77777777" w:rsidTr="00D45761">
            <w:trPr>
              <w:trHeight w:val="144"/>
            </w:trPr>
            <w:tc>
              <w:tcPr>
                <w:tcW w:w="2445" w:type="dxa"/>
              </w:tcPr>
              <w:p w14:paraId="2FD4DBF6" w14:textId="77777777" w:rsidR="00BA4BEA" w:rsidRPr="00330DA7" w:rsidRDefault="00BA4BEA" w:rsidP="004D0573">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684" w:type="dxa"/>
              </w:tcPr>
              <w:p w14:paraId="140729E3" w14:textId="69071AB2" w:rsidR="00BA4BEA" w:rsidRPr="004D0573" w:rsidRDefault="00BA4BEA" w:rsidP="00C66138">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Pr>
                    <w:rFonts w:eastAsia="Calibri" w:cs="Tahoma"/>
                    <w:szCs w:val="22"/>
                    <w:lang w:eastAsia="en-US"/>
                  </w:rPr>
                  <w:t>6837</w:t>
                </w:r>
                <w:r w:rsidRPr="006E7E69">
                  <w:rPr>
                    <w:rFonts w:eastAsia="Calibri" w:cs="Tahoma"/>
                    <w:szCs w:val="22"/>
                    <w:lang w:eastAsia="en-US"/>
                  </w:rPr>
                  <w:t>/INFOEM/IP/RR/2025</w:t>
                </w:r>
              </w:p>
            </w:tc>
            <w:tc>
              <w:tcPr>
                <w:tcW w:w="3402" w:type="dxa"/>
              </w:tcPr>
              <w:p w14:paraId="71DEA1CF" w14:textId="77777777" w:rsidR="00BA4BEA" w:rsidRDefault="00BA4BEA" w:rsidP="004D0573">
                <w:pPr>
                  <w:tabs>
                    <w:tab w:val="right" w:pos="8838"/>
                  </w:tabs>
                  <w:spacing w:line="240" w:lineRule="auto"/>
                  <w:ind w:left="-74" w:right="-105"/>
                  <w:rPr>
                    <w:rFonts w:eastAsia="Calibri" w:cs="Tahoma"/>
                    <w:szCs w:val="22"/>
                    <w:lang w:eastAsia="en-US"/>
                  </w:rPr>
                </w:pPr>
              </w:p>
            </w:tc>
          </w:tr>
          <w:tr w:rsidR="00BA4BEA" w:rsidRPr="00330DA7" w14:paraId="05C58951" w14:textId="77777777" w:rsidTr="00D45761">
            <w:trPr>
              <w:trHeight w:val="144"/>
            </w:trPr>
            <w:tc>
              <w:tcPr>
                <w:tcW w:w="2445" w:type="dxa"/>
              </w:tcPr>
              <w:p w14:paraId="642B9610" w14:textId="77777777" w:rsidR="00BA4BEA" w:rsidRPr="00330DA7" w:rsidRDefault="00BA4BEA" w:rsidP="004D0573">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684" w:type="dxa"/>
              </w:tcPr>
              <w:p w14:paraId="7728D15B" w14:textId="7F564E81" w:rsidR="00BA4BEA" w:rsidRPr="0086345C" w:rsidRDefault="00130B10" w:rsidP="0086345C">
                <w:pPr>
                  <w:tabs>
                    <w:tab w:val="right" w:pos="8838"/>
                  </w:tabs>
                  <w:spacing w:line="240" w:lineRule="auto"/>
                  <w:ind w:left="-74" w:right="-105"/>
                  <w:rPr>
                    <w:rFonts w:ascii="Arial" w:hAnsi="Arial" w:cs="Arial"/>
                    <w:b/>
                    <w:bCs/>
                    <w:sz w:val="15"/>
                    <w:szCs w:val="15"/>
                    <w:lang w:eastAsia="es-MX"/>
                  </w:rPr>
                </w:pPr>
                <w:r>
                  <w:rPr>
                    <w:rFonts w:eastAsia="Calibri" w:cs="Tahoma"/>
                    <w:szCs w:val="22"/>
                    <w:lang w:eastAsia="en-US"/>
                  </w:rPr>
                  <w:t>XXXX XXXXXXX</w:t>
                </w:r>
              </w:p>
            </w:tc>
            <w:tc>
              <w:tcPr>
                <w:tcW w:w="3402" w:type="dxa"/>
              </w:tcPr>
              <w:p w14:paraId="73F47F53" w14:textId="77777777" w:rsidR="00BA4BEA" w:rsidRPr="005F19B1" w:rsidRDefault="00BA4BEA" w:rsidP="004D0573">
                <w:pPr>
                  <w:tabs>
                    <w:tab w:val="left" w:pos="3122"/>
                    <w:tab w:val="right" w:pos="8838"/>
                  </w:tabs>
                  <w:spacing w:line="240" w:lineRule="auto"/>
                  <w:ind w:left="-105" w:right="-105"/>
                  <w:rPr>
                    <w:rFonts w:eastAsia="Calibri" w:cs="Tahoma"/>
                    <w:szCs w:val="22"/>
                    <w:lang w:eastAsia="en-US"/>
                  </w:rPr>
                </w:pPr>
              </w:p>
            </w:tc>
          </w:tr>
          <w:bookmarkEnd w:id="2"/>
          <w:tr w:rsidR="00BA4BEA" w:rsidRPr="00330DA7" w14:paraId="00E6CDC1" w14:textId="77777777" w:rsidTr="00D45761">
            <w:trPr>
              <w:trHeight w:val="283"/>
            </w:trPr>
            <w:tc>
              <w:tcPr>
                <w:tcW w:w="2445" w:type="dxa"/>
              </w:tcPr>
              <w:p w14:paraId="0631AD24" w14:textId="77777777" w:rsidR="00BA4BEA" w:rsidRPr="00330DA7" w:rsidRDefault="00BA4BEA"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684" w:type="dxa"/>
              </w:tcPr>
              <w:p w14:paraId="3ACBE0D8" w14:textId="5D27B3A3" w:rsidR="00BA4BEA" w:rsidRPr="00D45761" w:rsidRDefault="00BA4BEA" w:rsidP="00C66138">
                <w:pPr>
                  <w:tabs>
                    <w:tab w:val="right" w:pos="8838"/>
                  </w:tabs>
                  <w:spacing w:line="240" w:lineRule="auto"/>
                  <w:ind w:left="-74" w:right="-105"/>
                  <w:rPr>
                    <w:rFonts w:ascii="Times New Roman" w:hAnsi="Times New Roman"/>
                    <w:lang w:eastAsia="es-MX"/>
                  </w:rPr>
                </w:pPr>
                <w:r w:rsidRPr="00C66138">
                  <w:rPr>
                    <w:rFonts w:eastAsia="Calibri" w:cs="Tahoma"/>
                    <w:szCs w:val="22"/>
                    <w:lang w:eastAsia="en-US"/>
                  </w:rPr>
                  <w:t>Instituto Electoral del Estado</w:t>
                </w:r>
                <w:r w:rsidR="00B22065">
                  <w:rPr>
                    <w:rFonts w:eastAsia="Calibri" w:cs="Tahoma"/>
                    <w:szCs w:val="22"/>
                    <w:lang w:eastAsia="en-US"/>
                  </w:rPr>
                  <w:t xml:space="preserve"> </w:t>
                </w:r>
                <w:r w:rsidRPr="00C66138">
                  <w:rPr>
                    <w:rFonts w:eastAsia="Calibri" w:cs="Tahoma"/>
                    <w:szCs w:val="22"/>
                    <w:lang w:eastAsia="en-US"/>
                  </w:rPr>
                  <w:t>de México</w:t>
                </w:r>
              </w:p>
            </w:tc>
            <w:tc>
              <w:tcPr>
                <w:tcW w:w="3402" w:type="dxa"/>
              </w:tcPr>
              <w:p w14:paraId="3A7DA319" w14:textId="77777777" w:rsidR="00BA4BEA" w:rsidRPr="00A90C72" w:rsidRDefault="00BA4BEA" w:rsidP="004D0573">
                <w:pPr>
                  <w:tabs>
                    <w:tab w:val="left" w:pos="2834"/>
                    <w:tab w:val="right" w:pos="8838"/>
                  </w:tabs>
                  <w:spacing w:line="240" w:lineRule="auto"/>
                  <w:ind w:left="-108" w:right="-105"/>
                  <w:rPr>
                    <w:rFonts w:eastAsia="Calibri" w:cs="Tahoma"/>
                    <w:szCs w:val="22"/>
                    <w:lang w:eastAsia="en-US"/>
                  </w:rPr>
                </w:pPr>
              </w:p>
            </w:tc>
          </w:tr>
          <w:tr w:rsidR="00BA4BEA" w:rsidRPr="00330DA7" w14:paraId="0F6CD8D2" w14:textId="77777777" w:rsidTr="00D45761">
            <w:trPr>
              <w:trHeight w:val="283"/>
            </w:trPr>
            <w:tc>
              <w:tcPr>
                <w:tcW w:w="2445" w:type="dxa"/>
              </w:tcPr>
              <w:p w14:paraId="31700628" w14:textId="0565A62A" w:rsidR="00BA4BEA" w:rsidRPr="00330DA7" w:rsidRDefault="00BA4BEA"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684" w:type="dxa"/>
              </w:tcPr>
              <w:p w14:paraId="31A90A58" w14:textId="75878977" w:rsidR="00BA4BEA" w:rsidRPr="00EA66FC" w:rsidRDefault="00BA4BEA"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A4BEA" w:rsidRPr="00330DA7" w:rsidRDefault="00BA4BEA" w:rsidP="004D0573">
                <w:pPr>
                  <w:tabs>
                    <w:tab w:val="right" w:pos="8838"/>
                  </w:tabs>
                  <w:spacing w:line="240" w:lineRule="auto"/>
                  <w:ind w:left="-108" w:right="-105"/>
                  <w:rPr>
                    <w:rFonts w:eastAsia="Calibri" w:cs="Tahoma"/>
                    <w:szCs w:val="22"/>
                    <w:lang w:eastAsia="en-US"/>
                  </w:rPr>
                </w:pPr>
              </w:p>
            </w:tc>
          </w:tr>
        </w:tbl>
        <w:p w14:paraId="5DC6AC61" w14:textId="77777777" w:rsidR="00BA4BEA" w:rsidRPr="00330DA7" w:rsidRDefault="00BA4BEA" w:rsidP="004D0573">
          <w:pPr>
            <w:tabs>
              <w:tab w:val="right" w:pos="8838"/>
            </w:tabs>
            <w:ind w:left="-28"/>
            <w:rPr>
              <w:rFonts w:ascii="Arial" w:eastAsia="Calibri" w:hAnsi="Arial" w:cs="Arial"/>
              <w:b/>
              <w:szCs w:val="22"/>
              <w:lang w:eastAsia="en-US"/>
            </w:rPr>
          </w:pPr>
        </w:p>
      </w:tc>
    </w:tr>
  </w:tbl>
  <w:p w14:paraId="2A906731" w14:textId="77777777" w:rsidR="00BA4BEA" w:rsidRPr="00765661" w:rsidRDefault="000E61DE"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39D"/>
    <w:multiLevelType w:val="hybridMultilevel"/>
    <w:tmpl w:val="101EA558"/>
    <w:lvl w:ilvl="0" w:tplc="695A061E">
      <w:start w:val="1198"/>
      <w:numFmt w:val="bullet"/>
      <w:lvlText w:val="•"/>
      <w:lvlJc w:val="left"/>
      <w:pPr>
        <w:ind w:left="644" w:hanging="360"/>
      </w:pPr>
      <w:rPr>
        <w:rFonts w:ascii="Palatino Linotype" w:eastAsia="Palatino Linotype" w:hAnsi="Palatino Linotype" w:cs="Palatino Linotype"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 w15:restartNumberingAfterBreak="0">
    <w:nsid w:val="161E354D"/>
    <w:multiLevelType w:val="hybridMultilevel"/>
    <w:tmpl w:val="1DD27C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CE53620"/>
    <w:multiLevelType w:val="hybridMultilevel"/>
    <w:tmpl w:val="31A27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906254"/>
    <w:multiLevelType w:val="hybridMultilevel"/>
    <w:tmpl w:val="E63C1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5E23C4"/>
    <w:multiLevelType w:val="hybridMultilevel"/>
    <w:tmpl w:val="C39A91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8D17284"/>
    <w:multiLevelType w:val="multilevel"/>
    <w:tmpl w:val="FBD01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2C490D"/>
    <w:multiLevelType w:val="hybridMultilevel"/>
    <w:tmpl w:val="8386108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726717B0"/>
    <w:multiLevelType w:val="hybridMultilevel"/>
    <w:tmpl w:val="DB0E5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8"/>
  </w:num>
  <w:num w:numId="6">
    <w:abstractNumId w:val="0"/>
  </w:num>
  <w:num w:numId="7">
    <w:abstractNumId w:val="7"/>
  </w:num>
  <w:num w:numId="8">
    <w:abstractNumId w:val="5"/>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232"/>
    <w:rsid w:val="000118EB"/>
    <w:rsid w:val="00012348"/>
    <w:rsid w:val="0002630F"/>
    <w:rsid w:val="000318BC"/>
    <w:rsid w:val="00033156"/>
    <w:rsid w:val="00042FBB"/>
    <w:rsid w:val="00043F51"/>
    <w:rsid w:val="00045F17"/>
    <w:rsid w:val="00052402"/>
    <w:rsid w:val="00057B2D"/>
    <w:rsid w:val="000611E4"/>
    <w:rsid w:val="00065518"/>
    <w:rsid w:val="00073A83"/>
    <w:rsid w:val="000777E2"/>
    <w:rsid w:val="00080071"/>
    <w:rsid w:val="000954C3"/>
    <w:rsid w:val="000A03B3"/>
    <w:rsid w:val="000A0798"/>
    <w:rsid w:val="000C3BBA"/>
    <w:rsid w:val="000D0D67"/>
    <w:rsid w:val="000E09C4"/>
    <w:rsid w:val="000E0A8C"/>
    <w:rsid w:val="000E23B9"/>
    <w:rsid w:val="000E61DE"/>
    <w:rsid w:val="000F32E8"/>
    <w:rsid w:val="000F46F7"/>
    <w:rsid w:val="00103C8A"/>
    <w:rsid w:val="00107F71"/>
    <w:rsid w:val="0011165A"/>
    <w:rsid w:val="001117BD"/>
    <w:rsid w:val="00111E31"/>
    <w:rsid w:val="0011350D"/>
    <w:rsid w:val="001144FB"/>
    <w:rsid w:val="00117DDB"/>
    <w:rsid w:val="00127130"/>
    <w:rsid w:val="00130B10"/>
    <w:rsid w:val="00135056"/>
    <w:rsid w:val="0014040A"/>
    <w:rsid w:val="00141876"/>
    <w:rsid w:val="0014207B"/>
    <w:rsid w:val="0014630F"/>
    <w:rsid w:val="00146651"/>
    <w:rsid w:val="001469AF"/>
    <w:rsid w:val="00150C49"/>
    <w:rsid w:val="001734D5"/>
    <w:rsid w:val="00185C7C"/>
    <w:rsid w:val="001878E5"/>
    <w:rsid w:val="001A3532"/>
    <w:rsid w:val="001A58B3"/>
    <w:rsid w:val="001A6A2C"/>
    <w:rsid w:val="001B7334"/>
    <w:rsid w:val="001C555C"/>
    <w:rsid w:val="001C6BE2"/>
    <w:rsid w:val="001C7688"/>
    <w:rsid w:val="001D0BF3"/>
    <w:rsid w:val="001D2464"/>
    <w:rsid w:val="001D5BAD"/>
    <w:rsid w:val="001D6ABD"/>
    <w:rsid w:val="001E007D"/>
    <w:rsid w:val="001E0CFD"/>
    <w:rsid w:val="001F329F"/>
    <w:rsid w:val="001F3515"/>
    <w:rsid w:val="002015AE"/>
    <w:rsid w:val="00211F42"/>
    <w:rsid w:val="002127DE"/>
    <w:rsid w:val="00217A0D"/>
    <w:rsid w:val="00222145"/>
    <w:rsid w:val="00233005"/>
    <w:rsid w:val="00233F17"/>
    <w:rsid w:val="0023534F"/>
    <w:rsid w:val="00237120"/>
    <w:rsid w:val="0023755C"/>
    <w:rsid w:val="0024022D"/>
    <w:rsid w:val="00240234"/>
    <w:rsid w:val="00245D19"/>
    <w:rsid w:val="00247709"/>
    <w:rsid w:val="002553CD"/>
    <w:rsid w:val="0026539F"/>
    <w:rsid w:val="0027763B"/>
    <w:rsid w:val="0029056A"/>
    <w:rsid w:val="00293D29"/>
    <w:rsid w:val="002958FA"/>
    <w:rsid w:val="002961A6"/>
    <w:rsid w:val="002961B5"/>
    <w:rsid w:val="0029641C"/>
    <w:rsid w:val="002A3601"/>
    <w:rsid w:val="002A6D78"/>
    <w:rsid w:val="002B0D19"/>
    <w:rsid w:val="002B1D44"/>
    <w:rsid w:val="002B4ED6"/>
    <w:rsid w:val="002B7C6F"/>
    <w:rsid w:val="002D111C"/>
    <w:rsid w:val="002E18F0"/>
    <w:rsid w:val="002F6393"/>
    <w:rsid w:val="00302476"/>
    <w:rsid w:val="00304C8C"/>
    <w:rsid w:val="00306C07"/>
    <w:rsid w:val="0031433B"/>
    <w:rsid w:val="00327203"/>
    <w:rsid w:val="00331F35"/>
    <w:rsid w:val="00335CDF"/>
    <w:rsid w:val="00336663"/>
    <w:rsid w:val="00341E94"/>
    <w:rsid w:val="00342F30"/>
    <w:rsid w:val="003448CF"/>
    <w:rsid w:val="00346BC2"/>
    <w:rsid w:val="00361984"/>
    <w:rsid w:val="00362A11"/>
    <w:rsid w:val="00365097"/>
    <w:rsid w:val="00365A82"/>
    <w:rsid w:val="00367A23"/>
    <w:rsid w:val="00374E27"/>
    <w:rsid w:val="00386CD1"/>
    <w:rsid w:val="003872A2"/>
    <w:rsid w:val="003969BD"/>
    <w:rsid w:val="00396C48"/>
    <w:rsid w:val="003A0B8F"/>
    <w:rsid w:val="003A3A7E"/>
    <w:rsid w:val="003A40C1"/>
    <w:rsid w:val="003A67CC"/>
    <w:rsid w:val="003B0255"/>
    <w:rsid w:val="003B0AEC"/>
    <w:rsid w:val="003B2486"/>
    <w:rsid w:val="003B5D3E"/>
    <w:rsid w:val="003C69C8"/>
    <w:rsid w:val="003F28CD"/>
    <w:rsid w:val="003F35FD"/>
    <w:rsid w:val="003F4455"/>
    <w:rsid w:val="0041385B"/>
    <w:rsid w:val="00416357"/>
    <w:rsid w:val="00430170"/>
    <w:rsid w:val="00432522"/>
    <w:rsid w:val="0043654A"/>
    <w:rsid w:val="00441BFA"/>
    <w:rsid w:val="00446958"/>
    <w:rsid w:val="00454FBD"/>
    <w:rsid w:val="004565C2"/>
    <w:rsid w:val="0046122C"/>
    <w:rsid w:val="00462338"/>
    <w:rsid w:val="0046490C"/>
    <w:rsid w:val="00473260"/>
    <w:rsid w:val="00475FF6"/>
    <w:rsid w:val="004768CB"/>
    <w:rsid w:val="004A4241"/>
    <w:rsid w:val="004B001B"/>
    <w:rsid w:val="004B5759"/>
    <w:rsid w:val="004B5DC5"/>
    <w:rsid w:val="004C1963"/>
    <w:rsid w:val="004C43D3"/>
    <w:rsid w:val="004D0573"/>
    <w:rsid w:val="004D7CD8"/>
    <w:rsid w:val="004E0C63"/>
    <w:rsid w:val="004E2939"/>
    <w:rsid w:val="004E5068"/>
    <w:rsid w:val="004F7A00"/>
    <w:rsid w:val="005033E6"/>
    <w:rsid w:val="005122DD"/>
    <w:rsid w:val="00517CB9"/>
    <w:rsid w:val="00522385"/>
    <w:rsid w:val="00522D80"/>
    <w:rsid w:val="00523DD3"/>
    <w:rsid w:val="00523E60"/>
    <w:rsid w:val="00523F48"/>
    <w:rsid w:val="005267CD"/>
    <w:rsid w:val="005365FA"/>
    <w:rsid w:val="00536C50"/>
    <w:rsid w:val="00537666"/>
    <w:rsid w:val="005432B1"/>
    <w:rsid w:val="005442E9"/>
    <w:rsid w:val="00550AB5"/>
    <w:rsid w:val="0055624C"/>
    <w:rsid w:val="005723CB"/>
    <w:rsid w:val="00575400"/>
    <w:rsid w:val="00591A20"/>
    <w:rsid w:val="005A468E"/>
    <w:rsid w:val="005A5BF2"/>
    <w:rsid w:val="005B18AF"/>
    <w:rsid w:val="005B45A1"/>
    <w:rsid w:val="005B5464"/>
    <w:rsid w:val="005D57B7"/>
    <w:rsid w:val="005D5A50"/>
    <w:rsid w:val="005E61D3"/>
    <w:rsid w:val="005F2A3D"/>
    <w:rsid w:val="005F5301"/>
    <w:rsid w:val="005F65B7"/>
    <w:rsid w:val="00601A0C"/>
    <w:rsid w:val="0060579A"/>
    <w:rsid w:val="006067C7"/>
    <w:rsid w:val="00610015"/>
    <w:rsid w:val="00615195"/>
    <w:rsid w:val="006159AD"/>
    <w:rsid w:val="00617A5D"/>
    <w:rsid w:val="0062461C"/>
    <w:rsid w:val="00635CB1"/>
    <w:rsid w:val="006415E5"/>
    <w:rsid w:val="006448CC"/>
    <w:rsid w:val="00646436"/>
    <w:rsid w:val="006561A6"/>
    <w:rsid w:val="00657603"/>
    <w:rsid w:val="00664420"/>
    <w:rsid w:val="006A21FC"/>
    <w:rsid w:val="006A646A"/>
    <w:rsid w:val="006B10B0"/>
    <w:rsid w:val="006D3237"/>
    <w:rsid w:val="006E13CF"/>
    <w:rsid w:val="006E25BC"/>
    <w:rsid w:val="006E6BBC"/>
    <w:rsid w:val="006E7E4C"/>
    <w:rsid w:val="006E7E69"/>
    <w:rsid w:val="006F7768"/>
    <w:rsid w:val="00703B92"/>
    <w:rsid w:val="00707A84"/>
    <w:rsid w:val="00716AAA"/>
    <w:rsid w:val="00717E59"/>
    <w:rsid w:val="00724F22"/>
    <w:rsid w:val="00725C8B"/>
    <w:rsid w:val="007354CA"/>
    <w:rsid w:val="007517BD"/>
    <w:rsid w:val="00751837"/>
    <w:rsid w:val="0075751F"/>
    <w:rsid w:val="007612A5"/>
    <w:rsid w:val="0076337C"/>
    <w:rsid w:val="00773DD6"/>
    <w:rsid w:val="00773EAB"/>
    <w:rsid w:val="00774516"/>
    <w:rsid w:val="00775BFC"/>
    <w:rsid w:val="00782160"/>
    <w:rsid w:val="00786F38"/>
    <w:rsid w:val="00794BA5"/>
    <w:rsid w:val="007A2B8D"/>
    <w:rsid w:val="007A3459"/>
    <w:rsid w:val="007A4F9E"/>
    <w:rsid w:val="007B6074"/>
    <w:rsid w:val="007C2F8A"/>
    <w:rsid w:val="007C7C47"/>
    <w:rsid w:val="007D1C55"/>
    <w:rsid w:val="007D1C84"/>
    <w:rsid w:val="007D317F"/>
    <w:rsid w:val="007D5C39"/>
    <w:rsid w:val="007E069C"/>
    <w:rsid w:val="007E07E1"/>
    <w:rsid w:val="007E53A4"/>
    <w:rsid w:val="007F5D06"/>
    <w:rsid w:val="00805A6E"/>
    <w:rsid w:val="00811211"/>
    <w:rsid w:val="00811F75"/>
    <w:rsid w:val="00813497"/>
    <w:rsid w:val="00823BA5"/>
    <w:rsid w:val="00826C28"/>
    <w:rsid w:val="00831728"/>
    <w:rsid w:val="00852598"/>
    <w:rsid w:val="00860F56"/>
    <w:rsid w:val="0086345C"/>
    <w:rsid w:val="0086353B"/>
    <w:rsid w:val="00863676"/>
    <w:rsid w:val="00864CC1"/>
    <w:rsid w:val="00865CF4"/>
    <w:rsid w:val="008737B0"/>
    <w:rsid w:val="00875695"/>
    <w:rsid w:val="00876DBC"/>
    <w:rsid w:val="008856B3"/>
    <w:rsid w:val="008950DC"/>
    <w:rsid w:val="008A21E1"/>
    <w:rsid w:val="008A6003"/>
    <w:rsid w:val="008A6F88"/>
    <w:rsid w:val="008B05AD"/>
    <w:rsid w:val="008B1E16"/>
    <w:rsid w:val="008C00BD"/>
    <w:rsid w:val="008C76E5"/>
    <w:rsid w:val="008E1316"/>
    <w:rsid w:val="008E1593"/>
    <w:rsid w:val="008E219A"/>
    <w:rsid w:val="008E6224"/>
    <w:rsid w:val="008E6A11"/>
    <w:rsid w:val="008F693D"/>
    <w:rsid w:val="00903DBE"/>
    <w:rsid w:val="00910FD2"/>
    <w:rsid w:val="00911079"/>
    <w:rsid w:val="00915F66"/>
    <w:rsid w:val="00916B9B"/>
    <w:rsid w:val="009176E8"/>
    <w:rsid w:val="009233A1"/>
    <w:rsid w:val="009246CF"/>
    <w:rsid w:val="00931437"/>
    <w:rsid w:val="00936B5A"/>
    <w:rsid w:val="009378D6"/>
    <w:rsid w:val="009467B4"/>
    <w:rsid w:val="00953212"/>
    <w:rsid w:val="00953430"/>
    <w:rsid w:val="009604AD"/>
    <w:rsid w:val="00965890"/>
    <w:rsid w:val="00970EB3"/>
    <w:rsid w:val="0097369C"/>
    <w:rsid w:val="00974ED7"/>
    <w:rsid w:val="00976247"/>
    <w:rsid w:val="00982877"/>
    <w:rsid w:val="00985840"/>
    <w:rsid w:val="00985F73"/>
    <w:rsid w:val="0098693C"/>
    <w:rsid w:val="00990B5B"/>
    <w:rsid w:val="00993ED0"/>
    <w:rsid w:val="0099409D"/>
    <w:rsid w:val="009A1340"/>
    <w:rsid w:val="009A2D78"/>
    <w:rsid w:val="009A2EDE"/>
    <w:rsid w:val="009A7C10"/>
    <w:rsid w:val="009B2945"/>
    <w:rsid w:val="009C04A8"/>
    <w:rsid w:val="009D1BF6"/>
    <w:rsid w:val="009D41AC"/>
    <w:rsid w:val="009D78BC"/>
    <w:rsid w:val="009E0652"/>
    <w:rsid w:val="009E0DA6"/>
    <w:rsid w:val="009E2DEE"/>
    <w:rsid w:val="009E45F2"/>
    <w:rsid w:val="009E4644"/>
    <w:rsid w:val="009F797C"/>
    <w:rsid w:val="00A048C7"/>
    <w:rsid w:val="00A12AFA"/>
    <w:rsid w:val="00A131AC"/>
    <w:rsid w:val="00A16D85"/>
    <w:rsid w:val="00A21A20"/>
    <w:rsid w:val="00A27165"/>
    <w:rsid w:val="00A35DA7"/>
    <w:rsid w:val="00A36A99"/>
    <w:rsid w:val="00A41792"/>
    <w:rsid w:val="00A53315"/>
    <w:rsid w:val="00A6091A"/>
    <w:rsid w:val="00A63966"/>
    <w:rsid w:val="00A6415E"/>
    <w:rsid w:val="00A70EF0"/>
    <w:rsid w:val="00A76102"/>
    <w:rsid w:val="00A77B3B"/>
    <w:rsid w:val="00A815EA"/>
    <w:rsid w:val="00A8772E"/>
    <w:rsid w:val="00A9208D"/>
    <w:rsid w:val="00A951C2"/>
    <w:rsid w:val="00A964CC"/>
    <w:rsid w:val="00AA335B"/>
    <w:rsid w:val="00AA3AE9"/>
    <w:rsid w:val="00AA6EA9"/>
    <w:rsid w:val="00AB1342"/>
    <w:rsid w:val="00AC2DB8"/>
    <w:rsid w:val="00AC3CA0"/>
    <w:rsid w:val="00AD4855"/>
    <w:rsid w:val="00AD4A34"/>
    <w:rsid w:val="00AE1543"/>
    <w:rsid w:val="00AE3DA7"/>
    <w:rsid w:val="00AE4B12"/>
    <w:rsid w:val="00AE5AEF"/>
    <w:rsid w:val="00AF03C4"/>
    <w:rsid w:val="00AF5777"/>
    <w:rsid w:val="00B05304"/>
    <w:rsid w:val="00B11767"/>
    <w:rsid w:val="00B137E8"/>
    <w:rsid w:val="00B169A2"/>
    <w:rsid w:val="00B22065"/>
    <w:rsid w:val="00B22A80"/>
    <w:rsid w:val="00B36848"/>
    <w:rsid w:val="00B373AF"/>
    <w:rsid w:val="00B61BCE"/>
    <w:rsid w:val="00B65555"/>
    <w:rsid w:val="00B70FEF"/>
    <w:rsid w:val="00B71D39"/>
    <w:rsid w:val="00B73AD1"/>
    <w:rsid w:val="00B74D32"/>
    <w:rsid w:val="00B75FCE"/>
    <w:rsid w:val="00B80A20"/>
    <w:rsid w:val="00BA1AB6"/>
    <w:rsid w:val="00BA2096"/>
    <w:rsid w:val="00BA27B5"/>
    <w:rsid w:val="00BA4BEA"/>
    <w:rsid w:val="00BA55A8"/>
    <w:rsid w:val="00BB1C97"/>
    <w:rsid w:val="00BB2ABF"/>
    <w:rsid w:val="00BB64F4"/>
    <w:rsid w:val="00BC1202"/>
    <w:rsid w:val="00BD2738"/>
    <w:rsid w:val="00BD3F4F"/>
    <w:rsid w:val="00BD5A7C"/>
    <w:rsid w:val="00BE4E82"/>
    <w:rsid w:val="00BE7A1B"/>
    <w:rsid w:val="00BF0221"/>
    <w:rsid w:val="00BF091A"/>
    <w:rsid w:val="00BF3C67"/>
    <w:rsid w:val="00BF4EAD"/>
    <w:rsid w:val="00BF51BF"/>
    <w:rsid w:val="00C00D03"/>
    <w:rsid w:val="00C049E2"/>
    <w:rsid w:val="00C10D59"/>
    <w:rsid w:val="00C1438D"/>
    <w:rsid w:val="00C155D4"/>
    <w:rsid w:val="00C2062A"/>
    <w:rsid w:val="00C229BF"/>
    <w:rsid w:val="00C30616"/>
    <w:rsid w:val="00C351EC"/>
    <w:rsid w:val="00C36795"/>
    <w:rsid w:val="00C372E4"/>
    <w:rsid w:val="00C42C5A"/>
    <w:rsid w:val="00C42CA7"/>
    <w:rsid w:val="00C45534"/>
    <w:rsid w:val="00C461EC"/>
    <w:rsid w:val="00C507D4"/>
    <w:rsid w:val="00C63D2B"/>
    <w:rsid w:val="00C66138"/>
    <w:rsid w:val="00C71CEF"/>
    <w:rsid w:val="00C72DAA"/>
    <w:rsid w:val="00C73A98"/>
    <w:rsid w:val="00C7571D"/>
    <w:rsid w:val="00C80B14"/>
    <w:rsid w:val="00C876F7"/>
    <w:rsid w:val="00C93BC8"/>
    <w:rsid w:val="00CA1F29"/>
    <w:rsid w:val="00CA50B3"/>
    <w:rsid w:val="00CA64AF"/>
    <w:rsid w:val="00CB1407"/>
    <w:rsid w:val="00CB4F52"/>
    <w:rsid w:val="00CB7C31"/>
    <w:rsid w:val="00CB7E9A"/>
    <w:rsid w:val="00CC48E9"/>
    <w:rsid w:val="00CC5ED7"/>
    <w:rsid w:val="00CD0B92"/>
    <w:rsid w:val="00CD3244"/>
    <w:rsid w:val="00CE1DFB"/>
    <w:rsid w:val="00CE29D3"/>
    <w:rsid w:val="00CE3DBD"/>
    <w:rsid w:val="00CE58F2"/>
    <w:rsid w:val="00CF2275"/>
    <w:rsid w:val="00CF2D8B"/>
    <w:rsid w:val="00CF3383"/>
    <w:rsid w:val="00CF74B8"/>
    <w:rsid w:val="00CF7586"/>
    <w:rsid w:val="00CF7F0C"/>
    <w:rsid w:val="00D036D3"/>
    <w:rsid w:val="00D07C17"/>
    <w:rsid w:val="00D15341"/>
    <w:rsid w:val="00D161C4"/>
    <w:rsid w:val="00D20F37"/>
    <w:rsid w:val="00D228A6"/>
    <w:rsid w:val="00D2790D"/>
    <w:rsid w:val="00D35FF9"/>
    <w:rsid w:val="00D44B43"/>
    <w:rsid w:val="00D45761"/>
    <w:rsid w:val="00D51ECD"/>
    <w:rsid w:val="00D53CE6"/>
    <w:rsid w:val="00D5461D"/>
    <w:rsid w:val="00D55FDA"/>
    <w:rsid w:val="00D60E0F"/>
    <w:rsid w:val="00D6170E"/>
    <w:rsid w:val="00D66EF4"/>
    <w:rsid w:val="00D85CEA"/>
    <w:rsid w:val="00D91CB4"/>
    <w:rsid w:val="00DA54C1"/>
    <w:rsid w:val="00DB1C09"/>
    <w:rsid w:val="00DC30FA"/>
    <w:rsid w:val="00DD18A1"/>
    <w:rsid w:val="00DE0277"/>
    <w:rsid w:val="00DE1133"/>
    <w:rsid w:val="00DE78A1"/>
    <w:rsid w:val="00DF4A13"/>
    <w:rsid w:val="00DF4A41"/>
    <w:rsid w:val="00E0690A"/>
    <w:rsid w:val="00E06AA0"/>
    <w:rsid w:val="00E11AA0"/>
    <w:rsid w:val="00E16BF5"/>
    <w:rsid w:val="00E21031"/>
    <w:rsid w:val="00E27023"/>
    <w:rsid w:val="00E32E50"/>
    <w:rsid w:val="00E33233"/>
    <w:rsid w:val="00E37496"/>
    <w:rsid w:val="00E37A3F"/>
    <w:rsid w:val="00E37D3C"/>
    <w:rsid w:val="00E44C09"/>
    <w:rsid w:val="00E52E20"/>
    <w:rsid w:val="00E62E6A"/>
    <w:rsid w:val="00E7134A"/>
    <w:rsid w:val="00E73A29"/>
    <w:rsid w:val="00E83EF5"/>
    <w:rsid w:val="00E87AE9"/>
    <w:rsid w:val="00E9335C"/>
    <w:rsid w:val="00EA5EE8"/>
    <w:rsid w:val="00ED1C1E"/>
    <w:rsid w:val="00ED32F6"/>
    <w:rsid w:val="00EE232C"/>
    <w:rsid w:val="00EE2AF2"/>
    <w:rsid w:val="00EE7028"/>
    <w:rsid w:val="00EE77E9"/>
    <w:rsid w:val="00EF20CF"/>
    <w:rsid w:val="00EF297A"/>
    <w:rsid w:val="00EF4336"/>
    <w:rsid w:val="00EF6D46"/>
    <w:rsid w:val="00F07EE6"/>
    <w:rsid w:val="00F305A9"/>
    <w:rsid w:val="00F32348"/>
    <w:rsid w:val="00F33CC8"/>
    <w:rsid w:val="00F372B2"/>
    <w:rsid w:val="00F4481C"/>
    <w:rsid w:val="00F45902"/>
    <w:rsid w:val="00F50530"/>
    <w:rsid w:val="00F52005"/>
    <w:rsid w:val="00F52089"/>
    <w:rsid w:val="00F709B2"/>
    <w:rsid w:val="00F714BF"/>
    <w:rsid w:val="00F72289"/>
    <w:rsid w:val="00F73861"/>
    <w:rsid w:val="00F75D23"/>
    <w:rsid w:val="00F8365A"/>
    <w:rsid w:val="00F8547A"/>
    <w:rsid w:val="00F86DF5"/>
    <w:rsid w:val="00F93742"/>
    <w:rsid w:val="00F93F99"/>
    <w:rsid w:val="00FA5957"/>
    <w:rsid w:val="00FB0A56"/>
    <w:rsid w:val="00FB78B9"/>
    <w:rsid w:val="00FC3CE0"/>
    <w:rsid w:val="00FC7090"/>
    <w:rsid w:val="00FD06A8"/>
    <w:rsid w:val="00FE31CC"/>
    <w:rsid w:val="00FE3352"/>
    <w:rsid w:val="00FE5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9D1BF6"/>
    <w:rPr>
      <w:color w:val="605E5C"/>
      <w:shd w:val="clear" w:color="auto" w:fill="E1DFDD"/>
    </w:rPr>
  </w:style>
  <w:style w:type="character" w:customStyle="1" w:styleId="Mencinsinresolver2">
    <w:name w:val="Mención sin resolver2"/>
    <w:basedOn w:val="Fuentedeprrafopredeter"/>
    <w:uiPriority w:val="99"/>
    <w:semiHidden/>
    <w:unhideWhenUsed/>
    <w:rsid w:val="00E0690A"/>
    <w:rPr>
      <w:color w:val="605E5C"/>
      <w:shd w:val="clear" w:color="auto" w:fill="E1DFDD"/>
    </w:rPr>
  </w:style>
  <w:style w:type="character" w:customStyle="1" w:styleId="Mencinsinresolver3">
    <w:name w:val="Mención sin resolver3"/>
    <w:basedOn w:val="Fuentedeprrafopredeter"/>
    <w:uiPriority w:val="99"/>
    <w:semiHidden/>
    <w:unhideWhenUsed/>
    <w:rsid w:val="00CC5ED7"/>
    <w:rPr>
      <w:color w:val="605E5C"/>
      <w:shd w:val="clear" w:color="auto" w:fill="E1DFDD"/>
    </w:rPr>
  </w:style>
  <w:style w:type="character" w:customStyle="1" w:styleId="Mencinsinresolver4">
    <w:name w:val="Mención sin resolver4"/>
    <w:basedOn w:val="Fuentedeprrafopredeter"/>
    <w:uiPriority w:val="99"/>
    <w:semiHidden/>
    <w:unhideWhenUsed/>
    <w:rsid w:val="008C0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054">
      <w:bodyDiv w:val="1"/>
      <w:marLeft w:val="0"/>
      <w:marRight w:val="0"/>
      <w:marTop w:val="0"/>
      <w:marBottom w:val="0"/>
      <w:divBdr>
        <w:top w:val="none" w:sz="0" w:space="0" w:color="auto"/>
        <w:left w:val="none" w:sz="0" w:space="0" w:color="auto"/>
        <w:bottom w:val="none" w:sz="0" w:space="0" w:color="auto"/>
        <w:right w:val="none" w:sz="0" w:space="0" w:color="auto"/>
      </w:divBdr>
    </w:div>
    <w:div w:id="96949922">
      <w:bodyDiv w:val="1"/>
      <w:marLeft w:val="0"/>
      <w:marRight w:val="0"/>
      <w:marTop w:val="0"/>
      <w:marBottom w:val="0"/>
      <w:divBdr>
        <w:top w:val="none" w:sz="0" w:space="0" w:color="auto"/>
        <w:left w:val="none" w:sz="0" w:space="0" w:color="auto"/>
        <w:bottom w:val="none" w:sz="0" w:space="0" w:color="auto"/>
        <w:right w:val="none" w:sz="0" w:space="0" w:color="auto"/>
      </w:divBdr>
    </w:div>
    <w:div w:id="111944927">
      <w:bodyDiv w:val="1"/>
      <w:marLeft w:val="0"/>
      <w:marRight w:val="0"/>
      <w:marTop w:val="0"/>
      <w:marBottom w:val="0"/>
      <w:divBdr>
        <w:top w:val="none" w:sz="0" w:space="0" w:color="auto"/>
        <w:left w:val="none" w:sz="0" w:space="0" w:color="auto"/>
        <w:bottom w:val="none" w:sz="0" w:space="0" w:color="auto"/>
        <w:right w:val="none" w:sz="0" w:space="0" w:color="auto"/>
      </w:divBdr>
    </w:div>
    <w:div w:id="123891530">
      <w:bodyDiv w:val="1"/>
      <w:marLeft w:val="0"/>
      <w:marRight w:val="0"/>
      <w:marTop w:val="0"/>
      <w:marBottom w:val="0"/>
      <w:divBdr>
        <w:top w:val="none" w:sz="0" w:space="0" w:color="auto"/>
        <w:left w:val="none" w:sz="0" w:space="0" w:color="auto"/>
        <w:bottom w:val="none" w:sz="0" w:space="0" w:color="auto"/>
        <w:right w:val="none" w:sz="0" w:space="0" w:color="auto"/>
      </w:divBdr>
    </w:div>
    <w:div w:id="225533652">
      <w:bodyDiv w:val="1"/>
      <w:marLeft w:val="0"/>
      <w:marRight w:val="0"/>
      <w:marTop w:val="0"/>
      <w:marBottom w:val="0"/>
      <w:divBdr>
        <w:top w:val="none" w:sz="0" w:space="0" w:color="auto"/>
        <w:left w:val="none" w:sz="0" w:space="0" w:color="auto"/>
        <w:bottom w:val="none" w:sz="0" w:space="0" w:color="auto"/>
        <w:right w:val="none" w:sz="0" w:space="0" w:color="auto"/>
      </w:divBdr>
    </w:div>
    <w:div w:id="244192933">
      <w:bodyDiv w:val="1"/>
      <w:marLeft w:val="0"/>
      <w:marRight w:val="0"/>
      <w:marTop w:val="0"/>
      <w:marBottom w:val="0"/>
      <w:divBdr>
        <w:top w:val="none" w:sz="0" w:space="0" w:color="auto"/>
        <w:left w:val="none" w:sz="0" w:space="0" w:color="auto"/>
        <w:bottom w:val="none" w:sz="0" w:space="0" w:color="auto"/>
        <w:right w:val="none" w:sz="0" w:space="0" w:color="auto"/>
      </w:divBdr>
    </w:div>
    <w:div w:id="264579432">
      <w:bodyDiv w:val="1"/>
      <w:marLeft w:val="0"/>
      <w:marRight w:val="0"/>
      <w:marTop w:val="0"/>
      <w:marBottom w:val="0"/>
      <w:divBdr>
        <w:top w:val="none" w:sz="0" w:space="0" w:color="auto"/>
        <w:left w:val="none" w:sz="0" w:space="0" w:color="auto"/>
        <w:bottom w:val="none" w:sz="0" w:space="0" w:color="auto"/>
        <w:right w:val="none" w:sz="0" w:space="0" w:color="auto"/>
      </w:divBdr>
    </w:div>
    <w:div w:id="350030656">
      <w:bodyDiv w:val="1"/>
      <w:marLeft w:val="0"/>
      <w:marRight w:val="0"/>
      <w:marTop w:val="0"/>
      <w:marBottom w:val="0"/>
      <w:divBdr>
        <w:top w:val="none" w:sz="0" w:space="0" w:color="auto"/>
        <w:left w:val="none" w:sz="0" w:space="0" w:color="auto"/>
        <w:bottom w:val="none" w:sz="0" w:space="0" w:color="auto"/>
        <w:right w:val="none" w:sz="0" w:space="0" w:color="auto"/>
      </w:divBdr>
      <w:divsChild>
        <w:div w:id="1365131119">
          <w:marLeft w:val="0"/>
          <w:marRight w:val="0"/>
          <w:marTop w:val="0"/>
          <w:marBottom w:val="0"/>
          <w:divBdr>
            <w:top w:val="none" w:sz="0" w:space="0" w:color="auto"/>
            <w:left w:val="none" w:sz="0" w:space="0" w:color="auto"/>
            <w:bottom w:val="none" w:sz="0" w:space="0" w:color="auto"/>
            <w:right w:val="none" w:sz="0" w:space="0" w:color="auto"/>
          </w:divBdr>
        </w:div>
      </w:divsChild>
    </w:div>
    <w:div w:id="374283176">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16192231">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41793483">
      <w:bodyDiv w:val="1"/>
      <w:marLeft w:val="0"/>
      <w:marRight w:val="0"/>
      <w:marTop w:val="0"/>
      <w:marBottom w:val="0"/>
      <w:divBdr>
        <w:top w:val="none" w:sz="0" w:space="0" w:color="auto"/>
        <w:left w:val="none" w:sz="0" w:space="0" w:color="auto"/>
        <w:bottom w:val="none" w:sz="0" w:space="0" w:color="auto"/>
        <w:right w:val="none" w:sz="0" w:space="0" w:color="auto"/>
      </w:divBdr>
    </w:div>
    <w:div w:id="602802836">
      <w:bodyDiv w:val="1"/>
      <w:marLeft w:val="0"/>
      <w:marRight w:val="0"/>
      <w:marTop w:val="0"/>
      <w:marBottom w:val="0"/>
      <w:divBdr>
        <w:top w:val="none" w:sz="0" w:space="0" w:color="auto"/>
        <w:left w:val="none" w:sz="0" w:space="0" w:color="auto"/>
        <w:bottom w:val="none" w:sz="0" w:space="0" w:color="auto"/>
        <w:right w:val="none" w:sz="0" w:space="0" w:color="auto"/>
      </w:divBdr>
      <w:divsChild>
        <w:div w:id="535393734">
          <w:marLeft w:val="0"/>
          <w:marRight w:val="0"/>
          <w:marTop w:val="0"/>
          <w:marBottom w:val="0"/>
          <w:divBdr>
            <w:top w:val="none" w:sz="0" w:space="0" w:color="auto"/>
            <w:left w:val="none" w:sz="0" w:space="0" w:color="auto"/>
            <w:bottom w:val="none" w:sz="0" w:space="0" w:color="auto"/>
            <w:right w:val="none" w:sz="0" w:space="0" w:color="auto"/>
          </w:divBdr>
        </w:div>
      </w:divsChild>
    </w:div>
    <w:div w:id="608974637">
      <w:bodyDiv w:val="1"/>
      <w:marLeft w:val="0"/>
      <w:marRight w:val="0"/>
      <w:marTop w:val="0"/>
      <w:marBottom w:val="0"/>
      <w:divBdr>
        <w:top w:val="none" w:sz="0" w:space="0" w:color="auto"/>
        <w:left w:val="none" w:sz="0" w:space="0" w:color="auto"/>
        <w:bottom w:val="none" w:sz="0" w:space="0" w:color="auto"/>
        <w:right w:val="none" w:sz="0" w:space="0" w:color="auto"/>
      </w:divBdr>
    </w:div>
    <w:div w:id="659120015">
      <w:bodyDiv w:val="1"/>
      <w:marLeft w:val="0"/>
      <w:marRight w:val="0"/>
      <w:marTop w:val="0"/>
      <w:marBottom w:val="0"/>
      <w:divBdr>
        <w:top w:val="none" w:sz="0" w:space="0" w:color="auto"/>
        <w:left w:val="none" w:sz="0" w:space="0" w:color="auto"/>
        <w:bottom w:val="none" w:sz="0" w:space="0" w:color="auto"/>
        <w:right w:val="none" w:sz="0" w:space="0" w:color="auto"/>
      </w:divBdr>
    </w:div>
    <w:div w:id="730227268">
      <w:bodyDiv w:val="1"/>
      <w:marLeft w:val="0"/>
      <w:marRight w:val="0"/>
      <w:marTop w:val="0"/>
      <w:marBottom w:val="0"/>
      <w:divBdr>
        <w:top w:val="none" w:sz="0" w:space="0" w:color="auto"/>
        <w:left w:val="none" w:sz="0" w:space="0" w:color="auto"/>
        <w:bottom w:val="none" w:sz="0" w:space="0" w:color="auto"/>
        <w:right w:val="none" w:sz="0" w:space="0" w:color="auto"/>
      </w:divBdr>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898318540">
      <w:bodyDiv w:val="1"/>
      <w:marLeft w:val="0"/>
      <w:marRight w:val="0"/>
      <w:marTop w:val="0"/>
      <w:marBottom w:val="0"/>
      <w:divBdr>
        <w:top w:val="none" w:sz="0" w:space="0" w:color="auto"/>
        <w:left w:val="none" w:sz="0" w:space="0" w:color="auto"/>
        <w:bottom w:val="none" w:sz="0" w:space="0" w:color="auto"/>
        <w:right w:val="none" w:sz="0" w:space="0" w:color="auto"/>
      </w:divBdr>
    </w:div>
    <w:div w:id="1014921650">
      <w:bodyDiv w:val="1"/>
      <w:marLeft w:val="0"/>
      <w:marRight w:val="0"/>
      <w:marTop w:val="0"/>
      <w:marBottom w:val="0"/>
      <w:divBdr>
        <w:top w:val="none" w:sz="0" w:space="0" w:color="auto"/>
        <w:left w:val="none" w:sz="0" w:space="0" w:color="auto"/>
        <w:bottom w:val="none" w:sz="0" w:space="0" w:color="auto"/>
        <w:right w:val="none" w:sz="0" w:space="0" w:color="auto"/>
      </w:divBdr>
    </w:div>
    <w:div w:id="1029144141">
      <w:bodyDiv w:val="1"/>
      <w:marLeft w:val="0"/>
      <w:marRight w:val="0"/>
      <w:marTop w:val="0"/>
      <w:marBottom w:val="0"/>
      <w:divBdr>
        <w:top w:val="none" w:sz="0" w:space="0" w:color="auto"/>
        <w:left w:val="none" w:sz="0" w:space="0" w:color="auto"/>
        <w:bottom w:val="none" w:sz="0" w:space="0" w:color="auto"/>
        <w:right w:val="none" w:sz="0" w:space="0" w:color="auto"/>
      </w:divBdr>
    </w:div>
    <w:div w:id="1087002553">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92327973">
      <w:bodyDiv w:val="1"/>
      <w:marLeft w:val="0"/>
      <w:marRight w:val="0"/>
      <w:marTop w:val="0"/>
      <w:marBottom w:val="0"/>
      <w:divBdr>
        <w:top w:val="none" w:sz="0" w:space="0" w:color="auto"/>
        <w:left w:val="none" w:sz="0" w:space="0" w:color="auto"/>
        <w:bottom w:val="none" w:sz="0" w:space="0" w:color="auto"/>
        <w:right w:val="none" w:sz="0" w:space="0" w:color="auto"/>
      </w:divBdr>
    </w:div>
    <w:div w:id="1301614413">
      <w:bodyDiv w:val="1"/>
      <w:marLeft w:val="0"/>
      <w:marRight w:val="0"/>
      <w:marTop w:val="0"/>
      <w:marBottom w:val="0"/>
      <w:divBdr>
        <w:top w:val="none" w:sz="0" w:space="0" w:color="auto"/>
        <w:left w:val="none" w:sz="0" w:space="0" w:color="auto"/>
        <w:bottom w:val="none" w:sz="0" w:space="0" w:color="auto"/>
        <w:right w:val="none" w:sz="0" w:space="0" w:color="auto"/>
      </w:divBdr>
    </w:div>
    <w:div w:id="1302922469">
      <w:bodyDiv w:val="1"/>
      <w:marLeft w:val="0"/>
      <w:marRight w:val="0"/>
      <w:marTop w:val="0"/>
      <w:marBottom w:val="0"/>
      <w:divBdr>
        <w:top w:val="none" w:sz="0" w:space="0" w:color="auto"/>
        <w:left w:val="none" w:sz="0" w:space="0" w:color="auto"/>
        <w:bottom w:val="none" w:sz="0" w:space="0" w:color="auto"/>
        <w:right w:val="none" w:sz="0" w:space="0" w:color="auto"/>
      </w:divBdr>
      <w:divsChild>
        <w:div w:id="1482043671">
          <w:marLeft w:val="0"/>
          <w:marRight w:val="0"/>
          <w:marTop w:val="0"/>
          <w:marBottom w:val="0"/>
          <w:divBdr>
            <w:top w:val="none" w:sz="0" w:space="0" w:color="auto"/>
            <w:left w:val="none" w:sz="0" w:space="0" w:color="auto"/>
            <w:bottom w:val="none" w:sz="0" w:space="0" w:color="auto"/>
            <w:right w:val="none" w:sz="0" w:space="0" w:color="auto"/>
          </w:divBdr>
        </w:div>
      </w:divsChild>
    </w:div>
    <w:div w:id="1409309000">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511485891">
      <w:bodyDiv w:val="1"/>
      <w:marLeft w:val="0"/>
      <w:marRight w:val="0"/>
      <w:marTop w:val="0"/>
      <w:marBottom w:val="0"/>
      <w:divBdr>
        <w:top w:val="none" w:sz="0" w:space="0" w:color="auto"/>
        <w:left w:val="none" w:sz="0" w:space="0" w:color="auto"/>
        <w:bottom w:val="none" w:sz="0" w:space="0" w:color="auto"/>
        <w:right w:val="none" w:sz="0" w:space="0" w:color="auto"/>
      </w:divBdr>
    </w:div>
    <w:div w:id="1512524821">
      <w:bodyDiv w:val="1"/>
      <w:marLeft w:val="0"/>
      <w:marRight w:val="0"/>
      <w:marTop w:val="0"/>
      <w:marBottom w:val="0"/>
      <w:divBdr>
        <w:top w:val="none" w:sz="0" w:space="0" w:color="auto"/>
        <w:left w:val="none" w:sz="0" w:space="0" w:color="auto"/>
        <w:bottom w:val="none" w:sz="0" w:space="0" w:color="auto"/>
        <w:right w:val="none" w:sz="0" w:space="0" w:color="auto"/>
      </w:divBdr>
    </w:div>
    <w:div w:id="1525240871">
      <w:bodyDiv w:val="1"/>
      <w:marLeft w:val="0"/>
      <w:marRight w:val="0"/>
      <w:marTop w:val="0"/>
      <w:marBottom w:val="0"/>
      <w:divBdr>
        <w:top w:val="none" w:sz="0" w:space="0" w:color="auto"/>
        <w:left w:val="none" w:sz="0" w:space="0" w:color="auto"/>
        <w:bottom w:val="none" w:sz="0" w:space="0" w:color="auto"/>
        <w:right w:val="none" w:sz="0" w:space="0" w:color="auto"/>
      </w:divBdr>
    </w:div>
    <w:div w:id="1578321623">
      <w:bodyDiv w:val="1"/>
      <w:marLeft w:val="0"/>
      <w:marRight w:val="0"/>
      <w:marTop w:val="0"/>
      <w:marBottom w:val="0"/>
      <w:divBdr>
        <w:top w:val="none" w:sz="0" w:space="0" w:color="auto"/>
        <w:left w:val="none" w:sz="0" w:space="0" w:color="auto"/>
        <w:bottom w:val="none" w:sz="0" w:space="0" w:color="auto"/>
        <w:right w:val="none" w:sz="0" w:space="0" w:color="auto"/>
      </w:divBdr>
    </w:div>
    <w:div w:id="1593313222">
      <w:bodyDiv w:val="1"/>
      <w:marLeft w:val="0"/>
      <w:marRight w:val="0"/>
      <w:marTop w:val="0"/>
      <w:marBottom w:val="0"/>
      <w:divBdr>
        <w:top w:val="none" w:sz="0" w:space="0" w:color="auto"/>
        <w:left w:val="none" w:sz="0" w:space="0" w:color="auto"/>
        <w:bottom w:val="none" w:sz="0" w:space="0" w:color="auto"/>
        <w:right w:val="none" w:sz="0" w:space="0" w:color="auto"/>
      </w:divBdr>
    </w:div>
    <w:div w:id="1598951168">
      <w:bodyDiv w:val="1"/>
      <w:marLeft w:val="0"/>
      <w:marRight w:val="0"/>
      <w:marTop w:val="0"/>
      <w:marBottom w:val="0"/>
      <w:divBdr>
        <w:top w:val="none" w:sz="0" w:space="0" w:color="auto"/>
        <w:left w:val="none" w:sz="0" w:space="0" w:color="auto"/>
        <w:bottom w:val="none" w:sz="0" w:space="0" w:color="auto"/>
        <w:right w:val="none" w:sz="0" w:space="0" w:color="auto"/>
      </w:divBdr>
    </w:div>
    <w:div w:id="1684939249">
      <w:bodyDiv w:val="1"/>
      <w:marLeft w:val="0"/>
      <w:marRight w:val="0"/>
      <w:marTop w:val="0"/>
      <w:marBottom w:val="0"/>
      <w:divBdr>
        <w:top w:val="none" w:sz="0" w:space="0" w:color="auto"/>
        <w:left w:val="none" w:sz="0" w:space="0" w:color="auto"/>
        <w:bottom w:val="none" w:sz="0" w:space="0" w:color="auto"/>
        <w:right w:val="none" w:sz="0" w:space="0" w:color="auto"/>
      </w:divBdr>
      <w:divsChild>
        <w:div w:id="1505433646">
          <w:marLeft w:val="0"/>
          <w:marRight w:val="0"/>
          <w:marTop w:val="0"/>
          <w:marBottom w:val="0"/>
          <w:divBdr>
            <w:top w:val="none" w:sz="0" w:space="0" w:color="auto"/>
            <w:left w:val="none" w:sz="0" w:space="0" w:color="auto"/>
            <w:bottom w:val="none" w:sz="0" w:space="0" w:color="auto"/>
            <w:right w:val="none" w:sz="0" w:space="0" w:color="auto"/>
          </w:divBdr>
        </w:div>
      </w:divsChild>
    </w:div>
    <w:div w:id="1693460174">
      <w:bodyDiv w:val="1"/>
      <w:marLeft w:val="0"/>
      <w:marRight w:val="0"/>
      <w:marTop w:val="0"/>
      <w:marBottom w:val="0"/>
      <w:divBdr>
        <w:top w:val="none" w:sz="0" w:space="0" w:color="auto"/>
        <w:left w:val="none" w:sz="0" w:space="0" w:color="auto"/>
        <w:bottom w:val="none" w:sz="0" w:space="0" w:color="auto"/>
        <w:right w:val="none" w:sz="0" w:space="0" w:color="auto"/>
      </w:divBdr>
    </w:div>
    <w:div w:id="1701665125">
      <w:bodyDiv w:val="1"/>
      <w:marLeft w:val="0"/>
      <w:marRight w:val="0"/>
      <w:marTop w:val="0"/>
      <w:marBottom w:val="0"/>
      <w:divBdr>
        <w:top w:val="none" w:sz="0" w:space="0" w:color="auto"/>
        <w:left w:val="none" w:sz="0" w:space="0" w:color="auto"/>
        <w:bottom w:val="none" w:sz="0" w:space="0" w:color="auto"/>
        <w:right w:val="none" w:sz="0" w:space="0" w:color="auto"/>
      </w:divBdr>
    </w:div>
    <w:div w:id="1724283126">
      <w:bodyDiv w:val="1"/>
      <w:marLeft w:val="0"/>
      <w:marRight w:val="0"/>
      <w:marTop w:val="0"/>
      <w:marBottom w:val="0"/>
      <w:divBdr>
        <w:top w:val="none" w:sz="0" w:space="0" w:color="auto"/>
        <w:left w:val="none" w:sz="0" w:space="0" w:color="auto"/>
        <w:bottom w:val="none" w:sz="0" w:space="0" w:color="auto"/>
        <w:right w:val="none" w:sz="0" w:space="0" w:color="auto"/>
      </w:divBdr>
    </w:div>
    <w:div w:id="1736314969">
      <w:bodyDiv w:val="1"/>
      <w:marLeft w:val="0"/>
      <w:marRight w:val="0"/>
      <w:marTop w:val="0"/>
      <w:marBottom w:val="0"/>
      <w:divBdr>
        <w:top w:val="none" w:sz="0" w:space="0" w:color="auto"/>
        <w:left w:val="none" w:sz="0" w:space="0" w:color="auto"/>
        <w:bottom w:val="none" w:sz="0" w:space="0" w:color="auto"/>
        <w:right w:val="none" w:sz="0" w:space="0" w:color="auto"/>
      </w:divBdr>
    </w:div>
    <w:div w:id="1750467520">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1925600258">
      <w:bodyDiv w:val="1"/>
      <w:marLeft w:val="0"/>
      <w:marRight w:val="0"/>
      <w:marTop w:val="0"/>
      <w:marBottom w:val="0"/>
      <w:divBdr>
        <w:top w:val="none" w:sz="0" w:space="0" w:color="auto"/>
        <w:left w:val="none" w:sz="0" w:space="0" w:color="auto"/>
        <w:bottom w:val="none" w:sz="0" w:space="0" w:color="auto"/>
        <w:right w:val="none" w:sz="0" w:space="0" w:color="auto"/>
      </w:divBdr>
    </w:div>
    <w:div w:id="1940982557">
      <w:bodyDiv w:val="1"/>
      <w:marLeft w:val="0"/>
      <w:marRight w:val="0"/>
      <w:marTop w:val="0"/>
      <w:marBottom w:val="0"/>
      <w:divBdr>
        <w:top w:val="none" w:sz="0" w:space="0" w:color="auto"/>
        <w:left w:val="none" w:sz="0" w:space="0" w:color="auto"/>
        <w:bottom w:val="none" w:sz="0" w:space="0" w:color="auto"/>
        <w:right w:val="none" w:sz="0" w:space="0" w:color="auto"/>
      </w:divBdr>
    </w:div>
    <w:div w:id="2011711994">
      <w:bodyDiv w:val="1"/>
      <w:marLeft w:val="0"/>
      <w:marRight w:val="0"/>
      <w:marTop w:val="0"/>
      <w:marBottom w:val="0"/>
      <w:divBdr>
        <w:top w:val="none" w:sz="0" w:space="0" w:color="auto"/>
        <w:left w:val="none" w:sz="0" w:space="0" w:color="auto"/>
        <w:bottom w:val="none" w:sz="0" w:space="0" w:color="auto"/>
        <w:right w:val="none" w:sz="0" w:space="0" w:color="auto"/>
      </w:divBdr>
    </w:div>
    <w:div w:id="2034646819">
      <w:bodyDiv w:val="1"/>
      <w:marLeft w:val="0"/>
      <w:marRight w:val="0"/>
      <w:marTop w:val="0"/>
      <w:marBottom w:val="0"/>
      <w:divBdr>
        <w:top w:val="none" w:sz="0" w:space="0" w:color="auto"/>
        <w:left w:val="none" w:sz="0" w:space="0" w:color="auto"/>
        <w:bottom w:val="none" w:sz="0" w:space="0" w:color="auto"/>
        <w:right w:val="none" w:sz="0" w:space="0" w:color="auto"/>
      </w:divBdr>
    </w:div>
    <w:div w:id="2075883349">
      <w:bodyDiv w:val="1"/>
      <w:marLeft w:val="0"/>
      <w:marRight w:val="0"/>
      <w:marTop w:val="0"/>
      <w:marBottom w:val="0"/>
      <w:divBdr>
        <w:top w:val="none" w:sz="0" w:space="0" w:color="auto"/>
        <w:left w:val="none" w:sz="0" w:space="0" w:color="auto"/>
        <w:bottom w:val="none" w:sz="0" w:space="0" w:color="auto"/>
        <w:right w:val="none" w:sz="0" w:space="0" w:color="auto"/>
      </w:divBdr>
    </w:div>
    <w:div w:id="2076396082">
      <w:bodyDiv w:val="1"/>
      <w:marLeft w:val="0"/>
      <w:marRight w:val="0"/>
      <w:marTop w:val="0"/>
      <w:marBottom w:val="0"/>
      <w:divBdr>
        <w:top w:val="none" w:sz="0" w:space="0" w:color="auto"/>
        <w:left w:val="none" w:sz="0" w:space="0" w:color="auto"/>
        <w:bottom w:val="none" w:sz="0" w:space="0" w:color="auto"/>
        <w:right w:val="none" w:sz="0" w:space="0" w:color="auto"/>
      </w:divBdr>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 w:id="2130122997">
      <w:bodyDiv w:val="1"/>
      <w:marLeft w:val="0"/>
      <w:marRight w:val="0"/>
      <w:marTop w:val="0"/>
      <w:marBottom w:val="0"/>
      <w:divBdr>
        <w:top w:val="none" w:sz="0" w:space="0" w:color="auto"/>
        <w:left w:val="none" w:sz="0" w:space="0" w:color="auto"/>
        <w:bottom w:val="none" w:sz="0" w:space="0" w:color="auto"/>
        <w:right w:val="none" w:sz="0" w:space="0" w:color="auto"/>
      </w:divBdr>
      <w:divsChild>
        <w:div w:id="1259018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873C6B-0238-4373-A682-3BC460C8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5678</Words>
  <Characters>31229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7</cp:revision>
  <cp:lastPrinted>2025-09-11T18:46:00Z</cp:lastPrinted>
  <dcterms:created xsi:type="dcterms:W3CDTF">2025-09-04T20:02:00Z</dcterms:created>
  <dcterms:modified xsi:type="dcterms:W3CDTF">2025-11-09T23:47:00Z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