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hAnsi="Palatino Linotype"/>
          <w:b/>
          <w:bCs/>
          <w:lang w:val="es-ES"/>
        </w:rPr>
        <w:id w:val="-1893807885"/>
        <w:docPartObj>
          <w:docPartGallery w:val="Table of Contents"/>
          <w:docPartUnique/>
        </w:docPartObj>
      </w:sdtPr>
      <w:sdtEndPr>
        <w:rPr>
          <w:b w:val="0"/>
          <w:bCs w:val="0"/>
          <w:noProof/>
          <w:lang w:val="es-MX"/>
        </w:rPr>
      </w:sdtEndPr>
      <w:sdtContent>
        <w:p w14:paraId="4ADB179D" w14:textId="77777777" w:rsidR="00671CC7" w:rsidRPr="00E13CD3" w:rsidRDefault="00671CC7" w:rsidP="00671CC7">
          <w:pPr>
            <w:spacing w:line="360" w:lineRule="auto"/>
            <w:ind w:right="-28"/>
            <w:contextualSpacing/>
            <w:jc w:val="both"/>
            <w:rPr>
              <w:rFonts w:ascii="Palatino Linotype" w:hAnsi="Palatino Linotype" w:cs="Tahoma"/>
              <w:bCs/>
              <w:sz w:val="22"/>
              <w:szCs w:val="22"/>
            </w:rPr>
          </w:pPr>
        </w:p>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rPr>
              <w:rFonts w:asciiTheme="majorHAnsi" w:eastAsiaTheme="majorEastAsia" w:hAnsiTheme="majorHAnsi" w:cstheme="majorBidi"/>
              <w:b/>
              <w:bCs/>
              <w:color w:val="2F5496" w:themeColor="accent1" w:themeShade="BF"/>
              <w:sz w:val="32"/>
              <w:szCs w:val="32"/>
              <w:lang w:eastAsia="es-MX"/>
            </w:rPr>
          </w:sdtEndPr>
          <w:sdtContent>
            <w:p w14:paraId="5225AD7D" w14:textId="77777777" w:rsidR="00671CC7" w:rsidRPr="00E13CD3" w:rsidRDefault="00671CC7" w:rsidP="00671CC7">
              <w:pPr>
                <w:pStyle w:val="TtuloTDC"/>
                <w:spacing w:before="0" w:line="360" w:lineRule="auto"/>
                <w:contextualSpacing/>
                <w:jc w:val="center"/>
                <w:rPr>
                  <w:rFonts w:ascii="Palatino Linotype" w:hAnsi="Palatino Linotype"/>
                  <w:color w:val="000000" w:themeColor="text1"/>
                  <w:sz w:val="22"/>
                  <w:szCs w:val="22"/>
                </w:rPr>
              </w:pPr>
              <w:r w:rsidRPr="00E13CD3">
                <w:rPr>
                  <w:rFonts w:ascii="Palatino Linotype" w:hAnsi="Palatino Linotype"/>
                  <w:color w:val="000000" w:themeColor="text1"/>
                  <w:sz w:val="22"/>
                  <w:szCs w:val="22"/>
                  <w:lang w:val="es-ES"/>
                </w:rPr>
                <w:t>RESOLUCIÓN DEL RECURSO DE REVISIÓN 00906/INFOEM/IP/RR/2025</w:t>
              </w:r>
            </w:p>
            <w:p w14:paraId="0A7D6AE2" w14:textId="1BDBEA94" w:rsidR="00671CC7" w:rsidRPr="00E13CD3" w:rsidRDefault="00671CC7" w:rsidP="00671CC7">
              <w:pPr>
                <w:pStyle w:val="TDC1"/>
                <w:tabs>
                  <w:tab w:val="right" w:leader="dot" w:pos="9034"/>
                </w:tabs>
                <w:spacing w:after="0" w:line="360" w:lineRule="auto"/>
                <w:contextualSpacing/>
                <w:rPr>
                  <w:rFonts w:ascii="Palatino Linotype" w:eastAsiaTheme="minorEastAsia" w:hAnsi="Palatino Linotype"/>
                  <w:noProof/>
                  <w:color w:val="000000" w:themeColor="text1"/>
                  <w:lang w:eastAsia="es-MX"/>
                </w:rPr>
              </w:pPr>
              <w:r w:rsidRPr="00E13CD3">
                <w:rPr>
                  <w:rFonts w:ascii="Palatino Linotype" w:hAnsi="Palatino Linotype"/>
                  <w:color w:val="000000" w:themeColor="text1"/>
                </w:rPr>
                <w:fldChar w:fldCharType="begin"/>
              </w:r>
              <w:r w:rsidRPr="00E13CD3">
                <w:rPr>
                  <w:rFonts w:ascii="Palatino Linotype" w:hAnsi="Palatino Linotype"/>
                  <w:color w:val="000000" w:themeColor="text1"/>
                </w:rPr>
                <w:instrText xml:space="preserve"> TOC \o "1-3" \h \z \u </w:instrText>
              </w:r>
              <w:r w:rsidRPr="00E13CD3">
                <w:rPr>
                  <w:rFonts w:ascii="Palatino Linotype" w:hAnsi="Palatino Linotype"/>
                  <w:color w:val="000000" w:themeColor="text1"/>
                </w:rPr>
                <w:fldChar w:fldCharType="separate"/>
              </w:r>
              <w:hyperlink w:anchor="_Toc190350679" w:history="1">
                <w:r w:rsidRPr="00E13CD3">
                  <w:rPr>
                    <w:rStyle w:val="Hipervnculo"/>
                    <w:rFonts w:ascii="Palatino Linotype" w:hAnsi="Palatino Linotype"/>
                    <w:noProof/>
                    <w:color w:val="000000" w:themeColor="text1"/>
                  </w:rPr>
                  <w:t>A N T E C E D E N T E S</w:t>
                </w:r>
                <w:r w:rsidRPr="00E13CD3">
                  <w:rPr>
                    <w:rFonts w:ascii="Palatino Linotype" w:hAnsi="Palatino Linotype"/>
                    <w:noProof/>
                    <w:webHidden/>
                    <w:color w:val="000000" w:themeColor="text1"/>
                  </w:rPr>
                  <w:tab/>
                </w:r>
                <w:r w:rsidRPr="00E13CD3">
                  <w:rPr>
                    <w:rFonts w:ascii="Palatino Linotype" w:hAnsi="Palatino Linotype"/>
                    <w:noProof/>
                    <w:webHidden/>
                    <w:color w:val="000000" w:themeColor="text1"/>
                  </w:rPr>
                  <w:fldChar w:fldCharType="begin"/>
                </w:r>
                <w:r w:rsidRPr="00E13CD3">
                  <w:rPr>
                    <w:rFonts w:ascii="Palatino Linotype" w:hAnsi="Palatino Linotype"/>
                    <w:noProof/>
                    <w:webHidden/>
                    <w:color w:val="000000" w:themeColor="text1"/>
                  </w:rPr>
                  <w:instrText xml:space="preserve"> PAGEREF _Toc190350679 \h </w:instrText>
                </w:r>
                <w:r w:rsidRPr="00E13CD3">
                  <w:rPr>
                    <w:rFonts w:ascii="Palatino Linotype" w:hAnsi="Palatino Linotype"/>
                    <w:noProof/>
                    <w:webHidden/>
                    <w:color w:val="000000" w:themeColor="text1"/>
                  </w:rPr>
                  <w:fldChar w:fldCharType="separate"/>
                </w:r>
                <w:r w:rsidR="00211F42">
                  <w:rPr>
                    <w:rFonts w:ascii="Palatino Linotype" w:hAnsi="Palatino Linotype"/>
                    <w:b/>
                    <w:bCs/>
                    <w:noProof/>
                    <w:webHidden/>
                    <w:color w:val="000000" w:themeColor="text1"/>
                    <w:lang w:val="es-ES"/>
                  </w:rPr>
                  <w:t>¡Error! Marcador no definido.</w:t>
                </w:r>
                <w:r w:rsidRPr="00E13CD3">
                  <w:rPr>
                    <w:rFonts w:ascii="Palatino Linotype" w:hAnsi="Palatino Linotype"/>
                    <w:noProof/>
                    <w:webHidden/>
                    <w:color w:val="000000" w:themeColor="text1"/>
                  </w:rPr>
                  <w:fldChar w:fldCharType="end"/>
                </w:r>
              </w:hyperlink>
            </w:p>
            <w:p w14:paraId="087A04BF" w14:textId="30E86B0B" w:rsidR="00671CC7" w:rsidRPr="00E13CD3" w:rsidRDefault="00671CC7" w:rsidP="00671CC7">
              <w:pPr>
                <w:pStyle w:val="TDC2"/>
                <w:rPr>
                  <w:noProof/>
                </w:rPr>
              </w:pPr>
              <w:hyperlink w:anchor="_Toc190350680" w:history="1">
                <w:r w:rsidRPr="00E13CD3">
                  <w:rPr>
                    <w:rStyle w:val="Hipervnculo"/>
                    <w:rFonts w:ascii="Palatino Linotype" w:hAnsi="Palatino Linotype"/>
                    <w:noProof/>
                    <w:color w:val="000000" w:themeColor="text1"/>
                  </w:rPr>
                  <w:t>I. Presentación de la solicitud de información</w:t>
                </w:r>
                <w:r w:rsidRPr="00E13CD3">
                  <w:rPr>
                    <w:noProof/>
                    <w:webHidden/>
                  </w:rPr>
                  <w:tab/>
                </w:r>
                <w:r w:rsidRPr="00E13CD3">
                  <w:rPr>
                    <w:noProof/>
                    <w:webHidden/>
                  </w:rPr>
                  <w:fldChar w:fldCharType="begin"/>
                </w:r>
                <w:r w:rsidRPr="00E13CD3">
                  <w:rPr>
                    <w:noProof/>
                    <w:webHidden/>
                  </w:rPr>
                  <w:instrText xml:space="preserve"> PAGEREF _Toc190350680 \h </w:instrText>
                </w:r>
                <w:r w:rsidRPr="00E13CD3">
                  <w:rPr>
                    <w:noProof/>
                    <w:webHidden/>
                  </w:rPr>
                  <w:fldChar w:fldCharType="separate"/>
                </w:r>
                <w:r w:rsidR="00211F42">
                  <w:rPr>
                    <w:b/>
                    <w:bCs/>
                    <w:noProof/>
                    <w:webHidden/>
                    <w:lang w:val="es-ES"/>
                  </w:rPr>
                  <w:t>¡Error! Marcador no definido.</w:t>
                </w:r>
                <w:r w:rsidRPr="00E13CD3">
                  <w:rPr>
                    <w:noProof/>
                    <w:webHidden/>
                  </w:rPr>
                  <w:fldChar w:fldCharType="end"/>
                </w:r>
              </w:hyperlink>
            </w:p>
            <w:p w14:paraId="4C14C00B" w14:textId="360A92BD" w:rsidR="00671CC7" w:rsidRPr="00E13CD3" w:rsidRDefault="00671CC7" w:rsidP="00671CC7">
              <w:pPr>
                <w:pStyle w:val="TDC2"/>
                <w:rPr>
                  <w:noProof/>
                </w:rPr>
              </w:pPr>
              <w:hyperlink w:anchor="_Toc190350681" w:history="1">
                <w:r w:rsidRPr="00E13CD3">
                  <w:rPr>
                    <w:rStyle w:val="Hipervnculo"/>
                    <w:rFonts w:ascii="Palatino Linotype" w:hAnsi="Palatino Linotype"/>
                    <w:noProof/>
                    <w:color w:val="000000" w:themeColor="text1"/>
                  </w:rPr>
                  <w:t>II. Respuesta del Sujeto Obligado</w:t>
                </w:r>
                <w:r w:rsidRPr="00E13CD3">
                  <w:rPr>
                    <w:noProof/>
                    <w:webHidden/>
                  </w:rPr>
                  <w:tab/>
                </w:r>
                <w:r w:rsidRPr="00E13CD3">
                  <w:rPr>
                    <w:noProof/>
                    <w:webHidden/>
                  </w:rPr>
                  <w:fldChar w:fldCharType="begin"/>
                </w:r>
                <w:r w:rsidRPr="00E13CD3">
                  <w:rPr>
                    <w:noProof/>
                    <w:webHidden/>
                  </w:rPr>
                  <w:instrText xml:space="preserve"> PAGEREF _Toc190350681 \h </w:instrText>
                </w:r>
                <w:r w:rsidRPr="00E13CD3">
                  <w:rPr>
                    <w:noProof/>
                    <w:webHidden/>
                  </w:rPr>
                  <w:fldChar w:fldCharType="separate"/>
                </w:r>
                <w:r w:rsidR="00211F42">
                  <w:rPr>
                    <w:b/>
                    <w:bCs/>
                    <w:noProof/>
                    <w:webHidden/>
                    <w:lang w:val="es-ES"/>
                  </w:rPr>
                  <w:t>¡Error! Marcador no definido.</w:t>
                </w:r>
                <w:r w:rsidRPr="00E13CD3">
                  <w:rPr>
                    <w:noProof/>
                    <w:webHidden/>
                  </w:rPr>
                  <w:fldChar w:fldCharType="end"/>
                </w:r>
              </w:hyperlink>
            </w:p>
            <w:p w14:paraId="531849BA" w14:textId="77777777" w:rsidR="00671CC7" w:rsidRPr="00E13CD3" w:rsidRDefault="00671CC7" w:rsidP="00671CC7">
              <w:pPr>
                <w:pStyle w:val="TDC2"/>
                <w:rPr>
                  <w:noProof/>
                </w:rPr>
              </w:pPr>
              <w:hyperlink w:anchor="_Toc190350682" w:history="1">
                <w:r w:rsidRPr="00E13CD3">
                  <w:rPr>
                    <w:rStyle w:val="Hipervnculo"/>
                    <w:rFonts w:ascii="Palatino Linotype" w:hAnsi="Palatino Linotype"/>
                    <w:noProof/>
                    <w:color w:val="000000" w:themeColor="text1"/>
                  </w:rPr>
                  <w:t>III. Interposición del Recurso de Revisión</w:t>
                </w:r>
                <w:r w:rsidRPr="00E13CD3">
                  <w:rPr>
                    <w:noProof/>
                    <w:webHidden/>
                  </w:rPr>
                  <w:tab/>
                  <w:t>4</w:t>
                </w:r>
              </w:hyperlink>
            </w:p>
            <w:p w14:paraId="65D13557" w14:textId="77777777" w:rsidR="00671CC7" w:rsidRPr="00E13CD3" w:rsidRDefault="00671CC7" w:rsidP="00671CC7">
              <w:pPr>
                <w:pStyle w:val="TDC2"/>
                <w:rPr>
                  <w:noProof/>
                </w:rPr>
              </w:pPr>
              <w:hyperlink w:anchor="_Toc190350683" w:history="1">
                <w:r w:rsidRPr="00E13CD3">
                  <w:rPr>
                    <w:rStyle w:val="Hipervnculo"/>
                    <w:rFonts w:ascii="Palatino Linotype" w:hAnsi="Palatino Linotype"/>
                    <w:noProof/>
                    <w:color w:val="000000" w:themeColor="text1"/>
                  </w:rPr>
                  <w:t xml:space="preserve">IV. </w:t>
                </w:r>
                <w:r w:rsidRPr="00E13CD3">
                  <w:rPr>
                    <w:rStyle w:val="Hipervnculo"/>
                    <w:rFonts w:ascii="Palatino Linotype" w:eastAsia="Batang" w:hAnsi="Palatino Linotype"/>
                    <w:noProof/>
                    <w:color w:val="000000" w:themeColor="text1"/>
                  </w:rPr>
                  <w:t xml:space="preserve">Trámite del </w:t>
                </w:r>
                <w:r w:rsidRPr="00E13CD3">
                  <w:rPr>
                    <w:rStyle w:val="Hipervnculo"/>
                    <w:rFonts w:ascii="Palatino Linotype" w:hAnsi="Palatino Linotype"/>
                    <w:noProof/>
                    <w:color w:val="000000" w:themeColor="text1"/>
                  </w:rPr>
                  <w:t xml:space="preserve">Recurso de Revisión </w:t>
                </w:r>
                <w:r w:rsidRPr="00E13CD3">
                  <w:rPr>
                    <w:rStyle w:val="Hipervnculo"/>
                    <w:rFonts w:ascii="Palatino Linotype" w:eastAsia="Batang" w:hAnsi="Palatino Linotype"/>
                    <w:noProof/>
                    <w:color w:val="000000" w:themeColor="text1"/>
                  </w:rPr>
                  <w:t>ante el Instituto</w:t>
                </w:r>
                <w:r w:rsidRPr="00E13CD3">
                  <w:rPr>
                    <w:noProof/>
                    <w:webHidden/>
                  </w:rPr>
                  <w:tab/>
                  <w:t>5</w:t>
                </w:r>
              </w:hyperlink>
            </w:p>
            <w:p w14:paraId="25F84377" w14:textId="77777777" w:rsidR="00671CC7" w:rsidRPr="00E13CD3" w:rsidRDefault="00671CC7" w:rsidP="00671CC7">
              <w:pPr>
                <w:pStyle w:val="TDC1"/>
                <w:tabs>
                  <w:tab w:val="right" w:leader="dot" w:pos="9034"/>
                </w:tabs>
                <w:spacing w:after="0" w:line="360" w:lineRule="auto"/>
                <w:contextualSpacing/>
                <w:rPr>
                  <w:rFonts w:ascii="Palatino Linotype" w:eastAsiaTheme="minorEastAsia" w:hAnsi="Palatino Linotype"/>
                  <w:noProof/>
                  <w:color w:val="000000" w:themeColor="text1"/>
                  <w:lang w:eastAsia="es-MX"/>
                </w:rPr>
              </w:pPr>
              <w:hyperlink w:anchor="_Toc190350684" w:history="1">
                <w:r w:rsidRPr="00E13CD3">
                  <w:rPr>
                    <w:rStyle w:val="Hipervnculo"/>
                    <w:rFonts w:ascii="Palatino Linotype" w:hAnsi="Palatino Linotype"/>
                    <w:noProof/>
                    <w:color w:val="000000" w:themeColor="text1"/>
                    <w:lang w:val="es-ES"/>
                  </w:rPr>
                  <w:t>C O N S I D E R A N D O S</w:t>
                </w:r>
                <w:r w:rsidRPr="00E13CD3">
                  <w:rPr>
                    <w:rFonts w:ascii="Palatino Linotype" w:hAnsi="Palatino Linotype"/>
                    <w:noProof/>
                    <w:webHidden/>
                    <w:color w:val="000000" w:themeColor="text1"/>
                  </w:rPr>
                  <w:tab/>
                  <w:t>6</w:t>
                </w:r>
              </w:hyperlink>
            </w:p>
            <w:p w14:paraId="4041058C" w14:textId="77777777" w:rsidR="00671CC7" w:rsidRPr="00E13CD3" w:rsidRDefault="00671CC7" w:rsidP="00671CC7">
              <w:pPr>
                <w:pStyle w:val="TDC2"/>
                <w:rPr>
                  <w:rFonts w:ascii="Palatino Linotype" w:hAnsi="Palatino Linotype"/>
                  <w:noProof/>
                  <w:color w:val="000000" w:themeColor="text1"/>
                </w:rPr>
              </w:pPr>
              <w:hyperlink w:anchor="_Toc190350685" w:history="1">
                <w:r w:rsidRPr="00E13CD3">
                  <w:rPr>
                    <w:rStyle w:val="Hipervnculo"/>
                    <w:rFonts w:ascii="Palatino Linotype" w:eastAsia="Calibri" w:hAnsi="Palatino Linotype"/>
                    <w:noProof/>
                    <w:color w:val="000000" w:themeColor="text1"/>
                    <w:lang w:val="es-ES" w:eastAsia="es-MX"/>
                  </w:rPr>
                  <w:t xml:space="preserve">PRIMERO. </w:t>
                </w:r>
                <w:r w:rsidRPr="00E13CD3">
                  <w:rPr>
                    <w:rStyle w:val="Hipervnculo"/>
                    <w:rFonts w:ascii="Palatino Linotype" w:hAnsi="Palatino Linotype"/>
                    <w:noProof/>
                    <w:color w:val="000000" w:themeColor="text1"/>
                    <w:lang w:val="es-ES"/>
                  </w:rPr>
                  <w:t>Competencia</w:t>
                </w:r>
                <w:r w:rsidRPr="00E13CD3">
                  <w:rPr>
                    <w:rFonts w:ascii="Palatino Linotype" w:hAnsi="Palatino Linotype"/>
                    <w:noProof/>
                    <w:webHidden/>
                    <w:color w:val="000000" w:themeColor="text1"/>
                  </w:rPr>
                  <w:tab/>
                  <w:t>6</w:t>
                </w:r>
              </w:hyperlink>
            </w:p>
            <w:p w14:paraId="197E931E" w14:textId="77777777" w:rsidR="00671CC7" w:rsidRPr="00E13CD3" w:rsidRDefault="00671CC7" w:rsidP="00671CC7">
              <w:pPr>
                <w:pStyle w:val="TDC2"/>
                <w:rPr>
                  <w:noProof/>
                </w:rPr>
              </w:pPr>
              <w:hyperlink w:anchor="_Toc190350686" w:history="1">
                <w:r w:rsidRPr="00E13CD3">
                  <w:rPr>
                    <w:rStyle w:val="Hipervnculo"/>
                    <w:rFonts w:ascii="Palatino Linotype" w:eastAsia="Calibri" w:hAnsi="Palatino Linotype"/>
                    <w:noProof/>
                    <w:color w:val="000000" w:themeColor="text1"/>
                    <w:lang w:val="es-ES" w:eastAsia="es-MX"/>
                  </w:rPr>
                  <w:t>SEGUNDO. Causales de improcedencia y sobreseimiento</w:t>
                </w:r>
                <w:r w:rsidRPr="00E13CD3">
                  <w:rPr>
                    <w:noProof/>
                    <w:webHidden/>
                  </w:rPr>
                  <w:tab/>
                  <w:t>7</w:t>
                </w:r>
              </w:hyperlink>
            </w:p>
            <w:p w14:paraId="27DEB5C6" w14:textId="77777777" w:rsidR="00671CC7" w:rsidRPr="00E13CD3" w:rsidRDefault="00671CC7" w:rsidP="00671CC7">
              <w:pPr>
                <w:pStyle w:val="TDC2"/>
                <w:rPr>
                  <w:noProof/>
                </w:rPr>
              </w:pPr>
              <w:hyperlink w:anchor="_Toc190350687" w:history="1">
                <w:r w:rsidRPr="00E13CD3">
                  <w:rPr>
                    <w:rStyle w:val="Hipervnculo"/>
                    <w:rFonts w:ascii="Palatino Linotype" w:hAnsi="Palatino Linotype"/>
                    <w:noProof/>
                    <w:color w:val="000000" w:themeColor="text1"/>
                    <w:lang w:val="es-ES" w:eastAsia="es-ES_tradnl"/>
                  </w:rPr>
                  <w:t>TERCERO. Determinación de la Controversia</w:t>
                </w:r>
                <w:r w:rsidRPr="00E13CD3">
                  <w:rPr>
                    <w:noProof/>
                    <w:webHidden/>
                  </w:rPr>
                  <w:tab/>
                  <w:t>9</w:t>
                </w:r>
              </w:hyperlink>
            </w:p>
            <w:p w14:paraId="25F03889" w14:textId="661BDD1D" w:rsidR="00671CC7" w:rsidRPr="00E13CD3" w:rsidRDefault="00671CC7" w:rsidP="00671CC7">
              <w:pPr>
                <w:pStyle w:val="TDC2"/>
                <w:rPr>
                  <w:noProof/>
                </w:rPr>
              </w:pPr>
              <w:hyperlink w:anchor="_Toc190350688" w:history="1">
                <w:r w:rsidRPr="00E13CD3">
                  <w:rPr>
                    <w:rStyle w:val="Hipervnculo"/>
                    <w:rFonts w:ascii="Palatino Linotype" w:hAnsi="Palatino Linotype"/>
                    <w:noProof/>
                    <w:color w:val="000000" w:themeColor="text1"/>
                    <w:lang w:val="es-ES"/>
                  </w:rPr>
                  <w:t xml:space="preserve">CUARTO. </w:t>
                </w:r>
                <w:r w:rsidRPr="00E13CD3">
                  <w:rPr>
                    <w:rStyle w:val="Hipervnculo"/>
                    <w:rFonts w:ascii="Palatino Linotype" w:hAnsi="Palatino Linotype"/>
                    <w:noProof/>
                    <w:color w:val="000000" w:themeColor="text1"/>
                  </w:rPr>
                  <w:t>Marco normativo aplicable en materia de transparencia y acceso a la información pública</w:t>
                </w:r>
                <w:r w:rsidRPr="00E13CD3">
                  <w:rPr>
                    <w:noProof/>
                    <w:webHidden/>
                  </w:rPr>
                  <w:tab/>
                </w:r>
                <w:r w:rsidRPr="00E13CD3">
                  <w:rPr>
                    <w:noProof/>
                    <w:webHidden/>
                  </w:rPr>
                  <w:fldChar w:fldCharType="begin"/>
                </w:r>
                <w:r w:rsidRPr="00E13CD3">
                  <w:rPr>
                    <w:noProof/>
                    <w:webHidden/>
                  </w:rPr>
                  <w:instrText xml:space="preserve"> PAGEREF _Toc190350688 \h </w:instrText>
                </w:r>
                <w:r w:rsidRPr="00E13CD3">
                  <w:rPr>
                    <w:noProof/>
                    <w:webHidden/>
                  </w:rPr>
                  <w:fldChar w:fldCharType="separate"/>
                </w:r>
                <w:r w:rsidR="00211F42">
                  <w:rPr>
                    <w:b/>
                    <w:bCs/>
                    <w:noProof/>
                    <w:webHidden/>
                    <w:lang w:val="es-ES"/>
                  </w:rPr>
                  <w:t>¡Error! Marcador no definido.</w:t>
                </w:r>
                <w:r w:rsidRPr="00E13CD3">
                  <w:rPr>
                    <w:noProof/>
                    <w:webHidden/>
                  </w:rPr>
                  <w:fldChar w:fldCharType="end"/>
                </w:r>
              </w:hyperlink>
            </w:p>
            <w:p w14:paraId="0BB59DD0" w14:textId="77777777" w:rsidR="00671CC7" w:rsidRPr="00E13CD3" w:rsidRDefault="00671CC7" w:rsidP="00671CC7">
              <w:pPr>
                <w:pStyle w:val="TDC2"/>
                <w:rPr>
                  <w:rFonts w:ascii="Palatino Linotype" w:hAnsi="Palatino Linotype"/>
                  <w:noProof/>
                  <w:color w:val="000000" w:themeColor="text1"/>
                </w:rPr>
              </w:pPr>
              <w:hyperlink w:anchor="_Toc190350689" w:history="1">
                <w:r w:rsidRPr="00E13CD3">
                  <w:rPr>
                    <w:rStyle w:val="Hipervnculo"/>
                    <w:rFonts w:ascii="Palatino Linotype" w:hAnsi="Palatino Linotype"/>
                    <w:noProof/>
                    <w:color w:val="000000" w:themeColor="text1"/>
                    <w:lang w:val="es-ES"/>
                  </w:rPr>
                  <w:t>QUINTO. Estudio de Fondo</w:t>
                </w:r>
                <w:r w:rsidRPr="00E13CD3">
                  <w:rPr>
                    <w:rFonts w:ascii="Palatino Linotype" w:hAnsi="Palatino Linotype"/>
                    <w:noProof/>
                    <w:webHidden/>
                    <w:color w:val="000000" w:themeColor="text1"/>
                  </w:rPr>
                  <w:tab/>
                  <w:t>11</w:t>
                </w:r>
              </w:hyperlink>
            </w:p>
            <w:p w14:paraId="5173F753" w14:textId="77777777" w:rsidR="00671CC7" w:rsidRPr="00E13CD3" w:rsidRDefault="00671CC7" w:rsidP="00671CC7">
              <w:pPr>
                <w:pStyle w:val="TDC2"/>
                <w:rPr>
                  <w:rFonts w:ascii="Palatino Linotype" w:hAnsi="Palatino Linotype"/>
                  <w:noProof/>
                  <w:color w:val="000000" w:themeColor="text1"/>
                </w:rPr>
              </w:pPr>
              <w:hyperlink w:anchor="_Toc190350690" w:history="1">
                <w:r w:rsidRPr="00E13CD3">
                  <w:rPr>
                    <w:rStyle w:val="Hipervnculo"/>
                    <w:rFonts w:ascii="Palatino Linotype" w:hAnsi="Palatino Linotype"/>
                    <w:noProof/>
                    <w:color w:val="000000" w:themeColor="text1"/>
                  </w:rPr>
                  <w:t>SEXTO. Decisión</w:t>
                </w:r>
                <w:r w:rsidRPr="00E13CD3">
                  <w:rPr>
                    <w:rFonts w:ascii="Palatino Linotype" w:hAnsi="Palatino Linotype"/>
                    <w:noProof/>
                    <w:webHidden/>
                    <w:color w:val="000000" w:themeColor="text1"/>
                  </w:rPr>
                  <w:tab/>
                  <w:t>54</w:t>
                </w:r>
              </w:hyperlink>
            </w:p>
            <w:p w14:paraId="68E3FEEC" w14:textId="77777777" w:rsidR="00671CC7" w:rsidRPr="00E13CD3" w:rsidRDefault="00671CC7" w:rsidP="00671CC7">
              <w:pPr>
                <w:pStyle w:val="TDC1"/>
                <w:tabs>
                  <w:tab w:val="right" w:leader="dot" w:pos="9034"/>
                </w:tabs>
                <w:spacing w:after="0" w:line="360" w:lineRule="auto"/>
                <w:contextualSpacing/>
                <w:rPr>
                  <w:rFonts w:ascii="Palatino Linotype" w:eastAsiaTheme="minorEastAsia" w:hAnsi="Palatino Linotype"/>
                  <w:noProof/>
                  <w:color w:val="000000" w:themeColor="text1"/>
                  <w:lang w:eastAsia="es-MX"/>
                </w:rPr>
              </w:pPr>
              <w:hyperlink w:anchor="_Toc190350691" w:history="1">
                <w:r w:rsidRPr="00E13CD3">
                  <w:rPr>
                    <w:rStyle w:val="Hipervnculo"/>
                    <w:rFonts w:ascii="Palatino Linotype" w:eastAsia="Calibri" w:hAnsi="Palatino Linotype"/>
                    <w:noProof/>
                    <w:color w:val="000000" w:themeColor="text1"/>
                  </w:rPr>
                  <w:t>R E S U E L V E</w:t>
                </w:r>
                <w:r w:rsidRPr="00E13CD3">
                  <w:rPr>
                    <w:rFonts w:ascii="Palatino Linotype" w:hAnsi="Palatino Linotype"/>
                    <w:noProof/>
                    <w:webHidden/>
                    <w:color w:val="000000" w:themeColor="text1"/>
                  </w:rPr>
                  <w:tab/>
                  <w:t>55</w:t>
                </w:r>
              </w:hyperlink>
            </w:p>
            <w:p w14:paraId="0DB7806D" w14:textId="77777777" w:rsidR="00671CC7" w:rsidRPr="00E13CD3" w:rsidRDefault="00671CC7" w:rsidP="00671CC7">
              <w:pPr>
                <w:pStyle w:val="TtuloTDC"/>
                <w:spacing w:before="0" w:line="360" w:lineRule="auto"/>
                <w:contextualSpacing/>
                <w:jc w:val="center"/>
              </w:pPr>
              <w:r w:rsidRPr="00E13CD3">
                <w:rPr>
                  <w:rFonts w:ascii="Palatino Linotype" w:hAnsi="Palatino Linotype"/>
                  <w:b/>
                  <w:bCs/>
                  <w:color w:val="000000" w:themeColor="text1"/>
                  <w:sz w:val="22"/>
                  <w:szCs w:val="22"/>
                  <w:lang w:val="es-ES"/>
                </w:rPr>
                <w:fldChar w:fldCharType="end"/>
              </w:r>
            </w:p>
          </w:sdtContent>
        </w:sdt>
        <w:p w14:paraId="53C67D29" w14:textId="77777777" w:rsidR="00671CC7" w:rsidRPr="00E13CD3" w:rsidRDefault="00000000" w:rsidP="00671CC7">
          <w:pPr>
            <w:spacing w:line="360" w:lineRule="auto"/>
            <w:contextualSpacing/>
            <w:jc w:val="both"/>
            <w:rPr>
              <w:rFonts w:ascii="Palatino Linotype" w:hAnsi="Palatino Linotype"/>
            </w:rPr>
          </w:pPr>
        </w:p>
      </w:sdtContent>
    </w:sdt>
    <w:p w14:paraId="00BC6424" w14:textId="77777777" w:rsidR="00106087" w:rsidRPr="00E13CD3" w:rsidRDefault="00671CC7" w:rsidP="00671CC7">
      <w:pPr>
        <w:spacing w:line="360" w:lineRule="auto"/>
        <w:ind w:right="-28"/>
        <w:jc w:val="both"/>
        <w:rPr>
          <w:rFonts w:ascii="Palatino Linotype" w:eastAsia="Palatino Linotype" w:hAnsi="Palatino Linotype" w:cs="Palatino Linotype"/>
          <w:sz w:val="22"/>
          <w:szCs w:val="22"/>
        </w:rPr>
      </w:pPr>
      <w:r w:rsidRPr="00E13CD3">
        <w:rPr>
          <w:rFonts w:ascii="Palatino Linotype" w:hAnsi="Palatino Linotype"/>
        </w:rPr>
        <w:t xml:space="preserve"> </w:t>
      </w:r>
      <w:r w:rsidR="00CA6354" w:rsidRPr="00E13CD3">
        <w:rPr>
          <w:rFonts w:ascii="Palatino Linotype" w:hAnsi="Palatino Linotype"/>
        </w:rPr>
        <w:br w:type="column"/>
      </w:r>
    </w:p>
    <w:p w14:paraId="565A6F2D"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doce de marzo de dos mil veinticinco.</w:t>
      </w:r>
    </w:p>
    <w:p w14:paraId="6667F0BB"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3C8B240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b/>
          <w:sz w:val="22"/>
          <w:szCs w:val="22"/>
        </w:rPr>
        <w:t xml:space="preserve">VISTO </w:t>
      </w:r>
      <w:r w:rsidRPr="00E13CD3">
        <w:rPr>
          <w:rFonts w:ascii="Palatino Linotype" w:eastAsia="Palatino Linotype" w:hAnsi="Palatino Linotype" w:cs="Palatino Linotype"/>
          <w:sz w:val="22"/>
          <w:szCs w:val="22"/>
        </w:rPr>
        <w:t xml:space="preserve">el expediente conformado con motivo del Recurso de Revisión </w:t>
      </w:r>
      <w:r w:rsidRPr="00B553CB">
        <w:rPr>
          <w:rFonts w:ascii="Palatino Linotype" w:eastAsia="Palatino Linotype" w:hAnsi="Palatino Linotype" w:cs="Palatino Linotype"/>
          <w:b/>
          <w:bCs/>
          <w:color w:val="0D0D0D"/>
          <w:sz w:val="22"/>
          <w:szCs w:val="22"/>
        </w:rPr>
        <w:t>00906/INFOEM/IP/RR/2025</w:t>
      </w:r>
      <w:r w:rsidRPr="00B553CB">
        <w:rPr>
          <w:rFonts w:ascii="Palatino Linotype" w:eastAsia="Palatino Linotype" w:hAnsi="Palatino Linotype" w:cs="Palatino Linotype"/>
          <w:b/>
          <w:bCs/>
          <w:sz w:val="22"/>
          <w:szCs w:val="22"/>
        </w:rPr>
        <w:t xml:space="preserve">, </w:t>
      </w:r>
      <w:r w:rsidRPr="00E13CD3">
        <w:rPr>
          <w:rFonts w:ascii="Palatino Linotype" w:eastAsia="Palatino Linotype" w:hAnsi="Palatino Linotype" w:cs="Palatino Linotype"/>
          <w:sz w:val="22"/>
          <w:szCs w:val="22"/>
        </w:rPr>
        <w:t xml:space="preserve">interpuesto por el Recurrente o Particular, en contra de la respuesta del Sujeto Obligado, </w:t>
      </w:r>
      <w:r w:rsidRPr="00B553CB">
        <w:rPr>
          <w:rFonts w:ascii="Palatino Linotype" w:eastAsia="Palatino Linotype" w:hAnsi="Palatino Linotype" w:cs="Palatino Linotype"/>
          <w:b/>
          <w:bCs/>
          <w:color w:val="000000"/>
          <w:sz w:val="22"/>
          <w:szCs w:val="22"/>
        </w:rPr>
        <w:t>Ayuntamiento de Calimaya</w:t>
      </w:r>
      <w:r w:rsidRPr="00B553CB">
        <w:rPr>
          <w:rFonts w:ascii="Palatino Linotype" w:eastAsia="Palatino Linotype" w:hAnsi="Palatino Linotype" w:cs="Palatino Linotype"/>
          <w:b/>
          <w:bCs/>
          <w:sz w:val="22"/>
          <w:szCs w:val="22"/>
        </w:rPr>
        <w:t>,</w:t>
      </w:r>
      <w:r w:rsidRPr="00E13CD3">
        <w:rPr>
          <w:rFonts w:ascii="Palatino Linotype" w:eastAsia="Palatino Linotype" w:hAnsi="Palatino Linotype" w:cs="Palatino Linotype"/>
          <w:sz w:val="22"/>
          <w:szCs w:val="22"/>
        </w:rPr>
        <w:t xml:space="preserve"> a la solicitud de acceso a la información pública con número de folio 00051/CALIMAYA/IP/2025, se emite la presente Resolución, con base en los Antecedentes y Considerandos que se exponen a continuación:</w:t>
      </w:r>
    </w:p>
    <w:p w14:paraId="40F10DAF" w14:textId="77777777" w:rsidR="00106087" w:rsidRPr="00E13CD3" w:rsidRDefault="00106087">
      <w:pPr>
        <w:spacing w:line="360" w:lineRule="auto"/>
        <w:ind w:right="-28"/>
        <w:jc w:val="both"/>
        <w:rPr>
          <w:rFonts w:ascii="Palatino Linotype" w:eastAsia="Palatino Linotype" w:hAnsi="Palatino Linotype" w:cs="Palatino Linotype"/>
          <w:b/>
          <w:color w:val="0D0D0D"/>
          <w:sz w:val="22"/>
          <w:szCs w:val="22"/>
        </w:rPr>
      </w:pPr>
    </w:p>
    <w:p w14:paraId="7AA6CBD0" w14:textId="77777777" w:rsidR="00106087" w:rsidRPr="00E13CD3" w:rsidRDefault="00CA6354">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A N T E C E D E N T E S</w:t>
      </w:r>
    </w:p>
    <w:p w14:paraId="6BE5D136" w14:textId="77777777" w:rsidR="00106087" w:rsidRPr="00E13CD3" w:rsidRDefault="00106087">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6A97FF1F" w14:textId="77777777" w:rsidR="00106087" w:rsidRPr="00E13CD3" w:rsidRDefault="00CA6354">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rPr>
      </w:pPr>
      <w:r w:rsidRPr="00E13CD3">
        <w:rPr>
          <w:rFonts w:ascii="Palatino Linotype" w:eastAsia="Palatino Linotype" w:hAnsi="Palatino Linotype" w:cs="Palatino Linotype"/>
          <w:b/>
          <w:color w:val="000000"/>
          <w:sz w:val="22"/>
          <w:szCs w:val="22"/>
        </w:rPr>
        <w:t>I. Presentación de la solicitud de información</w:t>
      </w:r>
    </w:p>
    <w:p w14:paraId="642347DD"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3888CFF0"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Con fecha diecisiete de enero de dos mil veinticinco, el Particular presentó una solicitud de acceso a la información pública, a través del Sistema de Acceso a la Información Mexiquense (SAIMEX), ante el </w:t>
      </w:r>
      <w:r w:rsidRPr="00E13CD3">
        <w:rPr>
          <w:rFonts w:ascii="Palatino Linotype" w:eastAsia="Palatino Linotype" w:hAnsi="Palatino Linotype" w:cs="Palatino Linotype"/>
          <w:color w:val="000000"/>
          <w:sz w:val="22"/>
          <w:szCs w:val="22"/>
        </w:rPr>
        <w:t>Ayuntamiento de Calimaya,</w:t>
      </w:r>
      <w:r w:rsidRPr="00E13CD3">
        <w:rPr>
          <w:rFonts w:ascii="Palatino Linotype" w:eastAsia="Palatino Linotype" w:hAnsi="Palatino Linotype" w:cs="Palatino Linotype"/>
          <w:b/>
          <w:sz w:val="22"/>
          <w:szCs w:val="22"/>
        </w:rPr>
        <w:t xml:space="preserve"> </w:t>
      </w:r>
      <w:r w:rsidRPr="00E13CD3">
        <w:rPr>
          <w:rFonts w:ascii="Palatino Linotype" w:eastAsia="Palatino Linotype" w:hAnsi="Palatino Linotype" w:cs="Palatino Linotype"/>
          <w:sz w:val="22"/>
          <w:szCs w:val="22"/>
        </w:rPr>
        <w:t>mediante la cual requirió lo siguiente:</w:t>
      </w:r>
    </w:p>
    <w:p w14:paraId="739DFE2E" w14:textId="77777777" w:rsidR="00106087" w:rsidRPr="00E13CD3" w:rsidRDefault="00106087">
      <w:pPr>
        <w:tabs>
          <w:tab w:val="left" w:pos="4667"/>
        </w:tabs>
        <w:spacing w:line="360" w:lineRule="auto"/>
        <w:ind w:right="567"/>
        <w:jc w:val="both"/>
        <w:rPr>
          <w:rFonts w:ascii="Palatino Linotype" w:eastAsia="Palatino Linotype" w:hAnsi="Palatino Linotype" w:cs="Palatino Linotype"/>
          <w:b/>
          <w:i/>
          <w:sz w:val="22"/>
          <w:szCs w:val="22"/>
        </w:rPr>
      </w:pPr>
    </w:p>
    <w:p w14:paraId="0F2D1C4E" w14:textId="77777777" w:rsidR="00106087" w:rsidRPr="00E13CD3" w:rsidRDefault="00CA6354">
      <w:pPr>
        <w:tabs>
          <w:tab w:val="left" w:pos="4667"/>
        </w:tabs>
        <w:spacing w:line="360" w:lineRule="auto"/>
        <w:ind w:left="567" w:right="567"/>
        <w:jc w:val="both"/>
        <w:rPr>
          <w:rFonts w:ascii="Palatino Linotype" w:eastAsia="Palatino Linotype" w:hAnsi="Palatino Linotype" w:cs="Palatino Linotype"/>
          <w:b/>
          <w:i/>
        </w:rPr>
      </w:pPr>
      <w:bookmarkStart w:id="0" w:name="_heading=h.gjdgxs" w:colFirst="0" w:colLast="0"/>
      <w:bookmarkEnd w:id="0"/>
      <w:r w:rsidRPr="00E13CD3">
        <w:rPr>
          <w:rFonts w:ascii="Palatino Linotype" w:eastAsia="Palatino Linotype" w:hAnsi="Palatino Linotype" w:cs="Palatino Linotype"/>
          <w:b/>
          <w:i/>
        </w:rPr>
        <w:t>“DESCRIPCIÓN CLARA Y PRECISA DE LA INFORMACIÓN SOLICITADA:</w:t>
      </w:r>
    </w:p>
    <w:p w14:paraId="50A39DE6"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color w:val="000000"/>
        </w:rPr>
        <w:t xml:space="preserve">Enviado un cordial y respetuoso saludo conforme a derecho al acceso a la información pública solicito las altas y bajas con movimientos de </w:t>
      </w:r>
      <w:proofErr w:type="spellStart"/>
      <w:r w:rsidRPr="00E13CD3">
        <w:rPr>
          <w:rFonts w:ascii="Palatino Linotype" w:eastAsia="Palatino Linotype" w:hAnsi="Palatino Linotype" w:cs="Palatino Linotype"/>
          <w:i/>
          <w:color w:val="000000"/>
        </w:rPr>
        <w:t>issemym</w:t>
      </w:r>
      <w:proofErr w:type="spellEnd"/>
      <w:r w:rsidRPr="00E13CD3">
        <w:rPr>
          <w:rFonts w:ascii="Palatino Linotype" w:eastAsia="Palatino Linotype" w:hAnsi="Palatino Linotype" w:cs="Palatino Linotype"/>
          <w:i/>
          <w:color w:val="000000"/>
        </w:rPr>
        <w:t xml:space="preserve"> del personal de ayuntamiento de </w:t>
      </w:r>
      <w:proofErr w:type="spellStart"/>
      <w:r w:rsidRPr="00E13CD3">
        <w:rPr>
          <w:rFonts w:ascii="Palatino Linotype" w:eastAsia="Palatino Linotype" w:hAnsi="Palatino Linotype" w:cs="Palatino Linotype"/>
          <w:i/>
          <w:color w:val="000000"/>
        </w:rPr>
        <w:t>calimaya</w:t>
      </w:r>
      <w:proofErr w:type="spellEnd"/>
      <w:r w:rsidRPr="00E13CD3">
        <w:rPr>
          <w:rFonts w:ascii="Palatino Linotype" w:eastAsia="Palatino Linotype" w:hAnsi="Palatino Linotype" w:cs="Palatino Linotype"/>
          <w:i/>
          <w:color w:val="000000"/>
        </w:rPr>
        <w:t xml:space="preserve"> a si mismo los recibos de </w:t>
      </w:r>
      <w:proofErr w:type="spellStart"/>
      <w:r w:rsidRPr="00E13CD3">
        <w:rPr>
          <w:rFonts w:ascii="Palatino Linotype" w:eastAsia="Palatino Linotype" w:hAnsi="Palatino Linotype" w:cs="Palatino Linotype"/>
          <w:i/>
          <w:color w:val="000000"/>
        </w:rPr>
        <w:t>nomina</w:t>
      </w:r>
      <w:proofErr w:type="spellEnd"/>
      <w:r w:rsidRPr="00E13CD3">
        <w:rPr>
          <w:rFonts w:ascii="Palatino Linotype" w:eastAsia="Palatino Linotype" w:hAnsi="Palatino Linotype" w:cs="Palatino Linotype"/>
          <w:i/>
          <w:color w:val="000000"/>
        </w:rPr>
        <w:t xml:space="preserve"> de la </w:t>
      </w:r>
      <w:proofErr w:type="gramStart"/>
      <w:r w:rsidRPr="00E13CD3">
        <w:rPr>
          <w:rFonts w:ascii="Palatino Linotype" w:eastAsia="Palatino Linotype" w:hAnsi="Palatino Linotype" w:cs="Palatino Linotype"/>
          <w:i/>
          <w:color w:val="000000"/>
        </w:rPr>
        <w:t>primer quincena timbrada</w:t>
      </w:r>
      <w:proofErr w:type="gramEnd"/>
      <w:r w:rsidRPr="00E13CD3">
        <w:rPr>
          <w:rFonts w:ascii="Palatino Linotype" w:eastAsia="Palatino Linotype" w:hAnsi="Palatino Linotype" w:cs="Palatino Linotype"/>
          <w:i/>
          <w:color w:val="000000"/>
        </w:rPr>
        <w:t xml:space="preserve"> del primero de enero de 2025 al 15 de enero de 2025.</w:t>
      </w:r>
      <w:r w:rsidRPr="00E13CD3">
        <w:rPr>
          <w:rFonts w:ascii="Palatino Linotype" w:eastAsia="Palatino Linotype" w:hAnsi="Palatino Linotype" w:cs="Palatino Linotype"/>
          <w:i/>
        </w:rPr>
        <w:t>” (Sic)</w:t>
      </w:r>
    </w:p>
    <w:p w14:paraId="2FED57EC" w14:textId="77777777" w:rsidR="00106087" w:rsidRPr="00E13CD3" w:rsidRDefault="00106087">
      <w:pPr>
        <w:tabs>
          <w:tab w:val="left" w:pos="4667"/>
        </w:tabs>
        <w:spacing w:line="360" w:lineRule="auto"/>
        <w:ind w:left="567" w:right="567"/>
        <w:jc w:val="both"/>
        <w:rPr>
          <w:rFonts w:ascii="Palatino Linotype" w:eastAsia="Palatino Linotype" w:hAnsi="Palatino Linotype" w:cs="Palatino Linotype"/>
          <w:i/>
        </w:rPr>
      </w:pPr>
    </w:p>
    <w:p w14:paraId="3F52CAA2" w14:textId="77777777" w:rsidR="00106087" w:rsidRPr="00E13CD3" w:rsidRDefault="00CA6354">
      <w:pPr>
        <w:tabs>
          <w:tab w:val="left" w:pos="4667"/>
        </w:tabs>
        <w:spacing w:line="360" w:lineRule="auto"/>
        <w:ind w:left="567" w:right="567"/>
        <w:jc w:val="both"/>
        <w:rPr>
          <w:rFonts w:ascii="Palatino Linotype" w:eastAsia="Palatino Linotype" w:hAnsi="Palatino Linotype" w:cs="Palatino Linotype"/>
          <w:b/>
          <w:i/>
        </w:rPr>
      </w:pPr>
      <w:r w:rsidRPr="00E13CD3">
        <w:rPr>
          <w:rFonts w:ascii="Palatino Linotype" w:eastAsia="Palatino Linotype" w:hAnsi="Palatino Linotype" w:cs="Palatino Linotype"/>
          <w:b/>
          <w:i/>
        </w:rPr>
        <w:t xml:space="preserve">“Modalidad de Entrega: </w:t>
      </w:r>
    </w:p>
    <w:p w14:paraId="663470C8" w14:textId="77777777" w:rsidR="00106087" w:rsidRPr="00E13CD3" w:rsidRDefault="00CA6354">
      <w:pPr>
        <w:tabs>
          <w:tab w:val="left" w:pos="567"/>
        </w:tabs>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b/>
          <w:i/>
        </w:rPr>
        <w:t xml:space="preserve"> </w:t>
      </w:r>
      <w:r w:rsidRPr="00E13CD3">
        <w:rPr>
          <w:rFonts w:ascii="Palatino Linotype" w:eastAsia="Palatino Linotype" w:hAnsi="Palatino Linotype" w:cs="Palatino Linotype"/>
          <w:i/>
        </w:rPr>
        <w:t xml:space="preserve">A través de SAIMEX”  </w:t>
      </w:r>
    </w:p>
    <w:p w14:paraId="04D790E3" w14:textId="77777777" w:rsidR="00106087" w:rsidRPr="00E13CD3" w:rsidRDefault="00106087">
      <w:pPr>
        <w:spacing w:line="360" w:lineRule="auto"/>
        <w:rPr>
          <w:rFonts w:ascii="Palatino Linotype" w:eastAsia="Palatino Linotype" w:hAnsi="Palatino Linotype" w:cs="Palatino Linotype"/>
          <w:b/>
          <w:sz w:val="22"/>
          <w:szCs w:val="22"/>
        </w:rPr>
      </w:pPr>
      <w:bookmarkStart w:id="1" w:name="_heading=h.30j0zll" w:colFirst="0" w:colLast="0"/>
      <w:bookmarkEnd w:id="1"/>
    </w:p>
    <w:p w14:paraId="5CDDFAFA" w14:textId="77777777" w:rsidR="00106087" w:rsidRPr="00E13CD3" w:rsidRDefault="00CA6354">
      <w:pPr>
        <w:pBdr>
          <w:top w:val="nil"/>
          <w:left w:val="nil"/>
          <w:bottom w:val="nil"/>
          <w:right w:val="nil"/>
          <w:between w:val="nil"/>
        </w:pBdr>
        <w:spacing w:line="360" w:lineRule="auto"/>
        <w:ind w:right="-30"/>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b/>
          <w:color w:val="000000"/>
          <w:sz w:val="22"/>
          <w:szCs w:val="22"/>
        </w:rPr>
        <w:t>II. Respuesta del Sujeto Obligado</w:t>
      </w:r>
    </w:p>
    <w:p w14:paraId="4AF23098" w14:textId="77777777" w:rsidR="00106087" w:rsidRPr="00E13CD3" w:rsidRDefault="00106087">
      <w:pPr>
        <w:tabs>
          <w:tab w:val="left" w:pos="4667"/>
        </w:tabs>
        <w:spacing w:line="360" w:lineRule="auto"/>
        <w:ind w:right="567"/>
        <w:jc w:val="both"/>
        <w:rPr>
          <w:rFonts w:ascii="Palatino Linotype" w:eastAsia="Palatino Linotype" w:hAnsi="Palatino Linotype" w:cs="Palatino Linotype"/>
          <w:b/>
          <w:sz w:val="22"/>
          <w:szCs w:val="22"/>
        </w:rPr>
      </w:pPr>
    </w:p>
    <w:p w14:paraId="483F2703"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Con fecha seis de febrero de dos mil veinticinco, el</w:t>
      </w:r>
      <w:r w:rsidRPr="00E13CD3">
        <w:rPr>
          <w:rFonts w:ascii="Palatino Linotype" w:eastAsia="Palatino Linotype" w:hAnsi="Palatino Linotype" w:cs="Palatino Linotype"/>
          <w:b/>
          <w:sz w:val="22"/>
          <w:szCs w:val="22"/>
        </w:rPr>
        <w:t xml:space="preserve"> </w:t>
      </w:r>
      <w:r w:rsidRPr="00E13CD3">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 la digitalización de los documentos siguientes:</w:t>
      </w:r>
    </w:p>
    <w:p w14:paraId="39C8783B"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5AB9369D"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i) Oficio número PMC/DT/CRH/095/2025, del veintisiete de enero de dos mil veinticinco, suscrito por la Coordinación de Recursos Humanos dirigido a la Titular de la Unidad de Transparencia, por medio del cual manifiesta y expone lo siguiente:</w:t>
      </w:r>
    </w:p>
    <w:p w14:paraId="0E71144F"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2324C410"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w:t>
      </w:r>
    </w:p>
    <w:p w14:paraId="5482577A"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NO ES COMPETENCIA DE LA COORDINACIÓN DE RECURSOS HUMANOS LA PRESENTE SOLICITUD.</w:t>
      </w:r>
    </w:p>
    <w:p w14:paraId="2762CFF8"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w:t>
      </w:r>
    </w:p>
    <w:p w14:paraId="14D11F1C" w14:textId="77777777" w:rsidR="00106087" w:rsidRPr="00E13CD3" w:rsidRDefault="00106087">
      <w:pPr>
        <w:spacing w:line="360" w:lineRule="auto"/>
        <w:jc w:val="both"/>
        <w:rPr>
          <w:rFonts w:ascii="Palatino Linotype" w:eastAsia="Palatino Linotype" w:hAnsi="Palatino Linotype" w:cs="Palatino Linotype"/>
        </w:rPr>
      </w:pPr>
    </w:p>
    <w:p w14:paraId="35A3299F" w14:textId="77777777" w:rsidR="00106087" w:rsidRPr="00E13CD3" w:rsidRDefault="00CA6354">
      <w:pPr>
        <w:spacing w:line="360" w:lineRule="auto"/>
        <w:jc w:val="both"/>
        <w:rPr>
          <w:rFonts w:ascii="Palatino Linotype" w:eastAsia="Palatino Linotype" w:hAnsi="Palatino Linotype" w:cs="Palatino Linotype"/>
          <w:sz w:val="22"/>
          <w:szCs w:val="22"/>
        </w:rPr>
      </w:pPr>
      <w:proofErr w:type="spellStart"/>
      <w:r w:rsidRPr="00E13CD3">
        <w:rPr>
          <w:rFonts w:ascii="Palatino Linotype" w:eastAsia="Palatino Linotype" w:hAnsi="Palatino Linotype" w:cs="Palatino Linotype"/>
          <w:sz w:val="22"/>
          <w:szCs w:val="22"/>
        </w:rPr>
        <w:t>ii</w:t>
      </w:r>
      <w:proofErr w:type="spellEnd"/>
      <w:r w:rsidRPr="00E13CD3">
        <w:rPr>
          <w:rFonts w:ascii="Palatino Linotype" w:eastAsia="Palatino Linotype" w:hAnsi="Palatino Linotype" w:cs="Palatino Linotype"/>
          <w:sz w:val="22"/>
          <w:szCs w:val="22"/>
        </w:rPr>
        <w:t>) Oficio número PMC/TM/0092/2025, del seis de febrero de dos mil veinticinco, suscrito por el Tesorero Municipal, dirigido a la Titular de la Unidad de Transparencia, por medio del cual manifiesta y expone esencialmente lo siguiente:</w:t>
      </w:r>
    </w:p>
    <w:p w14:paraId="4F80984B"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135F65CB"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w:t>
      </w:r>
    </w:p>
    <w:p w14:paraId="4DD0C97A"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 xml:space="preserve">Es así que en términos del artículo 4 de la Ley de Protección de Datos Personales en Posesión de Sujetos Obligados del Estado de México y Municipios en sus fracción XI establece como datos personales; la información concerniente a una persona física o jurídica colectiva identificada o identificable, establecida en cualquier formato o modalidad, y que esté almacenada en los sistemas y bases de datos, se considerará que una persona es inidentificable cuando su identidad pueda determinarse directa o indirectamente a través de cualquier documento informativo físico o electrónico; así las cosas la alta y baja contienen entre otros: nombre del servidor público; Clave </w:t>
      </w:r>
      <w:r w:rsidRPr="00E13CD3">
        <w:rPr>
          <w:rFonts w:ascii="Palatino Linotype" w:eastAsia="Palatino Linotype" w:hAnsi="Palatino Linotype" w:cs="Palatino Linotype"/>
          <w:i/>
        </w:rPr>
        <w:lastRenderedPageBreak/>
        <w:t xml:space="preserve">Única de Registro de Población (CURP) del servidor público; clave de registro del servidor público ante Instituto de Seguridad Social del Estado de México y Municipios (ISSEMYM); entre otros; aunado a esto último y no menos trascendental; la Tesorería Municipal, no es la Unidad Administrativa encargada de registrar las altas y bajas de los servidores públicos del Ayuntamiento de Calimaya. </w:t>
      </w:r>
    </w:p>
    <w:p w14:paraId="5DCE3804" w14:textId="77777777" w:rsidR="00106087" w:rsidRPr="00E13CD3" w:rsidRDefault="00106087">
      <w:pPr>
        <w:spacing w:line="360" w:lineRule="auto"/>
        <w:ind w:left="567" w:right="567"/>
        <w:jc w:val="both"/>
        <w:rPr>
          <w:rFonts w:ascii="Palatino Linotype" w:eastAsia="Palatino Linotype" w:hAnsi="Palatino Linotype" w:cs="Palatino Linotype"/>
          <w:i/>
        </w:rPr>
      </w:pPr>
    </w:p>
    <w:p w14:paraId="4B47E478"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Por lo que respecta a la solicitud de “los recibos de nómina de la primer quincena timbrada del primero de enero de 2025 al 15 de enero de 2025; es aplicable la negativa a proporcionar dicha información debido a que los recibos de nómina de los servidores públicos contienen además del nombre completo de dicho servidor público que lo hace identificable, el área administrativa dentro del ayuntamiento al cual se encuentra adscrito, dato que de igual manera lo hace identificable; además, contiene, el sueldo neto, base, gratificaciones; y descuentos pueden estar catalogados como información sensible entre otros.</w:t>
      </w:r>
    </w:p>
    <w:p w14:paraId="2014A277" w14:textId="77777777" w:rsidR="00106087" w:rsidRPr="00E13CD3" w:rsidRDefault="00106087">
      <w:pPr>
        <w:spacing w:line="360" w:lineRule="auto"/>
        <w:ind w:left="567" w:right="567"/>
        <w:jc w:val="both"/>
        <w:rPr>
          <w:rFonts w:ascii="Palatino Linotype" w:eastAsia="Palatino Linotype" w:hAnsi="Palatino Linotype" w:cs="Palatino Linotype"/>
          <w:i/>
        </w:rPr>
      </w:pPr>
    </w:p>
    <w:p w14:paraId="52A98506"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 xml:space="preserve">Por último se hace del conocimiento a la persona solicitante que el párrafo que precede no implica una negativa total a proporcionar sueldos de los servidores públicos; sino una negativa a proporcionar los recibos de nómina que contienen datos personales susceptibles de protección; esto es, que de conformidad con la fracción VIII del artículo 92 de la Ley de Transparencia y Acceso a la Información Pública del estado de México, la remuneración bruta y neta de todos los servidores públicos de base o de confianza, de todas las percepciones, desde sueldos, prestaciones, gratificaciones, primas, entre otros; se encuentra publicada en el sitio electrónico de Información Pública de Oficio Mexiquense (IPOMEX); en la cual se encuentran las remuneraciones en la liga electrónica siguiente: </w:t>
      </w:r>
      <w:hyperlink r:id="rId8" w:anchor="/info-fraccion/12/107/1">
        <w:r w:rsidRPr="00E13CD3">
          <w:rPr>
            <w:rFonts w:ascii="Palatino Linotype" w:eastAsia="Palatino Linotype" w:hAnsi="Palatino Linotype" w:cs="Palatino Linotype"/>
            <w:i/>
            <w:color w:val="0563C1"/>
            <w:u w:val="single"/>
          </w:rPr>
          <w:t>https://infoem2.ipomex.org.mx/ipomex/#/info-fraccion/12/107/1</w:t>
        </w:r>
      </w:hyperlink>
      <w:r w:rsidRPr="00E13CD3">
        <w:rPr>
          <w:rFonts w:ascii="Palatino Linotype" w:eastAsia="Palatino Linotype" w:hAnsi="Palatino Linotype" w:cs="Palatino Linotype"/>
          <w:i/>
        </w:rPr>
        <w:t xml:space="preserve">; y, las remuneraciones en la liga electrónica siguiente: </w:t>
      </w:r>
      <w:hyperlink r:id="rId9" w:anchor="/info-fraccion/11/107/28">
        <w:r w:rsidRPr="00E13CD3">
          <w:rPr>
            <w:rFonts w:ascii="Palatino Linotype" w:eastAsia="Palatino Linotype" w:hAnsi="Palatino Linotype" w:cs="Palatino Linotype"/>
            <w:i/>
            <w:color w:val="0563C1"/>
            <w:u w:val="single"/>
          </w:rPr>
          <w:t>https://infoem2.ipomex.org.mx/ipomex/#/info-fraccion/11/107/28</w:t>
        </w:r>
      </w:hyperlink>
      <w:r w:rsidRPr="00E13CD3">
        <w:rPr>
          <w:rFonts w:ascii="Palatino Linotype" w:eastAsia="Palatino Linotype" w:hAnsi="Palatino Linotype" w:cs="Palatino Linotype"/>
          <w:i/>
        </w:rPr>
        <w:t xml:space="preserve">.  </w:t>
      </w:r>
    </w:p>
    <w:p w14:paraId="4C611032"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42B71FE9" w14:textId="77777777" w:rsidR="00106087" w:rsidRPr="00E13CD3" w:rsidRDefault="00CA6354">
      <w:pPr>
        <w:spacing w:line="360" w:lineRule="auto"/>
        <w:ind w:right="-28"/>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III. Interposición del Recurso de Revisión</w:t>
      </w:r>
    </w:p>
    <w:p w14:paraId="06500E02"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48360678"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Con fecha diez de febrero de dos mil veinticinco, se recibió en este Instituto, a través del Sistema de Acceso a la Información Mexiquense (SAIMEX), el Recurso de Revisión interpuesto por la parte Recurrente, en contra de la respuesta del Sujeto Obligado</w:t>
      </w:r>
      <w:r w:rsidRPr="00E13CD3">
        <w:rPr>
          <w:rFonts w:ascii="Palatino Linotype" w:eastAsia="Palatino Linotype" w:hAnsi="Palatino Linotype" w:cs="Palatino Linotype"/>
          <w:b/>
          <w:sz w:val="22"/>
          <w:szCs w:val="22"/>
        </w:rPr>
        <w:t xml:space="preserve">, ya que si bien, se presentó el nueve de dicho mes y año, lo cierto es que fue inhábil por lo que se tuvo por presentado el día hábil subsecuente, </w:t>
      </w:r>
      <w:r w:rsidRPr="00E13CD3">
        <w:rPr>
          <w:rFonts w:ascii="Palatino Linotype" w:eastAsia="Palatino Linotype" w:hAnsi="Palatino Linotype" w:cs="Palatino Linotype"/>
          <w:sz w:val="22"/>
          <w:szCs w:val="22"/>
        </w:rPr>
        <w:t>en los siguientes términos:</w:t>
      </w:r>
    </w:p>
    <w:p w14:paraId="5BA2F5B8" w14:textId="77777777" w:rsidR="00106087" w:rsidRPr="00E13CD3" w:rsidRDefault="00106087">
      <w:pPr>
        <w:spacing w:line="360" w:lineRule="auto"/>
        <w:ind w:right="-28"/>
        <w:jc w:val="both"/>
        <w:rPr>
          <w:rFonts w:ascii="Palatino Linotype" w:eastAsia="Palatino Linotype" w:hAnsi="Palatino Linotype" w:cs="Palatino Linotype"/>
          <w:i/>
        </w:rPr>
      </w:pPr>
    </w:p>
    <w:p w14:paraId="15B982AA" w14:textId="77777777" w:rsidR="00106087" w:rsidRPr="00E13CD3" w:rsidRDefault="00CA6354">
      <w:pPr>
        <w:tabs>
          <w:tab w:val="left" w:pos="4667"/>
        </w:tabs>
        <w:spacing w:line="360" w:lineRule="auto"/>
        <w:ind w:left="567" w:right="567"/>
        <w:jc w:val="both"/>
        <w:rPr>
          <w:rFonts w:ascii="Palatino Linotype" w:eastAsia="Palatino Linotype" w:hAnsi="Palatino Linotype" w:cs="Palatino Linotype"/>
          <w:b/>
          <w:i/>
        </w:rPr>
      </w:pPr>
      <w:r w:rsidRPr="00E13CD3">
        <w:rPr>
          <w:rFonts w:ascii="Palatino Linotype" w:eastAsia="Palatino Linotype" w:hAnsi="Palatino Linotype" w:cs="Palatino Linotype"/>
          <w:b/>
          <w:i/>
        </w:rPr>
        <w:t>“ACTO IMPUGNADO</w:t>
      </w:r>
    </w:p>
    <w:p w14:paraId="08D6800A"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color w:val="000000"/>
        </w:rPr>
        <w:t xml:space="preserve">A bien se </w:t>
      </w:r>
      <w:proofErr w:type="spellStart"/>
      <w:r w:rsidRPr="00E13CD3">
        <w:rPr>
          <w:rFonts w:ascii="Palatino Linotype" w:eastAsia="Palatino Linotype" w:hAnsi="Palatino Linotype" w:cs="Palatino Linotype"/>
          <w:i/>
          <w:color w:val="000000"/>
        </w:rPr>
        <w:t>puden</w:t>
      </w:r>
      <w:proofErr w:type="spellEnd"/>
      <w:r w:rsidRPr="00E13CD3">
        <w:rPr>
          <w:rFonts w:ascii="Palatino Linotype" w:eastAsia="Palatino Linotype" w:hAnsi="Palatino Linotype" w:cs="Palatino Linotype"/>
          <w:i/>
          <w:color w:val="000000"/>
        </w:rPr>
        <w:t xml:space="preserve"> </w:t>
      </w:r>
      <w:proofErr w:type="spellStart"/>
      <w:r w:rsidRPr="00E13CD3">
        <w:rPr>
          <w:rFonts w:ascii="Palatino Linotype" w:eastAsia="Palatino Linotype" w:hAnsi="Palatino Linotype" w:cs="Palatino Linotype"/>
          <w:i/>
          <w:color w:val="000000"/>
        </w:rPr>
        <w:t>entragar</w:t>
      </w:r>
      <w:proofErr w:type="spellEnd"/>
      <w:r w:rsidRPr="00E13CD3">
        <w:rPr>
          <w:rFonts w:ascii="Palatino Linotype" w:eastAsia="Palatino Linotype" w:hAnsi="Palatino Linotype" w:cs="Palatino Linotype"/>
          <w:i/>
          <w:color w:val="000000"/>
        </w:rPr>
        <w:t xml:space="preserve"> en versión publica y se niegan a entregar la </w:t>
      </w:r>
      <w:proofErr w:type="spellStart"/>
      <w:r w:rsidRPr="00E13CD3">
        <w:rPr>
          <w:rFonts w:ascii="Palatino Linotype" w:eastAsia="Palatino Linotype" w:hAnsi="Palatino Linotype" w:cs="Palatino Linotype"/>
          <w:i/>
          <w:color w:val="000000"/>
        </w:rPr>
        <w:t>nomina</w:t>
      </w:r>
      <w:proofErr w:type="spellEnd"/>
      <w:r w:rsidRPr="00E13CD3">
        <w:rPr>
          <w:rFonts w:ascii="Palatino Linotype" w:eastAsia="Palatino Linotype" w:hAnsi="Palatino Linotype" w:cs="Palatino Linotype"/>
          <w:i/>
          <w:color w:val="000000"/>
        </w:rPr>
        <w:t xml:space="preserve"> y los movimientos de </w:t>
      </w:r>
      <w:proofErr w:type="spellStart"/>
      <w:r w:rsidRPr="00E13CD3">
        <w:rPr>
          <w:rFonts w:ascii="Palatino Linotype" w:eastAsia="Palatino Linotype" w:hAnsi="Palatino Linotype" w:cs="Palatino Linotype"/>
          <w:i/>
          <w:color w:val="000000"/>
        </w:rPr>
        <w:t>issemym</w:t>
      </w:r>
      <w:proofErr w:type="spellEnd"/>
      <w:r w:rsidRPr="00E13CD3">
        <w:rPr>
          <w:rFonts w:ascii="Palatino Linotype" w:eastAsia="Palatino Linotype" w:hAnsi="Palatino Linotype" w:cs="Palatino Linotype"/>
          <w:i/>
          <w:color w:val="000000"/>
        </w:rPr>
        <w:t xml:space="preserve"> de altas y bajas </w:t>
      </w:r>
      <w:proofErr w:type="spellStart"/>
      <w:r w:rsidRPr="00E13CD3">
        <w:rPr>
          <w:rFonts w:ascii="Palatino Linotype" w:eastAsia="Palatino Linotype" w:hAnsi="Palatino Linotype" w:cs="Palatino Linotype"/>
          <w:i/>
          <w:color w:val="000000"/>
        </w:rPr>
        <w:t>ducumentos</w:t>
      </w:r>
      <w:proofErr w:type="spellEnd"/>
      <w:r w:rsidRPr="00E13CD3">
        <w:rPr>
          <w:rFonts w:ascii="Palatino Linotype" w:eastAsia="Palatino Linotype" w:hAnsi="Palatino Linotype" w:cs="Palatino Linotype"/>
          <w:i/>
          <w:color w:val="000000"/>
        </w:rPr>
        <w:t xml:space="preserve"> con un oficio de recursos humanos solo diciendo que no es de sus atribuciones pues </w:t>
      </w:r>
      <w:proofErr w:type="spellStart"/>
      <w:r w:rsidRPr="00E13CD3">
        <w:rPr>
          <w:rFonts w:ascii="Palatino Linotype" w:eastAsia="Palatino Linotype" w:hAnsi="Palatino Linotype" w:cs="Palatino Linotype"/>
          <w:i/>
          <w:color w:val="000000"/>
        </w:rPr>
        <w:t>dr</w:t>
      </w:r>
      <w:proofErr w:type="spellEnd"/>
      <w:r w:rsidRPr="00E13CD3">
        <w:rPr>
          <w:rFonts w:ascii="Palatino Linotype" w:eastAsia="Palatino Linotype" w:hAnsi="Palatino Linotype" w:cs="Palatino Linotype"/>
          <w:i/>
          <w:color w:val="000000"/>
        </w:rPr>
        <w:t xml:space="preserve"> quien sea la competencia debe de entregar la </w:t>
      </w:r>
      <w:proofErr w:type="spellStart"/>
      <w:r w:rsidRPr="00E13CD3">
        <w:rPr>
          <w:rFonts w:ascii="Palatino Linotype" w:eastAsia="Palatino Linotype" w:hAnsi="Palatino Linotype" w:cs="Palatino Linotype"/>
          <w:i/>
          <w:color w:val="000000"/>
        </w:rPr>
        <w:t>infomacion</w:t>
      </w:r>
      <w:proofErr w:type="spellEnd"/>
      <w:r w:rsidRPr="00E13CD3">
        <w:rPr>
          <w:rFonts w:ascii="Palatino Linotype" w:eastAsia="Palatino Linotype" w:hAnsi="Palatino Linotype" w:cs="Palatino Linotype"/>
          <w:i/>
          <w:color w:val="000000"/>
        </w:rPr>
        <w:t xml:space="preserve"> </w:t>
      </w:r>
      <w:proofErr w:type="spellStart"/>
      <w:r w:rsidRPr="00E13CD3">
        <w:rPr>
          <w:rFonts w:ascii="Palatino Linotype" w:eastAsia="Palatino Linotype" w:hAnsi="Palatino Linotype" w:cs="Palatino Linotype"/>
          <w:i/>
          <w:color w:val="000000"/>
        </w:rPr>
        <w:t>yabque</w:t>
      </w:r>
      <w:proofErr w:type="spellEnd"/>
      <w:r w:rsidRPr="00E13CD3">
        <w:rPr>
          <w:rFonts w:ascii="Palatino Linotype" w:eastAsia="Palatino Linotype" w:hAnsi="Palatino Linotype" w:cs="Palatino Linotype"/>
          <w:i/>
          <w:color w:val="000000"/>
        </w:rPr>
        <w:t xml:space="preserve"> es pública.</w:t>
      </w:r>
      <w:r w:rsidRPr="00E13CD3">
        <w:rPr>
          <w:rFonts w:ascii="Palatino Linotype" w:eastAsia="Palatino Linotype" w:hAnsi="Palatino Linotype" w:cs="Palatino Linotype"/>
          <w:i/>
        </w:rPr>
        <w:t>” (Sic)</w:t>
      </w:r>
    </w:p>
    <w:p w14:paraId="27FAAFAA" w14:textId="77777777" w:rsidR="00106087" w:rsidRPr="00E13CD3" w:rsidRDefault="00106087">
      <w:pPr>
        <w:tabs>
          <w:tab w:val="left" w:pos="4667"/>
        </w:tabs>
        <w:spacing w:line="360" w:lineRule="auto"/>
        <w:ind w:left="567" w:right="567"/>
        <w:jc w:val="both"/>
        <w:rPr>
          <w:rFonts w:ascii="Palatino Linotype" w:eastAsia="Palatino Linotype" w:hAnsi="Palatino Linotype" w:cs="Palatino Linotype"/>
          <w:i/>
        </w:rPr>
      </w:pPr>
    </w:p>
    <w:p w14:paraId="5731D0CB" w14:textId="77777777" w:rsidR="00106087" w:rsidRPr="00E13CD3" w:rsidRDefault="00CA6354">
      <w:pPr>
        <w:tabs>
          <w:tab w:val="left" w:pos="4667"/>
        </w:tabs>
        <w:spacing w:line="360" w:lineRule="auto"/>
        <w:ind w:left="567" w:right="567"/>
        <w:jc w:val="both"/>
        <w:rPr>
          <w:rFonts w:ascii="Palatino Linotype" w:eastAsia="Palatino Linotype" w:hAnsi="Palatino Linotype" w:cs="Palatino Linotype"/>
          <w:b/>
          <w:i/>
        </w:rPr>
      </w:pPr>
      <w:r w:rsidRPr="00E13CD3">
        <w:rPr>
          <w:rFonts w:ascii="Palatino Linotype" w:eastAsia="Palatino Linotype" w:hAnsi="Palatino Linotype" w:cs="Palatino Linotype"/>
          <w:b/>
          <w:i/>
        </w:rPr>
        <w:t>“RAZONES O MOTIVOS DE LA INCONFORMIDAD</w:t>
      </w:r>
    </w:p>
    <w:p w14:paraId="2D23D2E4"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color w:val="000000"/>
        </w:rPr>
        <w:t xml:space="preserve">A bien se </w:t>
      </w:r>
      <w:proofErr w:type="spellStart"/>
      <w:r w:rsidRPr="00E13CD3">
        <w:rPr>
          <w:rFonts w:ascii="Palatino Linotype" w:eastAsia="Palatino Linotype" w:hAnsi="Palatino Linotype" w:cs="Palatino Linotype"/>
          <w:i/>
          <w:color w:val="000000"/>
        </w:rPr>
        <w:t>puden</w:t>
      </w:r>
      <w:proofErr w:type="spellEnd"/>
      <w:r w:rsidRPr="00E13CD3">
        <w:rPr>
          <w:rFonts w:ascii="Palatino Linotype" w:eastAsia="Palatino Linotype" w:hAnsi="Palatino Linotype" w:cs="Palatino Linotype"/>
          <w:i/>
          <w:color w:val="000000"/>
        </w:rPr>
        <w:t xml:space="preserve"> </w:t>
      </w:r>
      <w:proofErr w:type="spellStart"/>
      <w:r w:rsidRPr="00E13CD3">
        <w:rPr>
          <w:rFonts w:ascii="Palatino Linotype" w:eastAsia="Palatino Linotype" w:hAnsi="Palatino Linotype" w:cs="Palatino Linotype"/>
          <w:i/>
          <w:color w:val="000000"/>
        </w:rPr>
        <w:t>entragar</w:t>
      </w:r>
      <w:proofErr w:type="spellEnd"/>
      <w:r w:rsidRPr="00E13CD3">
        <w:rPr>
          <w:rFonts w:ascii="Palatino Linotype" w:eastAsia="Palatino Linotype" w:hAnsi="Palatino Linotype" w:cs="Palatino Linotype"/>
          <w:i/>
          <w:color w:val="000000"/>
        </w:rPr>
        <w:t xml:space="preserve"> en versión publica y se niegan a entregar la </w:t>
      </w:r>
      <w:proofErr w:type="spellStart"/>
      <w:r w:rsidRPr="00E13CD3">
        <w:rPr>
          <w:rFonts w:ascii="Palatino Linotype" w:eastAsia="Palatino Linotype" w:hAnsi="Palatino Linotype" w:cs="Palatino Linotype"/>
          <w:i/>
          <w:color w:val="000000"/>
        </w:rPr>
        <w:t>nomina</w:t>
      </w:r>
      <w:proofErr w:type="spellEnd"/>
      <w:r w:rsidRPr="00E13CD3">
        <w:rPr>
          <w:rFonts w:ascii="Palatino Linotype" w:eastAsia="Palatino Linotype" w:hAnsi="Palatino Linotype" w:cs="Palatino Linotype"/>
          <w:i/>
          <w:color w:val="000000"/>
        </w:rPr>
        <w:t xml:space="preserve"> y los movimientos de </w:t>
      </w:r>
      <w:proofErr w:type="spellStart"/>
      <w:r w:rsidRPr="00E13CD3">
        <w:rPr>
          <w:rFonts w:ascii="Palatino Linotype" w:eastAsia="Palatino Linotype" w:hAnsi="Palatino Linotype" w:cs="Palatino Linotype"/>
          <w:i/>
          <w:color w:val="000000"/>
        </w:rPr>
        <w:t>issemym</w:t>
      </w:r>
      <w:proofErr w:type="spellEnd"/>
      <w:r w:rsidRPr="00E13CD3">
        <w:rPr>
          <w:rFonts w:ascii="Palatino Linotype" w:eastAsia="Palatino Linotype" w:hAnsi="Palatino Linotype" w:cs="Palatino Linotype"/>
          <w:i/>
          <w:color w:val="000000"/>
        </w:rPr>
        <w:t xml:space="preserve"> de altas y bajas </w:t>
      </w:r>
      <w:proofErr w:type="spellStart"/>
      <w:r w:rsidRPr="00E13CD3">
        <w:rPr>
          <w:rFonts w:ascii="Palatino Linotype" w:eastAsia="Palatino Linotype" w:hAnsi="Palatino Linotype" w:cs="Palatino Linotype"/>
          <w:i/>
          <w:color w:val="000000"/>
        </w:rPr>
        <w:t>ducumentos</w:t>
      </w:r>
      <w:proofErr w:type="spellEnd"/>
      <w:r w:rsidRPr="00E13CD3">
        <w:rPr>
          <w:rFonts w:ascii="Palatino Linotype" w:eastAsia="Palatino Linotype" w:hAnsi="Palatino Linotype" w:cs="Palatino Linotype"/>
          <w:i/>
          <w:color w:val="000000"/>
        </w:rPr>
        <w:t xml:space="preserve"> con un oficio de recursos humanos solo diciendo que no es de sus atribuciones pues </w:t>
      </w:r>
      <w:proofErr w:type="spellStart"/>
      <w:r w:rsidRPr="00E13CD3">
        <w:rPr>
          <w:rFonts w:ascii="Palatino Linotype" w:eastAsia="Palatino Linotype" w:hAnsi="Palatino Linotype" w:cs="Palatino Linotype"/>
          <w:i/>
          <w:color w:val="000000"/>
        </w:rPr>
        <w:t>dr</w:t>
      </w:r>
      <w:proofErr w:type="spellEnd"/>
      <w:r w:rsidRPr="00E13CD3">
        <w:rPr>
          <w:rFonts w:ascii="Palatino Linotype" w:eastAsia="Palatino Linotype" w:hAnsi="Palatino Linotype" w:cs="Palatino Linotype"/>
          <w:i/>
          <w:color w:val="000000"/>
        </w:rPr>
        <w:t xml:space="preserve"> quien sea la competencia debe de entregar la </w:t>
      </w:r>
      <w:proofErr w:type="spellStart"/>
      <w:r w:rsidRPr="00E13CD3">
        <w:rPr>
          <w:rFonts w:ascii="Palatino Linotype" w:eastAsia="Palatino Linotype" w:hAnsi="Palatino Linotype" w:cs="Palatino Linotype"/>
          <w:i/>
          <w:color w:val="000000"/>
        </w:rPr>
        <w:t>infomacion</w:t>
      </w:r>
      <w:proofErr w:type="spellEnd"/>
      <w:r w:rsidRPr="00E13CD3">
        <w:rPr>
          <w:rFonts w:ascii="Palatino Linotype" w:eastAsia="Palatino Linotype" w:hAnsi="Palatino Linotype" w:cs="Palatino Linotype"/>
          <w:i/>
          <w:color w:val="000000"/>
        </w:rPr>
        <w:t xml:space="preserve"> </w:t>
      </w:r>
      <w:proofErr w:type="spellStart"/>
      <w:r w:rsidRPr="00E13CD3">
        <w:rPr>
          <w:rFonts w:ascii="Palatino Linotype" w:eastAsia="Palatino Linotype" w:hAnsi="Palatino Linotype" w:cs="Palatino Linotype"/>
          <w:i/>
          <w:color w:val="000000"/>
        </w:rPr>
        <w:t>yabque</w:t>
      </w:r>
      <w:proofErr w:type="spellEnd"/>
      <w:r w:rsidRPr="00E13CD3">
        <w:rPr>
          <w:rFonts w:ascii="Palatino Linotype" w:eastAsia="Palatino Linotype" w:hAnsi="Palatino Linotype" w:cs="Palatino Linotype"/>
          <w:i/>
          <w:color w:val="000000"/>
        </w:rPr>
        <w:t xml:space="preserve"> es pública.</w:t>
      </w:r>
      <w:r w:rsidRPr="00E13CD3">
        <w:rPr>
          <w:rFonts w:ascii="Palatino Linotype" w:eastAsia="Palatino Linotype" w:hAnsi="Palatino Linotype" w:cs="Palatino Linotype"/>
          <w:i/>
        </w:rPr>
        <w:t>” (Sic)</w:t>
      </w:r>
    </w:p>
    <w:p w14:paraId="525E31D2" w14:textId="77777777" w:rsidR="00106087" w:rsidRPr="00E13CD3" w:rsidRDefault="00106087">
      <w:pPr>
        <w:spacing w:line="360" w:lineRule="auto"/>
        <w:ind w:right="-28"/>
        <w:jc w:val="both"/>
        <w:rPr>
          <w:rFonts w:ascii="Palatino Linotype" w:eastAsia="Palatino Linotype" w:hAnsi="Palatino Linotype" w:cs="Palatino Linotype"/>
          <w:b/>
          <w:sz w:val="22"/>
          <w:szCs w:val="22"/>
        </w:rPr>
      </w:pPr>
    </w:p>
    <w:p w14:paraId="02AA1996" w14:textId="77777777" w:rsidR="00106087" w:rsidRPr="00E13CD3" w:rsidRDefault="00CA6354">
      <w:pPr>
        <w:spacing w:line="360" w:lineRule="auto"/>
        <w:ind w:right="-28"/>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IV. Trámite del Recurso de Revisión ante el Instituto</w:t>
      </w:r>
    </w:p>
    <w:p w14:paraId="52A4503B" w14:textId="77777777" w:rsidR="00106087" w:rsidRPr="00E13CD3" w:rsidRDefault="00106087">
      <w:pPr>
        <w:spacing w:line="360" w:lineRule="auto"/>
        <w:ind w:right="-28"/>
        <w:jc w:val="both"/>
        <w:rPr>
          <w:rFonts w:ascii="Palatino Linotype" w:eastAsia="Palatino Linotype" w:hAnsi="Palatino Linotype" w:cs="Palatino Linotype"/>
          <w:b/>
          <w:sz w:val="22"/>
          <w:szCs w:val="22"/>
        </w:rPr>
      </w:pPr>
    </w:p>
    <w:p w14:paraId="04A6BEE2"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b/>
          <w:sz w:val="22"/>
          <w:szCs w:val="22"/>
        </w:rPr>
        <w:t xml:space="preserve">a) Turno del Recurso de Revisión. </w:t>
      </w:r>
      <w:r w:rsidRPr="00E13CD3">
        <w:rPr>
          <w:rFonts w:ascii="Palatino Linotype" w:eastAsia="Palatino Linotype" w:hAnsi="Palatino Linotype" w:cs="Palatino Linotype"/>
          <w:sz w:val="22"/>
          <w:szCs w:val="22"/>
        </w:rPr>
        <w:t xml:space="preserve">El nueve de febrero de dos mil veinticinco, el Sistema de Acceso a la Información Mexiquense (SAIMEX), asignó el número de expediente </w:t>
      </w:r>
      <w:r w:rsidRPr="00E13CD3">
        <w:rPr>
          <w:rFonts w:ascii="Palatino Linotype" w:eastAsia="Palatino Linotype" w:hAnsi="Palatino Linotype" w:cs="Palatino Linotype"/>
          <w:b/>
          <w:sz w:val="22"/>
          <w:szCs w:val="22"/>
        </w:rPr>
        <w:t xml:space="preserve">00906/INFOEM/IP/RR/2025, </w:t>
      </w:r>
      <w:r w:rsidRPr="00E13CD3">
        <w:rPr>
          <w:rFonts w:ascii="Palatino Linotype" w:eastAsia="Palatino Linotype" w:hAnsi="Palatino Linotype" w:cs="Palatino Linotype"/>
          <w:sz w:val="22"/>
          <w:szCs w:val="22"/>
        </w:rPr>
        <w:t xml:space="preserve">al Recurso de Revisión y lo turnó al Comisionado Ponente </w:t>
      </w:r>
      <w:r w:rsidRPr="00E13CD3">
        <w:rPr>
          <w:rFonts w:ascii="Palatino Linotype" w:eastAsia="Palatino Linotype" w:hAnsi="Palatino Linotype" w:cs="Palatino Linotype"/>
          <w:b/>
          <w:sz w:val="22"/>
          <w:szCs w:val="22"/>
        </w:rPr>
        <w:t>Luis Gustavo Parra Noriega</w:t>
      </w:r>
      <w:r w:rsidRPr="00E13CD3">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0BF5873F"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655236A1"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b/>
          <w:sz w:val="22"/>
          <w:szCs w:val="22"/>
        </w:rPr>
        <w:t xml:space="preserve">b) Admisión del Recurso de Revisión. </w:t>
      </w:r>
      <w:r w:rsidRPr="00E13CD3">
        <w:rPr>
          <w:rFonts w:ascii="Palatino Linotype" w:eastAsia="Palatino Linotype" w:hAnsi="Palatino Linotype" w:cs="Palatino Linotype"/>
          <w:sz w:val="22"/>
          <w:szCs w:val="22"/>
        </w:rPr>
        <w:t xml:space="preserve">El trece de febrero de dos mil veinticinco, se acordó la admisión del Recurso de Revisión interpuesto por el Recurrente en contra del Sujeto Obligado, </w:t>
      </w:r>
      <w:r w:rsidRPr="00E13CD3">
        <w:rPr>
          <w:rFonts w:ascii="Palatino Linotype" w:eastAsia="Palatino Linotype" w:hAnsi="Palatino Linotype" w:cs="Palatino Linotype"/>
          <w:sz w:val="22"/>
          <w:szCs w:val="22"/>
        </w:rPr>
        <w:lastRenderedPageBreak/>
        <w:t>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1E06A7EA"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064854B" w14:textId="77777777" w:rsidR="00106087" w:rsidRPr="00E13CD3" w:rsidRDefault="00CA6354">
      <w:pPr>
        <w:spacing w:line="360" w:lineRule="auto"/>
        <w:jc w:val="both"/>
        <w:rPr>
          <w:rFonts w:ascii="Palatino Linotype" w:eastAsia="Palatino Linotype" w:hAnsi="Palatino Linotype" w:cs="Palatino Linotype"/>
          <w:sz w:val="22"/>
          <w:szCs w:val="22"/>
        </w:rPr>
      </w:pPr>
      <w:bookmarkStart w:id="2" w:name="_heading=h.1fob9te" w:colFirst="0" w:colLast="0"/>
      <w:bookmarkEnd w:id="2"/>
      <w:r w:rsidRPr="00E13CD3">
        <w:rPr>
          <w:rFonts w:ascii="Palatino Linotype" w:eastAsia="Palatino Linotype" w:hAnsi="Palatino Linotype" w:cs="Palatino Linotype"/>
          <w:b/>
          <w:color w:val="000000"/>
          <w:sz w:val="22"/>
          <w:szCs w:val="22"/>
        </w:rPr>
        <w:t>c)</w:t>
      </w:r>
      <w:r w:rsidRPr="00E13CD3">
        <w:rPr>
          <w:rFonts w:ascii="Palatino Linotype" w:eastAsia="Palatino Linotype" w:hAnsi="Palatino Linotype" w:cs="Palatino Linotype"/>
          <w:color w:val="000000"/>
          <w:sz w:val="22"/>
          <w:szCs w:val="22"/>
        </w:rPr>
        <w:t xml:space="preserve"> </w:t>
      </w:r>
      <w:r w:rsidRPr="00E13CD3">
        <w:rPr>
          <w:rFonts w:ascii="Palatino Linotype" w:eastAsia="Palatino Linotype" w:hAnsi="Palatino Linotype" w:cs="Palatino Linotype"/>
          <w:b/>
          <w:sz w:val="22"/>
          <w:szCs w:val="22"/>
        </w:rPr>
        <w:t xml:space="preserve">Informe Justificado o Manifestaciones. </w:t>
      </w:r>
      <w:r w:rsidRPr="00E13CD3">
        <w:rPr>
          <w:rFonts w:ascii="Palatino Linotype" w:eastAsia="Palatino Linotype" w:hAnsi="Palatino Linotype" w:cs="Palatino Linotype"/>
          <w:sz w:val="22"/>
          <w:szCs w:val="22"/>
        </w:rPr>
        <w:t>Las partes fueron omisas en realizar manifestaciones o alegatos.</w:t>
      </w:r>
    </w:p>
    <w:p w14:paraId="2B5A3416"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3E8CFF6B" w14:textId="77777777" w:rsidR="00106087" w:rsidRPr="00E13CD3" w:rsidRDefault="00CA6354">
      <w:p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 xml:space="preserve">d) Cierre de instrucción. </w:t>
      </w:r>
      <w:r w:rsidRPr="00E13CD3">
        <w:rPr>
          <w:rFonts w:ascii="Palatino Linotype" w:eastAsia="Palatino Linotype" w:hAnsi="Palatino Linotype" w:cs="Palatino Linotype"/>
          <w:sz w:val="22"/>
          <w:szCs w:val="22"/>
        </w:rPr>
        <w:t>El seis de marzo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14:paraId="422F826A"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33AAEE7B" w14:textId="77777777" w:rsidR="00106087" w:rsidRPr="00E13CD3" w:rsidRDefault="00CA6354">
      <w:pPr>
        <w:spacing w:line="360" w:lineRule="auto"/>
        <w:ind w:right="-28"/>
        <w:jc w:val="both"/>
        <w:rPr>
          <w:rFonts w:ascii="Palatino Linotype" w:eastAsia="Palatino Linotype" w:hAnsi="Palatino Linotype" w:cs="Palatino Linotype"/>
          <w:color w:val="000000"/>
          <w:sz w:val="22"/>
          <w:szCs w:val="22"/>
        </w:rPr>
      </w:pPr>
      <w:proofErr w:type="gramStart"/>
      <w:r w:rsidRPr="00E13CD3">
        <w:rPr>
          <w:rFonts w:ascii="Palatino Linotype" w:eastAsia="Palatino Linotype" w:hAnsi="Palatino Linotype" w:cs="Palatino Linotype"/>
          <w:color w:val="000000"/>
          <w:sz w:val="22"/>
          <w:szCs w:val="22"/>
        </w:rPr>
        <w:t>En razón de</w:t>
      </w:r>
      <w:proofErr w:type="gramEnd"/>
      <w:r w:rsidRPr="00E13CD3">
        <w:rPr>
          <w:rFonts w:ascii="Palatino Linotype" w:eastAsia="Palatino Linotype" w:hAnsi="Palatino Linotype" w:cs="Palatino Linotype"/>
          <w:color w:val="000000"/>
          <w:sz w:val="22"/>
          <w:szCs w:val="22"/>
        </w:rPr>
        <w:t xml:space="preserve"> que fue debidamente sustanciado el expediente electrónico y no existe diligencia pendiente de desahogo, se emite la resolución que conforme a Derecho proceda, de acuerdo a los siguientes:</w:t>
      </w:r>
    </w:p>
    <w:p w14:paraId="3F8BB395" w14:textId="77777777" w:rsidR="00106087" w:rsidRPr="00E13CD3" w:rsidRDefault="00106087">
      <w:pPr>
        <w:spacing w:line="360" w:lineRule="auto"/>
        <w:ind w:right="-28"/>
        <w:jc w:val="both"/>
        <w:rPr>
          <w:rFonts w:ascii="Palatino Linotype" w:eastAsia="Palatino Linotype" w:hAnsi="Palatino Linotype" w:cs="Palatino Linotype"/>
          <w:color w:val="000000"/>
          <w:sz w:val="22"/>
          <w:szCs w:val="22"/>
        </w:rPr>
      </w:pPr>
    </w:p>
    <w:p w14:paraId="6D753F3B" w14:textId="77777777" w:rsidR="00106087" w:rsidRPr="00E13CD3" w:rsidRDefault="00CA6354">
      <w:pPr>
        <w:spacing w:line="360" w:lineRule="auto"/>
        <w:ind w:right="-28"/>
        <w:jc w:val="center"/>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C O N S I D E R A N D O S</w:t>
      </w:r>
    </w:p>
    <w:p w14:paraId="4607AE0C" w14:textId="77777777" w:rsidR="00106087" w:rsidRPr="00E13CD3" w:rsidRDefault="00106087">
      <w:pPr>
        <w:spacing w:line="360" w:lineRule="auto"/>
        <w:ind w:right="-28"/>
        <w:jc w:val="center"/>
        <w:rPr>
          <w:rFonts w:ascii="Palatino Linotype" w:eastAsia="Palatino Linotype" w:hAnsi="Palatino Linotype" w:cs="Palatino Linotype"/>
          <w:b/>
          <w:sz w:val="22"/>
          <w:szCs w:val="22"/>
        </w:rPr>
      </w:pPr>
    </w:p>
    <w:p w14:paraId="2FACE6B1" w14:textId="77777777" w:rsidR="00106087" w:rsidRPr="00E13CD3" w:rsidRDefault="00CA6354">
      <w:pPr>
        <w:spacing w:line="360" w:lineRule="auto"/>
        <w:ind w:right="-28"/>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color w:val="000000"/>
          <w:sz w:val="22"/>
          <w:szCs w:val="22"/>
        </w:rPr>
        <w:t>PRIMERO</w:t>
      </w:r>
      <w:r w:rsidRPr="00E13CD3">
        <w:rPr>
          <w:rFonts w:ascii="Palatino Linotype" w:eastAsia="Palatino Linotype" w:hAnsi="Palatino Linotype" w:cs="Palatino Linotype"/>
          <w:color w:val="000000"/>
          <w:sz w:val="22"/>
          <w:szCs w:val="22"/>
        </w:rPr>
        <w:t xml:space="preserve">. </w:t>
      </w:r>
      <w:r w:rsidRPr="00E13CD3">
        <w:rPr>
          <w:rFonts w:ascii="Palatino Linotype" w:eastAsia="Palatino Linotype" w:hAnsi="Palatino Linotype" w:cs="Palatino Linotype"/>
          <w:b/>
          <w:sz w:val="22"/>
          <w:szCs w:val="22"/>
        </w:rPr>
        <w:t>Competencia</w:t>
      </w:r>
    </w:p>
    <w:p w14:paraId="171AD019" w14:textId="77777777" w:rsidR="00106087" w:rsidRPr="00E13CD3" w:rsidRDefault="00106087">
      <w:pPr>
        <w:spacing w:line="360" w:lineRule="auto"/>
        <w:ind w:right="-28"/>
        <w:jc w:val="both"/>
        <w:rPr>
          <w:rFonts w:ascii="Palatino Linotype" w:eastAsia="Palatino Linotype" w:hAnsi="Palatino Linotype" w:cs="Palatino Linotype"/>
          <w:b/>
          <w:sz w:val="22"/>
          <w:szCs w:val="22"/>
        </w:rPr>
      </w:pPr>
    </w:p>
    <w:p w14:paraId="7AAE009B" w14:textId="77777777" w:rsidR="00106087" w:rsidRPr="00E13CD3" w:rsidRDefault="00CA6354">
      <w:pPr>
        <w:spacing w:line="360" w:lineRule="auto"/>
        <w:ind w:right="-28"/>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w:t>
      </w:r>
      <w:r w:rsidRPr="00E13CD3">
        <w:rPr>
          <w:rFonts w:ascii="Palatino Linotype" w:eastAsia="Palatino Linotype" w:hAnsi="Palatino Linotype" w:cs="Palatino Linotype"/>
          <w:color w:val="000000"/>
          <w:sz w:val="22"/>
          <w:szCs w:val="22"/>
        </w:rPr>
        <w:lastRenderedPageBreak/>
        <w:t>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13CD3">
        <w:rPr>
          <w:rFonts w:ascii="Palatino Linotype" w:eastAsia="Palatino Linotype" w:hAnsi="Palatino Linotype" w:cs="Palatino Linotype"/>
          <w:color w:val="000000"/>
        </w:rPr>
        <w:t xml:space="preserve"> 7°, </w:t>
      </w:r>
      <w:r w:rsidRPr="00E13CD3">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005A3CFD" w14:textId="77777777" w:rsidR="00106087" w:rsidRPr="00E13CD3" w:rsidRDefault="00106087">
      <w:pPr>
        <w:spacing w:line="360" w:lineRule="auto"/>
        <w:ind w:right="-28"/>
        <w:jc w:val="both"/>
        <w:rPr>
          <w:rFonts w:ascii="Palatino Linotype" w:eastAsia="Palatino Linotype" w:hAnsi="Palatino Linotype" w:cs="Palatino Linotype"/>
          <w:color w:val="000000"/>
          <w:sz w:val="22"/>
          <w:szCs w:val="22"/>
        </w:rPr>
      </w:pPr>
    </w:p>
    <w:p w14:paraId="20E260FF" w14:textId="77777777" w:rsidR="00106087" w:rsidRPr="00E13CD3" w:rsidRDefault="00CA6354">
      <w:pPr>
        <w:spacing w:line="360" w:lineRule="auto"/>
        <w:ind w:right="-28"/>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b/>
          <w:color w:val="000000"/>
          <w:sz w:val="22"/>
          <w:szCs w:val="22"/>
        </w:rPr>
        <w:t>SEGUNDO. Causales de improcedencia y sobreseimiento</w:t>
      </w:r>
    </w:p>
    <w:p w14:paraId="27AFDB20" w14:textId="77777777" w:rsidR="00106087" w:rsidRPr="00E13CD3" w:rsidRDefault="00106087">
      <w:pPr>
        <w:spacing w:line="360" w:lineRule="auto"/>
        <w:ind w:right="-28"/>
        <w:jc w:val="both"/>
        <w:rPr>
          <w:rFonts w:ascii="Palatino Linotype" w:eastAsia="Palatino Linotype" w:hAnsi="Palatino Linotype" w:cs="Palatino Linotype"/>
          <w:b/>
          <w:color w:val="000000"/>
          <w:sz w:val="22"/>
          <w:szCs w:val="22"/>
        </w:rPr>
      </w:pPr>
    </w:p>
    <w:p w14:paraId="20761D3D"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E13CD3">
        <w:rPr>
          <w:rFonts w:ascii="Palatino Linotype" w:eastAsia="Palatino Linotype" w:hAnsi="Palatino Linotype" w:cs="Palatino Linotype"/>
          <w:i/>
          <w:sz w:val="22"/>
          <w:szCs w:val="22"/>
        </w:rPr>
        <w:t>litis</w:t>
      </w:r>
      <w:r w:rsidRPr="00E13CD3">
        <w:rPr>
          <w:rFonts w:ascii="Palatino Linotype" w:eastAsia="Palatino Linotype" w:hAnsi="Palatino Linotype" w:cs="Palatino Linotype"/>
          <w:sz w:val="22"/>
          <w:szCs w:val="22"/>
        </w:rPr>
        <w:t>, es necesario estudiar las causales de improcedencia, para determinar lo que en Derecho proceda.</w:t>
      </w:r>
    </w:p>
    <w:p w14:paraId="6E4C72FE" w14:textId="77777777" w:rsidR="00106087" w:rsidRPr="00E13CD3" w:rsidRDefault="00106087">
      <w:pPr>
        <w:spacing w:line="360" w:lineRule="auto"/>
        <w:jc w:val="both"/>
        <w:rPr>
          <w:rFonts w:ascii="Palatino Linotype" w:eastAsia="Palatino Linotype" w:hAnsi="Palatino Linotype" w:cs="Palatino Linotype"/>
          <w:b/>
          <w:color w:val="000000"/>
          <w:sz w:val="22"/>
          <w:szCs w:val="22"/>
        </w:rPr>
      </w:pPr>
    </w:p>
    <w:p w14:paraId="05E45F35" w14:textId="77777777" w:rsidR="00106087" w:rsidRPr="00E13CD3" w:rsidRDefault="00CA6354">
      <w:p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b/>
          <w:color w:val="000000"/>
          <w:sz w:val="22"/>
          <w:szCs w:val="22"/>
        </w:rPr>
        <w:t>Causales de improcedencia</w:t>
      </w:r>
    </w:p>
    <w:p w14:paraId="25251B25"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1B8F1856" w14:textId="77777777" w:rsidR="00106087" w:rsidRPr="00E13CD3" w:rsidRDefault="00CA6354">
      <w:pPr>
        <w:spacing w:line="360" w:lineRule="auto"/>
        <w:ind w:right="-28"/>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BA55011" w14:textId="77777777" w:rsidR="00106087" w:rsidRPr="00E13CD3" w:rsidRDefault="00106087">
      <w:pPr>
        <w:spacing w:line="360" w:lineRule="auto"/>
        <w:ind w:right="-28"/>
        <w:jc w:val="both"/>
        <w:rPr>
          <w:rFonts w:ascii="Palatino Linotype" w:eastAsia="Palatino Linotype" w:hAnsi="Palatino Linotype" w:cs="Palatino Linotype"/>
          <w:color w:val="000000"/>
          <w:sz w:val="22"/>
          <w:szCs w:val="22"/>
        </w:rPr>
      </w:pPr>
    </w:p>
    <w:p w14:paraId="6FFD782F"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sz w:val="22"/>
          <w:szCs w:val="22"/>
        </w:rPr>
        <w:t>En el presente caso, </w:t>
      </w:r>
      <w:r w:rsidRPr="00E13CD3">
        <w:rPr>
          <w:rFonts w:ascii="Palatino Linotype" w:eastAsia="Palatino Linotype" w:hAnsi="Palatino Linotype" w:cs="Palatino Linotype"/>
          <w:b/>
          <w:sz w:val="22"/>
          <w:szCs w:val="22"/>
        </w:rPr>
        <w:t>no se actualiza ninguna de las causales de improcedencia</w:t>
      </w:r>
      <w:r w:rsidRPr="00E13CD3">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sidRPr="00E13CD3">
        <w:rPr>
          <w:rFonts w:ascii="Palatino Linotype" w:eastAsia="Palatino Linotype" w:hAnsi="Palatino Linotype" w:cs="Palatino Linotype"/>
          <w:color w:val="000000"/>
          <w:sz w:val="22"/>
          <w:szCs w:val="22"/>
        </w:rPr>
        <w:t>el medio de impugnación fue presentado en tiempo.</w:t>
      </w:r>
    </w:p>
    <w:p w14:paraId="69F8A55F"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02ED28EC" w14:textId="77777777" w:rsidR="00106087" w:rsidRPr="00E13CD3" w:rsidRDefault="00CA6354">
      <w:pPr>
        <w:widowControl w:val="0"/>
        <w:spacing w:line="360" w:lineRule="auto"/>
        <w:jc w:val="both"/>
        <w:rPr>
          <w:rFonts w:ascii="Palatino Linotype" w:eastAsia="Palatino Linotype" w:hAnsi="Palatino Linotype" w:cs="Palatino Linotype"/>
          <w:sz w:val="22"/>
          <w:szCs w:val="22"/>
        </w:rPr>
      </w:pPr>
      <w:bookmarkStart w:id="3" w:name="_heading=h.3znysh7" w:colFirst="0" w:colLast="0"/>
      <w:bookmarkEnd w:id="3"/>
      <w:r w:rsidRPr="00E13CD3">
        <w:rPr>
          <w:rFonts w:ascii="Palatino Linotype" w:eastAsia="Palatino Linotype" w:hAnsi="Palatino Linotype" w:cs="Palatino Linotype"/>
          <w:sz w:val="22"/>
          <w:szCs w:val="22"/>
        </w:rPr>
        <w:t xml:space="preserve">Asimismo, se actualiza la causal de procedencia del Recurso de Revisión señalada en el artículo 179, fracción II y VI, de la Ley en cita, </w:t>
      </w:r>
      <w:r w:rsidRPr="00E13CD3">
        <w:rPr>
          <w:rFonts w:ascii="Palatino Linotype" w:eastAsia="Palatino Linotype" w:hAnsi="Palatino Linotype" w:cs="Palatino Linotype"/>
          <w:color w:val="000000"/>
          <w:sz w:val="22"/>
          <w:szCs w:val="22"/>
        </w:rPr>
        <w:t xml:space="preserve">pues el Recurrente se inconformó con </w:t>
      </w:r>
      <w:r w:rsidRPr="00E13CD3">
        <w:rPr>
          <w:rFonts w:ascii="Palatino Linotype" w:eastAsia="Palatino Linotype" w:hAnsi="Palatino Linotype" w:cs="Palatino Linotype"/>
          <w:sz w:val="22"/>
          <w:szCs w:val="22"/>
        </w:rPr>
        <w:t>la clasificación de la información, y la entrega de información que no corresponde con lo solicitado.</w:t>
      </w:r>
    </w:p>
    <w:p w14:paraId="5F479F6D" w14:textId="77777777" w:rsidR="00106087" w:rsidRPr="00E13CD3" w:rsidRDefault="00106087">
      <w:pPr>
        <w:spacing w:line="360" w:lineRule="auto"/>
        <w:jc w:val="both"/>
        <w:rPr>
          <w:rFonts w:ascii="Palatino Linotype" w:eastAsia="Palatino Linotype" w:hAnsi="Palatino Linotype" w:cs="Palatino Linotype"/>
          <w:b/>
          <w:color w:val="0D0D0D"/>
          <w:sz w:val="22"/>
          <w:szCs w:val="22"/>
        </w:rPr>
      </w:pPr>
    </w:p>
    <w:p w14:paraId="59BC138E" w14:textId="77777777" w:rsidR="00106087" w:rsidRPr="00E13CD3" w:rsidRDefault="00CA6354">
      <w:pPr>
        <w:spacing w:line="360" w:lineRule="auto"/>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b/>
          <w:color w:val="0D0D0D"/>
          <w:sz w:val="22"/>
          <w:szCs w:val="22"/>
        </w:rPr>
        <w:t>Causales de sobreseimiento</w:t>
      </w:r>
    </w:p>
    <w:p w14:paraId="1F472234" w14:textId="77777777" w:rsidR="00106087" w:rsidRPr="00E13CD3" w:rsidRDefault="00106087">
      <w:pPr>
        <w:spacing w:line="360" w:lineRule="auto"/>
        <w:jc w:val="both"/>
        <w:rPr>
          <w:rFonts w:ascii="Palatino Linotype" w:eastAsia="Palatino Linotype" w:hAnsi="Palatino Linotype" w:cs="Palatino Linotype"/>
          <w:color w:val="0D0D0D"/>
          <w:sz w:val="22"/>
          <w:szCs w:val="22"/>
        </w:rPr>
      </w:pPr>
    </w:p>
    <w:p w14:paraId="06F7E2C9"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Por ser de previo y especial pronunciamiento, este Instituto analiza si se actualiza alguna causal de sobreseimiento.</w:t>
      </w:r>
    </w:p>
    <w:p w14:paraId="6EC3EDD7"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6D88537A"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w:t>
      </w:r>
      <w:r w:rsidRPr="00E13CD3">
        <w:rPr>
          <w:rFonts w:ascii="Palatino Linotype" w:eastAsia="Palatino Linotype" w:hAnsi="Palatino Linotype" w:cs="Palatino Linotype"/>
          <w:sz w:val="22"/>
          <w:szCs w:val="22"/>
        </w:rPr>
        <w:lastRenderedPageBreak/>
        <w:t>fallecido, sobreviniera alguna causal de improcedencia, que el Sujeto Obligado hubiese modificado o revocado el acto impugnado o bien, haya quedado sin materia.</w:t>
      </w:r>
    </w:p>
    <w:p w14:paraId="21F7719F"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2CCEB5CF" w14:textId="77777777" w:rsidR="00106087" w:rsidRPr="00E13CD3" w:rsidRDefault="00CA6354">
      <w:pPr>
        <w:tabs>
          <w:tab w:val="left" w:pos="4962"/>
        </w:tabs>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Por tales motivos, se considera procedente entrar al fondo del presente asunto. </w:t>
      </w:r>
    </w:p>
    <w:p w14:paraId="11217FE6" w14:textId="77777777" w:rsidR="00106087" w:rsidRPr="00E13CD3" w:rsidRDefault="00106087">
      <w:pPr>
        <w:tabs>
          <w:tab w:val="left" w:pos="4962"/>
        </w:tabs>
        <w:spacing w:line="360" w:lineRule="auto"/>
        <w:jc w:val="both"/>
        <w:rPr>
          <w:rFonts w:ascii="Palatino Linotype" w:eastAsia="Palatino Linotype" w:hAnsi="Palatino Linotype" w:cs="Palatino Linotype"/>
          <w:sz w:val="22"/>
          <w:szCs w:val="22"/>
        </w:rPr>
      </w:pPr>
    </w:p>
    <w:p w14:paraId="4D3448C9" w14:textId="77777777" w:rsidR="00106087" w:rsidRPr="00E13CD3" w:rsidRDefault="00CA6354">
      <w:pPr>
        <w:tabs>
          <w:tab w:val="left" w:pos="4962"/>
        </w:tabs>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TERCERO. Determinación de la Controversia</w:t>
      </w:r>
    </w:p>
    <w:p w14:paraId="69D923A1" w14:textId="77777777" w:rsidR="00106087" w:rsidRPr="00E13CD3" w:rsidRDefault="00106087">
      <w:pPr>
        <w:tabs>
          <w:tab w:val="left" w:pos="4962"/>
        </w:tabs>
        <w:spacing w:line="360" w:lineRule="auto"/>
        <w:jc w:val="both"/>
        <w:rPr>
          <w:rFonts w:ascii="Palatino Linotype" w:eastAsia="Palatino Linotype" w:hAnsi="Palatino Linotype" w:cs="Palatino Linotype"/>
          <w:b/>
          <w:sz w:val="22"/>
          <w:szCs w:val="22"/>
        </w:rPr>
      </w:pPr>
    </w:p>
    <w:p w14:paraId="4A38C4CF"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Una vez realizado el estudio de las constancias que integran el expediente en que se actúa, se desprende que el Particular requirió, respecto del personal adscrito al Ayuntamiento de Calimaya, del primero al quince de enero de dos mil veinticinco, lo siguiente.</w:t>
      </w:r>
    </w:p>
    <w:p w14:paraId="7EE3138F"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68725766" w14:textId="77777777" w:rsidR="00106087" w:rsidRPr="00E13CD3" w:rsidRDefault="00CA6354">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Movimientos de Altas y Bajas;</w:t>
      </w:r>
    </w:p>
    <w:p w14:paraId="058FC70A" w14:textId="77777777" w:rsidR="00106087" w:rsidRPr="00E13CD3" w:rsidRDefault="0010608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77D37C15" w14:textId="77777777" w:rsidR="00106087" w:rsidRPr="00E13CD3" w:rsidRDefault="00CA6354">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Recibos de Nómina</w:t>
      </w:r>
    </w:p>
    <w:p w14:paraId="074C2D57" w14:textId="77777777" w:rsidR="00106087" w:rsidRPr="00E13CD3" w:rsidRDefault="0010608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107411E3"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sz w:val="22"/>
          <w:szCs w:val="22"/>
        </w:rPr>
        <w:t xml:space="preserve">En respuesta, el Sujeto Obligado a través de la Coordinación de Recursos Humanos, informó que la información no era de su competencia, por su parte la Tesorería Municipal, indicó que la información contenía datos personales que hacían identificable a los servidores públicos por lo que no podía proporcionar el nombre contenido en los recibos de nómina; Sin embargo, no se trataba de una negativa de la información, por lo que proporcionó dos enlaces por los que indicó que podría localizar las remuneraciones del personal; Ante dicha circunstancia, el Particular se agravió con la clasificación, y entrega de información que no corresponde con lo solicitado, al precisar que no le habían proporcionado los movimientos de alta y baja, así como los recibos de nómina requeridos, al ser información de carácter público, lo cual actualiza la causal de procedencia prevista en la fracción II y VI, del artículo 179 de la Ley de Transparencia y Acceso a la Información Pública del Estado de México y Municipios. </w:t>
      </w:r>
    </w:p>
    <w:p w14:paraId="4FDEFC8B"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388B3A7C"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sz w:val="22"/>
          <w:szCs w:val="22"/>
        </w:rPr>
        <w:lastRenderedPageBreak/>
        <w:t xml:space="preserve">Lo anterior, se desprende de las documentales que obran en el expediente de referencia, materia de la presente resolución, consistente en: la solicitud de acceso a la información, la respuesta proporcionada, y el escrito </w:t>
      </w:r>
      <w:proofErr w:type="spellStart"/>
      <w:r w:rsidRPr="00E13CD3">
        <w:rPr>
          <w:rFonts w:ascii="Palatino Linotype" w:eastAsia="Palatino Linotype" w:hAnsi="Palatino Linotype" w:cs="Palatino Linotype"/>
          <w:sz w:val="22"/>
          <w:szCs w:val="22"/>
        </w:rPr>
        <w:t>recursal</w:t>
      </w:r>
      <w:proofErr w:type="spellEnd"/>
      <w:r w:rsidRPr="00E13CD3">
        <w:rPr>
          <w:rFonts w:ascii="Palatino Linotype" w:eastAsia="Palatino Linotype" w:hAnsi="Palatino Linotype" w:cs="Palatino Linotype"/>
          <w:sz w:val="22"/>
          <w:szCs w:val="22"/>
        </w:rPr>
        <w:t>; instrumentales que se toman en cuenta a efecto de resolver el presente medio de impugnación, conforme a lo dispuesto por el artículo 185, fracción IV, de la Ley de Transparencia y Acceso a la Información Pública del Estado de México y Municipios. Así, las cosas, una vez admitido y notificado el Recurso de Revisión a las partes, estas fueron omisas en realizar manifestaciones o alegatos.</w:t>
      </w:r>
      <w:r w:rsidRPr="00E13CD3">
        <w:rPr>
          <w:rFonts w:ascii="Palatino Linotype" w:eastAsia="Palatino Linotype" w:hAnsi="Palatino Linotype" w:cs="Palatino Linotype"/>
          <w:b/>
          <w:sz w:val="22"/>
          <w:szCs w:val="22"/>
        </w:rPr>
        <w:t xml:space="preserve"> </w:t>
      </w:r>
    </w:p>
    <w:p w14:paraId="504F86A8" w14:textId="77777777" w:rsidR="00106087" w:rsidRPr="00E13CD3" w:rsidRDefault="00106087">
      <w:pPr>
        <w:spacing w:line="360" w:lineRule="auto"/>
        <w:jc w:val="both"/>
        <w:rPr>
          <w:rFonts w:ascii="Palatino Linotype" w:eastAsia="Palatino Linotype" w:hAnsi="Palatino Linotype" w:cs="Palatino Linotype"/>
          <w:b/>
          <w:sz w:val="22"/>
          <w:szCs w:val="22"/>
        </w:rPr>
      </w:pPr>
    </w:p>
    <w:p w14:paraId="15EDAC2E" w14:textId="77777777" w:rsidR="00106087" w:rsidRPr="00E13CD3" w:rsidRDefault="00CA6354">
      <w:p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CUARTO. Marco normativo aplicable en materia de transparencia y acceso a la información pública</w:t>
      </w:r>
    </w:p>
    <w:p w14:paraId="59F32FAF"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El artículo 6°, Apartado A), fracción I de la Constitución Política de los Estados Unidos Mexicanos, establece que toda la información en posesión de cualquier </w:t>
      </w:r>
      <w:proofErr w:type="gramStart"/>
      <w:r w:rsidRPr="00E13CD3">
        <w:rPr>
          <w:rFonts w:ascii="Palatino Linotype" w:eastAsia="Palatino Linotype" w:hAnsi="Palatino Linotype" w:cs="Palatino Linotype"/>
          <w:sz w:val="22"/>
          <w:szCs w:val="22"/>
        </w:rPr>
        <w:t>autoridad,</w:t>
      </w:r>
      <w:proofErr w:type="gramEnd"/>
      <w:r w:rsidRPr="00E13CD3">
        <w:rPr>
          <w:rFonts w:ascii="Palatino Linotype" w:eastAsia="Palatino Linotype" w:hAnsi="Palatino Linotype" w:cs="Palatino Linotype"/>
          <w:sz w:val="22"/>
          <w:szCs w:val="22"/>
        </w:rPr>
        <w:t xml:space="preserve"> es pública y sólo podrá ser reservada temporalmente por razones de interés público.</w:t>
      </w:r>
    </w:p>
    <w:p w14:paraId="617937A5"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258A470"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DA91AF5"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7B7BDA4E"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5972E71C"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2818F1EB"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6005888E"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4F5494AA"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7AD818DE"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4F3EF80E"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DBF1138"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66046CE7"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2D2D8C5" w14:textId="77777777" w:rsidR="00106087" w:rsidRPr="00E13CD3" w:rsidRDefault="00106087">
      <w:pPr>
        <w:spacing w:line="360" w:lineRule="auto"/>
        <w:jc w:val="both"/>
        <w:rPr>
          <w:rFonts w:ascii="Palatino Linotype" w:eastAsia="Palatino Linotype" w:hAnsi="Palatino Linotype" w:cs="Palatino Linotype"/>
          <w:b/>
          <w:sz w:val="22"/>
          <w:szCs w:val="22"/>
        </w:rPr>
      </w:pPr>
    </w:p>
    <w:p w14:paraId="7DD2EB42" w14:textId="77777777" w:rsidR="00106087" w:rsidRPr="00E13CD3" w:rsidRDefault="00CA6354">
      <w:p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QUINTO. Estudio de Fondo</w:t>
      </w:r>
    </w:p>
    <w:p w14:paraId="1F98402F"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2EE312A2" w14:textId="77777777" w:rsidR="00106087" w:rsidRPr="00E13CD3" w:rsidRDefault="00CA6354">
      <w:pPr>
        <w:widowControl w:val="0"/>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Expuestas las posturas de las partes, se procede a realizar el análisis del agravio hecho valer por el ahora Recurrente, concerniente a la clasificación y entrega de información que no corresponde con lo solicitado, por lo que en principio resulta necesario contextualizar la solicitud de información.</w:t>
      </w:r>
    </w:p>
    <w:p w14:paraId="584E963C" w14:textId="77777777" w:rsidR="00106087" w:rsidRPr="00E13CD3" w:rsidRDefault="00106087">
      <w:pPr>
        <w:widowControl w:val="0"/>
        <w:spacing w:line="360" w:lineRule="auto"/>
        <w:jc w:val="both"/>
        <w:rPr>
          <w:rFonts w:ascii="Palatino Linotype" w:eastAsia="Palatino Linotype" w:hAnsi="Palatino Linotype" w:cs="Palatino Linotype"/>
          <w:sz w:val="22"/>
          <w:szCs w:val="22"/>
        </w:rPr>
      </w:pPr>
    </w:p>
    <w:p w14:paraId="59E65D47" w14:textId="77777777" w:rsidR="00106087" w:rsidRPr="00E13CD3" w:rsidRDefault="00CA6354">
      <w:pPr>
        <w:spacing w:line="360" w:lineRule="auto"/>
        <w:ind w:right="-28"/>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sz w:val="22"/>
          <w:szCs w:val="22"/>
        </w:rPr>
        <w:t xml:space="preserve">En principio, respecto a los recibos de nómina, </w:t>
      </w:r>
      <w:r w:rsidRPr="00E13CD3">
        <w:rPr>
          <w:rFonts w:ascii="Palatino Linotype" w:eastAsia="Palatino Linotype" w:hAnsi="Palatino Linotype" w:cs="Palatino Linotype"/>
          <w:color w:val="000000"/>
          <w:sz w:val="22"/>
          <w:szCs w:val="22"/>
        </w:rPr>
        <w:t xml:space="preserve">es necesario traer a colación, el artículo 147 de la Constitución Política del Estado Libre y Soberano de México, que establece que los trabajadores al servicio del </w:t>
      </w:r>
      <w:proofErr w:type="gramStart"/>
      <w:r w:rsidRPr="00E13CD3">
        <w:rPr>
          <w:rFonts w:ascii="Palatino Linotype" w:eastAsia="Palatino Linotype" w:hAnsi="Palatino Linotype" w:cs="Palatino Linotype"/>
          <w:color w:val="000000"/>
          <w:sz w:val="22"/>
          <w:szCs w:val="22"/>
        </w:rPr>
        <w:t>Estado,</w:t>
      </w:r>
      <w:proofErr w:type="gramEnd"/>
      <w:r w:rsidRPr="00E13CD3">
        <w:rPr>
          <w:rFonts w:ascii="Palatino Linotype" w:eastAsia="Palatino Linotype" w:hAnsi="Palatino Linotype" w:cs="Palatino Linotype"/>
          <w:color w:val="000000"/>
          <w:sz w:val="22"/>
          <w:szCs w:val="22"/>
        </w:rPr>
        <w:t xml:space="preserve"> recibirán una remuneración adecuada e irrenunciable por el desempeño de su empleo, cargo o comisión, que será determinada en el presupuesto de egresos que corresponda. </w:t>
      </w:r>
    </w:p>
    <w:p w14:paraId="759552B1"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7C9251B3"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lastRenderedPageBreak/>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1455348B"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23CD7D5B"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Da la misma manera, el Glosario de Términos, del Manual para la Planeación, Programación y Presupuesto de Egresos Municipal para el ejercicio fiscal dos mil veinticinco, establece que la remuneración es la percepción de un trabajador o retribución monetaria que se da en pago por su servicio o actividad desarrollada.</w:t>
      </w:r>
    </w:p>
    <w:p w14:paraId="1D4EE321"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766C1F02" w14:textId="77777777" w:rsidR="00106087" w:rsidRPr="00E13CD3" w:rsidRDefault="00CA6354">
      <w:p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color w:val="000000"/>
          <w:sz w:val="22"/>
          <w:szCs w:val="22"/>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E13CD3">
        <w:rPr>
          <w:rFonts w:ascii="Palatino Linotype" w:eastAsia="Palatino Linotype" w:hAnsi="Palatino Linotype" w:cs="Palatino Linotype"/>
          <w:b/>
          <w:color w:val="000000"/>
          <w:sz w:val="22"/>
          <w:szCs w:val="22"/>
        </w:rPr>
        <w:t>las remuneraciones brutas y netas de todos los servidores públicos, que incluya todas las percepciones, entre las cuales, se encuentran los sueldos, prestaciones, gratificaciones, primas, comisiones, dietas, bonos, estímulos, ingresos, entre otros.</w:t>
      </w:r>
    </w:p>
    <w:p w14:paraId="2CEE8E82" w14:textId="77777777" w:rsidR="00106087" w:rsidRPr="00E13CD3" w:rsidRDefault="00106087">
      <w:pPr>
        <w:spacing w:line="360" w:lineRule="auto"/>
        <w:jc w:val="both"/>
        <w:rPr>
          <w:rFonts w:ascii="Palatino Linotype" w:eastAsia="Palatino Linotype" w:hAnsi="Palatino Linotype" w:cs="Palatino Linotype"/>
          <w:b/>
          <w:color w:val="000000"/>
          <w:sz w:val="22"/>
          <w:szCs w:val="22"/>
        </w:rPr>
      </w:pPr>
    </w:p>
    <w:p w14:paraId="56DDD197" w14:textId="77777777" w:rsidR="00106087" w:rsidRPr="00E13CD3" w:rsidRDefault="00CA6354">
      <w:p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color w:val="000000"/>
          <w:sz w:val="22"/>
          <w:szCs w:val="22"/>
        </w:rPr>
        <w:t xml:space="preserve">Además, el Clasificador por objeto del gasto, del Manual para la Planeación, Programación y Presupuesto de Egresos Municipal para el ejercicio fiscal dos mil veinticinco, establecen que los Presupuestos de Egresos Municipales, se tendrán que generar, conforme al “Clasificador por Objeto del Gasto”, el cual se conforma de diversos capítulos, entre los cuales, se encuentra el </w:t>
      </w:r>
      <w:r w:rsidRPr="00E13CD3">
        <w:rPr>
          <w:rFonts w:ascii="Palatino Linotype" w:eastAsia="Palatino Linotype" w:hAnsi="Palatino Linotype" w:cs="Palatino Linotype"/>
          <w:b/>
          <w:color w:val="000000"/>
          <w:sz w:val="22"/>
          <w:szCs w:val="22"/>
        </w:rPr>
        <w:t>1000 Servicios Personales</w:t>
      </w:r>
      <w:r w:rsidRPr="00E13CD3">
        <w:rPr>
          <w:rFonts w:ascii="Palatino Linotype" w:eastAsia="Palatino Linotype" w:hAnsi="Palatino Linotype" w:cs="Palatino Linotype"/>
          <w:color w:val="000000"/>
          <w:sz w:val="22"/>
          <w:szCs w:val="22"/>
        </w:rPr>
        <w:t>,</w:t>
      </w:r>
      <w:r w:rsidRPr="00E13CD3">
        <w:rPr>
          <w:rFonts w:ascii="Palatino Linotype" w:eastAsia="Palatino Linotype" w:hAnsi="Palatino Linotype" w:cs="Palatino Linotype"/>
          <w:b/>
          <w:color w:val="000000"/>
          <w:sz w:val="22"/>
          <w:szCs w:val="22"/>
        </w:rPr>
        <w:t xml:space="preserve"> que agrupa las remuneraciones del personal al servicio de los entes públicos, tales como el sueldo, salarios, dietas, honorarios, prestaciones, obligaciones laborales, gratificaciones, entre otras.</w:t>
      </w:r>
    </w:p>
    <w:p w14:paraId="16BE68D2" w14:textId="77777777" w:rsidR="00106087" w:rsidRPr="00E13CD3" w:rsidRDefault="00106087">
      <w:pPr>
        <w:spacing w:line="360" w:lineRule="auto"/>
        <w:ind w:right="-93"/>
        <w:jc w:val="both"/>
        <w:rPr>
          <w:rFonts w:ascii="Palatino Linotype" w:eastAsia="Palatino Linotype" w:hAnsi="Palatino Linotype" w:cs="Palatino Linotype"/>
          <w:b/>
          <w:color w:val="000000"/>
          <w:sz w:val="22"/>
          <w:szCs w:val="22"/>
        </w:rPr>
      </w:pPr>
    </w:p>
    <w:p w14:paraId="21C80766"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E13CD3">
        <w:rPr>
          <w:rFonts w:ascii="Palatino Linotype" w:eastAsia="Palatino Linotype" w:hAnsi="Palatino Linotype" w:cs="Palatino Linotype"/>
          <w:b/>
          <w:sz w:val="22"/>
          <w:szCs w:val="22"/>
        </w:rPr>
        <w:t>recibos de pago de salarios o las</w:t>
      </w:r>
      <w:r w:rsidRPr="00E13CD3">
        <w:rPr>
          <w:rFonts w:ascii="Palatino Linotype" w:eastAsia="Palatino Linotype" w:hAnsi="Palatino Linotype" w:cs="Palatino Linotype"/>
          <w:sz w:val="22"/>
          <w:szCs w:val="22"/>
        </w:rPr>
        <w:t xml:space="preserve"> </w:t>
      </w:r>
      <w:r w:rsidRPr="00E13CD3">
        <w:rPr>
          <w:rFonts w:ascii="Palatino Linotype" w:eastAsia="Palatino Linotype" w:hAnsi="Palatino Linotype" w:cs="Palatino Linotype"/>
          <w:b/>
          <w:sz w:val="22"/>
          <w:szCs w:val="22"/>
        </w:rPr>
        <w:t xml:space="preserve">constancias documentales del pago de sueldos, </w:t>
      </w:r>
      <w:r w:rsidRPr="00E13CD3">
        <w:rPr>
          <w:rFonts w:ascii="Palatino Linotype" w:eastAsia="Palatino Linotype" w:hAnsi="Palatino Linotype" w:cs="Palatino Linotype"/>
          <w:sz w:val="22"/>
          <w:szCs w:val="22"/>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11D095FF"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A17051F"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302C338E"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2AC29864"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b/>
          <w:i/>
        </w:rPr>
        <w:t>“RECIBOS DE PAGO</w:t>
      </w:r>
      <w:r w:rsidRPr="00E13CD3">
        <w:rPr>
          <w:rFonts w:ascii="Palatino Linotype" w:eastAsia="Palatino Linotype" w:hAnsi="Palatino Linotype" w:cs="Palatino Linotype"/>
          <w:i/>
        </w:rPr>
        <w:t xml:space="preserve"> </w:t>
      </w:r>
      <w:r w:rsidRPr="00E13CD3">
        <w:rPr>
          <w:rFonts w:ascii="Palatino Linotype" w:eastAsia="Palatino Linotype" w:hAnsi="Palatino Linotype" w:cs="Palatino Linotype"/>
          <w:b/>
          <w:i/>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E13CD3">
        <w:rPr>
          <w:rFonts w:ascii="Palatino Linotype" w:eastAsia="Palatino Linotype" w:hAnsi="Palatino Linotype" w:cs="Palatino Linotype"/>
          <w:i/>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065D0AF3"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3A79BEDB"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 xml:space="preserve">De la tesis transcrita, se desprende que </w:t>
      </w:r>
      <w:r w:rsidRPr="00E13CD3">
        <w:rPr>
          <w:rFonts w:ascii="Palatino Linotype" w:eastAsia="Palatino Linotype" w:hAnsi="Palatino Linotype" w:cs="Palatino Linotype"/>
          <w:b/>
          <w:sz w:val="22"/>
          <w:szCs w:val="22"/>
        </w:rPr>
        <w:t>en materia burocrática</w:t>
      </w:r>
      <w:r w:rsidRPr="00E13CD3">
        <w:rPr>
          <w:rFonts w:ascii="Palatino Linotype" w:eastAsia="Palatino Linotype" w:hAnsi="Palatino Linotype" w:cs="Palatino Linotype"/>
          <w:sz w:val="22"/>
          <w:szCs w:val="22"/>
        </w:rPr>
        <w:t xml:space="preserve"> </w:t>
      </w:r>
      <w:r w:rsidRPr="00E13CD3">
        <w:rPr>
          <w:rFonts w:ascii="Palatino Linotype" w:eastAsia="Palatino Linotype" w:hAnsi="Palatino Linotype" w:cs="Palatino Linotype"/>
          <w:b/>
          <w:sz w:val="22"/>
          <w:szCs w:val="22"/>
        </w:rPr>
        <w:t>los recibos de pago acreditan los conceptos y montos que en ellos se insertan</w:t>
      </w:r>
      <w:r w:rsidRPr="00E13CD3">
        <w:rPr>
          <w:rFonts w:ascii="Palatino Linotype" w:eastAsia="Palatino Linotype" w:hAnsi="Palatino Linotype" w:cs="Palatino Linotype"/>
          <w:sz w:val="22"/>
          <w:szCs w:val="22"/>
        </w:rPr>
        <w:t xml:space="preserve">, y constituyen prueba para demostrar las percepciones y montos que reciben los servidores públicos. </w:t>
      </w:r>
    </w:p>
    <w:p w14:paraId="6B9BA256"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4CAFA1B8"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Además, la Resolución Miscelánea Fiscal del ejercicio fiscal dos mil veinticinco, y la página oficial del Servicio de Administración Tributaria, precisan que un Comprobante Fiscal Digital por Internet por concepto de nómina y otras retenciones, es también conocido como Recibo de Nómina, mismo que se podrá expedir antes de la realización de los pagos correspondientes o dentro del plazo señalado en función al número de sus trabajadores, posteriores a la realización efectiva de dichos pagos, conforme a lo siguiente:</w:t>
      </w:r>
    </w:p>
    <w:p w14:paraId="08DC0004"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7AF949B4" w14:textId="77777777" w:rsidR="00106087" w:rsidRPr="00E13CD3" w:rsidRDefault="00CA6354">
      <w:pPr>
        <w:spacing w:line="360" w:lineRule="auto"/>
        <w:jc w:val="center"/>
        <w:rPr>
          <w:rFonts w:ascii="Palatino Linotype" w:eastAsia="Palatino Linotype" w:hAnsi="Palatino Linotype" w:cs="Palatino Linotype"/>
          <w:sz w:val="22"/>
          <w:szCs w:val="22"/>
        </w:rPr>
      </w:pPr>
      <w:r w:rsidRPr="00E13CD3">
        <w:rPr>
          <w:rFonts w:ascii="Palatino Linotype" w:eastAsia="Palatino Linotype" w:hAnsi="Palatino Linotype" w:cs="Palatino Linotype"/>
          <w:noProof/>
          <w:sz w:val="22"/>
          <w:szCs w:val="22"/>
          <w:lang w:eastAsia="es-MX"/>
        </w:rPr>
        <w:drawing>
          <wp:inline distT="0" distB="0" distL="0" distR="0" wp14:anchorId="426B7B48" wp14:editId="3065401D">
            <wp:extent cx="4895850" cy="1495425"/>
            <wp:effectExtent l="0" t="0" r="0" b="0"/>
            <wp:docPr id="12279490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895850" cy="1495425"/>
                    </a:xfrm>
                    <a:prstGeom prst="rect">
                      <a:avLst/>
                    </a:prstGeom>
                    <a:ln/>
                  </pic:spPr>
                </pic:pic>
              </a:graphicData>
            </a:graphic>
          </wp:inline>
        </w:drawing>
      </w:r>
    </w:p>
    <w:p w14:paraId="488D7DB2"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Asimismo, precisa que se considerará como fecha de expedición y entrega de tales comprobantes fiscales la fecha en que efectivamente se realizó el pago de dichas remuneraciones.</w:t>
      </w:r>
    </w:p>
    <w:p w14:paraId="771BE084"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3811368"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Conforme a lo anterior, se logra vislumbrar que la pretensión de la parte Recurrente es obtener los recibos de nómina de la primera quincena de enero de dos mil veinticinco, de todos los servidores públicos adscritos al Ayuntamiento de Calimaya.</w:t>
      </w:r>
    </w:p>
    <w:p w14:paraId="09D21C2E"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5C8FC84E"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 xml:space="preserve">Respecto a las altas y bajas de personal, la </w:t>
      </w:r>
      <w:r w:rsidRPr="00E13CD3">
        <w:rPr>
          <w:rFonts w:ascii="Palatino Linotype" w:eastAsia="Palatino Linotype" w:hAnsi="Palatino Linotype" w:cs="Palatino Linotype"/>
          <w:b/>
          <w:sz w:val="22"/>
          <w:szCs w:val="22"/>
        </w:rPr>
        <w:t xml:space="preserve">Guía técnica 07. La administración del personal municipal </w:t>
      </w:r>
      <w:r w:rsidRPr="00E13CD3">
        <w:rPr>
          <w:rFonts w:ascii="Palatino Linotype" w:eastAsia="Palatino Linotype" w:hAnsi="Palatino Linotype" w:cs="Palatino Linotype"/>
          <w:sz w:val="22"/>
          <w:szCs w:val="22"/>
        </w:rPr>
        <w:t xml:space="preserve">del Instituto Nacional de Administración Pública estableced que, dentro de las actividades básicas de la administración de personal, se encuentran las siguientes: </w:t>
      </w:r>
    </w:p>
    <w:p w14:paraId="13045000"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277DC68D" w14:textId="77777777" w:rsidR="00106087" w:rsidRPr="00E13CD3" w:rsidRDefault="00CA6354">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b/>
          <w:color w:val="000000"/>
          <w:sz w:val="22"/>
          <w:szCs w:val="22"/>
        </w:rPr>
        <w:t>Formalización de la relación laboral</w:t>
      </w:r>
      <w:r w:rsidRPr="00E13CD3">
        <w:rPr>
          <w:rFonts w:ascii="Palatino Linotype" w:eastAsia="Palatino Linotype" w:hAnsi="Palatino Linotype" w:cs="Palatino Linotype"/>
          <w:color w:val="000000"/>
          <w:sz w:val="22"/>
          <w:szCs w:val="22"/>
        </w:rPr>
        <w:t>: La formalización de la relación de trabajo se realiza a través del contrato y del nombramiento, mediante los cuales la administración municipal acepta y reconoce el ingreso de una persona para ocupar algún puesto vacante y otorga a sus trabajadores los derechos y obligaciones que fijan las leyes.</w:t>
      </w:r>
    </w:p>
    <w:p w14:paraId="1F36CBB1" w14:textId="77777777" w:rsidR="00106087" w:rsidRPr="00E13CD3" w:rsidRDefault="0010608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14310F2F" w14:textId="77777777" w:rsidR="00106087" w:rsidRPr="00E13CD3" w:rsidRDefault="00CA6354">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b/>
          <w:color w:val="000000"/>
          <w:sz w:val="22"/>
          <w:szCs w:val="22"/>
        </w:rPr>
        <w:t>Terminación de la relación laboral</w:t>
      </w:r>
      <w:r w:rsidRPr="00E13CD3">
        <w:rPr>
          <w:rFonts w:ascii="Palatino Linotype" w:eastAsia="Palatino Linotype" w:hAnsi="Palatino Linotype" w:cs="Palatino Linotype"/>
          <w:color w:val="000000"/>
          <w:sz w:val="22"/>
          <w:szCs w:val="22"/>
        </w:rPr>
        <w:t xml:space="preserve">: Un empleado puede dejar de prestar sus servicios al municipio por diferentes casusas, como son: jubilación, renuncia, terminación, suspensión o rescisión del contrato. </w:t>
      </w:r>
    </w:p>
    <w:p w14:paraId="3920354C"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23A9796E"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En ese contexto, los artículos 50 y 89 de la Ley del Trabajo de los Servidores Públicos del Estado y Municipios, precisan que el nombramiento, contrato o formato único de movimiento de personal son documentos que obligan al servidor público a cumplir los deberes inherentes al puesto especificado. Del mismo modo, son causas de terminación de la relación laboral sin responsabilidad para las instituciones públicas las siguientes: la renuncia del servidor público, el mutuo acuerdo de las partes, el vencimiento del término o conclusión de la administración en la cual fue contratado, la muerte del servidor público y la incapacidad permanente del servidor público. </w:t>
      </w:r>
    </w:p>
    <w:p w14:paraId="37A43C1D"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32A3057E"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Así, se advierte que derivado de las actividades básicas de la administración de personal, las Instituciones Públicas realizan diversos actos por medio de los cuales se da cuenta del inicial y terminación de la relación laboral con los servidores públicos. </w:t>
      </w:r>
    </w:p>
    <w:p w14:paraId="33168E43"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35C71DE"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 xml:space="preserve">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w:t>
      </w:r>
      <w:r w:rsidRPr="00E13CD3">
        <w:rPr>
          <w:rFonts w:ascii="Palatino Linotype" w:eastAsia="Palatino Linotype" w:hAnsi="Palatino Linotype" w:cs="Palatino Linotype"/>
          <w:b/>
          <w:sz w:val="22"/>
          <w:szCs w:val="22"/>
        </w:rPr>
        <w:t xml:space="preserve">los Avisos de Movimiento (Alta y Baja), </w:t>
      </w:r>
      <w:r w:rsidRPr="00E13CD3">
        <w:rPr>
          <w:rFonts w:ascii="Palatino Linotype" w:eastAsia="Palatino Linotype" w:hAnsi="Palatino Linotype" w:cs="Palatino Linotype"/>
          <w:sz w:val="22"/>
          <w:szCs w:val="22"/>
        </w:rPr>
        <w:t>para realizar sus respectivos trámites ante el Instituto de Seguridad Social del Estado de México y Municipios.</w:t>
      </w:r>
    </w:p>
    <w:p w14:paraId="0C88F6BE"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7D6E8720"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Conforme a lo anterior, se logra vislumbrar que la pretensión del ahora Recurrente es obtener los Avisos de Movimiento (Alta y Baja), realizados por el Ayuntamiento de Calimaya, del primero (inicio de la administración) al diecisiete de enero de dos mil veinticinco (fecha de presentación de la solicitud).</w:t>
      </w:r>
    </w:p>
    <w:p w14:paraId="1442C7FF"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60FF2E5E"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Establecida dicha circunstancia, se procede analizar la respuesta entregada, para lo cual, es de señalar que de las constancias que de las constancias que obran en el expediente, se logra vislumbrar que el Sujeto Obligado turno la solicitud de información a la Tesorería Municipal y a la Dirección de Administración;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38A2B6D9"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554D6F7C" w14:textId="77777777" w:rsidR="00106087" w:rsidRPr="00E13CD3" w:rsidRDefault="00CA6354">
      <w:pPr>
        <w:widowControl w:val="0"/>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sz w:val="22"/>
          <w:szCs w:val="22"/>
        </w:rPr>
        <w:t>Sobre el tema, el Bando Municipal de Calimaya, dos mil veinticinco</w:t>
      </w:r>
      <w:r w:rsidRPr="00E13CD3">
        <w:rPr>
          <w:rFonts w:ascii="Palatino Linotype" w:eastAsia="Palatino Linotype" w:hAnsi="Palatino Linotype" w:cs="Palatino Linotype"/>
          <w:color w:val="000000"/>
          <w:sz w:val="22"/>
          <w:szCs w:val="22"/>
        </w:rPr>
        <w:t xml:space="preserve">, precisa que el Sujeto Obligado cuenta con la Tesorería Municipal, y la </w:t>
      </w:r>
      <w:r w:rsidRPr="00E13CD3">
        <w:rPr>
          <w:rFonts w:ascii="Palatino Linotype" w:eastAsia="Palatino Linotype" w:hAnsi="Palatino Linotype" w:cs="Palatino Linotype"/>
          <w:sz w:val="22"/>
          <w:szCs w:val="22"/>
        </w:rPr>
        <w:t xml:space="preserve">Coordinación de Recursos Humanos adscrita </w:t>
      </w:r>
      <w:r w:rsidRPr="00E13CD3">
        <w:rPr>
          <w:rFonts w:ascii="Palatino Linotype" w:eastAsia="Palatino Linotype" w:hAnsi="Palatino Linotype" w:cs="Palatino Linotype"/>
          <w:sz w:val="22"/>
          <w:szCs w:val="22"/>
        </w:rPr>
        <w:lastRenderedPageBreak/>
        <w:t>a la Dirección de Administración, encargadas de realizar las erogaciones del ayuntamiento, y de ejecutar las políticas y procedimientos relativos al reclutamiento, selección y contratación, además de realizar la integración y actualización de los expedientes laborales de las personas servidoras públicas respectivamente, por lo que se advierte que el Sujeto Obligado cumplió con el procedimiento de búsqueda, pues turno la solicitud de información a las áreas competentes, que ven las cuestiones relacionadas con el pago de las remuneraciones al personal del ayuntamiento, así como de la administración y desarrollo del personal.</w:t>
      </w:r>
    </w:p>
    <w:p w14:paraId="16BABAEC"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14A19F2B"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Ahora bien, en respuesta la Coordinación de Recursos Humanos, indicó que no era de su competencia conocer la información, sin embargo, como ha quedado establecido, dicha área si cuenta con atribuciones para conocer respecto de los movimientos de altas y bajas del personal, pues dicha área cuenta con la función de contratar y llevar a cabo el registro de los expedientes del personal.</w:t>
      </w:r>
    </w:p>
    <w:p w14:paraId="1763E747"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6EAC3A2D"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Por su parte, la Tesorería Municipal indicó, que la información contenía datos personales que hacían identificable a los servidores públicos por lo que no podía proporcionar los recibos de nómina; al respecto</w:t>
      </w:r>
      <w:r w:rsidRPr="00E13CD3">
        <w:rPr>
          <w:rFonts w:ascii="Palatino Linotype" w:eastAsia="Palatino Linotype" w:hAnsi="Palatino Linotype" w:cs="Palatino Linotype"/>
          <w:color w:val="0D0D0D"/>
          <w:sz w:val="22"/>
          <w:szCs w:val="22"/>
        </w:rPr>
        <w:t xml:space="preserve">, cabe precisar, que conforme al artículo 20 de la Ley de Transparencia y Acceso a la Información Pública del Estado de México y Municipios, </w:t>
      </w:r>
      <w:r w:rsidRPr="00E13CD3">
        <w:rPr>
          <w:rFonts w:ascii="Palatino Linotype" w:eastAsia="Palatino Linotype" w:hAnsi="Palatino Linotype" w:cs="Palatino Linotype"/>
          <w:b/>
          <w:color w:val="0D0D0D"/>
          <w:sz w:val="22"/>
          <w:szCs w:val="22"/>
        </w:rPr>
        <w:t>ante la negativa de acceso a la información o su inexistencia, el sujeto obligado deberá demostrar que encuentra en alguna de las excepciones establecidas en la normatividad aplicable.</w:t>
      </w:r>
    </w:p>
    <w:p w14:paraId="6040B0B4" w14:textId="77777777" w:rsidR="00106087" w:rsidRPr="00E13CD3" w:rsidRDefault="00106087">
      <w:pPr>
        <w:spacing w:line="360" w:lineRule="auto"/>
        <w:jc w:val="both"/>
        <w:rPr>
          <w:rFonts w:ascii="Palatino Linotype" w:eastAsia="Palatino Linotype" w:hAnsi="Palatino Linotype" w:cs="Palatino Linotype"/>
          <w:color w:val="0D0D0D"/>
          <w:sz w:val="22"/>
          <w:szCs w:val="22"/>
        </w:rPr>
      </w:pPr>
    </w:p>
    <w:p w14:paraId="2CC7DA02" w14:textId="77777777" w:rsidR="00106087" w:rsidRPr="00E13CD3" w:rsidRDefault="00CA6354">
      <w:pPr>
        <w:spacing w:line="360" w:lineRule="auto"/>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 xml:space="preserve">En ese sentido, según Trujillo, Humberto (2019), en el “Diccionario de Transparencia y Acceso a la Información Pública” (p. 201), </w:t>
      </w:r>
      <w:r w:rsidRPr="00E13CD3">
        <w:rPr>
          <w:rFonts w:ascii="Palatino Linotype" w:eastAsia="Palatino Linotype" w:hAnsi="Palatino Linotype" w:cs="Palatino Linotype"/>
          <w:b/>
          <w:color w:val="0D0D0D"/>
          <w:sz w:val="22"/>
          <w:szCs w:val="22"/>
        </w:rPr>
        <w:t xml:space="preserve">la negativa de acceso a la información </w:t>
      </w:r>
      <w:r w:rsidRPr="00E13CD3">
        <w:rPr>
          <w:rFonts w:ascii="Palatino Linotype" w:eastAsia="Palatino Linotype" w:hAnsi="Palatino Linotype" w:cs="Palatino Linotype"/>
          <w:color w:val="0D0D0D"/>
          <w:sz w:val="22"/>
          <w:szCs w:val="22"/>
        </w:rPr>
        <w:t xml:space="preserve">ocurre cuanto de manera fundada y motivada, una autoridad la niega o la limita, por alguna de las siguientes razones: </w:t>
      </w:r>
    </w:p>
    <w:p w14:paraId="0A0358CB" w14:textId="77777777" w:rsidR="00106087" w:rsidRPr="00E13CD3" w:rsidRDefault="00106087">
      <w:pPr>
        <w:spacing w:line="360" w:lineRule="auto"/>
        <w:jc w:val="both"/>
        <w:rPr>
          <w:rFonts w:ascii="Palatino Linotype" w:eastAsia="Palatino Linotype" w:hAnsi="Palatino Linotype" w:cs="Palatino Linotype"/>
          <w:color w:val="0D0D0D"/>
          <w:sz w:val="22"/>
          <w:szCs w:val="22"/>
        </w:rPr>
      </w:pPr>
    </w:p>
    <w:p w14:paraId="3D7223F6" w14:textId="77777777" w:rsidR="00106087" w:rsidRPr="00E13CD3" w:rsidRDefault="00CA6354">
      <w:pPr>
        <w:numPr>
          <w:ilvl w:val="0"/>
          <w:numId w:val="10"/>
        </w:numPr>
        <w:spacing w:line="360" w:lineRule="auto"/>
        <w:jc w:val="both"/>
        <w:rPr>
          <w:rFonts w:ascii="Palatino Linotype" w:eastAsia="Palatino Linotype" w:hAnsi="Palatino Linotype" w:cs="Palatino Linotype"/>
          <w:b/>
          <w:color w:val="0D0D0D"/>
          <w:sz w:val="22"/>
          <w:szCs w:val="22"/>
        </w:rPr>
      </w:pPr>
      <w:r w:rsidRPr="00E13CD3">
        <w:rPr>
          <w:rFonts w:ascii="Palatino Linotype" w:eastAsia="Palatino Linotype" w:hAnsi="Palatino Linotype" w:cs="Palatino Linotype"/>
          <w:b/>
          <w:color w:val="0D0D0D"/>
          <w:sz w:val="22"/>
          <w:szCs w:val="22"/>
        </w:rPr>
        <w:lastRenderedPageBreak/>
        <w:t xml:space="preserve">La inexistencia de la información (p. 171): </w:t>
      </w:r>
      <w:r w:rsidRPr="00E13CD3">
        <w:rPr>
          <w:rFonts w:ascii="Palatino Linotype" w:eastAsia="Palatino Linotype" w:hAnsi="Palatino Linotype" w:cs="Palatino Linotype"/>
          <w:color w:val="0D0D0D"/>
          <w:sz w:val="22"/>
          <w:szCs w:val="22"/>
        </w:rPr>
        <w:t>Sucede cuando la información solicitada no se encuentra en los archivos públicos o clasificados de los entes sujetos a las Leyes de Transparencia.</w:t>
      </w:r>
    </w:p>
    <w:p w14:paraId="5EDA6164" w14:textId="77777777" w:rsidR="00106087" w:rsidRPr="00E13CD3" w:rsidRDefault="00106087">
      <w:pPr>
        <w:spacing w:line="360" w:lineRule="auto"/>
        <w:ind w:left="720"/>
        <w:jc w:val="both"/>
        <w:rPr>
          <w:rFonts w:ascii="Palatino Linotype" w:eastAsia="Palatino Linotype" w:hAnsi="Palatino Linotype" w:cs="Palatino Linotype"/>
          <w:b/>
          <w:color w:val="0D0D0D"/>
          <w:sz w:val="22"/>
          <w:szCs w:val="22"/>
        </w:rPr>
      </w:pPr>
    </w:p>
    <w:p w14:paraId="7AD72F0A" w14:textId="77777777" w:rsidR="00106087" w:rsidRPr="00E13CD3" w:rsidRDefault="00CA6354">
      <w:pPr>
        <w:numPr>
          <w:ilvl w:val="0"/>
          <w:numId w:val="10"/>
        </w:numPr>
        <w:spacing w:line="360" w:lineRule="auto"/>
        <w:jc w:val="both"/>
        <w:rPr>
          <w:rFonts w:ascii="Palatino Linotype" w:eastAsia="Palatino Linotype" w:hAnsi="Palatino Linotype" w:cs="Palatino Linotype"/>
          <w:b/>
          <w:color w:val="0D0D0D"/>
          <w:sz w:val="22"/>
          <w:szCs w:val="22"/>
        </w:rPr>
      </w:pPr>
      <w:r w:rsidRPr="00E13CD3">
        <w:rPr>
          <w:rFonts w:ascii="Palatino Linotype" w:eastAsia="Palatino Linotype" w:hAnsi="Palatino Linotype" w:cs="Palatino Linotype"/>
          <w:b/>
          <w:color w:val="0D0D0D"/>
          <w:sz w:val="22"/>
          <w:szCs w:val="22"/>
        </w:rPr>
        <w:t xml:space="preserve">La incompetencia del Sujeto Obligado (p. 171): </w:t>
      </w:r>
      <w:r w:rsidRPr="00E13CD3">
        <w:rPr>
          <w:rFonts w:ascii="Palatino Linotype" w:eastAsia="Palatino Linotype" w:hAnsi="Palatino Linotype" w:cs="Palatino Linotype"/>
          <w:color w:val="0D0D0D"/>
          <w:sz w:val="22"/>
          <w:szCs w:val="22"/>
        </w:rPr>
        <w:t>Ocurre cuando el Sujeto Obligado carece de atribuciones para poseer la información peticionada.</w:t>
      </w:r>
    </w:p>
    <w:p w14:paraId="2C347A2F" w14:textId="77777777" w:rsidR="00106087" w:rsidRPr="00E13CD3" w:rsidRDefault="00106087">
      <w:pPr>
        <w:spacing w:line="360" w:lineRule="auto"/>
        <w:ind w:left="720"/>
        <w:jc w:val="both"/>
        <w:rPr>
          <w:rFonts w:ascii="Palatino Linotype" w:eastAsia="Palatino Linotype" w:hAnsi="Palatino Linotype" w:cs="Palatino Linotype"/>
          <w:b/>
          <w:color w:val="0D0D0D"/>
          <w:sz w:val="22"/>
          <w:szCs w:val="22"/>
        </w:rPr>
      </w:pPr>
    </w:p>
    <w:p w14:paraId="7440381C" w14:textId="77777777" w:rsidR="00106087" w:rsidRPr="00E13CD3" w:rsidRDefault="00CA6354">
      <w:pPr>
        <w:numPr>
          <w:ilvl w:val="0"/>
          <w:numId w:val="10"/>
        </w:numPr>
        <w:spacing w:line="360" w:lineRule="auto"/>
        <w:jc w:val="both"/>
        <w:rPr>
          <w:rFonts w:ascii="Palatino Linotype" w:eastAsia="Palatino Linotype" w:hAnsi="Palatino Linotype" w:cs="Palatino Linotype"/>
          <w:b/>
          <w:color w:val="0D0D0D"/>
          <w:sz w:val="22"/>
          <w:szCs w:val="22"/>
        </w:rPr>
      </w:pPr>
      <w:r w:rsidRPr="00E13CD3">
        <w:rPr>
          <w:rFonts w:ascii="Palatino Linotype" w:eastAsia="Palatino Linotype" w:hAnsi="Palatino Linotype" w:cs="Palatino Linotype"/>
          <w:b/>
          <w:color w:val="0D0D0D"/>
          <w:sz w:val="22"/>
          <w:szCs w:val="22"/>
        </w:rPr>
        <w:t xml:space="preserve">La clasificación de la información (p. 70): </w:t>
      </w:r>
      <w:r w:rsidRPr="00E13CD3">
        <w:rPr>
          <w:rFonts w:ascii="Palatino Linotype" w:eastAsia="Palatino Linotype" w:hAnsi="Palatino Linotype" w:cs="Palatino Linotype"/>
          <w:color w:val="0D0D0D"/>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5EB57E9C" w14:textId="77777777" w:rsidR="00106087" w:rsidRPr="00E13CD3" w:rsidRDefault="00106087">
      <w:pPr>
        <w:spacing w:line="360" w:lineRule="auto"/>
        <w:jc w:val="both"/>
        <w:rPr>
          <w:rFonts w:ascii="Palatino Linotype" w:eastAsia="Palatino Linotype" w:hAnsi="Palatino Linotype" w:cs="Palatino Linotype"/>
          <w:color w:val="0D0D0D"/>
          <w:sz w:val="22"/>
          <w:szCs w:val="22"/>
        </w:rPr>
      </w:pPr>
    </w:p>
    <w:p w14:paraId="73C70AFF" w14:textId="77777777" w:rsidR="00106087" w:rsidRPr="00E13CD3" w:rsidRDefault="00CA6354">
      <w:pPr>
        <w:spacing w:line="360" w:lineRule="auto"/>
        <w:jc w:val="both"/>
        <w:rPr>
          <w:rFonts w:ascii="Palatino Linotype" w:eastAsia="Palatino Linotype" w:hAnsi="Palatino Linotype" w:cs="Palatino Linotype"/>
          <w:b/>
          <w:color w:val="0D0D0D"/>
          <w:sz w:val="22"/>
          <w:szCs w:val="22"/>
        </w:rPr>
      </w:pPr>
      <w:r w:rsidRPr="00E13CD3">
        <w:rPr>
          <w:rFonts w:ascii="Palatino Linotype" w:eastAsia="Palatino Linotype" w:hAnsi="Palatino Linotype" w:cs="Palatino Linotype"/>
          <w:color w:val="0D0D0D"/>
          <w:sz w:val="22"/>
          <w:szCs w:val="22"/>
        </w:rPr>
        <w:t xml:space="preserve">En ese orden de ideas y en atención a lo anterior, es de señalar que las excepciones al derecho de acceso a la </w:t>
      </w:r>
      <w:proofErr w:type="gramStart"/>
      <w:r w:rsidRPr="00E13CD3">
        <w:rPr>
          <w:rFonts w:ascii="Palatino Linotype" w:eastAsia="Palatino Linotype" w:hAnsi="Palatino Linotype" w:cs="Palatino Linotype"/>
          <w:color w:val="0D0D0D"/>
          <w:sz w:val="22"/>
          <w:szCs w:val="22"/>
        </w:rPr>
        <w:t>información,</w:t>
      </w:r>
      <w:proofErr w:type="gramEnd"/>
      <w:r w:rsidRPr="00E13CD3">
        <w:rPr>
          <w:rFonts w:ascii="Palatino Linotype" w:eastAsia="Palatino Linotype" w:hAnsi="Palatino Linotype" w:cs="Palatino Linotype"/>
          <w:color w:val="0D0D0D"/>
          <w:sz w:val="22"/>
          <w:szCs w:val="22"/>
        </w:rPr>
        <w:t xml:space="preserve"> consisten en que la documentación sea inexistente, </w:t>
      </w:r>
      <w:r w:rsidRPr="00E13CD3">
        <w:rPr>
          <w:rFonts w:ascii="Palatino Linotype" w:eastAsia="Palatino Linotype" w:hAnsi="Palatino Linotype" w:cs="Palatino Linotype"/>
          <w:b/>
          <w:color w:val="0D0D0D"/>
          <w:sz w:val="22"/>
          <w:szCs w:val="22"/>
        </w:rPr>
        <w:t>se encuentre clasificada</w:t>
      </w:r>
      <w:r w:rsidRPr="00E13CD3">
        <w:rPr>
          <w:rFonts w:ascii="Palatino Linotype" w:eastAsia="Palatino Linotype" w:hAnsi="Palatino Linotype" w:cs="Palatino Linotype"/>
          <w:color w:val="0D0D0D"/>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E13CD3">
        <w:rPr>
          <w:rFonts w:ascii="Palatino Linotype" w:eastAsia="Palatino Linotype" w:hAnsi="Palatino Linotype" w:cs="Palatino Linotype"/>
          <w:b/>
          <w:color w:val="0D0D0D"/>
          <w:sz w:val="22"/>
          <w:szCs w:val="22"/>
        </w:rPr>
        <w:t>confidenciales o reservados.</w:t>
      </w:r>
    </w:p>
    <w:p w14:paraId="35FDE128" w14:textId="77777777" w:rsidR="00106087" w:rsidRPr="00E13CD3" w:rsidRDefault="00106087">
      <w:pPr>
        <w:spacing w:line="360" w:lineRule="auto"/>
        <w:jc w:val="both"/>
        <w:rPr>
          <w:rFonts w:ascii="Palatino Linotype" w:eastAsia="Palatino Linotype" w:hAnsi="Palatino Linotype" w:cs="Palatino Linotype"/>
          <w:color w:val="0D0D0D"/>
          <w:sz w:val="22"/>
          <w:szCs w:val="22"/>
        </w:rPr>
      </w:pPr>
    </w:p>
    <w:p w14:paraId="67B39392" w14:textId="77777777" w:rsidR="00106087" w:rsidRPr="00E13CD3" w:rsidRDefault="00CA6354">
      <w:pPr>
        <w:spacing w:line="360" w:lineRule="auto"/>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 xml:space="preserve">Así, en los artículos 122, 128 y 130 de la Ley Transparencia y Acceso a la Información Pública del Estado de México y Municipios, se prevé que </w:t>
      </w:r>
      <w:r w:rsidRPr="00E13CD3">
        <w:rPr>
          <w:rFonts w:ascii="Palatino Linotype" w:eastAsia="Palatino Linotype" w:hAnsi="Palatino Linotype" w:cs="Palatino Linotype"/>
          <w:b/>
          <w:color w:val="0D0D0D"/>
          <w:sz w:val="22"/>
          <w:szCs w:val="22"/>
        </w:rPr>
        <w:t xml:space="preserve">la clasificación </w:t>
      </w:r>
      <w:r w:rsidRPr="00E13CD3">
        <w:rPr>
          <w:rFonts w:ascii="Palatino Linotype" w:eastAsia="Palatino Linotype" w:hAnsi="Palatino Linotype" w:cs="Palatino Linotype"/>
          <w:color w:val="0D0D0D"/>
          <w:sz w:val="22"/>
          <w:szCs w:val="22"/>
        </w:rPr>
        <w:t xml:space="preserve">es el proceso mediante el cual los sujetos obligados determinan que la información en su </w:t>
      </w:r>
      <w:proofErr w:type="gramStart"/>
      <w:r w:rsidRPr="00E13CD3">
        <w:rPr>
          <w:rFonts w:ascii="Palatino Linotype" w:eastAsia="Palatino Linotype" w:hAnsi="Palatino Linotype" w:cs="Palatino Linotype"/>
          <w:color w:val="0D0D0D"/>
          <w:sz w:val="22"/>
          <w:szCs w:val="22"/>
        </w:rPr>
        <w:t>poder,</w:t>
      </w:r>
      <w:proofErr w:type="gramEnd"/>
      <w:r w:rsidRPr="00E13CD3">
        <w:rPr>
          <w:rFonts w:ascii="Palatino Linotype" w:eastAsia="Palatino Linotype" w:hAnsi="Palatino Linotype" w:cs="Palatino Linotype"/>
          <w:color w:val="0D0D0D"/>
          <w:sz w:val="22"/>
          <w:szCs w:val="22"/>
        </w:rPr>
        <w:t xml:space="preserve"> actualiza alguno de los supuestos de reserva o confidencialidad. Además, que dichos entes deberán aplicar de manera restrictiva y limitada, las excepciones al derecho de acceso a la información, por lo que, tendrán que acreditar la procedencia.</w:t>
      </w:r>
    </w:p>
    <w:p w14:paraId="6F313249"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lastRenderedPageBreak/>
        <w:t xml:space="preserve">En ese contexto, es de referir que el Sujeto Obligado, precisó </w:t>
      </w:r>
      <w:r w:rsidRPr="00E13CD3">
        <w:rPr>
          <w:rFonts w:ascii="Palatino Linotype" w:eastAsia="Palatino Linotype" w:hAnsi="Palatino Linotype" w:cs="Palatino Linotype"/>
          <w:sz w:val="22"/>
          <w:szCs w:val="22"/>
        </w:rPr>
        <w:t>que los recibos de nómina contenían diversos datos personales de los servidores por lo que no podía proporcionarlos</w:t>
      </w:r>
      <w:r w:rsidRPr="00E13CD3">
        <w:rPr>
          <w:rFonts w:ascii="Palatino Linotype" w:eastAsia="Palatino Linotype" w:hAnsi="Palatino Linotype" w:cs="Palatino Linotype"/>
          <w:color w:val="000000"/>
          <w:sz w:val="22"/>
          <w:szCs w:val="22"/>
        </w:rPr>
        <w:t xml:space="preserve">; sobre el tema, en los artículos 100, 103 y 105 de la Ley General de Transparencia y Acceso a la Información Pública y los diversos 122, 128 y 130 de la Ley Transparencia y Acceso a la Información Pública del Estado de México y Municipios, se prevé que </w:t>
      </w:r>
      <w:r w:rsidRPr="00E13CD3">
        <w:rPr>
          <w:rFonts w:ascii="Palatino Linotype" w:eastAsia="Palatino Linotype" w:hAnsi="Palatino Linotype" w:cs="Palatino Linotype"/>
          <w:b/>
          <w:color w:val="000000"/>
          <w:sz w:val="22"/>
          <w:szCs w:val="22"/>
        </w:rPr>
        <w:t xml:space="preserve">la clasificación </w:t>
      </w:r>
      <w:r w:rsidRPr="00E13CD3">
        <w:rPr>
          <w:rFonts w:ascii="Palatino Linotype" w:eastAsia="Palatino Linotype" w:hAnsi="Palatino Linotype" w:cs="Palatino Linotype"/>
          <w:color w:val="000000"/>
          <w:sz w:val="22"/>
          <w:szCs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4D630A16"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6B86D9A9"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Por lo cual, en los casos en que se niegue el acceso a la información, por actualizarse alguno de los supuestos de clasificación, </w:t>
      </w:r>
      <w:r w:rsidRPr="00E13CD3">
        <w:rPr>
          <w:rFonts w:ascii="Palatino Linotype" w:eastAsia="Palatino Linotype" w:hAnsi="Palatino Linotype" w:cs="Palatino Linotype"/>
          <w:b/>
          <w:color w:val="000000"/>
          <w:sz w:val="22"/>
          <w:szCs w:val="22"/>
        </w:rPr>
        <w:t xml:space="preserve">el Comité de Transparencia deberá confirmar, modificar o revocar la decisión; </w:t>
      </w:r>
      <w:r w:rsidRPr="00E13CD3">
        <w:rPr>
          <w:rFonts w:ascii="Palatino Linotype" w:eastAsia="Palatino Linotype" w:hAnsi="Palatino Linotype" w:cs="Palatino Linotype"/>
          <w:color w:val="000000"/>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2F592946"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0A912618" w14:textId="77777777" w:rsidR="00106087" w:rsidRPr="00E13CD3" w:rsidRDefault="00CA6354">
      <w:p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color w:val="000000"/>
          <w:sz w:val="22"/>
          <w:szCs w:val="22"/>
        </w:rPr>
        <w:t xml:space="preserve">En ese contexto, de la interpretación del artículo 108 de la Ley General de Transparencia y Acceso a la Información Pública, el 134 de la Ley de Transparencia y Acceso a la Información Pública del Estado de México y Municipios, se logra observar que </w:t>
      </w:r>
      <w:r w:rsidRPr="00E13CD3">
        <w:rPr>
          <w:rFonts w:ascii="Palatino Linotype" w:eastAsia="Palatino Linotype" w:hAnsi="Palatino Linotype" w:cs="Palatino Linotype"/>
          <w:b/>
          <w:color w:val="000000"/>
          <w:sz w:val="22"/>
          <w:szCs w:val="22"/>
        </w:rPr>
        <w:t>la clasificación depende del contenido de los documentos, pues de su análisis se establece si corresponde a una clasificación total o parcial.</w:t>
      </w:r>
    </w:p>
    <w:p w14:paraId="7D6F1B04"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2A6C606A" w14:textId="77777777" w:rsidR="00106087" w:rsidRPr="00E13CD3" w:rsidRDefault="00CA6354">
      <w:p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color w:val="000000"/>
          <w:sz w:val="22"/>
          <w:szCs w:val="22"/>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1ABB9502" w14:textId="77777777" w:rsidR="00106087" w:rsidRPr="00E13CD3" w:rsidRDefault="00106087">
      <w:pPr>
        <w:widowControl w:val="0"/>
        <w:spacing w:line="360" w:lineRule="auto"/>
        <w:jc w:val="both"/>
        <w:rPr>
          <w:rFonts w:ascii="Palatino Linotype" w:eastAsia="Palatino Linotype" w:hAnsi="Palatino Linotype" w:cs="Palatino Linotype"/>
          <w:color w:val="000000"/>
          <w:sz w:val="22"/>
          <w:szCs w:val="22"/>
        </w:rPr>
      </w:pPr>
    </w:p>
    <w:p w14:paraId="295020AE" w14:textId="77777777" w:rsidR="00106087" w:rsidRPr="00E13CD3" w:rsidRDefault="00CA6354">
      <w:p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color w:val="000000"/>
          <w:sz w:val="22"/>
          <w:szCs w:val="22"/>
        </w:rPr>
        <w:t xml:space="preserve">En ese contexto, según Bonifaz, Leticia (2016), en la “Ley General de Transparencia y Acceso a la Información Pública Comentada” (p. 342), la </w:t>
      </w:r>
      <w:r w:rsidRPr="00E13CD3">
        <w:rPr>
          <w:rFonts w:ascii="Palatino Linotype" w:eastAsia="Palatino Linotype" w:hAnsi="Palatino Linotype" w:cs="Palatino Linotype"/>
          <w:b/>
          <w:color w:val="000000"/>
          <w:sz w:val="22"/>
          <w:szCs w:val="22"/>
        </w:rPr>
        <w:t xml:space="preserve">clasificación de la </w:t>
      </w:r>
      <w:proofErr w:type="gramStart"/>
      <w:r w:rsidRPr="00E13CD3">
        <w:rPr>
          <w:rFonts w:ascii="Palatino Linotype" w:eastAsia="Palatino Linotype" w:hAnsi="Palatino Linotype" w:cs="Palatino Linotype"/>
          <w:b/>
          <w:color w:val="000000"/>
          <w:sz w:val="22"/>
          <w:szCs w:val="22"/>
        </w:rPr>
        <w:t>información</w:t>
      </w:r>
      <w:r w:rsidRPr="00E13CD3">
        <w:rPr>
          <w:rFonts w:ascii="Palatino Linotype" w:eastAsia="Palatino Linotype" w:hAnsi="Palatino Linotype" w:cs="Palatino Linotype"/>
          <w:color w:val="000000"/>
          <w:sz w:val="22"/>
          <w:szCs w:val="22"/>
        </w:rPr>
        <w:t>,</w:t>
      </w:r>
      <w:proofErr w:type="gramEnd"/>
      <w:r w:rsidRPr="00E13CD3">
        <w:rPr>
          <w:rFonts w:ascii="Palatino Linotype" w:eastAsia="Palatino Linotype" w:hAnsi="Palatino Linotype" w:cs="Palatino Linotype"/>
          <w:color w:val="000000"/>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E13CD3">
        <w:rPr>
          <w:rFonts w:ascii="Palatino Linotype" w:eastAsia="Palatino Linotype" w:hAnsi="Palatino Linotype" w:cs="Palatino Linotype"/>
          <w:b/>
          <w:color w:val="000000"/>
          <w:sz w:val="22"/>
          <w:szCs w:val="22"/>
        </w:rPr>
        <w:t>de manera adecuada la negativa de información.</w:t>
      </w:r>
    </w:p>
    <w:p w14:paraId="02027A79"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34211D78" w14:textId="77777777" w:rsidR="00106087" w:rsidRPr="00E13CD3" w:rsidRDefault="00CA6354">
      <w:p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color w:val="000000"/>
          <w:sz w:val="22"/>
          <w:szCs w:val="22"/>
        </w:rPr>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E13CD3">
        <w:rPr>
          <w:rFonts w:ascii="Palatino Linotype" w:eastAsia="Palatino Linotype" w:hAnsi="Palatino Linotype" w:cs="Palatino Linotype"/>
          <w:b/>
          <w:color w:val="000000"/>
          <w:sz w:val="22"/>
          <w:szCs w:val="22"/>
        </w:rPr>
        <w:t>análisis caso por caso.</w:t>
      </w:r>
    </w:p>
    <w:p w14:paraId="75745032" w14:textId="77777777" w:rsidR="00106087" w:rsidRPr="00E13CD3" w:rsidRDefault="00106087">
      <w:pPr>
        <w:spacing w:line="360" w:lineRule="auto"/>
        <w:jc w:val="both"/>
        <w:rPr>
          <w:rFonts w:ascii="Palatino Linotype" w:eastAsia="Palatino Linotype" w:hAnsi="Palatino Linotype" w:cs="Palatino Linotype"/>
          <w:b/>
          <w:color w:val="000000"/>
          <w:sz w:val="22"/>
          <w:szCs w:val="22"/>
        </w:rPr>
      </w:pPr>
    </w:p>
    <w:p w14:paraId="0A358993"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Sobre lo anterior, el artículo 131 de la Ley referida, así como el Quinto de los Lineamientos Generales, establecen que los sujetos obligados </w:t>
      </w:r>
      <w:r w:rsidRPr="00E13CD3">
        <w:rPr>
          <w:rFonts w:ascii="Palatino Linotype" w:eastAsia="Palatino Linotype" w:hAnsi="Palatino Linotype" w:cs="Palatino Linotype"/>
          <w:b/>
          <w:color w:val="000000"/>
          <w:sz w:val="22"/>
          <w:szCs w:val="22"/>
        </w:rPr>
        <w:t>deberán fundar y motivar</w:t>
      </w:r>
      <w:r w:rsidRPr="00E13CD3">
        <w:rPr>
          <w:rFonts w:ascii="Palatino Linotype" w:eastAsia="Palatino Linotype" w:hAnsi="Palatino Linotype" w:cs="Palatino Linotype"/>
          <w:color w:val="000000"/>
          <w:sz w:val="22"/>
          <w:szCs w:val="22"/>
        </w:rPr>
        <w:t xml:space="preserve"> debidamente la clasificación de la información.</w:t>
      </w:r>
    </w:p>
    <w:p w14:paraId="42EB862C" w14:textId="77777777" w:rsidR="00106087" w:rsidRPr="00E13CD3" w:rsidRDefault="00106087">
      <w:pPr>
        <w:spacing w:line="360" w:lineRule="auto"/>
        <w:jc w:val="both"/>
        <w:rPr>
          <w:rFonts w:ascii="Palatino Linotype" w:eastAsia="Palatino Linotype" w:hAnsi="Palatino Linotype" w:cs="Palatino Linotype"/>
          <w:b/>
          <w:color w:val="000000"/>
          <w:sz w:val="22"/>
          <w:szCs w:val="22"/>
        </w:rPr>
      </w:pPr>
    </w:p>
    <w:p w14:paraId="6087218C"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Al respecto, el Octavo de los Lineamientos Generales, precisa lo siguiente:</w:t>
      </w:r>
    </w:p>
    <w:p w14:paraId="3B1ED05A"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282BD407" w14:textId="77777777" w:rsidR="00106087" w:rsidRPr="00E13CD3" w:rsidRDefault="00CA6354">
      <w:pPr>
        <w:numPr>
          <w:ilvl w:val="0"/>
          <w:numId w:val="11"/>
        </w:numPr>
        <w:spacing w:line="360" w:lineRule="auto"/>
        <w:jc w:val="both"/>
        <w:rPr>
          <w:rFonts w:ascii="Palatino Linotype" w:eastAsia="Palatino Linotype" w:hAnsi="Palatino Linotype" w:cs="Palatino Linotype"/>
          <w:color w:val="000000"/>
          <w:sz w:val="22"/>
          <w:szCs w:val="22"/>
          <w:u w:val="single"/>
        </w:rPr>
      </w:pPr>
      <w:r w:rsidRPr="00E13CD3">
        <w:rPr>
          <w:rFonts w:ascii="Palatino Linotype" w:eastAsia="Palatino Linotype" w:hAnsi="Palatino Linotype" w:cs="Palatino Linotype"/>
          <w:b/>
          <w:color w:val="000000"/>
          <w:sz w:val="22"/>
          <w:szCs w:val="22"/>
        </w:rPr>
        <w:t>Para fundar la clasificación</w:t>
      </w:r>
      <w:r w:rsidRPr="00E13CD3">
        <w:rPr>
          <w:rFonts w:ascii="Palatino Linotype" w:eastAsia="Palatino Linotype" w:hAnsi="Palatino Linotype" w:cs="Palatino Linotype"/>
          <w:color w:val="000000"/>
          <w:sz w:val="22"/>
          <w:szCs w:val="22"/>
        </w:rPr>
        <w:t xml:space="preserve"> de la información se deberán </w:t>
      </w:r>
      <w:r w:rsidRPr="00E13CD3">
        <w:rPr>
          <w:rFonts w:ascii="Palatino Linotype" w:eastAsia="Palatino Linotype" w:hAnsi="Palatino Linotype" w:cs="Palatino Linotype"/>
          <w:color w:val="000000"/>
          <w:sz w:val="22"/>
          <w:szCs w:val="22"/>
          <w:u w:val="single"/>
        </w:rPr>
        <w:t>señalar el artículo, fracción, inciso, párrafo o numeral de la Ley aplicable;</w:t>
      </w:r>
    </w:p>
    <w:p w14:paraId="3471E763"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10C68873" w14:textId="77777777" w:rsidR="00106087" w:rsidRPr="00E13CD3" w:rsidRDefault="00CA6354">
      <w:pPr>
        <w:numPr>
          <w:ilvl w:val="0"/>
          <w:numId w:val="11"/>
        </w:num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b/>
          <w:color w:val="000000"/>
          <w:sz w:val="22"/>
          <w:szCs w:val="22"/>
        </w:rPr>
        <w:lastRenderedPageBreak/>
        <w:t>Para motivar la clasificación</w:t>
      </w:r>
      <w:r w:rsidRPr="00E13CD3">
        <w:rPr>
          <w:rFonts w:ascii="Palatino Linotype" w:eastAsia="Palatino Linotype" w:hAnsi="Palatino Linotype" w:cs="Palatino Linotype"/>
          <w:color w:val="000000"/>
          <w:sz w:val="22"/>
          <w:szCs w:val="22"/>
        </w:rPr>
        <w:t xml:space="preserve"> se deberán </w:t>
      </w:r>
      <w:r w:rsidRPr="00E13CD3">
        <w:rPr>
          <w:rFonts w:ascii="Palatino Linotype" w:eastAsia="Palatino Linotype" w:hAnsi="Palatino Linotype" w:cs="Palatino Linotype"/>
          <w:color w:val="000000"/>
          <w:sz w:val="22"/>
          <w:szCs w:val="22"/>
          <w:u w:val="single"/>
        </w:rPr>
        <w:t>indicar las razones y circunstancias</w:t>
      </w:r>
      <w:r w:rsidRPr="00E13CD3">
        <w:rPr>
          <w:rFonts w:ascii="Palatino Linotype" w:eastAsia="Palatino Linotype" w:hAnsi="Palatino Linotype" w:cs="Palatino Linotype"/>
          <w:color w:val="000000"/>
          <w:sz w:val="22"/>
          <w:szCs w:val="22"/>
        </w:rPr>
        <w:t xml:space="preserve"> especiales que lo llevaron a concluir que el caso particular se ajusta al supuesto previsto por la norma legal invocada.</w:t>
      </w:r>
    </w:p>
    <w:p w14:paraId="2B6D6232" w14:textId="77777777" w:rsidR="00106087" w:rsidRPr="00E13CD3" w:rsidRDefault="00106087">
      <w:pPr>
        <w:spacing w:line="360" w:lineRule="auto"/>
        <w:ind w:left="720"/>
        <w:jc w:val="both"/>
        <w:rPr>
          <w:rFonts w:ascii="Palatino Linotype" w:eastAsia="Palatino Linotype" w:hAnsi="Palatino Linotype" w:cs="Palatino Linotype"/>
          <w:color w:val="000000"/>
          <w:sz w:val="22"/>
          <w:szCs w:val="22"/>
        </w:rPr>
      </w:pPr>
    </w:p>
    <w:p w14:paraId="1E5CD768"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6AC06FF2"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73937579" w14:textId="77777777" w:rsidR="00106087" w:rsidRPr="00E13CD3" w:rsidRDefault="00CA6354">
      <w:pPr>
        <w:spacing w:line="360" w:lineRule="auto"/>
        <w:ind w:left="567" w:right="567"/>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b/>
          <w:i/>
          <w:color w:val="000000"/>
        </w:rPr>
        <w:t xml:space="preserve">“FUNDAMENTACION Y MOTIVACION, CONCEPTO DE. </w:t>
      </w:r>
      <w:r w:rsidRPr="00E13CD3">
        <w:rPr>
          <w:rFonts w:ascii="Palatino Linotype" w:eastAsia="Palatino Linotype" w:hAnsi="Palatino Linotype" w:cs="Palatino Linotype"/>
          <w:i/>
          <w:color w:val="00000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7B0E85A2"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7729A098"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Conforme a lo anterior, se advierte lo siguiente:</w:t>
      </w:r>
    </w:p>
    <w:p w14:paraId="1302D418"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6E8F4D58" w14:textId="77777777" w:rsidR="00106087" w:rsidRPr="00E13CD3" w:rsidRDefault="00CA6354">
      <w:pPr>
        <w:numPr>
          <w:ilvl w:val="0"/>
          <w:numId w:val="12"/>
        </w:num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b/>
          <w:color w:val="000000"/>
          <w:sz w:val="22"/>
          <w:szCs w:val="22"/>
        </w:rPr>
        <w:t xml:space="preserve">Fundamentación: </w:t>
      </w:r>
      <w:r w:rsidRPr="00E13CD3">
        <w:rPr>
          <w:rFonts w:ascii="Palatino Linotype" w:eastAsia="Palatino Linotype" w:hAnsi="Palatino Linotype" w:cs="Palatino Linotype"/>
          <w:color w:val="000000"/>
          <w:sz w:val="22"/>
          <w:szCs w:val="22"/>
        </w:rPr>
        <w:t>Obligación de la autoridad que emite un acto, para citar los preceptos legales, sustantivos y adjetivos, en que se apoye para la determinación tomada.</w:t>
      </w:r>
    </w:p>
    <w:p w14:paraId="0A9724C1" w14:textId="77777777" w:rsidR="00106087" w:rsidRPr="00E13CD3" w:rsidRDefault="00106087">
      <w:pPr>
        <w:spacing w:line="360" w:lineRule="auto"/>
        <w:ind w:left="720"/>
        <w:jc w:val="both"/>
        <w:rPr>
          <w:rFonts w:ascii="Palatino Linotype" w:eastAsia="Palatino Linotype" w:hAnsi="Palatino Linotype" w:cs="Palatino Linotype"/>
          <w:b/>
          <w:color w:val="000000"/>
          <w:sz w:val="22"/>
          <w:szCs w:val="22"/>
        </w:rPr>
      </w:pPr>
    </w:p>
    <w:p w14:paraId="6369B649" w14:textId="77777777" w:rsidR="00106087" w:rsidRPr="00E13CD3" w:rsidRDefault="00CA6354">
      <w:pPr>
        <w:numPr>
          <w:ilvl w:val="0"/>
          <w:numId w:val="12"/>
        </w:num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b/>
          <w:color w:val="000000"/>
          <w:sz w:val="22"/>
          <w:szCs w:val="22"/>
        </w:rPr>
        <w:t xml:space="preserve">Motivación: </w:t>
      </w:r>
      <w:r w:rsidRPr="00E13CD3">
        <w:rPr>
          <w:rFonts w:ascii="Palatino Linotype" w:eastAsia="Palatino Linotype" w:hAnsi="Palatino Linotype" w:cs="Palatino Linotype"/>
          <w:color w:val="000000"/>
          <w:sz w:val="22"/>
          <w:szCs w:val="22"/>
        </w:rPr>
        <w:t>Razonamientos lógico-jurídicos sobre porque se consideró en el caso en concreto, que se ajusta a la hipótesis normativa.</w:t>
      </w:r>
    </w:p>
    <w:p w14:paraId="6982F4DF"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5FF8ED7F"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6BBBFCD9" w14:textId="77777777" w:rsidR="00106087" w:rsidRPr="00E13CD3" w:rsidRDefault="00106087">
      <w:pPr>
        <w:widowControl w:val="0"/>
        <w:spacing w:line="360" w:lineRule="auto"/>
        <w:jc w:val="both"/>
        <w:rPr>
          <w:rFonts w:ascii="Palatino Linotype" w:eastAsia="Palatino Linotype" w:hAnsi="Palatino Linotype" w:cs="Palatino Linotype"/>
          <w:color w:val="000000"/>
          <w:sz w:val="22"/>
          <w:szCs w:val="22"/>
        </w:rPr>
      </w:pPr>
    </w:p>
    <w:p w14:paraId="25DFF743"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sz w:val="22"/>
          <w:szCs w:val="22"/>
        </w:rPr>
        <w:t>En ese contexto, es de señalar que Ayuntamiento de Calimaya, no precisó de manera fundada y motivada las razones por las cuales, consideraba que los documentos solicitados</w:t>
      </w:r>
      <w:r w:rsidRPr="00E13CD3">
        <w:rPr>
          <w:rFonts w:ascii="Palatino Linotype" w:eastAsia="Palatino Linotype" w:hAnsi="Palatino Linotype" w:cs="Palatino Linotype"/>
          <w:i/>
          <w:sz w:val="22"/>
          <w:szCs w:val="22"/>
        </w:rPr>
        <w:t xml:space="preserve"> </w:t>
      </w:r>
      <w:r w:rsidRPr="00E13CD3">
        <w:rPr>
          <w:rFonts w:ascii="Palatino Linotype" w:eastAsia="Palatino Linotype" w:hAnsi="Palatino Linotype" w:cs="Palatino Linotype"/>
          <w:sz w:val="22"/>
          <w:szCs w:val="22"/>
        </w:rPr>
        <w:t>eran clasificados; ni el Comité de Transparencia emitió el acuerdo que confirmará dicha circunstancia</w:t>
      </w:r>
      <w:r w:rsidRPr="00E13CD3">
        <w:rPr>
          <w:rFonts w:ascii="Palatino Linotype" w:eastAsia="Palatino Linotype" w:hAnsi="Palatino Linotype" w:cs="Palatino Linotype"/>
          <w:color w:val="000000"/>
          <w:sz w:val="22"/>
          <w:szCs w:val="22"/>
        </w:rPr>
        <w:t>.</w:t>
      </w:r>
    </w:p>
    <w:p w14:paraId="1C1D8482"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3371276D"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Además, los artículos 112 de la Ley General de Transparencia y Acceso a la Información Pública, 138 de la Ley de Transparencia y Acceso a la Información Pública del Estado de México y Municipios y Quincuagésimo séptimo de los Lineamientos Generales, establecen que no se podrá omitir de las versiones públicas la información relativa a las obligaciones de transparencia; lo cual se traduce al hecho de que no se puede clasificar información que corresponda a una obligación de transparencia.</w:t>
      </w:r>
    </w:p>
    <w:p w14:paraId="17023CEB"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4BE7BF50"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Sobre dicha circunstancia, el artículo 70, fracción VII y VIII, de la Ley General de Transparencia y Acceso a la Información Pública, con relación con el 92, fracciones VII y VIII, de la Ley de Transparencia y Acceso a la Información Pública del Estado de México y Municipios y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w:t>
      </w:r>
      <w:r w:rsidRPr="00E13CD3">
        <w:rPr>
          <w:rFonts w:ascii="Palatino Linotype" w:eastAsia="Palatino Linotype" w:hAnsi="Palatino Linotype" w:cs="Palatino Linotype"/>
          <w:color w:val="000000"/>
          <w:sz w:val="22"/>
          <w:szCs w:val="22"/>
        </w:rPr>
        <w:lastRenderedPageBreak/>
        <w:t>Plataforma Nacional de Transparencia, precisa que la información de los servidores públicos, tales como el nombre, cargo o puesto y remuneraciones</w:t>
      </w:r>
    </w:p>
    <w:p w14:paraId="14A345E5"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56BD0FE6" w14:textId="77777777" w:rsidR="00106087" w:rsidRPr="00E13CD3" w:rsidRDefault="00CA6354">
      <w:pPr>
        <w:spacing w:line="360" w:lineRule="auto"/>
        <w:ind w:right="-28"/>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Además, Arizmendi, Guillermo (2016), en la “Ley General de Transparencia y Acceso a la Información Pública Comentada” (p. 239 y 240), hace alusión a que la relación de los servidores públicos que integran las unidades administrativas y las remuneraciones que reciben estos, permite rendir cuentas a la ciudadanía de la forma en que se ocupan recursos públicos </w:t>
      </w:r>
      <w:proofErr w:type="gramStart"/>
      <w:r w:rsidRPr="00E13CD3">
        <w:rPr>
          <w:rFonts w:ascii="Palatino Linotype" w:eastAsia="Palatino Linotype" w:hAnsi="Palatino Linotype" w:cs="Palatino Linotype"/>
          <w:color w:val="000000"/>
          <w:sz w:val="22"/>
          <w:szCs w:val="22"/>
        </w:rPr>
        <w:t>y  atender</w:t>
      </w:r>
      <w:proofErr w:type="gramEnd"/>
      <w:r w:rsidRPr="00E13CD3">
        <w:rPr>
          <w:rFonts w:ascii="Palatino Linotype" w:eastAsia="Palatino Linotype" w:hAnsi="Palatino Linotype" w:cs="Palatino Linotype"/>
          <w:color w:val="000000"/>
          <w:sz w:val="22"/>
          <w:szCs w:val="22"/>
        </w:rPr>
        <w:t xml:space="preserve"> el principio de transparencia.</w:t>
      </w:r>
    </w:p>
    <w:p w14:paraId="2E17BCC1" w14:textId="77777777" w:rsidR="00106087" w:rsidRPr="00E13CD3" w:rsidRDefault="00106087">
      <w:pPr>
        <w:spacing w:line="360" w:lineRule="auto"/>
        <w:ind w:right="-28"/>
        <w:jc w:val="both"/>
        <w:rPr>
          <w:rFonts w:ascii="Palatino Linotype" w:eastAsia="Palatino Linotype" w:hAnsi="Palatino Linotype" w:cs="Palatino Linotype"/>
          <w:color w:val="000000"/>
          <w:sz w:val="22"/>
          <w:szCs w:val="22"/>
        </w:rPr>
      </w:pPr>
    </w:p>
    <w:p w14:paraId="5FB0F58E"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Además, los artículos 3°, fracción XXI y 111 de la Ley General de Transparencia y Acceso a la Información, 3°, fracción XLV, y 137 de la Ley de Transparencia y Acceso a la Información Pública del Estado de México y Municipios y los numerales Segundo, fracción XVIII, y Quincuagésimo sexto de los Lineamientos Generales, establecen 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documento que deberá ser aprobado por el Comité de Transparencia.</w:t>
      </w:r>
    </w:p>
    <w:p w14:paraId="22C92054" w14:textId="77777777" w:rsidR="00106087" w:rsidRPr="00E13CD3" w:rsidRDefault="00106087">
      <w:pPr>
        <w:spacing w:line="360" w:lineRule="auto"/>
        <w:rPr>
          <w:rFonts w:ascii="Palatino Linotype" w:eastAsia="Palatino Linotype" w:hAnsi="Palatino Linotype" w:cs="Palatino Linotype"/>
          <w:sz w:val="22"/>
          <w:szCs w:val="22"/>
        </w:rPr>
      </w:pPr>
    </w:p>
    <w:p w14:paraId="18EA04E5"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Como se logra observar, la clasificación total del documento no es la única forma de proteger información localizada en este, pues existe otro procedimiento, en el cual, solamente se testan las partes que contienen datos o información, denominado versión pública; con lo cual, el Sujeto Obligado podría testar los datos confidenciales y proporcionar el documento que da cuenta de la información solicitada</w:t>
      </w:r>
    </w:p>
    <w:p w14:paraId="64CA7884"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467E4A0D" w14:textId="77777777" w:rsidR="00106087" w:rsidRPr="00E13CD3" w:rsidRDefault="00CA6354">
      <w:p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sz w:val="22"/>
          <w:szCs w:val="22"/>
        </w:rPr>
        <w:lastRenderedPageBreak/>
        <w:t xml:space="preserve">Así, en el presente caso, no procede la clasificación total de los documentos solicitados, en términos del artículo 143, fracción I, de la Ley de Transparencia y Acceso a la Información Pública del Estado de México y Municipios, lo cual da como resultado que el agravio sea </w:t>
      </w:r>
      <w:r w:rsidRPr="00E13CD3">
        <w:rPr>
          <w:rFonts w:ascii="Palatino Linotype" w:eastAsia="Palatino Linotype" w:hAnsi="Palatino Linotype" w:cs="Palatino Linotype"/>
          <w:b/>
          <w:sz w:val="22"/>
          <w:szCs w:val="22"/>
        </w:rPr>
        <w:t>FUNDADO.</w:t>
      </w:r>
    </w:p>
    <w:p w14:paraId="75EBB65A"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6EBF8E88"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Por otra parte, la Tesorería Municipal proporcionó dos enlaces en formato cerrado, por los que indicó que podría consultar las remuneraciones del personal del ayuntamiento; Así de la revisión de los enlaces </w:t>
      </w:r>
      <w:r w:rsidRPr="00E13CD3">
        <w:rPr>
          <w:rFonts w:ascii="Palatino Linotype" w:eastAsia="Palatino Linotype" w:hAnsi="Palatino Linotype" w:cs="Palatino Linotype"/>
          <w:color w:val="0D0D0D"/>
          <w:sz w:val="22"/>
          <w:szCs w:val="22"/>
        </w:rPr>
        <w:t>proporcionados se logró advertir que se encuentran en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5CBF0B7" w14:textId="77777777" w:rsidR="00106087" w:rsidRPr="00E13CD3" w:rsidRDefault="00CA6354">
      <w:pPr>
        <w:spacing w:line="360" w:lineRule="auto"/>
        <w:ind w:right="-28"/>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 xml:space="preserve"> </w:t>
      </w:r>
    </w:p>
    <w:p w14:paraId="3BDE7951" w14:textId="77777777" w:rsidR="00106087" w:rsidRPr="00E13CD3" w:rsidRDefault="00CA6354">
      <w:pPr>
        <w:spacing w:line="360" w:lineRule="auto"/>
        <w:ind w:right="-28"/>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60E0F449" w14:textId="77777777" w:rsidR="00106087" w:rsidRPr="00E13CD3" w:rsidRDefault="00CA6354">
      <w:pPr>
        <w:spacing w:line="360" w:lineRule="auto"/>
        <w:ind w:right="-28"/>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 xml:space="preserve"> </w:t>
      </w:r>
    </w:p>
    <w:p w14:paraId="310888E2" w14:textId="77777777" w:rsidR="00106087" w:rsidRPr="00E13CD3" w:rsidRDefault="00CA6354">
      <w:pPr>
        <w:spacing w:line="360" w:lineRule="auto"/>
        <w:ind w:right="-28"/>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F782350" w14:textId="77777777" w:rsidR="00106087" w:rsidRPr="00E13CD3" w:rsidRDefault="00106087">
      <w:pPr>
        <w:spacing w:line="360" w:lineRule="auto"/>
        <w:ind w:right="-28"/>
        <w:jc w:val="both"/>
        <w:rPr>
          <w:rFonts w:ascii="Palatino Linotype" w:eastAsia="Palatino Linotype" w:hAnsi="Palatino Linotype" w:cs="Palatino Linotype"/>
          <w:color w:val="0D0D0D"/>
          <w:sz w:val="22"/>
          <w:szCs w:val="22"/>
        </w:rPr>
      </w:pPr>
    </w:p>
    <w:p w14:paraId="2EEF8C68" w14:textId="77777777" w:rsidR="00106087" w:rsidRPr="00E13CD3" w:rsidRDefault="00CA6354">
      <w:pPr>
        <w:numPr>
          <w:ilvl w:val="0"/>
          <w:numId w:val="13"/>
        </w:numPr>
        <w:spacing w:line="360" w:lineRule="auto"/>
        <w:ind w:right="-28"/>
        <w:jc w:val="both"/>
        <w:rPr>
          <w:rFonts w:ascii="Palatino Linotype" w:eastAsia="Palatino Linotype" w:hAnsi="Palatino Linotype" w:cs="Palatino Linotype"/>
          <w:b/>
          <w:color w:val="0D0D0D"/>
          <w:sz w:val="22"/>
          <w:szCs w:val="22"/>
        </w:rPr>
      </w:pPr>
      <w:r w:rsidRPr="00E13CD3">
        <w:rPr>
          <w:rFonts w:ascii="Palatino Linotype" w:eastAsia="Palatino Linotype" w:hAnsi="Palatino Linotype" w:cs="Palatino Linotype"/>
          <w:b/>
          <w:color w:val="0D0D0D"/>
          <w:sz w:val="22"/>
          <w:szCs w:val="22"/>
        </w:rPr>
        <w:t xml:space="preserve">Dato abierto: </w:t>
      </w:r>
      <w:r w:rsidRPr="00E13CD3">
        <w:rPr>
          <w:rFonts w:ascii="Palatino Linotype" w:eastAsia="Palatino Linotype" w:hAnsi="Palatino Linotype" w:cs="Palatino Linotype"/>
          <w:color w:val="0D0D0D"/>
          <w:sz w:val="22"/>
          <w:szCs w:val="22"/>
        </w:rPr>
        <w:t xml:space="preserve">Datos digitales de carácter público que son accesibles en línea que pueden ser usados, reutilizados y redistribuidos por cualquier persona, mismos que se </w:t>
      </w:r>
      <w:r w:rsidRPr="00E13CD3">
        <w:rPr>
          <w:rFonts w:ascii="Palatino Linotype" w:eastAsia="Palatino Linotype" w:hAnsi="Palatino Linotype" w:cs="Palatino Linotype"/>
          <w:color w:val="0D0D0D"/>
          <w:sz w:val="22"/>
          <w:szCs w:val="22"/>
        </w:rPr>
        <w:lastRenderedPageBreak/>
        <w:t>conforman de diversas características, entre las cuales se encuentra que se encuentren en formatos abiertos.</w:t>
      </w:r>
    </w:p>
    <w:p w14:paraId="36EA2B2D" w14:textId="77777777" w:rsidR="00106087" w:rsidRPr="00E13CD3" w:rsidRDefault="00CA6354">
      <w:pPr>
        <w:spacing w:line="360" w:lineRule="auto"/>
        <w:ind w:right="-28"/>
        <w:jc w:val="both"/>
        <w:rPr>
          <w:rFonts w:ascii="Palatino Linotype" w:eastAsia="Palatino Linotype" w:hAnsi="Palatino Linotype" w:cs="Palatino Linotype"/>
          <w:b/>
          <w:color w:val="0D0D0D"/>
          <w:sz w:val="22"/>
          <w:szCs w:val="22"/>
        </w:rPr>
      </w:pPr>
      <w:r w:rsidRPr="00E13CD3">
        <w:rPr>
          <w:rFonts w:ascii="Palatino Linotype" w:eastAsia="Palatino Linotype" w:hAnsi="Palatino Linotype" w:cs="Palatino Linotype"/>
          <w:b/>
          <w:color w:val="0D0D0D"/>
          <w:sz w:val="22"/>
          <w:szCs w:val="22"/>
        </w:rPr>
        <w:t xml:space="preserve"> </w:t>
      </w:r>
    </w:p>
    <w:p w14:paraId="50873C6E" w14:textId="77777777" w:rsidR="00106087" w:rsidRPr="00E13CD3" w:rsidRDefault="00CA6354">
      <w:pPr>
        <w:numPr>
          <w:ilvl w:val="0"/>
          <w:numId w:val="13"/>
        </w:numPr>
        <w:spacing w:line="360" w:lineRule="auto"/>
        <w:ind w:right="-28"/>
        <w:jc w:val="both"/>
        <w:rPr>
          <w:rFonts w:ascii="Palatino Linotype" w:eastAsia="Palatino Linotype" w:hAnsi="Palatino Linotype" w:cs="Palatino Linotype"/>
          <w:b/>
          <w:color w:val="0D0D0D"/>
          <w:sz w:val="22"/>
          <w:szCs w:val="22"/>
        </w:rPr>
      </w:pPr>
      <w:r w:rsidRPr="00E13CD3">
        <w:rPr>
          <w:rFonts w:ascii="Palatino Linotype" w:eastAsia="Palatino Linotype" w:hAnsi="Palatino Linotype" w:cs="Palatino Linotype"/>
          <w:b/>
          <w:color w:val="0D0D0D"/>
          <w:sz w:val="22"/>
          <w:szCs w:val="22"/>
        </w:rPr>
        <w:t xml:space="preserve">Formato accesible: </w:t>
      </w:r>
      <w:r w:rsidRPr="00E13CD3">
        <w:rPr>
          <w:rFonts w:ascii="Palatino Linotype" w:eastAsia="Palatino Linotype" w:hAnsi="Palatino Linotype" w:cs="Palatino Linotype"/>
          <w:color w:val="0D0D0D"/>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F26350E" w14:textId="77777777" w:rsidR="00106087" w:rsidRPr="00E13CD3" w:rsidRDefault="00CA6354">
      <w:pPr>
        <w:spacing w:line="360" w:lineRule="auto"/>
        <w:ind w:right="-28"/>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 xml:space="preserve"> </w:t>
      </w:r>
    </w:p>
    <w:p w14:paraId="27CE45E9" w14:textId="77777777" w:rsidR="00106087" w:rsidRPr="00E13CD3" w:rsidRDefault="00CA6354">
      <w:pPr>
        <w:spacing w:line="360" w:lineRule="auto"/>
        <w:ind w:right="-28"/>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14:paraId="2F5CBDCF" w14:textId="77777777" w:rsidR="00106087" w:rsidRPr="00E13CD3" w:rsidRDefault="00CA6354">
      <w:pPr>
        <w:spacing w:line="360" w:lineRule="auto"/>
        <w:ind w:right="-28"/>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 xml:space="preserve"> </w:t>
      </w:r>
    </w:p>
    <w:p w14:paraId="13EA7097" w14:textId="77777777" w:rsidR="00106087" w:rsidRPr="00E13CD3" w:rsidRDefault="00CA6354">
      <w:pPr>
        <w:spacing w:line="360" w:lineRule="auto"/>
        <w:ind w:right="-28"/>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23EE01C9"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7CC746F2" w14:textId="77777777" w:rsidR="00106087" w:rsidRPr="00E13CD3" w:rsidRDefault="00CA6354">
      <w:pPr>
        <w:spacing w:line="360" w:lineRule="auto"/>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 xml:space="preserve">Como se logra observar, el Sujeto Obligado si bien proporcionó dos enlaces de páginas electrónicas, lo cierto es que omitió proporcionarla en formato abierto, lo cual implica la dificultad de acceder a la misma, pues se traduce al hecho de que el Particular tendría que colocar cada dígito alfanumérico, y cuya equivocación implicaría no acceder a la información contenida en las mismas, por lo que, se considera que no se atendió lo establecido en el artículo </w:t>
      </w:r>
      <w:r w:rsidRPr="00E13CD3">
        <w:rPr>
          <w:rFonts w:ascii="Palatino Linotype" w:eastAsia="Palatino Linotype" w:hAnsi="Palatino Linotype" w:cs="Palatino Linotype"/>
          <w:color w:val="0D0D0D"/>
          <w:sz w:val="22"/>
          <w:szCs w:val="22"/>
        </w:rPr>
        <w:lastRenderedPageBreak/>
        <w:t xml:space="preserve">161 de la Ley de Transparencia y Acceso a la Información Pública del Estado de México y Municipios. </w:t>
      </w:r>
    </w:p>
    <w:p w14:paraId="03F9A455" w14:textId="77777777" w:rsidR="00106087" w:rsidRPr="00E13CD3" w:rsidRDefault="00106087">
      <w:pPr>
        <w:spacing w:line="360" w:lineRule="auto"/>
        <w:jc w:val="both"/>
        <w:rPr>
          <w:rFonts w:ascii="Palatino Linotype" w:eastAsia="Palatino Linotype" w:hAnsi="Palatino Linotype" w:cs="Palatino Linotype"/>
          <w:color w:val="0D0D0D"/>
          <w:sz w:val="22"/>
          <w:szCs w:val="22"/>
        </w:rPr>
      </w:pPr>
    </w:p>
    <w:p w14:paraId="1B221272" w14:textId="77777777" w:rsidR="00106087" w:rsidRPr="00E13CD3" w:rsidRDefault="00CA6354">
      <w:pPr>
        <w:spacing w:line="360" w:lineRule="auto"/>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No obstante, se procedió a acceder a los enlaces proporcionados de los cuales se logró vislumbrar, que conducen al portal del Sujeto Obligado en sus fracciones VIII B “Tabulador de Sueldos y Salarios”, y VIII A “Remuneraciones”, situación que se puede colegir conforme a lo siguiente:</w:t>
      </w:r>
    </w:p>
    <w:p w14:paraId="052A506C" w14:textId="77777777" w:rsidR="00106087" w:rsidRPr="00E13CD3" w:rsidRDefault="00106087">
      <w:pPr>
        <w:spacing w:line="360" w:lineRule="auto"/>
        <w:jc w:val="both"/>
        <w:rPr>
          <w:rFonts w:ascii="Palatino Linotype" w:eastAsia="Palatino Linotype" w:hAnsi="Palatino Linotype" w:cs="Palatino Linotype"/>
          <w:color w:val="0D0D0D"/>
          <w:sz w:val="22"/>
          <w:szCs w:val="22"/>
        </w:rPr>
      </w:pPr>
    </w:p>
    <w:p w14:paraId="435BEAC5" w14:textId="77777777" w:rsidR="00106087" w:rsidRPr="00E13CD3" w:rsidRDefault="00CA6354">
      <w:pPr>
        <w:spacing w:line="360" w:lineRule="auto"/>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“Tabulador de Sueldos y Salarios”</w:t>
      </w:r>
    </w:p>
    <w:p w14:paraId="384A4F80" w14:textId="77777777" w:rsidR="00106087" w:rsidRPr="00E13CD3" w:rsidRDefault="00CA6354">
      <w:pPr>
        <w:spacing w:line="360" w:lineRule="auto"/>
        <w:jc w:val="both"/>
        <w:rPr>
          <w:rFonts w:ascii="Palatino Linotype" w:eastAsia="Palatino Linotype" w:hAnsi="Palatino Linotype" w:cs="Palatino Linotype"/>
          <w:sz w:val="22"/>
          <w:szCs w:val="22"/>
        </w:rPr>
      </w:pPr>
      <w:hyperlink r:id="rId11" w:anchor="/info-fraccion/12/107/1">
        <w:r w:rsidRPr="00E13CD3">
          <w:rPr>
            <w:rFonts w:ascii="Palatino Linotype" w:eastAsia="Palatino Linotype" w:hAnsi="Palatino Linotype" w:cs="Palatino Linotype"/>
            <w:color w:val="0563C1"/>
            <w:sz w:val="22"/>
            <w:szCs w:val="22"/>
            <w:u w:val="single"/>
          </w:rPr>
          <w:t>https://infoem2.ipomex.org.mx/ipomex/#/info-fraccion/12/107/1</w:t>
        </w:r>
      </w:hyperlink>
    </w:p>
    <w:p w14:paraId="15D8A35D" w14:textId="77777777" w:rsidR="00106087" w:rsidRPr="00E13CD3" w:rsidRDefault="00106087">
      <w:pPr>
        <w:spacing w:line="360" w:lineRule="auto"/>
        <w:jc w:val="both"/>
        <w:rPr>
          <w:rFonts w:ascii="Palatino Linotype" w:eastAsia="Palatino Linotype" w:hAnsi="Palatino Linotype" w:cs="Palatino Linotype"/>
          <w:i/>
        </w:rPr>
      </w:pPr>
    </w:p>
    <w:p w14:paraId="32FFF3AA" w14:textId="77777777" w:rsidR="00106087" w:rsidRPr="00E13CD3" w:rsidRDefault="00CA6354">
      <w:pPr>
        <w:spacing w:line="360" w:lineRule="auto"/>
        <w:jc w:val="center"/>
        <w:rPr>
          <w:rFonts w:ascii="Palatino Linotype" w:eastAsia="Palatino Linotype" w:hAnsi="Palatino Linotype" w:cs="Palatino Linotype"/>
          <w:i/>
        </w:rPr>
      </w:pPr>
      <w:r w:rsidRPr="00E13CD3">
        <w:rPr>
          <w:rFonts w:ascii="Palatino Linotype" w:eastAsia="Palatino Linotype" w:hAnsi="Palatino Linotype" w:cs="Palatino Linotype"/>
          <w:i/>
          <w:noProof/>
          <w:lang w:eastAsia="es-MX"/>
        </w:rPr>
        <w:drawing>
          <wp:inline distT="0" distB="0" distL="0" distR="0" wp14:anchorId="375972E6" wp14:editId="7D99BDA3">
            <wp:extent cx="5919470" cy="2145665"/>
            <wp:effectExtent l="0" t="0" r="0" b="0"/>
            <wp:docPr id="12279490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919470" cy="2145665"/>
                    </a:xfrm>
                    <a:prstGeom prst="rect">
                      <a:avLst/>
                    </a:prstGeom>
                    <a:ln/>
                  </pic:spPr>
                </pic:pic>
              </a:graphicData>
            </a:graphic>
          </wp:inline>
        </w:drawing>
      </w:r>
    </w:p>
    <w:p w14:paraId="2033822C" w14:textId="77777777" w:rsidR="00106087" w:rsidRPr="00E13CD3" w:rsidRDefault="00106087">
      <w:pPr>
        <w:spacing w:line="360" w:lineRule="auto"/>
        <w:jc w:val="both"/>
        <w:rPr>
          <w:rFonts w:ascii="Palatino Linotype" w:eastAsia="Palatino Linotype" w:hAnsi="Palatino Linotype" w:cs="Palatino Linotype"/>
          <w:i/>
        </w:rPr>
      </w:pPr>
    </w:p>
    <w:p w14:paraId="73159B69" w14:textId="77777777" w:rsidR="00106087" w:rsidRPr="00E13CD3" w:rsidRDefault="00CA6354">
      <w:pPr>
        <w:spacing w:line="360" w:lineRule="auto"/>
        <w:jc w:val="both"/>
        <w:rPr>
          <w:rFonts w:ascii="Palatino Linotype" w:eastAsia="Palatino Linotype" w:hAnsi="Palatino Linotype" w:cs="Palatino Linotype"/>
          <w:color w:val="0D0D0D"/>
          <w:sz w:val="22"/>
          <w:szCs w:val="22"/>
        </w:rPr>
      </w:pPr>
      <w:r w:rsidRPr="00E13CD3">
        <w:rPr>
          <w:rFonts w:ascii="Palatino Linotype" w:eastAsia="Palatino Linotype" w:hAnsi="Palatino Linotype" w:cs="Palatino Linotype"/>
          <w:color w:val="0D0D0D"/>
          <w:sz w:val="22"/>
          <w:szCs w:val="22"/>
        </w:rPr>
        <w:t>“Remuneraciones”</w:t>
      </w:r>
    </w:p>
    <w:p w14:paraId="1EF80BA6" w14:textId="77777777" w:rsidR="00106087" w:rsidRPr="00E13CD3" w:rsidRDefault="00CA6354">
      <w:pPr>
        <w:spacing w:line="360" w:lineRule="auto"/>
        <w:jc w:val="both"/>
        <w:rPr>
          <w:rFonts w:ascii="Palatino Linotype" w:eastAsia="Palatino Linotype" w:hAnsi="Palatino Linotype" w:cs="Palatino Linotype"/>
          <w:sz w:val="22"/>
          <w:szCs w:val="22"/>
        </w:rPr>
      </w:pPr>
      <w:hyperlink r:id="rId13" w:anchor="/info-fraccion/11/107/28">
        <w:r w:rsidRPr="00E13CD3">
          <w:rPr>
            <w:rFonts w:ascii="Palatino Linotype" w:eastAsia="Palatino Linotype" w:hAnsi="Palatino Linotype" w:cs="Palatino Linotype"/>
            <w:color w:val="0563C1"/>
            <w:sz w:val="22"/>
            <w:szCs w:val="22"/>
            <w:u w:val="single"/>
          </w:rPr>
          <w:t>https://infoem2.ipomex.org.mx/ipomex/#/info-fraccion/11/107/28</w:t>
        </w:r>
      </w:hyperlink>
      <w:r w:rsidRPr="00E13CD3">
        <w:rPr>
          <w:rFonts w:ascii="Palatino Linotype" w:eastAsia="Palatino Linotype" w:hAnsi="Palatino Linotype" w:cs="Palatino Linotype"/>
          <w:sz w:val="22"/>
          <w:szCs w:val="22"/>
        </w:rPr>
        <w:t xml:space="preserve">.  </w:t>
      </w:r>
    </w:p>
    <w:p w14:paraId="2CE3A690" w14:textId="77777777" w:rsidR="00106087" w:rsidRPr="00E13CD3" w:rsidRDefault="00CA6354">
      <w:pPr>
        <w:spacing w:line="360" w:lineRule="auto"/>
        <w:ind w:right="-28"/>
        <w:jc w:val="center"/>
        <w:rPr>
          <w:rFonts w:ascii="Palatino Linotype" w:eastAsia="Palatino Linotype" w:hAnsi="Palatino Linotype" w:cs="Palatino Linotype"/>
          <w:sz w:val="22"/>
          <w:szCs w:val="22"/>
        </w:rPr>
      </w:pPr>
      <w:r w:rsidRPr="00E13CD3">
        <w:rPr>
          <w:rFonts w:ascii="Palatino Linotype" w:eastAsia="Palatino Linotype" w:hAnsi="Palatino Linotype" w:cs="Palatino Linotype"/>
          <w:noProof/>
          <w:sz w:val="22"/>
          <w:szCs w:val="22"/>
          <w:lang w:eastAsia="es-MX"/>
        </w:rPr>
        <w:drawing>
          <wp:inline distT="0" distB="0" distL="0" distR="0" wp14:anchorId="0E0D1F7D" wp14:editId="287DA8E5">
            <wp:extent cx="6078216" cy="1377404"/>
            <wp:effectExtent l="0" t="0" r="0" b="0"/>
            <wp:docPr id="12279490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078216" cy="1377404"/>
                    </a:xfrm>
                    <a:prstGeom prst="rect">
                      <a:avLst/>
                    </a:prstGeom>
                    <a:ln/>
                  </pic:spPr>
                </pic:pic>
              </a:graphicData>
            </a:graphic>
          </wp:inline>
        </w:drawing>
      </w:r>
    </w:p>
    <w:p w14:paraId="3479B230"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3BB5A70A"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Así, de la revisión de los enlaces proporcionados, se logra advertir que no contienen información respecto de las remuneraciones de los servidores públicos adscritos del periodo solicitado, sumado a que corresponden al ejercicio fiscal dos mil veinticuatro, por lo que, se logra vislumbrar que si bien, la Tesorería Municipal proporcionó dos enlaces que contenían información sobre las remuneraciones del personal del Ayuntamiento, lo cierto es que los proporcionó en formato cerrado, sumado a que la información no corresponde con el periodo solicitado, además de que el personal no se encuentra actualizado, por lo que no se pueden validar.</w:t>
      </w:r>
    </w:p>
    <w:p w14:paraId="42D60F09"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290BB565"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De esta forma, se logra vislumbrar que si bien el Sujeto Obligado, indicó que la información solicitada contenía datos de carácter confidencial lo cierto es que no acreditó dicha circunstancia, por otro lado, los enlaces proporcionados los remitió en formato cerrado, sumado a que no dirigían a la información requerida, por lo que se determina que el agravio es </w:t>
      </w:r>
      <w:r w:rsidRPr="00E13CD3">
        <w:rPr>
          <w:rFonts w:ascii="Palatino Linotype" w:eastAsia="Palatino Linotype" w:hAnsi="Palatino Linotype" w:cs="Palatino Linotype"/>
          <w:b/>
          <w:sz w:val="22"/>
          <w:szCs w:val="22"/>
        </w:rPr>
        <w:t>FUNDADO.</w:t>
      </w:r>
    </w:p>
    <w:p w14:paraId="413AB776"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049D068F"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Así, para atender al requerimiento en análisis, el Sujeto Obligado, deberá realizar una búsqueda exhaustiva y razonable en las unidades administrativas competentes, entre las cuales no podrá omitir a la Tesorería Municipal y a la Coordinación de Recursos Humanos,</w:t>
      </w:r>
      <w:r w:rsidRPr="00E13CD3">
        <w:rPr>
          <w:rFonts w:ascii="Palatino Linotype" w:eastAsia="Palatino Linotype" w:hAnsi="Palatino Linotype" w:cs="Palatino Linotype"/>
          <w:b/>
          <w:sz w:val="22"/>
          <w:szCs w:val="22"/>
        </w:rPr>
        <w:t xml:space="preserve"> </w:t>
      </w:r>
      <w:r w:rsidRPr="00E13CD3">
        <w:rPr>
          <w:rFonts w:ascii="Palatino Linotype" w:eastAsia="Palatino Linotype" w:hAnsi="Palatino Linotype" w:cs="Palatino Linotype"/>
          <w:sz w:val="22"/>
          <w:szCs w:val="22"/>
        </w:rPr>
        <w:t>en términos del artículo 162 de la Ley de Transparencia y Acceso a la Información Pública del Estado de México y Municipios, a efecto de que entregue los documentos que den cuenta de la información solicitada;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17114384"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C57CED6"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E13CD3">
        <w:rPr>
          <w:rFonts w:ascii="Palatino Linotype" w:eastAsia="Palatino Linotype" w:hAnsi="Palatino Linotype" w:cs="Palatino Linotype"/>
          <w:i/>
          <w:sz w:val="22"/>
          <w:szCs w:val="22"/>
        </w:rPr>
        <w:t>ad hoc</w:t>
      </w:r>
      <w:r w:rsidRPr="00E13CD3">
        <w:rPr>
          <w:rFonts w:ascii="Palatino Linotype" w:eastAsia="Palatino Linotype" w:hAnsi="Palatino Linotype" w:cs="Palatino Linotype"/>
          <w:sz w:val="22"/>
          <w:szCs w:val="22"/>
        </w:rPr>
        <w:t>; lo cual, de conformidad con en el artículo 160 de la Ley de Transparencia y Acceso a la Información Pública del Estado de México y Municipios, el cual refiere que los sujetos obligados deberán entregar la información que obre en sus archivos.</w:t>
      </w:r>
    </w:p>
    <w:p w14:paraId="1FA69DD8" w14:textId="77777777" w:rsidR="00106087" w:rsidRPr="00E13CD3" w:rsidRDefault="00106087">
      <w:pPr>
        <w:spacing w:line="360" w:lineRule="auto"/>
        <w:jc w:val="both"/>
        <w:rPr>
          <w:rFonts w:ascii="Palatino Linotype" w:eastAsia="Palatino Linotype" w:hAnsi="Palatino Linotype" w:cs="Palatino Linotype"/>
          <w:b/>
          <w:sz w:val="22"/>
          <w:szCs w:val="22"/>
        </w:rPr>
      </w:pPr>
    </w:p>
    <w:p w14:paraId="5602207D"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avisos de movimientos, y los recibos de nómina del personal. </w:t>
      </w:r>
    </w:p>
    <w:p w14:paraId="2AA53E04"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2048FACB"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Ahora bien, el Sujeto Obligado señaló que la información que daba cuenta de lo </w:t>
      </w:r>
      <w:proofErr w:type="gramStart"/>
      <w:r w:rsidRPr="00E13CD3">
        <w:rPr>
          <w:rFonts w:ascii="Palatino Linotype" w:eastAsia="Palatino Linotype" w:hAnsi="Palatino Linotype" w:cs="Palatino Linotype"/>
          <w:sz w:val="22"/>
          <w:szCs w:val="22"/>
        </w:rPr>
        <w:t>solicitado,</w:t>
      </w:r>
      <w:proofErr w:type="gramEnd"/>
      <w:r w:rsidRPr="00E13CD3">
        <w:rPr>
          <w:rFonts w:ascii="Palatino Linotype" w:eastAsia="Palatino Linotype" w:hAnsi="Palatino Linotype" w:cs="Palatino Linotype"/>
          <w:sz w:val="22"/>
          <w:szCs w:val="22"/>
        </w:rPr>
        <w:t xml:space="preserve"> contenía los siguientes datos:</w:t>
      </w:r>
    </w:p>
    <w:p w14:paraId="2ACA0155"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22A1ED93"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Nombre de servidores públicos;</w:t>
      </w:r>
    </w:p>
    <w:p w14:paraId="3923F61F"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Cargo y área de adscripción de servidores públicos;</w:t>
      </w:r>
    </w:p>
    <w:p w14:paraId="33A5D54F"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Clave Única de Registro de Población (CURP); </w:t>
      </w:r>
    </w:p>
    <w:p w14:paraId="7BF50D90"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Número de seguridad social del Instituto de Seguridad Social del Estado de México y Municipios, y</w:t>
      </w:r>
    </w:p>
    <w:p w14:paraId="031653AA"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Sueldos y prestaciones;</w:t>
      </w:r>
    </w:p>
    <w:p w14:paraId="0A944819"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Deducciones por Ley;</w:t>
      </w:r>
    </w:p>
    <w:p w14:paraId="759EA86B"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Deducciones personales;</w:t>
      </w:r>
    </w:p>
    <w:p w14:paraId="62B010B0"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177D1C5D"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lastRenderedPageBreak/>
        <w:t>Además, de los recibos de nómina, este Instituto considera que pudiera contener diversos datos, tales como:</w:t>
      </w:r>
    </w:p>
    <w:p w14:paraId="35B5C8E5"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19E8BA02"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Registro Federal de Contribuyentes del servidor público (RFC); </w:t>
      </w:r>
    </w:p>
    <w:p w14:paraId="103496C7"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Código bidimensional o QR;</w:t>
      </w:r>
    </w:p>
    <w:p w14:paraId="4C88FEAC"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Sellos digitales del emisor y del Servicio de Administración Tributaria, y</w:t>
      </w:r>
    </w:p>
    <w:p w14:paraId="3E9EF708" w14:textId="77777777" w:rsidR="00106087" w:rsidRPr="00E13CD3" w:rsidRDefault="00CA6354">
      <w:pPr>
        <w:numPr>
          <w:ilvl w:val="0"/>
          <w:numId w:val="1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Cadena original del complemento de certificación digital del organismo previamente señalado.</w:t>
      </w:r>
    </w:p>
    <w:p w14:paraId="7377D2FB"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56E5E8A9"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Por lo que, resulta procedente analizar si dichos datos son públicos o privados; en principio, cabe mencionar que el artículo 6°, Apartado A), fracción II, de la Constitución Política de los Estados Unidos Mexicanos, prevé que la información que se refiere a la vida privada y los datos </w:t>
      </w:r>
      <w:proofErr w:type="gramStart"/>
      <w:r w:rsidRPr="00E13CD3">
        <w:rPr>
          <w:rFonts w:ascii="Palatino Linotype" w:eastAsia="Palatino Linotype" w:hAnsi="Palatino Linotype" w:cs="Palatino Linotype"/>
          <w:sz w:val="22"/>
          <w:szCs w:val="22"/>
        </w:rPr>
        <w:t>personales,</w:t>
      </w:r>
      <w:proofErr w:type="gramEnd"/>
      <w:r w:rsidRPr="00E13CD3">
        <w:rPr>
          <w:rFonts w:ascii="Palatino Linotype" w:eastAsia="Palatino Linotype" w:hAnsi="Palatino Linotype" w:cs="Palatino Linotype"/>
          <w:sz w:val="22"/>
          <w:szCs w:val="22"/>
        </w:rPr>
        <w:t xml:space="preserve">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D1B707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0B558BF"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w:t>
      </w:r>
      <w:r w:rsidRPr="00E13CD3">
        <w:rPr>
          <w:rFonts w:ascii="Palatino Linotype" w:eastAsia="Palatino Linotype" w:hAnsi="Palatino Linotype" w:cs="Palatino Linotype"/>
          <w:sz w:val="22"/>
          <w:szCs w:val="22"/>
        </w:rPr>
        <w:lastRenderedPageBreak/>
        <w:t>obstante, aquella referente a la intimidad de la vida privada y la imagen de las personas, será protegida a través de un marco jurídico rígido, de tratamiento y manejo de datos personales.</w:t>
      </w:r>
    </w:p>
    <w:p w14:paraId="381A6BFB"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68AD58CB"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D34511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B16D38A"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75BE3137"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1C73144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E13CD3">
        <w:rPr>
          <w:rFonts w:ascii="Palatino Linotype" w:eastAsia="Palatino Linotype" w:hAnsi="Palatino Linotype" w:cs="Palatino Linotype"/>
          <w:sz w:val="22"/>
          <w:szCs w:val="22"/>
        </w:rPr>
        <w:t>ii</w:t>
      </w:r>
      <w:proofErr w:type="spellEnd"/>
      <w:r w:rsidRPr="00E13CD3">
        <w:rPr>
          <w:rFonts w:ascii="Palatino Linotype" w:eastAsia="Palatino Linotype" w:hAnsi="Palatino Linotype" w:cs="Palatino Linotype"/>
          <w:sz w:val="22"/>
          <w:szCs w:val="22"/>
        </w:rPr>
        <w:t xml:space="preserve">) por ley tenga el carácter de pública, </w:t>
      </w:r>
      <w:proofErr w:type="spellStart"/>
      <w:r w:rsidRPr="00E13CD3">
        <w:rPr>
          <w:rFonts w:ascii="Palatino Linotype" w:eastAsia="Palatino Linotype" w:hAnsi="Palatino Linotype" w:cs="Palatino Linotype"/>
          <w:sz w:val="22"/>
          <w:szCs w:val="22"/>
        </w:rPr>
        <w:t>iii</w:t>
      </w:r>
      <w:proofErr w:type="spellEnd"/>
      <w:r w:rsidRPr="00E13CD3">
        <w:rPr>
          <w:rFonts w:ascii="Palatino Linotype" w:eastAsia="Palatino Linotype" w:hAnsi="Palatino Linotype" w:cs="Palatino Linotype"/>
          <w:sz w:val="22"/>
          <w:szCs w:val="22"/>
        </w:rPr>
        <w:t xml:space="preserve">) exista una orden judicial, </w:t>
      </w:r>
      <w:proofErr w:type="spellStart"/>
      <w:r w:rsidRPr="00E13CD3">
        <w:rPr>
          <w:rFonts w:ascii="Palatino Linotype" w:eastAsia="Palatino Linotype" w:hAnsi="Palatino Linotype" w:cs="Palatino Linotype"/>
          <w:sz w:val="22"/>
          <w:szCs w:val="22"/>
        </w:rPr>
        <w:t>iv</w:t>
      </w:r>
      <w:proofErr w:type="spellEnd"/>
      <w:r w:rsidRPr="00E13CD3">
        <w:rPr>
          <w:rFonts w:ascii="Palatino Linotype" w:eastAsia="Palatino Linotype" w:hAnsi="Palatino Linotype" w:cs="Palatino Linotype"/>
          <w:sz w:val="22"/>
          <w:szCs w:val="22"/>
        </w:rPr>
        <w:t>) por razones de seguridad nacional y salubridad general o v) para proteger los derechos de terceros o cuando se transmita entre sujetos obligados en términos de los tratados y los acuerdos interinstitucionales.</w:t>
      </w:r>
    </w:p>
    <w:p w14:paraId="05DCAC1A"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7DC3148B"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3FF8140E"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2B2624CB" w14:textId="77777777" w:rsidR="00106087" w:rsidRPr="00E13CD3" w:rsidRDefault="00CA6354">
      <w:pPr>
        <w:numPr>
          <w:ilvl w:val="0"/>
          <w:numId w:val="1"/>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Se trate de datos personales o información privada; esto es, información concerniente a una persona física o jurídico colectiva y que esta sea identificada o identificable. </w:t>
      </w:r>
    </w:p>
    <w:p w14:paraId="715E531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 xml:space="preserve"> </w:t>
      </w:r>
    </w:p>
    <w:p w14:paraId="4AA58C6A" w14:textId="77777777" w:rsidR="00106087" w:rsidRPr="00E13CD3" w:rsidRDefault="00CA6354">
      <w:pPr>
        <w:numPr>
          <w:ilvl w:val="0"/>
          <w:numId w:val="1"/>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Para la difusión de los datos, se requiera el consentimiento del titular.</w:t>
      </w:r>
    </w:p>
    <w:p w14:paraId="4C08A53C"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02B7C9C4"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p>
    <w:p w14:paraId="5FC404F2"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7DFEA037"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Bajo ese contexto, se analizarán si los datos mencionados, deben ser considerados confidenciales, en términos del artículo 143, fracción I, de la Ley de Transparencia y Acceso a la Información Pública del Estado de México y Municipios, o públicos.</w:t>
      </w:r>
    </w:p>
    <w:p w14:paraId="2C5548D4"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5ED7C7C1" w14:textId="77777777" w:rsidR="00106087" w:rsidRPr="00E13CD3" w:rsidRDefault="00CA6354">
      <w:pPr>
        <w:numPr>
          <w:ilvl w:val="0"/>
          <w:numId w:val="6"/>
        </w:num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Nombre de servidores públicos</w:t>
      </w:r>
    </w:p>
    <w:p w14:paraId="17170FAE"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6AC15482" w14:textId="77777777" w:rsidR="00106087" w:rsidRPr="00E13CD3" w:rsidRDefault="00CA6354">
      <w:pPr>
        <w:spacing w:line="360" w:lineRule="auto"/>
        <w:ind w:right="-93"/>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Al respecto, cabe precisar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E13CD3">
        <w:rPr>
          <w:rFonts w:ascii="Palatino Linotype" w:eastAsia="Palatino Linotype" w:hAnsi="Palatino Linotype" w:cs="Palatino Linotype"/>
          <w:i/>
          <w:sz w:val="22"/>
          <w:szCs w:val="22"/>
        </w:rPr>
        <w:t>per se</w:t>
      </w:r>
      <w:r w:rsidRPr="00E13CD3">
        <w:rPr>
          <w:rFonts w:ascii="Palatino Linotype" w:eastAsia="Palatino Linotype" w:hAnsi="Palatino Linotype" w:cs="Palatino Linotype"/>
          <w:sz w:val="22"/>
          <w:szCs w:val="22"/>
        </w:rPr>
        <w:t xml:space="preserve"> es un elemento que hace a una persona física identificada o identificable.</w:t>
      </w:r>
    </w:p>
    <w:p w14:paraId="15D3F850" w14:textId="77777777" w:rsidR="00106087" w:rsidRPr="00E13CD3" w:rsidRDefault="00106087">
      <w:pPr>
        <w:spacing w:line="360" w:lineRule="auto"/>
        <w:ind w:right="-93"/>
        <w:jc w:val="both"/>
        <w:rPr>
          <w:rFonts w:ascii="Palatino Linotype" w:eastAsia="Palatino Linotype" w:hAnsi="Palatino Linotype" w:cs="Palatino Linotype"/>
          <w:sz w:val="22"/>
          <w:szCs w:val="22"/>
        </w:rPr>
      </w:pPr>
    </w:p>
    <w:p w14:paraId="7FE9DCEA" w14:textId="77777777" w:rsidR="00106087" w:rsidRPr="00E13CD3" w:rsidRDefault="00CA6354">
      <w:pPr>
        <w:spacing w:line="360" w:lineRule="auto"/>
        <w:ind w:right="-93"/>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En ese contexto, es importante mencionar que si bien es cierto que el nombre de una persona es atributo de la personalidad, de conformidad con la legislación civil, al tratarse de un dato </w:t>
      </w:r>
      <w:r w:rsidRPr="00E13CD3">
        <w:rPr>
          <w:rFonts w:ascii="Palatino Linotype" w:eastAsia="Palatino Linotype" w:hAnsi="Palatino Linotype" w:cs="Palatino Linotype"/>
          <w:sz w:val="22"/>
          <w:szCs w:val="22"/>
        </w:rPr>
        <w:lastRenderedPageBreak/>
        <w:t xml:space="preserve">personal hace identificable a su titular, además la Ley de Transparencia y Acceso a la Información Pública del Estado de México y Municipios ha establecido un régimen de excepción tratándose de </w:t>
      </w:r>
      <w:r w:rsidRPr="00E13CD3">
        <w:rPr>
          <w:rFonts w:ascii="Palatino Linotype" w:eastAsia="Palatino Linotype" w:hAnsi="Palatino Linotype" w:cs="Palatino Linotype"/>
          <w:b/>
          <w:sz w:val="22"/>
          <w:szCs w:val="22"/>
        </w:rPr>
        <w:t>los nombres de servidores públicos,</w:t>
      </w:r>
      <w:r w:rsidRPr="00E13CD3">
        <w:rPr>
          <w:rFonts w:ascii="Palatino Linotype" w:eastAsia="Palatino Linotype" w:hAnsi="Palatino Linotype" w:cs="Palatino Linotype"/>
          <w:sz w:val="22"/>
          <w:szCs w:val="22"/>
        </w:rPr>
        <w:t xml:space="preserve"> ya que la difusión de dicho dato constituye una obligación de transparencia por parte de los sujetos obligados.</w:t>
      </w:r>
    </w:p>
    <w:p w14:paraId="49CD04A1" w14:textId="77777777" w:rsidR="00106087" w:rsidRPr="00E13CD3" w:rsidRDefault="00106087">
      <w:pPr>
        <w:spacing w:line="360" w:lineRule="auto"/>
        <w:ind w:right="-93"/>
        <w:jc w:val="both"/>
        <w:rPr>
          <w:rFonts w:ascii="Palatino Linotype" w:eastAsia="Palatino Linotype" w:hAnsi="Palatino Linotype" w:cs="Palatino Linotype"/>
          <w:sz w:val="22"/>
          <w:szCs w:val="22"/>
        </w:rPr>
      </w:pPr>
    </w:p>
    <w:p w14:paraId="593765A2" w14:textId="77777777" w:rsidR="00106087" w:rsidRPr="00E13CD3" w:rsidRDefault="00CA6354">
      <w:pPr>
        <w:spacing w:line="360" w:lineRule="auto"/>
        <w:ind w:right="-93"/>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sz w:val="22"/>
          <w:szCs w:val="22"/>
        </w:rPr>
        <w:t xml:space="preserve">Toma sustento con el artículo 92, fracciones VII y VIII, de la Ley de la materia, el cual establece que los sujetos obligados tienen la obligación de poner a disposición del público y mantener actualizada el directorio y remuneraciones de los servidores públicos, que deberán incluir al menos, entre otros datos, </w:t>
      </w:r>
      <w:r w:rsidRPr="00E13CD3">
        <w:rPr>
          <w:rFonts w:ascii="Palatino Linotype" w:eastAsia="Palatino Linotype" w:hAnsi="Palatino Linotype" w:cs="Palatino Linotype"/>
          <w:b/>
          <w:sz w:val="22"/>
          <w:szCs w:val="22"/>
        </w:rPr>
        <w:t>el nombre del trabajador.</w:t>
      </w:r>
    </w:p>
    <w:p w14:paraId="3D42ED31" w14:textId="77777777" w:rsidR="00106087" w:rsidRPr="00E13CD3" w:rsidRDefault="00106087">
      <w:pPr>
        <w:spacing w:line="360" w:lineRule="auto"/>
        <w:ind w:right="-93"/>
        <w:jc w:val="both"/>
        <w:rPr>
          <w:rFonts w:ascii="Palatino Linotype" w:eastAsia="Palatino Linotype" w:hAnsi="Palatino Linotype" w:cs="Palatino Linotype"/>
          <w:b/>
          <w:sz w:val="22"/>
          <w:szCs w:val="22"/>
        </w:rPr>
      </w:pPr>
    </w:p>
    <w:p w14:paraId="4B923582"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Además, se robustece con los formatos 7 LGT_Art_70_Fr_VII (Directorio) y 8a LGT_Art_70_Fr_VIII (Remuneraciones bruta y neta de todos los(as) servidores(as) públicos(as) de base y de confianza), de los Lineamientos técnicos generales para la publicación, homologación y estandarización de la información de las obligaciones establecidas en el título quinto y en la fracción IV del artículo 31 de la Ley General de Transparencia y Acceso a la Información Pública, dado que establecen que el nombre de los servidores públicos es un dato que se debe publicar, tal como se muestra a continuación:</w:t>
      </w:r>
    </w:p>
    <w:p w14:paraId="431BABB8"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1797967A" w14:textId="77777777" w:rsidR="00106087" w:rsidRPr="00E13CD3" w:rsidRDefault="00CA6354">
      <w:pPr>
        <w:spacing w:line="360" w:lineRule="auto"/>
        <w:jc w:val="center"/>
        <w:rPr>
          <w:rFonts w:ascii="Palatino Linotype" w:eastAsia="Palatino Linotype" w:hAnsi="Palatino Linotype" w:cs="Palatino Linotype"/>
          <w:sz w:val="22"/>
          <w:szCs w:val="22"/>
        </w:rPr>
      </w:pPr>
      <w:r w:rsidRPr="00E13CD3">
        <w:rPr>
          <w:rFonts w:ascii="Palatino Linotype" w:eastAsia="Palatino Linotype" w:hAnsi="Palatino Linotype" w:cs="Palatino Linotype"/>
          <w:noProof/>
          <w:lang w:eastAsia="es-MX"/>
        </w:rPr>
        <w:drawing>
          <wp:inline distT="0" distB="0" distL="0" distR="0" wp14:anchorId="77C532A7" wp14:editId="63352C39">
            <wp:extent cx="5344651" cy="1695141"/>
            <wp:effectExtent l="0" t="0" r="0" b="0"/>
            <wp:docPr id="12279490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t="9680"/>
                    <a:stretch>
                      <a:fillRect/>
                    </a:stretch>
                  </pic:blipFill>
                  <pic:spPr>
                    <a:xfrm>
                      <a:off x="0" y="0"/>
                      <a:ext cx="5344651" cy="1695141"/>
                    </a:xfrm>
                    <a:prstGeom prst="rect">
                      <a:avLst/>
                    </a:prstGeom>
                    <a:ln/>
                  </pic:spPr>
                </pic:pic>
              </a:graphicData>
            </a:graphic>
          </wp:inline>
        </w:drawing>
      </w:r>
    </w:p>
    <w:p w14:paraId="2D7477A0" w14:textId="77777777" w:rsidR="00106087" w:rsidRPr="00E13CD3" w:rsidRDefault="00106087">
      <w:pPr>
        <w:spacing w:line="360" w:lineRule="auto"/>
        <w:jc w:val="center"/>
        <w:rPr>
          <w:rFonts w:ascii="Palatino Linotype" w:eastAsia="Palatino Linotype" w:hAnsi="Palatino Linotype" w:cs="Palatino Linotype"/>
          <w:sz w:val="22"/>
          <w:szCs w:val="22"/>
        </w:rPr>
      </w:pPr>
    </w:p>
    <w:p w14:paraId="681DFC88" w14:textId="77777777" w:rsidR="00106087" w:rsidRPr="00E13CD3" w:rsidRDefault="00CA6354">
      <w:pPr>
        <w:spacing w:line="360" w:lineRule="auto"/>
        <w:jc w:val="center"/>
        <w:rPr>
          <w:rFonts w:ascii="Palatino Linotype" w:eastAsia="Palatino Linotype" w:hAnsi="Palatino Linotype" w:cs="Palatino Linotype"/>
          <w:b/>
          <w:sz w:val="22"/>
          <w:szCs w:val="22"/>
        </w:rPr>
      </w:pPr>
      <w:r w:rsidRPr="00E13CD3">
        <w:rPr>
          <w:rFonts w:ascii="Palatino Linotype" w:eastAsia="Palatino Linotype" w:hAnsi="Palatino Linotype" w:cs="Palatino Linotype"/>
          <w:noProof/>
          <w:lang w:eastAsia="es-MX"/>
        </w:rPr>
        <w:lastRenderedPageBreak/>
        <w:drawing>
          <wp:inline distT="0" distB="0" distL="0" distR="0" wp14:anchorId="09EE74C8" wp14:editId="1C02C99E">
            <wp:extent cx="5356786" cy="1435322"/>
            <wp:effectExtent l="0" t="0" r="0" b="0"/>
            <wp:docPr id="12279490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t="17128"/>
                    <a:stretch>
                      <a:fillRect/>
                    </a:stretch>
                  </pic:blipFill>
                  <pic:spPr>
                    <a:xfrm>
                      <a:off x="0" y="0"/>
                      <a:ext cx="5356786" cy="1435322"/>
                    </a:xfrm>
                    <a:prstGeom prst="rect">
                      <a:avLst/>
                    </a:prstGeom>
                    <a:ln/>
                  </pic:spPr>
                </pic:pic>
              </a:graphicData>
            </a:graphic>
          </wp:inline>
        </w:drawing>
      </w:r>
    </w:p>
    <w:p w14:paraId="616DCB37" w14:textId="77777777" w:rsidR="00106087" w:rsidRPr="00E13CD3" w:rsidRDefault="00106087">
      <w:pPr>
        <w:spacing w:line="360" w:lineRule="auto"/>
        <w:jc w:val="center"/>
        <w:rPr>
          <w:rFonts w:ascii="Palatino Linotype" w:eastAsia="Palatino Linotype" w:hAnsi="Palatino Linotype" w:cs="Palatino Linotype"/>
          <w:b/>
          <w:sz w:val="22"/>
          <w:szCs w:val="22"/>
        </w:rPr>
      </w:pPr>
    </w:p>
    <w:p w14:paraId="4C19E6B4" w14:textId="77777777" w:rsidR="00106087" w:rsidRPr="00E13CD3" w:rsidRDefault="00CA6354">
      <w:pPr>
        <w:spacing w:line="360" w:lineRule="auto"/>
        <w:ind w:right="-93"/>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Situación, que se robustece con el penúltimo párrafo, del artículo 23 de la Ley de Transparencia y Acceso a la Información Pública del Estado de México y Municipios, que precisa que los sujetos obligados, deberá hacer pública, toda aquella información relativa a los montos y las personas a quienes entreguen recursos públicos, lo cual incluye su nombre.</w:t>
      </w:r>
    </w:p>
    <w:p w14:paraId="18B46C8C" w14:textId="77777777" w:rsidR="00106087" w:rsidRPr="00E13CD3" w:rsidRDefault="00106087">
      <w:pPr>
        <w:spacing w:line="360" w:lineRule="auto"/>
        <w:ind w:right="-93"/>
        <w:jc w:val="both"/>
        <w:rPr>
          <w:rFonts w:ascii="Palatino Linotype" w:eastAsia="Palatino Linotype" w:hAnsi="Palatino Linotype" w:cs="Palatino Linotype"/>
          <w:sz w:val="22"/>
          <w:szCs w:val="22"/>
        </w:rPr>
      </w:pPr>
    </w:p>
    <w:p w14:paraId="5CB4F293" w14:textId="77777777" w:rsidR="00106087" w:rsidRPr="00E13CD3" w:rsidRDefault="00CA6354">
      <w:pPr>
        <w:spacing w:line="360" w:lineRule="auto"/>
        <w:ind w:right="-93"/>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sz w:val="22"/>
          <w:szCs w:val="22"/>
        </w:rPr>
        <w:t xml:space="preserve">Por lo tanto, la Ley de Transparencia y Acceso a la Información Pública del Estado de México y Municipios, considera que </w:t>
      </w:r>
      <w:r w:rsidRPr="00E13CD3">
        <w:rPr>
          <w:rFonts w:ascii="Palatino Linotype" w:eastAsia="Palatino Linotype" w:hAnsi="Palatino Linotype" w:cs="Palatino Linotype"/>
          <w:b/>
          <w:sz w:val="22"/>
          <w:szCs w:val="22"/>
        </w:rPr>
        <w:t xml:space="preserve">los datos de servidores </w:t>
      </w:r>
      <w:proofErr w:type="gramStart"/>
      <w:r w:rsidRPr="00E13CD3">
        <w:rPr>
          <w:rFonts w:ascii="Palatino Linotype" w:eastAsia="Palatino Linotype" w:hAnsi="Palatino Linotype" w:cs="Palatino Linotype"/>
          <w:b/>
          <w:sz w:val="22"/>
          <w:szCs w:val="22"/>
        </w:rPr>
        <w:t>públicos,</w:t>
      </w:r>
      <w:proofErr w:type="gramEnd"/>
      <w:r w:rsidRPr="00E13CD3">
        <w:rPr>
          <w:rFonts w:ascii="Palatino Linotype" w:eastAsia="Palatino Linotype" w:hAnsi="Palatino Linotype" w:cs="Palatino Linotype"/>
          <w:b/>
          <w:sz w:val="22"/>
          <w:szCs w:val="22"/>
        </w:rPr>
        <w:t xml:space="preserve"> </w:t>
      </w:r>
      <w:r w:rsidRPr="00E13CD3">
        <w:rPr>
          <w:rFonts w:ascii="Palatino Linotype" w:eastAsia="Palatino Linotype" w:hAnsi="Palatino Linotype" w:cs="Palatino Linotype"/>
          <w:sz w:val="22"/>
          <w:szCs w:val="22"/>
        </w:rPr>
        <w:t xml:space="preserve">son de naturaleza pública, ya que su publicidad orienta a cumplir los objetivos que persigue la Ley; toda vez, </w:t>
      </w:r>
      <w:r w:rsidRPr="00E13CD3">
        <w:rPr>
          <w:rFonts w:ascii="Palatino Linotype" w:eastAsia="Palatino Linotype" w:hAnsi="Palatino Linotype" w:cs="Palatino Linotype"/>
          <w:b/>
          <w:sz w:val="22"/>
          <w:szCs w:val="22"/>
        </w:rPr>
        <w:t>que ayuda a transparentar a quienes se les han otorgado recursos públicos, así como, porque razones se les otorgaron dichos montos.</w:t>
      </w:r>
    </w:p>
    <w:p w14:paraId="24CAE8B1" w14:textId="77777777" w:rsidR="00106087" w:rsidRPr="00E13CD3" w:rsidRDefault="00106087">
      <w:pPr>
        <w:spacing w:line="360" w:lineRule="auto"/>
        <w:jc w:val="both"/>
        <w:rPr>
          <w:rFonts w:ascii="Palatino Linotype" w:eastAsia="Palatino Linotype" w:hAnsi="Palatino Linotype" w:cs="Palatino Linotype"/>
          <w:b/>
          <w:sz w:val="22"/>
          <w:szCs w:val="22"/>
        </w:rPr>
      </w:pPr>
    </w:p>
    <w:p w14:paraId="174D885F"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Por lo que, se considera que no procede la clasificación del nombre de los servidores públicos, en términos del artículo 143, fracción I de la Ley de Transparencia y Acceso a la Información Pública del Estado de México y Municipios.</w:t>
      </w:r>
    </w:p>
    <w:p w14:paraId="14757596" w14:textId="77777777" w:rsidR="00106087" w:rsidRPr="00E13CD3" w:rsidRDefault="00CA6354">
      <w:pPr>
        <w:numPr>
          <w:ilvl w:val="0"/>
          <w:numId w:val="6"/>
        </w:num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Cargo y área de adscripción</w:t>
      </w:r>
    </w:p>
    <w:p w14:paraId="792CC37F" w14:textId="77777777" w:rsidR="00106087" w:rsidRPr="00E13CD3" w:rsidRDefault="00106087">
      <w:pPr>
        <w:spacing w:line="360" w:lineRule="auto"/>
        <w:jc w:val="both"/>
        <w:rPr>
          <w:rFonts w:ascii="Palatino Linotype" w:eastAsia="Palatino Linotype" w:hAnsi="Palatino Linotype" w:cs="Palatino Linotype"/>
          <w:b/>
          <w:sz w:val="22"/>
          <w:szCs w:val="22"/>
        </w:rPr>
      </w:pPr>
    </w:p>
    <w:p w14:paraId="4554CE55"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En principio, es necesario señalar que se le conoce al cargo, al conjunto de funciones o tareas desarrolladas por un trabajador; en otro orden de ideas, es el grupo de responsabilidades, obligaciones y funciones que debe cumplir una persona; por lo que, el cargo es el nombre que se le da una plaza dentro de una institución, entidad, dependencia, o cualquier organismo </w:t>
      </w:r>
      <w:r w:rsidRPr="00E13CD3">
        <w:rPr>
          <w:rFonts w:ascii="Palatino Linotype" w:eastAsia="Palatino Linotype" w:hAnsi="Palatino Linotype" w:cs="Palatino Linotype"/>
          <w:sz w:val="22"/>
          <w:szCs w:val="22"/>
        </w:rPr>
        <w:lastRenderedPageBreak/>
        <w:t>gubernamental.; por otra parte, el área de adscripción corresponde al nombre de la unidad administrativa a la que pertenece un cargo o puesto, es decir, es la ubicación administrativa a la que pertenece un trabajador para realizar sus funciones.</w:t>
      </w:r>
    </w:p>
    <w:p w14:paraId="617C5BA2"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7AD43E00"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En otras palabras, el cargo, corresponde al puesto que desempeña un servidor público </w:t>
      </w:r>
      <w:proofErr w:type="gramStart"/>
      <w:r w:rsidRPr="00E13CD3">
        <w:rPr>
          <w:rFonts w:ascii="Palatino Linotype" w:eastAsia="Palatino Linotype" w:hAnsi="Palatino Linotype" w:cs="Palatino Linotype"/>
          <w:sz w:val="22"/>
          <w:szCs w:val="22"/>
        </w:rPr>
        <w:t>de acuerdo a</w:t>
      </w:r>
      <w:proofErr w:type="gramEnd"/>
      <w:r w:rsidRPr="00E13CD3">
        <w:rPr>
          <w:rFonts w:ascii="Palatino Linotype" w:eastAsia="Palatino Linotype" w:hAnsi="Palatino Linotype" w:cs="Palatino Linotype"/>
          <w:sz w:val="22"/>
          <w:szCs w:val="22"/>
        </w:rPr>
        <w:t xml:space="preserve"> su nombramiento; mientras que el área de adscripción es la unidad administrativa en donde realiza o ejecuta sus funciones.</w:t>
      </w:r>
    </w:p>
    <w:p w14:paraId="3B5B7246"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3E3BAD0A"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En ese contexto, el artículo 49, fracción II, de la Ley del Trabajo de los Servidores Públicos del Estado y Municipios, establece que los nombramientos, contratos o formato único de Movimientos de Personal, deberán contener entre otras cosas, el cargo para el que fue designado y el área de adscripción.</w:t>
      </w:r>
    </w:p>
    <w:p w14:paraId="126A28A9"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DA68E93" w14:textId="77777777" w:rsidR="00106087" w:rsidRPr="00E13CD3" w:rsidRDefault="00CA6354">
      <w:pPr>
        <w:spacing w:line="360" w:lineRule="auto"/>
        <w:ind w:right="-93"/>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Además, conforme al artículo 70, fracción VII, de la Ley General de Transparencia y Acceso a la Información Pública, 92, fracción VII, de la Ley de Transparencia y Acceso a la Información Pública del Estado de México y Municipios, el cargo de los servidores públicos es público y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p>
    <w:p w14:paraId="49B85333" w14:textId="77777777" w:rsidR="00106087" w:rsidRPr="00E13CD3" w:rsidRDefault="00106087">
      <w:pPr>
        <w:spacing w:line="360" w:lineRule="auto"/>
        <w:ind w:right="-93"/>
        <w:jc w:val="both"/>
        <w:rPr>
          <w:rFonts w:ascii="Palatino Linotype" w:eastAsia="Palatino Linotype" w:hAnsi="Palatino Linotype" w:cs="Palatino Linotype"/>
          <w:sz w:val="22"/>
          <w:szCs w:val="22"/>
        </w:rPr>
      </w:pPr>
    </w:p>
    <w:p w14:paraId="3F5CB567" w14:textId="77777777" w:rsidR="00106087" w:rsidRPr="00E13CD3" w:rsidRDefault="00CA6354">
      <w:pPr>
        <w:spacing w:line="360" w:lineRule="auto"/>
        <w:ind w:right="-93"/>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Conforme a lo anterior, se logra observar que los cargos no se considera información confidencial y no actualiza la causal de clasificación establecida en el artículo 143, fracción I de la Ley de Transparencia y Acceso a la Información Pública del Estado de México y Municipios.</w:t>
      </w:r>
    </w:p>
    <w:p w14:paraId="62A7FD25"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61A74E47" w14:textId="77777777" w:rsidR="00106087" w:rsidRPr="00E13CD3" w:rsidRDefault="00CA6354">
      <w:pPr>
        <w:numPr>
          <w:ilvl w:val="0"/>
          <w:numId w:val="6"/>
        </w:num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Clave Única de Registro de Población (CURP)</w:t>
      </w:r>
    </w:p>
    <w:p w14:paraId="6A72F1D3" w14:textId="77777777" w:rsidR="00106087" w:rsidRPr="00E13CD3" w:rsidRDefault="00CA6354">
      <w:pPr>
        <w:spacing w:line="360" w:lineRule="auto"/>
        <w:ind w:right="-28"/>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 xml:space="preserve"> </w:t>
      </w:r>
    </w:p>
    <w:p w14:paraId="56B42B67"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8F2030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576A2F7A"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FAC4DAA"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02C2D47"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En ese orden de ideas, la Secretaría de Gobernación en las direcciones </w:t>
      </w:r>
      <w:hyperlink r:id="rId17">
        <w:r w:rsidRPr="00E13CD3">
          <w:rPr>
            <w:rFonts w:ascii="Palatino Linotype" w:eastAsia="Palatino Linotype" w:hAnsi="Palatino Linotype" w:cs="Palatino Linotype"/>
            <w:color w:val="0563C1"/>
            <w:sz w:val="22"/>
            <w:szCs w:val="22"/>
            <w:u w:val="single"/>
          </w:rPr>
          <w:t>https://consultas.curp.gob.mx/CurpSP/html/informacionecurpPS.html</w:t>
        </w:r>
      </w:hyperlink>
      <w:r w:rsidRPr="00E13CD3">
        <w:rPr>
          <w:rFonts w:ascii="Palatino Linotype" w:eastAsia="Palatino Linotype" w:hAnsi="Palatino Linotype" w:cs="Palatino Linotype"/>
          <w:sz w:val="22"/>
          <w:szCs w:val="22"/>
        </w:rPr>
        <w:t xml:space="preserve">  y </w:t>
      </w:r>
      <w:hyperlink r:id="rId18">
        <w:r w:rsidRPr="00E13CD3">
          <w:rPr>
            <w:rFonts w:ascii="Palatino Linotype" w:eastAsia="Palatino Linotype" w:hAnsi="Palatino Linotype" w:cs="Palatino Linotype"/>
            <w:color w:val="0563C1"/>
            <w:sz w:val="22"/>
            <w:szCs w:val="22"/>
            <w:u w:val="single"/>
          </w:rPr>
          <w:t>https://www.gob.mx/segob/renapo/acciones-y-programas/clave-unica-de-registro-depoblacion-curp-142226</w:t>
        </w:r>
      </w:hyperlink>
      <w:r w:rsidRPr="00E13CD3">
        <w:rPr>
          <w:rFonts w:ascii="Palatino Linotype" w:eastAsia="Palatino Linotype" w:hAnsi="Palatino Linotype" w:cs="Palatino Linotype"/>
          <w:sz w:val="22"/>
          <w:szCs w:val="22"/>
        </w:rPr>
        <w:t xml:space="preserve">  (consultadas el veinticinco de febrero de dos mil veinticinco),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w:t>
      </w:r>
      <w:r w:rsidRPr="00E13CD3">
        <w:rPr>
          <w:rFonts w:ascii="Palatino Linotype" w:eastAsia="Palatino Linotype" w:hAnsi="Palatino Linotype" w:cs="Palatino Linotype"/>
          <w:b/>
          <w:sz w:val="22"/>
          <w:szCs w:val="22"/>
        </w:rPr>
        <w:t xml:space="preserve">generan a partir de los datos contenidos en el documento probatorio de la identidad del interesado </w:t>
      </w:r>
      <w:r w:rsidRPr="00E13CD3">
        <w:rPr>
          <w:rFonts w:ascii="Palatino Linotype" w:eastAsia="Palatino Linotype" w:hAnsi="Palatino Linotype" w:cs="Palatino Linotype"/>
          <w:sz w:val="22"/>
          <w:szCs w:val="22"/>
        </w:rPr>
        <w:t>(acta de nacimiento, carta de naturalización o documento migratorio) de la siguiente forma:</w:t>
      </w:r>
    </w:p>
    <w:p w14:paraId="29D1D15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7157BFB4" w14:textId="77777777" w:rsidR="00106087" w:rsidRPr="00E13CD3" w:rsidRDefault="00CA6354">
      <w:pPr>
        <w:numPr>
          <w:ilvl w:val="0"/>
          <w:numId w:val="2"/>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El primero y segundo apellidos, así como al nombre de pila; </w:t>
      </w:r>
    </w:p>
    <w:p w14:paraId="4E624DD5" w14:textId="77777777" w:rsidR="00106087" w:rsidRPr="00E13CD3" w:rsidRDefault="00CA6354">
      <w:pPr>
        <w:numPr>
          <w:ilvl w:val="0"/>
          <w:numId w:val="2"/>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La fecha de nacimiento; </w:t>
      </w:r>
    </w:p>
    <w:p w14:paraId="2C50BE85" w14:textId="77777777" w:rsidR="00106087" w:rsidRPr="00E13CD3" w:rsidRDefault="00CA6354">
      <w:pPr>
        <w:numPr>
          <w:ilvl w:val="0"/>
          <w:numId w:val="2"/>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El sexo, y </w:t>
      </w:r>
    </w:p>
    <w:p w14:paraId="30A9BB80" w14:textId="77777777" w:rsidR="00106087" w:rsidRPr="00E13CD3" w:rsidRDefault="00CA6354">
      <w:pPr>
        <w:numPr>
          <w:ilvl w:val="0"/>
          <w:numId w:val="2"/>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La entidad federativa de nacimiento.</w:t>
      </w:r>
    </w:p>
    <w:p w14:paraId="7A8AE667"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DB5F38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Los dos últimos elementos de la Clave Única de Registro de Población evitan la duplicidad de la Clave y garantizan su correcta integración.</w:t>
      </w:r>
    </w:p>
    <w:p w14:paraId="084B7FE5"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3763A79"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79AE1C54"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2781C3B2"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83D3CD6"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b/>
          <w:i/>
        </w:rPr>
        <w:t>“Clave Única de Registro de Población (CURP).</w:t>
      </w:r>
      <w:r w:rsidRPr="00E13CD3">
        <w:rPr>
          <w:rFonts w:ascii="Palatino Linotype" w:eastAsia="Palatino Linotype" w:hAnsi="Palatino Linotype" w:cs="Palatino Linotype"/>
          <w:i/>
        </w:rPr>
        <w:t xml:space="preserve"> La Clave Única de Registro de Población se integra por datos personales que sólo conciernen al particular titular de </w:t>
      </w:r>
      <w:proofErr w:type="gramStart"/>
      <w:r w:rsidRPr="00E13CD3">
        <w:rPr>
          <w:rFonts w:ascii="Palatino Linotype" w:eastAsia="Palatino Linotype" w:hAnsi="Palatino Linotype" w:cs="Palatino Linotype"/>
          <w:i/>
        </w:rPr>
        <w:t>la misma</w:t>
      </w:r>
      <w:proofErr w:type="gramEnd"/>
      <w:r w:rsidRPr="00E13CD3">
        <w:rPr>
          <w:rFonts w:ascii="Palatino Linotype" w:eastAsia="Palatino Linotype" w:hAnsi="Palatino Linotype" w:cs="Palatino Linotype"/>
          <w:i/>
        </w:rPr>
        <w:t>,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053A7EC"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445DDBD4"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5FC73EB6"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79BDBF21" w14:textId="77777777" w:rsidR="00106087" w:rsidRPr="00E13CD3" w:rsidRDefault="00CA6354">
      <w:pPr>
        <w:numPr>
          <w:ilvl w:val="0"/>
          <w:numId w:val="6"/>
        </w:num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Registro Federal de Contribuyentes (RFC)</w:t>
      </w:r>
    </w:p>
    <w:p w14:paraId="7F5A4E38"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 xml:space="preserve"> </w:t>
      </w:r>
    </w:p>
    <w:p w14:paraId="4677B6A6"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9A6E554"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12B8BE5B"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proofErr w:type="gramStart"/>
      <w:r w:rsidRPr="00E13CD3">
        <w:rPr>
          <w:rFonts w:ascii="Palatino Linotype" w:eastAsia="Palatino Linotype" w:hAnsi="Palatino Linotype" w:cs="Palatino Linotype"/>
          <w:sz w:val="22"/>
          <w:szCs w:val="22"/>
        </w:rPr>
        <w:t>De acuerdo a</w:t>
      </w:r>
      <w:proofErr w:type="gramEnd"/>
      <w:r w:rsidRPr="00E13CD3">
        <w:rPr>
          <w:rFonts w:ascii="Palatino Linotype" w:eastAsia="Palatino Linotype" w:hAnsi="Palatino Linotype" w:cs="Palatino Linotype"/>
          <w:sz w:val="22"/>
          <w:szCs w:val="22"/>
        </w:rPr>
        <w:t xml:space="preserve"> lo establecido en el artículo en comento, esta clave se compone de trece caracteres alfanuméricos, con datos obtenidos de los apellidos, nombre(s), fecha de nacimiento del titular, más una </w:t>
      </w:r>
      <w:proofErr w:type="spellStart"/>
      <w:r w:rsidRPr="00E13CD3">
        <w:rPr>
          <w:rFonts w:ascii="Palatino Linotype" w:eastAsia="Palatino Linotype" w:hAnsi="Palatino Linotype" w:cs="Palatino Linotype"/>
          <w:sz w:val="22"/>
          <w:szCs w:val="22"/>
        </w:rPr>
        <w:t>homoclave</w:t>
      </w:r>
      <w:proofErr w:type="spellEnd"/>
      <w:r w:rsidRPr="00E13CD3">
        <w:rPr>
          <w:rFonts w:ascii="Palatino Linotype" w:eastAsia="Palatino Linotype" w:hAnsi="Palatino Linotype" w:cs="Palatino Linotype"/>
          <w:sz w:val="22"/>
          <w:szCs w:val="22"/>
        </w:rPr>
        <w:t xml:space="preserve"> que establece el sistema automático del Servicio de Administración Tributaria.</w:t>
      </w:r>
    </w:p>
    <w:p w14:paraId="546B5FD5"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6483FC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Ahora bien, la clave del Registro Federal de </w:t>
      </w:r>
      <w:proofErr w:type="gramStart"/>
      <w:r w:rsidRPr="00E13CD3">
        <w:rPr>
          <w:rFonts w:ascii="Palatino Linotype" w:eastAsia="Palatino Linotype" w:hAnsi="Palatino Linotype" w:cs="Palatino Linotype"/>
          <w:sz w:val="22"/>
          <w:szCs w:val="22"/>
        </w:rPr>
        <w:t>Contribuyentes,</w:t>
      </w:r>
      <w:proofErr w:type="gramEnd"/>
      <w:r w:rsidRPr="00E13CD3">
        <w:rPr>
          <w:rFonts w:ascii="Palatino Linotype" w:eastAsia="Palatino Linotype" w:hAnsi="Palatino Linotype" w:cs="Palatino Linotype"/>
          <w:sz w:val="22"/>
          <w:szCs w:val="22"/>
        </w:rPr>
        <w:t xml:space="preserve">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CC28CA2"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1E99DB33"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0F7AFDC9"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7C66BBB7"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0C3C686D"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047EC457"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b/>
          <w:i/>
        </w:rPr>
        <w:t>“Registro Federal de Contribuyentes (RFC) de personas físicas.</w:t>
      </w:r>
      <w:r w:rsidRPr="00E13CD3">
        <w:rPr>
          <w:rFonts w:ascii="Palatino Linotype" w:eastAsia="Palatino Linotype" w:hAnsi="Palatino Linotype" w:cs="Palatino Linotype"/>
          <w:i/>
        </w:rPr>
        <w:t xml:space="preserve"> El RFC es una clave de carácter fiscal, única e irrepetible, que permite identificar al titular, su edad y fecha de nacimiento, por lo que es un dato personal de carácter confidencial.”</w:t>
      </w:r>
    </w:p>
    <w:p w14:paraId="0E3EED90"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1F2C6A62"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5F9E681"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5F0C9F7B" w14:textId="77777777" w:rsidR="00106087" w:rsidRPr="00E13CD3" w:rsidRDefault="00CA6354">
      <w:pPr>
        <w:numPr>
          <w:ilvl w:val="0"/>
          <w:numId w:val="6"/>
        </w:num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b/>
          <w:color w:val="000000"/>
          <w:sz w:val="22"/>
          <w:szCs w:val="22"/>
        </w:rPr>
        <w:t xml:space="preserve">Código bidimensional o </w:t>
      </w:r>
      <w:proofErr w:type="spellStart"/>
      <w:r w:rsidRPr="00E13CD3">
        <w:rPr>
          <w:rFonts w:ascii="Palatino Linotype" w:eastAsia="Palatino Linotype" w:hAnsi="Palatino Linotype" w:cs="Palatino Linotype"/>
          <w:b/>
          <w:color w:val="000000"/>
          <w:sz w:val="22"/>
          <w:szCs w:val="22"/>
        </w:rPr>
        <w:t>Qr</w:t>
      </w:r>
      <w:proofErr w:type="spellEnd"/>
    </w:p>
    <w:p w14:paraId="024F0981" w14:textId="77777777" w:rsidR="00106087" w:rsidRPr="00E13CD3" w:rsidRDefault="00106087">
      <w:pPr>
        <w:spacing w:line="360" w:lineRule="auto"/>
        <w:jc w:val="both"/>
        <w:rPr>
          <w:rFonts w:ascii="Palatino Linotype" w:eastAsia="Palatino Linotype" w:hAnsi="Palatino Linotype" w:cs="Palatino Linotype"/>
          <w:b/>
          <w:color w:val="000000"/>
          <w:sz w:val="22"/>
          <w:szCs w:val="22"/>
        </w:rPr>
      </w:pPr>
    </w:p>
    <w:p w14:paraId="2D2C48D8"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En principio, resulta necesario señalar que los comprobantes fiscales digitales por Internet, deben de incluir un código bidimensional conforme al formato </w:t>
      </w:r>
      <w:r w:rsidRPr="00E13CD3">
        <w:rPr>
          <w:rFonts w:ascii="Palatino Linotype" w:eastAsia="Palatino Linotype" w:hAnsi="Palatino Linotype" w:cs="Palatino Linotype"/>
          <w:i/>
          <w:color w:val="000000"/>
          <w:sz w:val="22"/>
          <w:szCs w:val="22"/>
        </w:rPr>
        <w:t xml:space="preserve">QR </w:t>
      </w:r>
      <w:proofErr w:type="spellStart"/>
      <w:r w:rsidRPr="00E13CD3">
        <w:rPr>
          <w:rFonts w:ascii="Palatino Linotype" w:eastAsia="Palatino Linotype" w:hAnsi="Palatino Linotype" w:cs="Palatino Linotype"/>
          <w:i/>
          <w:color w:val="000000"/>
          <w:sz w:val="22"/>
          <w:szCs w:val="22"/>
        </w:rPr>
        <w:t>Code</w:t>
      </w:r>
      <w:proofErr w:type="spellEnd"/>
      <w:r w:rsidRPr="00E13CD3">
        <w:rPr>
          <w:rFonts w:ascii="Palatino Linotype" w:eastAsia="Palatino Linotype" w:hAnsi="Palatino Linotype" w:cs="Palatino Linotype"/>
          <w:i/>
          <w:color w:val="000000"/>
          <w:sz w:val="22"/>
          <w:szCs w:val="22"/>
        </w:rPr>
        <w:t xml:space="preserve"> (Quick Response </w:t>
      </w:r>
      <w:proofErr w:type="spellStart"/>
      <w:r w:rsidRPr="00E13CD3">
        <w:rPr>
          <w:rFonts w:ascii="Palatino Linotype" w:eastAsia="Palatino Linotype" w:hAnsi="Palatino Linotype" w:cs="Palatino Linotype"/>
          <w:i/>
          <w:color w:val="000000"/>
          <w:sz w:val="22"/>
          <w:szCs w:val="22"/>
        </w:rPr>
        <w:t>Code</w:t>
      </w:r>
      <w:proofErr w:type="spellEnd"/>
      <w:r w:rsidRPr="00E13CD3">
        <w:rPr>
          <w:rFonts w:ascii="Palatino Linotype" w:eastAsia="Palatino Linotype" w:hAnsi="Palatino Linotype" w:cs="Palatino Linotype"/>
          <w:i/>
          <w:color w:val="000000"/>
          <w:sz w:val="22"/>
          <w:szCs w:val="22"/>
        </w:rPr>
        <w:t>)</w:t>
      </w:r>
      <w:r w:rsidRPr="00E13CD3">
        <w:rPr>
          <w:rFonts w:ascii="Palatino Linotype" w:eastAsia="Palatino Linotype" w:hAnsi="Palatino Linotype" w:cs="Palatino Linotype"/>
          <w:color w:val="000000"/>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9">
        <w:r w:rsidRPr="00E13CD3">
          <w:rPr>
            <w:rFonts w:ascii="Palatino Linotype" w:eastAsia="Palatino Linotype" w:hAnsi="Palatino Linotype" w:cs="Palatino Linotype"/>
            <w:color w:val="0563C1"/>
            <w:sz w:val="22"/>
            <w:szCs w:val="22"/>
            <w:u w:val="single"/>
          </w:rPr>
          <w:t>http://dof.gob.mx/nota_detalle.php?codigo=5492254&amp;fecha=28/07/2017</w:t>
        </w:r>
      </w:hyperlink>
      <w:r w:rsidRPr="00E13CD3">
        <w:rPr>
          <w:rFonts w:ascii="Palatino Linotype" w:eastAsia="Palatino Linotype" w:hAnsi="Palatino Linotype" w:cs="Palatino Linotype"/>
          <w:color w:val="000000"/>
          <w:sz w:val="22"/>
          <w:szCs w:val="22"/>
        </w:rPr>
        <w:t>. Incluso con la captura de dicho código, a través de la aplicación móvil del Servicio de Administración Tributaria, permite el acceso al Registro Federal de Contribuyentes, como del Sujeto Obligado, como de los servidores públicos.</w:t>
      </w:r>
    </w:p>
    <w:p w14:paraId="16F35C0B"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111EC6C0"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lastRenderedPageBreak/>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64BB626E"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03BBF606" w14:textId="77777777" w:rsidR="00106087" w:rsidRPr="00E13CD3" w:rsidRDefault="00CA6354">
      <w:pPr>
        <w:numPr>
          <w:ilvl w:val="0"/>
          <w:numId w:val="6"/>
        </w:num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b/>
          <w:sz w:val="22"/>
          <w:szCs w:val="22"/>
        </w:rPr>
        <w:t>Número de seguridad social del Instituto de Seguridad Social del Estado de México y Municipios</w:t>
      </w:r>
    </w:p>
    <w:p w14:paraId="5CD9F269"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03582C2"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FE6137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088463B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9F13306"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153F5017"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Como se advierte, el número del Instituto de Seguridad y Servicios Sociales del Estado de México y Municipios, es un dato personal que permite identificar que una persona que trabajó </w:t>
      </w:r>
      <w:r w:rsidRPr="00E13CD3">
        <w:rPr>
          <w:rFonts w:ascii="Palatino Linotype" w:eastAsia="Palatino Linotype" w:hAnsi="Palatino Linotype" w:cs="Palatino Linotype"/>
          <w:sz w:val="22"/>
          <w:szCs w:val="22"/>
        </w:rPr>
        <w:lastRenderedPageBreak/>
        <w:t>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38F02CD7"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70F50D9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04166F3D"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6BB61880" w14:textId="77777777" w:rsidR="00106087" w:rsidRPr="00E13CD3" w:rsidRDefault="00CA6354">
      <w:pPr>
        <w:numPr>
          <w:ilvl w:val="0"/>
          <w:numId w:val="7"/>
        </w:num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b/>
          <w:sz w:val="22"/>
          <w:szCs w:val="22"/>
        </w:rPr>
        <w:t>Sueldos y percepciones</w:t>
      </w:r>
    </w:p>
    <w:p w14:paraId="43D6E02F" w14:textId="77777777" w:rsidR="00106087" w:rsidRPr="00E13CD3" w:rsidRDefault="00106087">
      <w:pPr>
        <w:spacing w:line="360" w:lineRule="auto"/>
        <w:rPr>
          <w:rFonts w:ascii="Palatino Linotype" w:eastAsia="Palatino Linotype" w:hAnsi="Palatino Linotype" w:cs="Palatino Linotype"/>
          <w:b/>
          <w:sz w:val="22"/>
          <w:szCs w:val="22"/>
        </w:rPr>
      </w:pPr>
    </w:p>
    <w:p w14:paraId="25634451"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Al respecto, caber recordar que conforme al artículo 70, fracción VIII, de la Ley General de Transparencia y Acceso a la Información Pública y 92, fracción VIII, de la Ley de Transparencia y Acceso a la Información Pública del Estado de México y Municipios, las remuneraciones que reciben los servidores </w:t>
      </w:r>
      <w:proofErr w:type="gramStart"/>
      <w:r w:rsidRPr="00E13CD3">
        <w:rPr>
          <w:rFonts w:ascii="Palatino Linotype" w:eastAsia="Palatino Linotype" w:hAnsi="Palatino Linotype" w:cs="Palatino Linotype"/>
          <w:sz w:val="22"/>
          <w:szCs w:val="22"/>
        </w:rPr>
        <w:t>públicos,</w:t>
      </w:r>
      <w:proofErr w:type="gramEnd"/>
      <w:r w:rsidRPr="00E13CD3">
        <w:rPr>
          <w:rFonts w:ascii="Palatino Linotype" w:eastAsia="Palatino Linotype" w:hAnsi="Palatino Linotype" w:cs="Palatino Linotype"/>
          <w:sz w:val="22"/>
          <w:szCs w:val="22"/>
        </w:rPr>
        <w:t xml:space="preserve"> guardan la naturaleza de publicas tanto los sueldos, como las prestaciones (gratificaciones, primas, comisiones, dietas, bonos, estímulos, entre otros).</w:t>
      </w:r>
    </w:p>
    <w:p w14:paraId="6C4097B6"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5091B7B"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Como se logra observar que, mediante los recibos de pago, el Sujeto Obligado busca acreditar la manera en que se ejercieron determinados recursos públicos; sobre el tema, según Arizmendi, Guillermo (2016), en la “Ley General de Transparencia y Acceso a la Información Pública Comentada” (p. 240 y 241), los recursos públicos, deber ser administrados con responsabilidad y transparencia.</w:t>
      </w:r>
    </w:p>
    <w:p w14:paraId="496FE29F" w14:textId="77777777" w:rsidR="00106087" w:rsidRPr="00E13CD3" w:rsidRDefault="00106087">
      <w:pPr>
        <w:shd w:val="clear" w:color="auto" w:fill="FFFFFF"/>
        <w:spacing w:line="360" w:lineRule="auto"/>
        <w:jc w:val="both"/>
        <w:rPr>
          <w:rFonts w:ascii="Palatino Linotype" w:eastAsia="Palatino Linotype" w:hAnsi="Palatino Linotype" w:cs="Palatino Linotype"/>
          <w:sz w:val="22"/>
          <w:szCs w:val="22"/>
        </w:rPr>
      </w:pPr>
    </w:p>
    <w:p w14:paraId="6455DCA7" w14:textId="77777777" w:rsidR="00106087" w:rsidRPr="00E13CD3" w:rsidRDefault="00CA6354">
      <w:p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sz w:val="22"/>
          <w:szCs w:val="22"/>
        </w:rPr>
        <w:lastRenderedPageBreak/>
        <w:t xml:space="preserve">En ese orden de ideas, según Trujillo, Humberto (2019), en el “Diccionario de Transparencia y Acceso a la Información Pública” (p. 276), </w:t>
      </w:r>
      <w:r w:rsidRPr="00E13CD3">
        <w:rPr>
          <w:rFonts w:ascii="Palatino Linotype" w:eastAsia="Palatino Linotype" w:hAnsi="Palatino Linotype" w:cs="Palatino Linotype"/>
          <w:b/>
          <w:sz w:val="22"/>
          <w:szCs w:val="22"/>
        </w:rPr>
        <w:t>los recursos públicos son los ingresos económicos, que obtiene el Estado y que asigna (a partir del presupuesto) al ejercicio de sus actividades, los cuales deben ser asignados de manera transparente y bajo un sistema de rendición de cuentas, para que las personas puedan monitorear, evaluar y cuestionar su gasto.</w:t>
      </w:r>
    </w:p>
    <w:p w14:paraId="4CFEEC47" w14:textId="77777777" w:rsidR="00106087" w:rsidRPr="00E13CD3" w:rsidRDefault="00106087">
      <w:pPr>
        <w:spacing w:line="360" w:lineRule="auto"/>
        <w:jc w:val="both"/>
        <w:rPr>
          <w:rFonts w:ascii="Palatino Linotype" w:eastAsia="Palatino Linotype" w:hAnsi="Palatino Linotype" w:cs="Palatino Linotype"/>
          <w:b/>
          <w:sz w:val="22"/>
          <w:szCs w:val="22"/>
        </w:rPr>
      </w:pPr>
    </w:p>
    <w:p w14:paraId="6ABB3210"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En ese orden de ideas,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E13CD3">
        <w:rPr>
          <w:rFonts w:ascii="Palatino Linotype" w:eastAsia="Palatino Linotype" w:hAnsi="Palatino Linotype" w:cs="Palatino Linotype"/>
          <w:b/>
          <w:sz w:val="22"/>
          <w:szCs w:val="22"/>
        </w:rPr>
        <w:t xml:space="preserve">transparencia </w:t>
      </w:r>
      <w:r w:rsidRPr="00E13CD3">
        <w:rPr>
          <w:rFonts w:ascii="Palatino Linotype" w:eastAsia="Palatino Linotype" w:hAnsi="Palatino Linotype" w:cs="Palatino Linotype"/>
          <w:sz w:val="22"/>
          <w:szCs w:val="22"/>
        </w:rPr>
        <w:t>y honradez; sobre lo referido,  la Tesis número 1a.CXLV/2009, Novena Época, publicada en el Semanario Judicial de la Federación, Tomo XXX, de septiembre de dos mil nueve, (p. 2712), establece lo siguiente:</w:t>
      </w:r>
    </w:p>
    <w:p w14:paraId="2A7C7A96"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b/>
          <w:i/>
        </w:rPr>
        <w:t xml:space="preserve">“GASTO PÚBLICO. EL ARTÍCULO 134 DE LA CONSTITUCIÓN POLÍTICA DE LOS ESTADOS UNIDOS MEXICANOS ELEVA A RANGO CONSTITUCIONAL LOS PRINCIPIOS DE LEGALIDAD, EFICIENCIA, EFICACIA, ECONOMÍA, TRANSPARENCIA Y HONRADEZ EN ESTA MATERIA. </w:t>
      </w:r>
      <w:r w:rsidRPr="00E13CD3">
        <w:rPr>
          <w:rFonts w:ascii="Palatino Linotype" w:eastAsia="Palatino Linotype" w:hAnsi="Palatino Linotype" w:cs="Palatino Linotype"/>
          <w:i/>
        </w:rPr>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p>
    <w:p w14:paraId="0477A01E"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7C464748"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Como se logra observar, el ejercicio de recursos públicos por parte de los tres niveles de Gobierno, que incluye a los Municipios, debe seguir el Principio de Transparencia, que implica permitir a la ciudadanía conocer en la forma en que se gasta el Estado, los recursos con los que cuenta para el cumplimiento de sus obligaciones y atribuciones.</w:t>
      </w:r>
    </w:p>
    <w:p w14:paraId="2F2991B0"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68C6E294"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Al respecto, según Merino, Mauricio (2019), en el “Diccionario de Transparencia y Acceso a la Información Pública” (p. 276), </w:t>
      </w:r>
      <w:r w:rsidRPr="00E13CD3">
        <w:rPr>
          <w:rFonts w:ascii="Palatino Linotype" w:eastAsia="Palatino Linotype" w:hAnsi="Palatino Linotype" w:cs="Palatino Linotype"/>
          <w:b/>
          <w:sz w:val="22"/>
          <w:szCs w:val="22"/>
        </w:rPr>
        <w:t xml:space="preserve">la rendición de </w:t>
      </w:r>
      <w:proofErr w:type="gramStart"/>
      <w:r w:rsidRPr="00E13CD3">
        <w:rPr>
          <w:rFonts w:ascii="Palatino Linotype" w:eastAsia="Palatino Linotype" w:hAnsi="Palatino Linotype" w:cs="Palatino Linotype"/>
          <w:b/>
          <w:sz w:val="22"/>
          <w:szCs w:val="22"/>
        </w:rPr>
        <w:t>cuentas,</w:t>
      </w:r>
      <w:proofErr w:type="gramEnd"/>
      <w:r w:rsidRPr="00E13CD3">
        <w:rPr>
          <w:rFonts w:ascii="Palatino Linotype" w:eastAsia="Palatino Linotype" w:hAnsi="Palatino Linotype" w:cs="Palatino Linotype"/>
          <w:b/>
          <w:sz w:val="22"/>
          <w:szCs w:val="22"/>
        </w:rPr>
        <w:t xml:space="preserve"> </w:t>
      </w:r>
      <w:r w:rsidRPr="00E13CD3">
        <w:rPr>
          <w:rFonts w:ascii="Palatino Linotype" w:eastAsia="Palatino Linotype" w:hAnsi="Palatino Linotype" w:cs="Palatino Linotype"/>
          <w:sz w:val="22"/>
          <w:szCs w:val="22"/>
        </w:rPr>
        <w:t xml:space="preserve">es un ejercicio de transparencia e información pública; es un medio a través del cual los gobiernos informan al público de sus actividades, </w:t>
      </w:r>
      <w:r w:rsidRPr="00E13CD3">
        <w:rPr>
          <w:rFonts w:ascii="Palatino Linotype" w:eastAsia="Palatino Linotype" w:hAnsi="Palatino Linotype" w:cs="Palatino Linotype"/>
          <w:b/>
          <w:sz w:val="22"/>
          <w:szCs w:val="22"/>
        </w:rPr>
        <w:t>de los recursos que han ejercido</w:t>
      </w:r>
      <w:r w:rsidRPr="00E13CD3">
        <w:rPr>
          <w:rFonts w:ascii="Palatino Linotype" w:eastAsia="Palatino Linotype" w:hAnsi="Palatino Linotype" w:cs="Palatino Linotype"/>
          <w:sz w:val="22"/>
          <w:szCs w:val="22"/>
        </w:rPr>
        <w:t xml:space="preserve"> y de los resultados obtenidos.</w:t>
      </w:r>
    </w:p>
    <w:p w14:paraId="30EF3935"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6472803E"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Conforme a lo anterior, se logra vislumbrar que cualquier tipo de erogación de recursos por parte de las instituciones públicas, guarda la naturaleza de pública; por lo que, las remuneraciones, sueldos y prestaciones de los servidores públicos, rinde cuentas de los recursos utilizados por el Ayuntamiento, para el pago de personal; por lo que, no resulta procedente la clasificación de dichos datos, en términos del artículo 143, fracción I, de la Ley de la materia.</w:t>
      </w:r>
    </w:p>
    <w:p w14:paraId="17AEAA22"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22C1AB80" w14:textId="77777777" w:rsidR="00106087" w:rsidRPr="00E13CD3" w:rsidRDefault="00CA6354">
      <w:pPr>
        <w:numPr>
          <w:ilvl w:val="0"/>
          <w:numId w:val="7"/>
        </w:num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Deducciones por Ley</w:t>
      </w:r>
    </w:p>
    <w:p w14:paraId="7ADD1C79"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F9A3908"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Sobre dichos datos,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w:t>
      </w:r>
    </w:p>
    <w:p w14:paraId="2A8AB11D"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25B96AC5"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5541DB1C"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5A7FAF51"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Como se logra observar, dichas deducciones, son las retenciones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14:paraId="6F7590B6"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C3D919A"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Además, se advierte en el presente caso, que la servidora pública si cuenta con estas deducciones, pues el Sujeto Obligado, clasificó de manera correcta, su número de seguridad social (régimen de trabajo).</w:t>
      </w:r>
    </w:p>
    <w:p w14:paraId="3107819C"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08040E26"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Por tal circunstancia y toda vez, que las deducciones por </w:t>
      </w:r>
      <w:proofErr w:type="gramStart"/>
      <w:r w:rsidRPr="00E13CD3">
        <w:rPr>
          <w:rFonts w:ascii="Palatino Linotype" w:eastAsia="Palatino Linotype" w:hAnsi="Palatino Linotype" w:cs="Palatino Linotype"/>
          <w:sz w:val="22"/>
          <w:szCs w:val="22"/>
        </w:rPr>
        <w:t>Ley,</w:t>
      </w:r>
      <w:proofErr w:type="gramEnd"/>
      <w:r w:rsidRPr="00E13CD3">
        <w:rPr>
          <w:rFonts w:ascii="Palatino Linotype" w:eastAsia="Palatino Linotype" w:hAnsi="Palatino Linotype" w:cs="Palatino Linotype"/>
          <w:sz w:val="22"/>
          <w:szCs w:val="22"/>
        </w:rPr>
        <w:t xml:space="preserve"> son de carácter obligatorio y ayuda a rendir cuentas, de que el Ayuntamiento de Calimaya cumple con sus funciones de patrón, al retener determinado monto del sueldo de los servidores públicos, es que se considera que son de naturaleza pública y, por lo tanto, no procede la clasificación, en términos del artículo 143, fracción I, de la Ley de Transparencia y Acceso a la Información Pública del Estado de México y Municipios.</w:t>
      </w:r>
    </w:p>
    <w:p w14:paraId="1E9F7E6E"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67C20565" w14:textId="77777777" w:rsidR="00106087" w:rsidRPr="00E13CD3" w:rsidRDefault="00CA6354">
      <w:pPr>
        <w:numPr>
          <w:ilvl w:val="0"/>
          <w:numId w:val="7"/>
        </w:numPr>
        <w:spacing w:line="360" w:lineRule="auto"/>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Descuentos personales</w:t>
      </w:r>
    </w:p>
    <w:p w14:paraId="1955DFD1" w14:textId="77777777" w:rsidR="00106087" w:rsidRPr="00E13CD3" w:rsidRDefault="00106087">
      <w:pPr>
        <w:spacing w:line="360" w:lineRule="auto"/>
        <w:ind w:left="720"/>
        <w:jc w:val="both"/>
        <w:rPr>
          <w:rFonts w:ascii="Palatino Linotype" w:eastAsia="Palatino Linotype" w:hAnsi="Palatino Linotype" w:cs="Palatino Linotype"/>
          <w:b/>
          <w:sz w:val="22"/>
          <w:szCs w:val="22"/>
        </w:rPr>
      </w:pPr>
    </w:p>
    <w:p w14:paraId="0E780C87"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Es necesario precisar que existen deducciones que se generan con motivo de una decisión libre y voluntaria de los servidores públicos, como son: créditos personales, cuotas sindicales y </w:t>
      </w:r>
      <w:r w:rsidRPr="00E13CD3">
        <w:rPr>
          <w:rFonts w:ascii="Palatino Linotype" w:eastAsia="Palatino Linotype" w:hAnsi="Palatino Linotype" w:cs="Palatino Linotype"/>
          <w:sz w:val="22"/>
          <w:szCs w:val="22"/>
        </w:rPr>
        <w:lastRenderedPageBreak/>
        <w:t>fondo de resistencia del Sindicato Único de Trabajadores de los Poderes, Municipios e Institución Descentralizadas del Estado de México, seguro de vida, accidentes y enfermedades.</w:t>
      </w:r>
    </w:p>
    <w:p w14:paraId="2E8541FA"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4940F0BB"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Asimismo, hay otras que se generan con motivo de una sentencia judicial, como es la pensión alimenticia que periódicamente se retira de la cuenta de un empleado, a efecto de que sea entregado a un tercero.  </w:t>
      </w:r>
    </w:p>
    <w:p w14:paraId="5B6018C3"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10A2E116"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53A1C037"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7F57D2CC"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673ECDA0"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6F635428" w14:textId="77777777" w:rsidR="00106087" w:rsidRPr="00E13CD3" w:rsidRDefault="00CA6354">
      <w:pPr>
        <w:numPr>
          <w:ilvl w:val="0"/>
          <w:numId w:val="6"/>
        </w:num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b/>
          <w:color w:val="000000"/>
          <w:sz w:val="22"/>
          <w:szCs w:val="22"/>
        </w:rPr>
        <w:t>Sellos digitales del emisor y del Servicio de Administración Tributaria y cadena original del complemento de certificación digital del organismo previamente señalado</w:t>
      </w:r>
    </w:p>
    <w:p w14:paraId="50A064FD" w14:textId="77777777" w:rsidR="00106087" w:rsidRPr="00E13CD3" w:rsidRDefault="00106087">
      <w:pPr>
        <w:spacing w:line="360" w:lineRule="auto"/>
        <w:ind w:left="720"/>
        <w:jc w:val="both"/>
        <w:rPr>
          <w:rFonts w:ascii="Palatino Linotype" w:eastAsia="Palatino Linotype" w:hAnsi="Palatino Linotype" w:cs="Palatino Linotype"/>
          <w:b/>
          <w:color w:val="000000"/>
          <w:sz w:val="22"/>
          <w:szCs w:val="22"/>
        </w:rPr>
      </w:pPr>
    </w:p>
    <w:p w14:paraId="344F0B76"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Cuando, de la secuencia de números y letras, no se advierta un Registro Federal de Contribuyentes o una Clave Única de Registro de Población, que pueda hacer identificable al </w:t>
      </w:r>
      <w:r w:rsidRPr="00E13CD3">
        <w:rPr>
          <w:rFonts w:ascii="Palatino Linotype" w:eastAsia="Palatino Linotype" w:hAnsi="Palatino Linotype" w:cs="Palatino Linotype"/>
          <w:color w:val="000000"/>
          <w:sz w:val="22"/>
          <w:szCs w:val="22"/>
        </w:rPr>
        <w:lastRenderedPageBreak/>
        <w:t>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77787A1"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w:t>
      </w:r>
    </w:p>
    <w:p w14:paraId="1F9B1C8F"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Las cadenas originales y sellos que se agregan a las </w:t>
      </w:r>
      <w:proofErr w:type="gramStart"/>
      <w:r w:rsidRPr="00E13CD3">
        <w:rPr>
          <w:rFonts w:ascii="Palatino Linotype" w:eastAsia="Palatino Linotype" w:hAnsi="Palatino Linotype" w:cs="Palatino Linotype"/>
          <w:color w:val="000000"/>
          <w:sz w:val="22"/>
          <w:szCs w:val="22"/>
        </w:rPr>
        <w:t>facturas</w:t>
      </w:r>
      <w:r w:rsidRPr="00E13CD3">
        <w:rPr>
          <w:rFonts w:ascii="Palatino Linotype" w:eastAsia="Palatino Linotype" w:hAnsi="Palatino Linotype" w:cs="Palatino Linotype"/>
          <w:b/>
          <w:color w:val="000000"/>
          <w:sz w:val="22"/>
          <w:szCs w:val="22"/>
        </w:rPr>
        <w:t>,</w:t>
      </w:r>
      <w:proofErr w:type="gramEnd"/>
      <w:r w:rsidRPr="00E13CD3">
        <w:rPr>
          <w:rFonts w:ascii="Palatino Linotype" w:eastAsia="Palatino Linotype" w:hAnsi="Palatino Linotype" w:cs="Palatino Linotype"/>
          <w:color w:val="000000"/>
          <w:sz w:val="22"/>
          <w:szCs w:val="22"/>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1CA35119"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w:t>
      </w:r>
    </w:p>
    <w:p w14:paraId="406AF9EF"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w:t>
      </w:r>
    </w:p>
    <w:p w14:paraId="63031519"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Elementos utilizados en la generación de Sellos Digitales:</w:t>
      </w:r>
    </w:p>
    <w:p w14:paraId="084D40AB" w14:textId="77777777" w:rsidR="00106087" w:rsidRPr="00E13CD3" w:rsidRDefault="00106087">
      <w:pPr>
        <w:spacing w:line="360" w:lineRule="auto"/>
        <w:ind w:left="567" w:right="539"/>
        <w:jc w:val="both"/>
        <w:rPr>
          <w:rFonts w:ascii="Palatino Linotype" w:eastAsia="Palatino Linotype" w:hAnsi="Palatino Linotype" w:cs="Palatino Linotype"/>
          <w:i/>
          <w:color w:val="000000"/>
        </w:rPr>
      </w:pPr>
    </w:p>
    <w:p w14:paraId="16B698C5"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w:t>
      </w:r>
      <w:r w:rsidRPr="00E13CD3">
        <w:rPr>
          <w:rFonts w:ascii="Palatino Linotype" w:eastAsia="Palatino Linotype" w:hAnsi="Palatino Linotype" w:cs="Palatino Linotype"/>
          <w:i/>
          <w:color w:val="000000"/>
        </w:rPr>
        <w:tab/>
        <w:t>Cadena Original, el elemento a sellar, en este caso de un comprobante fiscal digital a través de Internet.</w:t>
      </w:r>
    </w:p>
    <w:p w14:paraId="760F7D54"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w:t>
      </w:r>
      <w:r w:rsidRPr="00E13CD3">
        <w:rPr>
          <w:rFonts w:ascii="Palatino Linotype" w:eastAsia="Palatino Linotype" w:hAnsi="Palatino Linotype" w:cs="Palatino Linotype"/>
          <w:i/>
          <w:color w:val="000000"/>
        </w:rPr>
        <w:tab/>
        <w:t>Certificado de Sello Digital y su correspondiente clave privada.</w:t>
      </w:r>
    </w:p>
    <w:p w14:paraId="4B47EF75"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w:t>
      </w:r>
      <w:r w:rsidRPr="00E13CD3">
        <w:rPr>
          <w:rFonts w:ascii="Palatino Linotype" w:eastAsia="Palatino Linotype" w:hAnsi="Palatino Linotype" w:cs="Palatino Linotype"/>
          <w:i/>
          <w:color w:val="000000"/>
        </w:rPr>
        <w:tab/>
        <w:t>Algoritmos de criptografía de clave pública para firma electrónica avanzada.</w:t>
      </w:r>
    </w:p>
    <w:p w14:paraId="21BA43BB"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w:t>
      </w:r>
      <w:r w:rsidRPr="00E13CD3">
        <w:rPr>
          <w:rFonts w:ascii="Palatino Linotype" w:eastAsia="Palatino Linotype" w:hAnsi="Palatino Linotype" w:cs="Palatino Linotype"/>
          <w:i/>
          <w:color w:val="000000"/>
        </w:rPr>
        <w:tab/>
        <w:t>Especificaciones de conversión de la firma electrónica avanzada a Base 64.</w:t>
      </w:r>
    </w:p>
    <w:p w14:paraId="01C529D0"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Para la generación de sellos digitales se utiliza criptografía de clave pública aplicada a una cadena original.</w:t>
      </w:r>
    </w:p>
    <w:p w14:paraId="03E1D1FB" w14:textId="77777777" w:rsidR="00106087" w:rsidRPr="00E13CD3" w:rsidRDefault="00106087">
      <w:pPr>
        <w:spacing w:line="360" w:lineRule="auto"/>
        <w:ind w:left="567" w:right="539"/>
        <w:jc w:val="both"/>
        <w:rPr>
          <w:rFonts w:ascii="Palatino Linotype" w:eastAsia="Palatino Linotype" w:hAnsi="Palatino Linotype" w:cs="Palatino Linotype"/>
          <w:i/>
          <w:color w:val="000000"/>
        </w:rPr>
      </w:pPr>
    </w:p>
    <w:p w14:paraId="09412D42"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Criptografía de la Clave Pública</w:t>
      </w:r>
    </w:p>
    <w:p w14:paraId="2471E162"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 xml:space="preserve">La criptografía de Clave Pública se basa en la generación de una pareja de números muy grandes relacionados íntimamente entre sí, de tal manera que una operación de </w:t>
      </w:r>
      <w:proofErr w:type="spellStart"/>
      <w:r w:rsidRPr="00E13CD3">
        <w:rPr>
          <w:rFonts w:ascii="Palatino Linotype" w:eastAsia="Palatino Linotype" w:hAnsi="Palatino Linotype" w:cs="Palatino Linotype"/>
          <w:i/>
          <w:color w:val="000000"/>
        </w:rPr>
        <w:t>encripción</w:t>
      </w:r>
      <w:proofErr w:type="spellEnd"/>
      <w:r w:rsidRPr="00E13CD3">
        <w:rPr>
          <w:rFonts w:ascii="Palatino Linotype" w:eastAsia="Palatino Linotype" w:hAnsi="Palatino Linotype" w:cs="Palatino Linotype"/>
          <w:i/>
          <w:color w:val="000000"/>
        </w:rPr>
        <w:t xml:space="preserve"> sobre un mensaje tomando como clave de </w:t>
      </w:r>
      <w:proofErr w:type="spellStart"/>
      <w:r w:rsidRPr="00E13CD3">
        <w:rPr>
          <w:rFonts w:ascii="Palatino Linotype" w:eastAsia="Palatino Linotype" w:hAnsi="Palatino Linotype" w:cs="Palatino Linotype"/>
          <w:i/>
          <w:color w:val="000000"/>
        </w:rPr>
        <w:t>encripción</w:t>
      </w:r>
      <w:proofErr w:type="spellEnd"/>
      <w:r w:rsidRPr="00E13CD3">
        <w:rPr>
          <w:rFonts w:ascii="Palatino Linotype" w:eastAsia="Palatino Linotype" w:hAnsi="Palatino Linotype" w:cs="Palatino Linotype"/>
          <w:i/>
          <w:color w:val="000000"/>
        </w:rPr>
        <w:t xml:space="preserve"> a uno de los dos números, produce un mensaje alterado en su significado que solo puede ser devuelto a su estado original mediante la operación de </w:t>
      </w:r>
      <w:proofErr w:type="spellStart"/>
      <w:r w:rsidRPr="00E13CD3">
        <w:rPr>
          <w:rFonts w:ascii="Palatino Linotype" w:eastAsia="Palatino Linotype" w:hAnsi="Palatino Linotype" w:cs="Palatino Linotype"/>
          <w:i/>
          <w:color w:val="000000"/>
        </w:rPr>
        <w:t>desencripción</w:t>
      </w:r>
      <w:proofErr w:type="spellEnd"/>
      <w:r w:rsidRPr="00E13CD3">
        <w:rPr>
          <w:rFonts w:ascii="Palatino Linotype" w:eastAsia="Palatino Linotype" w:hAnsi="Palatino Linotype" w:cs="Palatino Linotype"/>
          <w:i/>
          <w:color w:val="000000"/>
        </w:rPr>
        <w:t xml:space="preserve"> correspondiente tomando como clave de </w:t>
      </w:r>
      <w:proofErr w:type="spellStart"/>
      <w:r w:rsidRPr="00E13CD3">
        <w:rPr>
          <w:rFonts w:ascii="Palatino Linotype" w:eastAsia="Palatino Linotype" w:hAnsi="Palatino Linotype" w:cs="Palatino Linotype"/>
          <w:i/>
          <w:color w:val="000000"/>
        </w:rPr>
        <w:t>desencripción</w:t>
      </w:r>
      <w:proofErr w:type="spellEnd"/>
      <w:r w:rsidRPr="00E13CD3">
        <w:rPr>
          <w:rFonts w:ascii="Palatino Linotype" w:eastAsia="Palatino Linotype" w:hAnsi="Palatino Linotype" w:cs="Palatino Linotype"/>
          <w:i/>
          <w:color w:val="000000"/>
        </w:rPr>
        <w:t xml:space="preserve"> al otro número de la pareja.</w:t>
      </w:r>
    </w:p>
    <w:p w14:paraId="3FE041D3" w14:textId="77777777" w:rsidR="00106087" w:rsidRPr="00E13CD3" w:rsidRDefault="00CA6354">
      <w:pPr>
        <w:spacing w:line="360" w:lineRule="auto"/>
        <w:ind w:left="567" w:right="539"/>
        <w:jc w:val="both"/>
        <w:rPr>
          <w:rFonts w:ascii="Palatino Linotype" w:eastAsia="Palatino Linotype" w:hAnsi="Palatino Linotype" w:cs="Palatino Linotype"/>
          <w:i/>
          <w:color w:val="000000"/>
        </w:rPr>
      </w:pPr>
      <w:r w:rsidRPr="00E13CD3">
        <w:rPr>
          <w:rFonts w:ascii="Palatino Linotype" w:eastAsia="Palatino Linotype" w:hAnsi="Palatino Linotype" w:cs="Palatino Linotype"/>
          <w:i/>
          <w:color w:val="000000"/>
        </w:rPr>
        <w:t>…”</w:t>
      </w:r>
    </w:p>
    <w:p w14:paraId="194A0AB4"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w:t>
      </w:r>
    </w:p>
    <w:p w14:paraId="48896711"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Es decir, por sí solos las </w:t>
      </w:r>
      <w:proofErr w:type="gramStart"/>
      <w:r w:rsidRPr="00E13CD3">
        <w:rPr>
          <w:rFonts w:ascii="Palatino Linotype" w:eastAsia="Palatino Linotype" w:hAnsi="Palatino Linotype" w:cs="Palatino Linotype"/>
          <w:color w:val="000000"/>
          <w:sz w:val="22"/>
          <w:szCs w:val="22"/>
        </w:rPr>
        <w:t>cadenas originales y los sellos originales</w:t>
      </w:r>
      <w:proofErr w:type="gramEnd"/>
      <w:r w:rsidRPr="00E13CD3">
        <w:rPr>
          <w:rFonts w:ascii="Palatino Linotype" w:eastAsia="Palatino Linotype" w:hAnsi="Palatino Linotype" w:cs="Palatino Linotype"/>
          <w:color w:val="000000"/>
          <w:sz w:val="22"/>
          <w:szCs w:val="22"/>
        </w:rPr>
        <w:t xml:space="preserve">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5A43E28C"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7956F9DC"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Sin embargo, existen ocasiones que las cadenas y sellos se conforman de datos personales, tales como, la Clave Única de Registro de Población, el Registro Federal de Contribuyentes o el número de seguridad social, por lo que, en el caso de que alguno de los datos analizados se conforme de información confidencial, deberá clasificarlo en términos del artículo referido.</w:t>
      </w:r>
    </w:p>
    <w:p w14:paraId="18BC676F"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0ED8C034"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Por otra parte, no pasa desapercibido, que conforme a los artículos 56, fracción XVI, 79 y 81, del Bando Municipal de Calimaya, dos mil veinticinco, el Sujeto Obligado cuenta la Dirección de Seguridad Pública Municipal, encargada de proteger la integridad, derechos y bienes de las personas y asegurar el orden y la paz pública.</w:t>
      </w:r>
    </w:p>
    <w:p w14:paraId="2C524B2E"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6C1AF7B4"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Así resulta necesario analizar si el nombre de los servidores públicos operativos en materia de seguridad, actualizan alguna causal de clasificación; al respecto, con relación, los primeros dos </w:t>
      </w:r>
      <w:r w:rsidRPr="00E13CD3">
        <w:rPr>
          <w:rFonts w:ascii="Palatino Linotype" w:eastAsia="Palatino Linotype" w:hAnsi="Palatino Linotype" w:cs="Palatino Linotype"/>
          <w:sz w:val="22"/>
          <w:szCs w:val="22"/>
        </w:rPr>
        <w:lastRenderedPageBreak/>
        <w:t>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619DA5FB" w14:textId="77777777" w:rsidR="00106087" w:rsidRPr="00E13CD3" w:rsidRDefault="00CA6354">
      <w:pPr>
        <w:spacing w:line="360" w:lineRule="auto"/>
        <w:ind w:right="-28"/>
        <w:jc w:val="both"/>
        <w:rPr>
          <w:rFonts w:ascii="Palatino Linotype" w:eastAsia="Palatino Linotype" w:hAnsi="Palatino Linotype" w:cs="Palatino Linotype"/>
          <w:i/>
          <w:sz w:val="22"/>
          <w:szCs w:val="22"/>
        </w:rPr>
      </w:pPr>
      <w:r w:rsidRPr="00E13CD3">
        <w:rPr>
          <w:rFonts w:ascii="Palatino Linotype" w:eastAsia="Palatino Linotype" w:hAnsi="Palatino Linotype" w:cs="Palatino Linotype"/>
          <w:i/>
          <w:sz w:val="22"/>
          <w:szCs w:val="22"/>
        </w:rPr>
        <w:t xml:space="preserve"> </w:t>
      </w:r>
    </w:p>
    <w:p w14:paraId="77F5761B"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 xml:space="preserve"> “</w:t>
      </w:r>
      <w:r w:rsidRPr="00E13CD3">
        <w:rPr>
          <w:rFonts w:ascii="Palatino Linotype" w:eastAsia="Palatino Linotype" w:hAnsi="Palatino Linotype" w:cs="Palatino Linotype"/>
          <w:b/>
          <w:i/>
        </w:rPr>
        <w:t>Artículo 140.</w:t>
      </w:r>
      <w:r w:rsidRPr="00E13CD3">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w:t>
      </w:r>
    </w:p>
    <w:p w14:paraId="1EC0E78A"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w:t>
      </w:r>
    </w:p>
    <w:p w14:paraId="697F6B2D"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IV. Ponga en riesgo la vida, la seguridad o la salud de una persona física;</w:t>
      </w:r>
    </w:p>
    <w:p w14:paraId="583F9994"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 xml:space="preserve">…” </w:t>
      </w:r>
    </w:p>
    <w:p w14:paraId="1AF3A2C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0FB76D6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0AEBDC9C"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157B1342"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b/>
          <w:i/>
        </w:rPr>
        <w:t xml:space="preserve">“Vigésimo tercero. </w:t>
      </w:r>
      <w:r w:rsidRPr="00E13CD3">
        <w:rPr>
          <w:rFonts w:ascii="Palatino Linotype" w:eastAsia="Palatino Linotype" w:hAnsi="Palatino Linotype" w:cs="Palatino Linotype"/>
          <w:i/>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2D9E8280" w14:textId="77777777" w:rsidR="00106087" w:rsidRPr="00E13CD3" w:rsidRDefault="00CA6354">
      <w:pPr>
        <w:spacing w:line="360" w:lineRule="auto"/>
        <w:ind w:right="-28"/>
        <w:jc w:val="both"/>
        <w:rPr>
          <w:rFonts w:ascii="Palatino Linotype" w:eastAsia="Palatino Linotype" w:hAnsi="Palatino Linotype" w:cs="Palatino Linotype"/>
          <w:i/>
          <w:sz w:val="22"/>
          <w:szCs w:val="22"/>
        </w:rPr>
      </w:pPr>
      <w:r w:rsidRPr="00E13CD3">
        <w:rPr>
          <w:rFonts w:ascii="Palatino Linotype" w:eastAsia="Palatino Linotype" w:hAnsi="Palatino Linotype" w:cs="Palatino Linotype"/>
          <w:i/>
          <w:sz w:val="22"/>
          <w:szCs w:val="22"/>
        </w:rPr>
        <w:t xml:space="preserve"> </w:t>
      </w:r>
    </w:p>
    <w:p w14:paraId="350132D4" w14:textId="77777777" w:rsidR="00106087" w:rsidRPr="00E13CD3" w:rsidRDefault="00CA6354">
      <w:pPr>
        <w:spacing w:line="360" w:lineRule="auto"/>
        <w:ind w:right="-28"/>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sz w:val="22"/>
          <w:szCs w:val="22"/>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0A07D00D"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68C53ED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Además, el artículo 81, fracción III, de la Ley de Seguridad del Estado de México, establece lo siguiente:</w:t>
      </w:r>
    </w:p>
    <w:p w14:paraId="7207A553"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2A5E5358"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b/>
          <w:i/>
        </w:rPr>
        <w:t>“Artículo 81.-</w:t>
      </w:r>
      <w:r w:rsidRPr="00E13CD3">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E13CD3">
        <w:rPr>
          <w:rFonts w:ascii="Palatino Linotype" w:eastAsia="Palatino Linotype" w:hAnsi="Palatino Linotype" w:cs="Palatino Linotype"/>
          <w:i/>
        </w:rPr>
        <w:t>obstante</w:t>
      </w:r>
      <w:proofErr w:type="gramEnd"/>
      <w:r w:rsidRPr="00E13CD3">
        <w:rPr>
          <w:rFonts w:ascii="Palatino Linotype" w:eastAsia="Palatino Linotype" w:hAnsi="Palatino Linotype" w:cs="Palatino Linotype"/>
          <w:i/>
        </w:rPr>
        <w:t xml:space="preserve"> lo anterior, esta información se considerará reservada en los casos siguientes: </w:t>
      </w:r>
    </w:p>
    <w:p w14:paraId="7FB029E9"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w:t>
      </w:r>
    </w:p>
    <w:p w14:paraId="2444D2C5"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III. La relativa a los servidores públicos integrantes de las instituciones de seguridad pública, cuya revelación pueda poner en riesgo su vida e integridad física con motivo de sus funciones;</w:t>
      </w:r>
    </w:p>
    <w:p w14:paraId="7F56A49B"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i/>
        </w:rPr>
        <w:t>…”</w:t>
      </w:r>
    </w:p>
    <w:p w14:paraId="39F5D4BB"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26EEDEAE"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34E17D66"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En ese contexto, es de señalar que los datos de servidores públicos, entre los que se encuentran el nombre y fotografía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499470C5"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5EB710AD"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No obstante, resulta necesario traer a colación por analogía, el Criterio de interpretación, con número de registro SO/006/2009, de la Primera Época, emitido por el entonces Instituto Federal de Acceso a la Información y Protección de Datos ahora Instituto Nacional de Transparencia, Acceso a la Información y Protección de Datos Personales, que establece lo siguiente:</w:t>
      </w:r>
    </w:p>
    <w:p w14:paraId="3007B841" w14:textId="77777777" w:rsidR="00106087" w:rsidRPr="00E13CD3" w:rsidRDefault="00CA6354">
      <w:pPr>
        <w:spacing w:line="360" w:lineRule="auto"/>
        <w:ind w:right="-28"/>
        <w:jc w:val="both"/>
        <w:rPr>
          <w:rFonts w:ascii="Palatino Linotype" w:eastAsia="Palatino Linotype" w:hAnsi="Palatino Linotype" w:cs="Palatino Linotype"/>
          <w:i/>
        </w:rPr>
      </w:pPr>
      <w:r w:rsidRPr="00E13CD3">
        <w:rPr>
          <w:rFonts w:ascii="Palatino Linotype" w:eastAsia="Palatino Linotype" w:hAnsi="Palatino Linotype" w:cs="Palatino Linotype"/>
          <w:i/>
          <w:sz w:val="22"/>
          <w:szCs w:val="22"/>
        </w:rPr>
        <w:t xml:space="preserve"> </w:t>
      </w:r>
    </w:p>
    <w:p w14:paraId="333475AC" w14:textId="77777777" w:rsidR="00106087" w:rsidRPr="00E13CD3" w:rsidRDefault="00CA6354">
      <w:pPr>
        <w:spacing w:line="360" w:lineRule="auto"/>
        <w:ind w:left="567" w:right="567"/>
        <w:jc w:val="both"/>
        <w:rPr>
          <w:rFonts w:ascii="Palatino Linotype" w:eastAsia="Palatino Linotype" w:hAnsi="Palatino Linotype" w:cs="Palatino Linotype"/>
          <w:i/>
        </w:rPr>
      </w:pPr>
      <w:r w:rsidRPr="00E13CD3">
        <w:rPr>
          <w:rFonts w:ascii="Palatino Linotype" w:eastAsia="Palatino Linotype" w:hAnsi="Palatino Linotype" w:cs="Palatino Linotype"/>
          <w:b/>
          <w:i/>
        </w:rPr>
        <w:t>“Nombres de servidores públicos dedicados a actividades en materia de seguridad, por excepción pueden considerarse información reservada.</w:t>
      </w:r>
      <w:r w:rsidRPr="00E13CD3">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E13CD3">
        <w:rPr>
          <w:rFonts w:ascii="Palatino Linotype" w:eastAsia="Palatino Linotype" w:hAnsi="Palatino Linotype" w:cs="Palatino Linotype"/>
          <w:i/>
        </w:rPr>
        <w:lastRenderedPageBreak/>
        <w:t>obstante</w:t>
      </w:r>
      <w:proofErr w:type="gramEnd"/>
      <w:r w:rsidRPr="00E13CD3">
        <w:rPr>
          <w:rFonts w:ascii="Palatino Linotype" w:eastAsia="Palatino Linotype" w:hAnsi="Palatino Linotype" w:cs="Palatino Linotype"/>
          <w:i/>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E931C13"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6CA907E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2BA009B2"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5A0CC1A"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74C2E47F"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 xml:space="preserve"> </w:t>
      </w:r>
    </w:p>
    <w:p w14:paraId="73C4E148"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En ese orden de ideas, si bien por regla general los nombres de los trabajadores gubernamentales son información pública de oficio, existe una excepción relativa a </w:t>
      </w:r>
      <w:r w:rsidRPr="00E13CD3">
        <w:rPr>
          <w:rFonts w:ascii="Palatino Linotype" w:eastAsia="Palatino Linotype" w:hAnsi="Palatino Linotype" w:cs="Palatino Linotype"/>
          <w:b/>
          <w:sz w:val="22"/>
          <w:szCs w:val="22"/>
        </w:rPr>
        <w:t>aquellos que realicen actividades operativas en materia de seguridad,</w:t>
      </w:r>
      <w:r w:rsidRPr="00E13CD3">
        <w:rPr>
          <w:rFonts w:ascii="Palatino Linotype" w:eastAsia="Palatino Linotype" w:hAnsi="Palatino Linotype" w:cs="Palatino Linotype"/>
          <w:sz w:val="22"/>
          <w:szCs w:val="22"/>
        </w:rPr>
        <w:t xml:space="preserve"> como es el caso de los elementos operativos y la policía municipal.</w:t>
      </w:r>
    </w:p>
    <w:p w14:paraId="63037ED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1824F4EA"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5CD4787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5E1D732C"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En ese contexto, el artículo 6°, fracciones XI y XII de dicho ordenamiento jurídico, establece los siguientes conceptos:</w:t>
      </w:r>
    </w:p>
    <w:p w14:paraId="2AD83CF2"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44A6E136" w14:textId="77777777" w:rsidR="00106087" w:rsidRPr="00E13CD3" w:rsidRDefault="00CA6354">
      <w:pPr>
        <w:numPr>
          <w:ilvl w:val="0"/>
          <w:numId w:val="3"/>
        </w:numPr>
        <w:spacing w:line="360" w:lineRule="auto"/>
        <w:ind w:right="-28"/>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 xml:space="preserve">Instituciones Policiales: </w:t>
      </w:r>
      <w:r w:rsidRPr="00E13CD3">
        <w:rPr>
          <w:rFonts w:ascii="Palatino Linotype" w:eastAsia="Palatino Linotype" w:hAnsi="Palatino Linotype" w:cs="Palatino Linotype"/>
          <w:sz w:val="22"/>
          <w:szCs w:val="22"/>
        </w:rPr>
        <w:t xml:space="preserve">Son los cuerpos de policía, de vigilancia y custodia de los establecimientos penitenciarios, detención preventiva, centros de arraigo y en general, </w:t>
      </w:r>
      <w:r w:rsidRPr="00E13CD3">
        <w:rPr>
          <w:rFonts w:ascii="Palatino Linotype" w:eastAsia="Palatino Linotype" w:hAnsi="Palatino Linotype" w:cs="Palatino Linotype"/>
          <w:b/>
          <w:sz w:val="22"/>
          <w:szCs w:val="22"/>
        </w:rPr>
        <w:t>todas las dependencias encargadas de la seguridad pública a nivel</w:t>
      </w:r>
      <w:r w:rsidRPr="00E13CD3">
        <w:rPr>
          <w:rFonts w:ascii="Palatino Linotype" w:eastAsia="Palatino Linotype" w:hAnsi="Palatino Linotype" w:cs="Palatino Linotype"/>
          <w:sz w:val="22"/>
          <w:szCs w:val="22"/>
        </w:rPr>
        <w:t xml:space="preserve"> estatal y </w:t>
      </w:r>
      <w:r w:rsidRPr="00E13CD3">
        <w:rPr>
          <w:rFonts w:ascii="Palatino Linotype" w:eastAsia="Palatino Linotype" w:hAnsi="Palatino Linotype" w:cs="Palatino Linotype"/>
          <w:b/>
          <w:sz w:val="22"/>
          <w:szCs w:val="22"/>
        </w:rPr>
        <w:t>municipal.</w:t>
      </w:r>
    </w:p>
    <w:p w14:paraId="511AB187" w14:textId="77777777" w:rsidR="00106087" w:rsidRPr="00E13CD3" w:rsidRDefault="00106087">
      <w:pPr>
        <w:spacing w:line="360" w:lineRule="auto"/>
        <w:ind w:left="720" w:right="-28"/>
        <w:jc w:val="both"/>
        <w:rPr>
          <w:rFonts w:ascii="Palatino Linotype" w:eastAsia="Palatino Linotype" w:hAnsi="Palatino Linotype" w:cs="Palatino Linotype"/>
          <w:b/>
          <w:sz w:val="22"/>
          <w:szCs w:val="22"/>
        </w:rPr>
      </w:pPr>
    </w:p>
    <w:p w14:paraId="08196AE1" w14:textId="77777777" w:rsidR="00106087" w:rsidRPr="00E13CD3" w:rsidRDefault="00CA6354">
      <w:pPr>
        <w:numPr>
          <w:ilvl w:val="0"/>
          <w:numId w:val="3"/>
        </w:numPr>
        <w:spacing w:line="360" w:lineRule="auto"/>
        <w:ind w:right="-28"/>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b/>
          <w:sz w:val="22"/>
          <w:szCs w:val="22"/>
        </w:rPr>
        <w:t xml:space="preserve">Instituciones de Seguridad Pública: </w:t>
      </w:r>
      <w:r w:rsidRPr="00E13CD3">
        <w:rPr>
          <w:rFonts w:ascii="Palatino Linotype" w:eastAsia="Palatino Linotype" w:hAnsi="Palatino Linotype" w:cs="Palatino Linotype"/>
          <w:sz w:val="22"/>
          <w:szCs w:val="22"/>
        </w:rPr>
        <w:t xml:space="preserve">Instituciones Policiales, Procuración de Justicia, Sistema Penitenciario y </w:t>
      </w:r>
      <w:r w:rsidRPr="00E13CD3">
        <w:rPr>
          <w:rFonts w:ascii="Palatino Linotype" w:eastAsia="Palatino Linotype" w:hAnsi="Palatino Linotype" w:cs="Palatino Linotype"/>
          <w:b/>
          <w:sz w:val="22"/>
          <w:szCs w:val="22"/>
        </w:rPr>
        <w:t xml:space="preserve">dependencias encargadas de la seguridad pública a nivel </w:t>
      </w:r>
      <w:r w:rsidRPr="00E13CD3">
        <w:rPr>
          <w:rFonts w:ascii="Palatino Linotype" w:eastAsia="Palatino Linotype" w:hAnsi="Palatino Linotype" w:cs="Palatino Linotype"/>
          <w:sz w:val="22"/>
          <w:szCs w:val="22"/>
        </w:rPr>
        <w:t xml:space="preserve">estatal y </w:t>
      </w:r>
      <w:r w:rsidRPr="00E13CD3">
        <w:rPr>
          <w:rFonts w:ascii="Palatino Linotype" w:eastAsia="Palatino Linotype" w:hAnsi="Palatino Linotype" w:cs="Palatino Linotype"/>
          <w:b/>
          <w:sz w:val="22"/>
          <w:szCs w:val="22"/>
        </w:rPr>
        <w:t>municipal.</w:t>
      </w:r>
    </w:p>
    <w:p w14:paraId="5225DD41"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11A5E434"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Conforme a lo anterior, se puede deducir que la Dirección de Seguridad Pública Municipal, es una institución de seguridad pública, pues tiene como atribución principal, la prevención de delitos y proteger a las personas, sus propiedades, posesiones y derechos.</w:t>
      </w:r>
    </w:p>
    <w:p w14:paraId="24304D59"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6C141A7C"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Además, el Instructivo de llenado del Formato “Personal de Seguridad Pública”, del Secretariado Ejecutivo del Sistema Nacional de Seguridad Pública, establece que los elementos operativos de seguridad </w:t>
      </w:r>
      <w:proofErr w:type="gramStart"/>
      <w:r w:rsidRPr="00E13CD3">
        <w:rPr>
          <w:rFonts w:ascii="Palatino Linotype" w:eastAsia="Palatino Linotype" w:hAnsi="Palatino Linotype" w:cs="Palatino Linotype"/>
          <w:sz w:val="22"/>
          <w:szCs w:val="22"/>
        </w:rPr>
        <w:t>pública,</w:t>
      </w:r>
      <w:proofErr w:type="gramEnd"/>
      <w:r w:rsidRPr="00E13CD3">
        <w:rPr>
          <w:rFonts w:ascii="Palatino Linotype" w:eastAsia="Palatino Linotype" w:hAnsi="Palatino Linotype" w:cs="Palatino Linotype"/>
          <w:sz w:val="22"/>
          <w:szCs w:val="22"/>
        </w:rPr>
        <w:t xml:space="preserve"> son aquellos que desempeñan funciones de campo (policiacas, especializadas o equivalentes y que no </w:t>
      </w:r>
      <w:r w:rsidRPr="00E13CD3">
        <w:rPr>
          <w:rFonts w:ascii="Palatino Linotype" w:eastAsia="Palatino Linotype" w:hAnsi="Palatino Linotype" w:cs="Palatino Linotype"/>
          <w:b/>
          <w:sz w:val="22"/>
          <w:szCs w:val="22"/>
        </w:rPr>
        <w:t>desempeña funciones de mando</w:t>
      </w:r>
      <w:r w:rsidRPr="00E13CD3">
        <w:rPr>
          <w:rFonts w:ascii="Palatino Linotype" w:eastAsia="Palatino Linotype" w:hAnsi="Palatino Linotype" w:cs="Palatino Linotype"/>
          <w:sz w:val="22"/>
          <w:szCs w:val="22"/>
        </w:rPr>
        <w:t xml:space="preserve">), entre los cuales, se encuentra </w:t>
      </w:r>
      <w:r w:rsidRPr="00E13CD3">
        <w:rPr>
          <w:rFonts w:ascii="Palatino Linotype" w:eastAsia="Palatino Linotype" w:hAnsi="Palatino Linotype" w:cs="Palatino Linotype"/>
          <w:b/>
          <w:sz w:val="22"/>
          <w:szCs w:val="22"/>
        </w:rPr>
        <w:t>la Policía Municipal</w:t>
      </w:r>
      <w:r w:rsidRPr="00E13CD3">
        <w:rPr>
          <w:rFonts w:ascii="Palatino Linotype" w:eastAsia="Palatino Linotype" w:hAnsi="Palatino Linotype" w:cs="Palatino Linotype"/>
          <w:sz w:val="22"/>
          <w:szCs w:val="22"/>
        </w:rPr>
        <w:t>.</w:t>
      </w:r>
    </w:p>
    <w:p w14:paraId="5A48E80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9F94A00"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Asimismo, se advierte que las Instituciones Policiales, se conforman del personal </w:t>
      </w:r>
      <w:r w:rsidRPr="00E13CD3">
        <w:rPr>
          <w:rFonts w:ascii="Palatino Linotype" w:eastAsia="Palatino Linotype" w:hAnsi="Palatino Linotype" w:cs="Palatino Linotype"/>
          <w:b/>
          <w:sz w:val="22"/>
          <w:szCs w:val="22"/>
        </w:rPr>
        <w:t>administrativo,</w:t>
      </w:r>
      <w:r w:rsidRPr="00E13CD3">
        <w:rPr>
          <w:rFonts w:ascii="Palatino Linotype" w:eastAsia="Palatino Linotype" w:hAnsi="Palatino Linotype" w:cs="Palatino Linotype"/>
          <w:sz w:val="22"/>
          <w:szCs w:val="22"/>
        </w:rPr>
        <w:t xml:space="preserve"> que son los trabajadores de apoyo (chofer, personal de mantenimiento, servicios generales y área secretaria); </w:t>
      </w:r>
      <w:r w:rsidRPr="00E13CD3">
        <w:rPr>
          <w:rFonts w:ascii="Palatino Linotype" w:eastAsia="Palatino Linotype" w:hAnsi="Palatino Linotype" w:cs="Palatino Linotype"/>
          <w:b/>
          <w:sz w:val="22"/>
          <w:szCs w:val="22"/>
        </w:rPr>
        <w:t>así como, el personal de mando</w:t>
      </w:r>
      <w:r w:rsidRPr="00E13CD3">
        <w:rPr>
          <w:rFonts w:ascii="Palatino Linotype" w:eastAsia="Palatino Linotype" w:hAnsi="Palatino Linotype" w:cs="Palatino Linotype"/>
          <w:sz w:val="22"/>
          <w:szCs w:val="22"/>
        </w:rPr>
        <w:t xml:space="preserve"> (alto, medio y superior), que es aquel que realiza funciones de dirección, coordinación y supervisión, por lo cual, corresponde a aquel que tenga trabajadores a su cargo.</w:t>
      </w:r>
    </w:p>
    <w:p w14:paraId="2B98C176"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1E428F15"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A77C97B"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 xml:space="preserve"> </w:t>
      </w:r>
    </w:p>
    <w:p w14:paraId="60795E0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2B1842FA"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5CCE38E6"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6E69C5B7"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6AD2E87A"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382D78D9"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4381DF4B" w14:textId="77777777" w:rsidR="00106087" w:rsidRPr="00E13CD3" w:rsidRDefault="00CA6354">
      <w:pPr>
        <w:spacing w:line="360" w:lineRule="auto"/>
        <w:ind w:right="-28"/>
        <w:jc w:val="both"/>
        <w:rPr>
          <w:rFonts w:ascii="Palatino Linotype" w:eastAsia="Palatino Linotype" w:hAnsi="Palatino Linotype" w:cs="Palatino Linotype"/>
          <w:b/>
          <w:sz w:val="22"/>
          <w:szCs w:val="22"/>
        </w:rPr>
      </w:pPr>
      <w:r w:rsidRPr="00E13CD3">
        <w:rPr>
          <w:rFonts w:ascii="Palatino Linotype" w:eastAsia="Palatino Linotype" w:hAnsi="Palatino Linotype" w:cs="Palatino Linotype"/>
          <w:sz w:val="22"/>
          <w:szCs w:val="22"/>
        </w:rPr>
        <w:t xml:space="preserve">Por tales consideraciones, </w:t>
      </w:r>
      <w:r w:rsidRPr="00E13CD3">
        <w:rPr>
          <w:rFonts w:ascii="Palatino Linotype" w:eastAsia="Palatino Linotype" w:hAnsi="Palatino Linotype" w:cs="Palatino Linotype"/>
          <w:b/>
          <w:sz w:val="22"/>
          <w:szCs w:val="22"/>
        </w:rPr>
        <w:t>resulta procedente la reserva del nombre de los elementos operativos adscritos a la Dirección de Seguridad Pública Municipal, en términos del artículo 140, fracción IV, de la Ley de Transparencia y Acceso a la Información Pública del Estado de México y Municipios.</w:t>
      </w:r>
    </w:p>
    <w:p w14:paraId="68601E81"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4A7F2809"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0B2FADB3"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3F2769FE" w14:textId="77777777" w:rsidR="00106087" w:rsidRPr="00E13CD3" w:rsidRDefault="00CA6354">
      <w:pPr>
        <w:numPr>
          <w:ilvl w:val="0"/>
          <w:numId w:val="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La divulgación de la información representa un riesgo real, demostrable e identificable de perjuicio significativo al interés público o a la seguridad nacional.</w:t>
      </w:r>
    </w:p>
    <w:p w14:paraId="661A176D" w14:textId="77777777" w:rsidR="00106087" w:rsidRPr="00E13CD3" w:rsidRDefault="00106087">
      <w:pPr>
        <w:spacing w:line="360" w:lineRule="auto"/>
        <w:ind w:left="1080" w:right="-28"/>
        <w:jc w:val="both"/>
        <w:rPr>
          <w:rFonts w:ascii="Palatino Linotype" w:eastAsia="Palatino Linotype" w:hAnsi="Palatino Linotype" w:cs="Palatino Linotype"/>
          <w:sz w:val="22"/>
          <w:szCs w:val="22"/>
        </w:rPr>
      </w:pPr>
    </w:p>
    <w:p w14:paraId="1201AEDB" w14:textId="77777777" w:rsidR="00106087" w:rsidRPr="00E13CD3" w:rsidRDefault="00CA6354">
      <w:pPr>
        <w:numPr>
          <w:ilvl w:val="0"/>
          <w:numId w:val="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El riesgo de perjuicio supera el interés público general de que se difunda.</w:t>
      </w:r>
    </w:p>
    <w:p w14:paraId="659DBD81" w14:textId="77777777" w:rsidR="00106087" w:rsidRPr="00E13CD3" w:rsidRDefault="00106087">
      <w:pPr>
        <w:spacing w:line="360" w:lineRule="auto"/>
        <w:ind w:right="-28"/>
        <w:jc w:val="both"/>
        <w:rPr>
          <w:rFonts w:ascii="Palatino Linotype" w:eastAsia="Palatino Linotype" w:hAnsi="Palatino Linotype" w:cs="Palatino Linotype"/>
          <w:sz w:val="22"/>
          <w:szCs w:val="22"/>
        </w:rPr>
      </w:pPr>
    </w:p>
    <w:p w14:paraId="6F7BF5AC" w14:textId="77777777" w:rsidR="00106087" w:rsidRPr="00E13CD3" w:rsidRDefault="00CA6354">
      <w:pPr>
        <w:numPr>
          <w:ilvl w:val="0"/>
          <w:numId w:val="4"/>
        </w:num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Que la limitación se adecua al principio de proporcionalidad y representa el medio menos restrictivo disponible para evitar el perjuicio.</w:t>
      </w:r>
    </w:p>
    <w:p w14:paraId="018CB256"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0DA2419F"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de la Dirección de Seguridad Pública Municipal, de manera fundada y motivada, mediante la respectiva prueba de daño.</w:t>
      </w:r>
    </w:p>
    <w:p w14:paraId="24BC22F8"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t xml:space="preserve"> </w:t>
      </w:r>
    </w:p>
    <w:p w14:paraId="60963788" w14:textId="77777777" w:rsidR="00106087" w:rsidRPr="00E13CD3" w:rsidRDefault="00CA6354">
      <w:pPr>
        <w:spacing w:line="360" w:lineRule="auto"/>
        <w:ind w:right="-28"/>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sz w:val="22"/>
          <w:szCs w:val="22"/>
        </w:rPr>
        <w:lastRenderedPageBreak/>
        <w:t>Por lo que, para atender el requerimiento deberá proporcionar los documentos solicitados en versión pública; 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7DDD3DC6" w14:textId="77777777" w:rsidR="00106087" w:rsidRPr="00E13CD3" w:rsidRDefault="00106087">
      <w:pPr>
        <w:spacing w:line="360" w:lineRule="auto"/>
        <w:ind w:right="-93"/>
        <w:jc w:val="both"/>
        <w:rPr>
          <w:rFonts w:ascii="Palatino Linotype" w:eastAsia="Palatino Linotype" w:hAnsi="Palatino Linotype" w:cs="Palatino Linotype"/>
          <w:sz w:val="22"/>
          <w:szCs w:val="22"/>
        </w:rPr>
      </w:pPr>
    </w:p>
    <w:p w14:paraId="2B97C387" w14:textId="77777777" w:rsidR="00106087" w:rsidRPr="00E13CD3" w:rsidRDefault="00CA6354">
      <w:pPr>
        <w:spacing w:line="360" w:lineRule="auto"/>
        <w:ind w:right="-28"/>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b/>
          <w:color w:val="000000"/>
          <w:sz w:val="22"/>
          <w:szCs w:val="22"/>
        </w:rPr>
        <w:t>SEXTO. Decisión</w:t>
      </w:r>
    </w:p>
    <w:p w14:paraId="7834C969" w14:textId="77777777" w:rsidR="00106087" w:rsidRPr="00E13CD3" w:rsidRDefault="00106087">
      <w:pPr>
        <w:spacing w:line="360" w:lineRule="auto"/>
        <w:ind w:right="-28"/>
        <w:jc w:val="both"/>
        <w:rPr>
          <w:rFonts w:ascii="Palatino Linotype" w:eastAsia="Palatino Linotype" w:hAnsi="Palatino Linotype" w:cs="Palatino Linotype"/>
          <w:b/>
          <w:color w:val="000000"/>
          <w:sz w:val="22"/>
          <w:szCs w:val="22"/>
        </w:rPr>
      </w:pPr>
    </w:p>
    <w:p w14:paraId="1C1FCA44" w14:textId="77777777" w:rsidR="00106087" w:rsidRPr="00E13CD3" w:rsidRDefault="00CA6354">
      <w:pPr>
        <w:spacing w:line="360" w:lineRule="auto"/>
        <w:ind w:right="-93"/>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Con fundamento en el artículo 186, fracción III, de la Ley de Transparencia y Acceso a la Información Pública del Estado de México y Municipios, este Instituto considera procedente </w:t>
      </w:r>
      <w:r w:rsidRPr="00E13CD3">
        <w:rPr>
          <w:rFonts w:ascii="Palatino Linotype" w:eastAsia="Palatino Linotype" w:hAnsi="Palatino Linotype" w:cs="Palatino Linotype"/>
          <w:b/>
          <w:color w:val="000000"/>
          <w:sz w:val="22"/>
          <w:szCs w:val="22"/>
        </w:rPr>
        <w:t>REVOCAR</w:t>
      </w:r>
      <w:r w:rsidRPr="00E13CD3">
        <w:rPr>
          <w:rFonts w:ascii="Palatino Linotype" w:eastAsia="Palatino Linotype" w:hAnsi="Palatino Linotype" w:cs="Palatino Linotype"/>
          <w:color w:val="000000"/>
          <w:sz w:val="22"/>
          <w:szCs w:val="22"/>
        </w:rPr>
        <w:t xml:space="preserve"> la respuesta otorgada a la solicitud de información, toda vez que el Sujeto Obligado, no proporcionó la información requerida.</w:t>
      </w:r>
    </w:p>
    <w:p w14:paraId="0A9F55C4" w14:textId="77777777" w:rsidR="00106087" w:rsidRPr="00E13CD3" w:rsidRDefault="00106087">
      <w:pPr>
        <w:spacing w:line="360" w:lineRule="auto"/>
        <w:ind w:right="-93"/>
        <w:jc w:val="both"/>
        <w:rPr>
          <w:rFonts w:ascii="Palatino Linotype" w:eastAsia="Palatino Linotype" w:hAnsi="Palatino Linotype" w:cs="Palatino Linotype"/>
          <w:color w:val="000000"/>
          <w:sz w:val="22"/>
          <w:szCs w:val="22"/>
        </w:rPr>
      </w:pPr>
    </w:p>
    <w:p w14:paraId="1DAA097C" w14:textId="77777777" w:rsidR="00106087" w:rsidRPr="00E13CD3" w:rsidRDefault="00CA6354">
      <w:pPr>
        <w:spacing w:line="360" w:lineRule="auto"/>
        <w:jc w:val="both"/>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b/>
          <w:color w:val="000000"/>
          <w:sz w:val="22"/>
          <w:szCs w:val="22"/>
        </w:rPr>
        <w:t>Términos de la Resolución para el Recurrente</w:t>
      </w:r>
    </w:p>
    <w:p w14:paraId="1F3AA640" w14:textId="77777777" w:rsidR="00106087" w:rsidRPr="00E13CD3" w:rsidRDefault="00106087">
      <w:pPr>
        <w:spacing w:line="360" w:lineRule="auto"/>
        <w:jc w:val="both"/>
        <w:rPr>
          <w:rFonts w:ascii="Palatino Linotype" w:eastAsia="Palatino Linotype" w:hAnsi="Palatino Linotype" w:cs="Palatino Linotype"/>
          <w:b/>
          <w:color w:val="FF0000"/>
          <w:sz w:val="22"/>
          <w:szCs w:val="22"/>
        </w:rPr>
      </w:pPr>
    </w:p>
    <w:p w14:paraId="2808B4AD"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Se le hace del conocimiento al Particular, que, en el presente caso, se le concede la razón, pues el Ayuntamiento de Calimaya, no acreditó que la información solicitada actualizara alguna causal de clasificación, sumado a que los enlaces proporcionados  se encontraban en formato cerrado, además de que no contenían la información requerida por el Particular, por lo que, deberá proporcionarle las altas y bajas, además de los recibos de nómina peticionados; La labor del Instituto, es apoyar a la población para acceder a la información pública y garantizar la protección de los datos personales.</w:t>
      </w:r>
    </w:p>
    <w:p w14:paraId="71081900"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5EB41221" w14:textId="77777777" w:rsidR="00106087" w:rsidRPr="00E13CD3" w:rsidRDefault="00CA6354">
      <w:pPr>
        <w:spacing w:line="360" w:lineRule="auto"/>
        <w:ind w:right="-93"/>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Por lo expuesto y fundado, este Pleno:</w:t>
      </w:r>
    </w:p>
    <w:p w14:paraId="3D286304" w14:textId="77777777" w:rsidR="00106087" w:rsidRPr="00E13CD3" w:rsidRDefault="00106087">
      <w:pPr>
        <w:spacing w:line="360" w:lineRule="auto"/>
        <w:ind w:right="-93"/>
        <w:jc w:val="both"/>
        <w:rPr>
          <w:rFonts w:ascii="Palatino Linotype" w:eastAsia="Palatino Linotype" w:hAnsi="Palatino Linotype" w:cs="Palatino Linotype"/>
          <w:color w:val="000000"/>
          <w:sz w:val="22"/>
          <w:szCs w:val="22"/>
        </w:rPr>
      </w:pPr>
    </w:p>
    <w:p w14:paraId="516B60ED" w14:textId="77777777" w:rsidR="00106087" w:rsidRPr="00E13CD3" w:rsidRDefault="00CA6354">
      <w:pPr>
        <w:spacing w:line="360" w:lineRule="auto"/>
        <w:ind w:right="-91"/>
        <w:jc w:val="center"/>
        <w:rPr>
          <w:rFonts w:ascii="Palatino Linotype" w:eastAsia="Palatino Linotype" w:hAnsi="Palatino Linotype" w:cs="Palatino Linotype"/>
          <w:b/>
          <w:color w:val="000000"/>
          <w:sz w:val="22"/>
          <w:szCs w:val="22"/>
        </w:rPr>
      </w:pPr>
      <w:r w:rsidRPr="00E13CD3">
        <w:rPr>
          <w:rFonts w:ascii="Palatino Linotype" w:eastAsia="Palatino Linotype" w:hAnsi="Palatino Linotype" w:cs="Palatino Linotype"/>
          <w:b/>
          <w:color w:val="000000"/>
          <w:sz w:val="22"/>
          <w:szCs w:val="22"/>
        </w:rPr>
        <w:t>R E S U E L V E</w:t>
      </w:r>
    </w:p>
    <w:p w14:paraId="1F724116" w14:textId="77777777" w:rsidR="00106087" w:rsidRPr="00E13CD3" w:rsidRDefault="00106087">
      <w:pPr>
        <w:spacing w:line="360" w:lineRule="auto"/>
        <w:jc w:val="both"/>
        <w:rPr>
          <w:rFonts w:ascii="Palatino Linotype" w:eastAsia="Palatino Linotype" w:hAnsi="Palatino Linotype" w:cs="Palatino Linotype"/>
          <w:b/>
          <w:color w:val="FF0000"/>
          <w:sz w:val="22"/>
          <w:szCs w:val="22"/>
        </w:rPr>
      </w:pPr>
    </w:p>
    <w:p w14:paraId="7D37AC6D"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b/>
          <w:color w:val="000000"/>
          <w:sz w:val="22"/>
          <w:szCs w:val="22"/>
        </w:rPr>
        <w:t xml:space="preserve">PRIMERO. </w:t>
      </w:r>
      <w:r w:rsidRPr="00E13CD3">
        <w:rPr>
          <w:rFonts w:ascii="Palatino Linotype" w:eastAsia="Palatino Linotype" w:hAnsi="Palatino Linotype" w:cs="Palatino Linotype"/>
          <w:color w:val="000000"/>
          <w:sz w:val="22"/>
          <w:szCs w:val="22"/>
        </w:rPr>
        <w:t xml:space="preserve">Se </w:t>
      </w:r>
      <w:r w:rsidRPr="00E13CD3">
        <w:rPr>
          <w:rFonts w:ascii="Palatino Linotype" w:eastAsia="Palatino Linotype" w:hAnsi="Palatino Linotype" w:cs="Palatino Linotype"/>
          <w:b/>
          <w:color w:val="000000"/>
          <w:sz w:val="22"/>
          <w:szCs w:val="22"/>
        </w:rPr>
        <w:t xml:space="preserve">REVOCA </w:t>
      </w:r>
      <w:r w:rsidRPr="00E13CD3">
        <w:rPr>
          <w:rFonts w:ascii="Palatino Linotype" w:eastAsia="Palatino Linotype" w:hAnsi="Palatino Linotype" w:cs="Palatino Linotype"/>
          <w:color w:val="000000"/>
          <w:sz w:val="22"/>
          <w:szCs w:val="22"/>
        </w:rPr>
        <w:t xml:space="preserve">la respuesta otorgada por el Ayuntamiento de Calimaya a la solicitud de acceso a la información </w:t>
      </w:r>
      <w:r w:rsidRPr="00E13CD3">
        <w:rPr>
          <w:rFonts w:ascii="Palatino Linotype" w:eastAsia="Palatino Linotype" w:hAnsi="Palatino Linotype" w:cs="Palatino Linotype"/>
          <w:sz w:val="22"/>
          <w:szCs w:val="22"/>
        </w:rPr>
        <w:t>00051/CALIMAYA/IP/2025</w:t>
      </w:r>
      <w:r w:rsidRPr="00E13CD3">
        <w:rPr>
          <w:rFonts w:ascii="Palatino Linotype" w:eastAsia="Palatino Linotype" w:hAnsi="Palatino Linotype" w:cs="Palatino Linotype"/>
          <w:color w:val="000000"/>
          <w:sz w:val="22"/>
          <w:szCs w:val="22"/>
        </w:rPr>
        <w:t xml:space="preserve">, por resultar </w:t>
      </w:r>
      <w:r w:rsidRPr="00E13CD3">
        <w:rPr>
          <w:rFonts w:ascii="Palatino Linotype" w:eastAsia="Palatino Linotype" w:hAnsi="Palatino Linotype" w:cs="Palatino Linotype"/>
          <w:b/>
          <w:color w:val="000000"/>
          <w:sz w:val="22"/>
          <w:szCs w:val="22"/>
        </w:rPr>
        <w:t xml:space="preserve">FUNDADOS </w:t>
      </w:r>
      <w:r w:rsidRPr="00E13CD3">
        <w:rPr>
          <w:rFonts w:ascii="Palatino Linotype" w:eastAsia="Palatino Linotype" w:hAnsi="Palatino Linotype" w:cs="Palatino Linotype"/>
          <w:color w:val="000000"/>
          <w:sz w:val="22"/>
          <w:szCs w:val="22"/>
        </w:rPr>
        <w:t>los agravios</w:t>
      </w:r>
      <w:r w:rsidRPr="00E13CD3">
        <w:rPr>
          <w:rFonts w:ascii="Palatino Linotype" w:eastAsia="Palatino Linotype" w:hAnsi="Palatino Linotype" w:cs="Palatino Linotype"/>
          <w:b/>
          <w:color w:val="000000"/>
          <w:sz w:val="22"/>
          <w:szCs w:val="22"/>
        </w:rPr>
        <w:t xml:space="preserve"> </w:t>
      </w:r>
      <w:r w:rsidRPr="00E13CD3">
        <w:rPr>
          <w:rFonts w:ascii="Palatino Linotype" w:eastAsia="Palatino Linotype" w:hAnsi="Palatino Linotype" w:cs="Palatino Linotype"/>
          <w:color w:val="000000"/>
          <w:sz w:val="22"/>
          <w:szCs w:val="22"/>
        </w:rPr>
        <w:t>hechos valer por el Particular, en el Recurso de Revisión</w:t>
      </w:r>
      <w:r w:rsidRPr="00E13CD3">
        <w:rPr>
          <w:rFonts w:ascii="Palatino Linotype" w:eastAsia="Palatino Linotype" w:hAnsi="Palatino Linotype" w:cs="Palatino Linotype"/>
          <w:b/>
          <w:color w:val="000000"/>
          <w:sz w:val="22"/>
          <w:szCs w:val="22"/>
        </w:rPr>
        <w:t xml:space="preserve">, </w:t>
      </w:r>
      <w:r w:rsidRPr="00E13CD3">
        <w:rPr>
          <w:rFonts w:ascii="Palatino Linotype" w:eastAsia="Palatino Linotype" w:hAnsi="Palatino Linotype" w:cs="Palatino Linotype"/>
          <w:color w:val="000000"/>
          <w:sz w:val="22"/>
          <w:szCs w:val="22"/>
        </w:rPr>
        <w:t xml:space="preserve">en términos de los Considerandos QUINTO y SEXTO de la presente Resolución.  </w:t>
      </w:r>
    </w:p>
    <w:p w14:paraId="5BDEBDB8" w14:textId="77777777" w:rsidR="00106087" w:rsidRPr="00E13CD3" w:rsidRDefault="00106087">
      <w:pPr>
        <w:spacing w:line="360" w:lineRule="auto"/>
        <w:jc w:val="both"/>
        <w:rPr>
          <w:rFonts w:ascii="Palatino Linotype" w:eastAsia="Palatino Linotype" w:hAnsi="Palatino Linotype" w:cs="Palatino Linotype"/>
          <w:color w:val="FF0000"/>
          <w:sz w:val="22"/>
          <w:szCs w:val="22"/>
        </w:rPr>
      </w:pPr>
    </w:p>
    <w:p w14:paraId="0B2119E2" w14:textId="77777777" w:rsidR="00106087" w:rsidRPr="00E13CD3" w:rsidRDefault="00CA6354">
      <w:pPr>
        <w:spacing w:line="360" w:lineRule="auto"/>
        <w:jc w:val="both"/>
        <w:rPr>
          <w:rFonts w:ascii="Palatino Linotype" w:eastAsia="Palatino Linotype" w:hAnsi="Palatino Linotype" w:cs="Palatino Linotype"/>
          <w:sz w:val="22"/>
          <w:szCs w:val="22"/>
        </w:rPr>
      </w:pPr>
      <w:r w:rsidRPr="00E13CD3">
        <w:rPr>
          <w:rFonts w:ascii="Palatino Linotype" w:eastAsia="Palatino Linotype" w:hAnsi="Palatino Linotype" w:cs="Palatino Linotype"/>
          <w:b/>
          <w:color w:val="000000"/>
          <w:sz w:val="22"/>
          <w:szCs w:val="22"/>
        </w:rPr>
        <w:t>SEGUNDO.</w:t>
      </w:r>
      <w:r w:rsidRPr="00E13CD3">
        <w:rPr>
          <w:rFonts w:ascii="Palatino Linotype" w:eastAsia="Palatino Linotype" w:hAnsi="Palatino Linotype" w:cs="Palatino Linotype"/>
          <w:color w:val="000000"/>
          <w:sz w:val="22"/>
          <w:szCs w:val="22"/>
        </w:rPr>
        <w:t xml:space="preserve"> Se </w:t>
      </w:r>
      <w:r w:rsidRPr="00E13CD3">
        <w:rPr>
          <w:rFonts w:ascii="Palatino Linotype" w:eastAsia="Palatino Linotype" w:hAnsi="Palatino Linotype" w:cs="Palatino Linotype"/>
          <w:b/>
          <w:color w:val="000000"/>
          <w:sz w:val="22"/>
          <w:szCs w:val="22"/>
        </w:rPr>
        <w:t>ORDENA</w:t>
      </w:r>
      <w:r w:rsidRPr="00E13CD3">
        <w:rPr>
          <w:rFonts w:ascii="Palatino Linotype" w:eastAsia="Palatino Linotype" w:hAnsi="Palatino Linotype" w:cs="Palatino Linotype"/>
          <w:color w:val="000000"/>
          <w:sz w:val="22"/>
          <w:szCs w:val="22"/>
        </w:rPr>
        <w:t xml:space="preserve"> al Sujeto Obligado, a efecto de que, previa búsqueda exhaustiva y razonable en las áreas competentes, entregue a través del Sistema de Acceso a la Información Mexiquense (SAIMEX), en versión pública, </w:t>
      </w:r>
      <w:r w:rsidRPr="00E13CD3">
        <w:rPr>
          <w:rFonts w:ascii="Palatino Linotype" w:eastAsia="Palatino Linotype" w:hAnsi="Palatino Linotype" w:cs="Palatino Linotype"/>
          <w:sz w:val="22"/>
          <w:szCs w:val="22"/>
        </w:rPr>
        <w:t>lo siguiente.</w:t>
      </w:r>
    </w:p>
    <w:p w14:paraId="0FEAA502" w14:textId="77777777" w:rsidR="00106087" w:rsidRPr="00E13CD3" w:rsidRDefault="00106087">
      <w:pPr>
        <w:spacing w:line="360" w:lineRule="auto"/>
        <w:jc w:val="both"/>
        <w:rPr>
          <w:rFonts w:ascii="Palatino Linotype" w:eastAsia="Palatino Linotype" w:hAnsi="Palatino Linotype" w:cs="Palatino Linotype"/>
          <w:sz w:val="22"/>
          <w:szCs w:val="22"/>
        </w:rPr>
      </w:pPr>
    </w:p>
    <w:p w14:paraId="37C8F027" w14:textId="77777777" w:rsidR="00106087" w:rsidRPr="00E13CD3" w:rsidRDefault="00CA635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Los avisos de movimiento (alta o baja) emitidos del primero al diecisiete de enero de dos mil veinticinco;</w:t>
      </w:r>
    </w:p>
    <w:p w14:paraId="32B1EB60" w14:textId="77777777" w:rsidR="00106087" w:rsidRPr="00E13CD3" w:rsidRDefault="0010608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E9F883B" w14:textId="77777777" w:rsidR="00106087" w:rsidRPr="00E13CD3" w:rsidRDefault="00CA635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Recibos de Nómina de la primera quincena de enero de dos mil veinticinco, de todos los trabajadores adscritos al Ayuntamiento.</w:t>
      </w:r>
    </w:p>
    <w:p w14:paraId="793A2EC6" w14:textId="77777777" w:rsidR="00106087" w:rsidRPr="00E13CD3" w:rsidRDefault="00106087">
      <w:pPr>
        <w:pBdr>
          <w:top w:val="nil"/>
          <w:left w:val="nil"/>
          <w:bottom w:val="nil"/>
          <w:right w:val="nil"/>
          <w:between w:val="nil"/>
        </w:pBdr>
        <w:tabs>
          <w:tab w:val="center" w:pos="4522"/>
        </w:tabs>
        <w:spacing w:line="360" w:lineRule="auto"/>
        <w:ind w:left="720"/>
        <w:jc w:val="both"/>
        <w:rPr>
          <w:rFonts w:ascii="Palatino Linotype" w:eastAsia="Palatino Linotype" w:hAnsi="Palatino Linotype" w:cs="Palatino Linotype"/>
          <w:color w:val="000000"/>
          <w:sz w:val="22"/>
          <w:szCs w:val="22"/>
        </w:rPr>
      </w:pPr>
    </w:p>
    <w:p w14:paraId="48215F22"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Además, deberá proporcionar el Acuerdo de Clasificación donde el Comité de Transparencia, confirme la eliminación de los datos, en la versión pública, tomando en cuenta lo establecido en el Considerando QUINTO, de conformidad con los artículos 49, fracciones II y VIII, y 132, fracción II, de la Ley de Transparencia y Acceso a la Información Pública del Estado de México y Municipios.</w:t>
      </w:r>
    </w:p>
    <w:p w14:paraId="434B8946" w14:textId="77777777" w:rsidR="00106087" w:rsidRPr="00E13CD3" w:rsidRDefault="00106087">
      <w:pPr>
        <w:spacing w:line="360" w:lineRule="auto"/>
        <w:jc w:val="both"/>
        <w:rPr>
          <w:rFonts w:ascii="Palatino Linotype" w:eastAsia="Palatino Linotype" w:hAnsi="Palatino Linotype" w:cs="Palatino Linotype"/>
          <w:color w:val="FF0000"/>
          <w:sz w:val="22"/>
          <w:szCs w:val="22"/>
        </w:rPr>
      </w:pPr>
    </w:p>
    <w:p w14:paraId="43DE07D0"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b/>
          <w:color w:val="000000"/>
          <w:sz w:val="22"/>
          <w:szCs w:val="22"/>
        </w:rPr>
        <w:t>TERCERO. NOTIFÍQUESE POR SAIMEX</w:t>
      </w:r>
      <w:r w:rsidRPr="00E13CD3">
        <w:rPr>
          <w:rFonts w:ascii="Palatino Linotype" w:eastAsia="Palatino Linotype" w:hAnsi="Palatino Linotype" w:cs="Palatino Linotype"/>
          <w:color w:val="000000"/>
          <w:sz w:val="22"/>
          <w:szCs w:val="22"/>
        </w:rPr>
        <w:t xml:space="preserve"> la presente resolución al Titular de la Unidad de Transparencia del Sujeto Obligado, para que conforme al artículo 186, último párrafo, 189, </w:t>
      </w:r>
      <w:r w:rsidRPr="00E13CD3">
        <w:rPr>
          <w:rFonts w:ascii="Palatino Linotype" w:eastAsia="Palatino Linotype" w:hAnsi="Palatino Linotype" w:cs="Palatino Linotype"/>
          <w:color w:val="000000"/>
          <w:sz w:val="22"/>
          <w:szCs w:val="22"/>
        </w:rPr>
        <w:lastRenderedPageBreak/>
        <w:t xml:space="preserve">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37DE980C"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717BC3E5"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De conformidad con el artículo 198 de la Ley de la materia, de considerarlo procedente, el Sujeto Obligado de manera fundada y motivada, podrá solicitar una ampliación de plazo para el cumplimiento de la presente resolución.</w:t>
      </w:r>
    </w:p>
    <w:p w14:paraId="34172998"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77A37A5E" w14:textId="77777777" w:rsidR="00106087" w:rsidRPr="00E13CD3"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b/>
          <w:color w:val="000000"/>
          <w:sz w:val="22"/>
          <w:szCs w:val="22"/>
        </w:rPr>
        <w:t>CUARTO. NOTIFÍQUESE POR SAIMEX</w:t>
      </w:r>
      <w:r w:rsidRPr="00E13CD3">
        <w:rPr>
          <w:rFonts w:ascii="Palatino Linotype" w:eastAsia="Palatino Linotype" w:hAnsi="Palatino Linotype" w:cs="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59A534B" w14:textId="77777777" w:rsidR="00106087" w:rsidRPr="00E13CD3" w:rsidRDefault="00106087">
      <w:pPr>
        <w:spacing w:line="360" w:lineRule="auto"/>
        <w:jc w:val="both"/>
        <w:rPr>
          <w:rFonts w:ascii="Palatino Linotype" w:eastAsia="Palatino Linotype" w:hAnsi="Palatino Linotype" w:cs="Palatino Linotype"/>
          <w:color w:val="000000"/>
          <w:sz w:val="22"/>
          <w:szCs w:val="22"/>
        </w:rPr>
      </w:pPr>
    </w:p>
    <w:p w14:paraId="1C7A5ADC" w14:textId="30B0D535" w:rsidR="00106087" w:rsidRDefault="00CA6354">
      <w:pPr>
        <w:spacing w:line="360" w:lineRule="auto"/>
        <w:jc w:val="both"/>
        <w:rPr>
          <w:rFonts w:ascii="Palatino Linotype" w:eastAsia="Palatino Linotype" w:hAnsi="Palatino Linotype" w:cs="Palatino Linotype"/>
          <w:color w:val="000000"/>
          <w:sz w:val="22"/>
          <w:szCs w:val="22"/>
        </w:rPr>
      </w:pPr>
      <w:r w:rsidRPr="00E13CD3">
        <w:rPr>
          <w:rFonts w:ascii="Palatino Linotype" w:eastAsia="Palatino Linotype" w:hAnsi="Palatino Linotype" w:cs="Palatino Linotype"/>
          <w:color w:val="000000"/>
          <w:sz w:val="22"/>
          <w:szCs w:val="22"/>
        </w:rPr>
        <w:t xml:space="preserve">ASÍ LO RESUELVE, POR </w:t>
      </w:r>
      <w:r w:rsidRPr="00E13CD3">
        <w:rPr>
          <w:rFonts w:ascii="Palatino Linotype" w:eastAsia="Palatino Linotype" w:hAnsi="Palatino Linotype" w:cs="Palatino Linotype"/>
          <w:b/>
          <w:color w:val="000000"/>
          <w:sz w:val="22"/>
          <w:szCs w:val="22"/>
        </w:rPr>
        <w:t>UNANIMIDAD</w:t>
      </w:r>
      <w:r w:rsidRPr="00E13CD3">
        <w:rPr>
          <w:rFonts w:ascii="Palatino Linotype" w:eastAsia="Palatino Linotype" w:hAnsi="Palatino Linotype" w:cs="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EN LA NOVENA SESIÓN ORDINARIA, CELEBRADA EL DOCE DE MARZO DE DOS MIL VEINTICINCO, ANTE EL SECRETARIO TÉCNICO DEL PLENO, ALEXIS TAPIA RAMÍREZ.</w:t>
      </w:r>
    </w:p>
    <w:p w14:paraId="1CFC7201" w14:textId="77777777" w:rsidR="00106087" w:rsidRDefault="00106087">
      <w:pPr>
        <w:spacing w:line="360" w:lineRule="auto"/>
        <w:jc w:val="both"/>
        <w:rPr>
          <w:rFonts w:ascii="Palatino Linotype" w:eastAsia="Palatino Linotype" w:hAnsi="Palatino Linotype" w:cs="Palatino Linotype"/>
          <w:sz w:val="22"/>
          <w:szCs w:val="22"/>
        </w:rPr>
      </w:pPr>
    </w:p>
    <w:p w14:paraId="1BAE602A" w14:textId="77777777" w:rsidR="00106087" w:rsidRDefault="00106087">
      <w:pPr>
        <w:spacing w:line="360" w:lineRule="auto"/>
        <w:ind w:right="-28"/>
        <w:jc w:val="both"/>
        <w:rPr>
          <w:rFonts w:ascii="Palatino Linotype" w:eastAsia="Palatino Linotype" w:hAnsi="Palatino Linotype" w:cs="Palatino Linotype"/>
          <w:sz w:val="22"/>
          <w:szCs w:val="22"/>
        </w:rPr>
      </w:pPr>
    </w:p>
    <w:p w14:paraId="0BABEFE5" w14:textId="77777777" w:rsidR="00106087" w:rsidRDefault="00106087">
      <w:pPr>
        <w:spacing w:line="360" w:lineRule="auto"/>
        <w:rPr>
          <w:rFonts w:ascii="Palatino Linotype" w:eastAsia="Palatino Linotype" w:hAnsi="Palatino Linotype" w:cs="Palatino Linotype"/>
        </w:rPr>
      </w:pPr>
    </w:p>
    <w:p w14:paraId="5E1EE65A" w14:textId="77777777" w:rsidR="00106087" w:rsidRDefault="00106087">
      <w:pPr>
        <w:spacing w:line="360" w:lineRule="auto"/>
        <w:rPr>
          <w:rFonts w:ascii="Palatino Linotype" w:eastAsia="Palatino Linotype" w:hAnsi="Palatino Linotype" w:cs="Palatino Linotype"/>
        </w:rPr>
      </w:pPr>
    </w:p>
    <w:p w14:paraId="6277F371" w14:textId="77777777" w:rsidR="00106087" w:rsidRDefault="00106087">
      <w:pPr>
        <w:spacing w:line="360" w:lineRule="auto"/>
        <w:rPr>
          <w:rFonts w:ascii="Palatino Linotype" w:eastAsia="Palatino Linotype" w:hAnsi="Palatino Linotype" w:cs="Palatino Linotype"/>
        </w:rPr>
      </w:pPr>
    </w:p>
    <w:p w14:paraId="2EC333B5" w14:textId="77777777" w:rsidR="00106087" w:rsidRDefault="00106087">
      <w:pPr>
        <w:spacing w:line="360" w:lineRule="auto"/>
        <w:rPr>
          <w:rFonts w:ascii="Palatino Linotype" w:eastAsia="Palatino Linotype" w:hAnsi="Palatino Linotype" w:cs="Palatino Linotype"/>
        </w:rPr>
      </w:pPr>
    </w:p>
    <w:p w14:paraId="11A371AF" w14:textId="77777777" w:rsidR="00106087" w:rsidRDefault="00106087">
      <w:pPr>
        <w:spacing w:line="360" w:lineRule="auto"/>
        <w:rPr>
          <w:rFonts w:ascii="Palatino Linotype" w:eastAsia="Palatino Linotype" w:hAnsi="Palatino Linotype" w:cs="Palatino Linotype"/>
        </w:rPr>
      </w:pPr>
    </w:p>
    <w:p w14:paraId="464D12A0" w14:textId="77777777" w:rsidR="00106087" w:rsidRDefault="00106087">
      <w:pPr>
        <w:spacing w:line="360" w:lineRule="auto"/>
        <w:rPr>
          <w:rFonts w:ascii="Palatino Linotype" w:eastAsia="Palatino Linotype" w:hAnsi="Palatino Linotype" w:cs="Palatino Linotype"/>
        </w:rPr>
      </w:pPr>
    </w:p>
    <w:p w14:paraId="15D06BFA" w14:textId="77777777" w:rsidR="00106087" w:rsidRDefault="00106087">
      <w:pPr>
        <w:spacing w:line="360" w:lineRule="auto"/>
        <w:rPr>
          <w:rFonts w:ascii="Palatino Linotype" w:eastAsia="Palatino Linotype" w:hAnsi="Palatino Linotype" w:cs="Palatino Linotype"/>
        </w:rPr>
      </w:pPr>
    </w:p>
    <w:p w14:paraId="77CB2637" w14:textId="77777777" w:rsidR="00106087" w:rsidRDefault="00106087">
      <w:pPr>
        <w:spacing w:line="360" w:lineRule="auto"/>
        <w:rPr>
          <w:rFonts w:ascii="Palatino Linotype" w:eastAsia="Palatino Linotype" w:hAnsi="Palatino Linotype" w:cs="Palatino Linotype"/>
        </w:rPr>
      </w:pPr>
    </w:p>
    <w:p w14:paraId="4786085C" w14:textId="77777777" w:rsidR="00106087" w:rsidRDefault="00106087">
      <w:pPr>
        <w:spacing w:line="360" w:lineRule="auto"/>
        <w:rPr>
          <w:rFonts w:ascii="Palatino Linotype" w:eastAsia="Palatino Linotype" w:hAnsi="Palatino Linotype" w:cs="Palatino Linotype"/>
        </w:rPr>
      </w:pPr>
    </w:p>
    <w:p w14:paraId="7BFB9F57" w14:textId="77777777" w:rsidR="00106087" w:rsidRDefault="00106087">
      <w:pPr>
        <w:spacing w:line="360" w:lineRule="auto"/>
        <w:rPr>
          <w:rFonts w:ascii="Palatino Linotype" w:eastAsia="Palatino Linotype" w:hAnsi="Palatino Linotype" w:cs="Palatino Linotype"/>
        </w:rPr>
      </w:pPr>
    </w:p>
    <w:p w14:paraId="7F1CB859" w14:textId="77777777" w:rsidR="00106087" w:rsidRDefault="00106087">
      <w:pPr>
        <w:spacing w:line="360" w:lineRule="auto"/>
        <w:rPr>
          <w:rFonts w:ascii="Palatino Linotype" w:eastAsia="Palatino Linotype" w:hAnsi="Palatino Linotype" w:cs="Palatino Linotype"/>
        </w:rPr>
      </w:pPr>
    </w:p>
    <w:p w14:paraId="0BD93655" w14:textId="77777777" w:rsidR="00106087" w:rsidRDefault="00106087">
      <w:pPr>
        <w:spacing w:line="360" w:lineRule="auto"/>
        <w:rPr>
          <w:rFonts w:ascii="Palatino Linotype" w:eastAsia="Palatino Linotype" w:hAnsi="Palatino Linotype" w:cs="Palatino Linotype"/>
        </w:rPr>
      </w:pPr>
    </w:p>
    <w:p w14:paraId="27060211" w14:textId="77777777" w:rsidR="00106087" w:rsidRDefault="00106087">
      <w:pPr>
        <w:spacing w:line="360" w:lineRule="auto"/>
        <w:rPr>
          <w:rFonts w:ascii="Palatino Linotype" w:eastAsia="Palatino Linotype" w:hAnsi="Palatino Linotype" w:cs="Palatino Linotype"/>
        </w:rPr>
      </w:pPr>
    </w:p>
    <w:p w14:paraId="2C8A1FF1" w14:textId="77777777" w:rsidR="00106087" w:rsidRDefault="00106087">
      <w:pPr>
        <w:spacing w:line="360" w:lineRule="auto"/>
        <w:rPr>
          <w:rFonts w:ascii="Palatino Linotype" w:eastAsia="Palatino Linotype" w:hAnsi="Palatino Linotype" w:cs="Palatino Linotype"/>
        </w:rPr>
      </w:pPr>
    </w:p>
    <w:p w14:paraId="49F82B41" w14:textId="77777777" w:rsidR="00106087" w:rsidRDefault="00106087">
      <w:pPr>
        <w:spacing w:line="360" w:lineRule="auto"/>
        <w:rPr>
          <w:rFonts w:ascii="Palatino Linotype" w:eastAsia="Palatino Linotype" w:hAnsi="Palatino Linotype" w:cs="Palatino Linotype"/>
        </w:rPr>
      </w:pPr>
    </w:p>
    <w:p w14:paraId="50A03A20" w14:textId="77777777" w:rsidR="00106087" w:rsidRDefault="00106087">
      <w:pPr>
        <w:spacing w:line="360" w:lineRule="auto"/>
        <w:rPr>
          <w:rFonts w:ascii="Palatino Linotype" w:eastAsia="Palatino Linotype" w:hAnsi="Palatino Linotype" w:cs="Palatino Linotype"/>
        </w:rPr>
      </w:pPr>
    </w:p>
    <w:p w14:paraId="2DE2AB7A" w14:textId="77777777" w:rsidR="00106087" w:rsidRDefault="00106087">
      <w:pPr>
        <w:spacing w:line="360" w:lineRule="auto"/>
        <w:rPr>
          <w:rFonts w:ascii="Palatino Linotype" w:eastAsia="Palatino Linotype" w:hAnsi="Palatino Linotype" w:cs="Palatino Linotype"/>
        </w:rPr>
      </w:pPr>
    </w:p>
    <w:p w14:paraId="6BD93698" w14:textId="77777777" w:rsidR="00106087" w:rsidRDefault="00106087">
      <w:pPr>
        <w:spacing w:line="360" w:lineRule="auto"/>
        <w:rPr>
          <w:rFonts w:ascii="Palatino Linotype" w:eastAsia="Palatino Linotype" w:hAnsi="Palatino Linotype" w:cs="Palatino Linotype"/>
        </w:rPr>
      </w:pPr>
    </w:p>
    <w:p w14:paraId="071045CE" w14:textId="77777777" w:rsidR="00106087" w:rsidRDefault="00106087">
      <w:pPr>
        <w:spacing w:line="360" w:lineRule="auto"/>
        <w:rPr>
          <w:rFonts w:ascii="Palatino Linotype" w:eastAsia="Palatino Linotype" w:hAnsi="Palatino Linotype" w:cs="Palatino Linotype"/>
        </w:rPr>
      </w:pPr>
    </w:p>
    <w:p w14:paraId="1652A88F" w14:textId="77777777" w:rsidR="00106087" w:rsidRDefault="00106087">
      <w:pPr>
        <w:spacing w:line="360" w:lineRule="auto"/>
        <w:rPr>
          <w:rFonts w:ascii="Palatino Linotype" w:eastAsia="Palatino Linotype" w:hAnsi="Palatino Linotype" w:cs="Palatino Linotype"/>
        </w:rPr>
      </w:pPr>
    </w:p>
    <w:p w14:paraId="7C193CAE" w14:textId="77777777" w:rsidR="00106087" w:rsidRDefault="00106087">
      <w:pPr>
        <w:spacing w:line="360" w:lineRule="auto"/>
        <w:rPr>
          <w:rFonts w:ascii="Palatino Linotype" w:eastAsia="Palatino Linotype" w:hAnsi="Palatino Linotype" w:cs="Palatino Linotype"/>
        </w:rPr>
      </w:pPr>
    </w:p>
    <w:p w14:paraId="6F39CB08" w14:textId="77777777" w:rsidR="00106087" w:rsidRDefault="00106087">
      <w:pPr>
        <w:spacing w:line="360" w:lineRule="auto"/>
        <w:rPr>
          <w:rFonts w:ascii="Palatino Linotype" w:eastAsia="Palatino Linotype" w:hAnsi="Palatino Linotype" w:cs="Palatino Linotype"/>
        </w:rPr>
      </w:pPr>
    </w:p>
    <w:p w14:paraId="172EDA6F" w14:textId="77777777" w:rsidR="00106087" w:rsidRDefault="00106087">
      <w:pPr>
        <w:spacing w:line="360" w:lineRule="auto"/>
      </w:pPr>
    </w:p>
    <w:p w14:paraId="7B7E96C8" w14:textId="77777777" w:rsidR="00106087" w:rsidRDefault="00106087">
      <w:pPr>
        <w:spacing w:line="360" w:lineRule="auto"/>
      </w:pPr>
    </w:p>
    <w:sectPr w:rsidR="00106087">
      <w:headerReference w:type="even" r:id="rId20"/>
      <w:headerReference w:type="default" r:id="rId21"/>
      <w:footerReference w:type="default" r:id="rId22"/>
      <w:headerReference w:type="first" r:id="rId23"/>
      <w:footerReference w:type="first" r:id="rId24"/>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6C7B" w14:textId="77777777" w:rsidR="00707DF9" w:rsidRDefault="00707DF9">
      <w:r>
        <w:separator/>
      </w:r>
    </w:p>
  </w:endnote>
  <w:endnote w:type="continuationSeparator" w:id="0">
    <w:p w14:paraId="125121CD" w14:textId="77777777" w:rsidR="00707DF9" w:rsidRDefault="0070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EB9C" w14:textId="77777777" w:rsidR="00106087" w:rsidRDefault="00106087">
    <w:pPr>
      <w:pBdr>
        <w:top w:val="nil"/>
        <w:left w:val="nil"/>
        <w:bottom w:val="nil"/>
        <w:right w:val="nil"/>
        <w:between w:val="nil"/>
      </w:pBdr>
      <w:tabs>
        <w:tab w:val="center" w:pos="4419"/>
        <w:tab w:val="right" w:pos="8838"/>
      </w:tabs>
      <w:jc w:val="right"/>
      <w:rPr>
        <w:color w:val="000000"/>
        <w:sz w:val="26"/>
        <w:szCs w:val="26"/>
      </w:rPr>
    </w:pPr>
  </w:p>
  <w:p w14:paraId="53C2AC3E" w14:textId="77777777" w:rsidR="00106087" w:rsidRDefault="00CA635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3CD3">
      <w:rPr>
        <w:b/>
        <w:noProof/>
        <w:color w:val="000000"/>
        <w:sz w:val="24"/>
        <w:szCs w:val="24"/>
      </w:rPr>
      <w:t>56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3CD3">
      <w:rPr>
        <w:b/>
        <w:noProof/>
        <w:color w:val="000000"/>
        <w:sz w:val="24"/>
        <w:szCs w:val="24"/>
      </w:rPr>
      <w:t>57</w:t>
    </w:r>
    <w:r>
      <w:rPr>
        <w:b/>
        <w:color w:val="000000"/>
        <w:sz w:val="24"/>
        <w:szCs w:val="24"/>
      </w:rPr>
      <w:fldChar w:fldCharType="end"/>
    </w:r>
  </w:p>
  <w:p w14:paraId="6E56A7ED" w14:textId="77777777" w:rsidR="00106087" w:rsidRDefault="0010608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959B" w14:textId="77777777" w:rsidR="00106087" w:rsidRDefault="00106087">
    <w:pPr>
      <w:pBdr>
        <w:top w:val="nil"/>
        <w:left w:val="nil"/>
        <w:bottom w:val="nil"/>
        <w:right w:val="nil"/>
        <w:between w:val="nil"/>
      </w:pBdr>
      <w:tabs>
        <w:tab w:val="center" w:pos="4419"/>
        <w:tab w:val="right" w:pos="8838"/>
      </w:tabs>
      <w:jc w:val="right"/>
      <w:rPr>
        <w:color w:val="000000"/>
      </w:rPr>
    </w:pPr>
  </w:p>
  <w:p w14:paraId="6EFE2543" w14:textId="77777777" w:rsidR="00106087" w:rsidRDefault="00106087">
    <w:pPr>
      <w:pBdr>
        <w:top w:val="nil"/>
        <w:left w:val="nil"/>
        <w:bottom w:val="nil"/>
        <w:right w:val="nil"/>
        <w:between w:val="nil"/>
      </w:pBdr>
      <w:tabs>
        <w:tab w:val="center" w:pos="4419"/>
        <w:tab w:val="right" w:pos="8838"/>
      </w:tabs>
      <w:jc w:val="right"/>
      <w:rPr>
        <w:color w:val="000000"/>
      </w:rPr>
    </w:pPr>
  </w:p>
  <w:p w14:paraId="26E85FE5" w14:textId="77777777" w:rsidR="00106087" w:rsidRDefault="00106087">
    <w:pPr>
      <w:pBdr>
        <w:top w:val="nil"/>
        <w:left w:val="nil"/>
        <w:bottom w:val="nil"/>
        <w:right w:val="nil"/>
        <w:between w:val="nil"/>
      </w:pBdr>
      <w:tabs>
        <w:tab w:val="center" w:pos="4419"/>
        <w:tab w:val="right" w:pos="8838"/>
      </w:tabs>
      <w:jc w:val="right"/>
      <w:rPr>
        <w:color w:val="000000"/>
      </w:rPr>
    </w:pPr>
  </w:p>
  <w:p w14:paraId="3BB3A50A" w14:textId="77777777" w:rsidR="00106087" w:rsidRDefault="00CA635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3CD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3CD3">
      <w:rPr>
        <w:b/>
        <w:noProof/>
        <w:color w:val="000000"/>
        <w:sz w:val="24"/>
        <w:szCs w:val="24"/>
      </w:rPr>
      <w:t>57</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D8F77" w14:textId="77777777" w:rsidR="00707DF9" w:rsidRDefault="00707DF9">
      <w:r>
        <w:separator/>
      </w:r>
    </w:p>
  </w:footnote>
  <w:footnote w:type="continuationSeparator" w:id="0">
    <w:p w14:paraId="7797B0FB" w14:textId="77777777" w:rsidR="00707DF9" w:rsidRDefault="0070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AF40" w14:textId="77777777" w:rsidR="00106087" w:rsidRDefault="00000000">
    <w:pPr>
      <w:pBdr>
        <w:top w:val="nil"/>
        <w:left w:val="nil"/>
        <w:bottom w:val="nil"/>
        <w:right w:val="nil"/>
        <w:between w:val="nil"/>
      </w:pBdr>
      <w:tabs>
        <w:tab w:val="center" w:pos="4419"/>
        <w:tab w:val="right" w:pos="8838"/>
      </w:tabs>
      <w:rPr>
        <w:color w:val="000000"/>
      </w:rPr>
    </w:pPr>
    <w:r>
      <w:rPr>
        <w:color w:val="000000"/>
      </w:rPr>
      <w:pict w14:anchorId="2578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61ED" w14:textId="77777777" w:rsidR="00106087" w:rsidRDefault="00106087">
    <w:pPr>
      <w:widowControl w:val="0"/>
      <w:pBdr>
        <w:top w:val="nil"/>
        <w:left w:val="nil"/>
        <w:bottom w:val="nil"/>
        <w:right w:val="nil"/>
        <w:between w:val="nil"/>
      </w:pBdr>
      <w:spacing w:line="276" w:lineRule="auto"/>
      <w:rPr>
        <w:color w:val="000000"/>
      </w:rPr>
    </w:pPr>
  </w:p>
  <w:tbl>
    <w:tblPr>
      <w:tblStyle w:val="a"/>
      <w:tblW w:w="9781" w:type="dxa"/>
      <w:tblInd w:w="0" w:type="dxa"/>
      <w:tblLayout w:type="fixed"/>
      <w:tblLook w:val="0400" w:firstRow="0" w:lastRow="0" w:firstColumn="0" w:lastColumn="0" w:noHBand="0" w:noVBand="1"/>
    </w:tblPr>
    <w:tblGrid>
      <w:gridCol w:w="1134"/>
      <w:gridCol w:w="8647"/>
    </w:tblGrid>
    <w:tr w:rsidR="00106087" w14:paraId="30EA1314" w14:textId="77777777">
      <w:trPr>
        <w:trHeight w:val="70"/>
      </w:trPr>
      <w:tc>
        <w:tcPr>
          <w:tcW w:w="1134" w:type="dxa"/>
          <w:shd w:val="clear" w:color="auto" w:fill="auto"/>
        </w:tcPr>
        <w:p w14:paraId="152AB95C" w14:textId="77777777" w:rsidR="00106087" w:rsidRDefault="00106087">
          <w:pPr>
            <w:tabs>
              <w:tab w:val="right" w:pos="4273"/>
            </w:tabs>
            <w:rPr>
              <w:rFonts w:ascii="Garamond" w:eastAsia="Garamond" w:hAnsi="Garamond" w:cs="Garamond"/>
              <w:sz w:val="16"/>
              <w:szCs w:val="16"/>
            </w:rPr>
          </w:pPr>
        </w:p>
      </w:tc>
      <w:tc>
        <w:tcPr>
          <w:tcW w:w="8647" w:type="dxa"/>
          <w:shd w:val="clear" w:color="auto" w:fill="auto"/>
        </w:tcPr>
        <w:p w14:paraId="2315C65B" w14:textId="77777777" w:rsidR="00106087" w:rsidRDefault="00106087">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89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92"/>
            <w:gridCol w:w="3938"/>
          </w:tblGrid>
          <w:tr w:rsidR="00106087" w14:paraId="6588EC72" w14:textId="77777777">
            <w:trPr>
              <w:trHeight w:val="171"/>
            </w:trPr>
            <w:tc>
              <w:tcPr>
                <w:tcW w:w="4992" w:type="dxa"/>
                <w:vAlign w:val="bottom"/>
              </w:tcPr>
              <w:p w14:paraId="156752EC" w14:textId="77777777" w:rsidR="00106087" w:rsidRDefault="00CA635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938" w:type="dxa"/>
              </w:tcPr>
              <w:p w14:paraId="37E4F49D" w14:textId="77777777" w:rsidR="00106087" w:rsidRDefault="00CA6354">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00906/INFOEM/IP/RR/2025</w:t>
                </w:r>
              </w:p>
            </w:tc>
          </w:tr>
          <w:tr w:rsidR="00106087" w14:paraId="2F1B31E0" w14:textId="77777777">
            <w:trPr>
              <w:trHeight w:val="338"/>
            </w:trPr>
            <w:tc>
              <w:tcPr>
                <w:tcW w:w="4992" w:type="dxa"/>
              </w:tcPr>
              <w:p w14:paraId="50E3C135" w14:textId="77777777" w:rsidR="00106087" w:rsidRDefault="00CA635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938" w:type="dxa"/>
              </w:tcPr>
              <w:p w14:paraId="4C77E864" w14:textId="77777777" w:rsidR="00106087" w:rsidRDefault="00CA6354">
                <w:pPr>
                  <w:tabs>
                    <w:tab w:val="right" w:pos="8838"/>
                  </w:tabs>
                  <w:ind w:left="-28"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Calimaya</w:t>
                </w:r>
              </w:p>
            </w:tc>
          </w:tr>
          <w:tr w:rsidR="00106087" w14:paraId="361DCFC5" w14:textId="77777777">
            <w:trPr>
              <w:trHeight w:val="80"/>
            </w:trPr>
            <w:tc>
              <w:tcPr>
                <w:tcW w:w="4992" w:type="dxa"/>
              </w:tcPr>
              <w:p w14:paraId="41552748" w14:textId="77777777" w:rsidR="00106087" w:rsidRDefault="00CA635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938" w:type="dxa"/>
              </w:tcPr>
              <w:p w14:paraId="7AD0C4E0" w14:textId="77777777" w:rsidR="00106087" w:rsidRDefault="00CA6354">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30B87EED" w14:textId="77777777" w:rsidR="00106087" w:rsidRDefault="00106087">
          <w:pPr>
            <w:tabs>
              <w:tab w:val="right" w:pos="8838"/>
            </w:tabs>
            <w:ind w:left="-28"/>
            <w:rPr>
              <w:rFonts w:ascii="Arial" w:eastAsia="Arial" w:hAnsi="Arial" w:cs="Arial"/>
              <w:b/>
            </w:rPr>
          </w:pPr>
        </w:p>
      </w:tc>
    </w:tr>
  </w:tbl>
  <w:p w14:paraId="1EEABCF6" w14:textId="77777777" w:rsidR="00106087" w:rsidRDefault="0000000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2A88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marcaaguaINFOEM" style="position:absolute;margin-left:-78.8pt;margin-top:-123.05pt;width:663.5pt;height:12in;z-index:-251659776;mso-position-horizontal:absolute;mso-position-horizontal-relative:margin;mso-position-vertical:absolute;mso-position-vertical-relative:margin">
          <v:imagedata r:id="rId1" o:title="image1"/>
          <w10:wrap anchorx="margin" anchory="margin"/>
        </v:shape>
      </w:pict>
    </w:r>
  </w:p>
  <w:p w14:paraId="2E5FE2EA" w14:textId="77777777" w:rsidR="00106087" w:rsidRDefault="00106087">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5EC" w14:textId="77777777" w:rsidR="00106087" w:rsidRDefault="00106087">
    <w:pPr>
      <w:widowControl w:val="0"/>
      <w:pBdr>
        <w:top w:val="nil"/>
        <w:left w:val="nil"/>
        <w:bottom w:val="nil"/>
        <w:right w:val="nil"/>
        <w:between w:val="nil"/>
      </w:pBdr>
      <w:spacing w:line="276" w:lineRule="auto"/>
      <w:rPr>
        <w:color w:val="000000"/>
        <w:sz w:val="14"/>
        <w:szCs w:val="14"/>
      </w:rPr>
    </w:pPr>
  </w:p>
  <w:tbl>
    <w:tblPr>
      <w:tblStyle w:val="a1"/>
      <w:tblW w:w="7797" w:type="dxa"/>
      <w:tblInd w:w="1418" w:type="dxa"/>
      <w:tblBorders>
        <w:top w:val="nil"/>
        <w:left w:val="nil"/>
        <w:bottom w:val="nil"/>
        <w:right w:val="nil"/>
        <w:insideH w:val="nil"/>
        <w:insideV w:val="nil"/>
      </w:tblBorders>
      <w:tblLayout w:type="fixed"/>
      <w:tblLook w:val="0400" w:firstRow="0" w:lastRow="0" w:firstColumn="0" w:lastColumn="0" w:noHBand="0" w:noVBand="1"/>
    </w:tblPr>
    <w:tblGrid>
      <w:gridCol w:w="4819"/>
      <w:gridCol w:w="2978"/>
    </w:tblGrid>
    <w:tr w:rsidR="00106087" w14:paraId="512D6CDB" w14:textId="77777777">
      <w:trPr>
        <w:trHeight w:val="302"/>
      </w:trPr>
      <w:tc>
        <w:tcPr>
          <w:tcW w:w="4819" w:type="dxa"/>
        </w:tcPr>
        <w:p w14:paraId="00EC89C5" w14:textId="77777777" w:rsidR="00106087" w:rsidRDefault="00CA635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2978" w:type="dxa"/>
        </w:tcPr>
        <w:p w14:paraId="0D6E07C9" w14:textId="77777777" w:rsidR="00106087" w:rsidRDefault="00CA6354">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00906/INFOEM/IP/RR/2025</w:t>
          </w:r>
        </w:p>
      </w:tc>
    </w:tr>
    <w:tr w:rsidR="00106087" w14:paraId="241E6ECD" w14:textId="77777777">
      <w:trPr>
        <w:trHeight w:val="110"/>
      </w:trPr>
      <w:tc>
        <w:tcPr>
          <w:tcW w:w="4819" w:type="dxa"/>
        </w:tcPr>
        <w:p w14:paraId="56B5F3CC" w14:textId="77777777" w:rsidR="00106087" w:rsidRDefault="00CA635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2978" w:type="dxa"/>
        </w:tcPr>
        <w:p w14:paraId="1D56C05D" w14:textId="77777777" w:rsidR="00106087" w:rsidRDefault="00106087">
          <w:pPr>
            <w:jc w:val="both"/>
            <w:rPr>
              <w:rFonts w:ascii="Palatino Linotype" w:eastAsia="Palatino Linotype" w:hAnsi="Palatino Linotype" w:cs="Palatino Linotype"/>
              <w:sz w:val="22"/>
              <w:szCs w:val="22"/>
            </w:rPr>
          </w:pPr>
        </w:p>
      </w:tc>
    </w:tr>
    <w:tr w:rsidR="00106087" w14:paraId="3872C323" w14:textId="77777777">
      <w:trPr>
        <w:trHeight w:val="248"/>
      </w:trPr>
      <w:tc>
        <w:tcPr>
          <w:tcW w:w="4819" w:type="dxa"/>
        </w:tcPr>
        <w:p w14:paraId="3E8D7F19" w14:textId="77777777" w:rsidR="00106087" w:rsidRDefault="00CA635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2978" w:type="dxa"/>
        </w:tcPr>
        <w:p w14:paraId="5551A6A4" w14:textId="77777777" w:rsidR="00106087" w:rsidRDefault="00CA6354">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Calimaya</w:t>
          </w:r>
        </w:p>
      </w:tc>
    </w:tr>
    <w:tr w:rsidR="00106087" w14:paraId="63BBC193" w14:textId="77777777">
      <w:trPr>
        <w:trHeight w:val="248"/>
      </w:trPr>
      <w:tc>
        <w:tcPr>
          <w:tcW w:w="4819" w:type="dxa"/>
        </w:tcPr>
        <w:p w14:paraId="25B4DC39" w14:textId="77777777" w:rsidR="00106087" w:rsidRDefault="00CA635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2978" w:type="dxa"/>
        </w:tcPr>
        <w:p w14:paraId="26714DA0" w14:textId="77777777" w:rsidR="00106087" w:rsidRDefault="00CA6354">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34FE0510" w14:textId="77777777" w:rsidR="00106087" w:rsidRDefault="00000000">
    <w:pPr>
      <w:ind w:right="-312"/>
    </w:pPr>
    <w:r>
      <w:pict w14:anchorId="6648F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marcaaguaINFOEM" style="position:absolute;margin-left:-90.3pt;margin-top:-123.2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0D6"/>
    <w:multiLevelType w:val="multilevel"/>
    <w:tmpl w:val="415E3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C19A8"/>
    <w:multiLevelType w:val="multilevel"/>
    <w:tmpl w:val="D3EA7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D2606B"/>
    <w:multiLevelType w:val="multilevel"/>
    <w:tmpl w:val="5994D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FF140C"/>
    <w:multiLevelType w:val="multilevel"/>
    <w:tmpl w:val="93AA6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447CC1"/>
    <w:multiLevelType w:val="multilevel"/>
    <w:tmpl w:val="A8D8FF8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5" w15:restartNumberingAfterBreak="0">
    <w:nsid w:val="2EA23887"/>
    <w:multiLevelType w:val="multilevel"/>
    <w:tmpl w:val="B58C4F2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474B32"/>
    <w:multiLevelType w:val="multilevel"/>
    <w:tmpl w:val="09C41054"/>
    <w:lvl w:ilvl="0">
      <w:start w:val="1"/>
      <w:numFmt w:val="upperRoman"/>
      <w:lvlText w:val="%1."/>
      <w:lvlJc w:val="left"/>
      <w:pPr>
        <w:ind w:left="1080" w:hanging="720"/>
      </w:pPr>
      <w:rPr>
        <w:rFonts w:ascii="Times New Roman" w:eastAsia="Times New Roman" w:hAnsi="Times New Roman" w:cs="Times New Roman"/>
        <w:b/>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7" w15:restartNumberingAfterBreak="0">
    <w:nsid w:val="485D6441"/>
    <w:multiLevelType w:val="multilevel"/>
    <w:tmpl w:val="B35E8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2E6926"/>
    <w:multiLevelType w:val="multilevel"/>
    <w:tmpl w:val="27FC3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524DB9"/>
    <w:multiLevelType w:val="multilevel"/>
    <w:tmpl w:val="ECA62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B80456"/>
    <w:multiLevelType w:val="multilevel"/>
    <w:tmpl w:val="F5D48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5E7F1F"/>
    <w:multiLevelType w:val="multilevel"/>
    <w:tmpl w:val="548C15B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1A77DE"/>
    <w:multiLevelType w:val="multilevel"/>
    <w:tmpl w:val="BDBA2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AB4C70"/>
    <w:multiLevelType w:val="multilevel"/>
    <w:tmpl w:val="4E46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8480805">
    <w:abstractNumId w:val="4"/>
  </w:num>
  <w:num w:numId="2" w16cid:durableId="1401947036">
    <w:abstractNumId w:val="8"/>
  </w:num>
  <w:num w:numId="3" w16cid:durableId="1787653600">
    <w:abstractNumId w:val="9"/>
  </w:num>
  <w:num w:numId="4" w16cid:durableId="1011489260">
    <w:abstractNumId w:val="6"/>
  </w:num>
  <w:num w:numId="5" w16cid:durableId="569389612">
    <w:abstractNumId w:val="10"/>
  </w:num>
  <w:num w:numId="6" w16cid:durableId="851148679">
    <w:abstractNumId w:val="5"/>
  </w:num>
  <w:num w:numId="7" w16cid:durableId="1879931044">
    <w:abstractNumId w:val="11"/>
  </w:num>
  <w:num w:numId="8" w16cid:durableId="872310648">
    <w:abstractNumId w:val="7"/>
  </w:num>
  <w:num w:numId="9" w16cid:durableId="1117259180">
    <w:abstractNumId w:val="0"/>
  </w:num>
  <w:num w:numId="10" w16cid:durableId="1213542893">
    <w:abstractNumId w:val="2"/>
  </w:num>
  <w:num w:numId="11" w16cid:durableId="560410666">
    <w:abstractNumId w:val="3"/>
  </w:num>
  <w:num w:numId="12" w16cid:durableId="929048991">
    <w:abstractNumId w:val="12"/>
  </w:num>
  <w:num w:numId="13" w16cid:durableId="435639519">
    <w:abstractNumId w:val="1"/>
  </w:num>
  <w:num w:numId="14" w16cid:durableId="639654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87"/>
    <w:rsid w:val="00106087"/>
    <w:rsid w:val="00211F42"/>
    <w:rsid w:val="003D7C8B"/>
    <w:rsid w:val="00671CC7"/>
    <w:rsid w:val="00707DF9"/>
    <w:rsid w:val="00B553CB"/>
    <w:rsid w:val="00CA6354"/>
    <w:rsid w:val="00E13CD3"/>
    <w:rsid w:val="00E53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9B4A8"/>
  <w15:docId w15:val="{BC976603-E600-484A-9436-9D43D397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44"/>
    <w:rPr>
      <w:lang w:eastAsia="es-ES"/>
    </w:rPr>
  </w:style>
  <w:style w:type="paragraph" w:styleId="Ttulo1">
    <w:name w:val="heading 1"/>
    <w:basedOn w:val="Normal"/>
    <w:next w:val="Normal"/>
    <w:link w:val="Ttulo1Car"/>
    <w:uiPriority w:val="9"/>
    <w:qFormat/>
    <w:rsid w:val="00EB05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B05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B054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B054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B054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B054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054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054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054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B0544"/>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B054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B054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054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B054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B054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B05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05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05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0544"/>
    <w:rPr>
      <w:rFonts w:eastAsiaTheme="majorEastAsia" w:cstheme="majorBidi"/>
      <w:color w:val="272727" w:themeColor="text1" w:themeTint="D8"/>
    </w:rPr>
  </w:style>
  <w:style w:type="character" w:customStyle="1" w:styleId="TtuloCar">
    <w:name w:val="Título Car"/>
    <w:basedOn w:val="Fuentedeprrafopredeter"/>
    <w:link w:val="Ttulo"/>
    <w:uiPriority w:val="10"/>
    <w:rsid w:val="00EB05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EB05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0544"/>
    <w:pPr>
      <w:spacing w:before="160"/>
      <w:jc w:val="center"/>
    </w:pPr>
    <w:rPr>
      <w:i/>
      <w:iCs/>
      <w:color w:val="404040" w:themeColor="text1" w:themeTint="BF"/>
    </w:rPr>
  </w:style>
  <w:style w:type="character" w:customStyle="1" w:styleId="CitaCar">
    <w:name w:val="Cita Car"/>
    <w:basedOn w:val="Fuentedeprrafopredeter"/>
    <w:link w:val="Cita"/>
    <w:uiPriority w:val="29"/>
    <w:rsid w:val="00EB0544"/>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B0544"/>
    <w:pPr>
      <w:ind w:left="720"/>
      <w:contextualSpacing/>
    </w:pPr>
  </w:style>
  <w:style w:type="character" w:styleId="nfasisintenso">
    <w:name w:val="Intense Emphasis"/>
    <w:basedOn w:val="Fuentedeprrafopredeter"/>
    <w:uiPriority w:val="21"/>
    <w:qFormat/>
    <w:rsid w:val="00EB0544"/>
    <w:rPr>
      <w:i/>
      <w:iCs/>
      <w:color w:val="2F5496" w:themeColor="accent1" w:themeShade="BF"/>
    </w:rPr>
  </w:style>
  <w:style w:type="paragraph" w:styleId="Citadestacada">
    <w:name w:val="Intense Quote"/>
    <w:basedOn w:val="Normal"/>
    <w:next w:val="Normal"/>
    <w:link w:val="CitadestacadaCar"/>
    <w:uiPriority w:val="30"/>
    <w:qFormat/>
    <w:rsid w:val="00EB0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B0544"/>
    <w:rPr>
      <w:i/>
      <w:iCs/>
      <w:color w:val="2F5496" w:themeColor="accent1" w:themeShade="BF"/>
    </w:rPr>
  </w:style>
  <w:style w:type="character" w:styleId="Referenciaintensa">
    <w:name w:val="Intense Reference"/>
    <w:basedOn w:val="Fuentedeprrafopredeter"/>
    <w:uiPriority w:val="32"/>
    <w:qFormat/>
    <w:rsid w:val="00EB0544"/>
    <w:rPr>
      <w:b/>
      <w:bCs/>
      <w:smallCaps/>
      <w:color w:val="2F5496" w:themeColor="accent1" w:themeShade="BF"/>
      <w:spacing w:val="5"/>
    </w:rPr>
  </w:style>
  <w:style w:type="paragraph" w:styleId="Encabezado">
    <w:name w:val="header"/>
    <w:basedOn w:val="Normal"/>
    <w:link w:val="EncabezadoCar"/>
    <w:uiPriority w:val="99"/>
    <w:unhideWhenUsed/>
    <w:rsid w:val="00EB0544"/>
    <w:pPr>
      <w:tabs>
        <w:tab w:val="center" w:pos="4419"/>
        <w:tab w:val="right" w:pos="8838"/>
      </w:tabs>
    </w:pPr>
  </w:style>
  <w:style w:type="character" w:customStyle="1" w:styleId="EncabezadoCar">
    <w:name w:val="Encabezado Car"/>
    <w:basedOn w:val="Fuentedeprrafopredeter"/>
    <w:link w:val="Encabezado"/>
    <w:uiPriority w:val="99"/>
    <w:rsid w:val="00EB0544"/>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EB0544"/>
    <w:pPr>
      <w:tabs>
        <w:tab w:val="center" w:pos="4419"/>
        <w:tab w:val="right" w:pos="8838"/>
      </w:tabs>
    </w:pPr>
  </w:style>
  <w:style w:type="character" w:customStyle="1" w:styleId="PiedepginaCar">
    <w:name w:val="Pie de página Car"/>
    <w:basedOn w:val="Fuentedeprrafopredeter"/>
    <w:link w:val="Piedepgina"/>
    <w:uiPriority w:val="99"/>
    <w:rsid w:val="00EB0544"/>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B0544"/>
  </w:style>
  <w:style w:type="table" w:styleId="Tablaconcuadrcula">
    <w:name w:val="Table Grid"/>
    <w:basedOn w:val="Tablanormal"/>
    <w:uiPriority w:val="39"/>
    <w:rsid w:val="00EB054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B0544"/>
    <w:pPr>
      <w:spacing w:before="100" w:beforeAutospacing="1" w:after="100" w:afterAutospacing="1"/>
    </w:pPr>
    <w:rPr>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qFormat/>
    <w:rsid w:val="00E745B5"/>
    <w:rPr>
      <w:color w:val="0563C1" w:themeColor="hyperlink"/>
      <w:u w:val="single"/>
    </w:rPr>
  </w:style>
  <w:style w:type="character" w:customStyle="1" w:styleId="Mencinsinresolver1">
    <w:name w:val="Mención sin resolver1"/>
    <w:basedOn w:val="Fuentedeprrafopredeter"/>
    <w:uiPriority w:val="99"/>
    <w:semiHidden/>
    <w:unhideWhenUsed/>
    <w:rsid w:val="00E745B5"/>
    <w:rPr>
      <w:color w:val="605E5C"/>
      <w:shd w:val="clear" w:color="auto" w:fill="E1DFDD"/>
    </w:rPr>
  </w:style>
  <w:style w:type="character" w:styleId="Hipervnculovisitado">
    <w:name w:val="FollowedHyperlink"/>
    <w:basedOn w:val="Fuentedeprrafopredeter"/>
    <w:uiPriority w:val="99"/>
    <w:semiHidden/>
    <w:unhideWhenUsed/>
    <w:rsid w:val="00DE0642"/>
    <w:rPr>
      <w:color w:val="954F72"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671CC7"/>
    <w:pPr>
      <w:spacing w:before="240" w:after="0" w:line="259" w:lineRule="auto"/>
      <w:outlineLvl w:val="9"/>
    </w:pPr>
    <w:rPr>
      <w:sz w:val="32"/>
      <w:szCs w:val="32"/>
      <w:lang w:eastAsia="es-MX"/>
    </w:rPr>
  </w:style>
  <w:style w:type="paragraph" w:styleId="TDC1">
    <w:name w:val="toc 1"/>
    <w:basedOn w:val="Normal"/>
    <w:next w:val="Normal"/>
    <w:autoRedefine/>
    <w:uiPriority w:val="39"/>
    <w:unhideWhenUsed/>
    <w:rsid w:val="00671CC7"/>
    <w:pPr>
      <w:spacing w:after="100" w:line="259" w:lineRule="auto"/>
    </w:pPr>
    <w:rPr>
      <w:rFonts w:asciiTheme="minorHAnsi" w:eastAsiaTheme="minorHAnsi" w:hAnsiTheme="minorHAnsi" w:cstheme="minorBidi"/>
      <w:kern w:val="2"/>
      <w:sz w:val="22"/>
      <w:szCs w:val="22"/>
      <w:lang w:eastAsia="en-US"/>
      <w14:ligatures w14:val="standardContextual"/>
    </w:rPr>
  </w:style>
  <w:style w:type="paragraph" w:styleId="TDC2">
    <w:name w:val="toc 2"/>
    <w:basedOn w:val="Normal"/>
    <w:next w:val="Normal"/>
    <w:autoRedefine/>
    <w:uiPriority w:val="39"/>
    <w:unhideWhenUsed/>
    <w:rsid w:val="00671CC7"/>
    <w:pPr>
      <w:tabs>
        <w:tab w:val="right" w:leader="dot" w:pos="9062"/>
      </w:tabs>
      <w:spacing w:after="100" w:line="360" w:lineRule="auto"/>
      <w:ind w:left="220"/>
      <w:jc w:val="both"/>
    </w:pPr>
    <w:rPr>
      <w:rFonts w:asciiTheme="minorHAnsi" w:eastAsiaTheme="minorHAnsi" w:hAnsiTheme="minorHAnsi" w:cstheme="minorBidi"/>
      <w:kern w:val="2"/>
      <w:sz w:val="22"/>
      <w:szCs w:val="22"/>
      <w:lang w:eastAsia="en-US"/>
      <w14:ligatures w14:val="standardContextual"/>
    </w:rPr>
  </w:style>
  <w:style w:type="paragraph" w:styleId="TDC3">
    <w:name w:val="toc 3"/>
    <w:basedOn w:val="Normal"/>
    <w:next w:val="Normal"/>
    <w:autoRedefine/>
    <w:uiPriority w:val="39"/>
    <w:unhideWhenUsed/>
    <w:rsid w:val="00671CC7"/>
    <w:pPr>
      <w:spacing w:after="100" w:line="259" w:lineRule="auto"/>
      <w:ind w:left="440"/>
      <w:jc w:val="both"/>
    </w:pPr>
    <w:rPr>
      <w:rFonts w:ascii="Palatino Linotype" w:eastAsia="Palatino Linotype" w:hAnsi="Palatino Linotype" w:cs="Palatino Linotype"/>
      <w:color w:val="000000" w:themeColor="text1"/>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yperlink" Target="https://infoem2.ipomex.org.mx/ipomex/" TargetMode="External"/><Relationship Id="rId18" Type="http://schemas.openxmlformats.org/officeDocument/2006/relationships/hyperlink" Target="https://www.gob.mx/segob/renapo/acciones-y-programas/clave-unica-de-registro-depoblacion-curp-1422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onsultas.curp.gob.mx/CurpSP/html/informacionecurpP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em2.ipomex.org.mx/ipome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dof.gob.mx/nota_detalle.php?codigo=5492254&amp;fecha=28/07/2017" TargetMode="Externa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tvdbKLtDC+7Jy6J5vqSSl4p3Q==">CgMxLjAyCGguZ2pkZ3hzMgloLjMwajB6bGwyCWguMWZvYjl0ZTIJaC4zem55c2g3OAByITFabXd2NHhpaFBQcm1JNjdMRHNhV2NnTVhMcDF5RS05Rg==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14617</Words>
  <Characters>80394</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Office</cp:lastModifiedBy>
  <cp:revision>3</cp:revision>
  <cp:lastPrinted>2025-03-14T04:58:00Z</cp:lastPrinted>
  <dcterms:created xsi:type="dcterms:W3CDTF">2025-03-14T04:58:00Z</dcterms:created>
  <dcterms:modified xsi:type="dcterms:W3CDTF">2025-03-14T04:58:00Z</dcterms:modified>
</cp:coreProperties>
</file>