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4A271C" w14:textId="77777777" w:rsidR="00707C9E" w:rsidRDefault="00707C9E">
      <w:pPr>
        <w:widowControl w:val="0"/>
        <w:pBdr>
          <w:top w:val="nil"/>
          <w:left w:val="nil"/>
          <w:bottom w:val="nil"/>
          <w:right w:val="nil"/>
          <w:between w:val="nil"/>
        </w:pBdr>
        <w:spacing w:line="276" w:lineRule="auto"/>
      </w:pPr>
    </w:p>
    <w:p w14:paraId="15CB507D" w14:textId="77777777" w:rsidR="00707C9E" w:rsidRDefault="00707C9E">
      <w:pPr>
        <w:widowControl w:val="0"/>
        <w:pBdr>
          <w:top w:val="nil"/>
          <w:left w:val="nil"/>
          <w:bottom w:val="nil"/>
          <w:right w:val="nil"/>
          <w:between w:val="nil"/>
        </w:pBdr>
        <w:spacing w:line="276" w:lineRule="auto"/>
      </w:pPr>
    </w:p>
    <w:p w14:paraId="33DB93DE" w14:textId="77777777" w:rsidR="00707C9E" w:rsidRDefault="00707C9E">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9C477EE" w14:textId="77777777" w:rsidR="00707C9E" w:rsidRDefault="00F347F3">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08206/INFOEM/IP/RR/2025</w:t>
      </w:r>
    </w:p>
    <w:p w14:paraId="5139957D" w14:textId="77777777" w:rsidR="00707C9E" w:rsidRDefault="00707C9E"/>
    <w:p w14:paraId="2928C6CF" w14:textId="77777777" w:rsidR="005545E8" w:rsidRDefault="005545E8">
      <w:pPr>
        <w:spacing w:line="360" w:lineRule="auto"/>
        <w:jc w:val="both"/>
      </w:pPr>
    </w:p>
    <w:sdt>
      <w:sdtPr>
        <w:rPr>
          <w:lang w:val="es-ES"/>
        </w:rPr>
        <w:id w:val="504711589"/>
        <w:docPartObj>
          <w:docPartGallery w:val="Table of Contents"/>
          <w:docPartUnique/>
        </w:docPartObj>
      </w:sdtPr>
      <w:sdtEndPr>
        <w:rPr>
          <w:b/>
          <w:bCs/>
        </w:rPr>
      </w:sdtEndPr>
      <w:sdtContent>
        <w:p w14:paraId="1C5FCA58" w14:textId="77777777" w:rsidR="005545E8" w:rsidRDefault="005545E8">
          <w:pPr>
            <w:pStyle w:val="TtulodeTDC"/>
          </w:pPr>
        </w:p>
        <w:p w14:paraId="21E24EF6" w14:textId="77777777" w:rsidR="005545E8" w:rsidRPr="005545E8" w:rsidRDefault="005545E8">
          <w:pPr>
            <w:pStyle w:val="TDC1"/>
            <w:rPr>
              <w:rFonts w:asciiTheme="minorHAnsi" w:eastAsiaTheme="minorEastAsia" w:hAnsiTheme="minorHAnsi" w:cstheme="minorBidi"/>
              <w:noProof/>
              <w:sz w:val="28"/>
              <w:szCs w:val="22"/>
            </w:rPr>
          </w:pPr>
          <w:r w:rsidRPr="005545E8">
            <w:rPr>
              <w:b/>
              <w:bCs/>
              <w:sz w:val="24"/>
              <w:lang w:val="es-ES"/>
            </w:rPr>
            <w:fldChar w:fldCharType="begin"/>
          </w:r>
          <w:r w:rsidRPr="005545E8">
            <w:rPr>
              <w:b/>
              <w:bCs/>
              <w:sz w:val="24"/>
              <w:lang w:val="es-ES"/>
            </w:rPr>
            <w:instrText xml:space="preserve"> TOC \o "1-3" \h \z \u </w:instrText>
          </w:r>
          <w:r w:rsidRPr="005545E8">
            <w:rPr>
              <w:b/>
              <w:bCs/>
              <w:sz w:val="24"/>
              <w:lang w:val="es-ES"/>
            </w:rPr>
            <w:fldChar w:fldCharType="separate"/>
          </w:r>
          <w:hyperlink w:anchor="_Toc216361430" w:history="1">
            <w:r w:rsidRPr="005545E8">
              <w:rPr>
                <w:rStyle w:val="Hipervnculo"/>
                <w:noProof/>
                <w:sz w:val="24"/>
              </w:rPr>
              <w:t>A N T E C E D E N T E S</w:t>
            </w:r>
            <w:r w:rsidRPr="005545E8">
              <w:rPr>
                <w:noProof/>
                <w:webHidden/>
                <w:sz w:val="24"/>
              </w:rPr>
              <w:tab/>
            </w:r>
            <w:r w:rsidRPr="005545E8">
              <w:rPr>
                <w:noProof/>
                <w:webHidden/>
                <w:sz w:val="24"/>
              </w:rPr>
              <w:fldChar w:fldCharType="begin"/>
            </w:r>
            <w:r w:rsidRPr="005545E8">
              <w:rPr>
                <w:noProof/>
                <w:webHidden/>
                <w:sz w:val="24"/>
              </w:rPr>
              <w:instrText xml:space="preserve"> PAGEREF _Toc216361430 \h </w:instrText>
            </w:r>
            <w:r w:rsidRPr="005545E8">
              <w:rPr>
                <w:noProof/>
                <w:webHidden/>
                <w:sz w:val="24"/>
              </w:rPr>
            </w:r>
            <w:r w:rsidRPr="005545E8">
              <w:rPr>
                <w:noProof/>
                <w:webHidden/>
                <w:sz w:val="24"/>
              </w:rPr>
              <w:fldChar w:fldCharType="separate"/>
            </w:r>
            <w:r w:rsidR="00105AF0">
              <w:rPr>
                <w:noProof/>
                <w:webHidden/>
                <w:sz w:val="24"/>
              </w:rPr>
              <w:t>2</w:t>
            </w:r>
            <w:r w:rsidRPr="005545E8">
              <w:rPr>
                <w:noProof/>
                <w:webHidden/>
                <w:sz w:val="24"/>
              </w:rPr>
              <w:fldChar w:fldCharType="end"/>
            </w:r>
          </w:hyperlink>
        </w:p>
        <w:p w14:paraId="01FC07AA" w14:textId="77777777" w:rsidR="005545E8" w:rsidRPr="005545E8" w:rsidRDefault="007A029A">
          <w:pPr>
            <w:pStyle w:val="TDC2"/>
            <w:tabs>
              <w:tab w:val="right" w:leader="dot" w:pos="9034"/>
            </w:tabs>
            <w:rPr>
              <w:rFonts w:asciiTheme="minorHAnsi" w:eastAsiaTheme="minorEastAsia" w:hAnsiTheme="minorHAnsi" w:cstheme="minorBidi"/>
              <w:noProof/>
              <w:sz w:val="28"/>
              <w:szCs w:val="22"/>
            </w:rPr>
          </w:pPr>
          <w:hyperlink w:anchor="_Toc216361431" w:history="1">
            <w:r w:rsidR="005545E8" w:rsidRPr="005545E8">
              <w:rPr>
                <w:rStyle w:val="Hipervnculo"/>
                <w:noProof/>
                <w:sz w:val="24"/>
              </w:rPr>
              <w:t>I. Presentación de la solicitud de información</w:t>
            </w:r>
            <w:r w:rsidR="005545E8" w:rsidRPr="005545E8">
              <w:rPr>
                <w:noProof/>
                <w:webHidden/>
                <w:sz w:val="24"/>
              </w:rPr>
              <w:tab/>
            </w:r>
            <w:r w:rsidR="005545E8" w:rsidRPr="005545E8">
              <w:rPr>
                <w:noProof/>
                <w:webHidden/>
                <w:sz w:val="24"/>
              </w:rPr>
              <w:fldChar w:fldCharType="begin"/>
            </w:r>
            <w:r w:rsidR="005545E8" w:rsidRPr="005545E8">
              <w:rPr>
                <w:noProof/>
                <w:webHidden/>
                <w:sz w:val="24"/>
              </w:rPr>
              <w:instrText xml:space="preserve"> PAGEREF _Toc216361431 \h </w:instrText>
            </w:r>
            <w:r w:rsidR="005545E8" w:rsidRPr="005545E8">
              <w:rPr>
                <w:noProof/>
                <w:webHidden/>
                <w:sz w:val="24"/>
              </w:rPr>
            </w:r>
            <w:r w:rsidR="005545E8" w:rsidRPr="005545E8">
              <w:rPr>
                <w:noProof/>
                <w:webHidden/>
                <w:sz w:val="24"/>
              </w:rPr>
              <w:fldChar w:fldCharType="separate"/>
            </w:r>
            <w:r w:rsidR="00105AF0">
              <w:rPr>
                <w:noProof/>
                <w:webHidden/>
                <w:sz w:val="24"/>
              </w:rPr>
              <w:t>2</w:t>
            </w:r>
            <w:r w:rsidR="005545E8" w:rsidRPr="005545E8">
              <w:rPr>
                <w:noProof/>
                <w:webHidden/>
                <w:sz w:val="24"/>
              </w:rPr>
              <w:fldChar w:fldCharType="end"/>
            </w:r>
          </w:hyperlink>
        </w:p>
        <w:p w14:paraId="3CBEC57F" w14:textId="77777777" w:rsidR="005545E8" w:rsidRPr="005545E8" w:rsidRDefault="007A029A">
          <w:pPr>
            <w:pStyle w:val="TDC2"/>
            <w:tabs>
              <w:tab w:val="right" w:leader="dot" w:pos="9034"/>
            </w:tabs>
            <w:rPr>
              <w:rFonts w:asciiTheme="minorHAnsi" w:eastAsiaTheme="minorEastAsia" w:hAnsiTheme="minorHAnsi" w:cstheme="minorBidi"/>
              <w:noProof/>
              <w:sz w:val="28"/>
              <w:szCs w:val="22"/>
            </w:rPr>
          </w:pPr>
          <w:hyperlink w:anchor="_Toc216361432" w:history="1">
            <w:r w:rsidR="005545E8" w:rsidRPr="005545E8">
              <w:rPr>
                <w:rStyle w:val="Hipervnculo"/>
                <w:noProof/>
                <w:sz w:val="24"/>
              </w:rPr>
              <w:t>II. Respuestas del Sujeto Obligado</w:t>
            </w:r>
            <w:r w:rsidR="005545E8" w:rsidRPr="005545E8">
              <w:rPr>
                <w:noProof/>
                <w:webHidden/>
                <w:sz w:val="24"/>
              </w:rPr>
              <w:tab/>
            </w:r>
            <w:r w:rsidR="005545E8" w:rsidRPr="005545E8">
              <w:rPr>
                <w:noProof/>
                <w:webHidden/>
                <w:sz w:val="24"/>
              </w:rPr>
              <w:fldChar w:fldCharType="begin"/>
            </w:r>
            <w:r w:rsidR="005545E8" w:rsidRPr="005545E8">
              <w:rPr>
                <w:noProof/>
                <w:webHidden/>
                <w:sz w:val="24"/>
              </w:rPr>
              <w:instrText xml:space="preserve"> PAGEREF _Toc216361432 \h </w:instrText>
            </w:r>
            <w:r w:rsidR="005545E8" w:rsidRPr="005545E8">
              <w:rPr>
                <w:noProof/>
                <w:webHidden/>
                <w:sz w:val="24"/>
              </w:rPr>
            </w:r>
            <w:r w:rsidR="005545E8" w:rsidRPr="005545E8">
              <w:rPr>
                <w:noProof/>
                <w:webHidden/>
                <w:sz w:val="24"/>
              </w:rPr>
              <w:fldChar w:fldCharType="separate"/>
            </w:r>
            <w:r w:rsidR="00105AF0">
              <w:rPr>
                <w:noProof/>
                <w:webHidden/>
                <w:sz w:val="24"/>
              </w:rPr>
              <w:t>3</w:t>
            </w:r>
            <w:r w:rsidR="005545E8" w:rsidRPr="005545E8">
              <w:rPr>
                <w:noProof/>
                <w:webHidden/>
                <w:sz w:val="24"/>
              </w:rPr>
              <w:fldChar w:fldCharType="end"/>
            </w:r>
          </w:hyperlink>
        </w:p>
        <w:p w14:paraId="7DAB7094" w14:textId="77777777" w:rsidR="005545E8" w:rsidRPr="005545E8" w:rsidRDefault="007A029A">
          <w:pPr>
            <w:pStyle w:val="TDC2"/>
            <w:tabs>
              <w:tab w:val="right" w:leader="dot" w:pos="9034"/>
            </w:tabs>
            <w:rPr>
              <w:rFonts w:asciiTheme="minorHAnsi" w:eastAsiaTheme="minorEastAsia" w:hAnsiTheme="minorHAnsi" w:cstheme="minorBidi"/>
              <w:noProof/>
              <w:sz w:val="28"/>
              <w:szCs w:val="22"/>
            </w:rPr>
          </w:pPr>
          <w:hyperlink w:anchor="_Toc216361433" w:history="1">
            <w:r w:rsidR="005545E8" w:rsidRPr="005545E8">
              <w:rPr>
                <w:rStyle w:val="Hipervnculo"/>
                <w:noProof/>
                <w:sz w:val="24"/>
              </w:rPr>
              <w:t>III. Interposición del Recurso de Revisión</w:t>
            </w:r>
            <w:r w:rsidR="005545E8" w:rsidRPr="005545E8">
              <w:rPr>
                <w:noProof/>
                <w:webHidden/>
                <w:sz w:val="24"/>
              </w:rPr>
              <w:tab/>
            </w:r>
            <w:r w:rsidR="005545E8" w:rsidRPr="005545E8">
              <w:rPr>
                <w:noProof/>
                <w:webHidden/>
                <w:sz w:val="24"/>
              </w:rPr>
              <w:fldChar w:fldCharType="begin"/>
            </w:r>
            <w:r w:rsidR="005545E8" w:rsidRPr="005545E8">
              <w:rPr>
                <w:noProof/>
                <w:webHidden/>
                <w:sz w:val="24"/>
              </w:rPr>
              <w:instrText xml:space="preserve"> PAGEREF _Toc216361433 \h </w:instrText>
            </w:r>
            <w:r w:rsidR="005545E8" w:rsidRPr="005545E8">
              <w:rPr>
                <w:noProof/>
                <w:webHidden/>
                <w:sz w:val="24"/>
              </w:rPr>
            </w:r>
            <w:r w:rsidR="005545E8" w:rsidRPr="005545E8">
              <w:rPr>
                <w:noProof/>
                <w:webHidden/>
                <w:sz w:val="24"/>
              </w:rPr>
              <w:fldChar w:fldCharType="separate"/>
            </w:r>
            <w:r w:rsidR="00105AF0">
              <w:rPr>
                <w:noProof/>
                <w:webHidden/>
                <w:sz w:val="24"/>
              </w:rPr>
              <w:t>4</w:t>
            </w:r>
            <w:r w:rsidR="005545E8" w:rsidRPr="005545E8">
              <w:rPr>
                <w:noProof/>
                <w:webHidden/>
                <w:sz w:val="24"/>
              </w:rPr>
              <w:fldChar w:fldCharType="end"/>
            </w:r>
          </w:hyperlink>
        </w:p>
        <w:p w14:paraId="350ACDA2" w14:textId="77777777" w:rsidR="005545E8" w:rsidRPr="005545E8" w:rsidRDefault="007A029A">
          <w:pPr>
            <w:pStyle w:val="TDC2"/>
            <w:tabs>
              <w:tab w:val="right" w:leader="dot" w:pos="9034"/>
            </w:tabs>
            <w:rPr>
              <w:rFonts w:asciiTheme="minorHAnsi" w:eastAsiaTheme="minorEastAsia" w:hAnsiTheme="minorHAnsi" w:cstheme="minorBidi"/>
              <w:noProof/>
              <w:sz w:val="28"/>
              <w:szCs w:val="22"/>
            </w:rPr>
          </w:pPr>
          <w:hyperlink w:anchor="_Toc216361434" w:history="1">
            <w:r w:rsidR="005545E8" w:rsidRPr="005545E8">
              <w:rPr>
                <w:rStyle w:val="Hipervnculo"/>
                <w:noProof/>
                <w:sz w:val="24"/>
              </w:rPr>
              <w:t>IV. Trámite del Recurso de Revisión ante este Instituto</w:t>
            </w:r>
            <w:r w:rsidR="005545E8" w:rsidRPr="005545E8">
              <w:rPr>
                <w:noProof/>
                <w:webHidden/>
                <w:sz w:val="24"/>
              </w:rPr>
              <w:tab/>
            </w:r>
            <w:r w:rsidR="005545E8" w:rsidRPr="005545E8">
              <w:rPr>
                <w:noProof/>
                <w:webHidden/>
                <w:sz w:val="24"/>
              </w:rPr>
              <w:fldChar w:fldCharType="begin"/>
            </w:r>
            <w:r w:rsidR="005545E8" w:rsidRPr="005545E8">
              <w:rPr>
                <w:noProof/>
                <w:webHidden/>
                <w:sz w:val="24"/>
              </w:rPr>
              <w:instrText xml:space="preserve"> PAGEREF _Toc216361434 \h </w:instrText>
            </w:r>
            <w:r w:rsidR="005545E8" w:rsidRPr="005545E8">
              <w:rPr>
                <w:noProof/>
                <w:webHidden/>
                <w:sz w:val="24"/>
              </w:rPr>
            </w:r>
            <w:r w:rsidR="005545E8" w:rsidRPr="005545E8">
              <w:rPr>
                <w:noProof/>
                <w:webHidden/>
                <w:sz w:val="24"/>
              </w:rPr>
              <w:fldChar w:fldCharType="separate"/>
            </w:r>
            <w:r w:rsidR="00105AF0">
              <w:rPr>
                <w:noProof/>
                <w:webHidden/>
                <w:sz w:val="24"/>
              </w:rPr>
              <w:t>5</w:t>
            </w:r>
            <w:r w:rsidR="005545E8" w:rsidRPr="005545E8">
              <w:rPr>
                <w:noProof/>
                <w:webHidden/>
                <w:sz w:val="24"/>
              </w:rPr>
              <w:fldChar w:fldCharType="end"/>
            </w:r>
          </w:hyperlink>
        </w:p>
        <w:p w14:paraId="7A7FA108" w14:textId="77777777" w:rsidR="005545E8" w:rsidRPr="005545E8" w:rsidRDefault="007A029A">
          <w:pPr>
            <w:pStyle w:val="TDC1"/>
            <w:rPr>
              <w:rFonts w:asciiTheme="minorHAnsi" w:eastAsiaTheme="minorEastAsia" w:hAnsiTheme="minorHAnsi" w:cstheme="minorBidi"/>
              <w:noProof/>
              <w:sz w:val="28"/>
              <w:szCs w:val="22"/>
            </w:rPr>
          </w:pPr>
          <w:hyperlink w:anchor="_Toc216361435" w:history="1">
            <w:r w:rsidR="005545E8" w:rsidRPr="005545E8">
              <w:rPr>
                <w:rStyle w:val="Hipervnculo"/>
                <w:noProof/>
                <w:sz w:val="24"/>
              </w:rPr>
              <w:t>C O N S I D E R A N D O S</w:t>
            </w:r>
            <w:r w:rsidR="005545E8" w:rsidRPr="005545E8">
              <w:rPr>
                <w:noProof/>
                <w:webHidden/>
                <w:sz w:val="24"/>
              </w:rPr>
              <w:tab/>
            </w:r>
            <w:r w:rsidR="005545E8" w:rsidRPr="005545E8">
              <w:rPr>
                <w:noProof/>
                <w:webHidden/>
                <w:sz w:val="24"/>
              </w:rPr>
              <w:fldChar w:fldCharType="begin"/>
            </w:r>
            <w:r w:rsidR="005545E8" w:rsidRPr="005545E8">
              <w:rPr>
                <w:noProof/>
                <w:webHidden/>
                <w:sz w:val="24"/>
              </w:rPr>
              <w:instrText xml:space="preserve"> PAGEREF _Toc216361435 \h </w:instrText>
            </w:r>
            <w:r w:rsidR="005545E8" w:rsidRPr="005545E8">
              <w:rPr>
                <w:noProof/>
                <w:webHidden/>
                <w:sz w:val="24"/>
              </w:rPr>
            </w:r>
            <w:r w:rsidR="005545E8" w:rsidRPr="005545E8">
              <w:rPr>
                <w:noProof/>
                <w:webHidden/>
                <w:sz w:val="24"/>
              </w:rPr>
              <w:fldChar w:fldCharType="separate"/>
            </w:r>
            <w:r w:rsidR="00105AF0">
              <w:rPr>
                <w:noProof/>
                <w:webHidden/>
                <w:sz w:val="24"/>
              </w:rPr>
              <w:t>7</w:t>
            </w:r>
            <w:r w:rsidR="005545E8" w:rsidRPr="005545E8">
              <w:rPr>
                <w:noProof/>
                <w:webHidden/>
                <w:sz w:val="24"/>
              </w:rPr>
              <w:fldChar w:fldCharType="end"/>
            </w:r>
          </w:hyperlink>
        </w:p>
        <w:p w14:paraId="0D51A04D" w14:textId="77777777" w:rsidR="005545E8" w:rsidRPr="005545E8" w:rsidRDefault="007A029A">
          <w:pPr>
            <w:pStyle w:val="TDC2"/>
            <w:tabs>
              <w:tab w:val="right" w:leader="dot" w:pos="9034"/>
            </w:tabs>
            <w:rPr>
              <w:rFonts w:asciiTheme="minorHAnsi" w:eastAsiaTheme="minorEastAsia" w:hAnsiTheme="minorHAnsi" w:cstheme="minorBidi"/>
              <w:noProof/>
              <w:sz w:val="28"/>
              <w:szCs w:val="22"/>
            </w:rPr>
          </w:pPr>
          <w:hyperlink w:anchor="_Toc216361436" w:history="1">
            <w:r w:rsidR="005545E8" w:rsidRPr="005545E8">
              <w:rPr>
                <w:rStyle w:val="Hipervnculo"/>
                <w:noProof/>
                <w:sz w:val="24"/>
              </w:rPr>
              <w:t>PRIMERO. Competencia</w:t>
            </w:r>
            <w:r w:rsidR="005545E8" w:rsidRPr="005545E8">
              <w:rPr>
                <w:noProof/>
                <w:webHidden/>
                <w:sz w:val="24"/>
              </w:rPr>
              <w:tab/>
            </w:r>
            <w:r w:rsidR="005545E8" w:rsidRPr="005545E8">
              <w:rPr>
                <w:noProof/>
                <w:webHidden/>
                <w:sz w:val="24"/>
              </w:rPr>
              <w:fldChar w:fldCharType="begin"/>
            </w:r>
            <w:r w:rsidR="005545E8" w:rsidRPr="005545E8">
              <w:rPr>
                <w:noProof/>
                <w:webHidden/>
                <w:sz w:val="24"/>
              </w:rPr>
              <w:instrText xml:space="preserve"> PAGEREF _Toc216361436 \h </w:instrText>
            </w:r>
            <w:r w:rsidR="005545E8" w:rsidRPr="005545E8">
              <w:rPr>
                <w:noProof/>
                <w:webHidden/>
                <w:sz w:val="24"/>
              </w:rPr>
            </w:r>
            <w:r w:rsidR="005545E8" w:rsidRPr="005545E8">
              <w:rPr>
                <w:noProof/>
                <w:webHidden/>
                <w:sz w:val="24"/>
              </w:rPr>
              <w:fldChar w:fldCharType="separate"/>
            </w:r>
            <w:r w:rsidR="00105AF0">
              <w:rPr>
                <w:noProof/>
                <w:webHidden/>
                <w:sz w:val="24"/>
              </w:rPr>
              <w:t>7</w:t>
            </w:r>
            <w:r w:rsidR="005545E8" w:rsidRPr="005545E8">
              <w:rPr>
                <w:noProof/>
                <w:webHidden/>
                <w:sz w:val="24"/>
              </w:rPr>
              <w:fldChar w:fldCharType="end"/>
            </w:r>
          </w:hyperlink>
        </w:p>
        <w:p w14:paraId="0F7F6F22" w14:textId="77777777" w:rsidR="005545E8" w:rsidRPr="005545E8" w:rsidRDefault="007A029A">
          <w:pPr>
            <w:pStyle w:val="TDC2"/>
            <w:tabs>
              <w:tab w:val="right" w:leader="dot" w:pos="9034"/>
            </w:tabs>
            <w:rPr>
              <w:rFonts w:asciiTheme="minorHAnsi" w:eastAsiaTheme="minorEastAsia" w:hAnsiTheme="minorHAnsi" w:cstheme="minorBidi"/>
              <w:noProof/>
              <w:sz w:val="28"/>
              <w:szCs w:val="22"/>
            </w:rPr>
          </w:pPr>
          <w:hyperlink w:anchor="_Toc216361437" w:history="1">
            <w:r w:rsidR="005545E8" w:rsidRPr="005545E8">
              <w:rPr>
                <w:rStyle w:val="Hipervnculo"/>
                <w:noProof/>
                <w:sz w:val="24"/>
              </w:rPr>
              <w:t>SEGUNDO. Causales de improcedencia</w:t>
            </w:r>
            <w:r w:rsidR="005545E8" w:rsidRPr="005545E8">
              <w:rPr>
                <w:noProof/>
                <w:webHidden/>
                <w:sz w:val="24"/>
              </w:rPr>
              <w:tab/>
            </w:r>
            <w:r w:rsidR="005545E8" w:rsidRPr="005545E8">
              <w:rPr>
                <w:noProof/>
                <w:webHidden/>
                <w:sz w:val="24"/>
              </w:rPr>
              <w:fldChar w:fldCharType="begin"/>
            </w:r>
            <w:r w:rsidR="005545E8" w:rsidRPr="005545E8">
              <w:rPr>
                <w:noProof/>
                <w:webHidden/>
                <w:sz w:val="24"/>
              </w:rPr>
              <w:instrText xml:space="preserve"> PAGEREF _Toc216361437 \h </w:instrText>
            </w:r>
            <w:r w:rsidR="005545E8" w:rsidRPr="005545E8">
              <w:rPr>
                <w:noProof/>
                <w:webHidden/>
                <w:sz w:val="24"/>
              </w:rPr>
            </w:r>
            <w:r w:rsidR="005545E8" w:rsidRPr="005545E8">
              <w:rPr>
                <w:noProof/>
                <w:webHidden/>
                <w:sz w:val="24"/>
              </w:rPr>
              <w:fldChar w:fldCharType="separate"/>
            </w:r>
            <w:r w:rsidR="00105AF0">
              <w:rPr>
                <w:noProof/>
                <w:webHidden/>
                <w:sz w:val="24"/>
              </w:rPr>
              <w:t>8</w:t>
            </w:r>
            <w:r w:rsidR="005545E8" w:rsidRPr="005545E8">
              <w:rPr>
                <w:noProof/>
                <w:webHidden/>
                <w:sz w:val="24"/>
              </w:rPr>
              <w:fldChar w:fldCharType="end"/>
            </w:r>
          </w:hyperlink>
        </w:p>
        <w:p w14:paraId="26D737EE" w14:textId="77777777" w:rsidR="005545E8" w:rsidRPr="005545E8" w:rsidRDefault="007A029A">
          <w:pPr>
            <w:pStyle w:val="TDC2"/>
            <w:tabs>
              <w:tab w:val="right" w:leader="dot" w:pos="9034"/>
            </w:tabs>
            <w:rPr>
              <w:rFonts w:asciiTheme="minorHAnsi" w:eastAsiaTheme="minorEastAsia" w:hAnsiTheme="minorHAnsi" w:cstheme="minorBidi"/>
              <w:noProof/>
              <w:sz w:val="28"/>
              <w:szCs w:val="22"/>
            </w:rPr>
          </w:pPr>
          <w:hyperlink w:anchor="_Toc216361438" w:history="1">
            <w:r w:rsidR="005545E8" w:rsidRPr="005545E8">
              <w:rPr>
                <w:rStyle w:val="Hipervnculo"/>
                <w:noProof/>
                <w:sz w:val="24"/>
              </w:rPr>
              <w:t>TERCERO. Causales de sobreseimiento</w:t>
            </w:r>
            <w:r w:rsidR="005545E8" w:rsidRPr="005545E8">
              <w:rPr>
                <w:noProof/>
                <w:webHidden/>
                <w:sz w:val="24"/>
              </w:rPr>
              <w:tab/>
            </w:r>
            <w:r w:rsidR="005545E8" w:rsidRPr="005545E8">
              <w:rPr>
                <w:noProof/>
                <w:webHidden/>
                <w:sz w:val="24"/>
              </w:rPr>
              <w:fldChar w:fldCharType="begin"/>
            </w:r>
            <w:r w:rsidR="005545E8" w:rsidRPr="005545E8">
              <w:rPr>
                <w:noProof/>
                <w:webHidden/>
                <w:sz w:val="24"/>
              </w:rPr>
              <w:instrText xml:space="preserve"> PAGEREF _Toc216361438 \h </w:instrText>
            </w:r>
            <w:r w:rsidR="005545E8" w:rsidRPr="005545E8">
              <w:rPr>
                <w:noProof/>
                <w:webHidden/>
                <w:sz w:val="24"/>
              </w:rPr>
            </w:r>
            <w:r w:rsidR="005545E8" w:rsidRPr="005545E8">
              <w:rPr>
                <w:noProof/>
                <w:webHidden/>
                <w:sz w:val="24"/>
              </w:rPr>
              <w:fldChar w:fldCharType="separate"/>
            </w:r>
            <w:r w:rsidR="00105AF0">
              <w:rPr>
                <w:noProof/>
                <w:webHidden/>
                <w:sz w:val="24"/>
              </w:rPr>
              <w:t>9</w:t>
            </w:r>
            <w:r w:rsidR="005545E8" w:rsidRPr="005545E8">
              <w:rPr>
                <w:noProof/>
                <w:webHidden/>
                <w:sz w:val="24"/>
              </w:rPr>
              <w:fldChar w:fldCharType="end"/>
            </w:r>
          </w:hyperlink>
        </w:p>
        <w:p w14:paraId="2989715D" w14:textId="77777777" w:rsidR="005545E8" w:rsidRPr="005545E8" w:rsidRDefault="007A029A">
          <w:pPr>
            <w:pStyle w:val="TDC2"/>
            <w:tabs>
              <w:tab w:val="right" w:leader="dot" w:pos="9034"/>
            </w:tabs>
            <w:rPr>
              <w:rFonts w:asciiTheme="minorHAnsi" w:eastAsiaTheme="minorEastAsia" w:hAnsiTheme="minorHAnsi" w:cstheme="minorBidi"/>
              <w:noProof/>
              <w:sz w:val="28"/>
              <w:szCs w:val="22"/>
            </w:rPr>
          </w:pPr>
          <w:hyperlink w:anchor="_Toc216361439" w:history="1">
            <w:r w:rsidR="005545E8" w:rsidRPr="005545E8">
              <w:rPr>
                <w:rStyle w:val="Hipervnculo"/>
                <w:noProof/>
                <w:sz w:val="24"/>
              </w:rPr>
              <w:t>CUARTO. Decisión</w:t>
            </w:r>
            <w:r w:rsidR="005545E8" w:rsidRPr="005545E8">
              <w:rPr>
                <w:noProof/>
                <w:webHidden/>
                <w:sz w:val="24"/>
              </w:rPr>
              <w:tab/>
            </w:r>
            <w:r w:rsidR="005545E8" w:rsidRPr="005545E8">
              <w:rPr>
                <w:noProof/>
                <w:webHidden/>
                <w:sz w:val="24"/>
              </w:rPr>
              <w:fldChar w:fldCharType="begin"/>
            </w:r>
            <w:r w:rsidR="005545E8" w:rsidRPr="005545E8">
              <w:rPr>
                <w:noProof/>
                <w:webHidden/>
                <w:sz w:val="24"/>
              </w:rPr>
              <w:instrText xml:space="preserve"> PAGEREF _Toc216361439 \h </w:instrText>
            </w:r>
            <w:r w:rsidR="005545E8" w:rsidRPr="005545E8">
              <w:rPr>
                <w:noProof/>
                <w:webHidden/>
                <w:sz w:val="24"/>
              </w:rPr>
            </w:r>
            <w:r w:rsidR="005545E8" w:rsidRPr="005545E8">
              <w:rPr>
                <w:noProof/>
                <w:webHidden/>
                <w:sz w:val="24"/>
              </w:rPr>
              <w:fldChar w:fldCharType="separate"/>
            </w:r>
            <w:r w:rsidR="00105AF0">
              <w:rPr>
                <w:noProof/>
                <w:webHidden/>
                <w:sz w:val="24"/>
              </w:rPr>
              <w:t>13</w:t>
            </w:r>
            <w:r w:rsidR="005545E8" w:rsidRPr="005545E8">
              <w:rPr>
                <w:noProof/>
                <w:webHidden/>
                <w:sz w:val="24"/>
              </w:rPr>
              <w:fldChar w:fldCharType="end"/>
            </w:r>
          </w:hyperlink>
        </w:p>
        <w:p w14:paraId="18CED6B4" w14:textId="77777777" w:rsidR="005545E8" w:rsidRPr="005545E8" w:rsidRDefault="007A029A">
          <w:pPr>
            <w:pStyle w:val="TDC1"/>
            <w:rPr>
              <w:rFonts w:asciiTheme="minorHAnsi" w:eastAsiaTheme="minorEastAsia" w:hAnsiTheme="minorHAnsi" w:cstheme="minorBidi"/>
              <w:noProof/>
              <w:sz w:val="28"/>
              <w:szCs w:val="22"/>
            </w:rPr>
          </w:pPr>
          <w:hyperlink w:anchor="_Toc216361440" w:history="1">
            <w:r w:rsidR="005545E8" w:rsidRPr="005545E8">
              <w:rPr>
                <w:rStyle w:val="Hipervnculo"/>
                <w:noProof/>
                <w:sz w:val="24"/>
              </w:rPr>
              <w:t>R E S U E L V E</w:t>
            </w:r>
            <w:r w:rsidR="005545E8" w:rsidRPr="005545E8">
              <w:rPr>
                <w:noProof/>
                <w:webHidden/>
                <w:sz w:val="24"/>
              </w:rPr>
              <w:tab/>
            </w:r>
            <w:r w:rsidR="005545E8" w:rsidRPr="005545E8">
              <w:rPr>
                <w:noProof/>
                <w:webHidden/>
                <w:sz w:val="24"/>
              </w:rPr>
              <w:fldChar w:fldCharType="begin"/>
            </w:r>
            <w:r w:rsidR="005545E8" w:rsidRPr="005545E8">
              <w:rPr>
                <w:noProof/>
                <w:webHidden/>
                <w:sz w:val="24"/>
              </w:rPr>
              <w:instrText xml:space="preserve"> PAGEREF _Toc216361440 \h </w:instrText>
            </w:r>
            <w:r w:rsidR="005545E8" w:rsidRPr="005545E8">
              <w:rPr>
                <w:noProof/>
                <w:webHidden/>
                <w:sz w:val="24"/>
              </w:rPr>
            </w:r>
            <w:r w:rsidR="005545E8" w:rsidRPr="005545E8">
              <w:rPr>
                <w:noProof/>
                <w:webHidden/>
                <w:sz w:val="24"/>
              </w:rPr>
              <w:fldChar w:fldCharType="separate"/>
            </w:r>
            <w:r w:rsidR="00105AF0">
              <w:rPr>
                <w:noProof/>
                <w:webHidden/>
                <w:sz w:val="24"/>
              </w:rPr>
              <w:t>14</w:t>
            </w:r>
            <w:r w:rsidR="005545E8" w:rsidRPr="005545E8">
              <w:rPr>
                <w:noProof/>
                <w:webHidden/>
                <w:sz w:val="24"/>
              </w:rPr>
              <w:fldChar w:fldCharType="end"/>
            </w:r>
          </w:hyperlink>
        </w:p>
        <w:p w14:paraId="520F69AB" w14:textId="77777777" w:rsidR="005545E8" w:rsidRDefault="005545E8">
          <w:r w:rsidRPr="005545E8">
            <w:rPr>
              <w:b/>
              <w:bCs/>
              <w:sz w:val="24"/>
              <w:lang w:val="es-ES"/>
            </w:rPr>
            <w:fldChar w:fldCharType="end"/>
          </w:r>
        </w:p>
      </w:sdtContent>
    </w:sdt>
    <w:p w14:paraId="34559A64" w14:textId="77777777" w:rsidR="005545E8" w:rsidRDefault="005545E8" w:rsidP="005545E8">
      <w:pPr>
        <w:pBdr>
          <w:top w:val="nil"/>
          <w:left w:val="nil"/>
          <w:bottom w:val="nil"/>
          <w:right w:val="nil"/>
          <w:between w:val="nil"/>
        </w:pBdr>
        <w:tabs>
          <w:tab w:val="right" w:pos="8828"/>
        </w:tabs>
        <w:spacing w:after="100" w:line="259" w:lineRule="auto"/>
      </w:pPr>
    </w:p>
    <w:p w14:paraId="5310BCED" w14:textId="77777777" w:rsidR="005545E8" w:rsidRDefault="005545E8" w:rsidP="005545E8">
      <w:pPr>
        <w:pBdr>
          <w:top w:val="nil"/>
          <w:left w:val="nil"/>
          <w:bottom w:val="nil"/>
          <w:right w:val="nil"/>
          <w:between w:val="nil"/>
        </w:pBdr>
        <w:tabs>
          <w:tab w:val="right" w:pos="8828"/>
        </w:tabs>
        <w:spacing w:after="100" w:line="259" w:lineRule="auto"/>
      </w:pPr>
    </w:p>
    <w:p w14:paraId="442CBEB1" w14:textId="77777777" w:rsidR="005545E8" w:rsidRDefault="005545E8" w:rsidP="005545E8">
      <w:pPr>
        <w:pBdr>
          <w:top w:val="nil"/>
          <w:left w:val="nil"/>
          <w:bottom w:val="nil"/>
          <w:right w:val="nil"/>
          <w:between w:val="nil"/>
        </w:pBdr>
        <w:tabs>
          <w:tab w:val="right" w:pos="8828"/>
        </w:tabs>
        <w:spacing w:after="100" w:line="259" w:lineRule="auto"/>
      </w:pPr>
    </w:p>
    <w:p w14:paraId="039C6A0A" w14:textId="77777777" w:rsidR="005545E8" w:rsidRDefault="005545E8" w:rsidP="005545E8">
      <w:pPr>
        <w:pBdr>
          <w:top w:val="nil"/>
          <w:left w:val="nil"/>
          <w:bottom w:val="nil"/>
          <w:right w:val="nil"/>
          <w:between w:val="nil"/>
        </w:pBdr>
        <w:tabs>
          <w:tab w:val="right" w:pos="8828"/>
        </w:tabs>
        <w:spacing w:after="100" w:line="259" w:lineRule="auto"/>
      </w:pPr>
    </w:p>
    <w:p w14:paraId="229CBE07" w14:textId="77777777" w:rsidR="005545E8" w:rsidRDefault="005545E8" w:rsidP="005545E8">
      <w:pPr>
        <w:pBdr>
          <w:top w:val="nil"/>
          <w:left w:val="nil"/>
          <w:bottom w:val="nil"/>
          <w:right w:val="nil"/>
          <w:between w:val="nil"/>
        </w:pBdr>
        <w:tabs>
          <w:tab w:val="right" w:pos="8828"/>
        </w:tabs>
        <w:spacing w:after="100" w:line="259" w:lineRule="auto"/>
      </w:pPr>
    </w:p>
    <w:p w14:paraId="7232D574" w14:textId="77777777" w:rsidR="005545E8" w:rsidRDefault="005545E8" w:rsidP="005545E8">
      <w:pPr>
        <w:pBdr>
          <w:top w:val="nil"/>
          <w:left w:val="nil"/>
          <w:bottom w:val="nil"/>
          <w:right w:val="nil"/>
          <w:between w:val="nil"/>
        </w:pBdr>
        <w:tabs>
          <w:tab w:val="right" w:pos="8828"/>
        </w:tabs>
        <w:spacing w:after="100" w:line="259" w:lineRule="auto"/>
      </w:pPr>
    </w:p>
    <w:p w14:paraId="2333A4D9" w14:textId="77777777" w:rsidR="005545E8" w:rsidRDefault="005545E8" w:rsidP="005545E8">
      <w:pPr>
        <w:pBdr>
          <w:top w:val="nil"/>
          <w:left w:val="nil"/>
          <w:bottom w:val="nil"/>
          <w:right w:val="nil"/>
          <w:between w:val="nil"/>
        </w:pBdr>
        <w:tabs>
          <w:tab w:val="right" w:pos="8828"/>
        </w:tabs>
        <w:spacing w:after="100" w:line="259" w:lineRule="auto"/>
      </w:pPr>
    </w:p>
    <w:p w14:paraId="0F47ED48" w14:textId="77777777" w:rsidR="005545E8" w:rsidRDefault="005545E8" w:rsidP="005545E8">
      <w:pPr>
        <w:pBdr>
          <w:top w:val="nil"/>
          <w:left w:val="nil"/>
          <w:bottom w:val="nil"/>
          <w:right w:val="nil"/>
          <w:between w:val="nil"/>
        </w:pBdr>
        <w:tabs>
          <w:tab w:val="right" w:pos="8828"/>
        </w:tabs>
        <w:spacing w:after="100" w:line="259" w:lineRule="auto"/>
      </w:pPr>
    </w:p>
    <w:p w14:paraId="55668B77" w14:textId="77777777" w:rsidR="005545E8" w:rsidRDefault="005545E8" w:rsidP="005545E8">
      <w:pPr>
        <w:pBdr>
          <w:top w:val="nil"/>
          <w:left w:val="nil"/>
          <w:bottom w:val="nil"/>
          <w:right w:val="nil"/>
          <w:between w:val="nil"/>
        </w:pBdr>
        <w:tabs>
          <w:tab w:val="right" w:pos="8828"/>
        </w:tabs>
        <w:spacing w:after="100" w:line="259" w:lineRule="auto"/>
      </w:pPr>
    </w:p>
    <w:p w14:paraId="5A0149CB" w14:textId="77777777" w:rsidR="005545E8" w:rsidRDefault="005545E8" w:rsidP="005545E8">
      <w:pPr>
        <w:pBdr>
          <w:top w:val="nil"/>
          <w:left w:val="nil"/>
          <w:bottom w:val="nil"/>
          <w:right w:val="nil"/>
          <w:between w:val="nil"/>
        </w:pBdr>
        <w:tabs>
          <w:tab w:val="right" w:pos="8828"/>
        </w:tabs>
        <w:spacing w:after="100" w:line="259" w:lineRule="auto"/>
      </w:pPr>
    </w:p>
    <w:p w14:paraId="7E78CA5B" w14:textId="77777777" w:rsidR="005545E8" w:rsidRDefault="005545E8" w:rsidP="005545E8">
      <w:pPr>
        <w:pBdr>
          <w:top w:val="nil"/>
          <w:left w:val="nil"/>
          <w:bottom w:val="nil"/>
          <w:right w:val="nil"/>
          <w:between w:val="nil"/>
        </w:pBdr>
        <w:tabs>
          <w:tab w:val="right" w:pos="8828"/>
        </w:tabs>
        <w:spacing w:after="100" w:line="259" w:lineRule="auto"/>
      </w:pPr>
    </w:p>
    <w:p w14:paraId="7AF80E8C" w14:textId="77777777" w:rsidR="005545E8" w:rsidRDefault="005545E8" w:rsidP="005545E8">
      <w:pPr>
        <w:pBdr>
          <w:top w:val="nil"/>
          <w:left w:val="nil"/>
          <w:bottom w:val="nil"/>
          <w:right w:val="nil"/>
          <w:between w:val="nil"/>
        </w:pBdr>
        <w:tabs>
          <w:tab w:val="right" w:pos="8828"/>
        </w:tabs>
        <w:spacing w:after="100" w:line="259" w:lineRule="auto"/>
      </w:pPr>
    </w:p>
    <w:p w14:paraId="19531D0E" w14:textId="77777777" w:rsidR="005545E8" w:rsidRDefault="005545E8" w:rsidP="005545E8">
      <w:pPr>
        <w:pBdr>
          <w:top w:val="nil"/>
          <w:left w:val="nil"/>
          <w:bottom w:val="nil"/>
          <w:right w:val="nil"/>
          <w:between w:val="nil"/>
        </w:pBdr>
        <w:tabs>
          <w:tab w:val="right" w:pos="8828"/>
        </w:tabs>
        <w:spacing w:after="100" w:line="259" w:lineRule="auto"/>
      </w:pPr>
    </w:p>
    <w:p w14:paraId="248E4FDE" w14:textId="77777777" w:rsidR="005545E8" w:rsidRDefault="005545E8">
      <w:pPr>
        <w:spacing w:line="360" w:lineRule="auto"/>
        <w:jc w:val="both"/>
      </w:pPr>
    </w:p>
    <w:p w14:paraId="029AD0D1"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Resolución del Pleno del Instituto de Transparencia, Acceso a la Información Pública y Protección de Datos Personales del Estado de México y Municipios, con domicilio en Metepec, Estado de México, de fecha diez de diciembre de dos mil veinticinco. </w:t>
      </w:r>
    </w:p>
    <w:p w14:paraId="08499B40"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0AD59802"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sidRPr="00903407">
        <w:rPr>
          <w:rFonts w:ascii="Palatino Linotype" w:eastAsia="Palatino Linotype" w:hAnsi="Palatino Linotype" w:cs="Palatino Linotype"/>
          <w:b/>
          <w:color w:val="000000"/>
          <w:sz w:val="22"/>
          <w:szCs w:val="22"/>
        </w:rPr>
        <w:t>08206/INFOEM/IP/RR/2025</w:t>
      </w:r>
      <w:r>
        <w:rPr>
          <w:rFonts w:ascii="Palatino Linotype" w:eastAsia="Palatino Linotype" w:hAnsi="Palatino Linotype" w:cs="Palatino Linotype"/>
          <w:color w:val="000000"/>
          <w:sz w:val="22"/>
          <w:szCs w:val="22"/>
        </w:rPr>
        <w:t xml:space="preserve">, interpuesto en lo sucesivo la persona Recurrente o Particular, en contra de la respuesta del Sujeto Obligado, </w:t>
      </w:r>
      <w:bookmarkStart w:id="0" w:name="_GoBack"/>
      <w:r w:rsidRPr="00903407">
        <w:rPr>
          <w:rFonts w:ascii="Palatino Linotype" w:eastAsia="Palatino Linotype" w:hAnsi="Palatino Linotype" w:cs="Palatino Linotype"/>
          <w:b/>
          <w:color w:val="000000"/>
          <w:sz w:val="22"/>
          <w:szCs w:val="22"/>
        </w:rPr>
        <w:t>Ayuntamiento de Coacalco de Berriozábal</w:t>
      </w:r>
      <w:bookmarkEnd w:id="0"/>
      <w:r>
        <w:rPr>
          <w:rFonts w:ascii="Palatino Linotype" w:eastAsia="Palatino Linotype" w:hAnsi="Palatino Linotype" w:cs="Palatino Linotype"/>
          <w:color w:val="000000"/>
          <w:sz w:val="22"/>
          <w:szCs w:val="22"/>
        </w:rPr>
        <w:t>, a la solicitud de información 00168/COACALCO/IP/2025, se emite la presente Resolución, con base en los Antecedentes y Considerandos que a continuación se exponen:</w:t>
      </w:r>
    </w:p>
    <w:p w14:paraId="3F354036"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78ED2ABD" w14:textId="77777777" w:rsidR="00707C9E" w:rsidRPr="005545E8" w:rsidRDefault="00F347F3" w:rsidP="005545E8">
      <w:pPr>
        <w:pStyle w:val="Ttulo1"/>
      </w:pPr>
      <w:bookmarkStart w:id="1" w:name="_Toc216361430"/>
      <w:r>
        <w:t>A N T E C E D E N T E S</w:t>
      </w:r>
      <w:bookmarkEnd w:id="1"/>
    </w:p>
    <w:p w14:paraId="3D8D86C7" w14:textId="77777777" w:rsidR="00707C9E" w:rsidRDefault="00707C9E">
      <w:pPr>
        <w:spacing w:line="360" w:lineRule="auto"/>
        <w:jc w:val="both"/>
        <w:rPr>
          <w:rFonts w:ascii="Palatino Linotype" w:eastAsia="Palatino Linotype" w:hAnsi="Palatino Linotype" w:cs="Palatino Linotype"/>
          <w:b/>
          <w:bCs/>
          <w:color w:val="000000"/>
          <w:sz w:val="22"/>
          <w:szCs w:val="22"/>
        </w:rPr>
      </w:pPr>
    </w:p>
    <w:p w14:paraId="79784C58" w14:textId="77777777" w:rsidR="00707C9E" w:rsidRPr="005545E8" w:rsidRDefault="00F347F3" w:rsidP="005545E8">
      <w:pPr>
        <w:pStyle w:val="Ttulo2"/>
      </w:pPr>
      <w:bookmarkStart w:id="2" w:name="_Toc216361431"/>
      <w:r>
        <w:t>I. Presentación de la solicitud de información</w:t>
      </w:r>
      <w:bookmarkEnd w:id="2"/>
    </w:p>
    <w:p w14:paraId="1715B3D2"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36A04FD6"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veintitrés de junio de dos mil veinticinco, (si bien se presentó el veintidós que fue inhábil, se tiene por realizada el siguiente día hábil) el Particular presentó una solicitud de acceso a la información pública, a través del Sistema de Acceso a la Información Mexiquense (SAIMEX), ante el Ayuntamiento de Coacalco de Berriozábal, mediante la cual requirió lo siguiente:</w:t>
      </w:r>
    </w:p>
    <w:p w14:paraId="3F23A8B2"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560B9A57" w14:textId="77777777" w:rsidR="00707C9E" w:rsidRDefault="00F347F3">
      <w:pPr>
        <w:spacing w:line="360" w:lineRule="auto"/>
        <w:ind w:left="567" w:right="567"/>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“DESCRIPCIÓN CLARA Y PRECISA DE LA INFORMACIÓN SOLICITADA</w:t>
      </w:r>
    </w:p>
    <w:p w14:paraId="162CE81B" w14:textId="77777777" w:rsidR="00707C9E" w:rsidRDefault="00F347F3">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Solicito las acciones emprendidas en las áreas naturales protegidas ubicadas en el territorio municipal, si existe o se cuenta con planes de manejo actualizados, acciones que la presente administración allá emprendido, denuncias o quejas que obren sobre dichos espacios, total y fecha de siniestros, monitoreo de plagas y tipo de las mismas, lo anterior del primero de enero al 31 de mayo del 2025”</w:t>
      </w:r>
    </w:p>
    <w:p w14:paraId="53D107E2" w14:textId="77777777" w:rsidR="00707C9E" w:rsidRDefault="00707C9E">
      <w:pPr>
        <w:spacing w:line="360" w:lineRule="auto"/>
        <w:ind w:left="567" w:right="567"/>
        <w:jc w:val="both"/>
        <w:rPr>
          <w:rFonts w:ascii="Palatino Linotype" w:eastAsia="Palatino Linotype" w:hAnsi="Palatino Linotype" w:cs="Palatino Linotype"/>
          <w:color w:val="000000"/>
        </w:rPr>
      </w:pPr>
    </w:p>
    <w:p w14:paraId="15284C29" w14:textId="77777777" w:rsidR="00707C9E" w:rsidRDefault="00F347F3">
      <w:pPr>
        <w:spacing w:line="360" w:lineRule="auto"/>
        <w:ind w:left="567" w:right="567"/>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w:t>
      </w:r>
      <w:r>
        <w:rPr>
          <w:rFonts w:ascii="Palatino Linotype" w:eastAsia="Palatino Linotype" w:hAnsi="Palatino Linotype" w:cs="Palatino Linotype"/>
          <w:b/>
          <w:bCs/>
          <w:i/>
          <w:iCs/>
          <w:color w:val="000000"/>
        </w:rPr>
        <w:t>Modalidad de Entrega:</w:t>
      </w:r>
    </w:p>
    <w:p w14:paraId="45FE7951" w14:textId="77777777" w:rsidR="00707C9E" w:rsidRDefault="00F347F3">
      <w:pPr>
        <w:spacing w:line="360" w:lineRule="auto"/>
        <w:ind w:left="567" w:right="567"/>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 través de SAIMEX”</w:t>
      </w:r>
    </w:p>
    <w:p w14:paraId="4E80E9A6"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42905B3F" w14:textId="77777777" w:rsidR="00707C9E" w:rsidRPr="005545E8" w:rsidRDefault="00F347F3" w:rsidP="005545E8">
      <w:pPr>
        <w:pStyle w:val="Ttulo2"/>
      </w:pPr>
      <w:bookmarkStart w:id="3" w:name="_Toc216361432"/>
      <w:r>
        <w:t>II. Respuestas del Sujeto Obligado</w:t>
      </w:r>
      <w:bookmarkEnd w:id="3"/>
    </w:p>
    <w:p w14:paraId="370966D7"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7EBB0F9B"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cuatro de julio de dos mil veinticinco, el Sujeto Obligado dio respuesta a la solicitud de acceso a la información a través del Sistema de Acceso a la Información Mexiquense (SAIMEX), a través de la digitalización de los siguientes documentos:</w:t>
      </w:r>
    </w:p>
    <w:p w14:paraId="6952B4C7"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24EE1FB8"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 Oficio DMA/AMEB/244/2025 del treinta de junio de dos mil veinticinco, suscrito por el Director de Medio Ambiente, y dirigido a la Coordinadora de Transparencia y Acceso a la Información Pública, por medio del cual se menciona lo siguiente:</w:t>
      </w:r>
    </w:p>
    <w:p w14:paraId="5E439F1F"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633C5AD3" w14:textId="77777777" w:rsidR="00707C9E" w:rsidRDefault="00F347F3">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1D754671" w14:textId="77777777" w:rsidR="00707C9E" w:rsidRDefault="00F347F3">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Referente las acciones emprendidas en las áreas naturales protegidas, ubicadas en el territorio municipal se exponen de la siguiente manera:</w:t>
      </w:r>
    </w:p>
    <w:p w14:paraId="371C2535" w14:textId="77777777" w:rsidR="00707C9E" w:rsidRDefault="00707C9E">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14:paraId="4DCC3905" w14:textId="77777777" w:rsidR="00707C9E" w:rsidRDefault="00F347F3">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1.- Dentro del Territorio existe un área natural protegida: el parque estatal SIERRA DE GUADALUPE.</w:t>
      </w:r>
    </w:p>
    <w:p w14:paraId="2EB45BB2" w14:textId="77777777" w:rsidR="00707C9E" w:rsidRDefault="00707C9E">
      <w:pPr>
        <w:spacing w:line="360" w:lineRule="auto"/>
        <w:ind w:left="567" w:right="567"/>
        <w:jc w:val="both"/>
        <w:rPr>
          <w:rFonts w:ascii="Palatino Linotype" w:eastAsia="Palatino Linotype" w:hAnsi="Palatino Linotype" w:cs="Palatino Linotype"/>
          <w:i/>
          <w:iCs/>
          <w:color w:val="000000"/>
        </w:rPr>
      </w:pPr>
    </w:p>
    <w:p w14:paraId="582E7E33" w14:textId="77777777" w:rsidR="00707C9E" w:rsidRDefault="00F347F3">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2.- El ayuntamiento de Coacalco, ha difundido a través de sus redes sociales de Facebook, “Dirección de Medio Ambiente Coacalco 2025-2027, la importancia de la sierra como área protegida, destacando los múltiples beneficios ambientales que aporta el municipio, así mismo se ha promovido el conocimiento sobre la flora y fauna nativa de la región, con el objetivo de fomentar la identidad ecológica, y el sentido de pertenencia entre la población.</w:t>
      </w:r>
    </w:p>
    <w:p w14:paraId="0AAC4FC2" w14:textId="77777777" w:rsidR="00707C9E" w:rsidRDefault="00707C9E">
      <w:pPr>
        <w:spacing w:line="360" w:lineRule="auto"/>
        <w:ind w:left="567" w:right="567"/>
        <w:jc w:val="both"/>
        <w:rPr>
          <w:rFonts w:ascii="Palatino Linotype" w:eastAsia="Palatino Linotype" w:hAnsi="Palatino Linotype" w:cs="Palatino Linotype"/>
          <w:i/>
          <w:iCs/>
          <w:color w:val="000000"/>
        </w:rPr>
      </w:pPr>
    </w:p>
    <w:p w14:paraId="0F7C882B" w14:textId="77777777" w:rsidR="00707C9E" w:rsidRDefault="00F347F3">
      <w:pPr>
        <w:spacing w:line="360" w:lineRule="auto"/>
        <w:ind w:left="567" w:right="567"/>
        <w:jc w:val="both"/>
        <w:rPr>
          <w:rFonts w:ascii="Palatino Linotype" w:eastAsia="Palatino Linotype" w:hAnsi="Palatino Linotype" w:cs="Palatino Linotype"/>
          <w:b/>
          <w:bCs/>
          <w:i/>
          <w:iCs/>
          <w:color w:val="000000"/>
          <w:u w:val="single"/>
        </w:rPr>
      </w:pPr>
      <w:r>
        <w:rPr>
          <w:rFonts w:ascii="Palatino Linotype" w:eastAsia="Palatino Linotype" w:hAnsi="Palatino Linotype" w:cs="Palatino Linotype"/>
          <w:i/>
          <w:iCs/>
          <w:color w:val="000000"/>
        </w:rPr>
        <w:t xml:space="preserve">3.- En coordinación con las instancias estatales, </w:t>
      </w:r>
      <w:r>
        <w:rPr>
          <w:rFonts w:ascii="Palatino Linotype" w:eastAsia="Palatino Linotype" w:hAnsi="Palatino Linotype" w:cs="Palatino Linotype"/>
          <w:b/>
          <w:bCs/>
          <w:i/>
          <w:iCs/>
          <w:color w:val="000000"/>
          <w:u w:val="single"/>
        </w:rPr>
        <w:t xml:space="preserve">se ha brindado capacitaciones especializadas en prevención y combate de incendios forestales a servidores públicos, </w:t>
      </w:r>
    </w:p>
    <w:p w14:paraId="3780800F" w14:textId="77777777" w:rsidR="00707C9E" w:rsidRDefault="00707C9E">
      <w:pPr>
        <w:spacing w:line="360" w:lineRule="auto"/>
        <w:ind w:left="567" w:right="567"/>
        <w:jc w:val="both"/>
        <w:rPr>
          <w:rFonts w:ascii="Palatino Linotype" w:eastAsia="Palatino Linotype" w:hAnsi="Palatino Linotype" w:cs="Palatino Linotype"/>
          <w:i/>
          <w:iCs/>
          <w:color w:val="000000"/>
        </w:rPr>
      </w:pPr>
    </w:p>
    <w:p w14:paraId="57BDA041" w14:textId="77777777" w:rsidR="00707C9E" w:rsidRDefault="00F347F3">
      <w:pPr>
        <w:spacing w:line="360" w:lineRule="auto"/>
        <w:ind w:left="567" w:right="567"/>
        <w:jc w:val="both"/>
        <w:rPr>
          <w:rFonts w:ascii="Palatino Linotype" w:eastAsia="Palatino Linotype" w:hAnsi="Palatino Linotype" w:cs="Palatino Linotype"/>
          <w:b/>
          <w:bCs/>
          <w:i/>
          <w:iCs/>
          <w:color w:val="000000"/>
          <w:u w:val="single"/>
        </w:rPr>
      </w:pPr>
      <w:r>
        <w:rPr>
          <w:rFonts w:ascii="Palatino Linotype" w:eastAsia="Palatino Linotype" w:hAnsi="Palatino Linotype" w:cs="Palatino Linotype"/>
          <w:i/>
          <w:iCs/>
          <w:color w:val="000000"/>
        </w:rPr>
        <w:t xml:space="preserve">4.- Se tiene previsto llevar a </w:t>
      </w:r>
      <w:r>
        <w:rPr>
          <w:rFonts w:ascii="Palatino Linotype" w:eastAsia="Palatino Linotype" w:hAnsi="Palatino Linotype" w:cs="Palatino Linotype"/>
          <w:b/>
          <w:bCs/>
          <w:i/>
          <w:iCs/>
          <w:color w:val="000000"/>
          <w:u w:val="single"/>
        </w:rPr>
        <w:t>cabo jornadas de reforestación en zonas estratégicas de la sierra una vez que las condiciones lo permitan.</w:t>
      </w:r>
    </w:p>
    <w:p w14:paraId="20B9D188" w14:textId="77777777" w:rsidR="00707C9E" w:rsidRDefault="00707C9E">
      <w:pPr>
        <w:spacing w:line="360" w:lineRule="auto"/>
        <w:ind w:left="567" w:right="567"/>
        <w:jc w:val="both"/>
        <w:rPr>
          <w:rFonts w:ascii="Palatino Linotype" w:eastAsia="Palatino Linotype" w:hAnsi="Palatino Linotype" w:cs="Palatino Linotype"/>
          <w:i/>
          <w:iCs/>
          <w:color w:val="000000"/>
        </w:rPr>
      </w:pPr>
    </w:p>
    <w:p w14:paraId="13A801CF" w14:textId="77777777" w:rsidR="00707C9E" w:rsidRDefault="00F347F3">
      <w:pPr>
        <w:spacing w:line="360" w:lineRule="auto"/>
        <w:ind w:left="567" w:right="567"/>
        <w:jc w:val="both"/>
        <w:rPr>
          <w:rFonts w:ascii="Palatino Linotype" w:eastAsia="Palatino Linotype" w:hAnsi="Palatino Linotype" w:cs="Palatino Linotype"/>
          <w:b/>
          <w:bCs/>
          <w:i/>
          <w:iCs/>
          <w:color w:val="000000"/>
          <w:u w:val="single"/>
        </w:rPr>
      </w:pPr>
      <w:r>
        <w:rPr>
          <w:rFonts w:ascii="Palatino Linotype" w:eastAsia="Palatino Linotype" w:hAnsi="Palatino Linotype" w:cs="Palatino Linotype"/>
          <w:i/>
          <w:iCs/>
          <w:color w:val="000000"/>
        </w:rPr>
        <w:t xml:space="preserve">5.- Como parte de las acciones de educación ambiental, </w:t>
      </w:r>
      <w:r>
        <w:rPr>
          <w:rFonts w:ascii="Palatino Linotype" w:eastAsia="Palatino Linotype" w:hAnsi="Palatino Linotype" w:cs="Palatino Linotype"/>
          <w:b/>
          <w:bCs/>
          <w:i/>
          <w:iCs/>
          <w:color w:val="000000"/>
          <w:u w:val="single"/>
        </w:rPr>
        <w:t>se imparten talleres y charlas informativas en diversas escuelas del municipio.</w:t>
      </w:r>
    </w:p>
    <w:p w14:paraId="2F5A2CE7" w14:textId="77777777" w:rsidR="00707C9E" w:rsidRDefault="00707C9E">
      <w:pPr>
        <w:spacing w:line="360" w:lineRule="auto"/>
        <w:ind w:left="567" w:right="567"/>
        <w:jc w:val="both"/>
        <w:rPr>
          <w:rFonts w:ascii="Palatino Linotype" w:eastAsia="Palatino Linotype" w:hAnsi="Palatino Linotype" w:cs="Palatino Linotype"/>
          <w:i/>
          <w:iCs/>
          <w:color w:val="000000"/>
        </w:rPr>
      </w:pPr>
    </w:p>
    <w:p w14:paraId="3179776E" w14:textId="77777777" w:rsidR="00707C9E" w:rsidRDefault="00F347F3">
      <w:pPr>
        <w:spacing w:line="360" w:lineRule="auto"/>
        <w:ind w:left="567" w:right="567"/>
        <w:jc w:val="both"/>
        <w:rPr>
          <w:rFonts w:ascii="Palatino Linotype" w:eastAsia="Palatino Linotype" w:hAnsi="Palatino Linotype" w:cs="Palatino Linotype"/>
          <w:b/>
          <w:bCs/>
          <w:i/>
          <w:iCs/>
          <w:color w:val="000000"/>
          <w:u w:val="single"/>
        </w:rPr>
      </w:pPr>
      <w:r>
        <w:rPr>
          <w:rFonts w:ascii="Palatino Linotype" w:eastAsia="Palatino Linotype" w:hAnsi="Palatino Linotype" w:cs="Palatino Linotype"/>
          <w:i/>
          <w:iCs/>
          <w:color w:val="000000"/>
        </w:rPr>
        <w:t xml:space="preserve">6.- También el municipio participa </w:t>
      </w:r>
      <w:r>
        <w:rPr>
          <w:rFonts w:ascii="Palatino Linotype" w:eastAsia="Palatino Linotype" w:hAnsi="Palatino Linotype" w:cs="Palatino Linotype"/>
          <w:b/>
          <w:bCs/>
          <w:i/>
          <w:iCs/>
          <w:color w:val="000000"/>
          <w:u w:val="single"/>
        </w:rPr>
        <w:t>activamente en el FIDEICOMISO para la preservación de la Sierra, instrumento jurídico que orienta a canalizar recursos públicos hacia las acciones concretas de conservación del patrimonio natural.</w:t>
      </w:r>
    </w:p>
    <w:p w14:paraId="1BE784D0" w14:textId="77777777" w:rsidR="00707C9E" w:rsidRDefault="00707C9E">
      <w:pPr>
        <w:spacing w:line="360" w:lineRule="auto"/>
        <w:ind w:left="567" w:right="567"/>
        <w:jc w:val="both"/>
        <w:rPr>
          <w:rFonts w:ascii="Palatino Linotype" w:eastAsia="Palatino Linotype" w:hAnsi="Palatino Linotype" w:cs="Palatino Linotype"/>
          <w:i/>
          <w:iCs/>
          <w:color w:val="000000"/>
        </w:rPr>
      </w:pPr>
    </w:p>
    <w:p w14:paraId="1BDEEED7" w14:textId="77777777" w:rsidR="00707C9E" w:rsidRDefault="00F347F3">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Por otro lado, tras realizar una búsqueda exhaustiva en el archivo de la dirección es la única información que obra en nuestros archivos. Por lo que no existe documentación que trate de planes de trabajo, denuncias o quejas sobre los espacios públicos, etc.</w:t>
      </w:r>
    </w:p>
    <w:p w14:paraId="527D6853" w14:textId="77777777" w:rsidR="00707C9E" w:rsidRDefault="00F347F3">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(Sic)</w:t>
      </w:r>
    </w:p>
    <w:p w14:paraId="3018172A"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273D6606" w14:textId="77777777" w:rsidR="00707C9E" w:rsidRDefault="00F347F3" w:rsidP="005545E8">
      <w:pPr>
        <w:pStyle w:val="Ttulo2"/>
        <w:rPr>
          <w:b w:val="0"/>
          <w:bCs w:val="0"/>
        </w:rPr>
      </w:pPr>
      <w:bookmarkStart w:id="4" w:name="_Toc216361433"/>
      <w:r>
        <w:t>III. Interposición del Recurso de Revisión</w:t>
      </w:r>
      <w:bookmarkEnd w:id="4"/>
    </w:p>
    <w:p w14:paraId="797FBDC2"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349FA38E"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seis de julio de dos mil veinticinco, se recibió en este Instituto, a través del Sistema de Acceso a la Información Mexiquense (SAIMEX), (si bien se presentó el día seis que fue inhábil, se tiene por recurrida al siguiente día hábil), el Recurso de Revisión interpuesto por la persona Recurrente, en contra de la respuesta del Sujeto Obligado, en los siguientes términos:</w:t>
      </w:r>
    </w:p>
    <w:p w14:paraId="6B523D99"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4D120D91" w14:textId="77777777" w:rsidR="00707C9E" w:rsidRDefault="00F347F3">
      <w:pPr>
        <w:spacing w:line="360" w:lineRule="auto"/>
        <w:ind w:left="567" w:right="56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“ACTO IMPUGNADO</w:t>
      </w:r>
    </w:p>
    <w:p w14:paraId="489F5E99" w14:textId="77777777" w:rsidR="00707C9E" w:rsidRDefault="00F347F3">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 xml:space="preserve">"Solicito los indicadores generados por la administración 01 de enero de 2025 al 31 de mayo de 2025, para la medición de impactos de pláticas de educación ambiental y su temática, talleres de educación ambiental y su temática, cursos de educación ambiental y su temática, instalación de jardines polinizadores, seguimiento de denuncias en materia de maltrato animal, hacinamiento, acumulación, sonido, emisiones a la atmósfera, poda y sus causas, derribo y sus causas, manejo de incendios..."” </w:t>
      </w:r>
    </w:p>
    <w:p w14:paraId="24FCF524" w14:textId="77777777" w:rsidR="00707C9E" w:rsidRDefault="00707C9E">
      <w:pPr>
        <w:spacing w:line="360" w:lineRule="auto"/>
        <w:ind w:left="567" w:right="567"/>
        <w:jc w:val="both"/>
        <w:rPr>
          <w:rFonts w:ascii="Palatino Linotype" w:eastAsia="Palatino Linotype" w:hAnsi="Palatino Linotype" w:cs="Palatino Linotype"/>
          <w:b/>
          <w:bCs/>
          <w:i/>
          <w:iCs/>
          <w:color w:val="000000"/>
        </w:rPr>
      </w:pPr>
    </w:p>
    <w:p w14:paraId="17552C97" w14:textId="77777777" w:rsidR="00707C9E" w:rsidRDefault="00F347F3">
      <w:pPr>
        <w:spacing w:line="360" w:lineRule="auto"/>
        <w:ind w:left="567" w:right="56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“RAZONES O MOTIVOS DE LA INCONFORMIDAD</w:t>
      </w:r>
    </w:p>
    <w:p w14:paraId="399C4D69" w14:textId="77777777" w:rsidR="00707C9E" w:rsidRDefault="00F347F3">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SOLICITE LOS INDICADORES Y ENVIA UN CUADRO DE LO QUE PARECEN SER ACCIONES LO CUAL NO ES O NO TIENE NADA QUE VER CON UN INDICADOR EN LO ABSOLUTO AUNADO A ELLO LA FALTA DEFICIENCIA E INSUFICIENCIA EN LA FUNDAMENTACION Y O MOTIVACION DE SU RESPUESTA ES EVIDENTE.” (Sic)</w:t>
      </w:r>
    </w:p>
    <w:p w14:paraId="3C528398"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448F3EE0" w14:textId="77777777" w:rsidR="00707C9E" w:rsidRPr="005545E8" w:rsidRDefault="00F347F3" w:rsidP="005545E8">
      <w:pPr>
        <w:pStyle w:val="Ttulo2"/>
      </w:pPr>
      <w:bookmarkStart w:id="5" w:name="_Toc216361434"/>
      <w:r>
        <w:t>IV. Trámite del Recurso de Revisión ante este Instituto</w:t>
      </w:r>
      <w:bookmarkEnd w:id="5"/>
    </w:p>
    <w:p w14:paraId="466BFD5A"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37E347B4"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a) Turno del Medio de Impugnación</w:t>
      </w:r>
      <w:r>
        <w:rPr>
          <w:rFonts w:ascii="Palatino Linotype" w:eastAsia="Palatino Linotype" w:hAnsi="Palatino Linotype" w:cs="Palatino Linotype"/>
          <w:color w:val="000000"/>
          <w:sz w:val="22"/>
          <w:szCs w:val="22"/>
        </w:rPr>
        <w:t xml:space="preserve">. El seis de julio de dos mil veinticinco, el Sistema de Acceso a la Información Mexiquense (SAIMEX), asignó el número de expediente </w:t>
      </w:r>
      <w:r>
        <w:rPr>
          <w:rFonts w:ascii="Palatino Linotype" w:eastAsia="Palatino Linotype" w:hAnsi="Palatino Linotype" w:cs="Palatino Linotype"/>
          <w:b/>
          <w:bCs/>
          <w:color w:val="000000"/>
          <w:sz w:val="22"/>
          <w:szCs w:val="22"/>
        </w:rPr>
        <w:t>08206/INFOEM/IP/RR/2025,</w:t>
      </w:r>
      <w:r>
        <w:rPr>
          <w:rFonts w:ascii="Palatino Linotype" w:eastAsia="Palatino Linotype" w:hAnsi="Palatino Linotype" w:cs="Palatino Linotype"/>
          <w:color w:val="000000"/>
          <w:sz w:val="22"/>
          <w:szCs w:val="22"/>
        </w:rPr>
        <w:t xml:space="preserve">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5428E59"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055BAA87"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b) Admisión del Recurso de Revisión</w:t>
      </w:r>
      <w:r>
        <w:rPr>
          <w:rFonts w:ascii="Palatino Linotype" w:eastAsia="Palatino Linotype" w:hAnsi="Palatino Linotype" w:cs="Palatino Linotype"/>
          <w:color w:val="000000"/>
          <w:sz w:val="22"/>
          <w:szCs w:val="22"/>
        </w:rPr>
        <w:t xml:space="preserve">. El diez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w:t>
      </w:r>
      <w:r>
        <w:rPr>
          <w:rFonts w:ascii="Palatino Linotype" w:eastAsia="Palatino Linotype" w:hAnsi="Palatino Linotype" w:cs="Palatino Linotype"/>
          <w:color w:val="000000"/>
          <w:sz w:val="22"/>
          <w:szCs w:val="22"/>
        </w:rPr>
        <w:lastRenderedPageBreak/>
        <w:t xml:space="preserve">el mismo día, a través del Sistema de Acceso a la Información Mexiquense (SAIMEX), en el que se les otorgó un plazo de siete días hábiles posteriores a la misma, para que manifestaran lo que a su derecho conviniera y formularan alegatos. </w:t>
      </w:r>
    </w:p>
    <w:p w14:paraId="28A9A761"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0F86FFC5"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d) Informe Justificado</w:t>
      </w:r>
      <w:r>
        <w:rPr>
          <w:rFonts w:ascii="Palatino Linotype" w:eastAsia="Palatino Linotype" w:hAnsi="Palatino Linotype" w:cs="Palatino Linotype"/>
          <w:color w:val="000000"/>
          <w:sz w:val="22"/>
          <w:szCs w:val="22"/>
        </w:rPr>
        <w:t>. El cuatro de agosto de dos mil veinticinco, a través del Sistema de Acceso a la Información Mexiquense (SAIMEX), se recibió en este Instituto el informe justificado por parte del Sujeto Obligado, por medio del cual RATIFICA su respuesta inicial y refiere lo siguiente:</w:t>
      </w:r>
    </w:p>
    <w:p w14:paraId="490EDFA3"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5AA65D76"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número DMA/AMEB/257/2025, de fecha diez de julio de dos mil veinticinco, suscrito por el Director de Medio Ambiente y dirigido a la Coordinadora de transparencia donde refiere lo siguiente:</w:t>
      </w:r>
    </w:p>
    <w:p w14:paraId="3B5C4B43"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5EC0298C" w14:textId="77777777" w:rsidR="00707C9E" w:rsidRDefault="00F347F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iCs/>
          <w:color w:val="000000"/>
        </w:rPr>
        <w:t>Con base en su inconformidad planteada considerando que la información requerida, es específica a temas como platicas, talleres, cursos, etc., se informa que la documentación previamente entregada corresponde a los indicadores que constituyen propuestas elaboradas por cada dirección, sujetas a aprobación posterior, por lo que pueden ser modificados, conforme al desarrollo del ejercicio administrativo corriente. Es importante subrayar que las acciones mencionadas derivan de estos indicadores los cuales cabe señalar, son herramientas meramente cuantitativas.”</w:t>
      </w:r>
    </w:p>
    <w:p w14:paraId="0D06C265"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575C4AB2" w14:textId="77777777" w:rsidR="00707C9E" w:rsidRDefault="00F347F3">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e) Vista del Informe Justificado</w:t>
      </w:r>
      <w:r>
        <w:rPr>
          <w:rFonts w:ascii="Palatino Linotype" w:eastAsia="Palatino Linotype" w:hAnsi="Palatino Linotype" w:cs="Palatino Linotype"/>
          <w:color w:val="000000"/>
          <w:sz w:val="22"/>
          <w:szCs w:val="22"/>
        </w:rPr>
        <w:t xml:space="preserve">. El primero de diciembre de dos mil veinticinco, se dictó acuerdo por medio del cual se puso a la vista de la persona Recurrente el Informe Justificado entregado por el Sujeto Obligado, el cual fue notificado a las partes, el mismo día, a través del Sistema de Acceso a la Información Mexiquense (SAIMEX). </w:t>
      </w:r>
      <w:r>
        <w:rPr>
          <w:rFonts w:ascii="Palatino Linotype" w:eastAsia="Palatino Linotype" w:hAnsi="Palatino Linotype" w:cs="Palatino Linotype"/>
          <w:b/>
          <w:bCs/>
          <w:color w:val="000000"/>
          <w:sz w:val="22"/>
          <w:szCs w:val="22"/>
        </w:rPr>
        <w:t>Cabe señalar que el Particular fue omiso en realizar manifestación alguna.</w:t>
      </w:r>
    </w:p>
    <w:p w14:paraId="0AAA7CBD"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49800B9E"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f) Ampliación de Plazo.</w:t>
      </w:r>
      <w:r>
        <w:rPr>
          <w:rFonts w:ascii="Palatino Linotype" w:eastAsia="Palatino Linotype" w:hAnsi="Palatino Linotype" w:cs="Palatino Linotype"/>
          <w:color w:val="000000"/>
          <w:sz w:val="22"/>
          <w:szCs w:val="22"/>
        </w:rPr>
        <w:t xml:space="preserve">  El </w:t>
      </w:r>
      <w:r>
        <w:rPr>
          <w:rFonts w:ascii="Palatino Linotype" w:eastAsia="Palatino Linotype" w:hAnsi="Palatino Linotype" w:cs="Palatino Linotype"/>
          <w:sz w:val="22"/>
          <w:szCs w:val="22"/>
        </w:rPr>
        <w:t>ocho</w:t>
      </w:r>
      <w:r>
        <w:rPr>
          <w:rFonts w:ascii="Palatino Linotype" w:eastAsia="Palatino Linotype" w:hAnsi="Palatino Linotype" w:cs="Palatino Linotype"/>
          <w:color w:val="000000"/>
          <w:sz w:val="22"/>
          <w:szCs w:val="22"/>
        </w:rPr>
        <w:t xml:space="preserve"> de diciembre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504A85A3"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55F5A4DE"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g) Cierre de instrucción.</w:t>
      </w:r>
      <w:r>
        <w:rPr>
          <w:rFonts w:ascii="Palatino Linotype" w:eastAsia="Palatino Linotype" w:hAnsi="Palatino Linotype" w:cs="Palatino Linotype"/>
          <w:color w:val="000000"/>
          <w:sz w:val="22"/>
          <w:szCs w:val="22"/>
        </w:rPr>
        <w:t xml:space="preserve"> El </w:t>
      </w:r>
      <w:r>
        <w:rPr>
          <w:rFonts w:ascii="Palatino Linotype" w:eastAsia="Palatino Linotype" w:hAnsi="Palatino Linotype" w:cs="Palatino Linotype"/>
          <w:sz w:val="22"/>
          <w:szCs w:val="22"/>
        </w:rPr>
        <w:t>ocho</w:t>
      </w:r>
      <w:r>
        <w:rPr>
          <w:rFonts w:ascii="Palatino Linotype" w:eastAsia="Palatino Linotype" w:hAnsi="Palatino Linotype" w:cs="Palatino Linotype"/>
          <w:color w:val="000000"/>
          <w:sz w:val="22"/>
          <w:szCs w:val="22"/>
        </w:rPr>
        <w:t xml:space="preserve"> de diciembre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4BC2ACA5"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0666012C"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razón de que fue debidamente sustanciado e integrado el expediente electrónico y no existe diligencia pendiente de desahogo, se emite la resolución que conforme a Derecho proceda, de acuerdo a los siguientes:</w:t>
      </w:r>
    </w:p>
    <w:p w14:paraId="1247B68D"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6432F039" w14:textId="77777777" w:rsidR="00707C9E" w:rsidRPr="005545E8" w:rsidRDefault="00F347F3" w:rsidP="005545E8">
      <w:pPr>
        <w:pStyle w:val="Ttulo1"/>
      </w:pPr>
      <w:bookmarkStart w:id="6" w:name="_Toc216361435"/>
      <w:r>
        <w:t>C O N S I D E R A N D O S</w:t>
      </w:r>
      <w:bookmarkEnd w:id="6"/>
    </w:p>
    <w:p w14:paraId="1136B2F8"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7A7C9C06" w14:textId="77777777" w:rsidR="00707C9E" w:rsidRPr="005545E8" w:rsidRDefault="00F347F3" w:rsidP="005545E8">
      <w:pPr>
        <w:pStyle w:val="Ttulo2"/>
      </w:pPr>
      <w:bookmarkStart w:id="7" w:name="_Toc216361436"/>
      <w:r>
        <w:t>PRIMERO. Competencia</w:t>
      </w:r>
      <w:bookmarkEnd w:id="7"/>
    </w:p>
    <w:p w14:paraId="197A7A68"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0AB6B4BC"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Instituto de Transparencia, Acceso a la Información Pública y Protección de Datos Personales del Estado de México y Municipios, es competente para conocer y resolver el </w:t>
      </w:r>
      <w:r>
        <w:rPr>
          <w:rFonts w:ascii="Palatino Linotype" w:eastAsia="Palatino Linotype" w:hAnsi="Palatino Linotype" w:cs="Palatino Linotype"/>
          <w:color w:val="000000"/>
          <w:sz w:val="22"/>
          <w:szCs w:val="22"/>
        </w:rPr>
        <w:lastRenderedPageBreak/>
        <w:t>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E4058AE"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2596D086" w14:textId="77777777" w:rsidR="00707C9E" w:rsidRDefault="00F347F3">
      <w:pPr>
        <w:pStyle w:val="Ttulo2"/>
      </w:pPr>
      <w:bookmarkStart w:id="8" w:name="_heading=h.dpc3vynq7u58" w:colFirst="0" w:colLast="0"/>
      <w:bookmarkStart w:id="9" w:name="_Toc216361437"/>
      <w:bookmarkEnd w:id="8"/>
      <w:r>
        <w:t>SEGUNDO. Causales de improcedencia</w:t>
      </w:r>
      <w:bookmarkEnd w:id="9"/>
      <w:r>
        <w:t xml:space="preserve"> </w:t>
      </w:r>
    </w:p>
    <w:p w14:paraId="25CA58D5" w14:textId="77777777" w:rsidR="00707C9E" w:rsidRDefault="00707C9E">
      <w:pPr>
        <w:spacing w:line="360" w:lineRule="auto"/>
        <w:jc w:val="both"/>
        <w:rPr>
          <w:rFonts w:ascii="Palatino Linotype" w:eastAsia="Palatino Linotype" w:hAnsi="Palatino Linotype" w:cs="Palatino Linotype"/>
          <w:sz w:val="22"/>
          <w:szCs w:val="22"/>
        </w:rPr>
      </w:pPr>
    </w:p>
    <w:p w14:paraId="5EBEA70A" w14:textId="77777777" w:rsidR="00707C9E" w:rsidRDefault="00F347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31B054C" w14:textId="77777777" w:rsidR="00707C9E" w:rsidRDefault="00707C9E">
      <w:pPr>
        <w:spacing w:line="360" w:lineRule="auto"/>
        <w:jc w:val="both"/>
        <w:rPr>
          <w:rFonts w:ascii="Palatino Linotype" w:eastAsia="Palatino Linotype" w:hAnsi="Palatino Linotype" w:cs="Palatino Linotype"/>
          <w:sz w:val="22"/>
          <w:szCs w:val="22"/>
        </w:rPr>
      </w:pPr>
    </w:p>
    <w:p w14:paraId="4EA70635" w14:textId="77777777" w:rsidR="00707C9E" w:rsidRDefault="00F347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Pr>
          <w:rFonts w:ascii="Palatino Linotype" w:eastAsia="Palatino Linotype" w:hAnsi="Palatino Linotype" w:cs="Palatino Linotype"/>
          <w:sz w:val="22"/>
          <w:szCs w:val="22"/>
        </w:rPr>
        <w:lastRenderedPageBreak/>
        <w:t>respuesta no formó parte del agravio; ni se realizó una consulta o ampliación a los alcances del requerimiento informativo.</w:t>
      </w:r>
    </w:p>
    <w:p w14:paraId="78A5F1AC" w14:textId="77777777" w:rsidR="00707C9E" w:rsidRDefault="00707C9E">
      <w:pPr>
        <w:spacing w:line="360" w:lineRule="auto"/>
        <w:jc w:val="both"/>
        <w:rPr>
          <w:rFonts w:ascii="Palatino Linotype" w:eastAsia="Palatino Linotype" w:hAnsi="Palatino Linotype" w:cs="Palatino Linotype"/>
          <w:sz w:val="22"/>
          <w:szCs w:val="22"/>
        </w:rPr>
      </w:pPr>
    </w:p>
    <w:p w14:paraId="11354C32" w14:textId="77777777" w:rsidR="00707C9E" w:rsidRDefault="00F347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actualiza la causal de procedencia señalada en el artículo 179, fracción VI, de la Ley de la materia, toda vez que el Solicitante se inconformó de la entrega de información que no corresponda con lo solicitado.</w:t>
      </w:r>
    </w:p>
    <w:p w14:paraId="44B8E59E" w14:textId="77777777" w:rsidR="00707C9E" w:rsidRDefault="00707C9E">
      <w:pPr>
        <w:spacing w:line="360" w:lineRule="auto"/>
        <w:jc w:val="both"/>
        <w:rPr>
          <w:rFonts w:ascii="Palatino Linotype" w:eastAsia="Palatino Linotype" w:hAnsi="Palatino Linotype" w:cs="Palatino Linotype"/>
          <w:sz w:val="22"/>
          <w:szCs w:val="22"/>
        </w:rPr>
      </w:pPr>
    </w:p>
    <w:p w14:paraId="044DB4DF" w14:textId="77777777" w:rsidR="00707C9E" w:rsidRDefault="00F347F3">
      <w:pPr>
        <w:pStyle w:val="Ttulo2"/>
        <w:jc w:val="both"/>
      </w:pPr>
      <w:bookmarkStart w:id="10" w:name="_heading=h.wa2ya3lptx4u" w:colFirst="0" w:colLast="0"/>
      <w:bookmarkStart w:id="11" w:name="_Toc216361438"/>
      <w:bookmarkEnd w:id="10"/>
      <w:r>
        <w:t>TERCERO. Causales de sobreseimiento</w:t>
      </w:r>
      <w:bookmarkEnd w:id="11"/>
    </w:p>
    <w:p w14:paraId="342073A7" w14:textId="77777777" w:rsidR="00707C9E" w:rsidRDefault="00707C9E">
      <w:pPr>
        <w:spacing w:line="360" w:lineRule="auto"/>
        <w:jc w:val="both"/>
        <w:rPr>
          <w:rFonts w:ascii="Palatino Linotype" w:eastAsia="Palatino Linotype" w:hAnsi="Palatino Linotype" w:cs="Palatino Linotype"/>
          <w:color w:val="0D0D0D"/>
          <w:sz w:val="22"/>
          <w:szCs w:val="22"/>
        </w:rPr>
      </w:pPr>
    </w:p>
    <w:p w14:paraId="5C01A0B0" w14:textId="77777777" w:rsidR="00707C9E" w:rsidRDefault="00F347F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457E63AB" w14:textId="77777777" w:rsidR="00707C9E" w:rsidRDefault="00707C9E">
      <w:pPr>
        <w:spacing w:line="360" w:lineRule="auto"/>
        <w:jc w:val="both"/>
        <w:rPr>
          <w:rFonts w:ascii="Palatino Linotype" w:eastAsia="Palatino Linotype" w:hAnsi="Palatino Linotype" w:cs="Palatino Linotype"/>
          <w:color w:val="0D0D0D"/>
          <w:sz w:val="22"/>
          <w:szCs w:val="22"/>
        </w:rPr>
      </w:pPr>
    </w:p>
    <w:p w14:paraId="1CC267E5" w14:textId="77777777" w:rsidR="00707C9E" w:rsidRDefault="00F347F3">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192 de la </w:t>
      </w:r>
      <w:r>
        <w:rPr>
          <w:rFonts w:ascii="Palatino Linotype" w:eastAsia="Palatino Linotype" w:hAnsi="Palatino Linotype" w:cs="Palatino Linotype"/>
          <w:color w:val="000000"/>
          <w:sz w:val="22"/>
          <w:szCs w:val="22"/>
        </w:rPr>
        <w:t xml:space="preserve">Ley Transparencia y Acceso a la Información Pública del Estado de México y Municipios, señala las causales por las cuales se puede sobreseer en todo o en parte el Recurso de Revisión; así, </w:t>
      </w:r>
      <w:r>
        <w:rPr>
          <w:rFonts w:ascii="Palatino Linotype" w:eastAsia="Palatino Linotype" w:hAnsi="Palatino Linotype" w:cs="Palatino Linotype"/>
          <w:sz w:val="22"/>
          <w:szCs w:val="22"/>
        </w:rPr>
        <w:t>del análisis realizado por este Instituto, se advierte que</w:t>
      </w:r>
      <w:r>
        <w:rPr>
          <w:rFonts w:ascii="Palatino Linotype" w:eastAsia="Palatino Linotype" w:hAnsi="Palatino Linotype" w:cs="Palatino Linotype"/>
          <w:b/>
          <w:bCs/>
          <w:sz w:val="22"/>
          <w:szCs w:val="22"/>
        </w:rPr>
        <w:t xml:space="preserve"> no se configuran las causales establecidas en las fracciones I, II, III y V, </w:t>
      </w:r>
      <w:r>
        <w:rPr>
          <w:rFonts w:ascii="Palatino Linotype" w:eastAsia="Palatino Linotype" w:hAnsi="Palatino Linotype" w:cs="Palatino Linotype"/>
          <w:sz w:val="22"/>
          <w:szCs w:val="22"/>
        </w:rPr>
        <w:t>toda vez que no hay constancias en el expediente en que se actúa, de que el Recurrente se haya desistido, fallecido, que el Sujeto Obligado hubiese modificado o revocado el acto impugnado o bien, haya quedado sin materia.</w:t>
      </w:r>
    </w:p>
    <w:p w14:paraId="69188EAF" w14:textId="77777777" w:rsidR="00707C9E" w:rsidRDefault="00707C9E">
      <w:pPr>
        <w:widowControl w:val="0"/>
        <w:spacing w:line="360" w:lineRule="auto"/>
        <w:jc w:val="both"/>
        <w:rPr>
          <w:rFonts w:ascii="Palatino Linotype" w:eastAsia="Palatino Linotype" w:hAnsi="Palatino Linotype" w:cs="Palatino Linotype"/>
          <w:sz w:val="22"/>
          <w:szCs w:val="22"/>
        </w:rPr>
      </w:pPr>
    </w:p>
    <w:p w14:paraId="6E26CF40" w14:textId="77777777" w:rsidR="00707C9E" w:rsidRDefault="00F347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obstante, por lo que hace a la hipótesis prevista en </w:t>
      </w:r>
      <w:r>
        <w:rPr>
          <w:rFonts w:ascii="Palatino Linotype" w:eastAsia="Palatino Linotype" w:hAnsi="Palatino Linotype" w:cs="Palatino Linotype"/>
          <w:b/>
          <w:bCs/>
          <w:sz w:val="22"/>
          <w:szCs w:val="22"/>
        </w:rPr>
        <w:t>la fracción IV,</w:t>
      </w:r>
      <w:r>
        <w:rPr>
          <w:rFonts w:ascii="Palatino Linotype" w:eastAsia="Palatino Linotype" w:hAnsi="Palatino Linotype" w:cs="Palatino Linotype"/>
          <w:sz w:val="22"/>
          <w:szCs w:val="22"/>
        </w:rPr>
        <w:t xml:space="preserve"> a saber, que, una vez admitido el Recurso de Revisión, aparezca alguna causal de improcedencia en términos de la presente Ley, resulta necesario traer a colación el artículo 191, fracción III, de dicho ordenamiento jurídico, que establece que el Recurso de Revisión será desechado por </w:t>
      </w:r>
      <w:r>
        <w:rPr>
          <w:rFonts w:ascii="Palatino Linotype" w:eastAsia="Palatino Linotype" w:hAnsi="Palatino Linotype" w:cs="Palatino Linotype"/>
          <w:sz w:val="22"/>
          <w:szCs w:val="22"/>
        </w:rPr>
        <w:lastRenderedPageBreak/>
        <w:t>improcedente, cuando dicho medio no actualice alguno de los supuestos previstos en el diverso 179 de la presente Ley. En ese orden de ideas, dicho artículo prevé lo siguiente:</w:t>
      </w:r>
    </w:p>
    <w:p w14:paraId="61E9B7DE" w14:textId="77777777" w:rsidR="00707C9E" w:rsidRDefault="00707C9E">
      <w:pPr>
        <w:spacing w:line="360" w:lineRule="auto"/>
        <w:jc w:val="both"/>
        <w:rPr>
          <w:rFonts w:ascii="Palatino Linotype" w:eastAsia="Palatino Linotype" w:hAnsi="Palatino Linotype" w:cs="Palatino Linotype"/>
          <w:sz w:val="22"/>
          <w:szCs w:val="22"/>
        </w:rPr>
      </w:pPr>
    </w:p>
    <w:p w14:paraId="5E3FB5F5"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179. </w:t>
      </w:r>
      <w:r>
        <w:rPr>
          <w:rFonts w:ascii="Palatino Linotype" w:eastAsia="Palatino Linotype" w:hAnsi="Palatino Linotype" w:cs="Palatino Linotype"/>
          <w:i/>
          <w:iCs/>
        </w:rPr>
        <w:t xml:space="preserve">El recurso de revisión es un medio de protección que la Ley otorga a los particulares, para hacer valer su derecho de acceso a la información pública, y procederá en contra de las siguientes causas: </w:t>
      </w:r>
    </w:p>
    <w:p w14:paraId="4D3470F0" w14:textId="77777777" w:rsidR="00707C9E" w:rsidRDefault="00707C9E">
      <w:pPr>
        <w:spacing w:line="360" w:lineRule="auto"/>
        <w:ind w:left="567" w:right="567"/>
        <w:jc w:val="both"/>
        <w:rPr>
          <w:rFonts w:ascii="Palatino Linotype" w:eastAsia="Palatino Linotype" w:hAnsi="Palatino Linotype" w:cs="Palatino Linotype"/>
          <w:i/>
          <w:iCs/>
        </w:rPr>
      </w:pPr>
    </w:p>
    <w:p w14:paraId="6FDD8778"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 La negativa a la información solicitada; </w:t>
      </w:r>
    </w:p>
    <w:p w14:paraId="20A2F018"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La clasificación de la información; </w:t>
      </w:r>
    </w:p>
    <w:p w14:paraId="25E198F8"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III. La declaración de inexistencia de la información; </w:t>
      </w:r>
    </w:p>
    <w:p w14:paraId="5AB62A2C"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IV. La declaración de incompetencia por el sujeto obligado; </w:t>
      </w:r>
    </w:p>
    <w:p w14:paraId="197CD026"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 La entrega de información incompleta; </w:t>
      </w:r>
    </w:p>
    <w:p w14:paraId="644A0670"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 La entrega de información que no corresponda con lo solicitado; </w:t>
      </w:r>
    </w:p>
    <w:p w14:paraId="06E5DF37"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VII. La falta de respuesta a una solicitud de acceso a la información; </w:t>
      </w:r>
    </w:p>
    <w:p w14:paraId="3BB1035E"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VIII. La notificación, entrega o puesta a disposición de información en una modalidad o formato distinto al solicitado; </w:t>
      </w:r>
    </w:p>
    <w:p w14:paraId="10DB0471"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IX. La entrega o puesta a disposición de información en un formato incomprensible y/o no accesible para el solicitante; </w:t>
      </w:r>
    </w:p>
    <w:p w14:paraId="3D462DFB"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X. Los costos o tiempos de entrega de la información; </w:t>
      </w:r>
    </w:p>
    <w:p w14:paraId="485EC23C"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XI. La falta de trámite a una solicitud; </w:t>
      </w:r>
    </w:p>
    <w:p w14:paraId="764E5FA5"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XII. La negativa a permitir la consulta directa de la información; </w:t>
      </w:r>
    </w:p>
    <w:p w14:paraId="37B833B4"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XIII. La falta, deficiencia o insuficiencia de la fundamentación y/o motivación en la respuesta; y </w:t>
      </w:r>
    </w:p>
    <w:p w14:paraId="30A4567C"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XIV. La orientación a un trámite específico.</w:t>
      </w:r>
    </w:p>
    <w:p w14:paraId="2B96A193" w14:textId="77777777" w:rsidR="00707C9E" w:rsidRDefault="00F347F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4CC145AA" w14:textId="77777777" w:rsidR="00707C9E" w:rsidRDefault="00707C9E">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2D9A6C9E" w14:textId="77777777" w:rsidR="00707C9E" w:rsidRDefault="00F347F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el artículo 176 de la Ley de Transparencia y Acceso a la Información Pública del Estado de México y Municipios, establece que el Recurso de Revisión, es la garantía secundaria </w:t>
      </w:r>
      <w:r>
        <w:rPr>
          <w:rFonts w:ascii="Palatino Linotype" w:eastAsia="Palatino Linotype" w:hAnsi="Palatino Linotype" w:cs="Palatino Linotype"/>
          <w:sz w:val="22"/>
          <w:szCs w:val="22"/>
        </w:rPr>
        <w:lastRenderedPageBreak/>
        <w:t>mediante la cual se pretende reparar cualquier afectación al derecho de acceso a la información pública.</w:t>
      </w:r>
    </w:p>
    <w:p w14:paraId="1845A56B" w14:textId="77777777" w:rsidR="00707C9E" w:rsidRDefault="00707C9E">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42E7C04E" w14:textId="77777777" w:rsidR="00707C9E" w:rsidRDefault="00F347F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conforme al Diccionario de Transparencia y Acceso a la Información Pública y la página oficial de este Instituto (</w:t>
      </w:r>
      <w:hyperlink r:id="rId9" w:anchor="queEsRRdeIP">
        <w:r>
          <w:rPr>
            <w:rFonts w:ascii="Palatino Linotype" w:eastAsia="Palatino Linotype" w:hAnsi="Palatino Linotype" w:cs="Palatino Linotype"/>
            <w:sz w:val="22"/>
            <w:szCs w:val="22"/>
          </w:rPr>
          <w:t>https://www.infoem.org.mx/es/content/informacion-publica#queEsRRdeIP</w:t>
        </w:r>
      </w:hyperlink>
      <w:r>
        <w:rPr>
          <w:rFonts w:ascii="Palatino Linotype" w:eastAsia="Palatino Linotype" w:hAnsi="Palatino Linotype" w:cs="Palatino Linotype"/>
          <w:sz w:val="22"/>
          <w:szCs w:val="22"/>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14:paraId="4FC94049" w14:textId="77777777" w:rsidR="00707C9E" w:rsidRDefault="00707C9E">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76B40316" w14:textId="77777777" w:rsidR="00707C9E" w:rsidRDefault="00F347F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logra vislumbrar que el Recurso de Revisión es una garantía secundaría al Derecho de Acceso a la Información Pública, por lo que, es procedente cuando los Particulares se inconformen con la falta de respuesta o trámite, o bien, de alguna circunstancia de la contestación realizada por los Sujetos Obligados </w:t>
      </w:r>
      <w:r>
        <w:rPr>
          <w:rFonts w:ascii="Palatino Linotype" w:eastAsia="Palatino Linotype" w:hAnsi="Palatino Linotype" w:cs="Palatino Linotype"/>
          <w:b/>
          <w:bCs/>
          <w:sz w:val="22"/>
          <w:szCs w:val="22"/>
          <w:u w:val="single"/>
        </w:rPr>
        <w:t>a una solicitud de información específica.</w:t>
      </w:r>
    </w:p>
    <w:p w14:paraId="72E769A3" w14:textId="77777777" w:rsidR="00707C9E" w:rsidRDefault="00707C9E">
      <w:pPr>
        <w:spacing w:line="360" w:lineRule="auto"/>
        <w:jc w:val="both"/>
        <w:rPr>
          <w:rFonts w:ascii="Palatino Linotype" w:eastAsia="Palatino Linotype" w:hAnsi="Palatino Linotype" w:cs="Palatino Linotype"/>
          <w:b/>
          <w:bCs/>
          <w:sz w:val="22"/>
          <w:szCs w:val="22"/>
        </w:rPr>
      </w:pPr>
    </w:p>
    <w:p w14:paraId="32CC7BCA" w14:textId="77777777" w:rsidR="00707C9E" w:rsidRDefault="00F347F3">
      <w:pPr>
        <w:tabs>
          <w:tab w:val="left" w:pos="4962"/>
        </w:tabs>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sz w:val="22"/>
          <w:szCs w:val="22"/>
        </w:rPr>
        <w:t xml:space="preserve">Con base en lo anterior, y a efecto de verificar si el presente Recurso de Revisión actualiza alguna causal de procedencia del artículo 179 de la Ley de la Materia citado en párrafos que anteceden, es necesario precisar que el Particular </w:t>
      </w:r>
      <w:r>
        <w:rPr>
          <w:rFonts w:ascii="Palatino Linotype" w:eastAsia="Palatino Linotype" w:hAnsi="Palatino Linotype" w:cs="Palatino Linotype"/>
          <w:color w:val="000000"/>
          <w:sz w:val="22"/>
          <w:szCs w:val="22"/>
        </w:rPr>
        <w:t xml:space="preserve">requirió,  </w:t>
      </w:r>
      <w:r>
        <w:rPr>
          <w:rFonts w:ascii="Palatino Linotype" w:eastAsia="Palatino Linotype" w:hAnsi="Palatino Linotype" w:cs="Palatino Linotype"/>
          <w:b/>
          <w:bCs/>
          <w:color w:val="000000"/>
          <w:sz w:val="22"/>
          <w:szCs w:val="22"/>
        </w:rPr>
        <w:t>las acciones emprendidas en las áreas naturales protegidas ubicadas en el territorio municipal, los planes de manejo actualizados, denuncias o quejas que obren sobre dichos espacios, así como la fecha de siniestros, monitoreo de plagas y tipo de las mismas del primero de enero al treinta y uno de mayo del dos mil veinticinco.</w:t>
      </w:r>
    </w:p>
    <w:p w14:paraId="69B5CBAC" w14:textId="77777777" w:rsidR="00707C9E" w:rsidRDefault="00707C9E">
      <w:pPr>
        <w:tabs>
          <w:tab w:val="left" w:pos="4962"/>
        </w:tabs>
        <w:spacing w:line="360" w:lineRule="auto"/>
        <w:jc w:val="both"/>
        <w:rPr>
          <w:rFonts w:ascii="Palatino Linotype" w:eastAsia="Palatino Linotype" w:hAnsi="Palatino Linotype" w:cs="Palatino Linotype"/>
          <w:color w:val="000000"/>
        </w:rPr>
      </w:pPr>
    </w:p>
    <w:p w14:paraId="7E5376C6" w14:textId="77777777" w:rsidR="00707C9E" w:rsidRDefault="00F347F3">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respuesta la Dirección de Medio Ambiente, </w:t>
      </w:r>
      <w:r>
        <w:rPr>
          <w:rFonts w:ascii="Palatino Linotype" w:eastAsia="Palatino Linotype" w:hAnsi="Palatino Linotype" w:cs="Palatino Linotype"/>
          <w:sz w:val="22"/>
          <w:szCs w:val="22"/>
        </w:rPr>
        <w:t>entregó</w:t>
      </w:r>
      <w:r>
        <w:rPr>
          <w:rFonts w:ascii="Palatino Linotype" w:eastAsia="Palatino Linotype" w:hAnsi="Palatino Linotype" w:cs="Palatino Linotype"/>
          <w:color w:val="000000"/>
          <w:sz w:val="22"/>
          <w:szCs w:val="22"/>
        </w:rPr>
        <w:t xml:space="preserve"> las acciones que realizaban a la única área natural protegida denominada “Sierra de Guadalupe”, y refiriendo que tras una </w:t>
      </w:r>
      <w:r>
        <w:rPr>
          <w:rFonts w:ascii="Palatino Linotype" w:eastAsia="Palatino Linotype" w:hAnsi="Palatino Linotype" w:cs="Palatino Linotype"/>
          <w:color w:val="000000"/>
          <w:sz w:val="22"/>
          <w:szCs w:val="22"/>
        </w:rPr>
        <w:lastRenderedPageBreak/>
        <w:t>búsqueda exhaustiva no se encontró un plan de trabajo, ni denuncias, o siniestros a la fecha que requirió.</w:t>
      </w:r>
    </w:p>
    <w:p w14:paraId="63007C58" w14:textId="77777777" w:rsidR="00707C9E" w:rsidRDefault="00707C9E">
      <w:pPr>
        <w:tabs>
          <w:tab w:val="left" w:pos="4962"/>
        </w:tabs>
        <w:spacing w:line="360" w:lineRule="auto"/>
        <w:jc w:val="both"/>
        <w:rPr>
          <w:rFonts w:ascii="Palatino Linotype" w:eastAsia="Palatino Linotype" w:hAnsi="Palatino Linotype" w:cs="Palatino Linotype"/>
        </w:rPr>
      </w:pPr>
    </w:p>
    <w:p w14:paraId="24AF23E5" w14:textId="77777777" w:rsidR="00707C9E" w:rsidRDefault="00F347F3">
      <w:pPr>
        <w:tabs>
          <w:tab w:val="left" w:pos="4962"/>
        </w:tabs>
        <w:spacing w:line="360" w:lineRule="auto"/>
        <w:ind w:right="-14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la persona Recurrente señaló como acto reclamado, que había solicitado los indicadores generados por la administración 01 de enero de 2025 al 31 de mayo de 2025, para la medición de impactos de pláticas de educación ambiental y su temática, talleres de educación ambiental y su temática, cursos de educación ambiental y su temática, instalación de jardines polinizadores, seguimiento de denuncias en materia de maltrato animal, hacinamiento, acumulación, sonido, emisiones a la atmósfera, poda y sus causas, derribo y sus causas, manejo de incendios; lo cual no guarda relación con la petición inicial.</w:t>
      </w:r>
    </w:p>
    <w:p w14:paraId="6E00DF8E" w14:textId="77777777" w:rsidR="00707C9E" w:rsidRDefault="00707C9E">
      <w:pPr>
        <w:tabs>
          <w:tab w:val="left" w:pos="4962"/>
        </w:tabs>
        <w:spacing w:line="360" w:lineRule="auto"/>
        <w:ind w:right="-140"/>
        <w:jc w:val="both"/>
        <w:rPr>
          <w:rFonts w:ascii="Palatino Linotype" w:eastAsia="Palatino Linotype" w:hAnsi="Palatino Linotype" w:cs="Palatino Linotype"/>
          <w:sz w:val="22"/>
          <w:szCs w:val="22"/>
        </w:rPr>
      </w:pPr>
    </w:p>
    <w:p w14:paraId="328D42D9" w14:textId="77777777" w:rsidR="00707C9E" w:rsidRDefault="00F347F3">
      <w:pPr>
        <w:tabs>
          <w:tab w:val="left" w:pos="4962"/>
        </w:tabs>
        <w:spacing w:line="360" w:lineRule="auto"/>
        <w:ind w:right="-14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como motivo de inconformidad señaló que había solicitado indicadores y le enviaban un cuadro que tenía información que no tenía relación con un indicador en absoluto, lo cual tampoco guarda relación, con la petición inicial, ni la respuesta; pues es de recordar que el asunto materia del presente Recurso de Revisión, radica en las acciones, quejas, denuncias, siniestros o plagas localizadas en las zonas naturales protegidas.</w:t>
      </w:r>
    </w:p>
    <w:p w14:paraId="704A46D6" w14:textId="77777777" w:rsidR="00707C9E" w:rsidRDefault="00F347F3">
      <w:pPr>
        <w:tabs>
          <w:tab w:val="left" w:pos="4962"/>
        </w:tabs>
        <w:spacing w:line="360" w:lineRule="auto"/>
        <w:ind w:right="-14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C8C6EEF" w14:textId="77777777" w:rsidR="00707C9E" w:rsidRDefault="00F347F3">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tal circunstancia, se colige que la persona Solicitante </w:t>
      </w:r>
      <w:r>
        <w:rPr>
          <w:rFonts w:ascii="Palatino Linotype" w:eastAsia="Palatino Linotype" w:hAnsi="Palatino Linotype" w:cs="Palatino Linotype"/>
          <w:b/>
          <w:bCs/>
          <w:color w:val="000000"/>
          <w:sz w:val="22"/>
          <w:szCs w:val="22"/>
        </w:rPr>
        <w:t>se agravió de la respuesta a otra solicitud de informació</w:t>
      </w:r>
      <w:r>
        <w:rPr>
          <w:rFonts w:ascii="Palatino Linotype" w:eastAsia="Palatino Linotype" w:hAnsi="Palatino Linotype" w:cs="Palatino Linotype"/>
          <w:color w:val="000000"/>
          <w:sz w:val="22"/>
          <w:szCs w:val="22"/>
        </w:rPr>
        <w:t>n, por lo que, la inconformidad no guarda relación con lo peticionado inicialmente, ni con la respuesta entregada por el Ayuntamiento de Coacalco de Berriozábal; en otras palabras, el Medio de Impugnación no actualiza ninguna causal de procedencia, por las siguientes consideraciones:</w:t>
      </w:r>
    </w:p>
    <w:p w14:paraId="6288B5F1" w14:textId="77777777" w:rsidR="00707C9E" w:rsidRDefault="00707C9E">
      <w:pPr>
        <w:tabs>
          <w:tab w:val="left" w:pos="4962"/>
        </w:tabs>
        <w:spacing w:line="360" w:lineRule="auto"/>
        <w:jc w:val="both"/>
        <w:rPr>
          <w:rFonts w:ascii="Palatino Linotype" w:eastAsia="Palatino Linotype" w:hAnsi="Palatino Linotype" w:cs="Palatino Linotype"/>
          <w:color w:val="000000"/>
          <w:sz w:val="22"/>
          <w:szCs w:val="22"/>
        </w:rPr>
      </w:pPr>
    </w:p>
    <w:p w14:paraId="31B8C6C7" w14:textId="77777777" w:rsidR="00707C9E" w:rsidRDefault="00F347F3">
      <w:pPr>
        <w:numPr>
          <w:ilvl w:val="0"/>
          <w:numId w:val="2"/>
        </w:num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No se inconformó de la negativa de información, la falta de respuesta o trámite, cambio de modalidad, entrega de un documento inaccesible o incomprensible o bien de los costos, pues el Sujeto Obligado proporcionó respuesta en la modalidad requerida;</w:t>
      </w:r>
    </w:p>
    <w:p w14:paraId="18AE8D2C" w14:textId="77777777" w:rsidR="00707C9E" w:rsidRDefault="00F347F3">
      <w:pPr>
        <w:numPr>
          <w:ilvl w:val="0"/>
          <w:numId w:val="2"/>
        </w:num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 se agravió de la inexistencia o incompetencia, ni de la entrega de información incompleta o que no corresponde con lo solicitado, pues el agravió no guarda relación con la solicitud inicial, ni la respuesta entregada, y</w:t>
      </w:r>
    </w:p>
    <w:p w14:paraId="7B6A9265" w14:textId="77777777" w:rsidR="00707C9E" w:rsidRDefault="00F347F3">
      <w:pPr>
        <w:numPr>
          <w:ilvl w:val="0"/>
          <w:numId w:val="2"/>
        </w:num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 se inconformó de la clasificación.</w:t>
      </w:r>
    </w:p>
    <w:p w14:paraId="427F1C7C"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21749B30" w14:textId="77777777" w:rsidR="00707C9E" w:rsidRDefault="00F347F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 anterior, resulta así pues la inconformidad de la persona Recurrente corresponde a otra solicitud de información; pues la inconformidad, no guarda relación con lo peticionado inicialmente, ni fue entregado por el Sujeto Obligado para atender el requerimiento 00168/COACALCO/IP/2025, materia del presente Recurso; por lo que, en el presente caso, la persona Solicitante no emitió ninguna inconformidad con la respuesta entregada en la solicitud mencionada. </w:t>
      </w:r>
    </w:p>
    <w:p w14:paraId="1172479F" w14:textId="77777777" w:rsidR="00707C9E" w:rsidRDefault="00707C9E">
      <w:pPr>
        <w:spacing w:line="360" w:lineRule="auto"/>
        <w:jc w:val="both"/>
        <w:rPr>
          <w:rFonts w:ascii="Palatino Linotype" w:eastAsia="Palatino Linotype" w:hAnsi="Palatino Linotype" w:cs="Palatino Linotype"/>
          <w:color w:val="000000"/>
          <w:sz w:val="22"/>
          <w:szCs w:val="22"/>
        </w:rPr>
      </w:pPr>
    </w:p>
    <w:p w14:paraId="683267AA" w14:textId="77777777" w:rsidR="00707C9E" w:rsidRDefault="00F347F3">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se logra vislumbrar que el Medio de Impugnación no actualiza alguna causal de procedencia, pues como ya se refirió, no existe inconformidad con la respuesta entregada, y, por lo tanto, se materializa la causal de </w:t>
      </w:r>
      <w:proofErr w:type="spellStart"/>
      <w:r>
        <w:rPr>
          <w:rFonts w:ascii="Palatino Linotype" w:eastAsia="Palatino Linotype" w:hAnsi="Palatino Linotype" w:cs="Palatino Linotype"/>
          <w:color w:val="000000"/>
          <w:sz w:val="22"/>
          <w:szCs w:val="22"/>
        </w:rPr>
        <w:t>desechamiento</w:t>
      </w:r>
      <w:proofErr w:type="spellEnd"/>
      <w:r>
        <w:rPr>
          <w:rFonts w:ascii="Palatino Linotype" w:eastAsia="Palatino Linotype" w:hAnsi="Palatino Linotype" w:cs="Palatino Linotype"/>
          <w:color w:val="000000"/>
          <w:sz w:val="22"/>
          <w:szCs w:val="22"/>
        </w:rPr>
        <w:t xml:space="preserve"> establecida en el artículo 191, fracción III, de la Ley de la materia; sin embargo, toda vez que fue necesario admitir el Medio de Impugnación, para verificar dicha circunstancia, lo procedente es </w:t>
      </w:r>
      <w:r>
        <w:rPr>
          <w:rFonts w:ascii="Palatino Linotype" w:eastAsia="Palatino Linotype" w:hAnsi="Palatino Linotype" w:cs="Palatino Linotype"/>
          <w:b/>
          <w:bCs/>
          <w:color w:val="000000"/>
          <w:sz w:val="22"/>
          <w:szCs w:val="22"/>
        </w:rPr>
        <w:t>SOBRESEER</w:t>
      </w:r>
      <w:r>
        <w:rPr>
          <w:rFonts w:ascii="Palatino Linotype" w:eastAsia="Palatino Linotype" w:hAnsi="Palatino Linotype" w:cs="Palatino Linotype"/>
          <w:color w:val="000000"/>
          <w:sz w:val="22"/>
          <w:szCs w:val="22"/>
        </w:rPr>
        <w:t xml:space="preserve"> el mismo. </w:t>
      </w:r>
    </w:p>
    <w:p w14:paraId="70BFDAD8" w14:textId="77777777" w:rsidR="00707C9E" w:rsidRDefault="00707C9E">
      <w:pPr>
        <w:spacing w:line="360" w:lineRule="auto"/>
        <w:jc w:val="both"/>
        <w:rPr>
          <w:rFonts w:ascii="Palatino Linotype" w:eastAsia="Palatino Linotype" w:hAnsi="Palatino Linotype" w:cs="Palatino Linotype"/>
          <w:sz w:val="22"/>
          <w:szCs w:val="22"/>
        </w:rPr>
      </w:pPr>
    </w:p>
    <w:p w14:paraId="0B3B7480" w14:textId="77777777" w:rsidR="00707C9E" w:rsidRDefault="00F347F3">
      <w:pPr>
        <w:pStyle w:val="Ttulo2"/>
        <w:jc w:val="both"/>
      </w:pPr>
      <w:bookmarkStart w:id="12" w:name="_heading=h.235d20l0lm5n" w:colFirst="0" w:colLast="0"/>
      <w:bookmarkStart w:id="13" w:name="_Toc216361439"/>
      <w:bookmarkEnd w:id="12"/>
      <w:r>
        <w:t>CUARTO. Decisión</w:t>
      </w:r>
      <w:bookmarkEnd w:id="13"/>
    </w:p>
    <w:p w14:paraId="02F118DD" w14:textId="77777777" w:rsidR="00707C9E" w:rsidRDefault="00707C9E">
      <w:pPr>
        <w:spacing w:line="360" w:lineRule="auto"/>
        <w:jc w:val="both"/>
        <w:rPr>
          <w:rFonts w:ascii="Palatino Linotype" w:eastAsia="Palatino Linotype" w:hAnsi="Palatino Linotype" w:cs="Palatino Linotype"/>
          <w:b/>
          <w:bCs/>
          <w:sz w:val="22"/>
          <w:szCs w:val="22"/>
        </w:rPr>
      </w:pPr>
    </w:p>
    <w:p w14:paraId="765378E6" w14:textId="77777777" w:rsidR="00707C9E" w:rsidRDefault="00F347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Con fundamento en lo dispuesto en el artículo 186, fracción I de la Ley de Transparencia y Acceso a la Información Pública del Estado de México y Municipios, se considera procedente </w:t>
      </w:r>
      <w:r>
        <w:rPr>
          <w:rFonts w:ascii="Palatino Linotype" w:eastAsia="Palatino Linotype" w:hAnsi="Palatino Linotype" w:cs="Palatino Linotype"/>
          <w:b/>
          <w:bCs/>
          <w:sz w:val="22"/>
          <w:szCs w:val="22"/>
        </w:rPr>
        <w:t xml:space="preserve">SOBRESEER </w:t>
      </w:r>
      <w:r>
        <w:rPr>
          <w:rFonts w:ascii="Palatino Linotype" w:eastAsia="Palatino Linotype" w:hAnsi="Palatino Linotype" w:cs="Palatino Linotype"/>
          <w:sz w:val="22"/>
          <w:szCs w:val="22"/>
        </w:rPr>
        <w:t>el Recurso de Revisión, en virtud de que se actualiza la hipótesis normativa prevista en la fracción IV, del diverso 192, en relación, con el 191, fracción III, ambos del citado ordenamiento legal.</w:t>
      </w:r>
    </w:p>
    <w:p w14:paraId="7B520C9C" w14:textId="77777777" w:rsidR="00707C9E" w:rsidRDefault="00707C9E">
      <w:pPr>
        <w:spacing w:line="360" w:lineRule="auto"/>
        <w:ind w:right="-93"/>
        <w:jc w:val="both"/>
        <w:rPr>
          <w:rFonts w:ascii="Palatino Linotype" w:eastAsia="Palatino Linotype" w:hAnsi="Palatino Linotype" w:cs="Palatino Linotype"/>
          <w:sz w:val="22"/>
          <w:szCs w:val="22"/>
        </w:rPr>
      </w:pPr>
    </w:p>
    <w:p w14:paraId="15BAB396" w14:textId="77777777" w:rsidR="00707C9E" w:rsidRDefault="00F347F3">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36883F29" w14:textId="77777777" w:rsidR="00707C9E" w:rsidRDefault="00707C9E">
      <w:pPr>
        <w:spacing w:line="360" w:lineRule="auto"/>
        <w:jc w:val="both"/>
        <w:rPr>
          <w:rFonts w:ascii="Palatino Linotype" w:eastAsia="Palatino Linotype" w:hAnsi="Palatino Linotype" w:cs="Palatino Linotype"/>
          <w:b/>
          <w:bCs/>
          <w:sz w:val="22"/>
          <w:szCs w:val="22"/>
        </w:rPr>
      </w:pPr>
    </w:p>
    <w:p w14:paraId="23EBCE2E" w14:textId="77777777" w:rsidR="00707C9E" w:rsidRDefault="00F347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le hace del conocimiento al Particular, que su Recurso no actualiza ninguna de las causales de procedencia establecidas en la Ley de la materia, pues se inconformó de algo que no solicitó, es decir, el Sujeto Obligado dio cabal respuesta al requerimiento de Información por tal motivo no puede aludir a una inconformidad diversa a lo solicitado inicialmente.</w:t>
      </w:r>
    </w:p>
    <w:p w14:paraId="28517CB9" w14:textId="77777777" w:rsidR="00707C9E" w:rsidRDefault="00707C9E">
      <w:pPr>
        <w:spacing w:line="360" w:lineRule="auto"/>
        <w:jc w:val="both"/>
        <w:rPr>
          <w:rFonts w:ascii="Palatino Linotype" w:eastAsia="Palatino Linotype" w:hAnsi="Palatino Linotype" w:cs="Palatino Linotype"/>
          <w:sz w:val="22"/>
          <w:szCs w:val="22"/>
        </w:rPr>
      </w:pPr>
    </w:p>
    <w:p w14:paraId="592AA005" w14:textId="77777777" w:rsidR="00707C9E" w:rsidRDefault="00F347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se le informa que la labor del Instituto de Transparencia, Acceso a la Información Pública y Protección de Datos Personales del Estado de México y Municipios, por una parte, es apoyar a la población a acceder a la información pública y, por otra parte, es garantizar la protección de los datos personales.</w:t>
      </w:r>
    </w:p>
    <w:p w14:paraId="5349BF59" w14:textId="77777777" w:rsidR="00707C9E" w:rsidRDefault="00707C9E">
      <w:pPr>
        <w:spacing w:line="360" w:lineRule="auto"/>
        <w:jc w:val="both"/>
        <w:rPr>
          <w:rFonts w:ascii="Palatino Linotype" w:eastAsia="Palatino Linotype" w:hAnsi="Palatino Linotype" w:cs="Palatino Linotype"/>
          <w:sz w:val="22"/>
          <w:szCs w:val="22"/>
        </w:rPr>
      </w:pPr>
    </w:p>
    <w:p w14:paraId="4F3EA9E0" w14:textId="77777777" w:rsidR="00707C9E" w:rsidRDefault="00F347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3207C979" w14:textId="77777777" w:rsidR="00707C9E" w:rsidRDefault="00707C9E">
      <w:pPr>
        <w:spacing w:line="360" w:lineRule="auto"/>
        <w:jc w:val="both"/>
        <w:rPr>
          <w:rFonts w:ascii="Palatino Linotype" w:eastAsia="Palatino Linotype" w:hAnsi="Palatino Linotype" w:cs="Palatino Linotype"/>
          <w:sz w:val="22"/>
          <w:szCs w:val="22"/>
        </w:rPr>
      </w:pPr>
    </w:p>
    <w:p w14:paraId="6FC8EB4A" w14:textId="77777777" w:rsidR="00707C9E" w:rsidRDefault="00F347F3">
      <w:pPr>
        <w:pStyle w:val="Ttulo1"/>
      </w:pPr>
      <w:bookmarkStart w:id="14" w:name="_heading=h.29lxhbc6w0ov" w:colFirst="0" w:colLast="0"/>
      <w:bookmarkStart w:id="15" w:name="_Toc216361440"/>
      <w:bookmarkEnd w:id="14"/>
      <w:r>
        <w:t>R E S U E L V E</w:t>
      </w:r>
      <w:bookmarkEnd w:id="15"/>
    </w:p>
    <w:p w14:paraId="09F768E7" w14:textId="77777777" w:rsidR="00707C9E" w:rsidRDefault="00707C9E">
      <w:pPr>
        <w:spacing w:line="360" w:lineRule="auto"/>
        <w:jc w:val="both"/>
        <w:rPr>
          <w:rFonts w:ascii="Palatino Linotype" w:eastAsia="Palatino Linotype" w:hAnsi="Palatino Linotype" w:cs="Palatino Linotype"/>
          <w:b/>
          <w:bCs/>
          <w:sz w:val="22"/>
          <w:szCs w:val="22"/>
        </w:rPr>
      </w:pPr>
    </w:p>
    <w:p w14:paraId="7380127F" w14:textId="77777777" w:rsidR="00707C9E" w:rsidRDefault="00F347F3">
      <w:pPr>
        <w:spacing w:line="360" w:lineRule="auto"/>
        <w:jc w:val="both"/>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bCs/>
          <w:sz w:val="22"/>
          <w:szCs w:val="22"/>
        </w:rPr>
        <w:t xml:space="preserve">SOBRESEE </w:t>
      </w:r>
      <w:r>
        <w:rPr>
          <w:rFonts w:ascii="Palatino Linotype" w:eastAsia="Palatino Linotype" w:hAnsi="Palatino Linotype" w:cs="Palatino Linotype"/>
          <w:sz w:val="22"/>
          <w:szCs w:val="22"/>
        </w:rPr>
        <w:t xml:space="preserve">el Recurso de Revisión </w:t>
      </w:r>
      <w:r>
        <w:rPr>
          <w:rFonts w:ascii="Palatino Linotype" w:eastAsia="Palatino Linotype" w:hAnsi="Palatino Linotype" w:cs="Palatino Linotype"/>
          <w:color w:val="0D0D0D"/>
          <w:sz w:val="22"/>
          <w:szCs w:val="22"/>
        </w:rPr>
        <w:t>08206/INFOEM/IP/RR/2025</w:t>
      </w:r>
      <w:r>
        <w:rPr>
          <w:rFonts w:ascii="Palatino Linotype" w:eastAsia="Palatino Linotype" w:hAnsi="Palatino Linotype" w:cs="Palatino Linotype"/>
          <w:sz w:val="22"/>
          <w:szCs w:val="22"/>
        </w:rPr>
        <w:t xml:space="preserve">, por actualizarse la causal de improcedencia establecida en la fracción III, del artículo 191, en relación con el artículo 192, fracción IV, de la Ley de Transparencia y Acceso a la Información </w:t>
      </w:r>
      <w:r>
        <w:rPr>
          <w:rFonts w:ascii="Palatino Linotype" w:eastAsia="Palatino Linotype" w:hAnsi="Palatino Linotype" w:cs="Palatino Linotype"/>
          <w:sz w:val="22"/>
          <w:szCs w:val="22"/>
        </w:rPr>
        <w:lastRenderedPageBreak/>
        <w:t>Pública del Estado de México y Municipios, de conformidad con lo señalado en los Considerandos TERCERO y CUARTO de la presente Resolución.</w:t>
      </w:r>
    </w:p>
    <w:p w14:paraId="13529544" w14:textId="77777777" w:rsidR="00707C9E" w:rsidRDefault="00707C9E">
      <w:pPr>
        <w:spacing w:line="360" w:lineRule="auto"/>
        <w:jc w:val="both"/>
        <w:rPr>
          <w:rFonts w:ascii="Palatino Linotype" w:eastAsia="Palatino Linotype" w:hAnsi="Palatino Linotype" w:cs="Palatino Linotype"/>
          <w:b/>
          <w:bCs/>
          <w:sz w:val="22"/>
          <w:szCs w:val="22"/>
        </w:rPr>
      </w:pPr>
    </w:p>
    <w:p w14:paraId="62350062" w14:textId="77777777" w:rsidR="00707C9E" w:rsidRDefault="00F347F3">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b/>
          <w:bCs/>
          <w:color w:val="000000"/>
          <w:sz w:val="22"/>
          <w:szCs w:val="22"/>
        </w:rPr>
        <w:t xml:space="preserve">NOTIFÍQUESE POR SAIMEX </w:t>
      </w:r>
      <w:r>
        <w:rPr>
          <w:rFonts w:ascii="Palatino Linotype" w:eastAsia="Palatino Linotype" w:hAnsi="Palatino Linotype" w:cs="Palatino Linotype"/>
          <w:color w:val="000000"/>
          <w:sz w:val="22"/>
          <w:szCs w:val="22"/>
        </w:rPr>
        <w:t>la presente Resolución al Titular de la Unidad de Transparencia del Sujeto Obligado.</w:t>
      </w:r>
    </w:p>
    <w:p w14:paraId="265C8FA9" w14:textId="77777777" w:rsidR="00707C9E" w:rsidRDefault="00707C9E">
      <w:pPr>
        <w:spacing w:line="360" w:lineRule="auto"/>
        <w:jc w:val="both"/>
        <w:rPr>
          <w:rFonts w:ascii="Palatino Linotype" w:eastAsia="Palatino Linotype" w:hAnsi="Palatino Linotype" w:cs="Palatino Linotype"/>
          <w:b/>
          <w:bCs/>
          <w:i/>
          <w:iCs/>
          <w:color w:val="000000"/>
          <w:sz w:val="22"/>
          <w:szCs w:val="22"/>
        </w:rPr>
      </w:pPr>
    </w:p>
    <w:p w14:paraId="48001AFD" w14:textId="77777777" w:rsidR="00707C9E" w:rsidRDefault="00F347F3">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TERCERO. NOTIFÍQUESE POR SAIMEX </w:t>
      </w:r>
      <w:r>
        <w:rPr>
          <w:rFonts w:ascii="Palatino Linotype" w:eastAsia="Palatino Linotype" w:hAnsi="Palatino Linotype" w:cs="Palatino Linotype"/>
          <w:color w:val="000000"/>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7183885" w14:textId="77777777" w:rsidR="00707C9E" w:rsidRDefault="00707C9E">
      <w:pPr>
        <w:spacing w:line="360" w:lineRule="auto"/>
        <w:jc w:val="both"/>
        <w:rPr>
          <w:rFonts w:ascii="Palatino Linotype" w:eastAsia="Palatino Linotype" w:hAnsi="Palatino Linotype" w:cs="Palatino Linotype"/>
          <w:b/>
          <w:bCs/>
          <w:sz w:val="22"/>
          <w:szCs w:val="22"/>
        </w:rPr>
      </w:pPr>
    </w:p>
    <w:p w14:paraId="073D33A4" w14:textId="77777777" w:rsidR="00707C9E" w:rsidRDefault="00F347F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DE DOS MIL VEINTICINCO, ANTE EL SECRETARIO TÉCNICO DEL PLENO, ALEXIS TAPIA RAMÍREZ.</w:t>
      </w:r>
    </w:p>
    <w:p w14:paraId="51F2CE94" w14:textId="77777777" w:rsidR="00707C9E" w:rsidRDefault="00707C9E">
      <w:pPr>
        <w:spacing w:line="360" w:lineRule="auto"/>
        <w:jc w:val="both"/>
        <w:rPr>
          <w:rFonts w:ascii="Palatino Linotype" w:eastAsia="Palatino Linotype" w:hAnsi="Palatino Linotype" w:cs="Palatino Linotype"/>
          <w:sz w:val="22"/>
          <w:szCs w:val="22"/>
        </w:rPr>
      </w:pPr>
    </w:p>
    <w:p w14:paraId="6AEBDFDA" w14:textId="77777777" w:rsidR="00707C9E" w:rsidRDefault="00707C9E">
      <w:pPr>
        <w:spacing w:line="360" w:lineRule="auto"/>
        <w:jc w:val="both"/>
        <w:rPr>
          <w:rFonts w:ascii="Palatino Linotype" w:eastAsia="Palatino Linotype" w:hAnsi="Palatino Linotype" w:cs="Palatino Linotype"/>
          <w:sz w:val="22"/>
          <w:szCs w:val="22"/>
        </w:rPr>
      </w:pPr>
    </w:p>
    <w:p w14:paraId="75F79119" w14:textId="77777777" w:rsidR="00707C9E" w:rsidRDefault="00707C9E">
      <w:pPr>
        <w:spacing w:line="360" w:lineRule="auto"/>
        <w:jc w:val="both"/>
        <w:rPr>
          <w:rFonts w:ascii="Palatino Linotype" w:eastAsia="Palatino Linotype" w:hAnsi="Palatino Linotype" w:cs="Palatino Linotype"/>
          <w:sz w:val="22"/>
          <w:szCs w:val="22"/>
        </w:rPr>
      </w:pPr>
    </w:p>
    <w:p w14:paraId="3586634B" w14:textId="77777777" w:rsidR="00707C9E" w:rsidRDefault="00707C9E">
      <w:pPr>
        <w:spacing w:line="360" w:lineRule="auto"/>
        <w:jc w:val="both"/>
        <w:rPr>
          <w:rFonts w:ascii="Palatino Linotype" w:eastAsia="Palatino Linotype" w:hAnsi="Palatino Linotype" w:cs="Palatino Linotype"/>
          <w:sz w:val="22"/>
          <w:szCs w:val="22"/>
        </w:rPr>
      </w:pPr>
    </w:p>
    <w:p w14:paraId="7F9C0DC8" w14:textId="77777777" w:rsidR="00707C9E" w:rsidRDefault="00707C9E">
      <w:pPr>
        <w:spacing w:line="360" w:lineRule="auto"/>
        <w:jc w:val="both"/>
        <w:rPr>
          <w:rFonts w:ascii="Palatino Linotype" w:eastAsia="Palatino Linotype" w:hAnsi="Palatino Linotype" w:cs="Palatino Linotype"/>
          <w:sz w:val="22"/>
          <w:szCs w:val="22"/>
        </w:rPr>
      </w:pPr>
    </w:p>
    <w:p w14:paraId="20C9B42F" w14:textId="77777777" w:rsidR="00707C9E" w:rsidRDefault="00707C9E">
      <w:pPr>
        <w:spacing w:line="360" w:lineRule="auto"/>
        <w:jc w:val="both"/>
        <w:rPr>
          <w:rFonts w:ascii="Palatino Linotype" w:eastAsia="Palatino Linotype" w:hAnsi="Palatino Linotype" w:cs="Palatino Linotype"/>
          <w:sz w:val="22"/>
          <w:szCs w:val="22"/>
        </w:rPr>
      </w:pPr>
    </w:p>
    <w:p w14:paraId="751232BB" w14:textId="77777777" w:rsidR="00707C9E" w:rsidRDefault="00707C9E">
      <w:pPr>
        <w:spacing w:line="360" w:lineRule="auto"/>
        <w:jc w:val="both"/>
        <w:rPr>
          <w:rFonts w:ascii="Palatino Linotype" w:eastAsia="Palatino Linotype" w:hAnsi="Palatino Linotype" w:cs="Palatino Linotype"/>
          <w:sz w:val="22"/>
          <w:szCs w:val="22"/>
        </w:rPr>
      </w:pPr>
    </w:p>
    <w:p w14:paraId="563130F6" w14:textId="77777777" w:rsidR="00707C9E" w:rsidRDefault="00707C9E">
      <w:pPr>
        <w:spacing w:line="360" w:lineRule="auto"/>
        <w:jc w:val="both"/>
        <w:rPr>
          <w:rFonts w:ascii="Palatino Linotype" w:eastAsia="Palatino Linotype" w:hAnsi="Palatino Linotype" w:cs="Palatino Linotype"/>
          <w:b/>
          <w:bCs/>
          <w:sz w:val="22"/>
          <w:szCs w:val="22"/>
        </w:rPr>
      </w:pPr>
    </w:p>
    <w:p w14:paraId="38301F1D" w14:textId="77777777" w:rsidR="00707C9E" w:rsidRDefault="00707C9E">
      <w:pPr>
        <w:spacing w:line="360" w:lineRule="auto"/>
        <w:jc w:val="both"/>
        <w:rPr>
          <w:rFonts w:ascii="Palatino Linotype" w:eastAsia="Palatino Linotype" w:hAnsi="Palatino Linotype" w:cs="Palatino Linotype"/>
          <w:sz w:val="22"/>
          <w:szCs w:val="22"/>
        </w:rPr>
      </w:pPr>
    </w:p>
    <w:p w14:paraId="29267BE5" w14:textId="77777777" w:rsidR="00707C9E" w:rsidRDefault="00707C9E">
      <w:pPr>
        <w:spacing w:line="360" w:lineRule="auto"/>
        <w:jc w:val="both"/>
        <w:rPr>
          <w:rFonts w:ascii="Palatino Linotype" w:eastAsia="Palatino Linotype" w:hAnsi="Palatino Linotype" w:cs="Palatino Linotype"/>
          <w:sz w:val="22"/>
          <w:szCs w:val="22"/>
        </w:rPr>
      </w:pPr>
    </w:p>
    <w:p w14:paraId="446BCA4C" w14:textId="77777777" w:rsidR="00707C9E" w:rsidRDefault="00707C9E">
      <w:pPr>
        <w:spacing w:line="360" w:lineRule="auto"/>
        <w:jc w:val="both"/>
        <w:rPr>
          <w:rFonts w:ascii="Palatino Linotype" w:eastAsia="Palatino Linotype" w:hAnsi="Palatino Linotype" w:cs="Palatino Linotype"/>
          <w:sz w:val="22"/>
          <w:szCs w:val="22"/>
        </w:rPr>
      </w:pPr>
    </w:p>
    <w:p w14:paraId="763C91BC" w14:textId="77777777" w:rsidR="00707C9E" w:rsidRDefault="00707C9E">
      <w:pPr>
        <w:spacing w:line="360" w:lineRule="auto"/>
        <w:ind w:right="-93"/>
        <w:jc w:val="both"/>
        <w:rPr>
          <w:rFonts w:ascii="Palatino Linotype" w:eastAsia="Palatino Linotype" w:hAnsi="Palatino Linotype" w:cs="Palatino Linotype"/>
          <w:sz w:val="22"/>
          <w:szCs w:val="22"/>
        </w:rPr>
      </w:pPr>
    </w:p>
    <w:p w14:paraId="0CAFC81F" w14:textId="77777777" w:rsidR="00707C9E" w:rsidRDefault="00707C9E">
      <w:pPr>
        <w:spacing w:line="360" w:lineRule="auto"/>
        <w:jc w:val="both"/>
        <w:rPr>
          <w:rFonts w:ascii="Palatino Linotype" w:eastAsia="Palatino Linotype" w:hAnsi="Palatino Linotype" w:cs="Palatino Linotype"/>
          <w:sz w:val="22"/>
          <w:szCs w:val="22"/>
        </w:rPr>
      </w:pPr>
    </w:p>
    <w:p w14:paraId="4E9CF340" w14:textId="77777777" w:rsidR="00707C9E" w:rsidRDefault="00707C9E">
      <w:pPr>
        <w:spacing w:line="360" w:lineRule="auto"/>
        <w:jc w:val="both"/>
        <w:rPr>
          <w:rFonts w:ascii="Palatino Linotype" w:eastAsia="Palatino Linotype" w:hAnsi="Palatino Linotype" w:cs="Palatino Linotype"/>
          <w:sz w:val="22"/>
          <w:szCs w:val="22"/>
        </w:rPr>
      </w:pPr>
      <w:bookmarkStart w:id="16" w:name="_heading=h.cjpaaex13mbk" w:colFirst="0" w:colLast="0"/>
      <w:bookmarkEnd w:id="16"/>
    </w:p>
    <w:p w14:paraId="762CBB9C" w14:textId="77777777" w:rsidR="00707C9E" w:rsidRDefault="00707C9E">
      <w:pPr>
        <w:spacing w:line="360" w:lineRule="auto"/>
      </w:pPr>
    </w:p>
    <w:p w14:paraId="2D2635F3" w14:textId="77777777" w:rsidR="00707C9E" w:rsidRDefault="00707C9E">
      <w:pPr>
        <w:spacing w:line="360" w:lineRule="auto"/>
      </w:pPr>
    </w:p>
    <w:p w14:paraId="2DF082DF" w14:textId="77777777" w:rsidR="00707C9E" w:rsidRDefault="00707C9E">
      <w:pPr>
        <w:spacing w:line="360" w:lineRule="auto"/>
      </w:pPr>
    </w:p>
    <w:p w14:paraId="7ED96572" w14:textId="77777777" w:rsidR="00707C9E" w:rsidRDefault="00707C9E">
      <w:pPr>
        <w:spacing w:line="360" w:lineRule="auto"/>
      </w:pPr>
    </w:p>
    <w:p w14:paraId="7515CEB5" w14:textId="77777777" w:rsidR="00707C9E" w:rsidRDefault="00707C9E">
      <w:pPr>
        <w:spacing w:line="360" w:lineRule="auto"/>
      </w:pPr>
    </w:p>
    <w:p w14:paraId="60A7DF2D" w14:textId="77777777" w:rsidR="00707C9E" w:rsidRDefault="00707C9E">
      <w:pPr>
        <w:spacing w:line="360" w:lineRule="auto"/>
        <w:jc w:val="both"/>
        <w:rPr>
          <w:rFonts w:ascii="Palatino Linotype" w:eastAsia="Palatino Linotype" w:hAnsi="Palatino Linotype" w:cs="Palatino Linotype"/>
          <w:color w:val="000000"/>
          <w:sz w:val="22"/>
          <w:szCs w:val="22"/>
        </w:rPr>
      </w:pPr>
    </w:p>
    <w:sectPr w:rsidR="00707C9E">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EAE30" w14:textId="77777777" w:rsidR="007A029A" w:rsidRDefault="007A029A">
      <w:r>
        <w:separator/>
      </w:r>
    </w:p>
  </w:endnote>
  <w:endnote w:type="continuationSeparator" w:id="0">
    <w:p w14:paraId="25799C5A" w14:textId="77777777" w:rsidR="007A029A" w:rsidRDefault="007A0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E7F95BA-7BED-4D1E-803A-322DB33FD9F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1B51CD9-6FDD-45D8-BC68-3A0965DD1F18}"/>
    <w:embedBold r:id="rId3" w:fontKey="{C2DCFDE0-B1AA-4A95-9689-A5B568326E6C}"/>
    <w:embedItalic r:id="rId4" w:fontKey="{BC6EC386-E516-4235-B1EB-84918E5A91CD}"/>
    <w:embedBoldItalic r:id="rId5" w:fontKey="{6E6C7C68-8581-4FC8-A179-A12ED85F7DC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1A196F4-96BE-4580-8518-74D37120A7FC}"/>
    <w:embedBold r:id="rId7" w:fontKey="{C27C2AF6-355E-45AC-BB3A-1256BCAAAF84}"/>
  </w:font>
  <w:font w:name="Century Gothic">
    <w:panose1 w:val="020B0502020202020204"/>
    <w:charset w:val="00"/>
    <w:family w:val="swiss"/>
    <w:pitch w:val="variable"/>
    <w:sig w:usb0="00000287" w:usb1="00000000" w:usb2="00000000" w:usb3="00000000" w:csb0="0000009F" w:csb1="00000000"/>
    <w:embedRegular r:id="rId8" w:fontKey="{5F21A330-7848-4F88-A59A-69107DC00E6B}"/>
  </w:font>
  <w:font w:name="Segoe UI">
    <w:panose1 w:val="020B0502040204020203"/>
    <w:charset w:val="00"/>
    <w:family w:val="swiss"/>
    <w:pitch w:val="variable"/>
    <w:sig w:usb0="E4002EFF" w:usb1="C000E47F" w:usb2="00000009" w:usb3="00000000" w:csb0="000001FF" w:csb1="00000000"/>
    <w:embedRegular r:id="rId9" w:fontKey="{6771DF45-2BF5-44BF-B341-DF3A5591FD24}"/>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DABC4479-EE34-4EDB-B62C-F2A3B3AAE680}"/>
  </w:font>
  <w:font w:name="Tahoma">
    <w:panose1 w:val="020B0604030504040204"/>
    <w:charset w:val="00"/>
    <w:family w:val="swiss"/>
    <w:pitch w:val="variable"/>
    <w:sig w:usb0="E1002EFF" w:usb1="C000605B" w:usb2="00000029" w:usb3="00000000" w:csb0="000101FF" w:csb1="00000000"/>
    <w:embedBold r:id="rId11" w:fontKey="{3122A13B-9F81-4872-9168-7C46F1A707EB}"/>
  </w:font>
  <w:font w:name="Garamond">
    <w:panose1 w:val="02020404030301010803"/>
    <w:charset w:val="00"/>
    <w:family w:val="roman"/>
    <w:pitch w:val="variable"/>
    <w:sig w:usb0="00000287" w:usb1="00000000" w:usb2="00000000" w:usb3="00000000" w:csb0="0000009F" w:csb1="00000000"/>
    <w:embedRegular r:id="rId12" w:fontKey="{3E811960-08EE-4C37-AE78-FE2FC7ADB9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DCB0F" w14:textId="77777777" w:rsidR="00707C9E" w:rsidRDefault="00707C9E">
    <w:pPr>
      <w:pBdr>
        <w:top w:val="nil"/>
        <w:left w:val="nil"/>
        <w:bottom w:val="nil"/>
        <w:right w:val="nil"/>
        <w:between w:val="nil"/>
      </w:pBdr>
      <w:tabs>
        <w:tab w:val="center" w:pos="4419"/>
        <w:tab w:val="right" w:pos="8838"/>
      </w:tabs>
      <w:jc w:val="right"/>
      <w:rPr>
        <w:color w:val="000000"/>
        <w:sz w:val="26"/>
        <w:szCs w:val="26"/>
      </w:rPr>
    </w:pPr>
  </w:p>
  <w:p w14:paraId="77C3C900" w14:textId="77777777" w:rsidR="00707C9E" w:rsidRDefault="00F347F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05AF0">
      <w:rPr>
        <w:b/>
        <w:bCs/>
        <w:noProof/>
        <w:color w:val="000000"/>
        <w:sz w:val="24"/>
        <w:szCs w:val="24"/>
      </w:rPr>
      <w:t>15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05AF0">
      <w:rPr>
        <w:b/>
        <w:bCs/>
        <w:noProof/>
        <w:color w:val="000000"/>
        <w:sz w:val="24"/>
        <w:szCs w:val="24"/>
      </w:rPr>
      <w:t>16</w:t>
    </w:r>
    <w:r>
      <w:rPr>
        <w:b/>
        <w:bCs/>
        <w:color w:val="000000"/>
        <w:sz w:val="24"/>
        <w:szCs w:val="24"/>
      </w:rPr>
      <w:fldChar w:fldCharType="end"/>
    </w:r>
  </w:p>
  <w:p w14:paraId="2D02FAF0" w14:textId="77777777" w:rsidR="00707C9E" w:rsidRDefault="00707C9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26CFC" w14:textId="77777777" w:rsidR="00707C9E" w:rsidRDefault="00707C9E">
    <w:pPr>
      <w:pBdr>
        <w:top w:val="nil"/>
        <w:left w:val="nil"/>
        <w:bottom w:val="nil"/>
        <w:right w:val="nil"/>
        <w:between w:val="nil"/>
      </w:pBdr>
      <w:tabs>
        <w:tab w:val="center" w:pos="4419"/>
        <w:tab w:val="right" w:pos="8838"/>
      </w:tabs>
      <w:jc w:val="right"/>
      <w:rPr>
        <w:color w:val="000000"/>
      </w:rPr>
    </w:pPr>
  </w:p>
  <w:p w14:paraId="1CABDCE9" w14:textId="77777777" w:rsidR="00707C9E" w:rsidRDefault="00F347F3">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05AF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05AF0">
      <w:rPr>
        <w:b/>
        <w:bCs/>
        <w:noProof/>
        <w:color w:val="000000"/>
        <w:sz w:val="24"/>
        <w:szCs w:val="24"/>
      </w:rPr>
      <w:t>16</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CF7FB" w14:textId="77777777" w:rsidR="007A029A" w:rsidRDefault="007A029A">
      <w:r>
        <w:separator/>
      </w:r>
    </w:p>
  </w:footnote>
  <w:footnote w:type="continuationSeparator" w:id="0">
    <w:p w14:paraId="797BB271" w14:textId="77777777" w:rsidR="007A029A" w:rsidRDefault="007A02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9AD4E" w14:textId="77777777" w:rsidR="00707C9E" w:rsidRDefault="00707C9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2"/>
      <w:tblW w:w="8222" w:type="dxa"/>
      <w:tblInd w:w="2268" w:type="dxa"/>
      <w:tblLayout w:type="fixed"/>
      <w:tblLook w:val="0400" w:firstRow="0" w:lastRow="0" w:firstColumn="0" w:lastColumn="0" w:noHBand="0" w:noVBand="1"/>
    </w:tblPr>
    <w:tblGrid>
      <w:gridCol w:w="8222"/>
    </w:tblGrid>
    <w:tr w:rsidR="00707C9E" w14:paraId="170B668B" w14:textId="77777777">
      <w:trPr>
        <w:trHeight w:val="1412"/>
      </w:trPr>
      <w:tc>
        <w:tcPr>
          <w:tcW w:w="8222" w:type="dxa"/>
          <w:shd w:val="clear" w:color="auto" w:fill="auto"/>
        </w:tcPr>
        <w:p w14:paraId="3A7A4A39" w14:textId="77777777" w:rsidR="00707C9E" w:rsidRDefault="00707C9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3"/>
            <w:tblW w:w="725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2"/>
            <w:gridCol w:w="4701"/>
          </w:tblGrid>
          <w:tr w:rsidR="00707C9E" w14:paraId="0BC905F9" w14:textId="77777777">
            <w:trPr>
              <w:trHeight w:val="144"/>
            </w:trPr>
            <w:tc>
              <w:tcPr>
                <w:tcW w:w="2552" w:type="dxa"/>
              </w:tcPr>
              <w:p w14:paraId="007E5217" w14:textId="77777777" w:rsidR="00707C9E" w:rsidRDefault="00F347F3">
                <w:pPr>
                  <w:tabs>
                    <w:tab w:val="right" w:pos="8838"/>
                  </w:tabs>
                  <w:spacing w:line="276" w:lineRule="auto"/>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14:paraId="091FE69E" w14:textId="77777777" w:rsidR="00707C9E" w:rsidRDefault="00F347F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701" w:type="dxa"/>
              </w:tcPr>
              <w:p w14:paraId="27DEFFF6" w14:textId="77777777" w:rsidR="00707C9E" w:rsidRDefault="00707C9E">
                <w:pPr>
                  <w:tabs>
                    <w:tab w:val="left" w:pos="1735"/>
                    <w:tab w:val="right" w:pos="8838"/>
                  </w:tabs>
                  <w:spacing w:line="276" w:lineRule="auto"/>
                  <w:ind w:left="-80"/>
                  <w:jc w:val="both"/>
                  <w:rPr>
                    <w:rFonts w:ascii="Palatino Linotype" w:eastAsia="Palatino Linotype" w:hAnsi="Palatino Linotype" w:cs="Palatino Linotype"/>
                    <w:sz w:val="22"/>
                    <w:szCs w:val="22"/>
                  </w:rPr>
                </w:pPr>
              </w:p>
              <w:p w14:paraId="310E4710" w14:textId="77777777" w:rsidR="00707C9E" w:rsidRDefault="00F347F3">
                <w:pPr>
                  <w:tabs>
                    <w:tab w:val="left" w:pos="1735"/>
                    <w:tab w:val="right" w:pos="8838"/>
                  </w:tabs>
                  <w:spacing w:line="276" w:lineRule="auto"/>
                  <w:ind w:left="-8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08206/INFOEM/IP/RR/2025</w:t>
                </w:r>
              </w:p>
            </w:tc>
          </w:tr>
          <w:tr w:rsidR="00707C9E" w14:paraId="2EF0543A" w14:textId="77777777">
            <w:trPr>
              <w:trHeight w:val="144"/>
            </w:trPr>
            <w:tc>
              <w:tcPr>
                <w:tcW w:w="2552" w:type="dxa"/>
              </w:tcPr>
              <w:p w14:paraId="39F6D26C" w14:textId="77777777" w:rsidR="00707C9E" w:rsidRDefault="00F347F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701" w:type="dxa"/>
              </w:tcPr>
              <w:p w14:paraId="4CF35AD4" w14:textId="77777777" w:rsidR="00707C9E" w:rsidRDefault="00F347F3">
                <w:pPr>
                  <w:tabs>
                    <w:tab w:val="left" w:pos="2834"/>
                    <w:tab w:val="right" w:pos="8838"/>
                  </w:tabs>
                  <w:spacing w:line="276" w:lineRule="auto"/>
                  <w:ind w:left="-8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Coacalco de Berriozábal</w:t>
                </w:r>
              </w:p>
            </w:tc>
          </w:tr>
          <w:tr w:rsidR="00707C9E" w14:paraId="7CF50100" w14:textId="77777777">
            <w:trPr>
              <w:trHeight w:val="138"/>
            </w:trPr>
            <w:tc>
              <w:tcPr>
                <w:tcW w:w="2552" w:type="dxa"/>
              </w:tcPr>
              <w:p w14:paraId="54DC0D69" w14:textId="77777777" w:rsidR="00707C9E" w:rsidRDefault="00F347F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701" w:type="dxa"/>
              </w:tcPr>
              <w:p w14:paraId="18FB54E8" w14:textId="77777777" w:rsidR="00707C9E" w:rsidRDefault="00F347F3">
                <w:pPr>
                  <w:tabs>
                    <w:tab w:val="left" w:pos="1735"/>
                    <w:tab w:val="right" w:pos="8838"/>
                  </w:tabs>
                  <w:spacing w:line="276" w:lineRule="auto"/>
                  <w:ind w:left="-8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E344A18" w14:textId="77777777" w:rsidR="00707C9E" w:rsidRDefault="00707C9E">
          <w:pPr>
            <w:tabs>
              <w:tab w:val="right" w:pos="8838"/>
            </w:tabs>
            <w:ind w:left="-28"/>
            <w:jc w:val="both"/>
            <w:rPr>
              <w:rFonts w:ascii="Arial" w:eastAsia="Arial" w:hAnsi="Arial" w:cs="Arial"/>
              <w:b/>
              <w:bCs/>
              <w:sz w:val="22"/>
              <w:szCs w:val="22"/>
            </w:rPr>
          </w:pPr>
        </w:p>
      </w:tc>
    </w:tr>
  </w:tbl>
  <w:p w14:paraId="2B69A496" w14:textId="77777777" w:rsidR="00707C9E" w:rsidRDefault="007A029A">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12F98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RCA DE AGUA - HOJA RESOLUCIÓN" style="position:absolute;margin-left:-71.15pt;margin-top:-122.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E1B6C" w14:textId="77777777" w:rsidR="00707C9E" w:rsidRDefault="007A029A">
    <w:r>
      <w:rPr>
        <w:rFonts w:ascii="Palatino Linotype" w:eastAsia="Palatino Linotype" w:hAnsi="Palatino Linotype" w:cs="Palatino Linotype"/>
        <w:b/>
        <w:bCs/>
        <w:sz w:val="22"/>
        <w:szCs w:val="22"/>
      </w:rPr>
      <w:pict w14:anchorId="0A7F2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margin-left:-88.25pt;margin-top:-125.95pt;width:663.5pt;height:12in;z-index:-251659264;mso-position-horizontal:absolute;mso-position-horizontal-relative:margin;mso-position-vertical:absolute;mso-position-vertical-relative:margin">
          <v:imagedata r:id="rId1" o:title="image2"/>
          <w10:wrap anchorx="margin" anchory="margin"/>
        </v:shape>
      </w:pict>
    </w:r>
  </w:p>
  <w:tbl>
    <w:tblPr>
      <w:tblStyle w:val="a4"/>
      <w:tblpPr w:leftFromText="141" w:rightFromText="141" w:vertAnchor="page" w:horzAnchor="margin" w:tblpY="556"/>
      <w:tblW w:w="907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27"/>
      <w:gridCol w:w="2405"/>
      <w:gridCol w:w="4541"/>
    </w:tblGrid>
    <w:tr w:rsidR="00707C9E" w14:paraId="5C0E7AF9" w14:textId="77777777">
      <w:trPr>
        <w:trHeight w:val="466"/>
      </w:trPr>
      <w:tc>
        <w:tcPr>
          <w:tcW w:w="2127" w:type="dxa"/>
          <w:vAlign w:val="bottom"/>
        </w:tcPr>
        <w:p w14:paraId="65DEDD9E" w14:textId="77777777" w:rsidR="00707C9E" w:rsidRDefault="00707C9E">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31E8D901" w14:textId="77777777" w:rsidR="00707C9E" w:rsidRDefault="00F347F3">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41" w:type="dxa"/>
          <w:vAlign w:val="bottom"/>
        </w:tcPr>
        <w:p w14:paraId="4CD9D6B3" w14:textId="77777777" w:rsidR="00707C9E" w:rsidRDefault="00F347F3">
          <w:pPr>
            <w:tabs>
              <w:tab w:val="left" w:pos="3435"/>
              <w:tab w:val="right" w:pos="8838"/>
            </w:tabs>
            <w:spacing w:line="276" w:lineRule="auto"/>
            <w:ind w:left="-28"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08206/INFOEM/IP/RR/2025</w:t>
          </w:r>
        </w:p>
      </w:tc>
    </w:tr>
    <w:tr w:rsidR="00707C9E" w14:paraId="40EDC059" w14:textId="77777777">
      <w:trPr>
        <w:trHeight w:val="119"/>
      </w:trPr>
      <w:tc>
        <w:tcPr>
          <w:tcW w:w="2127" w:type="dxa"/>
        </w:tcPr>
        <w:p w14:paraId="32909C84" w14:textId="77777777" w:rsidR="00707C9E" w:rsidRDefault="00707C9E">
          <w:pPr>
            <w:tabs>
              <w:tab w:val="right" w:pos="8838"/>
            </w:tabs>
            <w:ind w:right="-105"/>
            <w:rPr>
              <w:rFonts w:ascii="Palatino Linotype" w:eastAsia="Palatino Linotype" w:hAnsi="Palatino Linotype" w:cs="Palatino Linotype"/>
              <w:b/>
              <w:bCs/>
              <w:sz w:val="22"/>
              <w:szCs w:val="22"/>
            </w:rPr>
          </w:pPr>
        </w:p>
      </w:tc>
      <w:tc>
        <w:tcPr>
          <w:tcW w:w="2405" w:type="dxa"/>
        </w:tcPr>
        <w:p w14:paraId="70D149AB" w14:textId="77777777" w:rsidR="00707C9E" w:rsidRDefault="00F347F3">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541" w:type="dxa"/>
        </w:tcPr>
        <w:p w14:paraId="28041D88" w14:textId="77777777" w:rsidR="00707C9E" w:rsidRDefault="00707C9E">
          <w:pPr>
            <w:tabs>
              <w:tab w:val="right" w:pos="8838"/>
            </w:tabs>
            <w:spacing w:line="276" w:lineRule="auto"/>
            <w:ind w:right="-246"/>
            <w:jc w:val="both"/>
            <w:rPr>
              <w:rFonts w:ascii="Palatino Linotype" w:eastAsia="Palatino Linotype" w:hAnsi="Palatino Linotype" w:cs="Palatino Linotype"/>
              <w:sz w:val="22"/>
              <w:szCs w:val="22"/>
            </w:rPr>
          </w:pPr>
        </w:p>
      </w:tc>
    </w:tr>
    <w:tr w:rsidR="00707C9E" w14:paraId="30EBBA16" w14:textId="77777777">
      <w:trPr>
        <w:trHeight w:val="234"/>
      </w:trPr>
      <w:tc>
        <w:tcPr>
          <w:tcW w:w="2127" w:type="dxa"/>
        </w:tcPr>
        <w:p w14:paraId="7BF8FD48" w14:textId="77777777" w:rsidR="00707C9E" w:rsidRDefault="00707C9E">
          <w:pPr>
            <w:tabs>
              <w:tab w:val="right" w:pos="8838"/>
            </w:tabs>
            <w:ind w:right="-105"/>
            <w:rPr>
              <w:rFonts w:ascii="Palatino Linotype" w:eastAsia="Palatino Linotype" w:hAnsi="Palatino Linotype" w:cs="Palatino Linotype"/>
              <w:b/>
              <w:bCs/>
              <w:sz w:val="22"/>
              <w:szCs w:val="22"/>
            </w:rPr>
          </w:pPr>
        </w:p>
      </w:tc>
      <w:tc>
        <w:tcPr>
          <w:tcW w:w="2405" w:type="dxa"/>
        </w:tcPr>
        <w:p w14:paraId="1A19A307" w14:textId="77777777" w:rsidR="00707C9E" w:rsidRDefault="00F347F3">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41" w:type="dxa"/>
        </w:tcPr>
        <w:p w14:paraId="648FFE5C" w14:textId="77777777" w:rsidR="00707C9E" w:rsidRDefault="00F347F3">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Coacalco de </w:t>
          </w:r>
        </w:p>
        <w:p w14:paraId="031DFFD1" w14:textId="77777777" w:rsidR="00707C9E" w:rsidRDefault="00F347F3">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Berriozábal</w:t>
          </w:r>
        </w:p>
      </w:tc>
    </w:tr>
    <w:tr w:rsidR="00707C9E" w14:paraId="2491C34E" w14:textId="77777777">
      <w:trPr>
        <w:trHeight w:val="234"/>
      </w:trPr>
      <w:tc>
        <w:tcPr>
          <w:tcW w:w="2127" w:type="dxa"/>
        </w:tcPr>
        <w:p w14:paraId="5E4EAA92" w14:textId="77777777" w:rsidR="00707C9E" w:rsidRDefault="00707C9E">
          <w:pPr>
            <w:tabs>
              <w:tab w:val="right" w:pos="8838"/>
            </w:tabs>
            <w:ind w:right="-105"/>
            <w:rPr>
              <w:rFonts w:ascii="Palatino Linotype" w:eastAsia="Palatino Linotype" w:hAnsi="Palatino Linotype" w:cs="Palatino Linotype"/>
              <w:b/>
              <w:bCs/>
              <w:sz w:val="22"/>
              <w:szCs w:val="22"/>
            </w:rPr>
          </w:pPr>
        </w:p>
      </w:tc>
      <w:tc>
        <w:tcPr>
          <w:tcW w:w="2405" w:type="dxa"/>
        </w:tcPr>
        <w:p w14:paraId="0AF285F3" w14:textId="77777777" w:rsidR="00707C9E" w:rsidRDefault="00F347F3">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541" w:type="dxa"/>
        </w:tcPr>
        <w:p w14:paraId="150965C4" w14:textId="77777777" w:rsidR="00707C9E" w:rsidRDefault="00F347F3">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06FE5C89" w14:textId="77777777" w:rsidR="00707C9E" w:rsidRDefault="00707C9E">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50254"/>
    <w:multiLevelType w:val="multilevel"/>
    <w:tmpl w:val="F678E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D264F2"/>
    <w:multiLevelType w:val="multilevel"/>
    <w:tmpl w:val="CAEEB43E"/>
    <w:lvl w:ilvl="0">
      <w:start w:val="6"/>
      <w:numFmt w:val="bullet"/>
      <w:pStyle w:val="Listaconvietas2"/>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C9E"/>
    <w:rsid w:val="00105AF0"/>
    <w:rsid w:val="005545E8"/>
    <w:rsid w:val="00707C9E"/>
    <w:rsid w:val="0073385B"/>
    <w:rsid w:val="007A029A"/>
    <w:rsid w:val="00903407"/>
    <w:rsid w:val="00C445FF"/>
    <w:rsid w:val="00F347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79FA2D"/>
  <w15:docId w15:val="{699A0EB5-20AE-4AF4-9A7F-17F1AD4A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qFormat/>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infoem.org.mx/es/content/informacion-public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iC6T0i2C5MhXTMTiixEVXlef8A==">CgMxLjAyDmguZHBjM3Z5bnE3dTU4Mg5oLndhMnlhM2xwdHg0dTIOaC4yMzVkMjBsMGxtNW4yDmguMjlseGhiYzZ3MG92Mg5oLmNqcGFhZXgxM21iazgAciExZTJLZktCa1h0ZGZQZjRkSDduRXpVbTVDZ2dCcGRWb1A=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99F6B5-2103-45E0-AB3B-62A5F250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3470</Words>
  <Characters>19091</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3</cp:revision>
  <cp:lastPrinted>2025-12-12T16:00:00Z</cp:lastPrinted>
  <dcterms:created xsi:type="dcterms:W3CDTF">2025-12-12T16:00:00Z</dcterms:created>
  <dcterms:modified xsi:type="dcterms:W3CDTF">2025-12-12T16:02:00Z</dcterms:modified>
</cp:coreProperties>
</file>