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BC" w:rsidRPr="00F92AE5" w:rsidRDefault="006A0BBC" w:rsidP="003D7B75">
      <w:pPr>
        <w:spacing w:line="360" w:lineRule="auto"/>
        <w:jc w:val="both"/>
        <w:rPr>
          <w:rFonts w:ascii="Palatino Linotype" w:eastAsiaTheme="minorEastAsia" w:hAnsi="Palatino Linotype"/>
          <w:lang w:val="es-ES_tradnl" w:eastAsia="es-ES"/>
        </w:rPr>
      </w:pPr>
      <w:bookmarkStart w:id="0" w:name="_GoBack"/>
      <w:bookmarkEnd w:id="0"/>
      <w:r w:rsidRPr="00F92AE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w:t>
      </w:r>
      <w:r w:rsidR="003D7B75" w:rsidRPr="00F92AE5">
        <w:rPr>
          <w:rFonts w:ascii="Palatino Linotype" w:eastAsia="Palatino Linotype" w:hAnsi="Palatino Linotype" w:cs="Palatino Linotype"/>
          <w:b/>
          <w:color w:val="000000" w:themeColor="text1"/>
        </w:rPr>
        <w:t>de fecha veintisiete (27) de agosto de dos mil veinticinco.</w:t>
      </w:r>
      <w:r w:rsidRPr="00F92AE5">
        <w:rPr>
          <w:rFonts w:ascii="Palatino Linotype" w:eastAsiaTheme="minorEastAsia" w:hAnsi="Palatino Linotype"/>
          <w:lang w:val="es-ES_tradnl" w:eastAsia="es-ES"/>
        </w:rPr>
        <w:t xml:space="preserve"> </w:t>
      </w:r>
    </w:p>
    <w:p w:rsidR="006A0BBC" w:rsidRPr="00F92AE5" w:rsidRDefault="006A0BBC" w:rsidP="003D7B75">
      <w:pPr>
        <w:spacing w:line="360" w:lineRule="auto"/>
        <w:jc w:val="both"/>
        <w:rPr>
          <w:rFonts w:ascii="Palatino Linotype" w:eastAsiaTheme="minorEastAsia" w:hAnsi="Palatino Linotype"/>
          <w:lang w:val="es-ES_tradnl" w:eastAsia="es-ES"/>
        </w:rPr>
      </w:pPr>
    </w:p>
    <w:p w:rsidR="006A0BBC" w:rsidRPr="00F92AE5" w:rsidRDefault="006A0BBC" w:rsidP="003D7B75">
      <w:pPr>
        <w:spacing w:line="360" w:lineRule="auto"/>
        <w:jc w:val="both"/>
        <w:rPr>
          <w:rFonts w:ascii="Palatino Linotype" w:hAnsi="Palatino Linotype"/>
        </w:rPr>
      </w:pPr>
      <w:r w:rsidRPr="00F92AE5">
        <w:rPr>
          <w:rFonts w:ascii="Palatino Linotype" w:hAnsi="Palatino Linotype"/>
          <w:b/>
        </w:rPr>
        <w:t>VISTOS</w:t>
      </w:r>
      <w:r w:rsidRPr="00F92AE5">
        <w:rPr>
          <w:rFonts w:ascii="Palatino Linotype" w:hAnsi="Palatino Linotype"/>
        </w:rPr>
        <w:t xml:space="preserve"> los expedientes electrónicos formados con motivo de los recursos de revisión </w:t>
      </w:r>
      <w:r w:rsidRPr="00F92AE5">
        <w:rPr>
          <w:rFonts w:ascii="Palatino Linotype" w:hAnsi="Palatino Linotype"/>
          <w:b/>
        </w:rPr>
        <w:t>04968/INFOEM/IP/RR/2025 y 04980/INFOEM/IP/RR/2025,</w:t>
      </w:r>
      <w:r w:rsidRPr="00F92AE5">
        <w:rPr>
          <w:rFonts w:ascii="Palatino Linotype" w:hAnsi="Palatino Linotype" w:cs="Arial"/>
          <w:b/>
          <w:bCs/>
        </w:rPr>
        <w:t xml:space="preserve"> </w:t>
      </w:r>
      <w:r w:rsidRPr="00F92AE5">
        <w:rPr>
          <w:rFonts w:ascii="Palatino Linotype" w:eastAsiaTheme="minorEastAsia" w:hAnsi="Palatino Linotype"/>
          <w:lang w:val="es-ES_tradnl" w:eastAsia="es-ES"/>
        </w:rPr>
        <w:t xml:space="preserve">promovidos por </w:t>
      </w:r>
      <w:r w:rsidR="003A6920">
        <w:rPr>
          <w:rFonts w:ascii="Palatino Linotype" w:eastAsiaTheme="minorEastAsia" w:hAnsi="Palatino Linotype"/>
          <w:b/>
          <w:bCs/>
          <w:lang w:eastAsia="es-ES"/>
        </w:rPr>
        <w:t>XXXX</w:t>
      </w:r>
      <w:r w:rsidRPr="00F92AE5">
        <w:rPr>
          <w:rFonts w:ascii="Palatino Linotype" w:eastAsiaTheme="minorEastAsia" w:hAnsi="Palatino Linotype"/>
          <w:b/>
          <w:lang w:val="es-ES_tradnl" w:eastAsia="es-ES"/>
        </w:rPr>
        <w:t>,</w:t>
      </w:r>
      <w:r w:rsidRPr="00F92AE5">
        <w:rPr>
          <w:rFonts w:ascii="Palatino Linotype" w:hAnsi="Palatino Linotype"/>
        </w:rPr>
        <w:t xml:space="preserve"> quien en lo sucesivo se identificará como </w:t>
      </w:r>
      <w:r w:rsidRPr="00F92AE5">
        <w:rPr>
          <w:rFonts w:ascii="Palatino Linotype" w:hAnsi="Palatino Linotype"/>
          <w:b/>
        </w:rPr>
        <w:t>L</w:t>
      </w:r>
      <w:r w:rsidR="003D7B75" w:rsidRPr="00F92AE5">
        <w:rPr>
          <w:rFonts w:ascii="Palatino Linotype" w:hAnsi="Palatino Linotype"/>
          <w:b/>
        </w:rPr>
        <w:t>A</w:t>
      </w:r>
      <w:r w:rsidRPr="00F92AE5">
        <w:rPr>
          <w:rFonts w:ascii="Palatino Linotype" w:hAnsi="Palatino Linotype"/>
          <w:b/>
        </w:rPr>
        <w:t xml:space="preserve"> </w:t>
      </w:r>
      <w:r w:rsidRPr="00F92AE5">
        <w:rPr>
          <w:rFonts w:ascii="Palatino Linotype" w:hAnsi="Palatino Linotype" w:cs="Arial"/>
          <w:b/>
        </w:rPr>
        <w:t>RECURRENTE</w:t>
      </w:r>
      <w:r w:rsidRPr="00F92AE5">
        <w:rPr>
          <w:rFonts w:ascii="Palatino Linotype" w:hAnsi="Palatino Linotype" w:cs="Arial"/>
        </w:rPr>
        <w:t xml:space="preserve">, en contra de las respuestas del </w:t>
      </w:r>
      <w:r w:rsidRPr="00F92AE5">
        <w:rPr>
          <w:rFonts w:ascii="Palatino Linotype" w:hAnsi="Palatino Linotype" w:cs="Arial"/>
          <w:b/>
          <w:bCs/>
        </w:rPr>
        <w:t>Ayuntamiento de Ecatepec de Morelos,</w:t>
      </w:r>
      <w:r w:rsidRPr="00F92AE5">
        <w:rPr>
          <w:rFonts w:ascii="Palatino Linotype" w:hAnsi="Palatino Linotype"/>
          <w:b/>
        </w:rPr>
        <w:t xml:space="preserve"> </w:t>
      </w:r>
      <w:r w:rsidRPr="00F92AE5">
        <w:rPr>
          <w:rFonts w:ascii="Palatino Linotype" w:hAnsi="Palatino Linotype"/>
        </w:rPr>
        <w:t xml:space="preserve">en </w:t>
      </w:r>
      <w:r w:rsidR="004236F8">
        <w:rPr>
          <w:rFonts w:ascii="Palatino Linotype" w:hAnsi="Palatino Linotype"/>
        </w:rPr>
        <w:t>adelante</w:t>
      </w:r>
      <w:r w:rsidRPr="00F92AE5">
        <w:rPr>
          <w:rFonts w:ascii="Palatino Linotype" w:hAnsi="Palatino Linotype"/>
        </w:rPr>
        <w:t xml:space="preserve"> el</w:t>
      </w:r>
      <w:r w:rsidRPr="00F92AE5">
        <w:rPr>
          <w:rFonts w:ascii="Palatino Linotype" w:hAnsi="Palatino Linotype"/>
          <w:b/>
        </w:rPr>
        <w:t xml:space="preserve"> SUJETO OBLIGADO</w:t>
      </w:r>
      <w:r w:rsidRPr="00F92AE5">
        <w:rPr>
          <w:rFonts w:ascii="Palatino Linotype" w:hAnsi="Palatino Linotype"/>
        </w:rPr>
        <w:t>, por lo que se procede a dictar la presente resolución, con base en los siguientes:</w:t>
      </w:r>
    </w:p>
    <w:p w:rsidR="006A0BBC" w:rsidRPr="00F92AE5" w:rsidRDefault="006A0BBC" w:rsidP="003D7B75">
      <w:pPr>
        <w:spacing w:line="360" w:lineRule="auto"/>
        <w:jc w:val="both"/>
        <w:rPr>
          <w:rFonts w:ascii="Palatino Linotype" w:hAnsi="Palatino Linotype"/>
          <w:b/>
        </w:rPr>
      </w:pPr>
    </w:p>
    <w:p w:rsidR="006A0BBC" w:rsidRPr="00F92AE5" w:rsidRDefault="006A0BBC" w:rsidP="003D7B75">
      <w:pPr>
        <w:keepNext/>
        <w:keepLines/>
        <w:spacing w:line="360" w:lineRule="auto"/>
        <w:jc w:val="center"/>
        <w:outlineLvl w:val="0"/>
        <w:rPr>
          <w:rFonts w:ascii="Palatino Linotype" w:eastAsiaTheme="majorEastAsia" w:hAnsi="Palatino Linotype" w:cstheme="majorBidi"/>
          <w:b/>
        </w:rPr>
      </w:pPr>
      <w:bookmarkStart w:id="1" w:name="_Toc66992241"/>
      <w:r w:rsidRPr="00F92AE5">
        <w:rPr>
          <w:rFonts w:ascii="Palatino Linotype" w:eastAsiaTheme="majorEastAsia" w:hAnsi="Palatino Linotype" w:cstheme="majorBidi"/>
          <w:b/>
        </w:rPr>
        <w:t>A</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N</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T</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E</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C</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E</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D</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E</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N</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T</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E</w:t>
      </w:r>
      <w:r w:rsidR="004236F8">
        <w:rPr>
          <w:rFonts w:ascii="Palatino Linotype" w:eastAsiaTheme="majorEastAsia" w:hAnsi="Palatino Linotype" w:cstheme="majorBidi"/>
          <w:b/>
        </w:rPr>
        <w:t xml:space="preserve"> </w:t>
      </w:r>
      <w:r w:rsidRPr="00F92AE5">
        <w:rPr>
          <w:rFonts w:ascii="Palatino Linotype" w:eastAsiaTheme="majorEastAsia" w:hAnsi="Palatino Linotype" w:cstheme="majorBidi"/>
          <w:b/>
        </w:rPr>
        <w:t>S</w:t>
      </w:r>
      <w:bookmarkEnd w:id="1"/>
      <w:r w:rsidR="004236F8">
        <w:rPr>
          <w:rFonts w:ascii="Palatino Linotype" w:eastAsiaTheme="majorEastAsia" w:hAnsi="Palatino Linotype" w:cstheme="majorBidi"/>
          <w:b/>
        </w:rPr>
        <w:t xml:space="preserve"> </w:t>
      </w:r>
    </w:p>
    <w:p w:rsidR="006A0BBC" w:rsidRPr="00F92AE5" w:rsidRDefault="006A0BBC" w:rsidP="003D7B75">
      <w:pPr>
        <w:spacing w:line="360" w:lineRule="auto"/>
        <w:rPr>
          <w:rFonts w:ascii="Palatino Linotype" w:eastAsiaTheme="minorEastAsia" w:hAnsi="Palatino Linotype"/>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eastAsia="Calibri" w:hAnsi="Palatino Linotype" w:cs="Arial"/>
          <w:sz w:val="24"/>
          <w:lang w:val="es-ES" w:eastAsia="es-ES"/>
        </w:rPr>
        <w:t xml:space="preserve">El </w:t>
      </w:r>
      <w:r w:rsidRPr="00F92AE5">
        <w:rPr>
          <w:rFonts w:ascii="Palatino Linotype" w:eastAsia="Calibri" w:hAnsi="Palatino Linotype" w:cs="Arial"/>
          <w:b/>
          <w:sz w:val="24"/>
          <w:lang w:val="es-ES" w:eastAsia="es-ES"/>
        </w:rPr>
        <w:t>veintiuno de abril de dos mil veinticinco</w:t>
      </w:r>
      <w:r w:rsidRPr="00F92AE5">
        <w:rPr>
          <w:rFonts w:ascii="Palatino Linotype" w:eastAsia="Calibri" w:hAnsi="Palatino Linotype" w:cs="Arial"/>
          <w:sz w:val="24"/>
          <w:lang w:val="es-ES" w:eastAsia="es-ES"/>
        </w:rPr>
        <w:t>,</w:t>
      </w:r>
      <w:r w:rsidRPr="00F92AE5">
        <w:rPr>
          <w:rFonts w:ascii="Palatino Linotype" w:eastAsia="Calibri" w:hAnsi="Palatino Linotype"/>
          <w:sz w:val="24"/>
          <w:lang w:val="es-ES" w:eastAsia="es-ES"/>
        </w:rPr>
        <w:t xml:space="preserve"> </w:t>
      </w:r>
      <w:r w:rsidRPr="00F92AE5">
        <w:rPr>
          <w:rFonts w:ascii="Palatino Linotype" w:eastAsia="Calibri" w:hAnsi="Palatino Linotype"/>
          <w:b/>
          <w:sz w:val="24"/>
          <w:lang w:val="es-ES" w:eastAsia="es-ES"/>
        </w:rPr>
        <w:t>EL RECURRENTE</w:t>
      </w:r>
      <w:r w:rsidRPr="00F92AE5">
        <w:rPr>
          <w:rFonts w:ascii="Palatino Linotype" w:eastAsiaTheme="minorEastAsia" w:hAnsi="Palatino Linotype"/>
          <w:b/>
          <w:sz w:val="24"/>
          <w:lang w:val="es-ES_tradnl" w:eastAsia="es-ES"/>
        </w:rPr>
        <w:t>,</w:t>
      </w:r>
      <w:r w:rsidRPr="00F92AE5">
        <w:rPr>
          <w:rFonts w:ascii="Palatino Linotype" w:eastAsia="Calibri" w:hAnsi="Palatino Linotype" w:cs="Arial"/>
          <w:sz w:val="24"/>
          <w:lang w:val="es-ES" w:eastAsia="es-ES"/>
        </w:rPr>
        <w:t xml:space="preserve"> ante el </w:t>
      </w:r>
      <w:r w:rsidRPr="00F92AE5">
        <w:rPr>
          <w:rFonts w:ascii="Palatino Linotype" w:eastAsia="Calibri" w:hAnsi="Palatino Linotype" w:cs="Arial"/>
          <w:b/>
          <w:sz w:val="24"/>
          <w:lang w:val="es-ES" w:eastAsia="es-ES"/>
        </w:rPr>
        <w:t>SUJETO OBLIGADO</w:t>
      </w:r>
      <w:r w:rsidRPr="00F92AE5">
        <w:rPr>
          <w:rFonts w:ascii="Palatino Linotype" w:eastAsia="Calibri" w:hAnsi="Palatino Linotype" w:cs="Arial"/>
          <w:sz w:val="24"/>
          <w:lang w:val="es-ES_tradnl" w:eastAsia="es-ES"/>
        </w:rPr>
        <w:t xml:space="preserve"> a través de la Plataforma Nacional de Transparencia que se encuentra vinculada al Sistema de Acceso a la Información Mexiquense (SAIMEX)</w:t>
      </w:r>
      <w:r w:rsidRPr="00F92AE5">
        <w:rPr>
          <w:rFonts w:ascii="Palatino Linotype" w:eastAsia="Calibri" w:hAnsi="Palatino Linotype" w:cs="Arial"/>
          <w:sz w:val="24"/>
          <w:lang w:val="es-ES" w:eastAsia="es-ES"/>
        </w:rPr>
        <w:t xml:space="preserve">, presentó las solicitudes de información registradas con los números </w:t>
      </w:r>
      <w:hyperlink r:id="rId7" w:history="1">
        <w:r w:rsidRPr="00F92AE5">
          <w:rPr>
            <w:rStyle w:val="Hipervnculo"/>
            <w:rFonts w:ascii="Palatino Linotype" w:hAnsi="Palatino Linotype"/>
            <w:b/>
            <w:bCs/>
            <w:color w:val="auto"/>
            <w:sz w:val="24"/>
            <w:u w:val="none"/>
          </w:rPr>
          <w:t>00327/ECATEPEC/IP/2025</w:t>
        </w:r>
      </w:hyperlink>
      <w:r w:rsidRPr="00F92AE5">
        <w:rPr>
          <w:rFonts w:ascii="Palatino Linotype" w:hAnsi="Palatino Linotype"/>
          <w:b/>
          <w:bCs/>
          <w:sz w:val="24"/>
        </w:rPr>
        <w:t xml:space="preserve"> y </w:t>
      </w:r>
      <w:hyperlink r:id="rId8" w:history="1">
        <w:r w:rsidRPr="00F92AE5">
          <w:rPr>
            <w:rStyle w:val="Hipervnculo"/>
            <w:rFonts w:ascii="Palatino Linotype" w:hAnsi="Palatino Linotype"/>
            <w:b/>
            <w:bCs/>
            <w:color w:val="auto"/>
            <w:sz w:val="24"/>
            <w:u w:val="none"/>
          </w:rPr>
          <w:t>00326/ECATEPEC/IP/2025</w:t>
        </w:r>
      </w:hyperlink>
      <w:r w:rsidRPr="00F92AE5">
        <w:rPr>
          <w:rFonts w:ascii="Palatino Linotype" w:eastAsiaTheme="minorEastAsia" w:hAnsi="Palatino Linotype"/>
          <w:b/>
          <w:sz w:val="24"/>
          <w:lang w:val="es-ES_tradnl" w:eastAsia="es-ES"/>
        </w:rPr>
        <w:t xml:space="preserve">, </w:t>
      </w:r>
      <w:r w:rsidR="004236F8">
        <w:rPr>
          <w:rFonts w:ascii="Palatino Linotype" w:eastAsia="Calibri" w:hAnsi="Palatino Linotype" w:cs="Arial"/>
          <w:sz w:val="24"/>
          <w:lang w:val="es-ES" w:eastAsia="es-ES"/>
        </w:rPr>
        <w:t>en la que</w:t>
      </w:r>
      <w:r w:rsidRPr="00F92AE5">
        <w:rPr>
          <w:rFonts w:ascii="Palatino Linotype" w:eastAsia="Calibri" w:hAnsi="Palatino Linotype" w:cs="Arial"/>
          <w:sz w:val="24"/>
          <w:lang w:val="es-ES" w:eastAsia="es-ES"/>
        </w:rPr>
        <w:t xml:space="preserve"> solicitó lo siguiente:</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6A0BBC" w:rsidRPr="00F92AE5" w:rsidRDefault="00EB3B33" w:rsidP="003D7B75">
      <w:pPr>
        <w:pStyle w:val="Prrafodelista"/>
        <w:spacing w:line="360" w:lineRule="auto"/>
        <w:ind w:left="0"/>
        <w:jc w:val="both"/>
        <w:rPr>
          <w:rFonts w:ascii="Palatino Linotype" w:hAnsi="Palatino Linotype" w:cs="Arial"/>
          <w:sz w:val="24"/>
          <w:lang w:val="es-ES" w:eastAsia="es-ES"/>
        </w:rPr>
      </w:pPr>
      <w:hyperlink r:id="rId9" w:history="1">
        <w:r w:rsidR="006A0BBC" w:rsidRPr="00F92AE5">
          <w:rPr>
            <w:rStyle w:val="Hipervnculo"/>
            <w:rFonts w:ascii="Palatino Linotype" w:hAnsi="Palatino Linotype"/>
            <w:b/>
            <w:bCs/>
            <w:color w:val="auto"/>
            <w:sz w:val="24"/>
            <w:u w:val="none"/>
          </w:rPr>
          <w:t>00326/ECATEPEC/IP/2025</w:t>
        </w:r>
      </w:hyperlink>
      <w:r w:rsidR="006A0BBC" w:rsidRPr="00F92AE5">
        <w:rPr>
          <w:rFonts w:ascii="Palatino Linotype" w:hAnsi="Palatino Linotype"/>
          <w:b/>
          <w:bCs/>
          <w:sz w:val="24"/>
        </w:rPr>
        <w:t>:</w:t>
      </w:r>
    </w:p>
    <w:p w:rsidR="006A0BBC" w:rsidRPr="00F92AE5" w:rsidRDefault="006A0BBC" w:rsidP="003D7B75">
      <w:pPr>
        <w:pStyle w:val="Prrafodelista"/>
        <w:spacing w:line="360" w:lineRule="auto"/>
        <w:ind w:left="0"/>
        <w:jc w:val="both"/>
        <w:rPr>
          <w:rFonts w:ascii="Palatino Linotype" w:hAnsi="Palatino Linotype"/>
          <w:i/>
          <w:color w:val="000000"/>
          <w:sz w:val="24"/>
        </w:rPr>
      </w:pPr>
      <w:r w:rsidRPr="00F92AE5">
        <w:rPr>
          <w:rFonts w:ascii="Palatino Linotype" w:hAnsi="Palatino Linotype"/>
          <w:i/>
          <w:color w:val="000000"/>
          <w:sz w:val="24"/>
        </w:rPr>
        <w:t xml:space="preserve">“Solicito de la manera más atenta información sobre las Valoraciones de Riesgo, realizadas por la Dirección de Protección Civil y Bomberos, durante 2024, en las que el motivo, causa o razón, se refiera a árboles en las banquetas de las calles en el H. Municipio de Ecatepec de Morelos. Por favor Detallar número por mes.” (Sic) </w:t>
      </w:r>
    </w:p>
    <w:p w:rsidR="006A0BBC" w:rsidRDefault="006A0BBC" w:rsidP="003D7B75">
      <w:pPr>
        <w:spacing w:line="360" w:lineRule="auto"/>
        <w:jc w:val="both"/>
        <w:rPr>
          <w:rFonts w:ascii="Palatino Linotype" w:hAnsi="Palatino Linotype"/>
          <w:i/>
          <w:color w:val="000000"/>
        </w:rPr>
      </w:pPr>
    </w:p>
    <w:p w:rsidR="003A6920" w:rsidRPr="00F92AE5" w:rsidRDefault="003A6920" w:rsidP="003D7B75">
      <w:pPr>
        <w:spacing w:line="360" w:lineRule="auto"/>
        <w:jc w:val="both"/>
        <w:rPr>
          <w:rFonts w:ascii="Palatino Linotype" w:hAnsi="Palatino Linotype"/>
          <w:i/>
          <w:color w:val="000000"/>
        </w:rPr>
      </w:pPr>
    </w:p>
    <w:p w:rsidR="006A0BBC" w:rsidRPr="00F92AE5" w:rsidRDefault="00EB3B33" w:rsidP="003D7B75">
      <w:pPr>
        <w:pStyle w:val="Prrafodelista"/>
        <w:spacing w:line="360" w:lineRule="auto"/>
        <w:ind w:left="0"/>
        <w:jc w:val="both"/>
        <w:rPr>
          <w:rFonts w:ascii="Palatino Linotype" w:hAnsi="Palatino Linotype" w:cs="Arial"/>
          <w:sz w:val="24"/>
          <w:lang w:val="es-ES" w:eastAsia="es-ES"/>
        </w:rPr>
      </w:pPr>
      <w:hyperlink r:id="rId10" w:history="1">
        <w:r w:rsidR="006A0BBC" w:rsidRPr="00F92AE5">
          <w:rPr>
            <w:rStyle w:val="Hipervnculo"/>
            <w:rFonts w:ascii="Palatino Linotype" w:hAnsi="Palatino Linotype"/>
            <w:b/>
            <w:bCs/>
            <w:color w:val="auto"/>
            <w:sz w:val="24"/>
            <w:u w:val="none"/>
          </w:rPr>
          <w:t>00327/ECATEPEC/IP/2025</w:t>
        </w:r>
      </w:hyperlink>
      <w:r w:rsidR="006A0BBC" w:rsidRPr="00F92AE5">
        <w:rPr>
          <w:rFonts w:ascii="Palatino Linotype" w:hAnsi="Palatino Linotype"/>
          <w:b/>
          <w:bCs/>
          <w:sz w:val="24"/>
        </w:rPr>
        <w:t>:</w:t>
      </w:r>
    </w:p>
    <w:p w:rsidR="006A0BBC" w:rsidRPr="00F92AE5" w:rsidRDefault="006A0BBC" w:rsidP="003D7B75">
      <w:pPr>
        <w:pStyle w:val="Prrafodelista"/>
        <w:spacing w:line="360" w:lineRule="auto"/>
        <w:ind w:left="0"/>
        <w:jc w:val="both"/>
        <w:rPr>
          <w:rFonts w:ascii="Palatino Linotype" w:hAnsi="Palatino Linotype"/>
          <w:i/>
          <w:color w:val="000000"/>
          <w:sz w:val="24"/>
        </w:rPr>
      </w:pPr>
      <w:r w:rsidRPr="00F92AE5">
        <w:rPr>
          <w:rFonts w:ascii="Palatino Linotype" w:hAnsi="Palatino Linotype"/>
          <w:i/>
          <w:color w:val="000000"/>
          <w:sz w:val="24"/>
        </w:rPr>
        <w:t xml:space="preserve">“Solicito de la manera más atenta información sobre las Valoraciones de Riesgo, realizadas por la Dirección de Protección Civil y Bomberos, durante 2023, en las que el motivo, causa o razón, se refiera a árboles en las banquetas de las calles en el H. Municipio de Ecatepec de Morelos. Por favor Detallar número por mes.” (Sic) </w:t>
      </w:r>
    </w:p>
    <w:p w:rsidR="006A0BBC" w:rsidRPr="00F92AE5" w:rsidRDefault="006A0BBC" w:rsidP="003D7B75">
      <w:pPr>
        <w:spacing w:line="360" w:lineRule="auto"/>
        <w:jc w:val="both"/>
        <w:rPr>
          <w:rFonts w:ascii="Palatino Linotype" w:hAnsi="Palatino Linotype"/>
          <w:i/>
          <w:color w:val="000000"/>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Se señaló como modalidad de entrega a través de SAIMEX. </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El </w:t>
      </w:r>
      <w:r w:rsidRPr="00F92AE5">
        <w:rPr>
          <w:rFonts w:ascii="Palatino Linotype" w:hAnsi="Palatino Linotype" w:cs="Arial"/>
          <w:b/>
          <w:sz w:val="24"/>
          <w:lang w:val="es-ES" w:eastAsia="es-ES"/>
        </w:rPr>
        <w:t>veintiuno de abril de dos mil veinticinco</w:t>
      </w:r>
      <w:r w:rsidRPr="00F92AE5">
        <w:rPr>
          <w:rFonts w:ascii="Palatino Linotype" w:hAnsi="Palatino Linotype" w:cs="Arial"/>
          <w:sz w:val="24"/>
          <w:lang w:val="es-ES" w:eastAsia="es-ES"/>
        </w:rPr>
        <w:t xml:space="preserve">, se realizó requerimiento al servidor público habilitado. </w:t>
      </w:r>
    </w:p>
    <w:p w:rsidR="006A0BBC" w:rsidRPr="00F92AE5" w:rsidRDefault="006A0BBC" w:rsidP="003D7B75">
      <w:pPr>
        <w:pStyle w:val="Prrafodelista"/>
        <w:ind w:left="0"/>
        <w:rPr>
          <w:rFonts w:ascii="Palatino Linotype" w:hAnsi="Palatino Linotype" w:cs="Arial"/>
          <w:sz w:val="24"/>
          <w:lang w:val="es-ES" w:eastAsia="es-ES"/>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El </w:t>
      </w:r>
      <w:r w:rsidRPr="00F92AE5">
        <w:rPr>
          <w:rFonts w:ascii="Palatino Linotype" w:hAnsi="Palatino Linotype" w:cs="Arial"/>
          <w:b/>
          <w:sz w:val="24"/>
          <w:lang w:val="es-ES" w:eastAsia="es-ES"/>
        </w:rPr>
        <w:t>veintinueve de abril de dos mil veinticinco</w:t>
      </w:r>
      <w:r w:rsidRPr="00F92AE5">
        <w:rPr>
          <w:rFonts w:ascii="Palatino Linotype" w:hAnsi="Palatino Linotype" w:cs="Arial"/>
          <w:sz w:val="24"/>
          <w:lang w:val="es-ES" w:eastAsia="es-ES"/>
        </w:rPr>
        <w:t>, el Sujeto Obligado emitió respuesta a la solicitud en el siguiente sentido:</w:t>
      </w:r>
    </w:p>
    <w:p w:rsidR="006A0BBC" w:rsidRPr="00F92AE5" w:rsidRDefault="006A0BBC" w:rsidP="003D7B75">
      <w:pPr>
        <w:pStyle w:val="Prrafodelista"/>
        <w:ind w:left="0"/>
        <w:rPr>
          <w:rFonts w:ascii="Palatino Linotype" w:hAnsi="Palatino Linotype" w:cs="Arial"/>
          <w:sz w:val="24"/>
          <w:lang w:val="es-ES" w:eastAsia="es-ES"/>
        </w:rPr>
      </w:pPr>
    </w:p>
    <w:p w:rsidR="006A0BBC" w:rsidRPr="00F92AE5" w:rsidRDefault="006A0BBC" w:rsidP="004236F8">
      <w:pPr>
        <w:pStyle w:val="Prrafodelista"/>
        <w:numPr>
          <w:ilvl w:val="0"/>
          <w:numId w:val="7"/>
        </w:numPr>
        <w:spacing w:line="360" w:lineRule="auto"/>
        <w:ind w:left="0" w:firstLine="0"/>
        <w:jc w:val="both"/>
        <w:rPr>
          <w:rFonts w:ascii="Palatino Linotype" w:hAnsi="Palatino Linotype" w:cs="Arial"/>
          <w:b/>
          <w:bCs/>
          <w:sz w:val="24"/>
          <w:lang w:eastAsia="es-ES"/>
        </w:rPr>
      </w:pPr>
      <w:r w:rsidRPr="00F92AE5">
        <w:rPr>
          <w:rFonts w:ascii="Palatino Linotype" w:hAnsi="Palatino Linotype" w:cs="Arial"/>
          <w:b/>
          <w:bCs/>
          <w:sz w:val="24"/>
          <w:lang w:eastAsia="es-ES"/>
        </w:rPr>
        <w:t>00327/ECATEPEC/IP/2025 – 04968/INFOEM/IP/RR/2025</w:t>
      </w:r>
    </w:p>
    <w:p w:rsidR="006A0BBC" w:rsidRPr="00F92AE5" w:rsidRDefault="006A0BBC" w:rsidP="003D7B75">
      <w:pPr>
        <w:pStyle w:val="Prrafodelista"/>
        <w:spacing w:line="360" w:lineRule="auto"/>
        <w:ind w:left="0"/>
        <w:jc w:val="both"/>
        <w:rPr>
          <w:rFonts w:ascii="Palatino Linotype" w:hAnsi="Palatino Linotype" w:cs="Arial"/>
          <w:b/>
          <w:bCs/>
          <w:sz w:val="24"/>
          <w:lang w:eastAsia="es-ES"/>
        </w:rPr>
      </w:pPr>
    </w:p>
    <w:tbl>
      <w:tblPr>
        <w:tblW w:w="8972" w:type="dxa"/>
        <w:jc w:val="center"/>
        <w:tblCellSpacing w:w="0" w:type="dxa"/>
        <w:tblCellMar>
          <w:left w:w="0" w:type="dxa"/>
          <w:right w:w="0" w:type="dxa"/>
        </w:tblCellMar>
        <w:tblLook w:val="04A0" w:firstRow="1" w:lastRow="0" w:firstColumn="1" w:lastColumn="0" w:noHBand="0" w:noVBand="1"/>
      </w:tblPr>
      <w:tblGrid>
        <w:gridCol w:w="8972"/>
      </w:tblGrid>
      <w:tr w:rsidR="006A0BBC" w:rsidRPr="00F92AE5" w:rsidTr="006A0BBC">
        <w:trPr>
          <w:trHeight w:val="310"/>
          <w:tblCellSpacing w:w="0" w:type="dxa"/>
          <w:jc w:val="center"/>
        </w:trPr>
        <w:tc>
          <w:tcPr>
            <w:tcW w:w="0" w:type="auto"/>
            <w:vAlign w:val="center"/>
            <w:hideMark/>
          </w:tcPr>
          <w:p w:rsidR="006A0BBC" w:rsidRPr="00F92AE5" w:rsidRDefault="006A0BBC" w:rsidP="003D7B75">
            <w:pPr>
              <w:pStyle w:val="Prrafodelista"/>
              <w:spacing w:line="276" w:lineRule="auto"/>
              <w:ind w:left="0"/>
              <w:jc w:val="right"/>
              <w:rPr>
                <w:rFonts w:ascii="Palatino Linotype" w:hAnsi="Palatino Linotype" w:cs="Arial"/>
                <w:bCs/>
                <w:i/>
                <w:sz w:val="24"/>
                <w:lang w:eastAsia="es-ES"/>
              </w:rPr>
            </w:pPr>
            <w:r w:rsidRPr="00F92AE5">
              <w:rPr>
                <w:rFonts w:ascii="Palatino Linotype" w:hAnsi="Palatino Linotype" w:cs="Arial"/>
                <w:bCs/>
                <w:i/>
                <w:sz w:val="24"/>
                <w:lang w:eastAsia="es-ES"/>
              </w:rPr>
              <w:t>“Ecatepec de Morelos, México a 29 de Abril de 2025</w:t>
            </w:r>
          </w:p>
        </w:tc>
      </w:tr>
      <w:tr w:rsidR="006A0BBC" w:rsidRPr="00F92AE5" w:rsidTr="006A0BBC">
        <w:trPr>
          <w:trHeight w:val="310"/>
          <w:tblCellSpacing w:w="0" w:type="dxa"/>
          <w:jc w:val="center"/>
        </w:trPr>
        <w:tc>
          <w:tcPr>
            <w:tcW w:w="0" w:type="auto"/>
            <w:vAlign w:val="center"/>
            <w:hideMark/>
          </w:tcPr>
          <w:p w:rsidR="006A0BBC" w:rsidRPr="00F92AE5" w:rsidRDefault="006A0BBC" w:rsidP="003D7B75">
            <w:pPr>
              <w:pStyle w:val="Prrafodelista"/>
              <w:spacing w:line="276" w:lineRule="auto"/>
              <w:ind w:left="0"/>
              <w:jc w:val="right"/>
              <w:rPr>
                <w:rFonts w:ascii="Palatino Linotype" w:hAnsi="Palatino Linotype" w:cs="Arial"/>
                <w:bCs/>
                <w:i/>
                <w:sz w:val="24"/>
                <w:lang w:eastAsia="es-ES"/>
              </w:rPr>
            </w:pPr>
            <w:r w:rsidRPr="00F92AE5">
              <w:rPr>
                <w:rFonts w:ascii="Palatino Linotype" w:hAnsi="Palatino Linotype" w:cs="Arial"/>
                <w:bCs/>
                <w:i/>
                <w:sz w:val="24"/>
                <w:lang w:eastAsia="es-ES"/>
              </w:rPr>
              <w:t>Nombre del solicitante: C. Solicitante</w:t>
            </w:r>
          </w:p>
        </w:tc>
      </w:tr>
      <w:tr w:rsidR="006A0BBC" w:rsidRPr="00F92AE5" w:rsidTr="006A0BBC">
        <w:trPr>
          <w:trHeight w:val="310"/>
          <w:tblCellSpacing w:w="0" w:type="dxa"/>
          <w:jc w:val="center"/>
        </w:trPr>
        <w:tc>
          <w:tcPr>
            <w:tcW w:w="0" w:type="auto"/>
            <w:vAlign w:val="center"/>
            <w:hideMark/>
          </w:tcPr>
          <w:p w:rsidR="006A0BBC" w:rsidRPr="00F92AE5" w:rsidRDefault="006A0BBC" w:rsidP="003D7B75">
            <w:pPr>
              <w:pStyle w:val="Prrafodelista"/>
              <w:spacing w:line="276" w:lineRule="auto"/>
              <w:ind w:left="0"/>
              <w:jc w:val="right"/>
              <w:rPr>
                <w:rFonts w:ascii="Palatino Linotype" w:hAnsi="Palatino Linotype" w:cs="Arial"/>
                <w:bCs/>
                <w:i/>
                <w:sz w:val="24"/>
                <w:lang w:eastAsia="es-ES"/>
              </w:rPr>
            </w:pPr>
            <w:r w:rsidRPr="00F92AE5">
              <w:rPr>
                <w:rFonts w:ascii="Palatino Linotype" w:hAnsi="Palatino Linotype" w:cs="Arial"/>
                <w:bCs/>
                <w:i/>
                <w:sz w:val="24"/>
                <w:lang w:eastAsia="es-ES"/>
              </w:rPr>
              <w:t>Folio de la solicitud: 00327/ECATEPEC/IP/2025</w:t>
            </w:r>
          </w:p>
        </w:tc>
      </w:tr>
      <w:tr w:rsidR="006A0BBC" w:rsidRPr="00F92AE5" w:rsidTr="006A0BBC">
        <w:trPr>
          <w:trHeight w:val="466"/>
          <w:tblCellSpacing w:w="0" w:type="dxa"/>
          <w:jc w:val="center"/>
        </w:trPr>
        <w:tc>
          <w:tcPr>
            <w:tcW w:w="0" w:type="auto"/>
            <w:vAlign w:val="center"/>
            <w:hideMark/>
          </w:tcPr>
          <w:p w:rsidR="006A0BBC" w:rsidRPr="00F92AE5" w:rsidRDefault="006A0BBC" w:rsidP="003D7B75">
            <w:pPr>
              <w:pStyle w:val="Prrafodelista"/>
              <w:spacing w:line="276"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276" w:lineRule="auto"/>
              <w:ind w:left="0"/>
              <w:jc w:val="both"/>
              <w:rPr>
                <w:rFonts w:ascii="Palatino Linotype" w:hAnsi="Palatino Linotype" w:cs="Arial"/>
                <w:bCs/>
                <w:i/>
                <w:sz w:val="24"/>
                <w:lang w:eastAsia="es-ES"/>
              </w:rPr>
            </w:pPr>
            <w:r w:rsidRPr="00F92AE5">
              <w:rPr>
                <w:rFonts w:ascii="Palatino Linotype" w:hAnsi="Palatino Linotype" w:cs="Arial"/>
                <w:bCs/>
                <w:i/>
                <w:sz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A0BBC" w:rsidRPr="00F92AE5" w:rsidTr="006A0BBC">
        <w:trPr>
          <w:trHeight w:val="388"/>
          <w:tblCellSpacing w:w="0" w:type="dxa"/>
          <w:jc w:val="center"/>
        </w:trPr>
        <w:tc>
          <w:tcPr>
            <w:tcW w:w="0" w:type="auto"/>
            <w:vAlign w:val="center"/>
            <w:hideMark/>
          </w:tcPr>
          <w:p w:rsidR="006A0BBC" w:rsidRPr="00F92AE5" w:rsidRDefault="006A0BBC" w:rsidP="003D7B75">
            <w:pPr>
              <w:pStyle w:val="Prrafodelista"/>
              <w:spacing w:line="276"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276" w:lineRule="auto"/>
              <w:ind w:left="0"/>
              <w:jc w:val="both"/>
              <w:rPr>
                <w:rFonts w:ascii="Palatino Linotype" w:hAnsi="Palatino Linotype" w:cs="Arial"/>
                <w:bCs/>
                <w:i/>
                <w:sz w:val="24"/>
                <w:lang w:eastAsia="es-ES"/>
              </w:rPr>
            </w:pPr>
            <w:r w:rsidRPr="00F92AE5">
              <w:rPr>
                <w:rFonts w:ascii="Palatino Linotype" w:hAnsi="Palatino Linotype" w:cs="Arial"/>
                <w:bCs/>
                <w:i/>
                <w:sz w:val="24"/>
                <w:lang w:eastAsia="es-ES"/>
              </w:rPr>
              <w:t xml:space="preserve">Sea este medio para enviarle un cordial saludo; con la finalidad de dar el cumplimiento y seguimiento a la solicitud número 00326/ECATEPEC/IP/2025; la cual fue ingresada a través del Sistema de Acceso a la Información Mexiquense (SAIMEX); y que a su letra señala lo siguiente: </w:t>
            </w:r>
            <w:r w:rsidRPr="00F92AE5">
              <w:rPr>
                <w:rFonts w:ascii="Palatino Linotype" w:hAnsi="Palatino Linotype" w:cs="Arial"/>
                <w:bCs/>
                <w:i/>
                <w:sz w:val="24"/>
                <w:lang w:eastAsia="es-ES"/>
              </w:rPr>
              <w:sym w:font="Symbol" w:char="F0D8"/>
            </w:r>
            <w:r w:rsidRPr="00F92AE5">
              <w:rPr>
                <w:rFonts w:ascii="Palatino Linotype" w:hAnsi="Palatino Linotype" w:cs="Arial"/>
                <w:bCs/>
                <w:i/>
                <w:sz w:val="24"/>
                <w:lang w:eastAsia="es-ES"/>
              </w:rPr>
              <w:t xml:space="preserve"> PRIMERO.- “[…] Solicito de la manera más atenta información sobre las </w:t>
            </w:r>
            <w:r w:rsidRPr="00F92AE5">
              <w:rPr>
                <w:rFonts w:ascii="Palatino Linotype" w:hAnsi="Palatino Linotype" w:cs="Arial"/>
                <w:bCs/>
                <w:i/>
                <w:sz w:val="24"/>
                <w:lang w:eastAsia="es-ES"/>
              </w:rPr>
              <w:lastRenderedPageBreak/>
              <w:t xml:space="preserve">Valoraciones de Riesgo, realizadas por la Dirección de Protección Civil y Bomberos, durante 2023, en las que el motivo, causa o razón, se refiera a árboles en las banquetas de las calles en el H. Municipio de Ecatepec de Morelos. </w:t>
            </w:r>
            <w:r w:rsidRPr="00F92AE5">
              <w:rPr>
                <w:rFonts w:ascii="Palatino Linotype" w:hAnsi="Palatino Linotype" w:cs="Arial"/>
                <w:bCs/>
                <w:i/>
                <w:sz w:val="24"/>
                <w:lang w:eastAsia="es-ES"/>
              </w:rPr>
              <w:sym w:font="Symbol" w:char="F0D8"/>
            </w:r>
            <w:r w:rsidRPr="00F92AE5">
              <w:rPr>
                <w:rFonts w:ascii="Palatino Linotype" w:hAnsi="Palatino Linotype" w:cs="Arial"/>
                <w:bCs/>
                <w:i/>
                <w:sz w:val="24"/>
                <w:lang w:eastAsia="es-ES"/>
              </w:rPr>
              <w:t xml:space="preserve"> SEGUNDO.- “[…] Favor Detallar número por mes.” Derivado a lo anterior le informo lo siguiente: • PUNTO PRIMERO.- Le informo que al realizar una búsqueda minuciosa y exhaustiva en los expedientes 2023 VALORACIONES DE RIESGOS , en el que se encontró que conforme a las facultades conferidas a esta Dirección el Departamento de Prevención realizo una (1) Valoración de Riesgo en el mes de julio en el año 2023. • REFERENTE AL PUNTO NÚMERO SEGUNDO.- Los criterios de los cuales hace mención pertenecen a la NORMA TÉCNICA ESTATAL AMBIENTAL NTEA-018-SeMAGEM-DS-2017; con fundamento en los artículos 42, 43, 44, 45, 46, 47, 48, 49 y 50 del Reglamento de Conservación y Protección al Medio Ambiente del Municipio de Ecatepec de Morelos; artículos 21, 64 y 65 del Bando Municipal vigente, y demás relativos aplicables; el personal adscrito a la Dirección de Protección Civil y Bomberos, NO CUENTA con las atribuciones para realizar ESTUDIO TÉCNICO y / o muestras a los árboles dañados en calles sobre banquetas , sin embargo dentro de sus atribuciones es realizar “VALORACIONES DE RIESGO”; mismas que ya fueron entregadas a la Unidad que dignamente representa en copia certificada para ser entregadas al usuario. • Con fundamento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w:t>
            </w:r>
            <w:r w:rsidRPr="00F92AE5">
              <w:rPr>
                <w:rFonts w:ascii="Palatino Linotype" w:hAnsi="Palatino Linotype" w:cs="Arial"/>
                <w:bCs/>
                <w:i/>
                <w:sz w:val="24"/>
                <w:lang w:eastAsia="es-ES"/>
              </w:rPr>
              <w:lastRenderedPageBreak/>
              <w:t xml:space="preserve">VALORACIÓN O DICTAMEN EN RELACIÓN A LA PODA, DERRIBO Y/O TRASPLANTE DEL ÁRBOL EN MENCIÓN”. • Por lo que por parte de la Dirección de Protección Civil y Bomberos, quedan concluidas sus peticiones; le solicito de la manera más atenta y respetuosa sugiera al usuario dar curso y/o el seguimiento correspondiente ante la DIRECCIÓN DE MEDIO AMBIENTE Y ECOLOGÍA. • Le notifico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Por lo que se está en espera del oficio de seguimiento por parte de la Dirección de Medio Ambiente y Ecología. Sin más por el momento, quedo a sus distinguidas órdenes para cualquier duda o aclaración al respecto. Ecatepec de Morelos, Estado de México a 23 de abril de 2025 OFICIO N°: DPCB/ECA/01002/2025 Asunto: EL QUE INDICA LIC. LUIS ÁNGEL HERNÁNDEZ SOTO TITULAR DE LA UNIDAD DE TRANSPARENCIA P R E S E N T E Sea este medio para enviarle un cordial saludo; con la finalidad de dar el cumplimiento y seguimiento a la solicitud número 00327/ECATEPEC/IP/2025; la cual fue ingresada a través del Sistema de Acceso a la Información Mexiquense (SAIMEX); y que a su letra señala lo siguiente: </w:t>
            </w:r>
            <w:r w:rsidRPr="00F92AE5">
              <w:rPr>
                <w:rFonts w:ascii="Palatino Linotype" w:hAnsi="Palatino Linotype" w:cs="Arial"/>
                <w:bCs/>
                <w:i/>
                <w:sz w:val="24"/>
                <w:lang w:eastAsia="es-ES"/>
              </w:rPr>
              <w:sym w:font="Symbol" w:char="F0D8"/>
            </w:r>
            <w:r w:rsidRPr="00F92AE5">
              <w:rPr>
                <w:rFonts w:ascii="Palatino Linotype" w:hAnsi="Palatino Linotype" w:cs="Arial"/>
                <w:bCs/>
                <w:i/>
                <w:sz w:val="24"/>
                <w:lang w:eastAsia="es-ES"/>
              </w:rPr>
              <w:t xml:space="preserve"> PRIMERO.- “[…] Solicito de la manera más atenta información sobre las Valoraciones de Riesgo, realizadas por la Dirección de Protección Civil y Bomberos, durante 2024, en las que el motivo, causa o razón, se refiera a árboles en las banquetas de las calles en el H. Municipio de Ecatepec de Morelos.” </w:t>
            </w:r>
            <w:r w:rsidRPr="00F92AE5">
              <w:rPr>
                <w:rFonts w:ascii="Palatino Linotype" w:hAnsi="Palatino Linotype" w:cs="Arial"/>
                <w:bCs/>
                <w:i/>
                <w:sz w:val="24"/>
                <w:lang w:eastAsia="es-ES"/>
              </w:rPr>
              <w:sym w:font="Symbol" w:char="F0D8"/>
            </w:r>
            <w:r w:rsidRPr="00F92AE5">
              <w:rPr>
                <w:rFonts w:ascii="Palatino Linotype" w:hAnsi="Palatino Linotype" w:cs="Arial"/>
                <w:bCs/>
                <w:i/>
                <w:sz w:val="24"/>
                <w:lang w:eastAsia="es-ES"/>
              </w:rPr>
              <w:t xml:space="preserve"> SEGUNDO.- “[…] Favor Detallar número por mes.” Derivado a lo anterior le informo lo siguiente: • PUNTO PRIMERO.- Le informo que al realizar una búsqueda minuciosa y exhaustiva en los expedientes 2024 VALORACIONES DE RIESGOS , en el que se encontró que conforme a las facultades conferidas a esta Dirección el Departamento de Prevención realizo una (1) Valoración de Riesgo en el mes de septiembre en el año 2024. • REFERENTE AL PUNTO NÚMERO SEGUNDO.- Los criterios de los cuales hace mención pertenecen a la NORMA TÉCNICA </w:t>
            </w:r>
            <w:r w:rsidRPr="00F92AE5">
              <w:rPr>
                <w:rFonts w:ascii="Palatino Linotype" w:hAnsi="Palatino Linotype" w:cs="Arial"/>
                <w:bCs/>
                <w:i/>
                <w:sz w:val="24"/>
                <w:lang w:eastAsia="es-ES"/>
              </w:rPr>
              <w:lastRenderedPageBreak/>
              <w:t xml:space="preserve">ESTATAL AMBIENTAL NTEA-018-SeMAGEM-DS-2017; con fundamento en los artículos 42, 43, 44, 45, 46, 47, 48, 49 y 50 del Reglamento de Conservación y Protección al Medio Ambiente del Municipio de Ecatepec de Morelos; artículos 21, 64 y 65 del Bando Municipal vigente, y demás relativos aplicables; el personal adscrito a la Dirección de Protección Civil y Bomberos, NO CUENTA con las atribuciones para realizar ESTUDIO TÉCNICO y / o muestras a los árboles dañados en calles sobre banquetas , sin embargo dentro de sus atribuciones es realizar “VALORACIONES DE RIESGO”; mismas que ya fueron entregadas a la Unidad que dignamente representa en copia certificada para ser entregadas al usuario; No omito comentarle que fue MITIGADO EL RIESGO de la Rama por personal adscrito al Departamento del H. Cuerpo de Bomberos dejando las indicaciones pertinentes al usuario. • Con fundamento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 Por lo que por parte de la Dirección de Protección Civil y Bomberos, quedan concluidas sus peticiones; le solicito de la manera más atenta y respetuosa sugiera al usuario dar curso y/o el seguimiento correspondiente ante la DIRECCIÓN DE MEDIO AMBIENTE Y ECOLOGÍA. • Le notifico que las “VALORACIONES DE RIESGO EMITIDAS FUERON TURNADAS A LA DIRECCIÓN </w:t>
            </w:r>
            <w:r w:rsidRPr="00F92AE5">
              <w:rPr>
                <w:rFonts w:ascii="Palatino Linotype" w:hAnsi="Palatino Linotype" w:cs="Arial"/>
                <w:bCs/>
                <w:i/>
                <w:sz w:val="24"/>
                <w:lang w:eastAsia="es-ES"/>
              </w:rPr>
              <w:lastRenderedPageBreak/>
              <w:t>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Por lo que se está en espera del oficio de seguimiento por parte de la Dirección de Medio Ambiente y Ecología. Sin más por el momento, quedo a sus distinguidas órdenes para cualquier duda o aclaración al respecto.</w:t>
            </w:r>
          </w:p>
        </w:tc>
      </w:tr>
      <w:tr w:rsidR="006A0BBC" w:rsidRPr="00F92AE5" w:rsidTr="006A0BBC">
        <w:trPr>
          <w:trHeight w:val="388"/>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r w:rsidRPr="00F92AE5">
              <w:rPr>
                <w:rFonts w:ascii="Palatino Linotype" w:hAnsi="Palatino Linotype" w:cs="Arial"/>
                <w:bCs/>
                <w:i/>
                <w:sz w:val="24"/>
                <w:lang w:eastAsia="es-ES"/>
              </w:rPr>
              <w:t>ATENTAMENTE</w:t>
            </w:r>
          </w:p>
        </w:tc>
      </w:tr>
      <w:tr w:rsidR="006A0BBC" w:rsidRPr="00F92AE5" w:rsidTr="006A0BBC">
        <w:trPr>
          <w:trHeight w:val="233"/>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p>
        </w:tc>
      </w:tr>
      <w:tr w:rsidR="006A0BBC" w:rsidRPr="00F92AE5" w:rsidTr="006A0BBC">
        <w:trPr>
          <w:trHeight w:val="155"/>
          <w:tblCellSpacing w:w="0" w:type="dxa"/>
          <w:jc w:val="center"/>
        </w:trPr>
        <w:tc>
          <w:tcPr>
            <w:tcW w:w="0" w:type="auto"/>
            <w:vAlign w:val="center"/>
            <w:hideMark/>
          </w:tcPr>
          <w:p w:rsidR="006A0BBC" w:rsidRPr="00F92AE5" w:rsidRDefault="006A0BBC" w:rsidP="003D7B75">
            <w:pPr>
              <w:pStyle w:val="Prrafodelista"/>
              <w:spacing w:line="360" w:lineRule="auto"/>
              <w:ind w:left="0"/>
              <w:jc w:val="both"/>
              <w:rPr>
                <w:rFonts w:ascii="Palatino Linotype" w:hAnsi="Palatino Linotype" w:cs="Arial"/>
                <w:bCs/>
                <w:i/>
                <w:sz w:val="24"/>
                <w:lang w:eastAsia="es-ES"/>
              </w:rPr>
            </w:pPr>
            <w:r w:rsidRPr="00F92AE5">
              <w:rPr>
                <w:rFonts w:ascii="Palatino Linotype" w:hAnsi="Palatino Linotype" w:cs="Arial"/>
                <w:bCs/>
                <w:i/>
                <w:sz w:val="24"/>
                <w:lang w:eastAsia="es-ES"/>
              </w:rPr>
              <w:t>Luis Ángel Hernández Soto</w:t>
            </w:r>
            <w:r w:rsidR="000E626B" w:rsidRPr="00F92AE5">
              <w:rPr>
                <w:rFonts w:ascii="Palatino Linotype" w:hAnsi="Palatino Linotype" w:cs="Arial"/>
                <w:bCs/>
                <w:i/>
                <w:sz w:val="24"/>
                <w:lang w:eastAsia="es-ES"/>
              </w:rPr>
              <w:t>”</w:t>
            </w:r>
          </w:p>
        </w:tc>
      </w:tr>
    </w:tbl>
    <w:p w:rsidR="006A0BBC" w:rsidRPr="00F92AE5" w:rsidRDefault="006A0BBC" w:rsidP="003D7B75">
      <w:pPr>
        <w:pStyle w:val="Prrafodelista"/>
        <w:spacing w:line="360" w:lineRule="auto"/>
        <w:ind w:left="0"/>
        <w:jc w:val="both"/>
        <w:rPr>
          <w:rFonts w:ascii="Palatino Linotype" w:hAnsi="Palatino Linotype" w:cs="Arial"/>
          <w:b/>
          <w:bCs/>
          <w:sz w:val="24"/>
          <w:lang w:eastAsia="es-ES"/>
        </w:rPr>
      </w:pPr>
    </w:p>
    <w:p w:rsidR="006A0BBC" w:rsidRPr="00F92AE5" w:rsidRDefault="006A0BBC" w:rsidP="004236F8">
      <w:pPr>
        <w:pStyle w:val="Prrafodelista"/>
        <w:numPr>
          <w:ilvl w:val="0"/>
          <w:numId w:val="7"/>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b/>
          <w:bCs/>
          <w:sz w:val="24"/>
          <w:lang w:eastAsia="es-ES"/>
        </w:rPr>
        <w:t>00326/ECATEPEC/IP/2025 – 04980/INFOEM/IP/RR/2025</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tbl>
      <w:tblPr>
        <w:tblW w:w="7853" w:type="dxa"/>
        <w:jc w:val="center"/>
        <w:tblCellSpacing w:w="0" w:type="dxa"/>
        <w:tblCellMar>
          <w:left w:w="0" w:type="dxa"/>
          <w:right w:w="0" w:type="dxa"/>
        </w:tblCellMar>
        <w:tblLook w:val="04A0" w:firstRow="1" w:lastRow="0" w:firstColumn="1" w:lastColumn="0" w:noHBand="0" w:noVBand="1"/>
      </w:tblPr>
      <w:tblGrid>
        <w:gridCol w:w="7853"/>
      </w:tblGrid>
      <w:tr w:rsidR="000E626B" w:rsidRPr="00F92AE5" w:rsidTr="000E626B">
        <w:trPr>
          <w:trHeight w:val="301"/>
          <w:tblCellSpacing w:w="0" w:type="dxa"/>
          <w:jc w:val="center"/>
        </w:trPr>
        <w:tc>
          <w:tcPr>
            <w:tcW w:w="0" w:type="auto"/>
            <w:vAlign w:val="center"/>
            <w:hideMark/>
          </w:tcPr>
          <w:p w:rsidR="000E626B" w:rsidRPr="00F92AE5" w:rsidRDefault="000E626B" w:rsidP="003D7B75">
            <w:pPr>
              <w:jc w:val="right"/>
              <w:rPr>
                <w:rFonts w:ascii="Palatino Linotype" w:hAnsi="Palatino Linotype"/>
                <w:i/>
              </w:rPr>
            </w:pPr>
            <w:r w:rsidRPr="00F92AE5">
              <w:rPr>
                <w:rFonts w:ascii="Palatino Linotype" w:hAnsi="Palatino Linotype"/>
                <w:i/>
              </w:rPr>
              <w:t>“Ecatepec de Morelos, México a 29 de Abril de 2025</w:t>
            </w:r>
          </w:p>
        </w:tc>
      </w:tr>
      <w:tr w:rsidR="000E626B" w:rsidRPr="00F92AE5" w:rsidTr="000E626B">
        <w:trPr>
          <w:trHeight w:val="301"/>
          <w:tblCellSpacing w:w="0" w:type="dxa"/>
          <w:jc w:val="center"/>
        </w:trPr>
        <w:tc>
          <w:tcPr>
            <w:tcW w:w="0" w:type="auto"/>
            <w:vAlign w:val="center"/>
            <w:hideMark/>
          </w:tcPr>
          <w:p w:rsidR="000E626B" w:rsidRPr="00F92AE5" w:rsidRDefault="000E626B" w:rsidP="003D7B75">
            <w:pPr>
              <w:jc w:val="right"/>
              <w:rPr>
                <w:rFonts w:ascii="Palatino Linotype" w:hAnsi="Palatino Linotype"/>
                <w:i/>
              </w:rPr>
            </w:pPr>
            <w:r w:rsidRPr="00F92AE5">
              <w:rPr>
                <w:rFonts w:ascii="Palatino Linotype" w:hAnsi="Palatino Linotype"/>
                <w:i/>
              </w:rPr>
              <w:t>Nombre del solicitante: C. Solicitante</w:t>
            </w:r>
          </w:p>
        </w:tc>
      </w:tr>
      <w:tr w:rsidR="000E626B" w:rsidRPr="00F92AE5" w:rsidTr="000E626B">
        <w:trPr>
          <w:trHeight w:val="301"/>
          <w:tblCellSpacing w:w="0" w:type="dxa"/>
          <w:jc w:val="center"/>
        </w:trPr>
        <w:tc>
          <w:tcPr>
            <w:tcW w:w="0" w:type="auto"/>
            <w:vAlign w:val="center"/>
            <w:hideMark/>
          </w:tcPr>
          <w:p w:rsidR="000E626B" w:rsidRPr="00F92AE5" w:rsidRDefault="000E626B" w:rsidP="003D7B75">
            <w:pPr>
              <w:jc w:val="right"/>
              <w:rPr>
                <w:rFonts w:ascii="Palatino Linotype" w:hAnsi="Palatino Linotype"/>
                <w:i/>
              </w:rPr>
            </w:pPr>
            <w:r w:rsidRPr="00F92AE5">
              <w:rPr>
                <w:rFonts w:ascii="Palatino Linotype" w:hAnsi="Palatino Linotype"/>
                <w:i/>
              </w:rPr>
              <w:t>Folio de la solicitud: 00326/ECATEPEC/IP/2025</w:t>
            </w:r>
          </w:p>
        </w:tc>
      </w:tr>
      <w:tr w:rsidR="000E626B" w:rsidRPr="00F92AE5" w:rsidTr="000E626B">
        <w:trPr>
          <w:trHeight w:val="451"/>
          <w:tblCellSpacing w:w="0" w:type="dxa"/>
          <w:jc w:val="center"/>
        </w:trPr>
        <w:tc>
          <w:tcPr>
            <w:tcW w:w="0" w:type="auto"/>
            <w:vAlign w:val="center"/>
            <w:hideMark/>
          </w:tcPr>
          <w:p w:rsidR="000E626B" w:rsidRPr="00F92AE5" w:rsidRDefault="000E626B" w:rsidP="003D7B75">
            <w:pPr>
              <w:jc w:val="right"/>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jc w:val="both"/>
              <w:rPr>
                <w:rFonts w:ascii="Palatino Linotype" w:hAnsi="Palatino Linotype"/>
                <w:i/>
              </w:rPr>
            </w:pPr>
            <w:r w:rsidRPr="00F92AE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E626B" w:rsidRPr="00F92AE5" w:rsidTr="000E626B">
        <w:trPr>
          <w:trHeight w:val="376"/>
          <w:tblCellSpacing w:w="0" w:type="dxa"/>
          <w:jc w:val="center"/>
        </w:trPr>
        <w:tc>
          <w:tcPr>
            <w:tcW w:w="0" w:type="auto"/>
            <w:vAlign w:val="center"/>
            <w:hideMark/>
          </w:tcPr>
          <w:p w:rsidR="000E626B" w:rsidRPr="00F92AE5" w:rsidRDefault="000E626B" w:rsidP="003D7B75">
            <w:pPr>
              <w:jc w:val="both"/>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jc w:val="both"/>
              <w:rPr>
                <w:rFonts w:ascii="Palatino Linotype" w:hAnsi="Palatino Linotype"/>
                <w:i/>
              </w:rPr>
            </w:pPr>
            <w:r w:rsidRPr="00F92AE5">
              <w:rPr>
                <w:rFonts w:ascii="Palatino Linotype" w:hAnsi="Palatino Linotype"/>
                <w:i/>
              </w:rPr>
              <w:t xml:space="preserve">Ecatepec de Morelos, Estado de México a 23 de abril de 2025 OFICIO N°: DPCB/ECA/01002/2025 Asunto: EL QUE INDICA LIC. LUIS ÁNGEL HERNÁNDEZ SOTO TITULAR DE LA UNIDAD DE TRANSPARENCIA P R E S E N T E Sea este medio para enviarle un cordial saludo; con la finalidad de </w:t>
            </w:r>
            <w:r w:rsidRPr="00F92AE5">
              <w:rPr>
                <w:rFonts w:ascii="Palatino Linotype" w:hAnsi="Palatino Linotype"/>
                <w:i/>
              </w:rPr>
              <w:lastRenderedPageBreak/>
              <w:t xml:space="preserve">dar el cumplimiento y seguimiento a la solicitud número 00327/ECATEPEC/IP/2025; la cual fue ingresada a través del Sistema de Acceso a la Información Mexiquense (SAIMEX); y que a su letra señala lo siguiente: </w:t>
            </w:r>
            <w:r w:rsidRPr="00F92AE5">
              <w:rPr>
                <w:rFonts w:ascii="Palatino Linotype" w:hAnsi="Palatino Linotype"/>
                <w:i/>
              </w:rPr>
              <w:sym w:font="Symbol" w:char="F0D8"/>
            </w:r>
            <w:r w:rsidRPr="00F92AE5">
              <w:rPr>
                <w:rFonts w:ascii="Palatino Linotype" w:hAnsi="Palatino Linotype"/>
                <w:i/>
              </w:rPr>
              <w:t xml:space="preserve"> PRIMERO.- “[…] Solicito de la manera más atenta información sobre las Valoraciones de Riesgo, realizadas por la Dirección de Protección Civil y Bomberos, durante 2024, en las que el motivo, causa o razón, se refiera a árboles en las banquetas de las calles en el H. Municipio de Ecatepec de Morelos.” </w:t>
            </w:r>
            <w:r w:rsidRPr="00F92AE5">
              <w:rPr>
                <w:rFonts w:ascii="Palatino Linotype" w:hAnsi="Palatino Linotype"/>
                <w:i/>
              </w:rPr>
              <w:sym w:font="Symbol" w:char="F0D8"/>
            </w:r>
            <w:r w:rsidRPr="00F92AE5">
              <w:rPr>
                <w:rFonts w:ascii="Palatino Linotype" w:hAnsi="Palatino Linotype"/>
                <w:i/>
              </w:rPr>
              <w:t xml:space="preserve"> SEGUNDO.- “[…] Favor Detallar número por mes.” Derivado a lo anterior le informo lo siguiente: • PUNTO PRIMERO.- Le informo que al realizar una búsqueda minuciosa y exhaustiva en los expedientes 2024 VALORACIONES DE RIESGOS , en el que se encontró que conforme a las facultades conferidas a esta Dirección el Departamento de Prevención realizo una (1) Valoración de Riesgo en el mes de septiembre en el año 2024. • REFERENTE AL PUNTO NÚMERO SEGUNDO.- Los criterios de los cuales hace mención pertenecen a la NORMA TÉCNICA ESTATAL AMBIENTAL NTEA-018-SeMAGEM-DS-2017; con fundamento en los artículos 42, 43, 44, 45, 46, 47, 48, 49 y 50 del Reglamento de Conservación y Protección al Medio Ambiente del Municipio de Ecatepec de Morelos; artículos 21, 64 y 65 del Bando Municipal vigente, y demás relativos aplicables; el personal adscrito a la Dirección de Protección Civil y Bomberos, NO CUENTA con las atribuciones para realizar ESTUDIO TÉCNICO y / o muestras a los árboles dañados en calles sobre banquetas , sin embargo dentro de sus atribuciones es realizar “VALORACIONES DE RIESGO”; mismas que ya fueron entregadas a la Unidad que dignamente representa en copia certificada para ser entregadas al usuario; No omito comentarle que fue MITIGADO EL RIESGO de la Rama por personal adscrito al Departamento del H. Cuerpo de Bomberos dejando las indicaciones pertinentes al usuario. • Con fundamento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w:t>
            </w:r>
            <w:r w:rsidRPr="00F92AE5">
              <w:rPr>
                <w:rFonts w:ascii="Palatino Linotype" w:hAnsi="Palatino Linotype"/>
                <w:i/>
              </w:rPr>
              <w:lastRenderedPageBreak/>
              <w:t xml:space="preserve">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 Por lo que por parte de la Dirección de Protección Civil y Bomberos, quedan concluidas sus peticiones; le solicito de la manera más atenta y respetuosa sugiera al usuario dar curso y/o el seguimiento correspondiente ante la DIRECCIÓN DE MEDIO AMBIENTE Y ECOLOGÍA. • Le notifico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Por lo que se está en espera del oficio de seguimiento por parte de la Dirección de Medio Ambiente y Ecología. Sin más por el momento, quedo a sus distinguidas órdenes para cualquier duda o aclaración al respecto. Ecatepec de Morelos, Estado de México a 25 de abril de 2025 OFICIO N°: DPCB/ECA/01007/2025 Asunto: EL QUE INDICA LIC. LUIS ÁNGEL HERNÁNDEZ SOTO TITULAR DE LA UNIDAD DE TRANSPARENCIA P R E S E N T E Sea este medio para enviarle un cordial saludo; con la finalidad de dar el cumplimiento y seguimiento a la solicitud número 00326/ECATEPEC/IP/2025; la cual fue ingresada a través del Sistema de Acceso a la Información Mexiquense (SAIMEX); y que a su letra señala lo siguiente: </w:t>
            </w:r>
            <w:r w:rsidRPr="00F92AE5">
              <w:rPr>
                <w:rFonts w:ascii="Palatino Linotype" w:hAnsi="Palatino Linotype"/>
                <w:i/>
              </w:rPr>
              <w:sym w:font="Symbol" w:char="F0D8"/>
            </w:r>
            <w:r w:rsidRPr="00F92AE5">
              <w:rPr>
                <w:rFonts w:ascii="Palatino Linotype" w:hAnsi="Palatino Linotype"/>
                <w:i/>
              </w:rPr>
              <w:t xml:space="preserve"> PRIMERO.- “[…] Solicito de la manera más atenta información sobre las Valoraciones de Riesgo, realizadas por la Dirección de Protección Civil y Bomberos, durante 2023, en las que el motivo, causa o razón, se refiera a árboles en las banquetas de las calles en el H. Municipio de Ecatepec de Morelos. </w:t>
            </w:r>
            <w:r w:rsidRPr="00F92AE5">
              <w:rPr>
                <w:rFonts w:ascii="Palatino Linotype" w:hAnsi="Palatino Linotype"/>
                <w:i/>
              </w:rPr>
              <w:sym w:font="Symbol" w:char="F0D8"/>
            </w:r>
            <w:r w:rsidRPr="00F92AE5">
              <w:rPr>
                <w:rFonts w:ascii="Palatino Linotype" w:hAnsi="Palatino Linotype"/>
                <w:i/>
              </w:rPr>
              <w:t xml:space="preserve"> SEGUNDO.- “[…] Favor Detallar número por mes.” Derivado a lo anterior le </w:t>
            </w:r>
            <w:r w:rsidRPr="00F92AE5">
              <w:rPr>
                <w:rFonts w:ascii="Palatino Linotype" w:hAnsi="Palatino Linotype"/>
                <w:i/>
              </w:rPr>
              <w:lastRenderedPageBreak/>
              <w:t xml:space="preserve">informo lo siguiente: • PUNTO PRIMERO.- Le informo que al realizar una búsqueda minuciosa y exhaustiva en los expedientes 2023 VALORACIONES DE RIESGOS , en el que se encontró que conforme a las facultades conferidas a esta Dirección el Departamento de Prevención realizo una (1) Valoración de Riesgo en el mes de julio en el año 2023. • REFERENTE AL PUNTO NÚMERO SEGUNDO.- Los criterios de los cuales hace mención pertenecen a la NORMA TÉCNICA ESTATAL AMBIENTAL NTEA-018-SeMAGEM-DS-2017; con fundamento en los artículos 42, 43, 44, 45, 46, 47, 48, 49 y 50 del Reglamento de Conservación y Protección al Medio Ambiente del Municipio de Ecatepec de Morelos; artículos 21, 64 y 65 del Bando Municipal vigente, y demás relativos aplicables; el personal adscrito a la Dirección de Protección Civil y Bomberos, NO CUENTA con las atribuciones para realizar ESTUDIO TÉCNICO y / o muestras a los árboles dañados en calles sobre banquetas , sin embargo dentro de sus atribuciones es realizar “VALORACIONES DE RIESGO”; mismas que ya fueron entregadas a la Unidad que dignamente representa en copia certificada para ser entregadas al usuario. • Con fundamento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 Por lo que por parte de la Dirección de Protección Civil y Bomberos, quedan concluidas sus peticiones; le solicito de la manera más atenta y respetuosa sugiera al usuario </w:t>
            </w:r>
            <w:r w:rsidRPr="00F92AE5">
              <w:rPr>
                <w:rFonts w:ascii="Palatino Linotype" w:hAnsi="Palatino Linotype"/>
                <w:i/>
              </w:rPr>
              <w:lastRenderedPageBreak/>
              <w:t>dar curso y/o el seguimiento correspondiente ante la DIRECCIÓN DE MEDIO AMBIENTE Y ECOLOGÍA. • Le notifico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Por lo que se está en espera del oficio de seguimiento por parte de la Dirección de Medio Ambiente y Ecología. Sin más por el momento, quedo a sus distinguidas órdenes para cualquier duda o aclaración al respecto.</w:t>
            </w:r>
          </w:p>
        </w:tc>
      </w:tr>
      <w:tr w:rsidR="000E626B" w:rsidRPr="00F92AE5" w:rsidTr="000E626B">
        <w:trPr>
          <w:trHeight w:val="376"/>
          <w:tblCellSpacing w:w="0" w:type="dxa"/>
          <w:jc w:val="center"/>
        </w:trPr>
        <w:tc>
          <w:tcPr>
            <w:tcW w:w="0" w:type="auto"/>
            <w:vAlign w:val="center"/>
            <w:hideMark/>
          </w:tcPr>
          <w:p w:rsidR="000E626B" w:rsidRPr="00F92AE5" w:rsidRDefault="000E626B" w:rsidP="003D7B75">
            <w:pPr>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jc w:val="center"/>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rPr>
                <w:rFonts w:ascii="Palatino Linotype" w:hAnsi="Palatino Linotype"/>
                <w:i/>
              </w:rPr>
            </w:pPr>
            <w:r w:rsidRPr="00F92AE5">
              <w:rPr>
                <w:rFonts w:ascii="Palatino Linotype" w:hAnsi="Palatino Linotype"/>
                <w:i/>
              </w:rPr>
              <w:t>ATENTAMENTE</w:t>
            </w:r>
          </w:p>
        </w:tc>
      </w:tr>
      <w:tr w:rsidR="000E626B" w:rsidRPr="00F92AE5" w:rsidTr="000E626B">
        <w:trPr>
          <w:trHeight w:val="225"/>
          <w:tblCellSpacing w:w="0" w:type="dxa"/>
          <w:jc w:val="center"/>
        </w:trPr>
        <w:tc>
          <w:tcPr>
            <w:tcW w:w="0" w:type="auto"/>
            <w:vAlign w:val="center"/>
            <w:hideMark/>
          </w:tcPr>
          <w:p w:rsidR="000E626B" w:rsidRPr="00F92AE5" w:rsidRDefault="000E626B" w:rsidP="003D7B75">
            <w:pPr>
              <w:rPr>
                <w:rFonts w:ascii="Palatino Linotype" w:hAnsi="Palatino Linotype"/>
                <w:i/>
              </w:rPr>
            </w:pPr>
          </w:p>
        </w:tc>
      </w:tr>
      <w:tr w:rsidR="000E626B" w:rsidRPr="00F92AE5" w:rsidTr="000E626B">
        <w:trPr>
          <w:trHeight w:val="150"/>
          <w:tblCellSpacing w:w="0" w:type="dxa"/>
          <w:jc w:val="center"/>
        </w:trPr>
        <w:tc>
          <w:tcPr>
            <w:tcW w:w="0" w:type="auto"/>
            <w:vAlign w:val="center"/>
            <w:hideMark/>
          </w:tcPr>
          <w:p w:rsidR="000E626B" w:rsidRPr="00F92AE5" w:rsidRDefault="000E626B" w:rsidP="003D7B75">
            <w:pPr>
              <w:rPr>
                <w:rFonts w:ascii="Palatino Linotype" w:hAnsi="Palatino Linotype"/>
                <w:i/>
              </w:rPr>
            </w:pPr>
            <w:r w:rsidRPr="00F92AE5">
              <w:rPr>
                <w:rFonts w:ascii="Palatino Linotype" w:hAnsi="Palatino Linotype"/>
                <w:i/>
              </w:rPr>
              <w:t>Luis Ángel Hernández Soto”</w:t>
            </w:r>
          </w:p>
        </w:tc>
      </w:tr>
    </w:tbl>
    <w:p w:rsidR="006A0BBC" w:rsidRDefault="006A0BBC" w:rsidP="003D7B75">
      <w:pPr>
        <w:rPr>
          <w:rFonts w:ascii="Palatino Linotype" w:eastAsia="Calibri" w:hAnsi="Palatino Linotype" w:cs="Arial"/>
          <w:lang w:val="es-AR" w:eastAsia="es-ES"/>
        </w:rPr>
      </w:pPr>
    </w:p>
    <w:p w:rsidR="003A6920" w:rsidRPr="00F92AE5" w:rsidRDefault="003A6920" w:rsidP="003D7B75">
      <w:pPr>
        <w:rPr>
          <w:rFonts w:ascii="Palatino Linotype" w:eastAsia="Calibri" w:hAnsi="Palatino Linotype" w:cs="Arial"/>
          <w:lang w:val="es-AR" w:eastAsia="es-ES"/>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eastAsia="Calibri" w:hAnsi="Palatino Linotype" w:cs="Arial"/>
          <w:sz w:val="24"/>
          <w:lang w:val="es-AR" w:eastAsia="es-ES"/>
        </w:rPr>
        <w:t xml:space="preserve">El </w:t>
      </w:r>
      <w:r w:rsidR="000E626B" w:rsidRPr="00F92AE5">
        <w:rPr>
          <w:rFonts w:ascii="Palatino Linotype" w:eastAsia="Calibri" w:hAnsi="Palatino Linotype" w:cs="Arial"/>
          <w:b/>
          <w:sz w:val="24"/>
          <w:lang w:val="es-AR" w:eastAsia="es-ES"/>
        </w:rPr>
        <w:t>treinta de abril</w:t>
      </w:r>
      <w:r w:rsidRPr="00F92AE5">
        <w:rPr>
          <w:rFonts w:ascii="Palatino Linotype" w:eastAsia="Calibri" w:hAnsi="Palatino Linotype" w:cs="Arial"/>
          <w:b/>
          <w:sz w:val="24"/>
          <w:lang w:val="es-AR" w:eastAsia="es-ES"/>
        </w:rPr>
        <w:t xml:space="preserve"> de dos mil veinticinco</w:t>
      </w:r>
      <w:r w:rsidRPr="00F92AE5">
        <w:rPr>
          <w:rFonts w:ascii="Palatino Linotype" w:hAnsi="Palatino Linotype" w:cs="Arial"/>
          <w:sz w:val="24"/>
          <w:lang w:val="es-ES" w:eastAsia="es-ES"/>
        </w:rPr>
        <w:t xml:space="preserve">, </w:t>
      </w:r>
      <w:r w:rsidRPr="00F92AE5">
        <w:rPr>
          <w:rFonts w:ascii="Palatino Linotype" w:eastAsiaTheme="minorEastAsia" w:hAnsi="Palatino Linotype"/>
          <w:b/>
          <w:sz w:val="24"/>
          <w:lang w:val="es-ES_tradnl" w:eastAsia="es-ES"/>
        </w:rPr>
        <w:t>EL RECURRENTE</w:t>
      </w:r>
      <w:r w:rsidRPr="00F92AE5">
        <w:rPr>
          <w:rFonts w:ascii="Palatino Linotype" w:hAnsi="Palatino Linotype" w:cs="Arial"/>
          <w:sz w:val="24"/>
          <w:lang w:val="es-ES" w:eastAsia="es-ES"/>
        </w:rPr>
        <w:t xml:space="preserve"> interpuso el recurso de revisión, en contra de la respuesta, señalando como:</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6A0BBC" w:rsidRPr="00F92AE5" w:rsidRDefault="005A6784" w:rsidP="003D7B75">
      <w:pPr>
        <w:pStyle w:val="Prrafodelista"/>
        <w:spacing w:line="360" w:lineRule="auto"/>
        <w:ind w:left="0"/>
        <w:jc w:val="both"/>
        <w:rPr>
          <w:rFonts w:ascii="Palatino Linotype" w:hAnsi="Palatino Linotype" w:cs="Arial"/>
          <w:b/>
          <w:sz w:val="24"/>
          <w:lang w:val="es-ES" w:eastAsia="es-ES"/>
        </w:rPr>
      </w:pPr>
      <w:r w:rsidRPr="00F92AE5">
        <w:rPr>
          <w:rFonts w:ascii="Palatino Linotype" w:hAnsi="Palatino Linotype" w:cs="Arial"/>
          <w:b/>
          <w:sz w:val="24"/>
          <w:lang w:val="es-ES" w:eastAsia="es-ES"/>
        </w:rPr>
        <w:t>04968</w:t>
      </w:r>
      <w:r w:rsidR="006A0BBC" w:rsidRPr="00F92AE5">
        <w:rPr>
          <w:rFonts w:ascii="Palatino Linotype" w:hAnsi="Palatino Linotype" w:cs="Arial"/>
          <w:b/>
          <w:sz w:val="24"/>
          <w:lang w:val="es-ES" w:eastAsia="es-ES"/>
        </w:rPr>
        <w:t xml:space="preserve">/INFOEM/IP/RR/2025: </w:t>
      </w:r>
    </w:p>
    <w:p w:rsidR="006A0BBC" w:rsidRPr="004236F8" w:rsidRDefault="006A0BBC" w:rsidP="004236F8">
      <w:pPr>
        <w:pStyle w:val="Prrafodelista"/>
        <w:numPr>
          <w:ilvl w:val="0"/>
          <w:numId w:val="7"/>
        </w:numPr>
        <w:spacing w:line="360" w:lineRule="auto"/>
        <w:jc w:val="both"/>
        <w:rPr>
          <w:rFonts w:ascii="Palatino Linotype" w:eastAsia="Calibri" w:hAnsi="Palatino Linotype" w:cs="Arial"/>
          <w:i/>
          <w:sz w:val="24"/>
          <w:lang w:val="es-ES" w:eastAsia="es-ES"/>
        </w:rPr>
      </w:pPr>
      <w:r w:rsidRPr="004236F8">
        <w:rPr>
          <w:rFonts w:ascii="Palatino Linotype" w:eastAsiaTheme="minorEastAsia" w:hAnsi="Palatino Linotype"/>
          <w:b/>
          <w:sz w:val="24"/>
          <w:lang w:val="es-ES_tradnl" w:eastAsia="es-ES"/>
        </w:rPr>
        <w:t>Acto impugnado</w:t>
      </w:r>
      <w:r w:rsidRPr="004236F8">
        <w:rPr>
          <w:rFonts w:ascii="Palatino Linotype" w:eastAsiaTheme="minorEastAsia" w:hAnsi="Palatino Linotype"/>
          <w:b/>
          <w:i/>
          <w:sz w:val="24"/>
          <w:lang w:val="es-ES_tradnl" w:eastAsia="es-ES"/>
        </w:rPr>
        <w:t>:</w:t>
      </w:r>
      <w:r w:rsidRPr="004236F8">
        <w:rPr>
          <w:rFonts w:ascii="Palatino Linotype" w:hAnsi="Palatino Linotype"/>
          <w:i/>
          <w:color w:val="000000"/>
          <w:sz w:val="24"/>
        </w:rPr>
        <w:t xml:space="preserve"> “</w:t>
      </w:r>
      <w:r w:rsidR="003F4599" w:rsidRPr="004236F8">
        <w:rPr>
          <w:rFonts w:ascii="Palatino Linotype" w:hAnsi="Palatino Linotype"/>
          <w:i/>
          <w:color w:val="000000"/>
          <w:sz w:val="24"/>
        </w:rPr>
        <w:t>Solicito de la manera más atenta información sobre las Valoraciones de Riesgo, realizadas por la Dirección de Protección Civil y Bomberos, durante 2024, en las que el motivo, causa o razón, se refiera a árboles en las banquetas de las calles en el H. Municipio de Ecatepec de Morelos. Por favor Detallar número por mes.</w:t>
      </w:r>
      <w:r w:rsidRPr="004236F8">
        <w:rPr>
          <w:rFonts w:ascii="Palatino Linotype" w:hAnsi="Palatino Linotype"/>
          <w:i/>
          <w:color w:val="000000"/>
          <w:sz w:val="24"/>
        </w:rPr>
        <w:t>" (Sic)</w:t>
      </w:r>
    </w:p>
    <w:p w:rsidR="006A0BBC" w:rsidRPr="004236F8" w:rsidRDefault="006A0BBC" w:rsidP="004236F8">
      <w:pPr>
        <w:pStyle w:val="Prrafodelista"/>
        <w:numPr>
          <w:ilvl w:val="0"/>
          <w:numId w:val="7"/>
        </w:numPr>
        <w:spacing w:line="360" w:lineRule="auto"/>
        <w:jc w:val="both"/>
        <w:rPr>
          <w:rFonts w:ascii="Palatino Linotype" w:eastAsiaTheme="minorEastAsia" w:hAnsi="Palatino Linotype"/>
          <w:i/>
          <w:sz w:val="24"/>
          <w:lang w:eastAsia="es-ES"/>
        </w:rPr>
      </w:pPr>
      <w:r w:rsidRPr="004236F8">
        <w:rPr>
          <w:rFonts w:ascii="Palatino Linotype" w:eastAsiaTheme="minorEastAsia" w:hAnsi="Palatino Linotype"/>
          <w:b/>
          <w:sz w:val="24"/>
          <w:lang w:val="es-ES_tradnl" w:eastAsia="es-ES"/>
        </w:rPr>
        <w:t xml:space="preserve">Razones o Motivos de inconformidad: </w:t>
      </w:r>
      <w:r w:rsidRPr="004236F8">
        <w:rPr>
          <w:rFonts w:ascii="Palatino Linotype" w:eastAsiaTheme="minorEastAsia" w:hAnsi="Palatino Linotype"/>
          <w:i/>
          <w:sz w:val="24"/>
          <w:lang w:eastAsia="es-ES"/>
        </w:rPr>
        <w:t>"</w:t>
      </w:r>
      <w:r w:rsidR="003F4599" w:rsidRPr="004236F8">
        <w:rPr>
          <w:rFonts w:ascii="Palatino Linotype" w:eastAsiaTheme="minorEastAsia" w:hAnsi="Palatino Linotype"/>
          <w:i/>
          <w:sz w:val="24"/>
          <w:lang w:eastAsia="es-ES"/>
        </w:rPr>
        <w:t xml:space="preserve">1.- En archivo PDF se me entrega información de las solicitudes FOLIOS 00326/ECATEPEC/IP/2025 y 00327/ECATEPEC/IP/2025, en este </w:t>
      </w:r>
      <w:r w:rsidR="003F4599" w:rsidRPr="004236F8">
        <w:rPr>
          <w:rFonts w:ascii="Palatino Linotype" w:eastAsiaTheme="minorEastAsia" w:hAnsi="Palatino Linotype"/>
          <w:i/>
          <w:sz w:val="24"/>
          <w:lang w:eastAsia="es-ES"/>
        </w:rPr>
        <w:lastRenderedPageBreak/>
        <w:t>último FOLIO, escrito dirigido al C. Lic. Luis Ángel Hernández Soto, Titular de la Unidad de Transparencia, suscrito por Luis Ángel Hernández Soto, Responsable de la Unidad de información del Ayuntamiento de Ecatepec de Morelos. Por favor entregar respuesta de la Dirección de Protección Civil y Bomberos. Se anexa archivo PDF proporcionado en la plataforma SAIMEX. 2.- Se observa la siguiente información: “Dirección el Departamento de Prevención realizo una (1) Valoración de Riesgo en el mes de septiembre en el año 2024.” Me permito, comentar que cuento con una valoración de riesgo del mes de agosto de 2024, por lo que agradeceré se realice una búsqueda minuciosa y exhaustiva de la información que estoy solicitando.</w:t>
      </w:r>
      <w:r w:rsidRPr="004236F8">
        <w:rPr>
          <w:rFonts w:ascii="Palatino Linotype" w:eastAsiaTheme="minorEastAsia" w:hAnsi="Palatino Linotype"/>
          <w:i/>
          <w:sz w:val="24"/>
          <w:lang w:eastAsia="es-ES"/>
        </w:rPr>
        <w:t>" (Sic)</w:t>
      </w:r>
    </w:p>
    <w:p w:rsidR="003F4599" w:rsidRPr="00F92AE5" w:rsidRDefault="003F4599" w:rsidP="003D7B75">
      <w:pPr>
        <w:spacing w:line="360" w:lineRule="auto"/>
        <w:contextualSpacing/>
        <w:jc w:val="both"/>
        <w:rPr>
          <w:rFonts w:ascii="Palatino Linotype" w:eastAsiaTheme="minorEastAsia" w:hAnsi="Palatino Linotype"/>
          <w:i/>
          <w:lang w:eastAsia="es-ES"/>
        </w:rPr>
      </w:pPr>
    </w:p>
    <w:p w:rsidR="003F4599" w:rsidRPr="00F92AE5" w:rsidRDefault="003F4599" w:rsidP="004236F8">
      <w:pPr>
        <w:pStyle w:val="Prrafodelista"/>
        <w:numPr>
          <w:ilvl w:val="0"/>
          <w:numId w:val="7"/>
        </w:numPr>
        <w:spacing w:line="360" w:lineRule="auto"/>
        <w:ind w:left="0" w:firstLine="0"/>
        <w:jc w:val="both"/>
        <w:rPr>
          <w:rFonts w:ascii="Palatino Linotype" w:eastAsiaTheme="minorEastAsia" w:hAnsi="Palatino Linotype"/>
          <w:sz w:val="24"/>
          <w:lang w:eastAsia="es-ES"/>
        </w:rPr>
      </w:pPr>
      <w:r w:rsidRPr="00F92AE5">
        <w:rPr>
          <w:rFonts w:ascii="Palatino Linotype" w:eastAsiaTheme="minorEastAsia" w:hAnsi="Palatino Linotype"/>
          <w:sz w:val="24"/>
          <w:lang w:val="es-ES_tradnl" w:eastAsia="es-ES"/>
        </w:rPr>
        <w:t xml:space="preserve">A la interposición del recurso, el Recurrente adjuntó el archivo </w:t>
      </w:r>
      <w:hyperlink r:id="rId11" w:tgtFrame="_blank" w:history="1">
        <w:r w:rsidRPr="00F92AE5">
          <w:rPr>
            <w:rStyle w:val="Hipervnculo"/>
            <w:rFonts w:ascii="Palatino Linotype" w:eastAsiaTheme="minorEastAsia" w:hAnsi="Palatino Linotype"/>
            <w:b/>
            <w:bCs/>
            <w:sz w:val="24"/>
            <w:lang w:eastAsia="es-ES"/>
          </w:rPr>
          <w:t>2025 respuesta PDF 327-2025.pdf</w:t>
        </w:r>
      </w:hyperlink>
      <w:r w:rsidRPr="00F92AE5">
        <w:rPr>
          <w:rFonts w:ascii="Palatino Linotype" w:eastAsiaTheme="minorEastAsia" w:hAnsi="Palatino Linotype"/>
          <w:sz w:val="24"/>
          <w:lang w:val="es-ES_tradnl" w:eastAsia="es-ES"/>
        </w:rPr>
        <w:t xml:space="preserve">, en el que se advierte la respuesta enviada por el Sujeto Obligado. </w:t>
      </w:r>
    </w:p>
    <w:p w:rsidR="006F2CC5" w:rsidRPr="00F92AE5" w:rsidRDefault="006F2CC5" w:rsidP="003D7B75">
      <w:pPr>
        <w:pStyle w:val="Prrafodelista"/>
        <w:spacing w:line="360" w:lineRule="auto"/>
        <w:ind w:left="0"/>
        <w:jc w:val="both"/>
        <w:rPr>
          <w:rFonts w:ascii="Palatino Linotype" w:eastAsiaTheme="minorEastAsia" w:hAnsi="Palatino Linotype"/>
          <w:b/>
          <w:sz w:val="24"/>
          <w:lang w:val="es-ES_tradnl" w:eastAsia="es-ES"/>
        </w:rPr>
      </w:pPr>
    </w:p>
    <w:p w:rsidR="006A0BBC" w:rsidRPr="00F92AE5" w:rsidRDefault="003F4599" w:rsidP="003D7B75">
      <w:pPr>
        <w:pStyle w:val="Prrafodelista"/>
        <w:spacing w:line="360" w:lineRule="auto"/>
        <w:ind w:left="0"/>
        <w:jc w:val="both"/>
        <w:rPr>
          <w:rFonts w:ascii="Palatino Linotype" w:hAnsi="Palatino Linotype" w:cs="Arial"/>
          <w:b/>
          <w:sz w:val="24"/>
          <w:lang w:val="es-ES" w:eastAsia="es-ES"/>
        </w:rPr>
      </w:pPr>
      <w:r w:rsidRPr="00F92AE5">
        <w:rPr>
          <w:rFonts w:ascii="Palatino Linotype" w:hAnsi="Palatino Linotype" w:cs="Arial"/>
          <w:b/>
          <w:sz w:val="24"/>
          <w:lang w:val="es-ES" w:eastAsia="es-ES"/>
        </w:rPr>
        <w:t>04980</w:t>
      </w:r>
      <w:r w:rsidR="006A0BBC" w:rsidRPr="00F92AE5">
        <w:rPr>
          <w:rFonts w:ascii="Palatino Linotype" w:hAnsi="Palatino Linotype" w:cs="Arial"/>
          <w:b/>
          <w:sz w:val="24"/>
          <w:lang w:val="es-ES" w:eastAsia="es-ES"/>
        </w:rPr>
        <w:t xml:space="preserve">/INFOEM/IP/RR/2025: </w:t>
      </w:r>
    </w:p>
    <w:p w:rsidR="006A0BBC" w:rsidRPr="004236F8" w:rsidRDefault="006A0BBC" w:rsidP="004236F8">
      <w:pPr>
        <w:pStyle w:val="Prrafodelista"/>
        <w:numPr>
          <w:ilvl w:val="0"/>
          <w:numId w:val="7"/>
        </w:numPr>
        <w:spacing w:line="360" w:lineRule="auto"/>
        <w:jc w:val="both"/>
        <w:rPr>
          <w:rFonts w:ascii="Palatino Linotype" w:hAnsi="Palatino Linotype"/>
          <w:i/>
          <w:color w:val="000000"/>
          <w:sz w:val="24"/>
        </w:rPr>
      </w:pPr>
      <w:r w:rsidRPr="004236F8">
        <w:rPr>
          <w:rFonts w:ascii="Palatino Linotype" w:eastAsiaTheme="minorEastAsia" w:hAnsi="Palatino Linotype"/>
          <w:b/>
          <w:sz w:val="24"/>
          <w:lang w:val="es-ES_tradnl" w:eastAsia="es-ES"/>
        </w:rPr>
        <w:t>Acto impugnado</w:t>
      </w:r>
      <w:r w:rsidRPr="004236F8">
        <w:rPr>
          <w:rFonts w:ascii="Palatino Linotype" w:eastAsiaTheme="minorEastAsia" w:hAnsi="Palatino Linotype"/>
          <w:b/>
          <w:i/>
          <w:sz w:val="24"/>
          <w:lang w:val="es-ES_tradnl" w:eastAsia="es-ES"/>
        </w:rPr>
        <w:t>:</w:t>
      </w:r>
      <w:r w:rsidRPr="004236F8">
        <w:rPr>
          <w:rFonts w:ascii="Palatino Linotype" w:hAnsi="Palatino Linotype"/>
          <w:i/>
          <w:color w:val="000000"/>
          <w:sz w:val="24"/>
        </w:rPr>
        <w:t xml:space="preserve"> “</w:t>
      </w:r>
      <w:r w:rsidR="003F4599" w:rsidRPr="004236F8">
        <w:rPr>
          <w:rFonts w:ascii="Palatino Linotype" w:hAnsi="Palatino Linotype"/>
          <w:i/>
          <w:color w:val="000000"/>
          <w:sz w:val="24"/>
        </w:rPr>
        <w:t>Solicito de la manera más atenta información sobre las Valoraciones de Riesgo, realizadas por la Dirección de Protección Civil y Bomberos, durante 2023, en las que el motivo, causa o razón, se refiera a árboles en las banquetas de las calles en el H. Municipio de Ecatepec de Morelos. Por favor Detallar número por mes.</w:t>
      </w:r>
      <w:r w:rsidRPr="004236F8">
        <w:rPr>
          <w:rFonts w:ascii="Palatino Linotype" w:hAnsi="Palatino Linotype"/>
          <w:i/>
          <w:color w:val="000000"/>
          <w:sz w:val="24"/>
        </w:rPr>
        <w:t>" (Sic)</w:t>
      </w:r>
    </w:p>
    <w:p w:rsidR="0020612E" w:rsidRPr="004236F8" w:rsidRDefault="0020612E" w:rsidP="003D7B75">
      <w:pPr>
        <w:spacing w:line="360" w:lineRule="auto"/>
        <w:contextualSpacing/>
        <w:jc w:val="both"/>
        <w:rPr>
          <w:rFonts w:ascii="Palatino Linotype" w:eastAsia="Calibri" w:hAnsi="Palatino Linotype" w:cs="Arial"/>
          <w:i/>
          <w:sz w:val="28"/>
          <w:lang w:val="es-ES" w:eastAsia="es-ES"/>
        </w:rPr>
      </w:pPr>
    </w:p>
    <w:p w:rsidR="006A0BBC" w:rsidRPr="004236F8" w:rsidRDefault="006A0BBC" w:rsidP="004236F8">
      <w:pPr>
        <w:pStyle w:val="Prrafodelista"/>
        <w:numPr>
          <w:ilvl w:val="0"/>
          <w:numId w:val="7"/>
        </w:numPr>
        <w:spacing w:line="360" w:lineRule="auto"/>
        <w:jc w:val="both"/>
        <w:rPr>
          <w:rFonts w:ascii="Palatino Linotype" w:eastAsiaTheme="minorEastAsia" w:hAnsi="Palatino Linotype"/>
          <w:b/>
          <w:lang w:val="es-ES_tradnl" w:eastAsia="es-ES"/>
        </w:rPr>
      </w:pPr>
      <w:r w:rsidRPr="004236F8">
        <w:rPr>
          <w:rFonts w:ascii="Palatino Linotype" w:eastAsiaTheme="minorEastAsia" w:hAnsi="Palatino Linotype"/>
          <w:b/>
          <w:sz w:val="24"/>
          <w:lang w:val="es-ES_tradnl" w:eastAsia="es-ES"/>
        </w:rPr>
        <w:t xml:space="preserve">Razones o Motivos de inconformidad: </w:t>
      </w:r>
      <w:r w:rsidRPr="004236F8">
        <w:rPr>
          <w:rFonts w:ascii="Palatino Linotype" w:eastAsiaTheme="minorEastAsia" w:hAnsi="Palatino Linotype"/>
          <w:i/>
          <w:sz w:val="24"/>
          <w:lang w:eastAsia="es-ES"/>
        </w:rPr>
        <w:t>"</w:t>
      </w:r>
      <w:r w:rsidR="0020612E" w:rsidRPr="004236F8">
        <w:rPr>
          <w:rFonts w:ascii="Palatino Linotype" w:eastAsiaTheme="minorEastAsia" w:hAnsi="Palatino Linotype"/>
          <w:i/>
          <w:sz w:val="24"/>
          <w:lang w:eastAsia="es-ES"/>
        </w:rPr>
        <w:t xml:space="preserve">1.- En archivo PDF se me entrega información de las solicitudes FOLIOS 00327/ECATEPEC/IP/2025 y 00326/ECATEPEC/IP/2025, en este último FOLIO escrito dirigido al C. Lic. Luis Ángel Hernández Soto, Titular de la Unidad de Transparencia, suscrito por Luis Ángel Hernández Soto, Responsable de la Unidad de información del Ayuntamiento de Ecatepec de Morelos. Por favor entregar respuesta de la Dirección de </w:t>
      </w:r>
      <w:r w:rsidR="0020612E" w:rsidRPr="004236F8">
        <w:rPr>
          <w:rFonts w:ascii="Palatino Linotype" w:eastAsiaTheme="minorEastAsia" w:hAnsi="Palatino Linotype"/>
          <w:i/>
          <w:lang w:eastAsia="es-ES"/>
        </w:rPr>
        <w:t xml:space="preserve">Protección Civil y Bomberos. Se anexa archivo PDF proporcionado en la plataforma </w:t>
      </w:r>
      <w:r w:rsidR="0020612E" w:rsidRPr="004236F8">
        <w:rPr>
          <w:rFonts w:ascii="Palatino Linotype" w:eastAsiaTheme="minorEastAsia" w:hAnsi="Palatino Linotype"/>
          <w:i/>
          <w:lang w:eastAsia="es-ES"/>
        </w:rPr>
        <w:lastRenderedPageBreak/>
        <w:t>SAIMEX. 2.- Se observa la siguiente información: “Dirección el Departamento de Prevención realizo una (1) Valoración de Riesgo en el mes de julio en el año 2023.” Me permito, comentar que cuento con una valoración de riesgo del mes de julio de 2023 y una del mes agosto de 2023, por lo que agradeceré se realice una búsqueda minuciosa y exhaustiva de la información que estoy solicitando, debido a la discrepancia de la información.</w:t>
      </w:r>
      <w:r w:rsidRPr="004236F8">
        <w:rPr>
          <w:rFonts w:ascii="Palatino Linotype" w:eastAsiaTheme="minorEastAsia" w:hAnsi="Palatino Linotype"/>
          <w:i/>
          <w:lang w:eastAsia="es-ES"/>
        </w:rPr>
        <w:t>" (Sic)</w:t>
      </w:r>
    </w:p>
    <w:p w:rsidR="006A0BBC" w:rsidRPr="00F92AE5" w:rsidRDefault="006A0BBC" w:rsidP="003D7B75">
      <w:pPr>
        <w:spacing w:line="360" w:lineRule="auto"/>
        <w:contextualSpacing/>
        <w:jc w:val="both"/>
        <w:rPr>
          <w:rFonts w:ascii="Palatino Linotype" w:hAnsi="Palatino Linotype" w:cs="Arial"/>
        </w:rPr>
      </w:pPr>
    </w:p>
    <w:p w:rsidR="0020612E" w:rsidRPr="00F92AE5" w:rsidRDefault="0020612E" w:rsidP="004236F8">
      <w:pPr>
        <w:pStyle w:val="Prrafodelista"/>
        <w:numPr>
          <w:ilvl w:val="0"/>
          <w:numId w:val="7"/>
        </w:numPr>
        <w:spacing w:line="360" w:lineRule="auto"/>
        <w:ind w:left="0" w:firstLine="0"/>
        <w:rPr>
          <w:rFonts w:ascii="Palatino Linotype" w:hAnsi="Palatino Linotype" w:cs="Arial"/>
          <w:b/>
          <w:sz w:val="24"/>
        </w:rPr>
      </w:pPr>
      <w:r w:rsidRPr="00F92AE5">
        <w:rPr>
          <w:rFonts w:ascii="Palatino Linotype" w:hAnsi="Palatino Linotype" w:cs="Arial"/>
          <w:sz w:val="24"/>
          <w:lang w:val="es-ES_tradnl"/>
        </w:rPr>
        <w:t xml:space="preserve">A la interposición del recurso, el Recurrente adjuntó el archivo </w:t>
      </w:r>
      <w:hyperlink r:id="rId12" w:tgtFrame="_blank" w:history="1">
        <w:r w:rsidRPr="00F92AE5">
          <w:rPr>
            <w:rStyle w:val="Hipervnculo"/>
            <w:rFonts w:ascii="Palatino Linotype" w:hAnsi="Palatino Linotype" w:cs="Arial"/>
            <w:b/>
            <w:bCs/>
            <w:sz w:val="24"/>
          </w:rPr>
          <w:t>2025 respuesta PDF 326-2025 saimex.pdf</w:t>
        </w:r>
      </w:hyperlink>
      <w:r w:rsidRPr="00F92AE5">
        <w:rPr>
          <w:rFonts w:ascii="Palatino Linotype" w:hAnsi="Palatino Linotype" w:cs="Arial"/>
          <w:sz w:val="24"/>
          <w:lang w:val="es-ES_tradnl"/>
        </w:rPr>
        <w:t xml:space="preserve">, en el que se advierte la respuesta enviada por el Sujeto Obligado. </w:t>
      </w:r>
    </w:p>
    <w:p w:rsidR="0067056A" w:rsidRPr="00F92AE5" w:rsidRDefault="0067056A" w:rsidP="003D7B75">
      <w:pPr>
        <w:spacing w:line="360" w:lineRule="auto"/>
        <w:contextualSpacing/>
        <w:jc w:val="both"/>
        <w:rPr>
          <w:rFonts w:ascii="Palatino Linotype" w:hAnsi="Palatino Linotype" w:cs="Arial"/>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Se registró el recurso de revisión bajo el número de expediente </w:t>
      </w:r>
      <w:r w:rsidRPr="00F92AE5">
        <w:rPr>
          <w:rFonts w:ascii="Palatino Linotype" w:eastAsiaTheme="minorEastAsia" w:hAnsi="Palatino Linotype" w:cs="Arial"/>
          <w:bCs/>
          <w:sz w:val="24"/>
          <w:lang w:val="es-ES_tradnl" w:eastAsia="es-ES"/>
        </w:rPr>
        <w:t xml:space="preserve">al rubro indicado, asimismo con fundamento en lo dispuesto por el </w:t>
      </w:r>
      <w:r w:rsidRPr="00F92AE5">
        <w:rPr>
          <w:rFonts w:ascii="Palatino Linotype" w:eastAsia="Calibri" w:hAnsi="Palatino Linotype" w:cs="Arial"/>
          <w:sz w:val="24"/>
          <w:lang w:val="es-ES" w:eastAsia="es-ES"/>
        </w:rPr>
        <w:t xml:space="preserve">artículo 185 fracción I de la </w:t>
      </w:r>
      <w:r w:rsidRPr="00F92AE5">
        <w:rPr>
          <w:rFonts w:ascii="Palatino Linotype" w:eastAsia="Calibri" w:hAnsi="Palatino Linotype" w:cs="Arial"/>
          <w:b/>
          <w:sz w:val="24"/>
          <w:lang w:val="es-ES" w:eastAsia="es-ES"/>
        </w:rPr>
        <w:t xml:space="preserve">Ley de Transparencia y Acceso a la Información Pública del Estado de México y Municipios </w:t>
      </w:r>
      <w:r w:rsidRPr="00F92AE5">
        <w:rPr>
          <w:rFonts w:ascii="Palatino Linotype" w:hAnsi="Palatino Linotype" w:cs="Arial"/>
          <w:sz w:val="24"/>
          <w:lang w:val="es-ES" w:eastAsia="es-ES"/>
        </w:rPr>
        <w:t xml:space="preserve">se turnó a la </w:t>
      </w:r>
      <w:r w:rsidRPr="00F92AE5">
        <w:rPr>
          <w:rFonts w:ascii="Palatino Linotype" w:hAnsi="Palatino Linotype" w:cs="Arial"/>
          <w:b/>
          <w:sz w:val="24"/>
          <w:lang w:val="es-ES" w:eastAsia="es-ES"/>
        </w:rPr>
        <w:t xml:space="preserve">Comisionada María del Rosario Mejía Ayala, </w:t>
      </w:r>
      <w:r w:rsidR="004236F8">
        <w:rPr>
          <w:rFonts w:ascii="Palatino Linotype" w:hAnsi="Palatino Linotype" w:cs="Arial"/>
          <w:sz w:val="24"/>
          <w:lang w:val="es-ES" w:eastAsia="es-ES"/>
        </w:rPr>
        <w:t>para</w:t>
      </w:r>
      <w:r w:rsidRPr="00F92AE5">
        <w:rPr>
          <w:rFonts w:ascii="Palatino Linotype" w:hAnsi="Palatino Linotype" w:cs="Arial"/>
          <w:sz w:val="24"/>
          <w:lang w:val="es-ES" w:eastAsia="es-ES"/>
        </w:rPr>
        <w:t xml:space="preserve"> </w:t>
      </w:r>
      <w:r w:rsidRPr="00F92AE5">
        <w:rPr>
          <w:rFonts w:ascii="Palatino Linotype" w:hAnsi="Palatino Linotype" w:cs="Arial"/>
          <w:sz w:val="24"/>
          <w:lang w:eastAsia="es-ES"/>
        </w:rPr>
        <w:t xml:space="preserve">su análisis. </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6A0BBC" w:rsidRPr="00F92AE5" w:rsidRDefault="004236F8"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6A0BBC" w:rsidRPr="00F92AE5">
        <w:rPr>
          <w:rFonts w:ascii="Palatino Linotype" w:eastAsia="Calibri" w:hAnsi="Palatino Linotype" w:cs="Arial"/>
          <w:sz w:val="24"/>
          <w:lang w:val="es-ES" w:eastAsia="es-ES"/>
        </w:rPr>
        <w:t xml:space="preserve"> Ponente con fundamento en lo dispuesto por el artículo 185 fracción II de la ley de la materia, a través del acuerdo de admisión del </w:t>
      </w:r>
      <w:r w:rsidR="0077692C" w:rsidRPr="00F92AE5">
        <w:rPr>
          <w:rFonts w:ascii="Palatino Linotype" w:eastAsia="Calibri" w:hAnsi="Palatino Linotype" w:cs="Arial"/>
          <w:b/>
          <w:sz w:val="24"/>
          <w:lang w:val="es-ES" w:eastAsia="es-ES"/>
        </w:rPr>
        <w:t>seis de mayo</w:t>
      </w:r>
      <w:r w:rsidR="006A0BBC" w:rsidRPr="00F92AE5">
        <w:rPr>
          <w:rFonts w:ascii="Palatino Linotype" w:eastAsia="Calibri" w:hAnsi="Palatino Linotype" w:cs="Arial"/>
          <w:b/>
          <w:sz w:val="24"/>
          <w:lang w:val="es-ES" w:eastAsia="es-ES"/>
        </w:rPr>
        <w:t xml:space="preserve"> de dos mil veinticinco</w:t>
      </w:r>
      <w:r w:rsidR="006A0BBC" w:rsidRPr="00F92AE5">
        <w:rPr>
          <w:rFonts w:ascii="Palatino Linotype" w:eastAsia="Calibri" w:hAnsi="Palatino Linotype" w:cs="Arial"/>
          <w:sz w:val="24"/>
          <w:lang w:val="es-ES" w:eastAsia="es-ES"/>
        </w:rPr>
        <w:t xml:space="preserve">, puso a disposición de las partes el expediente electrónico </w:t>
      </w:r>
      <w:r w:rsidR="006A0BBC" w:rsidRPr="00F92AE5">
        <w:rPr>
          <w:rFonts w:ascii="Palatino Linotype" w:eastAsia="Calibri" w:hAnsi="Palatino Linotype" w:cs="Arial"/>
          <w:sz w:val="24"/>
          <w:lang w:val="es-ES_tradnl" w:eastAsia="es-ES"/>
        </w:rPr>
        <w:t xml:space="preserve">vía </w:t>
      </w:r>
      <w:r w:rsidR="006A0BBC" w:rsidRPr="00F92AE5">
        <w:rPr>
          <w:rFonts w:ascii="Palatino Linotype" w:eastAsia="Calibri" w:hAnsi="Palatino Linotype" w:cs="Arial"/>
          <w:b/>
          <w:sz w:val="24"/>
          <w:lang w:val="es-ES" w:eastAsia="es-ES"/>
        </w:rPr>
        <w:t xml:space="preserve">SAIMEX </w:t>
      </w:r>
      <w:r w:rsidR="006A0BBC" w:rsidRPr="00F92AE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6A0BBC" w:rsidRPr="00F92AE5">
        <w:rPr>
          <w:rFonts w:ascii="Palatino Linotype" w:eastAsia="Calibri" w:hAnsi="Palatino Linotype" w:cs="Arial"/>
          <w:b/>
          <w:sz w:val="24"/>
          <w:lang w:val="es-ES" w:eastAsia="es-ES"/>
        </w:rPr>
        <w:t>SUJETO OBLIGADO</w:t>
      </w:r>
      <w:r w:rsidR="006A0BBC" w:rsidRPr="00F92AE5">
        <w:rPr>
          <w:rFonts w:ascii="Palatino Linotype" w:eastAsia="Calibri" w:hAnsi="Palatino Linotype" w:cs="Arial"/>
          <w:sz w:val="24"/>
          <w:lang w:val="es-ES" w:eastAsia="es-ES"/>
        </w:rPr>
        <w:t xml:space="preserve"> presentara el informe justificado procedente. </w:t>
      </w:r>
    </w:p>
    <w:p w:rsidR="006A0BBC" w:rsidRPr="00F92AE5" w:rsidRDefault="006A0BBC" w:rsidP="003D7B75">
      <w:pPr>
        <w:pStyle w:val="Prrafodelista"/>
        <w:ind w:left="0"/>
        <w:rPr>
          <w:rFonts w:ascii="Palatino Linotype" w:eastAsia="Palatino Linotype" w:hAnsi="Palatino Linotype" w:cs="Palatino Linotype"/>
          <w:color w:val="000000"/>
          <w:sz w:val="24"/>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eastAsia="Palatino Linotype" w:hAnsi="Palatino Linotype" w:cs="Palatino Linotype"/>
          <w:color w:val="000000"/>
          <w:sz w:val="24"/>
        </w:rPr>
        <w:t>Posteriormente, en la</w:t>
      </w:r>
      <w:r w:rsidRPr="00F92AE5">
        <w:rPr>
          <w:rFonts w:ascii="Palatino Linotype" w:eastAsia="Palatino Linotype" w:hAnsi="Palatino Linotype" w:cs="Palatino Linotype"/>
          <w:b/>
          <w:color w:val="000000"/>
          <w:sz w:val="24"/>
        </w:rPr>
        <w:t xml:space="preserve"> </w:t>
      </w:r>
      <w:r w:rsidR="0077692C" w:rsidRPr="00F92AE5">
        <w:rPr>
          <w:rFonts w:ascii="Palatino Linotype" w:eastAsia="Palatino Linotype" w:hAnsi="Palatino Linotype" w:cs="Palatino Linotype"/>
          <w:b/>
          <w:color w:val="000000"/>
          <w:sz w:val="24"/>
        </w:rPr>
        <w:t>Décima Séptima</w:t>
      </w:r>
      <w:r w:rsidRPr="00F92AE5">
        <w:rPr>
          <w:rFonts w:ascii="Palatino Linotype" w:eastAsia="Palatino Linotype" w:hAnsi="Palatino Linotype" w:cs="Palatino Linotype"/>
          <w:b/>
          <w:color w:val="000000"/>
          <w:sz w:val="24"/>
        </w:rPr>
        <w:t xml:space="preserve"> Sesión Ordinaria, </w:t>
      </w:r>
      <w:r w:rsidRPr="00F92AE5">
        <w:rPr>
          <w:rFonts w:ascii="Palatino Linotype" w:eastAsia="Palatino Linotype" w:hAnsi="Palatino Linotype" w:cs="Palatino Linotype"/>
          <w:color w:val="000000"/>
          <w:sz w:val="24"/>
        </w:rPr>
        <w:t xml:space="preserve">celebrada el </w:t>
      </w:r>
      <w:r w:rsidR="0077692C" w:rsidRPr="00F92AE5">
        <w:rPr>
          <w:rFonts w:ascii="Palatino Linotype" w:eastAsia="Palatino Linotype" w:hAnsi="Palatino Linotype" w:cs="Palatino Linotype"/>
          <w:b/>
          <w:color w:val="000000"/>
          <w:sz w:val="24"/>
        </w:rPr>
        <w:t>catorce de mayo</w:t>
      </w:r>
      <w:r w:rsidRPr="00F92AE5">
        <w:rPr>
          <w:rFonts w:ascii="Palatino Linotype" w:eastAsia="Palatino Linotype" w:hAnsi="Palatino Linotype" w:cs="Palatino Linotype"/>
          <w:b/>
          <w:color w:val="000000"/>
          <w:sz w:val="24"/>
        </w:rPr>
        <w:t xml:space="preserve"> de dos mil veinticinco</w:t>
      </w:r>
      <w:r w:rsidRPr="00F92AE5">
        <w:rPr>
          <w:rFonts w:ascii="Palatino Linotype" w:eastAsia="Palatino Linotype" w:hAnsi="Palatino Linotype" w:cs="Palatino Linotype"/>
          <w:color w:val="000000"/>
          <w:sz w:val="24"/>
        </w:rPr>
        <w:t>, el Pleno de este Órgano Autónomo ordenó la acumulación del recurso de revisión</w:t>
      </w:r>
      <w:r w:rsidR="0077692C" w:rsidRPr="00F92AE5">
        <w:rPr>
          <w:rFonts w:ascii="Palatino Linotype" w:eastAsia="Palatino Linotype" w:hAnsi="Palatino Linotype" w:cs="Palatino Linotype"/>
          <w:b/>
          <w:color w:val="000000"/>
          <w:sz w:val="24"/>
        </w:rPr>
        <w:t xml:space="preserve"> 04968</w:t>
      </w:r>
      <w:r w:rsidRPr="00F92AE5">
        <w:rPr>
          <w:rFonts w:ascii="Palatino Linotype" w:eastAsia="Palatino Linotype" w:hAnsi="Palatino Linotype" w:cs="Palatino Linotype"/>
          <w:b/>
          <w:color w:val="000000"/>
          <w:sz w:val="24"/>
        </w:rPr>
        <w:t xml:space="preserve">/INFOEM/IP/RR/2025 </w:t>
      </w:r>
      <w:r w:rsidRPr="00F92AE5">
        <w:rPr>
          <w:rFonts w:ascii="Palatino Linotype" w:eastAsia="Palatino Linotype" w:hAnsi="Palatino Linotype" w:cs="Palatino Linotype"/>
          <w:color w:val="000000"/>
          <w:sz w:val="24"/>
        </w:rPr>
        <w:t xml:space="preserve">al diverso </w:t>
      </w:r>
      <w:r w:rsidR="0077692C" w:rsidRPr="00F92AE5">
        <w:rPr>
          <w:rFonts w:ascii="Palatino Linotype" w:eastAsia="Palatino Linotype" w:hAnsi="Palatino Linotype" w:cs="Palatino Linotype"/>
          <w:b/>
          <w:color w:val="000000"/>
          <w:sz w:val="24"/>
        </w:rPr>
        <w:t>04980</w:t>
      </w:r>
      <w:r w:rsidRPr="00F92AE5">
        <w:rPr>
          <w:rFonts w:ascii="Palatino Linotype" w:eastAsia="Palatino Linotype" w:hAnsi="Palatino Linotype" w:cs="Palatino Linotype"/>
          <w:b/>
          <w:color w:val="000000"/>
          <w:sz w:val="24"/>
        </w:rPr>
        <w:t>/INFOEM/IP/RR/2025</w:t>
      </w:r>
      <w:r w:rsidRPr="00F92AE5">
        <w:rPr>
          <w:rFonts w:ascii="Palatino Linotype" w:eastAsia="Palatino Linotype" w:hAnsi="Palatino Linotype" w:cs="Palatino Linotype"/>
          <w:color w:val="000000"/>
          <w:sz w:val="24"/>
        </w:rPr>
        <w:t xml:space="preserve">, a efecto de que está Órgano Garante formulará y presentará el proyecto de resolución </w:t>
      </w:r>
      <w:r w:rsidRPr="00F92AE5">
        <w:rPr>
          <w:rFonts w:ascii="Palatino Linotype" w:eastAsia="Palatino Linotype" w:hAnsi="Palatino Linotype" w:cs="Palatino Linotype"/>
          <w:color w:val="000000"/>
          <w:sz w:val="24"/>
        </w:rPr>
        <w:lastRenderedPageBreak/>
        <w:t>correspondiente, de conformidad con el numeral ONCE, incisos b) y c), de los Lineamientos para la Recepción, Trámite y Resolución de las Solicitudes de Acceso a la Información Pública.</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394C86"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eastAsia="Calibri" w:hAnsi="Palatino Linotype" w:cs="Arial"/>
          <w:sz w:val="24"/>
          <w:lang w:val="es-ES" w:eastAsia="es-ES"/>
        </w:rPr>
        <w:t>De las constancias del expediente electrónico SAIMEX</w:t>
      </w:r>
      <w:r w:rsidR="0077692C" w:rsidRPr="00F92AE5">
        <w:rPr>
          <w:rFonts w:ascii="Palatino Linotype" w:eastAsia="Calibri" w:hAnsi="Palatino Linotype" w:cs="Arial"/>
          <w:sz w:val="24"/>
          <w:lang w:val="es-ES" w:eastAsia="es-ES"/>
        </w:rPr>
        <w:t xml:space="preserve"> se advierte que el Recurrente  realizó manifestaciones dentro del recurso de revisión 04980/INFOEM/IP/RR2025, en el que adjuntó el archivo denominado </w:t>
      </w:r>
      <w:hyperlink r:id="rId13" w:history="1">
        <w:r w:rsidR="0077692C" w:rsidRPr="00F92AE5">
          <w:rPr>
            <w:rStyle w:val="Hipervnculo"/>
            <w:rFonts w:ascii="Palatino Linotype" w:eastAsia="Calibri" w:hAnsi="Palatino Linotype" w:cs="Arial"/>
            <w:b/>
            <w:bCs/>
            <w:sz w:val="24"/>
            <w:lang w:eastAsia="es-ES"/>
          </w:rPr>
          <w:t>2025 respuesta PDF 326-2025 saimex.pdf</w:t>
        </w:r>
      </w:hyperlink>
      <w:r w:rsidR="0077692C" w:rsidRPr="00F92AE5">
        <w:rPr>
          <w:rFonts w:ascii="Palatino Linotype" w:eastAsia="Calibri" w:hAnsi="Palatino Linotype" w:cs="Arial"/>
          <w:sz w:val="24"/>
          <w:lang w:val="es-ES" w:eastAsia="es-ES"/>
        </w:rPr>
        <w:t xml:space="preserve">, con la respuesta del Sujeto Obligado. </w:t>
      </w:r>
      <w:r w:rsidR="00394C86" w:rsidRPr="00F92AE5">
        <w:rPr>
          <w:rFonts w:ascii="Palatino Linotype" w:eastAsia="Calibri" w:hAnsi="Palatino Linotype" w:cs="Arial"/>
          <w:sz w:val="24"/>
          <w:lang w:val="es-ES" w:eastAsia="es-ES"/>
        </w:rPr>
        <w:t xml:space="preserve"> </w:t>
      </w:r>
    </w:p>
    <w:p w:rsidR="0077692C" w:rsidRPr="00F92AE5" w:rsidRDefault="0077692C" w:rsidP="003D7B75">
      <w:pPr>
        <w:pStyle w:val="Prrafodelista"/>
        <w:ind w:left="0"/>
        <w:rPr>
          <w:rFonts w:ascii="Palatino Linotype" w:hAnsi="Palatino Linotype" w:cs="Arial"/>
          <w:sz w:val="24"/>
          <w:lang w:val="es-ES" w:eastAsia="es-ES"/>
        </w:rPr>
      </w:pPr>
    </w:p>
    <w:p w:rsidR="006A0BBC" w:rsidRPr="00F92AE5" w:rsidRDefault="0077692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P</w:t>
      </w:r>
      <w:r w:rsidR="006A0BBC" w:rsidRPr="00F92AE5">
        <w:rPr>
          <w:rFonts w:ascii="Palatino Linotype" w:eastAsia="Calibri" w:hAnsi="Palatino Linotype" w:cs="Arial"/>
          <w:sz w:val="24"/>
          <w:lang w:val="es-ES" w:eastAsia="es-ES"/>
        </w:rPr>
        <w:t>or su parte, el Sujeto Obligado</w:t>
      </w:r>
      <w:r w:rsidRPr="00F92AE5">
        <w:rPr>
          <w:rFonts w:ascii="Palatino Linotype" w:eastAsia="Calibri" w:hAnsi="Palatino Linotype" w:cs="Arial"/>
          <w:sz w:val="24"/>
          <w:lang w:val="es-ES" w:eastAsia="es-ES"/>
        </w:rPr>
        <w:t xml:space="preserve"> entregó informe justificado dentro del recurso de revisión </w:t>
      </w:r>
      <w:r w:rsidRPr="00F92AE5">
        <w:rPr>
          <w:rFonts w:ascii="Palatino Linotype" w:eastAsia="Calibri" w:hAnsi="Palatino Linotype" w:cs="Arial"/>
          <w:b/>
          <w:sz w:val="24"/>
          <w:lang w:val="es-ES" w:eastAsia="es-ES"/>
        </w:rPr>
        <w:t>04968/INFOEM/IP/RR/2025</w:t>
      </w:r>
      <w:r w:rsidRPr="00F92AE5">
        <w:rPr>
          <w:rFonts w:ascii="Palatino Linotype" w:eastAsia="Calibri" w:hAnsi="Palatino Linotype" w:cs="Arial"/>
          <w:sz w:val="24"/>
          <w:lang w:val="es-ES" w:eastAsia="es-ES"/>
        </w:rPr>
        <w:t>, el día catorce de mayo y dieciséis de julio de dos mil veinti</w:t>
      </w:r>
      <w:r w:rsidR="00501DBE" w:rsidRPr="00F92AE5">
        <w:rPr>
          <w:rFonts w:ascii="Palatino Linotype" w:eastAsia="Calibri" w:hAnsi="Palatino Linotype" w:cs="Arial"/>
          <w:sz w:val="24"/>
          <w:lang w:val="es-ES" w:eastAsia="es-ES"/>
        </w:rPr>
        <w:t>ci</w:t>
      </w:r>
      <w:r w:rsidRPr="00F92AE5">
        <w:rPr>
          <w:rFonts w:ascii="Palatino Linotype" w:eastAsia="Calibri" w:hAnsi="Palatino Linotype" w:cs="Arial"/>
          <w:sz w:val="24"/>
          <w:lang w:val="es-ES" w:eastAsia="es-ES"/>
        </w:rPr>
        <w:t>nco, mismo que fue puesto a la vista del particular el siete de julio y ocho de agosto del mismo año; dentro de</w:t>
      </w:r>
      <w:r w:rsidR="00501DBE" w:rsidRPr="00F92AE5">
        <w:rPr>
          <w:rFonts w:ascii="Palatino Linotype" w:eastAsia="Calibri" w:hAnsi="Palatino Linotype" w:cs="Arial"/>
          <w:sz w:val="24"/>
          <w:lang w:val="es-ES" w:eastAsia="es-ES"/>
        </w:rPr>
        <w:t xml:space="preserve">l recurso de revisión </w:t>
      </w:r>
      <w:r w:rsidR="00501DBE" w:rsidRPr="00F92AE5">
        <w:rPr>
          <w:rFonts w:ascii="Palatino Linotype" w:eastAsia="Calibri" w:hAnsi="Palatino Linotype" w:cs="Arial"/>
          <w:b/>
          <w:sz w:val="24"/>
          <w:lang w:val="es-ES" w:eastAsia="es-ES"/>
        </w:rPr>
        <w:t>04980/INFOEM/IP/RR/2025</w:t>
      </w:r>
      <w:r w:rsidR="00501DBE" w:rsidRPr="00F92AE5">
        <w:rPr>
          <w:rFonts w:ascii="Palatino Linotype" w:eastAsia="Calibri" w:hAnsi="Palatino Linotype" w:cs="Arial"/>
          <w:sz w:val="24"/>
          <w:lang w:val="es-ES" w:eastAsia="es-ES"/>
        </w:rPr>
        <w:t>, el Sujeto Obligado remitió informe justificado el dieciséis, veintiséis y veintiocho de mayo de dos mil veinticinco, mismo que fue puesto a la vista del particular el siete de julio del mismo año:</w:t>
      </w:r>
    </w:p>
    <w:p w:rsidR="006A0BBC" w:rsidRPr="00F92AE5" w:rsidRDefault="006A0BBC" w:rsidP="003D7B75">
      <w:pPr>
        <w:rPr>
          <w:rFonts w:ascii="Palatino Linotype" w:hAnsi="Palatino Linotype" w:cs="Arial"/>
          <w:lang w:val="es-ES" w:eastAsia="es-ES"/>
        </w:rPr>
      </w:pPr>
    </w:p>
    <w:p w:rsidR="006A0BBC" w:rsidRPr="00F92AE5" w:rsidRDefault="00501DBE" w:rsidP="003D7B75">
      <w:pPr>
        <w:rPr>
          <w:rFonts w:ascii="Palatino Linotype" w:hAnsi="Palatino Linotype" w:cs="Arial"/>
          <w:b/>
          <w:lang w:val="es-ES" w:eastAsia="es-ES"/>
        </w:rPr>
      </w:pPr>
      <w:r w:rsidRPr="00F92AE5">
        <w:rPr>
          <w:rFonts w:ascii="Palatino Linotype" w:hAnsi="Palatino Linotype" w:cs="Arial"/>
          <w:b/>
          <w:lang w:val="es-ES" w:eastAsia="es-ES"/>
        </w:rPr>
        <w:t>04968</w:t>
      </w:r>
      <w:r w:rsidR="006A0BBC" w:rsidRPr="00F92AE5">
        <w:rPr>
          <w:rFonts w:ascii="Palatino Linotype" w:hAnsi="Palatino Linotype" w:cs="Arial"/>
          <w:b/>
          <w:lang w:val="es-ES" w:eastAsia="es-ES"/>
        </w:rPr>
        <w:t>/INFOEM/IP/RR/2025:</w:t>
      </w:r>
    </w:p>
    <w:p w:rsidR="006A0BBC" w:rsidRPr="00F92AE5" w:rsidRDefault="006A0BBC" w:rsidP="003D7B75">
      <w:pPr>
        <w:rPr>
          <w:rFonts w:ascii="Palatino Linotype" w:hAnsi="Palatino Linotype" w:cs="Arial"/>
          <w:lang w:val="es-ES" w:eastAsia="es-ES"/>
        </w:rPr>
      </w:pPr>
    </w:p>
    <w:p w:rsidR="00501DBE" w:rsidRPr="00F92AE5" w:rsidRDefault="00EB3B33" w:rsidP="004236F8">
      <w:pPr>
        <w:pStyle w:val="Prrafodelista"/>
        <w:numPr>
          <w:ilvl w:val="0"/>
          <w:numId w:val="5"/>
        </w:numPr>
        <w:spacing w:line="360" w:lineRule="auto"/>
        <w:ind w:left="0" w:firstLine="0"/>
        <w:jc w:val="both"/>
        <w:rPr>
          <w:rFonts w:ascii="Palatino Linotype" w:hAnsi="Palatino Linotype" w:cs="Arial"/>
          <w:sz w:val="24"/>
          <w:lang w:val="es-ES" w:eastAsia="es-ES"/>
        </w:rPr>
      </w:pPr>
      <w:hyperlink r:id="rId14" w:history="1">
        <w:r w:rsidR="00501DBE" w:rsidRPr="00F92AE5">
          <w:rPr>
            <w:rStyle w:val="Hipervnculo"/>
            <w:rFonts w:ascii="Palatino Linotype" w:eastAsiaTheme="majorEastAsia" w:hAnsi="Palatino Linotype" w:cs="Arial"/>
            <w:b/>
            <w:bCs/>
            <w:sz w:val="24"/>
          </w:rPr>
          <w:t>sol.00327.pdf</w:t>
        </w:r>
      </w:hyperlink>
      <w:r w:rsidR="00501DBE" w:rsidRPr="00F92AE5">
        <w:rPr>
          <w:rFonts w:ascii="Palatino Linotype" w:eastAsiaTheme="majorEastAsia" w:hAnsi="Palatino Linotype" w:cs="Arial"/>
          <w:bCs/>
          <w:sz w:val="24"/>
        </w:rPr>
        <w:t xml:space="preserve">: </w:t>
      </w:r>
      <w:r w:rsidR="00F73C46" w:rsidRPr="00F92AE5">
        <w:rPr>
          <w:rFonts w:ascii="Palatino Linotype" w:eastAsiaTheme="majorEastAsia" w:hAnsi="Palatino Linotype" w:cs="Arial"/>
          <w:bCs/>
          <w:sz w:val="24"/>
        </w:rPr>
        <w:t>Oficio número DPCB/ECA/1205/2025 de fecha catorce de mayo de dos mil veinticinco, suscrito por el Director de Protección Civil y Bomberos quien, de form</w:t>
      </w:r>
      <w:r w:rsidR="00877136" w:rsidRPr="00F92AE5">
        <w:rPr>
          <w:rFonts w:ascii="Palatino Linotype" w:eastAsiaTheme="majorEastAsia" w:hAnsi="Palatino Linotype" w:cs="Arial"/>
          <w:bCs/>
          <w:sz w:val="24"/>
        </w:rPr>
        <w:t xml:space="preserve">a medular, señaló que se cuenta con una documental del trámite para la obtención de copia certificada de una valoración de riesgo en septiembre de 2024, signada por el Departamento de Prevención en el mes de agosto de 2024. </w:t>
      </w:r>
    </w:p>
    <w:p w:rsidR="00877136" w:rsidRPr="00F92AE5" w:rsidRDefault="00EB3B33" w:rsidP="004236F8">
      <w:pPr>
        <w:pStyle w:val="Prrafodelista"/>
        <w:numPr>
          <w:ilvl w:val="0"/>
          <w:numId w:val="5"/>
        </w:numPr>
        <w:spacing w:line="360" w:lineRule="auto"/>
        <w:ind w:left="0" w:firstLine="0"/>
        <w:jc w:val="both"/>
        <w:rPr>
          <w:rFonts w:ascii="Palatino Linotype" w:hAnsi="Palatino Linotype" w:cs="Arial"/>
          <w:sz w:val="24"/>
          <w:lang w:val="es-ES" w:eastAsia="es-ES"/>
        </w:rPr>
      </w:pPr>
      <w:hyperlink r:id="rId15" w:history="1">
        <w:r w:rsidR="00501DBE" w:rsidRPr="00F92AE5">
          <w:rPr>
            <w:rStyle w:val="Hipervnculo"/>
            <w:rFonts w:ascii="Palatino Linotype" w:hAnsi="Palatino Linotype" w:cs="Arial"/>
            <w:b/>
            <w:bCs/>
            <w:sz w:val="24"/>
            <w:lang w:eastAsia="es-ES"/>
          </w:rPr>
          <w:t>RR. 04968.pdf</w:t>
        </w:r>
      </w:hyperlink>
      <w:r w:rsidR="00501DBE" w:rsidRPr="00F92AE5">
        <w:rPr>
          <w:rFonts w:ascii="Palatino Linotype" w:hAnsi="Palatino Linotype" w:cs="Arial"/>
          <w:sz w:val="24"/>
          <w:lang w:val="es-ES" w:eastAsia="es-ES"/>
        </w:rPr>
        <w:t xml:space="preserve">: </w:t>
      </w:r>
    </w:p>
    <w:p w:rsidR="00501DBE" w:rsidRPr="00F92AE5" w:rsidRDefault="00E53870"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Oficio número DPCB/ECA/1687/2025 de fecha ocho de julio de dos mil veinticinco, suscrito por el Director de Protección Civil y Bomberos quien </w:t>
      </w:r>
      <w:r w:rsidR="00877136" w:rsidRPr="00F92AE5">
        <w:rPr>
          <w:rFonts w:ascii="Palatino Linotype" w:hAnsi="Palatino Linotype" w:cs="Arial"/>
          <w:bCs/>
          <w:sz w:val="24"/>
          <w:lang w:eastAsia="es-ES"/>
        </w:rPr>
        <w:t xml:space="preserve">señaló que se cuenta con una </w:t>
      </w:r>
      <w:r w:rsidR="00877136" w:rsidRPr="00F92AE5">
        <w:rPr>
          <w:rFonts w:ascii="Palatino Linotype" w:hAnsi="Palatino Linotype" w:cs="Arial"/>
          <w:bCs/>
          <w:sz w:val="24"/>
          <w:lang w:eastAsia="es-ES"/>
        </w:rPr>
        <w:lastRenderedPageBreak/>
        <w:t xml:space="preserve">documental del trámite para la obtención de copia certificada de una valoración de riesgo en septiembre de 2024, signada por el Departamento de Prevención en el mes de agosto de 2024. </w:t>
      </w:r>
    </w:p>
    <w:p w:rsidR="00877136" w:rsidRPr="00F92AE5" w:rsidRDefault="00877136"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eastAsiaTheme="majorEastAsia" w:hAnsi="Palatino Linotype" w:cs="Arial"/>
          <w:bCs/>
          <w:sz w:val="24"/>
        </w:rPr>
        <w:t xml:space="preserve">Oficio número DPCB/ECA/1205/2025 de fecha catorce de mayo de dos mil veinticinco, suscrito por el Director de Protección Civil y Bomberos quien, de forma medular, señaló que se cuenta con una documental del trámite para la obtención de copia certificada de una valoración de riesgo en septiembre de 2024, signada por el Departamento de Prevención en el mes de agosto de 2024. </w:t>
      </w:r>
    </w:p>
    <w:p w:rsidR="00877136" w:rsidRPr="00F92AE5" w:rsidRDefault="00877136"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Oficio número SHA/ECA/SMI/4181/2024 de fecha 4 de septiembre de dos mil veinticuatro, signado por el Secretario de Ayuntamiento y dirigido a la Dirección de Protección Civil y Bombero, en el que refirió que se anexan las copias certificadas solicitadas. </w:t>
      </w:r>
    </w:p>
    <w:p w:rsidR="00877136" w:rsidRPr="00F92AE5" w:rsidRDefault="00877136"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Oficio número DPCB/ECA/1671/2024 de fecha tres de septiembre de dos mil veinticuatro, suscrito por el Director de Protección Civil y Bomberos y dirigido a la Secretaria del Ayuntamiento, para solicitar la certificación de los documentos que den respuesta a diversos recursos de revisión. </w:t>
      </w:r>
    </w:p>
    <w:p w:rsidR="00877136" w:rsidRPr="00F92AE5" w:rsidRDefault="00877136"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Oficio número DPCB/ECA/1758/2023 correspondiente a una valoración de Riesgo.</w:t>
      </w:r>
    </w:p>
    <w:p w:rsidR="00877136" w:rsidRPr="00F92AE5" w:rsidRDefault="00877136"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Oficio número DPCB/ECA/1721/2024 de fecha seis de septiembre de dos mil veinticuatro, suscrito por el Director de Prote</w:t>
      </w:r>
      <w:r w:rsidR="00BD2986" w:rsidRPr="00F92AE5">
        <w:rPr>
          <w:rFonts w:ascii="Palatino Linotype" w:hAnsi="Palatino Linotype" w:cs="Arial"/>
          <w:sz w:val="24"/>
          <w:lang w:val="es-ES" w:eastAsia="es-ES"/>
        </w:rPr>
        <w:t xml:space="preserve">cción Civil y Bomberos y dirigido al Titular de la Unidad de Transparencia, en respuesta a diversos recursos de revisión. </w:t>
      </w:r>
    </w:p>
    <w:p w:rsidR="00501DBE" w:rsidRPr="00F92AE5" w:rsidRDefault="00501DBE" w:rsidP="003D7B75">
      <w:pPr>
        <w:pStyle w:val="Prrafodelista"/>
        <w:spacing w:line="360" w:lineRule="auto"/>
        <w:ind w:left="0"/>
        <w:jc w:val="both"/>
        <w:rPr>
          <w:rFonts w:ascii="Palatino Linotype" w:hAnsi="Palatino Linotype" w:cs="Arial"/>
          <w:sz w:val="24"/>
          <w:lang w:val="es-ES" w:eastAsia="es-ES"/>
        </w:rPr>
      </w:pPr>
    </w:p>
    <w:p w:rsidR="006A0BBC" w:rsidRPr="00F92AE5" w:rsidRDefault="00BD2986" w:rsidP="003D7B75">
      <w:pPr>
        <w:rPr>
          <w:rFonts w:ascii="Palatino Linotype" w:hAnsi="Palatino Linotype" w:cs="Arial"/>
          <w:b/>
          <w:lang w:val="es-ES" w:eastAsia="es-ES"/>
        </w:rPr>
      </w:pPr>
      <w:r w:rsidRPr="00F92AE5">
        <w:rPr>
          <w:rFonts w:ascii="Palatino Linotype" w:hAnsi="Palatino Linotype" w:cs="Arial"/>
          <w:b/>
          <w:lang w:val="es-ES" w:eastAsia="es-ES"/>
        </w:rPr>
        <w:t>04980</w:t>
      </w:r>
      <w:r w:rsidR="006A0BBC" w:rsidRPr="00F92AE5">
        <w:rPr>
          <w:rFonts w:ascii="Palatino Linotype" w:hAnsi="Palatino Linotype" w:cs="Arial"/>
          <w:b/>
          <w:lang w:val="es-ES" w:eastAsia="es-ES"/>
        </w:rPr>
        <w:t>/INFOEM/IP/RR/2025:</w:t>
      </w:r>
    </w:p>
    <w:p w:rsidR="00BD2986" w:rsidRPr="00F92AE5" w:rsidRDefault="00EB3B33" w:rsidP="004236F8">
      <w:pPr>
        <w:pStyle w:val="Prrafodelista"/>
        <w:numPr>
          <w:ilvl w:val="0"/>
          <w:numId w:val="11"/>
        </w:numPr>
        <w:spacing w:line="360" w:lineRule="auto"/>
        <w:ind w:left="0" w:firstLine="0"/>
        <w:jc w:val="both"/>
        <w:rPr>
          <w:rFonts w:ascii="Palatino Linotype" w:hAnsi="Palatino Linotype" w:cs="Arial"/>
          <w:sz w:val="24"/>
          <w:lang w:val="es-ES" w:eastAsia="es-ES"/>
        </w:rPr>
      </w:pPr>
      <w:hyperlink r:id="rId16" w:history="1">
        <w:r w:rsidR="00BD2986" w:rsidRPr="00F92AE5">
          <w:rPr>
            <w:rStyle w:val="Hipervnculo"/>
            <w:rFonts w:ascii="Palatino Linotype" w:eastAsiaTheme="majorEastAsia" w:hAnsi="Palatino Linotype" w:cs="Arial"/>
            <w:b/>
            <w:bCs/>
            <w:sz w:val="24"/>
          </w:rPr>
          <w:t>RR0498.pdf</w:t>
        </w:r>
      </w:hyperlink>
      <w:r w:rsidR="00BD2986" w:rsidRPr="00F92AE5">
        <w:rPr>
          <w:rFonts w:ascii="Palatino Linotype" w:eastAsiaTheme="majorEastAsia" w:hAnsi="Palatino Linotype" w:cs="Arial"/>
          <w:bCs/>
          <w:sz w:val="24"/>
        </w:rPr>
        <w:t xml:space="preserve">: Oficio número DPCB/ECA/1206/2025 de fecha quince de mayo de dos mil veinticuatro, suscrito por el Director de Protección Civil y Bomberos, quien señaló </w:t>
      </w:r>
      <w:r w:rsidR="00DD7052" w:rsidRPr="00F92AE5">
        <w:rPr>
          <w:rFonts w:ascii="Palatino Linotype" w:eastAsiaTheme="majorEastAsia" w:hAnsi="Palatino Linotype" w:cs="Arial"/>
          <w:bCs/>
          <w:sz w:val="24"/>
        </w:rPr>
        <w:t xml:space="preserve">que se cuenta con el trámite de una solicitud de copia certificada de una valoración de riesgo en septiembre de 2024, signada por el Departamento de Prevención en el mes de julio de 2023; asimismo, señaló </w:t>
      </w:r>
      <w:r w:rsidR="00DD7052" w:rsidRPr="00F92AE5">
        <w:rPr>
          <w:rFonts w:ascii="Palatino Linotype" w:eastAsiaTheme="majorEastAsia" w:hAnsi="Palatino Linotype" w:cs="Arial"/>
          <w:bCs/>
          <w:i/>
          <w:sz w:val="24"/>
        </w:rPr>
        <w:t xml:space="preserve">“…así como oficio del mes de agosto 2023 remitido al superintendente Zona Azteca </w:t>
      </w:r>
      <w:r w:rsidR="00DD7052" w:rsidRPr="00F92AE5">
        <w:rPr>
          <w:rFonts w:ascii="Palatino Linotype" w:eastAsiaTheme="majorEastAsia" w:hAnsi="Palatino Linotype" w:cs="Arial"/>
          <w:bCs/>
          <w:i/>
          <w:sz w:val="24"/>
        </w:rPr>
        <w:lastRenderedPageBreak/>
        <w:t>Valle de Maíz y Valle de Yang Tse, Valle de Aragón 1ª Sección Nezahualcóyotl, Estado de México; a través del cual el asunto a tratar era la VALORACIÓN DE RIESGO, que en su momento tendría que realizar la COMISIÓN FEDERAL DE ELECTRICIDAD, ya que es el dependencia encargada del desarrollo y operación en cuanto al despunte y/o derribo de árboles en banquetas bajo el CABLEADO DE ELECTRICIDAD DE ALTA TENCIÓN; por lo que se realizó el trámite correspondiente con la finalidad de apoyar al recurrente y diera el sequimiento correspondiente; por lo que el recurrente cuenta el oficio del mes de Agosto 2023 como una valoración extra”</w:t>
      </w:r>
    </w:p>
    <w:p w:rsidR="00BD2986" w:rsidRPr="00F92AE5" w:rsidRDefault="00BD2986" w:rsidP="003D7B75">
      <w:pPr>
        <w:pStyle w:val="Prrafodelista"/>
        <w:spacing w:line="360" w:lineRule="auto"/>
        <w:ind w:left="0"/>
        <w:jc w:val="both"/>
        <w:rPr>
          <w:rFonts w:ascii="Palatino Linotype" w:hAnsi="Palatino Linotype" w:cs="Arial"/>
          <w:sz w:val="24"/>
          <w:lang w:val="es-ES" w:eastAsia="es-ES"/>
        </w:rPr>
      </w:pPr>
    </w:p>
    <w:p w:rsidR="00BD2986" w:rsidRPr="00F92AE5" w:rsidRDefault="00EB3B33" w:rsidP="004236F8">
      <w:pPr>
        <w:pStyle w:val="Prrafodelista"/>
        <w:numPr>
          <w:ilvl w:val="0"/>
          <w:numId w:val="11"/>
        </w:numPr>
        <w:spacing w:line="360" w:lineRule="auto"/>
        <w:ind w:left="0" w:firstLine="0"/>
        <w:jc w:val="both"/>
        <w:rPr>
          <w:rFonts w:ascii="Palatino Linotype" w:hAnsi="Palatino Linotype" w:cs="Arial"/>
          <w:sz w:val="24"/>
          <w:lang w:val="es-ES" w:eastAsia="es-ES"/>
        </w:rPr>
      </w:pPr>
      <w:hyperlink r:id="rId17" w:history="1">
        <w:r w:rsidR="00BD2986" w:rsidRPr="00F92AE5">
          <w:rPr>
            <w:rStyle w:val="Hipervnculo"/>
            <w:rFonts w:ascii="Palatino Linotype" w:hAnsi="Palatino Linotype" w:cs="Arial"/>
            <w:b/>
            <w:bCs/>
            <w:sz w:val="24"/>
            <w:lang w:eastAsia="es-ES"/>
          </w:rPr>
          <w:t>sol-00326 y 00327.pdf</w:t>
        </w:r>
      </w:hyperlink>
      <w:r w:rsidR="00BD2986" w:rsidRPr="00F92AE5">
        <w:rPr>
          <w:rFonts w:ascii="Palatino Linotype" w:hAnsi="Palatino Linotype" w:cs="Arial"/>
          <w:sz w:val="24"/>
          <w:lang w:val="es-ES" w:eastAsia="es-ES"/>
        </w:rPr>
        <w:t>:</w:t>
      </w:r>
      <w:r w:rsidR="00DD7052" w:rsidRPr="00F92AE5">
        <w:rPr>
          <w:rFonts w:ascii="Palatino Linotype" w:hAnsi="Palatino Linotype" w:cs="Arial"/>
          <w:sz w:val="24"/>
          <w:lang w:val="es-ES" w:eastAsia="es-ES"/>
        </w:rPr>
        <w:t xml:space="preserve"> oficio número DPCB/ECA/01007/2025 de fecha veinticinco de abril de dos mil veinticinco, suscrito por el Director de Protección Civil y Bomberos, en el que señaló que, se realizó una valoración en el mes de julio de 2023.</w:t>
      </w:r>
    </w:p>
    <w:p w:rsidR="00DD7052" w:rsidRPr="00F92AE5" w:rsidRDefault="00DD7052" w:rsidP="004236F8">
      <w:pPr>
        <w:spacing w:line="360" w:lineRule="auto"/>
        <w:jc w:val="both"/>
        <w:rPr>
          <w:rFonts w:ascii="Palatino Linotype" w:hAnsi="Palatino Linotype" w:cs="Arial"/>
          <w:lang w:val="es-ES" w:eastAsia="es-ES"/>
        </w:rPr>
      </w:pPr>
    </w:p>
    <w:p w:rsidR="00BD2986" w:rsidRPr="00F92AE5" w:rsidRDefault="00EB3B33" w:rsidP="004236F8">
      <w:pPr>
        <w:pStyle w:val="Prrafodelista"/>
        <w:numPr>
          <w:ilvl w:val="0"/>
          <w:numId w:val="11"/>
        </w:numPr>
        <w:spacing w:line="360" w:lineRule="auto"/>
        <w:ind w:left="0" w:firstLine="0"/>
        <w:jc w:val="both"/>
        <w:rPr>
          <w:rFonts w:ascii="Palatino Linotype" w:hAnsi="Palatino Linotype" w:cs="Arial"/>
          <w:sz w:val="24"/>
          <w:lang w:val="es-ES" w:eastAsia="es-ES"/>
        </w:rPr>
      </w:pPr>
      <w:hyperlink r:id="rId18" w:history="1">
        <w:r w:rsidR="00BD2986" w:rsidRPr="00F92AE5">
          <w:rPr>
            <w:rStyle w:val="Hipervnculo"/>
            <w:rFonts w:ascii="Palatino Linotype" w:hAnsi="Palatino Linotype" w:cs="Arial"/>
            <w:b/>
            <w:bCs/>
            <w:sz w:val="24"/>
            <w:lang w:eastAsia="es-ES"/>
          </w:rPr>
          <w:t>sol 00326.pdf</w:t>
        </w:r>
      </w:hyperlink>
      <w:r w:rsidR="00BD2986" w:rsidRPr="00F92AE5">
        <w:rPr>
          <w:rFonts w:ascii="Palatino Linotype" w:hAnsi="Palatino Linotype" w:cs="Arial"/>
          <w:sz w:val="24"/>
          <w:lang w:val="es-ES" w:eastAsia="es-ES"/>
        </w:rPr>
        <w:t xml:space="preserve">: </w:t>
      </w:r>
    </w:p>
    <w:p w:rsidR="00DD7052" w:rsidRPr="00F92AE5" w:rsidRDefault="00DD7052"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Oficio DCPB/ECA/1337/2025 de fecha veintiocho de mayo de dos mil veinticinco, suscrito por el Director de Protección Civil y Bomberos, quien señaló </w:t>
      </w:r>
      <w:r w:rsidRPr="00F92AE5">
        <w:rPr>
          <w:rFonts w:ascii="Palatino Linotype" w:hAnsi="Palatino Linotype" w:cs="Arial"/>
          <w:i/>
          <w:sz w:val="24"/>
          <w:lang w:val="es-ES" w:eastAsia="es-ES"/>
        </w:rPr>
        <w:t>“</w:t>
      </w:r>
      <w:r w:rsidRPr="00F92AE5">
        <w:rPr>
          <w:rFonts w:ascii="Palatino Linotype" w:hAnsi="Palatino Linotype" w:cs="Arial"/>
          <w:i/>
          <w:sz w:val="24"/>
          <w:lang w:eastAsia="es-ES"/>
        </w:rPr>
        <w:t xml:space="preserve">Se le explica al recurrente lo siguiente "Le reafirmo que la solicitud 00326/ECATЕРEС/IP/2025 es igual al presente; que se cuenta con el documental del trámite realizado en el mes de Septiembre 2024 ante Secretaria del H. Ayuntamiento de Ecatepec de Morelos, para la obtención de Copia Certificada de una (1) Valoración de Riesgo signada por el "Departamento de Prevención" perteneciente a la Dirección que dignamente represento, en el mes de julio 2023. Así como oficio del mes de Aqosto 2023 remitido al Superintendente Zona Azteca Valle de Maíz y Valle de Yang Tse, Valle de Aragón 1a Sección Nezahualcóyotl, Estado de México; a través del cual el Asunto a tratar VALORACIÓN DE RIESGO, que en su momento tendría que realizar la COMISIÓN FEDERAL DE ELECTRICIDAD, ya que es el dependencia encargada del desarrollo y operación en cuanto al despunte y/o derribo de árboles en banguetas bajo el CABLEADO DE ELECTRICIDAD DE ALTA TENCIÓN; por lo que se realizó el trámite </w:t>
      </w:r>
      <w:r w:rsidRPr="00F92AE5">
        <w:rPr>
          <w:rFonts w:ascii="Palatino Linotype" w:hAnsi="Palatino Linotype" w:cs="Arial"/>
          <w:i/>
          <w:sz w:val="24"/>
          <w:lang w:eastAsia="es-ES"/>
        </w:rPr>
        <w:lastRenderedPageBreak/>
        <w:t>correspondiente con la finalidad de apoyar al recurrente y diera el seguimiento correspondiente; por lo que el recurrente cuenta el oficio del mes de Agosto 2023 y la está cuantificando como una valoración extra, no omito comentar que cuenta con copia certificada del documental…”</w:t>
      </w:r>
    </w:p>
    <w:p w:rsidR="00BD2986" w:rsidRPr="00F92AE5" w:rsidRDefault="00E62C1B" w:rsidP="004236F8">
      <w:pPr>
        <w:pStyle w:val="Prrafodelista"/>
        <w:numPr>
          <w:ilvl w:val="0"/>
          <w:numId w:val="10"/>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Oficio número DPCB/ECA/1226/2025 de fecha quince de mayo de dos  mil veinticinco, suscito por el Director de Protección Civil y Bomberos en atención al derribo de una barda. </w:t>
      </w:r>
    </w:p>
    <w:p w:rsidR="00E62C1B" w:rsidRPr="00F92AE5" w:rsidRDefault="00E62C1B" w:rsidP="003D7B75">
      <w:pPr>
        <w:pStyle w:val="Prrafodelista"/>
        <w:spacing w:line="360" w:lineRule="auto"/>
        <w:ind w:left="0"/>
        <w:jc w:val="both"/>
        <w:rPr>
          <w:rFonts w:ascii="Palatino Linotype" w:hAnsi="Palatino Linotype" w:cs="Arial"/>
          <w:sz w:val="24"/>
          <w:lang w:val="es-ES" w:eastAsia="es-ES"/>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hAnsi="Palatino Linotype" w:cs="Arial"/>
          <w:sz w:val="24"/>
          <w:lang w:val="es-ES" w:eastAsia="es-ES"/>
        </w:rPr>
        <w:t xml:space="preserve">El </w:t>
      </w:r>
      <w:r w:rsidR="00E62C1B" w:rsidRPr="00F92AE5">
        <w:rPr>
          <w:rFonts w:ascii="Palatino Linotype" w:hAnsi="Palatino Linotype" w:cs="Arial"/>
          <w:b/>
          <w:sz w:val="24"/>
          <w:lang w:val="es-ES" w:eastAsia="es-ES"/>
        </w:rPr>
        <w:t>veintiuno de agosto</w:t>
      </w:r>
      <w:r w:rsidRPr="00F92AE5">
        <w:rPr>
          <w:rFonts w:ascii="Palatino Linotype" w:hAnsi="Palatino Linotype" w:cs="Arial"/>
          <w:b/>
          <w:sz w:val="24"/>
          <w:lang w:val="es-ES" w:eastAsia="es-ES"/>
        </w:rPr>
        <w:t xml:space="preserve"> de dos mil veinticinco</w:t>
      </w:r>
      <w:r w:rsidRPr="00F92AE5">
        <w:rPr>
          <w:rFonts w:ascii="Palatino Linotype" w:hAnsi="Palatino Linotype" w:cs="Arial"/>
          <w:sz w:val="24"/>
          <w:lang w:val="es-ES" w:eastAsia="es-ES"/>
        </w:rPr>
        <w:t xml:space="preserve">, se notificó el acuerdo mediante el cual se aprobó la ampliación de plazo para emitir resolución. </w:t>
      </w:r>
    </w:p>
    <w:p w:rsidR="00E62C1B" w:rsidRPr="00F92AE5" w:rsidRDefault="00E62C1B" w:rsidP="003D7B75">
      <w:pPr>
        <w:pStyle w:val="Prrafodelista"/>
        <w:spacing w:line="360" w:lineRule="auto"/>
        <w:ind w:left="0"/>
        <w:jc w:val="both"/>
        <w:rPr>
          <w:rFonts w:ascii="Palatino Linotype" w:hAnsi="Palatino Linotype" w:cs="Arial"/>
          <w:sz w:val="24"/>
          <w:lang w:val="es-ES" w:eastAsia="es-ES"/>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sz w:val="24"/>
          <w:lang w:val="es-ES" w:eastAsia="es-ES"/>
        </w:rPr>
      </w:pPr>
      <w:r w:rsidRPr="00F92AE5">
        <w:rPr>
          <w:rFonts w:ascii="Palatino Linotype" w:eastAsiaTheme="minorEastAsia" w:hAnsi="Palatino Linotype"/>
          <w:sz w:val="24"/>
          <w:lang w:val="es-ES_tradnl" w:eastAsia="es-ES"/>
        </w:rPr>
        <w:t>La Comisionada Ponente decretó el cierre de instrucción</w:t>
      </w:r>
      <w:r w:rsidRPr="00F92AE5">
        <w:rPr>
          <w:rFonts w:ascii="Palatino Linotype" w:eastAsiaTheme="minorEastAsia" w:hAnsi="Palatino Linotype" w:cs="Arial"/>
          <w:sz w:val="24"/>
          <w:lang w:val="es-ES_tradnl" w:eastAsia="es-ES"/>
        </w:rPr>
        <w:t xml:space="preserve"> </w:t>
      </w:r>
      <w:r w:rsidRPr="00F92AE5">
        <w:rPr>
          <w:rFonts w:ascii="Palatino Linotype" w:eastAsiaTheme="minorEastAsia" w:hAnsi="Palatino Linotype"/>
          <w:sz w:val="24"/>
          <w:lang w:val="es-ES_tradnl" w:eastAsia="es-ES"/>
        </w:rPr>
        <w:t xml:space="preserve">mediante el acuerdo del </w:t>
      </w:r>
      <w:r w:rsidR="00E62C1B" w:rsidRPr="00F92AE5">
        <w:rPr>
          <w:rFonts w:ascii="Palatino Linotype" w:eastAsiaTheme="minorEastAsia" w:hAnsi="Palatino Linotype"/>
          <w:b/>
          <w:sz w:val="24"/>
          <w:lang w:val="es-ES_tradnl" w:eastAsia="es-ES"/>
        </w:rPr>
        <w:t>veintisiete de agosto</w:t>
      </w:r>
      <w:r w:rsidRPr="00F92AE5">
        <w:rPr>
          <w:rFonts w:ascii="Palatino Linotype" w:eastAsiaTheme="minorEastAsia" w:hAnsi="Palatino Linotype"/>
          <w:b/>
          <w:sz w:val="24"/>
          <w:lang w:val="es-ES_tradnl" w:eastAsia="es-ES"/>
        </w:rPr>
        <w:t xml:space="preserve"> de dos mil veinticinco</w:t>
      </w:r>
      <w:r w:rsidRPr="00F92AE5">
        <w:rPr>
          <w:rFonts w:ascii="Palatino Linotype" w:eastAsiaTheme="minorEastAsia" w:hAnsi="Palatino Linotype"/>
          <w:sz w:val="24"/>
          <w:lang w:val="es-ES_tradnl" w:eastAsia="es-ES"/>
        </w:rPr>
        <w:t xml:space="preserve">. </w:t>
      </w:r>
    </w:p>
    <w:p w:rsidR="006A0BBC" w:rsidRPr="00F92AE5" w:rsidRDefault="006A0BBC" w:rsidP="003D7B75">
      <w:pPr>
        <w:spacing w:line="360" w:lineRule="auto"/>
        <w:rPr>
          <w:rFonts w:ascii="Palatino Linotype" w:hAnsi="Palatino Linotype" w:cs="Arial"/>
          <w:lang w:val="es-ES" w:eastAsia="es-ES"/>
        </w:rPr>
      </w:pPr>
    </w:p>
    <w:p w:rsidR="006A0BBC" w:rsidRPr="00F92AE5" w:rsidRDefault="006A0BBC" w:rsidP="003D7B75">
      <w:pPr>
        <w:spacing w:line="360" w:lineRule="auto"/>
        <w:jc w:val="center"/>
        <w:rPr>
          <w:rFonts w:ascii="Palatino Linotype" w:hAnsi="Palatino Linotype" w:cs="Arial"/>
          <w:lang w:eastAsia="es-ES"/>
        </w:rPr>
      </w:pPr>
      <w:bookmarkStart w:id="2" w:name="_Toc66992242"/>
      <w:r w:rsidRPr="00F92AE5">
        <w:rPr>
          <w:rFonts w:ascii="Palatino Linotype" w:hAnsi="Palatino Linotype" w:cs="Arial"/>
          <w:b/>
          <w:lang w:eastAsia="es-ES"/>
        </w:rPr>
        <w:t>C</w:t>
      </w:r>
      <w:r w:rsidR="004236F8">
        <w:rPr>
          <w:rFonts w:ascii="Palatino Linotype" w:hAnsi="Palatino Linotype" w:cs="Arial"/>
          <w:b/>
          <w:lang w:eastAsia="es-ES"/>
        </w:rPr>
        <w:t xml:space="preserve"> </w:t>
      </w:r>
      <w:r w:rsidRPr="00F92AE5">
        <w:rPr>
          <w:rFonts w:ascii="Palatino Linotype" w:hAnsi="Palatino Linotype" w:cs="Arial"/>
          <w:b/>
          <w:lang w:eastAsia="es-ES"/>
        </w:rPr>
        <w:t>O</w:t>
      </w:r>
      <w:r w:rsidR="004236F8">
        <w:rPr>
          <w:rFonts w:ascii="Palatino Linotype" w:hAnsi="Palatino Linotype" w:cs="Arial"/>
          <w:b/>
          <w:lang w:eastAsia="es-ES"/>
        </w:rPr>
        <w:t xml:space="preserve"> </w:t>
      </w:r>
      <w:r w:rsidRPr="00F92AE5">
        <w:rPr>
          <w:rFonts w:ascii="Palatino Linotype" w:hAnsi="Palatino Linotype" w:cs="Arial"/>
          <w:b/>
          <w:lang w:eastAsia="es-ES"/>
        </w:rPr>
        <w:t>N</w:t>
      </w:r>
      <w:r w:rsidR="004236F8">
        <w:rPr>
          <w:rFonts w:ascii="Palatino Linotype" w:hAnsi="Palatino Linotype" w:cs="Arial"/>
          <w:b/>
          <w:lang w:eastAsia="es-ES"/>
        </w:rPr>
        <w:t xml:space="preserve"> </w:t>
      </w:r>
      <w:r w:rsidRPr="00F92AE5">
        <w:rPr>
          <w:rFonts w:ascii="Palatino Linotype" w:hAnsi="Palatino Linotype" w:cs="Arial"/>
          <w:b/>
          <w:lang w:eastAsia="es-ES"/>
        </w:rPr>
        <w:t>S</w:t>
      </w:r>
      <w:r w:rsidR="004236F8">
        <w:rPr>
          <w:rFonts w:ascii="Palatino Linotype" w:hAnsi="Palatino Linotype" w:cs="Arial"/>
          <w:b/>
          <w:lang w:eastAsia="es-ES"/>
        </w:rPr>
        <w:t xml:space="preserve"> </w:t>
      </w:r>
      <w:r w:rsidRPr="00F92AE5">
        <w:rPr>
          <w:rFonts w:ascii="Palatino Linotype" w:hAnsi="Palatino Linotype" w:cs="Arial"/>
          <w:b/>
          <w:lang w:eastAsia="es-ES"/>
        </w:rPr>
        <w:t>I</w:t>
      </w:r>
      <w:r w:rsidR="004236F8">
        <w:rPr>
          <w:rFonts w:ascii="Palatino Linotype" w:hAnsi="Palatino Linotype" w:cs="Arial"/>
          <w:b/>
          <w:lang w:eastAsia="es-ES"/>
        </w:rPr>
        <w:t xml:space="preserve"> </w:t>
      </w:r>
      <w:r w:rsidRPr="00F92AE5">
        <w:rPr>
          <w:rFonts w:ascii="Palatino Linotype" w:hAnsi="Palatino Linotype" w:cs="Arial"/>
          <w:b/>
          <w:lang w:eastAsia="es-ES"/>
        </w:rPr>
        <w:t>D</w:t>
      </w:r>
      <w:r w:rsidR="004236F8">
        <w:rPr>
          <w:rFonts w:ascii="Palatino Linotype" w:hAnsi="Palatino Linotype" w:cs="Arial"/>
          <w:b/>
          <w:lang w:eastAsia="es-ES"/>
        </w:rPr>
        <w:t xml:space="preserve"> </w:t>
      </w:r>
      <w:r w:rsidRPr="00F92AE5">
        <w:rPr>
          <w:rFonts w:ascii="Palatino Linotype" w:hAnsi="Palatino Linotype" w:cs="Arial"/>
          <w:b/>
          <w:lang w:eastAsia="es-ES"/>
        </w:rPr>
        <w:t>E</w:t>
      </w:r>
      <w:r w:rsidR="004236F8">
        <w:rPr>
          <w:rFonts w:ascii="Palatino Linotype" w:hAnsi="Palatino Linotype" w:cs="Arial"/>
          <w:b/>
          <w:lang w:eastAsia="es-ES"/>
        </w:rPr>
        <w:t xml:space="preserve"> </w:t>
      </w:r>
      <w:r w:rsidRPr="00F92AE5">
        <w:rPr>
          <w:rFonts w:ascii="Palatino Linotype" w:hAnsi="Palatino Linotype" w:cs="Arial"/>
          <w:b/>
          <w:lang w:eastAsia="es-ES"/>
        </w:rPr>
        <w:t>R</w:t>
      </w:r>
      <w:r w:rsidR="004236F8">
        <w:rPr>
          <w:rFonts w:ascii="Palatino Linotype" w:hAnsi="Palatino Linotype" w:cs="Arial"/>
          <w:b/>
          <w:lang w:eastAsia="es-ES"/>
        </w:rPr>
        <w:t xml:space="preserve"> </w:t>
      </w:r>
      <w:r w:rsidRPr="00F92AE5">
        <w:rPr>
          <w:rFonts w:ascii="Palatino Linotype" w:hAnsi="Palatino Linotype" w:cs="Arial"/>
          <w:b/>
          <w:lang w:eastAsia="es-ES"/>
        </w:rPr>
        <w:t>A</w:t>
      </w:r>
      <w:r w:rsidR="004236F8">
        <w:rPr>
          <w:rFonts w:ascii="Palatino Linotype" w:hAnsi="Palatino Linotype" w:cs="Arial"/>
          <w:b/>
          <w:lang w:eastAsia="es-ES"/>
        </w:rPr>
        <w:t xml:space="preserve"> </w:t>
      </w:r>
      <w:r w:rsidRPr="00F92AE5">
        <w:rPr>
          <w:rFonts w:ascii="Palatino Linotype" w:hAnsi="Palatino Linotype" w:cs="Arial"/>
          <w:b/>
          <w:lang w:eastAsia="es-ES"/>
        </w:rPr>
        <w:t>N</w:t>
      </w:r>
      <w:r w:rsidR="004236F8">
        <w:rPr>
          <w:rFonts w:ascii="Palatino Linotype" w:hAnsi="Palatino Linotype" w:cs="Arial"/>
          <w:b/>
          <w:lang w:eastAsia="es-ES"/>
        </w:rPr>
        <w:t xml:space="preserve"> </w:t>
      </w:r>
      <w:r w:rsidRPr="00F92AE5">
        <w:rPr>
          <w:rFonts w:ascii="Palatino Linotype" w:hAnsi="Palatino Linotype" w:cs="Arial"/>
          <w:b/>
          <w:lang w:eastAsia="es-ES"/>
        </w:rPr>
        <w:t>D</w:t>
      </w:r>
      <w:r w:rsidR="004236F8">
        <w:rPr>
          <w:rFonts w:ascii="Palatino Linotype" w:hAnsi="Palatino Linotype" w:cs="Arial"/>
          <w:b/>
          <w:lang w:eastAsia="es-ES"/>
        </w:rPr>
        <w:t xml:space="preserve"> </w:t>
      </w:r>
      <w:r w:rsidRPr="00F92AE5">
        <w:rPr>
          <w:rFonts w:ascii="Palatino Linotype" w:hAnsi="Palatino Linotype" w:cs="Arial"/>
          <w:b/>
          <w:lang w:eastAsia="es-ES"/>
        </w:rPr>
        <w:t>O</w:t>
      </w:r>
      <w:bookmarkEnd w:id="2"/>
    </w:p>
    <w:p w:rsidR="006A0BBC" w:rsidRPr="00F92AE5" w:rsidRDefault="006A0BBC" w:rsidP="003D7B75">
      <w:pPr>
        <w:spacing w:line="360" w:lineRule="auto"/>
        <w:jc w:val="center"/>
        <w:rPr>
          <w:rFonts w:ascii="Palatino Linotype" w:hAnsi="Palatino Linotype" w:cs="Arial"/>
          <w:lang w:eastAsia="es-ES"/>
        </w:rPr>
      </w:pPr>
    </w:p>
    <w:p w:rsidR="006A0BBC" w:rsidRPr="00F92AE5" w:rsidRDefault="006A0BBC" w:rsidP="003D7B75">
      <w:pPr>
        <w:spacing w:line="360" w:lineRule="auto"/>
        <w:jc w:val="both"/>
        <w:rPr>
          <w:rFonts w:ascii="Palatino Linotype" w:hAnsi="Palatino Linotype" w:cs="Arial"/>
          <w:b/>
          <w:lang w:eastAsia="es-ES"/>
        </w:rPr>
      </w:pPr>
      <w:bookmarkStart w:id="3" w:name="_Toc66992243"/>
      <w:r w:rsidRPr="00F92AE5">
        <w:rPr>
          <w:rFonts w:ascii="Palatino Linotype" w:hAnsi="Palatino Linotype" w:cs="Arial"/>
          <w:b/>
          <w:lang w:eastAsia="es-ES"/>
        </w:rPr>
        <w:t>PRIMERO. De la competencia</w:t>
      </w:r>
      <w:bookmarkEnd w:id="3"/>
    </w:p>
    <w:p w:rsidR="006A0BBC" w:rsidRPr="00F92AE5" w:rsidRDefault="006A0BBC" w:rsidP="003D7B75">
      <w:pPr>
        <w:pStyle w:val="Prrafodelista"/>
        <w:numPr>
          <w:ilvl w:val="0"/>
          <w:numId w:val="1"/>
        </w:numPr>
        <w:spacing w:before="240" w:after="240" w:line="360" w:lineRule="auto"/>
        <w:ind w:left="0" w:firstLine="0"/>
        <w:jc w:val="both"/>
        <w:rPr>
          <w:rFonts w:ascii="Palatino Linotype" w:hAnsi="Palatino Linotype"/>
          <w:sz w:val="24"/>
        </w:rPr>
      </w:pPr>
      <w:r w:rsidRPr="00F92AE5">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A0BBC" w:rsidRPr="00F92AE5" w:rsidRDefault="006A0BBC" w:rsidP="003D7B75">
      <w:pPr>
        <w:keepNext/>
        <w:keepLines/>
        <w:spacing w:line="360" w:lineRule="auto"/>
        <w:outlineLvl w:val="1"/>
        <w:rPr>
          <w:rFonts w:ascii="Palatino Linotype" w:eastAsiaTheme="majorEastAsia" w:hAnsi="Palatino Linotype" w:cstheme="majorBidi"/>
          <w:b/>
        </w:rPr>
      </w:pPr>
      <w:bookmarkStart w:id="4" w:name="_Toc66992244"/>
      <w:r w:rsidRPr="00F92AE5">
        <w:rPr>
          <w:rFonts w:ascii="Palatino Linotype" w:eastAsiaTheme="majorEastAsia" w:hAnsi="Palatino Linotype" w:cstheme="majorBidi"/>
          <w:b/>
        </w:rPr>
        <w:lastRenderedPageBreak/>
        <w:t>SEGUNDO. De la oportunidad y procedencia.</w:t>
      </w:r>
      <w:bookmarkEnd w:id="4"/>
    </w:p>
    <w:p w:rsidR="00E62C1B" w:rsidRPr="00F92AE5" w:rsidRDefault="00E62C1B" w:rsidP="003D7B7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F92AE5">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F92AE5">
        <w:rPr>
          <w:rFonts w:ascii="Palatino Linotype" w:eastAsia="Palatino Linotype" w:hAnsi="Palatino Linotype" w:cs="Palatino Linotype"/>
          <w:b/>
          <w:color w:val="000000"/>
        </w:rPr>
        <w:t>SUJETO OBLIGADO</w:t>
      </w:r>
      <w:r w:rsidRPr="00F92AE5">
        <w:rPr>
          <w:rFonts w:ascii="Palatino Linotype" w:eastAsia="Palatino Linotype" w:hAnsi="Palatino Linotype" w:cs="Palatino Linotype"/>
          <w:color w:val="000000"/>
        </w:rPr>
        <w:t xml:space="preserve"> entregó respuesta el </w:t>
      </w:r>
      <w:r w:rsidRPr="00F92AE5">
        <w:rPr>
          <w:rFonts w:ascii="Palatino Linotype" w:eastAsia="Palatino Linotype" w:hAnsi="Palatino Linotype" w:cs="Palatino Linotype"/>
          <w:b/>
          <w:color w:val="000000"/>
        </w:rPr>
        <w:t>veintinueve de abril de dos mil veinticinco</w:t>
      </w:r>
      <w:r w:rsidRPr="00F92AE5">
        <w:rPr>
          <w:rFonts w:ascii="Palatino Linotype" w:eastAsia="Palatino Linotype" w:hAnsi="Palatino Linotype" w:cs="Palatino Linotype"/>
          <w:color w:val="000000"/>
        </w:rPr>
        <w:t xml:space="preserve">, de tal forma que el plazo para interponer el recurso de revisión transcurrió del </w:t>
      </w:r>
      <w:r w:rsidRPr="00F92AE5">
        <w:rPr>
          <w:rFonts w:ascii="Palatino Linotype" w:eastAsia="Palatino Linotype" w:hAnsi="Palatino Linotype" w:cs="Palatino Linotype"/>
          <w:b/>
          <w:color w:val="000000"/>
        </w:rPr>
        <w:t>treinta de abril al veintidós de mayo de dos mil veinticinco</w:t>
      </w:r>
      <w:r w:rsidRPr="00F92AE5">
        <w:rPr>
          <w:rFonts w:ascii="Palatino Linotype" w:eastAsia="Palatino Linotype" w:hAnsi="Palatino Linotype" w:cs="Palatino Linotype"/>
          <w:color w:val="000000"/>
        </w:rPr>
        <w:t xml:space="preserve">, el recurso de revisión fue interpuesto el </w:t>
      </w:r>
      <w:r w:rsidRPr="00F92AE5">
        <w:rPr>
          <w:rFonts w:ascii="Palatino Linotype" w:eastAsia="Palatino Linotype" w:hAnsi="Palatino Linotype" w:cs="Palatino Linotype"/>
          <w:b/>
          <w:color w:val="000000"/>
        </w:rPr>
        <w:t>treinta de abril de dos mil veinticinco</w:t>
      </w:r>
      <w:r w:rsidRPr="00F92AE5">
        <w:rPr>
          <w:rFonts w:ascii="Palatino Linotype" w:eastAsia="Palatino Linotype" w:hAnsi="Palatino Linotype" w:cs="Palatino Linotype"/>
          <w:color w:val="000000"/>
        </w:rPr>
        <w:t>, éste se encuentra dentro de los márgenes temporales previstos en el artículo 178 de la Ley de Transparencia y Acceso a la Información Pública del Estado de México y Municipios</w:t>
      </w:r>
      <w:r w:rsidRPr="00F92AE5">
        <w:rPr>
          <w:rFonts w:ascii="Palatino Linotype" w:eastAsia="Palatino Linotype" w:hAnsi="Palatino Linotype" w:cs="Palatino Linotype"/>
          <w:b/>
          <w:color w:val="000000"/>
        </w:rPr>
        <w:t xml:space="preserve"> </w:t>
      </w:r>
      <w:r w:rsidRPr="00F92AE5">
        <w:rPr>
          <w:rFonts w:ascii="Palatino Linotype" w:eastAsia="Palatino Linotype" w:hAnsi="Palatino Linotype" w:cs="Palatino Linotype"/>
          <w:color w:val="000000"/>
        </w:rPr>
        <w:t xml:space="preserve">vigente. </w:t>
      </w:r>
    </w:p>
    <w:p w:rsidR="006A0BBC" w:rsidRPr="00F92AE5" w:rsidRDefault="006A0BBC" w:rsidP="003D7B75">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6A0BBC" w:rsidRPr="00F92AE5" w:rsidRDefault="006A0BBC" w:rsidP="003D7B7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F92AE5">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A0BBC" w:rsidRPr="00F92AE5" w:rsidRDefault="006A0BBC" w:rsidP="003D7B75">
      <w:pPr>
        <w:pStyle w:val="Prrafodelista"/>
        <w:spacing w:line="360" w:lineRule="auto"/>
        <w:ind w:left="0"/>
        <w:jc w:val="both"/>
        <w:rPr>
          <w:rFonts w:ascii="Palatino Linotype" w:hAnsi="Palatino Linotype" w:cs="Arial"/>
          <w:sz w:val="24"/>
          <w:lang w:val="es-ES" w:eastAsia="es-ES"/>
        </w:rPr>
      </w:pPr>
    </w:p>
    <w:p w:rsidR="006A0BBC" w:rsidRPr="00F92AE5" w:rsidRDefault="006A0BBC" w:rsidP="003D7B75">
      <w:pPr>
        <w:pStyle w:val="Ttulo2"/>
        <w:tabs>
          <w:tab w:val="left" w:pos="0"/>
        </w:tabs>
        <w:spacing w:before="0" w:line="360" w:lineRule="auto"/>
        <w:rPr>
          <w:rFonts w:ascii="Palatino Linotype" w:hAnsi="Palatino Linotype"/>
          <w:b/>
          <w:color w:val="auto"/>
          <w:sz w:val="24"/>
          <w:szCs w:val="24"/>
        </w:rPr>
      </w:pPr>
      <w:r w:rsidRPr="00F92AE5">
        <w:rPr>
          <w:rFonts w:ascii="Palatino Linotype" w:hAnsi="Palatino Linotype"/>
          <w:b/>
          <w:color w:val="auto"/>
          <w:sz w:val="24"/>
          <w:szCs w:val="24"/>
        </w:rPr>
        <w:t xml:space="preserve">TERCERO. De las causales de sobreseimiento </w:t>
      </w: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F92AE5">
        <w:rPr>
          <w:rFonts w:ascii="Palatino Linotype" w:eastAsia="Calibri" w:hAnsi="Palatino Linotype" w:cs="Arial"/>
          <w:color w:val="000000" w:themeColor="text1"/>
          <w:sz w:val="24"/>
        </w:rPr>
        <w:t xml:space="preserve">El recurso de revisión </w:t>
      </w:r>
      <w:r w:rsidRPr="00F92AE5">
        <w:rPr>
          <w:rFonts w:ascii="Palatino Linotype" w:hAnsi="Palatino Linotype" w:cs="Arial"/>
          <w:sz w:val="24"/>
        </w:rPr>
        <w:t xml:space="preserve">tiene como finalidad reparar cualquier posible afectación al derecho de acceso a la información pública en términos del Título Octavo de la Ley de </w:t>
      </w:r>
      <w:r w:rsidRPr="00F92AE5">
        <w:rPr>
          <w:rFonts w:ascii="Palatino Linotype" w:eastAsia="Calibri" w:hAnsi="Palatino Linotype" w:cs="Arial"/>
          <w:sz w:val="24"/>
        </w:rPr>
        <w:t>Transparencia, Acceso a la Información Pública del Estado de México y Municipios</w:t>
      </w:r>
      <w:r w:rsidRPr="00F92AE5">
        <w:rPr>
          <w:rFonts w:ascii="Palatino Linotype" w:hAnsi="Palatino Linotype" w:cs="Arial"/>
          <w:sz w:val="24"/>
        </w:rPr>
        <w:t xml:space="preserve">, y determinar la confirmación; revocación o modificación; desechamiento o </w:t>
      </w:r>
      <w:r w:rsidRPr="00F92AE5">
        <w:rPr>
          <w:rFonts w:ascii="Palatino Linotype" w:hAnsi="Palatino Linotype" w:cs="Arial"/>
          <w:b/>
          <w:sz w:val="24"/>
          <w:u w:val="single"/>
        </w:rPr>
        <w:t>sobreseimiento</w:t>
      </w:r>
      <w:r w:rsidRPr="00F92AE5">
        <w:rPr>
          <w:rFonts w:ascii="Palatino Linotype" w:hAnsi="Palatino Linotype" w:cs="Arial"/>
          <w:sz w:val="24"/>
        </w:rPr>
        <w:t xml:space="preserve">; y en su caso ordenar la entrega de la información con respecto a la respuesta emitida por el </w:t>
      </w:r>
      <w:r w:rsidRPr="00F92AE5">
        <w:rPr>
          <w:rFonts w:ascii="Palatino Linotype" w:hAnsi="Palatino Linotype" w:cs="Arial"/>
          <w:b/>
          <w:sz w:val="24"/>
        </w:rPr>
        <w:t>SUJETO</w:t>
      </w:r>
      <w:r w:rsidRPr="00F92AE5">
        <w:rPr>
          <w:rFonts w:ascii="Palatino Linotype" w:hAnsi="Palatino Linotype" w:cs="Arial"/>
          <w:sz w:val="24"/>
        </w:rPr>
        <w:t xml:space="preserve"> </w:t>
      </w:r>
      <w:r w:rsidRPr="00F92AE5">
        <w:rPr>
          <w:rFonts w:ascii="Palatino Linotype" w:hAnsi="Palatino Linotype" w:cs="Arial"/>
          <w:b/>
          <w:sz w:val="24"/>
        </w:rPr>
        <w:t>OBLIGADO</w:t>
      </w:r>
      <w:r w:rsidRPr="00F92AE5">
        <w:rPr>
          <w:rFonts w:ascii="Palatino Linotype" w:hAnsi="Palatino Linotype" w:cs="Arial"/>
          <w:sz w:val="24"/>
        </w:rPr>
        <w:t>.</w:t>
      </w:r>
    </w:p>
    <w:p w:rsidR="00E62C1B" w:rsidRPr="00F92AE5" w:rsidRDefault="00E62C1B"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rPr>
        <w:lastRenderedPageBreak/>
        <w:t xml:space="preserve">De </w:t>
      </w:r>
      <w:r w:rsidRPr="00F92AE5">
        <w:rPr>
          <w:rFonts w:ascii="Palatino Linotype" w:eastAsia="Calibri" w:hAnsi="Palatino Linotype"/>
          <w:sz w:val="24"/>
        </w:rPr>
        <w:t xml:space="preserve">acuerdo al precepto legal contenido en la fracción III del artículo 192 de la </w:t>
      </w:r>
      <w:r w:rsidRPr="00F92AE5">
        <w:rPr>
          <w:rFonts w:ascii="Palatino Linotype" w:eastAsia="Calibri" w:hAnsi="Palatino Linotype"/>
          <w:b/>
          <w:sz w:val="24"/>
        </w:rPr>
        <w:t>Ley de Transparencia y Acceso a la Información Pública del Estado de México y Municipios</w:t>
      </w:r>
      <w:r w:rsidRPr="00F92AE5">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6A0BBC" w:rsidRPr="00F92AE5" w:rsidRDefault="006A0BBC" w:rsidP="003D7B75">
      <w:pPr>
        <w:pStyle w:val="Prrafodelista"/>
        <w:ind w:left="0"/>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Para </w:t>
      </w:r>
      <w:r w:rsidRPr="00F92AE5">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F92AE5">
        <w:rPr>
          <w:rFonts w:ascii="Palatino Linotype" w:eastAsia="Calibri" w:hAnsi="Palatino Linotype"/>
          <w:b/>
          <w:sz w:val="24"/>
        </w:rPr>
        <w:t>SUJETO OBLIGADO</w:t>
      </w:r>
      <w:r w:rsidRPr="00F92AE5">
        <w:rPr>
          <w:rFonts w:ascii="Palatino Linotype" w:eastAsia="Calibri" w:hAnsi="Palatino Linotype"/>
          <w:sz w:val="24"/>
        </w:rPr>
        <w:t>:</w:t>
      </w:r>
    </w:p>
    <w:p w:rsidR="006A0BBC" w:rsidRPr="00F92AE5" w:rsidRDefault="006A0BBC" w:rsidP="003D7B75">
      <w:pPr>
        <w:rPr>
          <w:rFonts w:ascii="Palatino Linotype" w:eastAsia="Calibri" w:hAnsi="Palatino Linotype" w:cs="Arial"/>
          <w:color w:val="000000" w:themeColor="text1"/>
          <w:lang w:val="es-ES"/>
        </w:rPr>
      </w:pPr>
    </w:p>
    <w:p w:rsidR="006A0BBC" w:rsidRPr="00F92AE5" w:rsidRDefault="006A0BBC" w:rsidP="003D7B75">
      <w:pPr>
        <w:numPr>
          <w:ilvl w:val="0"/>
          <w:numId w:val="2"/>
        </w:numPr>
        <w:spacing w:line="360" w:lineRule="auto"/>
        <w:ind w:left="0" w:firstLine="0"/>
        <w:contextualSpacing/>
        <w:jc w:val="both"/>
        <w:rPr>
          <w:rFonts w:ascii="Palatino Linotype" w:hAnsi="Palatino Linotype" w:cs="Arial"/>
        </w:rPr>
      </w:pPr>
      <w:r w:rsidRPr="00F92AE5">
        <w:rPr>
          <w:rFonts w:ascii="Palatino Linotype" w:hAnsi="Palatino Linotype" w:cs="Arial"/>
          <w:b/>
        </w:rPr>
        <w:t>Modifique el acto impugnado:</w:t>
      </w:r>
      <w:r w:rsidRPr="00F92AE5">
        <w:rPr>
          <w:rFonts w:ascii="Palatino Linotype" w:hAnsi="Palatino Linotype" w:cs="Arial"/>
        </w:rPr>
        <w:t xml:space="preserve"> Se actualiza cuando el </w:t>
      </w:r>
      <w:r w:rsidRPr="00F92AE5">
        <w:rPr>
          <w:rFonts w:ascii="Palatino Linotype" w:hAnsi="Palatino Linotype" w:cs="Arial"/>
          <w:b/>
        </w:rPr>
        <w:t>SUJETO OBLIGADO</w:t>
      </w:r>
      <w:r w:rsidRPr="00F92AE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6A0BBC" w:rsidRPr="00F92AE5" w:rsidRDefault="006A0BBC" w:rsidP="003D7B75">
      <w:pPr>
        <w:spacing w:line="360" w:lineRule="auto"/>
        <w:contextualSpacing/>
        <w:jc w:val="both"/>
        <w:rPr>
          <w:rFonts w:ascii="Palatino Linotype" w:hAnsi="Palatino Linotype" w:cs="Arial"/>
        </w:rPr>
      </w:pPr>
    </w:p>
    <w:p w:rsidR="006A0BBC" w:rsidRPr="00F92AE5" w:rsidRDefault="006A0BBC" w:rsidP="003D7B75">
      <w:pPr>
        <w:numPr>
          <w:ilvl w:val="0"/>
          <w:numId w:val="2"/>
        </w:numPr>
        <w:spacing w:line="360" w:lineRule="auto"/>
        <w:ind w:left="0" w:firstLine="0"/>
        <w:contextualSpacing/>
        <w:jc w:val="both"/>
        <w:rPr>
          <w:rFonts w:ascii="Palatino Linotype" w:hAnsi="Palatino Linotype" w:cs="Arial"/>
        </w:rPr>
      </w:pPr>
      <w:r w:rsidRPr="00F92AE5">
        <w:rPr>
          <w:rFonts w:ascii="Palatino Linotype" w:hAnsi="Palatino Linotype" w:cs="Arial"/>
          <w:b/>
        </w:rPr>
        <w:t>Revoque el acto impugnado:</w:t>
      </w:r>
      <w:r w:rsidRPr="00F92AE5">
        <w:rPr>
          <w:rFonts w:ascii="Palatino Linotype" w:hAnsi="Palatino Linotype" w:cs="Arial"/>
        </w:rPr>
        <w:t xml:space="preserve"> En este supuesto, el </w:t>
      </w:r>
      <w:r w:rsidRPr="00F92AE5">
        <w:rPr>
          <w:rFonts w:ascii="Palatino Linotype" w:hAnsi="Palatino Linotype" w:cs="Arial"/>
          <w:b/>
        </w:rPr>
        <w:t>SUJETO OBLIGADO</w:t>
      </w:r>
      <w:r w:rsidRPr="00F92AE5">
        <w:rPr>
          <w:rFonts w:ascii="Palatino Linotype" w:hAnsi="Palatino Linotype" w:cs="Arial"/>
        </w:rPr>
        <w:t xml:space="preserve"> deja sin efectos la primera respuesta y en su lugar emite otra que satisfaga lo solicitado por el Particular en un primer momento.</w:t>
      </w:r>
    </w:p>
    <w:p w:rsidR="006A0BBC" w:rsidRPr="00F92AE5" w:rsidRDefault="006A0BBC" w:rsidP="003D7B75">
      <w:pPr>
        <w:spacing w:line="360" w:lineRule="auto"/>
        <w:contextualSpacing/>
        <w:jc w:val="both"/>
        <w:rPr>
          <w:rFonts w:ascii="Palatino Linotype" w:hAnsi="Palatino Linotype" w:cs="Arial"/>
        </w:rPr>
      </w:pPr>
    </w:p>
    <w:p w:rsidR="006A0BBC" w:rsidRPr="00F92AE5" w:rsidRDefault="006A0BBC" w:rsidP="003D7B75">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Las </w:t>
      </w:r>
      <w:r w:rsidRPr="00F92AE5">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A0BBC" w:rsidRPr="00F92AE5" w:rsidRDefault="006A0BBC" w:rsidP="003D7B75">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lastRenderedPageBreak/>
        <w:t xml:space="preserve">Precisado lo anterior, conviene recordar que el particular solicitó </w:t>
      </w:r>
      <w:r w:rsidR="00E62C1B" w:rsidRPr="00F92AE5">
        <w:rPr>
          <w:rFonts w:ascii="Palatino Linotype" w:eastAsia="Calibri" w:hAnsi="Palatino Linotype" w:cs="Arial"/>
          <w:color w:val="000000" w:themeColor="text1"/>
          <w:sz w:val="24"/>
          <w:lang w:val="es-ES"/>
        </w:rPr>
        <w:t>el número de valoraciones de riesgos en el año 2023 y 2024 por mes.</w:t>
      </w:r>
    </w:p>
    <w:p w:rsidR="006A0BBC" w:rsidRPr="00F92AE5" w:rsidRDefault="006A0BBC" w:rsidP="003D7B75">
      <w:pPr>
        <w:pStyle w:val="Prrafodelista"/>
        <w:spacing w:line="360" w:lineRule="auto"/>
        <w:ind w:left="0"/>
        <w:jc w:val="both"/>
        <w:rPr>
          <w:rFonts w:ascii="Palatino Linotype" w:eastAsia="MS Mincho" w:hAnsi="Palatino Linotype"/>
          <w:sz w:val="24"/>
        </w:rPr>
      </w:pPr>
    </w:p>
    <w:p w:rsidR="006A0BBC" w:rsidRPr="00F92AE5" w:rsidRDefault="006A0BBC" w:rsidP="003D7B75">
      <w:pPr>
        <w:pStyle w:val="Prrafodelista"/>
        <w:numPr>
          <w:ilvl w:val="0"/>
          <w:numId w:val="1"/>
        </w:numPr>
        <w:spacing w:line="360" w:lineRule="auto"/>
        <w:ind w:left="0" w:firstLine="0"/>
        <w:jc w:val="both"/>
        <w:rPr>
          <w:rFonts w:ascii="Palatino Linotype" w:eastAsia="MS Mincho" w:hAnsi="Palatino Linotype"/>
          <w:sz w:val="24"/>
        </w:rPr>
      </w:pPr>
      <w:r w:rsidRPr="00F92AE5">
        <w:rPr>
          <w:rFonts w:ascii="Palatino Linotype" w:eastAsia="MS Mincho" w:hAnsi="Palatino Linotype"/>
          <w:sz w:val="24"/>
        </w:rPr>
        <w:t xml:space="preserve">En ese contexto, debemos mencionar que el acceso a la información es un derecho humano constitucional y convencionalmente reconocido y para tal efecto </w:t>
      </w:r>
      <w:r w:rsidRPr="00F92AE5">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F92AE5">
        <w:rPr>
          <w:rFonts w:ascii="Palatino Linotype" w:eastAsia="Calibri" w:hAnsi="Palatino Linotype"/>
          <w:i/>
          <w:sz w:val="24"/>
          <w:lang w:val="es-ES"/>
        </w:rPr>
        <w:t xml:space="preserve">en el ámbito de sus atribuciones, de promover, respetar, proteger y </w:t>
      </w:r>
      <w:r w:rsidRPr="00F92AE5">
        <w:rPr>
          <w:rFonts w:ascii="Palatino Linotype" w:eastAsia="Calibri" w:hAnsi="Palatino Linotype"/>
          <w:b/>
          <w:i/>
          <w:sz w:val="24"/>
          <w:lang w:val="es-ES"/>
        </w:rPr>
        <w:t>garantizar</w:t>
      </w:r>
      <w:r w:rsidRPr="00F92AE5">
        <w:rPr>
          <w:rFonts w:ascii="Palatino Linotype" w:eastAsia="Calibri" w:hAnsi="Palatino Linotype"/>
          <w:i/>
          <w:sz w:val="24"/>
          <w:lang w:val="es-ES"/>
        </w:rPr>
        <w:t xml:space="preserve"> los derechos humanos. </w:t>
      </w:r>
      <w:r w:rsidRPr="00F92AE5">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F92AE5">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F92AE5">
        <w:rPr>
          <w:rStyle w:val="Refdenotaalpie"/>
          <w:rFonts w:ascii="Palatino Linotype" w:hAnsi="Palatino Linotype"/>
          <w:i/>
          <w:sz w:val="24"/>
          <w:vertAlign w:val="baseline"/>
        </w:rPr>
        <w:footnoteReference w:id="1"/>
      </w:r>
      <w:r w:rsidRPr="00F92AE5">
        <w:rPr>
          <w:rFonts w:ascii="Palatino Linotype" w:hAnsi="Palatino Linotype"/>
          <w:i/>
          <w:sz w:val="24"/>
        </w:rPr>
        <w:t xml:space="preserve">, </w:t>
      </w:r>
      <w:r w:rsidRPr="00F92AE5">
        <w:rPr>
          <w:rFonts w:ascii="Palatino Linotype" w:hAnsi="Palatino Linotype"/>
          <w:sz w:val="24"/>
        </w:rPr>
        <w:t>asimismo establece</w:t>
      </w:r>
      <w:r w:rsidRPr="00F92AE5">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A0BBC" w:rsidRPr="00F92AE5" w:rsidRDefault="006A0BBC" w:rsidP="003D7B75">
      <w:pPr>
        <w:pStyle w:val="Prrafodelista"/>
        <w:ind w:left="0"/>
        <w:rPr>
          <w:rFonts w:ascii="Palatino Linotype" w:eastAsia="Calibri" w:hAnsi="Palatino Linotype" w:cs="Arial"/>
          <w:sz w:val="24"/>
        </w:rPr>
      </w:pPr>
    </w:p>
    <w:p w:rsidR="006A0BBC" w:rsidRPr="00F92AE5" w:rsidRDefault="006A0BBC" w:rsidP="003D7B75">
      <w:pPr>
        <w:pStyle w:val="Prrafodelista"/>
        <w:numPr>
          <w:ilvl w:val="0"/>
          <w:numId w:val="1"/>
        </w:numPr>
        <w:spacing w:line="360" w:lineRule="auto"/>
        <w:ind w:left="0" w:firstLine="0"/>
        <w:jc w:val="both"/>
        <w:rPr>
          <w:rFonts w:ascii="Palatino Linotype" w:eastAsia="Calibri" w:hAnsi="Palatino Linotype" w:cs="Arial"/>
          <w:sz w:val="24"/>
        </w:rPr>
      </w:pPr>
      <w:r w:rsidRPr="00F92AE5">
        <w:rPr>
          <w:rFonts w:ascii="Palatino Linotype" w:hAnsi="Palatino Linotype"/>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F92AE5">
        <w:rPr>
          <w:rFonts w:ascii="Palatino Linotype" w:hAnsi="Palatino Linotype"/>
          <w:sz w:val="24"/>
        </w:rPr>
        <w:lastRenderedPageBreak/>
        <w:t>rápida los documentos que se soliciten o bien, simplemente para el desarrollo de sus facultades, competencias y atribuciones que a diario desempeñan.</w:t>
      </w:r>
    </w:p>
    <w:p w:rsidR="006A0BBC" w:rsidRPr="00F92AE5" w:rsidRDefault="006A0BBC" w:rsidP="003D7B75">
      <w:pPr>
        <w:pStyle w:val="Prrafodelista"/>
        <w:ind w:left="0"/>
        <w:rPr>
          <w:rFonts w:ascii="Palatino Linotype" w:hAnsi="Palatino Linotype"/>
          <w:sz w:val="24"/>
        </w:rPr>
      </w:pPr>
    </w:p>
    <w:p w:rsidR="006A0BBC" w:rsidRPr="00F92AE5" w:rsidRDefault="006A0BBC" w:rsidP="003D7B75">
      <w:pPr>
        <w:pStyle w:val="Prrafodelista"/>
        <w:numPr>
          <w:ilvl w:val="0"/>
          <w:numId w:val="1"/>
        </w:numPr>
        <w:spacing w:line="360" w:lineRule="auto"/>
        <w:ind w:left="0" w:firstLine="0"/>
        <w:jc w:val="both"/>
        <w:rPr>
          <w:rFonts w:ascii="Palatino Linotype" w:eastAsia="Calibri" w:hAnsi="Palatino Linotype" w:cs="Arial"/>
          <w:sz w:val="24"/>
        </w:rPr>
      </w:pPr>
      <w:r w:rsidRPr="00F92AE5">
        <w:rPr>
          <w:rFonts w:ascii="Palatino Linotype" w:hAnsi="Palatino Linotype"/>
          <w:sz w:val="24"/>
        </w:rPr>
        <w:t xml:space="preserve">Es así que, su obligación es </w:t>
      </w:r>
      <w:r w:rsidRPr="00F92AE5">
        <w:rPr>
          <w:rFonts w:ascii="Palatino Linotype" w:hAnsi="Palatino Linotype"/>
          <w:i/>
          <w:sz w:val="24"/>
        </w:rPr>
        <w:t>realizar, con efectividad, los trámites internos necesarios para la atención de las solicitudes de información</w:t>
      </w:r>
      <w:r w:rsidRPr="00F92AE5">
        <w:rPr>
          <w:rStyle w:val="Refdenotaalpie"/>
          <w:rFonts w:ascii="Palatino Linotype" w:hAnsi="Palatino Linotype"/>
          <w:sz w:val="24"/>
          <w:vertAlign w:val="baseline"/>
        </w:rPr>
        <w:footnoteReference w:id="2"/>
      </w:r>
      <w:r w:rsidRPr="00F92AE5">
        <w:rPr>
          <w:rFonts w:ascii="Palatino Linotype" w:hAnsi="Palatino Linotype"/>
          <w:sz w:val="24"/>
        </w:rPr>
        <w:t>, es decir, deben otorgar respuestas concisas, contundentes y sobre todo que den la certeza de los actos que realizan.</w:t>
      </w:r>
    </w:p>
    <w:p w:rsidR="006A0BBC" w:rsidRPr="00F92AE5" w:rsidRDefault="006A0BBC" w:rsidP="003D7B75">
      <w:pPr>
        <w:pStyle w:val="Prrafodelista"/>
        <w:ind w:left="0"/>
        <w:rPr>
          <w:rFonts w:ascii="Palatino Linotype" w:eastAsia="Calibri" w:hAnsi="Palatino Linotype" w:cs="Arial"/>
          <w:sz w:val="24"/>
        </w:rPr>
      </w:pPr>
    </w:p>
    <w:p w:rsidR="006A0BBC" w:rsidRPr="00F92AE5" w:rsidRDefault="006A0BBC" w:rsidP="003D7B75">
      <w:pPr>
        <w:pStyle w:val="Prrafodelista"/>
        <w:numPr>
          <w:ilvl w:val="0"/>
          <w:numId w:val="1"/>
        </w:numPr>
        <w:spacing w:line="360" w:lineRule="auto"/>
        <w:ind w:left="0" w:firstLine="0"/>
        <w:jc w:val="both"/>
        <w:rPr>
          <w:rFonts w:ascii="Palatino Linotype" w:eastAsia="MS Mincho" w:hAnsi="Palatino Linotype"/>
          <w:sz w:val="24"/>
        </w:rPr>
      </w:pPr>
      <w:r w:rsidRPr="00F92AE5">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F92AE5">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i/>
          <w:iCs/>
        </w:rPr>
        <w:t xml:space="preserve">Artículo 50. </w:t>
      </w:r>
      <w:r w:rsidRPr="00F92AE5">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6A0BBC" w:rsidRPr="00F92AE5" w:rsidRDefault="006A0BBC" w:rsidP="003D7B75">
      <w:pPr>
        <w:spacing w:line="360" w:lineRule="auto"/>
        <w:jc w:val="both"/>
        <w:rPr>
          <w:rFonts w:ascii="Palatino Linotype" w:eastAsia="Palatino Linotype" w:hAnsi="Palatino Linotype" w:cs="Palatino Linotype"/>
          <w:i/>
          <w:iCs/>
        </w:rPr>
      </w:pP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i/>
          <w:iCs/>
        </w:rPr>
        <w:t xml:space="preserve">Artículo 53. </w:t>
      </w:r>
      <w:r w:rsidRPr="00F92AE5">
        <w:rPr>
          <w:rFonts w:ascii="Palatino Linotype" w:eastAsia="Palatino Linotype" w:hAnsi="Palatino Linotype" w:cs="Palatino Linotype"/>
          <w:i/>
          <w:iCs/>
        </w:rPr>
        <w:t>Las Unidades de Transparencia tendrán las siguientes funciones:</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i/>
          <w:iCs/>
        </w:rPr>
        <w:t>(…)</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bCs/>
          <w:i/>
          <w:iCs/>
        </w:rPr>
        <w:t>II.</w:t>
      </w:r>
      <w:r w:rsidRPr="00F92AE5">
        <w:rPr>
          <w:rFonts w:ascii="Palatino Linotype" w:eastAsia="Palatino Linotype" w:hAnsi="Palatino Linotype" w:cs="Palatino Linotype"/>
          <w:i/>
          <w:iCs/>
        </w:rPr>
        <w:t xml:space="preserve"> Recibir, tramitar y dar respuesta a las solicitudes de acceso a la información;</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i/>
          <w:iCs/>
        </w:rPr>
        <w:t>(…)</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bCs/>
          <w:i/>
          <w:iCs/>
        </w:rPr>
        <w:t>IV.</w:t>
      </w:r>
      <w:r w:rsidRPr="00F92AE5">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bCs/>
          <w:i/>
          <w:iCs/>
        </w:rPr>
        <w:t>V.</w:t>
      </w:r>
      <w:r w:rsidRPr="00F92AE5">
        <w:rPr>
          <w:rFonts w:ascii="Palatino Linotype" w:eastAsia="Palatino Linotype" w:hAnsi="Palatino Linotype" w:cs="Palatino Linotype"/>
          <w:i/>
          <w:iCs/>
        </w:rPr>
        <w:t xml:space="preserve"> Entregar, en su caso, a los particulares la información solicitada;</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i/>
          <w:iCs/>
        </w:rPr>
        <w:t>(…)</w:t>
      </w:r>
    </w:p>
    <w:p w:rsidR="006A0BBC" w:rsidRPr="00F92AE5" w:rsidRDefault="006A0BBC" w:rsidP="003D7B75">
      <w:pPr>
        <w:spacing w:line="360" w:lineRule="auto"/>
        <w:jc w:val="both"/>
        <w:rPr>
          <w:rFonts w:ascii="Palatino Linotype" w:eastAsia="Palatino Linotype" w:hAnsi="Palatino Linotype" w:cs="Palatino Linotype"/>
          <w:i/>
          <w:iCs/>
        </w:rPr>
      </w:pP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i/>
          <w:iCs/>
        </w:rPr>
        <w:t xml:space="preserve">Artículo 58. </w:t>
      </w:r>
      <w:r w:rsidRPr="00F92AE5">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i/>
          <w:iCs/>
        </w:rPr>
        <w:lastRenderedPageBreak/>
        <w:t xml:space="preserve">Artículo 59. </w:t>
      </w:r>
      <w:r w:rsidRPr="00F92AE5">
        <w:rPr>
          <w:rFonts w:ascii="Palatino Linotype" w:eastAsia="Palatino Linotype" w:hAnsi="Palatino Linotype" w:cs="Palatino Linotype"/>
          <w:i/>
          <w:iCs/>
        </w:rPr>
        <w:t>Los servidores públicos habilitados tendrán las funciones siguientes:</w:t>
      </w:r>
    </w:p>
    <w:p w:rsidR="006A0BBC" w:rsidRPr="00F92AE5" w:rsidRDefault="006A0BBC" w:rsidP="003D7B75">
      <w:pPr>
        <w:spacing w:line="360" w:lineRule="auto"/>
        <w:jc w:val="both"/>
        <w:rPr>
          <w:rFonts w:ascii="Palatino Linotype" w:eastAsia="Palatino Linotype" w:hAnsi="Palatino Linotype" w:cs="Palatino Linotype"/>
          <w:i/>
          <w:iCs/>
        </w:rPr>
      </w:pP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bCs/>
          <w:i/>
          <w:iCs/>
        </w:rPr>
        <w:t>I.</w:t>
      </w:r>
      <w:r w:rsidRPr="00F92AE5">
        <w:rPr>
          <w:rFonts w:ascii="Palatino Linotype" w:eastAsia="Palatino Linotype" w:hAnsi="Palatino Linotype" w:cs="Palatino Linotype"/>
          <w:i/>
          <w:iCs/>
        </w:rPr>
        <w:t xml:space="preserve"> Localizar la información que le solicite la Unidad de Transparencia;</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bCs/>
          <w:i/>
          <w:iCs/>
        </w:rPr>
        <w:t>II.</w:t>
      </w:r>
      <w:r w:rsidRPr="00F92AE5">
        <w:rPr>
          <w:rFonts w:ascii="Palatino Linotype" w:eastAsia="Palatino Linotype" w:hAnsi="Palatino Linotype" w:cs="Palatino Linotype"/>
          <w:i/>
          <w:iCs/>
        </w:rPr>
        <w:t xml:space="preserve"> Proporcionar la información que obre en los archivos y que le sea solicitada por la Unidad de Transparencia;</w:t>
      </w: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i/>
          <w:iCs/>
        </w:rPr>
        <w:t>(...)</w:t>
      </w:r>
    </w:p>
    <w:p w:rsidR="006A0BBC" w:rsidRPr="00F92AE5" w:rsidRDefault="006A0BBC" w:rsidP="003D7B75">
      <w:pPr>
        <w:spacing w:line="360" w:lineRule="auto"/>
        <w:jc w:val="both"/>
        <w:rPr>
          <w:rFonts w:ascii="Palatino Linotype" w:eastAsia="Palatino Linotype" w:hAnsi="Palatino Linotype" w:cs="Palatino Linotype"/>
          <w:i/>
          <w:iCs/>
        </w:rPr>
      </w:pPr>
    </w:p>
    <w:p w:rsidR="006A0BBC" w:rsidRPr="00F92AE5" w:rsidRDefault="006A0BBC" w:rsidP="003D7B75">
      <w:pPr>
        <w:spacing w:line="360" w:lineRule="auto"/>
        <w:jc w:val="both"/>
        <w:rPr>
          <w:rFonts w:ascii="Palatino Linotype" w:eastAsia="Palatino Linotype" w:hAnsi="Palatino Linotype" w:cs="Palatino Linotype"/>
          <w:i/>
          <w:iCs/>
        </w:rPr>
      </w:pPr>
      <w:r w:rsidRPr="00F92AE5">
        <w:rPr>
          <w:rFonts w:ascii="Palatino Linotype" w:eastAsia="Palatino Linotype" w:hAnsi="Palatino Linotype" w:cs="Palatino Linotype"/>
          <w:b/>
          <w:i/>
          <w:iCs/>
        </w:rPr>
        <w:t xml:space="preserve">Artículo 162. </w:t>
      </w:r>
      <w:r w:rsidRPr="00F92AE5">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A0BBC" w:rsidRPr="00F92AE5" w:rsidRDefault="006A0BBC" w:rsidP="003D7B75">
      <w:pPr>
        <w:spacing w:line="360" w:lineRule="auto"/>
        <w:jc w:val="both"/>
        <w:rPr>
          <w:rFonts w:ascii="Palatino Linotype" w:eastAsia="Palatino Linotype" w:hAnsi="Palatino Linotype" w:cs="Palatino Linotype"/>
        </w:rPr>
      </w:pPr>
    </w:p>
    <w:p w:rsidR="006A0BBC" w:rsidRPr="00F92AE5" w:rsidRDefault="006A0BBC" w:rsidP="003D7B75">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F92AE5">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F92AE5">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6A0BBC" w:rsidRPr="00F92AE5" w:rsidRDefault="006A0BBC" w:rsidP="003D7B75">
      <w:pPr>
        <w:pStyle w:val="Prrafodelista"/>
        <w:spacing w:line="360" w:lineRule="auto"/>
        <w:ind w:left="0"/>
        <w:jc w:val="both"/>
        <w:rPr>
          <w:rFonts w:ascii="Palatino Linotype" w:eastAsia="Arial Unicode MS" w:hAnsi="Palatino Linotype" w:cs="Arial"/>
          <w:sz w:val="24"/>
          <w:lang w:eastAsia="en-US"/>
        </w:rPr>
      </w:pPr>
    </w:p>
    <w:p w:rsidR="006A0BBC" w:rsidRPr="00F92AE5" w:rsidRDefault="006A0BBC" w:rsidP="003D7B75">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F92AE5">
        <w:rPr>
          <w:rFonts w:ascii="Palatino Linotype" w:eastAsia="Arial Unicode MS" w:hAnsi="Palatino Linotype" w:cs="Arial"/>
          <w:sz w:val="24"/>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A0BBC" w:rsidRPr="00F92AE5" w:rsidRDefault="006A0BBC" w:rsidP="003D7B75">
      <w:pPr>
        <w:pStyle w:val="Prrafodelista"/>
        <w:spacing w:line="360" w:lineRule="auto"/>
        <w:ind w:left="0"/>
        <w:jc w:val="both"/>
        <w:rPr>
          <w:rFonts w:ascii="Palatino Linotype" w:eastAsia="Arial Unicode MS" w:hAnsi="Palatino Linotype" w:cs="Arial"/>
          <w:sz w:val="24"/>
          <w:lang w:eastAsia="en-US"/>
        </w:rPr>
      </w:pPr>
    </w:p>
    <w:p w:rsidR="006A0BBC" w:rsidRPr="00F92AE5" w:rsidRDefault="006A0BBC" w:rsidP="003D7B75">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Arial Unicode MS" w:hAnsi="Palatino Linotype" w:cs="Arial"/>
          <w:sz w:val="24"/>
          <w:lang w:eastAsia="en-US"/>
        </w:rPr>
        <w:t xml:space="preserve">Ahora bien, </w:t>
      </w:r>
      <w:r w:rsidR="00B85336" w:rsidRPr="00F92AE5">
        <w:rPr>
          <w:rFonts w:ascii="Palatino Linotype" w:eastAsia="Arial Unicode MS" w:hAnsi="Palatino Linotype" w:cs="Arial"/>
          <w:sz w:val="24"/>
          <w:lang w:eastAsia="en-US"/>
        </w:rPr>
        <w:t xml:space="preserve">recordemos que en presente caso la respuesta como el informe justificado fueron entregados por la Dirección de Protección Civil y Bomberos, servidor público con facultades para generar, poseer y administrar la información solicitada, por ser el área de quien se solicitó información, por lo tanto, se dio cumplimiento el proceso de búsqueda establecido en la ley de transparencia. </w:t>
      </w:r>
    </w:p>
    <w:p w:rsidR="00B85336" w:rsidRPr="00F92AE5" w:rsidRDefault="00B85336" w:rsidP="003D7B75">
      <w:pPr>
        <w:pStyle w:val="Prrafodelista"/>
        <w:ind w:left="0"/>
        <w:rPr>
          <w:rFonts w:ascii="Palatino Linotype" w:eastAsia="Calibri" w:hAnsi="Palatino Linotype" w:cs="Arial"/>
          <w:color w:val="000000" w:themeColor="text1"/>
          <w:sz w:val="24"/>
          <w:lang w:val="es-ES"/>
        </w:rPr>
      </w:pPr>
    </w:p>
    <w:p w:rsidR="00B85336" w:rsidRPr="00F92AE5" w:rsidRDefault="00B85336" w:rsidP="003D7B75">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Consecuentemente, es necesario analizar la siguiente información:</w:t>
      </w:r>
    </w:p>
    <w:p w:rsidR="00B85336" w:rsidRPr="00F92AE5" w:rsidRDefault="00B85336" w:rsidP="003D7B75">
      <w:pPr>
        <w:pStyle w:val="Prrafodelista"/>
        <w:ind w:left="0"/>
        <w:rPr>
          <w:rFonts w:ascii="Palatino Linotype" w:eastAsia="Calibri" w:hAnsi="Palatino Linotype" w:cs="Arial"/>
          <w:color w:val="000000" w:themeColor="text1"/>
          <w:sz w:val="24"/>
          <w:lang w:val="es-ES"/>
        </w:rPr>
      </w:pPr>
    </w:p>
    <w:tbl>
      <w:tblPr>
        <w:tblStyle w:val="Tabladecuadrcula4-nfasis3"/>
        <w:tblW w:w="9776" w:type="dxa"/>
        <w:tblLook w:val="04A0" w:firstRow="1" w:lastRow="0" w:firstColumn="1" w:lastColumn="0" w:noHBand="0" w:noVBand="1"/>
      </w:tblPr>
      <w:tblGrid>
        <w:gridCol w:w="2122"/>
        <w:gridCol w:w="2126"/>
        <w:gridCol w:w="3685"/>
        <w:gridCol w:w="1843"/>
      </w:tblGrid>
      <w:tr w:rsidR="00B85336" w:rsidRPr="00F92AE5" w:rsidTr="004236F8">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2122" w:type="dxa"/>
          </w:tcPr>
          <w:p w:rsidR="00B85336" w:rsidRPr="00F92AE5" w:rsidRDefault="00B85336" w:rsidP="003D7B75">
            <w:pPr>
              <w:pStyle w:val="Prrafodelista"/>
              <w:ind w:left="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Solicitud</w:t>
            </w:r>
          </w:p>
        </w:tc>
        <w:tc>
          <w:tcPr>
            <w:tcW w:w="2126" w:type="dxa"/>
          </w:tcPr>
          <w:p w:rsidR="00B85336" w:rsidRPr="00F92AE5" w:rsidRDefault="00B85336" w:rsidP="003D7B75">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Respuesta</w:t>
            </w:r>
          </w:p>
        </w:tc>
        <w:tc>
          <w:tcPr>
            <w:tcW w:w="3685" w:type="dxa"/>
          </w:tcPr>
          <w:p w:rsidR="00B85336" w:rsidRPr="00F92AE5" w:rsidRDefault="00B85336" w:rsidP="003D7B75">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Informe justificado</w:t>
            </w:r>
          </w:p>
        </w:tc>
        <w:tc>
          <w:tcPr>
            <w:tcW w:w="1843" w:type="dxa"/>
          </w:tcPr>
          <w:p w:rsidR="00B85336" w:rsidRPr="00F92AE5" w:rsidRDefault="00B85336" w:rsidP="003D7B75">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Observaciones</w:t>
            </w:r>
          </w:p>
        </w:tc>
      </w:tr>
      <w:tr w:rsidR="00B85336" w:rsidRPr="00F92AE5" w:rsidTr="004236F8">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22" w:type="dxa"/>
          </w:tcPr>
          <w:p w:rsidR="00B85336" w:rsidRPr="00F92AE5" w:rsidRDefault="00B85336" w:rsidP="003D7B75">
            <w:pPr>
              <w:pStyle w:val="Prrafodelista"/>
              <w:ind w:left="0"/>
              <w:jc w:val="both"/>
              <w:rPr>
                <w:rFonts w:ascii="Palatino Linotype" w:eastAsia="Calibri" w:hAnsi="Palatino Linotype" w:cs="Arial"/>
                <w:b w:val="0"/>
                <w:color w:val="000000" w:themeColor="text1"/>
                <w:sz w:val="24"/>
                <w:lang w:val="es-ES"/>
              </w:rPr>
            </w:pPr>
            <w:r w:rsidRPr="00F92AE5">
              <w:rPr>
                <w:rFonts w:ascii="Palatino Linotype" w:eastAsia="Calibri" w:hAnsi="Palatino Linotype" w:cs="Arial"/>
                <w:b w:val="0"/>
                <w:color w:val="000000" w:themeColor="text1"/>
                <w:sz w:val="24"/>
                <w:lang w:val="es-ES"/>
              </w:rPr>
              <w:t xml:space="preserve">Número de valoración de riesgos por mes, correspondiente al año 2023. </w:t>
            </w:r>
          </w:p>
          <w:p w:rsidR="00B85336" w:rsidRPr="00F92AE5" w:rsidRDefault="00B85336" w:rsidP="003D7B75">
            <w:pPr>
              <w:pStyle w:val="Prrafodelista"/>
              <w:ind w:left="0"/>
              <w:jc w:val="both"/>
              <w:rPr>
                <w:rFonts w:ascii="Palatino Linotype" w:eastAsia="Calibri" w:hAnsi="Palatino Linotype" w:cs="Arial"/>
                <w:b w:val="0"/>
                <w:color w:val="000000" w:themeColor="text1"/>
                <w:sz w:val="24"/>
                <w:lang w:val="es-ES"/>
              </w:rPr>
            </w:pPr>
          </w:p>
        </w:tc>
        <w:tc>
          <w:tcPr>
            <w:tcW w:w="2126" w:type="dxa"/>
          </w:tcPr>
          <w:p w:rsidR="00B85336" w:rsidRPr="00F92AE5" w:rsidRDefault="00B85336" w:rsidP="003D7B7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La dirección de Protección Civil y Bomberos señaló que se realizó una valoración en el mes de julio de 2023.</w:t>
            </w:r>
          </w:p>
        </w:tc>
        <w:tc>
          <w:tcPr>
            <w:tcW w:w="3685" w:type="dxa"/>
          </w:tcPr>
          <w:p w:rsidR="00B85336" w:rsidRPr="00F92AE5" w:rsidRDefault="00B85336" w:rsidP="003D7B7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rPr>
            </w:pPr>
            <w:r w:rsidRPr="00F92AE5">
              <w:rPr>
                <w:rFonts w:ascii="Palatino Linotype" w:eastAsia="Calibri" w:hAnsi="Palatino Linotype" w:cs="Arial"/>
                <w:color w:val="000000" w:themeColor="text1"/>
                <w:sz w:val="24"/>
                <w:lang w:val="es-ES"/>
              </w:rPr>
              <w:t xml:space="preserve">Señaló que la valoración de riesgos es del mes de julio de 2023, que se solicitó una copia certificada de la valoración en el mes de septiembre de 2024 y que </w:t>
            </w:r>
            <w:r w:rsidR="00EC16D7" w:rsidRPr="00F92AE5">
              <w:rPr>
                <w:rFonts w:ascii="Palatino Linotype" w:eastAsia="Calibri" w:hAnsi="Palatino Linotype" w:cs="Arial"/>
                <w:color w:val="000000" w:themeColor="text1"/>
                <w:sz w:val="24"/>
                <w:lang w:val="es-ES"/>
              </w:rPr>
              <w:t xml:space="preserve">en el mes de agosto de 2023 se remitió un oficio al </w:t>
            </w:r>
            <w:r w:rsidR="00EC16D7" w:rsidRPr="00F92AE5">
              <w:rPr>
                <w:rFonts w:ascii="Palatino Linotype" w:eastAsia="Calibri" w:hAnsi="Palatino Linotype" w:cs="Arial"/>
                <w:color w:val="000000" w:themeColor="text1"/>
                <w:sz w:val="24"/>
              </w:rPr>
              <w:t xml:space="preserve">superintendente Zona Azteca Valle de Maíz y Valle de Yang Tse, Valle de Aragón 1ª Sección Nezahualcóyotl, Estado de México; a través del cual el asunto a tratar era la VALORACIÓN DE RIESGO, que en su momento tendría que </w:t>
            </w:r>
            <w:r w:rsidR="00EC16D7" w:rsidRPr="00F92AE5">
              <w:rPr>
                <w:rFonts w:ascii="Palatino Linotype" w:eastAsia="Calibri" w:hAnsi="Palatino Linotype" w:cs="Arial"/>
                <w:color w:val="000000" w:themeColor="text1"/>
                <w:sz w:val="24"/>
              </w:rPr>
              <w:lastRenderedPageBreak/>
              <w:t>realizar la COMISIÓN FEDERAL DE ELECTRICIDAD, ya que es el dependencia encargada del desarrollo y operación en cuanto al despunte y/o derribo de árboles en banquetas bajo el CABLEADO DE ELECTRICIDAD DE ALTA TENCIÓN; por lo que se realizó el trámite correspondiente con la finalidad de apoyar al recurrente y diera el seguimiento correspondiente; por lo que el recurrente cuenta el oficio del mes de Agosto 2023 como una valoración extra.</w:t>
            </w:r>
          </w:p>
          <w:p w:rsidR="00EC16D7" w:rsidRPr="00F92AE5" w:rsidRDefault="00EC16D7" w:rsidP="003D7B7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sz w:val="24"/>
                <w:lang w:val="es-ES"/>
              </w:rPr>
            </w:pPr>
          </w:p>
        </w:tc>
        <w:tc>
          <w:tcPr>
            <w:tcW w:w="1843" w:type="dxa"/>
          </w:tcPr>
          <w:p w:rsidR="00B85336" w:rsidRPr="00F92AE5" w:rsidRDefault="00EC16D7" w:rsidP="003D7B75">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lang w:val="es-ES"/>
              </w:rPr>
            </w:pPr>
            <w:r w:rsidRPr="00F92AE5">
              <w:rPr>
                <w:rFonts w:ascii="Palatino Linotype" w:eastAsia="Calibri" w:hAnsi="Palatino Linotype" w:cs="Arial"/>
                <w:color w:val="000000" w:themeColor="text1"/>
                <w:lang w:val="es-ES"/>
              </w:rPr>
              <w:lastRenderedPageBreak/>
              <w:t xml:space="preserve">COLMA </w:t>
            </w:r>
          </w:p>
          <w:p w:rsidR="00EC16D7" w:rsidRPr="00F92AE5" w:rsidRDefault="00EC16D7" w:rsidP="003D7B75">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lang w:val="es-ES"/>
              </w:rPr>
            </w:pPr>
          </w:p>
          <w:p w:rsidR="00EC16D7" w:rsidRPr="00F92AE5" w:rsidRDefault="00EC16D7" w:rsidP="003D7B75">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color w:val="000000" w:themeColor="text1"/>
                <w:lang w:val="es-ES"/>
              </w:rPr>
            </w:pPr>
            <w:r w:rsidRPr="00F92AE5">
              <w:rPr>
                <w:rFonts w:ascii="Palatino Linotype" w:eastAsia="Calibri" w:hAnsi="Palatino Linotype" w:cs="Arial"/>
                <w:color w:val="000000" w:themeColor="text1"/>
                <w:lang w:val="es-ES"/>
              </w:rPr>
              <w:t xml:space="preserve">A través de informe justificado se complementó la respuesta y señaló que la valoración del mes de agosto de 2023 fue una valoración extra que tenía que realizar la Comisión </w:t>
            </w:r>
            <w:r w:rsidRPr="00F92AE5">
              <w:rPr>
                <w:rFonts w:ascii="Palatino Linotype" w:eastAsia="Calibri" w:hAnsi="Palatino Linotype" w:cs="Arial"/>
                <w:color w:val="000000" w:themeColor="text1"/>
                <w:lang w:val="es-ES"/>
              </w:rPr>
              <w:lastRenderedPageBreak/>
              <w:t xml:space="preserve">Federal de Electricidad. </w:t>
            </w:r>
          </w:p>
        </w:tc>
      </w:tr>
      <w:tr w:rsidR="00B85336" w:rsidRPr="00F92AE5" w:rsidTr="004236F8">
        <w:trPr>
          <w:trHeight w:val="491"/>
        </w:trPr>
        <w:tc>
          <w:tcPr>
            <w:cnfStyle w:val="001000000000" w:firstRow="0" w:lastRow="0" w:firstColumn="1" w:lastColumn="0" w:oddVBand="0" w:evenVBand="0" w:oddHBand="0" w:evenHBand="0" w:firstRowFirstColumn="0" w:firstRowLastColumn="0" w:lastRowFirstColumn="0" w:lastRowLastColumn="0"/>
            <w:tcW w:w="2122" w:type="dxa"/>
          </w:tcPr>
          <w:p w:rsidR="00B85336" w:rsidRPr="00F92AE5" w:rsidRDefault="00B85336" w:rsidP="003D7B75">
            <w:pPr>
              <w:pStyle w:val="Prrafodelista"/>
              <w:ind w:left="0"/>
              <w:jc w:val="both"/>
              <w:rPr>
                <w:rFonts w:ascii="Palatino Linotype" w:eastAsia="Calibri" w:hAnsi="Palatino Linotype" w:cs="Arial"/>
                <w:b w:val="0"/>
                <w:color w:val="000000" w:themeColor="text1"/>
                <w:sz w:val="24"/>
                <w:lang w:val="es-ES"/>
              </w:rPr>
            </w:pPr>
            <w:r w:rsidRPr="00F92AE5">
              <w:rPr>
                <w:rFonts w:ascii="Palatino Linotype" w:eastAsia="Calibri" w:hAnsi="Palatino Linotype" w:cs="Arial"/>
                <w:b w:val="0"/>
                <w:color w:val="000000" w:themeColor="text1"/>
                <w:sz w:val="24"/>
                <w:lang w:val="es-ES"/>
              </w:rPr>
              <w:lastRenderedPageBreak/>
              <w:t xml:space="preserve">Número de valoraciones de riesgo por mes, correspondiente al año 2024. </w:t>
            </w:r>
          </w:p>
        </w:tc>
        <w:tc>
          <w:tcPr>
            <w:tcW w:w="2126" w:type="dxa"/>
          </w:tcPr>
          <w:p w:rsidR="00B85336" w:rsidRPr="00F92AE5" w:rsidRDefault="00B85336"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La dirección de Protección Civil y Bomberos señaló que se realizó una valoración en el mes de septiembre de 2024.</w:t>
            </w:r>
          </w:p>
        </w:tc>
        <w:tc>
          <w:tcPr>
            <w:tcW w:w="3685" w:type="dxa"/>
          </w:tcPr>
          <w:p w:rsidR="00B85336" w:rsidRPr="00F92AE5" w:rsidRDefault="00B85336"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Señaló que la valoración es del mes de agosto de 2024, pero que se solicitó una copia certificada en el mes de septiembre de 2024. </w:t>
            </w:r>
          </w:p>
        </w:tc>
        <w:tc>
          <w:tcPr>
            <w:tcW w:w="1843" w:type="dxa"/>
          </w:tcPr>
          <w:p w:rsidR="00B85336" w:rsidRPr="00F92AE5" w:rsidRDefault="00EC16D7"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COLMA</w:t>
            </w:r>
          </w:p>
          <w:p w:rsidR="00EC16D7" w:rsidRPr="00F92AE5" w:rsidRDefault="00EC16D7"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p>
          <w:p w:rsidR="00EC16D7" w:rsidRPr="00F92AE5" w:rsidRDefault="00EC16D7"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Señaló que la valoración se suscribió en el mes de agosto de 2024 y que se solicitó una copia certificada en septiembre de 2024, es decir, el Sujeto Obligado modificó su repuesta. </w:t>
            </w:r>
          </w:p>
          <w:p w:rsidR="00EC16D7" w:rsidRPr="00F92AE5" w:rsidRDefault="00EC16D7" w:rsidP="003D7B7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color w:val="000000" w:themeColor="text1"/>
                <w:sz w:val="24"/>
                <w:lang w:val="es-ES"/>
              </w:rPr>
            </w:pPr>
          </w:p>
        </w:tc>
      </w:tr>
    </w:tbl>
    <w:p w:rsidR="00B85336" w:rsidRPr="00F92AE5" w:rsidRDefault="00B85336" w:rsidP="003D7B75">
      <w:pPr>
        <w:pStyle w:val="Prrafodelista"/>
        <w:spacing w:line="360" w:lineRule="auto"/>
        <w:ind w:left="0"/>
        <w:jc w:val="both"/>
        <w:rPr>
          <w:rFonts w:ascii="Palatino Linotype" w:eastAsia="Calibri" w:hAnsi="Palatino Linotype" w:cs="Arial"/>
          <w:color w:val="000000" w:themeColor="text1"/>
          <w:sz w:val="24"/>
          <w:lang w:val="es-ES"/>
        </w:rPr>
      </w:pPr>
    </w:p>
    <w:p w:rsidR="00B85336" w:rsidRPr="00F92AE5" w:rsidRDefault="00B85336"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lastRenderedPageBreak/>
        <w:t>En ese sentido,</w:t>
      </w:r>
      <w:r w:rsidR="00EC16D7" w:rsidRPr="00F92AE5">
        <w:rPr>
          <w:rFonts w:ascii="Palatino Linotype" w:eastAsia="Calibri" w:hAnsi="Palatino Linotype" w:cs="Arial"/>
          <w:color w:val="000000" w:themeColor="text1"/>
          <w:sz w:val="24"/>
          <w:lang w:val="es-ES"/>
        </w:rPr>
        <w:t xml:space="preserve"> conviene señalar que el Sujeto Obligado complementó y modificó sus respuestas, lo que deja sin materia el presente recurso de revisión, al respecto el </w:t>
      </w:r>
      <w:r w:rsidRPr="00F92AE5">
        <w:rPr>
          <w:rFonts w:ascii="Palatino Linotype" w:eastAsia="Calibri" w:hAnsi="Palatino Linotype" w:cs="Arial"/>
          <w:color w:val="000000" w:themeColor="text1"/>
          <w:sz w:val="24"/>
          <w:lang w:val="es-ES"/>
        </w:rPr>
        <w:t>artículo 12 de la Ley de Transparencia Local que establece:</w:t>
      </w:r>
    </w:p>
    <w:p w:rsidR="006A0BBC" w:rsidRPr="00F92AE5" w:rsidRDefault="006A0BBC" w:rsidP="003D7B75">
      <w:pPr>
        <w:pStyle w:val="Prrafodelista"/>
        <w:spacing w:line="360" w:lineRule="auto"/>
        <w:ind w:left="0"/>
        <w:jc w:val="both"/>
        <w:rPr>
          <w:rFonts w:ascii="Palatino Linotype" w:hAnsi="Palatino Linotype" w:cs="Arial"/>
          <w:bCs/>
          <w:i/>
          <w:sz w:val="24"/>
        </w:rPr>
      </w:pPr>
      <w:r w:rsidRPr="00F92AE5">
        <w:rPr>
          <w:rFonts w:ascii="Palatino Linotype" w:hAnsi="Palatino Linotype" w:cs="Arial"/>
          <w:b/>
          <w:bCs/>
          <w:i/>
          <w:sz w:val="24"/>
        </w:rPr>
        <w:t xml:space="preserve">“Artículo 12. </w:t>
      </w:r>
      <w:r w:rsidRPr="00F92AE5">
        <w:rPr>
          <w:rFonts w:ascii="Palatino Linotype" w:hAnsi="Palatino Linotype" w:cs="Arial"/>
          <w:bCs/>
          <w:i/>
          <w:sz w:val="24"/>
        </w:rPr>
        <w:t>Quienes generen, recopilen, administren, manejen, procesen, archiven o conserven información pública serán responsables de la misma en los términos de las disposiciones jurídicas aplicables.</w:t>
      </w:r>
    </w:p>
    <w:p w:rsidR="006A0BBC" w:rsidRPr="00F92AE5" w:rsidRDefault="006A0BBC" w:rsidP="003D7B75">
      <w:pPr>
        <w:pStyle w:val="Prrafodelista"/>
        <w:spacing w:line="360" w:lineRule="auto"/>
        <w:ind w:left="0"/>
        <w:jc w:val="both"/>
        <w:rPr>
          <w:rFonts w:ascii="Palatino Linotype" w:hAnsi="Palatino Linotype" w:cs="Arial"/>
          <w:bCs/>
          <w:i/>
          <w:sz w:val="24"/>
        </w:rPr>
      </w:pPr>
    </w:p>
    <w:p w:rsidR="006A0BBC" w:rsidRPr="00F92AE5" w:rsidRDefault="006A0BBC" w:rsidP="003D7B75">
      <w:pPr>
        <w:pStyle w:val="Prrafodelista"/>
        <w:spacing w:line="360" w:lineRule="auto"/>
        <w:ind w:left="0"/>
        <w:jc w:val="both"/>
        <w:rPr>
          <w:rFonts w:ascii="Palatino Linotype" w:hAnsi="Palatino Linotype" w:cs="Arial"/>
          <w:bCs/>
          <w:i/>
          <w:sz w:val="24"/>
        </w:rPr>
      </w:pPr>
      <w:r w:rsidRPr="00F92AE5">
        <w:rPr>
          <w:rFonts w:ascii="Palatino Linotype" w:hAnsi="Palatino Linotype" w:cs="Arial"/>
          <w:bCs/>
          <w:i/>
          <w:sz w:val="24"/>
        </w:rPr>
        <w:t xml:space="preserve">Los sujetos obligados </w:t>
      </w:r>
      <w:r w:rsidRPr="00F92AE5">
        <w:rPr>
          <w:rFonts w:ascii="Palatino Linotype" w:hAnsi="Palatino Linotype" w:cs="Arial"/>
          <w:b/>
          <w:bCs/>
          <w:i/>
          <w:sz w:val="24"/>
        </w:rPr>
        <w:t>sólo proporcionarán la información pública que se les requiera y que obre en sus archivos</w:t>
      </w:r>
      <w:r w:rsidRPr="00F92AE5">
        <w:rPr>
          <w:rFonts w:ascii="Palatino Linotype" w:hAnsi="Palatino Linotype" w:cs="Arial"/>
          <w:bCs/>
          <w:i/>
          <w:sz w:val="24"/>
        </w:rPr>
        <w:t xml:space="preserve"> </w:t>
      </w:r>
      <w:r w:rsidRPr="00F92AE5">
        <w:rPr>
          <w:rFonts w:ascii="Palatino Linotype" w:hAnsi="Palatino Linotype" w:cs="Arial"/>
          <w:b/>
          <w:bCs/>
          <w:i/>
          <w:sz w:val="24"/>
        </w:rPr>
        <w:t xml:space="preserve">y en el </w:t>
      </w:r>
      <w:r w:rsidRPr="00F92AE5">
        <w:rPr>
          <w:rFonts w:ascii="Palatino Linotype" w:hAnsi="Palatino Linotype" w:cs="Arial"/>
          <w:b/>
          <w:bCs/>
          <w:i/>
          <w:sz w:val="24"/>
          <w:u w:val="single"/>
        </w:rPr>
        <w:t>estado en que ésta se encuentre.</w:t>
      </w:r>
      <w:r w:rsidRPr="00F92AE5">
        <w:rPr>
          <w:rFonts w:ascii="Palatino Linotype" w:hAnsi="Palatino Linotype" w:cs="Arial"/>
          <w:bCs/>
          <w:i/>
          <w:sz w:val="24"/>
        </w:rPr>
        <w:t xml:space="preserve"> La obligación de proporcionar información </w:t>
      </w:r>
      <w:r w:rsidRPr="00F92AE5">
        <w:rPr>
          <w:rFonts w:ascii="Palatino Linotype" w:hAnsi="Palatino Linotype" w:cs="Arial"/>
          <w:b/>
          <w:bCs/>
          <w:i/>
          <w:sz w:val="24"/>
        </w:rPr>
        <w:t>no comprende</w:t>
      </w:r>
      <w:r w:rsidRPr="00F92AE5">
        <w:rPr>
          <w:rFonts w:ascii="Palatino Linotype" w:hAnsi="Palatino Linotype" w:cs="Arial"/>
          <w:bCs/>
          <w:i/>
          <w:sz w:val="24"/>
        </w:rPr>
        <w:t xml:space="preserve"> el procesamiento de la misma, ni el presentarla conforme al interés del solicitante; no estarán obligados a generarla, resumirla, efectuar cálculos o práctica investigaciones.</w:t>
      </w:r>
    </w:p>
    <w:p w:rsidR="006A0BBC" w:rsidRPr="00F92AE5" w:rsidRDefault="006A0BBC" w:rsidP="003D7B75">
      <w:pPr>
        <w:pStyle w:val="Prrafodelista"/>
        <w:spacing w:line="360" w:lineRule="auto"/>
        <w:ind w:left="0"/>
        <w:jc w:val="both"/>
        <w:rPr>
          <w:rFonts w:ascii="Palatino Linotype" w:hAnsi="Palatino Linotype" w:cs="Arial"/>
          <w:bCs/>
          <w:i/>
          <w:sz w:val="24"/>
        </w:rPr>
      </w:pPr>
    </w:p>
    <w:p w:rsidR="00EC16D7" w:rsidRPr="00F92AE5" w:rsidRDefault="006A0BBC" w:rsidP="003D7B75">
      <w:pPr>
        <w:pStyle w:val="Prrafodelista"/>
        <w:numPr>
          <w:ilvl w:val="0"/>
          <w:numId w:val="1"/>
        </w:numPr>
        <w:spacing w:line="360" w:lineRule="auto"/>
        <w:ind w:left="0" w:firstLine="0"/>
        <w:jc w:val="both"/>
        <w:rPr>
          <w:rFonts w:ascii="Palatino Linotype" w:hAnsi="Palatino Linotype" w:cs="Arial"/>
          <w:bCs/>
          <w:sz w:val="24"/>
        </w:rPr>
      </w:pPr>
      <w:r w:rsidRPr="00F92AE5">
        <w:rPr>
          <w:rFonts w:ascii="Palatino Linotype" w:hAnsi="Palatino Linotype" w:cs="Arial"/>
          <w:bCs/>
          <w:sz w:val="24"/>
        </w:rPr>
        <w:t xml:space="preserve">Se señala que no están obligados a procesar, ni presentarla conforme al interés del solicitante, resumirla, efectuar cálculos o generar nuevos documentos para atender una solicitud, la ley tampoco lo prohíbe, es decir, los </w:t>
      </w:r>
      <w:r w:rsidRPr="00F92AE5">
        <w:rPr>
          <w:rFonts w:ascii="Palatino Linotype" w:hAnsi="Palatino Linotype" w:cs="Arial"/>
          <w:b/>
          <w:bCs/>
          <w:sz w:val="24"/>
        </w:rPr>
        <w:t>SUJETOS OBLIGADOS</w:t>
      </w:r>
      <w:r w:rsidRPr="00F92AE5">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F92AE5">
        <w:rPr>
          <w:rFonts w:ascii="Palatino Linotype" w:hAnsi="Palatino Linotype" w:cs="Arial"/>
          <w:b/>
          <w:bCs/>
          <w:sz w:val="24"/>
        </w:rPr>
        <w:t>ad hoc</w:t>
      </w:r>
      <w:r w:rsidRPr="00F92AE5">
        <w:rPr>
          <w:rFonts w:ascii="Palatino Linotype" w:hAnsi="Palatino Linotype" w:cs="Arial"/>
          <w:bCs/>
          <w:sz w:val="24"/>
        </w:rPr>
        <w:t>, puede llevar a cabo siempre y cuando se haga garantice el derecho.</w:t>
      </w:r>
    </w:p>
    <w:p w:rsidR="00EC16D7" w:rsidRPr="00F92AE5" w:rsidRDefault="00EC16D7" w:rsidP="003D7B75">
      <w:pPr>
        <w:pStyle w:val="Prrafodelista"/>
        <w:spacing w:line="360" w:lineRule="auto"/>
        <w:ind w:left="0"/>
        <w:jc w:val="both"/>
        <w:rPr>
          <w:rFonts w:ascii="Palatino Linotype" w:hAnsi="Palatino Linotype" w:cs="Arial"/>
          <w:bCs/>
          <w:sz w:val="24"/>
        </w:rPr>
      </w:pPr>
    </w:p>
    <w:p w:rsidR="006A0BBC" w:rsidRPr="00F92AE5" w:rsidRDefault="006A0BBC" w:rsidP="003D7B75">
      <w:pPr>
        <w:pStyle w:val="Prrafodelista"/>
        <w:numPr>
          <w:ilvl w:val="0"/>
          <w:numId w:val="1"/>
        </w:numPr>
        <w:spacing w:line="360" w:lineRule="auto"/>
        <w:ind w:left="0" w:firstLine="0"/>
        <w:jc w:val="both"/>
        <w:rPr>
          <w:rFonts w:ascii="Palatino Linotype" w:hAnsi="Palatino Linotype" w:cs="Arial"/>
          <w:bCs/>
          <w:sz w:val="24"/>
        </w:rPr>
      </w:pPr>
      <w:r w:rsidRPr="00F92AE5">
        <w:rPr>
          <w:rFonts w:ascii="Palatino Linotype" w:eastAsia="Calibri" w:hAnsi="Palatino Linotype" w:cs="Arial"/>
          <w:color w:val="000000" w:themeColor="text1"/>
          <w:sz w:val="24"/>
          <w:lang w:val="es-ES"/>
        </w:rPr>
        <w:t xml:space="preserve">Así, </w:t>
      </w:r>
      <w:r w:rsidRPr="00F92AE5">
        <w:rPr>
          <w:rFonts w:ascii="Palatino Linotype" w:eastAsia="Calibri" w:hAnsi="Palatino Linotype"/>
          <w:sz w:val="24"/>
        </w:rPr>
        <w:t xml:space="preserve">este Pleno advierte que el </w:t>
      </w:r>
      <w:r w:rsidRPr="00F92AE5">
        <w:rPr>
          <w:rFonts w:ascii="Palatino Linotype" w:eastAsia="Calibri" w:hAnsi="Palatino Linotype"/>
          <w:b/>
          <w:sz w:val="24"/>
        </w:rPr>
        <w:t>SUJETO OBLIGADO</w:t>
      </w:r>
      <w:r w:rsidRPr="00F92AE5">
        <w:rPr>
          <w:rFonts w:ascii="Palatino Linotype" w:eastAsia="Calibri" w:hAnsi="Palatino Linotype"/>
          <w:sz w:val="24"/>
        </w:rPr>
        <w:t xml:space="preserve"> </w:t>
      </w:r>
      <w:r w:rsidRPr="00F92AE5">
        <w:rPr>
          <w:rFonts w:ascii="Palatino Linotype" w:eastAsia="Calibri" w:hAnsi="Palatino Linotype"/>
          <w:b/>
          <w:sz w:val="24"/>
        </w:rPr>
        <w:t xml:space="preserve">modificó </w:t>
      </w:r>
      <w:r w:rsidRPr="00F92AE5">
        <w:rPr>
          <w:rFonts w:ascii="Palatino Linotype" w:eastAsia="Calibri" w:hAnsi="Palatino Linotype"/>
          <w:sz w:val="24"/>
        </w:rPr>
        <w:t xml:space="preserve">el acto que le dio origen a los recursos de revisión y que, aunado a ello, la información fue remitida por el servidor público habilitado, lo que trae como consecuencia que el mismo quede sin materia, </w:t>
      </w:r>
      <w:r w:rsidRPr="00F92AE5">
        <w:rPr>
          <w:rFonts w:ascii="Palatino Linotype" w:eastAsia="Calibri" w:hAnsi="Palatino Linotype"/>
          <w:sz w:val="24"/>
        </w:rPr>
        <w:lastRenderedPageBreak/>
        <w:t>actualizándose de este modo, la hipótesis jurídica contenida en la fracción III del artículo 192 de la Ley de Transparencia Local.</w:t>
      </w:r>
    </w:p>
    <w:p w:rsidR="006A0BBC" w:rsidRPr="00F92AE5" w:rsidRDefault="006A0BBC"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Ahora bien, </w:t>
      </w:r>
      <w:r w:rsidRPr="00F92AE5">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F92AE5">
        <w:rPr>
          <w:rFonts w:ascii="Palatino Linotype" w:eastAsia="Calibri" w:hAnsi="Palatino Linotype"/>
          <w:b/>
          <w:sz w:val="24"/>
        </w:rPr>
        <w:t>SUJETOS OBLIGADOS</w:t>
      </w:r>
      <w:r w:rsidRPr="00F92AE5">
        <w:rPr>
          <w:rFonts w:ascii="Palatino Linotype" w:eastAsia="Calibri" w:hAnsi="Palatino Linotype"/>
          <w:sz w:val="24"/>
        </w:rPr>
        <w:t xml:space="preserve"> o la negativa de entrega de esta, derivada de la solicitud de información pública.</w:t>
      </w:r>
    </w:p>
    <w:p w:rsidR="00EC16D7" w:rsidRPr="00F92AE5" w:rsidRDefault="00EC16D7"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De </w:t>
      </w:r>
      <w:r w:rsidRPr="00F92AE5">
        <w:rPr>
          <w:rFonts w:ascii="Palatino Linotype" w:eastAsia="Calibri" w:hAnsi="Palatino Linotype"/>
          <w:sz w:val="24"/>
        </w:rPr>
        <w:t xml:space="preserve">este modo, cuando el </w:t>
      </w:r>
      <w:r w:rsidRPr="00F92AE5">
        <w:rPr>
          <w:rFonts w:ascii="Palatino Linotype" w:eastAsia="Calibri" w:hAnsi="Palatino Linotype"/>
          <w:b/>
          <w:sz w:val="24"/>
        </w:rPr>
        <w:t xml:space="preserve">SUJETO OBLIGADO, </w:t>
      </w:r>
      <w:r w:rsidRPr="00F92AE5">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92AE5">
        <w:rPr>
          <w:rFonts w:ascii="Palatino Linotype" w:eastAsia="Calibri" w:hAnsi="Palatino Linotype"/>
          <w:i/>
          <w:sz w:val="24"/>
        </w:rPr>
        <w:t>litis</w:t>
      </w:r>
      <w:r w:rsidRPr="00F92AE5">
        <w:rPr>
          <w:rFonts w:ascii="Palatino Linotype" w:eastAsia="Calibri" w:hAnsi="Palatino Linotype"/>
          <w:sz w:val="24"/>
        </w:rPr>
        <w:t xml:space="preserve"> planteada, debido a que la afectación en su esfera de derechos fue restituida por la propia autoridad que emitió el acto motivo de impugnación.</w:t>
      </w:r>
    </w:p>
    <w:p w:rsidR="006A0BBC" w:rsidRPr="00F92AE5" w:rsidRDefault="006A0BBC"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Sirve </w:t>
      </w:r>
      <w:r w:rsidRPr="00F92AE5">
        <w:rPr>
          <w:rFonts w:ascii="Palatino Linotype" w:eastAsia="Calibri" w:hAnsi="Palatino Linotype"/>
          <w:sz w:val="24"/>
        </w:rPr>
        <w:t>de sustento a lo anterior la siguiente jurisprudencia por contradicción, cuyo rubro, texto y datos de identificación son los siguientes:</w:t>
      </w:r>
    </w:p>
    <w:p w:rsidR="006A0BBC" w:rsidRPr="00F92AE5" w:rsidRDefault="006A0BBC" w:rsidP="003D7B75">
      <w:pPr>
        <w:pStyle w:val="Prrafodelista"/>
        <w:tabs>
          <w:tab w:val="left" w:pos="709"/>
          <w:tab w:val="left" w:pos="851"/>
        </w:tabs>
        <w:spacing w:line="360" w:lineRule="auto"/>
        <w:ind w:left="0"/>
        <w:jc w:val="both"/>
        <w:rPr>
          <w:rFonts w:ascii="Palatino Linotype" w:eastAsia="Calibri" w:hAnsi="Palatino Linotype" w:cs="Arial"/>
          <w:color w:val="000000" w:themeColor="text1"/>
          <w:sz w:val="24"/>
          <w:lang w:val="es-ES"/>
        </w:rPr>
      </w:pPr>
      <w:r w:rsidRPr="00F92AE5">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92AE5">
        <w:rPr>
          <w:rFonts w:ascii="Palatino Linotype" w:eastAsia="Calibri" w:hAnsi="Palatino Linotype"/>
          <w:i/>
          <w:sz w:val="24"/>
        </w:rPr>
        <w:t xml:space="preserve"> De la interpretación de los artículos 73, fracción </w:t>
      </w:r>
      <w:r w:rsidRPr="00F92AE5">
        <w:rPr>
          <w:rFonts w:ascii="Palatino Linotype" w:eastAsia="Calibri" w:hAnsi="Palatino Linotype"/>
          <w:i/>
          <w:sz w:val="24"/>
        </w:rPr>
        <w:lastRenderedPageBreak/>
        <w:t>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A0BBC" w:rsidRPr="00F92AE5" w:rsidRDefault="006A0BBC" w:rsidP="003D7B75">
      <w:pPr>
        <w:rPr>
          <w:rFonts w:ascii="Palatino Linotype" w:eastAsia="Calibri" w:hAnsi="Palatino Linotype" w:cs="Arial"/>
          <w:color w:val="000000" w:themeColor="text1"/>
          <w:lang w:val="es-ES"/>
        </w:rPr>
      </w:pPr>
    </w:p>
    <w:p w:rsidR="006A0BBC" w:rsidRPr="00F92AE5" w:rsidRDefault="006A0BBC" w:rsidP="003D7B75">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La </w:t>
      </w:r>
      <w:r w:rsidRPr="00F92AE5">
        <w:rPr>
          <w:rFonts w:ascii="Palatino Linotype" w:eastAsia="Calibri" w:hAnsi="Palatino Linotype"/>
          <w:sz w:val="24"/>
        </w:rPr>
        <w:t xml:space="preserve">anterior jurisprudencia resulta aplicable al presente asunto, en dos aspectos: </w:t>
      </w:r>
    </w:p>
    <w:p w:rsidR="006A0BBC" w:rsidRPr="00F92AE5" w:rsidRDefault="006A0BBC" w:rsidP="003D7B75">
      <w:pPr>
        <w:numPr>
          <w:ilvl w:val="0"/>
          <w:numId w:val="3"/>
        </w:numPr>
        <w:spacing w:line="360" w:lineRule="auto"/>
        <w:ind w:left="0" w:firstLine="0"/>
        <w:contextualSpacing/>
        <w:jc w:val="both"/>
        <w:rPr>
          <w:rFonts w:ascii="Palatino Linotype" w:eastAsia="Calibri" w:hAnsi="Palatino Linotype"/>
        </w:rPr>
      </w:pPr>
      <w:r w:rsidRPr="00F92AE5">
        <w:rPr>
          <w:rFonts w:ascii="Palatino Linotype" w:eastAsia="Calibri" w:hAnsi="Palatino Linotype"/>
          <w:b/>
        </w:rPr>
        <w:t>La cesación de los efectos perniciosos del acto de autoridad:</w:t>
      </w:r>
      <w:r w:rsidRPr="00F92AE5">
        <w:rPr>
          <w:rFonts w:ascii="Palatino Linotype" w:eastAsia="Calibri" w:hAnsi="Palatino Linotype"/>
        </w:rPr>
        <w:t xml:space="preserve"> Al respecto, la Ley de Transparencia contempla la figura jurídica del sobreseimiento cuando el </w:t>
      </w:r>
      <w:r w:rsidRPr="00F92AE5">
        <w:rPr>
          <w:rFonts w:ascii="Palatino Linotype" w:eastAsia="Calibri" w:hAnsi="Palatino Linotype"/>
          <w:b/>
        </w:rPr>
        <w:t>SUJETO OBLIGADO</w:t>
      </w:r>
      <w:r w:rsidRPr="00F92AE5">
        <w:rPr>
          <w:rFonts w:ascii="Palatino Linotype" w:eastAsia="Calibri" w:hAnsi="Palatino Linotype"/>
        </w:rPr>
        <w:t xml:space="preserve"> de </w:t>
      </w:r>
      <w:r w:rsidRPr="00F92AE5">
        <w:rPr>
          <w:rFonts w:ascii="Palatino Linotype" w:eastAsia="Calibri" w:hAnsi="Palatino Linotype"/>
          <w:i/>
        </w:rPr>
        <w:t>motu proprio</w:t>
      </w:r>
      <w:r w:rsidRPr="00F92AE5">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6A0BBC" w:rsidRPr="00F92AE5" w:rsidRDefault="006A0BBC" w:rsidP="003D7B75">
      <w:pPr>
        <w:spacing w:line="360" w:lineRule="auto"/>
        <w:contextualSpacing/>
        <w:rPr>
          <w:rFonts w:ascii="Palatino Linotype" w:eastAsia="Calibri" w:hAnsi="Palatino Linotype"/>
        </w:rPr>
      </w:pPr>
    </w:p>
    <w:p w:rsidR="006A0BBC" w:rsidRPr="00F92AE5" w:rsidRDefault="006A0BBC" w:rsidP="003D7B75">
      <w:pPr>
        <w:numPr>
          <w:ilvl w:val="0"/>
          <w:numId w:val="3"/>
        </w:numPr>
        <w:spacing w:line="360" w:lineRule="auto"/>
        <w:ind w:left="0" w:firstLine="0"/>
        <w:contextualSpacing/>
        <w:jc w:val="both"/>
        <w:rPr>
          <w:rFonts w:ascii="Palatino Linotype" w:eastAsia="Calibri" w:hAnsi="Palatino Linotype"/>
        </w:rPr>
      </w:pPr>
      <w:r w:rsidRPr="00F92AE5">
        <w:rPr>
          <w:rFonts w:ascii="Palatino Linotype" w:eastAsia="Calibri" w:hAnsi="Palatino Linotype"/>
          <w:b/>
        </w:rPr>
        <w:t>El momento procesal para modificar el acto impugnado:</w:t>
      </w:r>
      <w:r w:rsidRPr="00F92AE5">
        <w:rPr>
          <w:rFonts w:ascii="Palatino Linotype" w:eastAsia="Calibri" w:hAnsi="Palatino Linotype"/>
        </w:rPr>
        <w:t xml:space="preserve"> Para que se actualice el sobreseimiento de un recurso de revisión, el </w:t>
      </w:r>
      <w:r w:rsidRPr="00F92AE5">
        <w:rPr>
          <w:rFonts w:ascii="Palatino Linotype" w:eastAsia="Calibri" w:hAnsi="Palatino Linotype"/>
          <w:b/>
        </w:rPr>
        <w:t>SUJETO OBLIGADO</w:t>
      </w:r>
      <w:r w:rsidRPr="00F92AE5">
        <w:rPr>
          <w:rFonts w:ascii="Palatino Linotype" w:eastAsia="Calibri" w:hAnsi="Palatino Linotype"/>
        </w:rPr>
        <w:t xml:space="preserve"> puede entregar o completar la información al momento de rendir su informe de justificación o </w:t>
      </w:r>
      <w:r w:rsidRPr="00F92AE5">
        <w:rPr>
          <w:rFonts w:ascii="Palatino Linotype" w:eastAsia="Calibri" w:hAnsi="Palatino Linotype"/>
          <w:b/>
          <w:u w:val="single"/>
        </w:rPr>
        <w:t>posteriormente</w:t>
      </w:r>
      <w:r w:rsidRPr="00F92AE5">
        <w:rPr>
          <w:rFonts w:ascii="Palatino Linotype" w:eastAsia="Calibri" w:hAnsi="Palatino Linotype"/>
        </w:rPr>
        <w:t xml:space="preserve"> a éste, siempre y cuando el Pleno del Instituto no haya dictado resolución definitiva.</w:t>
      </w:r>
    </w:p>
    <w:p w:rsidR="006A0BBC" w:rsidRPr="00F92AE5" w:rsidRDefault="006A0BBC" w:rsidP="003D7B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lastRenderedPageBreak/>
        <w:t xml:space="preserve">Eduardo Pallares, </w:t>
      </w:r>
      <w:r w:rsidRPr="00F92AE5">
        <w:rPr>
          <w:rFonts w:ascii="Palatino Linotype" w:eastAsia="Calibri" w:hAnsi="Palatino Linotype"/>
          <w:sz w:val="24"/>
        </w:rPr>
        <w:t xml:space="preserve">en su artículo </w:t>
      </w:r>
      <w:r w:rsidRPr="00F92AE5">
        <w:rPr>
          <w:rFonts w:ascii="Palatino Linotype" w:eastAsia="Calibri" w:hAnsi="Palatino Linotype"/>
          <w:i/>
          <w:sz w:val="24"/>
        </w:rPr>
        <w:t>“La caducidad y el sobreseimiento en el amparo”</w:t>
      </w:r>
      <w:r w:rsidRPr="00F92AE5">
        <w:rPr>
          <w:rFonts w:ascii="Palatino Linotype" w:eastAsia="Calibri" w:hAnsi="Palatino Linotype"/>
          <w:sz w:val="24"/>
        </w:rPr>
        <w:t xml:space="preserve">, cita la definición de Aguilera Paz, aduciendo que se </w:t>
      </w:r>
      <w:r w:rsidRPr="00F92AE5">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F92AE5">
        <w:rPr>
          <w:rFonts w:ascii="Palatino Linotype" w:eastAsia="Calibri" w:hAnsi="Palatino Linotype"/>
          <w:sz w:val="24"/>
        </w:rPr>
        <w:t>. Asimismo, señala que existe el sobreseimiento provisional y el definitivo</w:t>
      </w:r>
      <w:r w:rsidRPr="00F92AE5">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6A0BBC" w:rsidRPr="00F92AE5" w:rsidRDefault="006A0BBC" w:rsidP="003D7B75">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t xml:space="preserve">Así, </w:t>
      </w:r>
      <w:r w:rsidRPr="00F92AE5">
        <w:rPr>
          <w:rFonts w:ascii="Palatino Linotype" w:eastAsia="Calibri" w:hAnsi="Palatino Linotype"/>
          <w:sz w:val="24"/>
        </w:rPr>
        <w:t xml:space="preserve">para la doctrina el sobreseimiento provoca que un procedimiento se suspenda o se resuelva en definitiva </w:t>
      </w:r>
      <w:r w:rsidRPr="00F92AE5">
        <w:rPr>
          <w:rFonts w:ascii="Palatino Linotype" w:eastAsia="Calibri" w:hAnsi="Palatino Linotype"/>
          <w:b/>
          <w:sz w:val="24"/>
          <w:u w:val="single"/>
        </w:rPr>
        <w:t xml:space="preserve">sin que se entre al estudio de los agravios o motivos de inconformidad. </w:t>
      </w:r>
      <w:r w:rsidRPr="00F92AE5">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6A0BBC" w:rsidRPr="00F92AE5" w:rsidRDefault="006A0BBC" w:rsidP="003D7B75">
      <w:pPr>
        <w:spacing w:line="360" w:lineRule="auto"/>
        <w:contextualSpacing/>
        <w:jc w:val="both"/>
        <w:rPr>
          <w:rFonts w:ascii="Palatino Linotype" w:eastAsia="Calibri" w:hAnsi="Palatino Linotype"/>
          <w:i/>
          <w:lang w:val="es-AR"/>
        </w:rPr>
      </w:pPr>
      <w:r w:rsidRPr="00F92AE5">
        <w:rPr>
          <w:rFonts w:ascii="Palatino Linotype" w:eastAsia="Calibri" w:hAnsi="Palatino Linotype"/>
          <w:b/>
          <w:i/>
          <w:lang w:val="es-AR"/>
        </w:rPr>
        <w:t>SOBRESEIMIENTO EN EL JUICIO DE AMPARO DIRECTO. IMPIDE EL ESTUDIO DE LAS VIOLACIONES PROCESALES PLANTEADAS EN LOS CONCEPTOS DE VIOLACIÓN. El sobreseimiento</w:t>
      </w:r>
      <w:r w:rsidRPr="00F92AE5">
        <w:rPr>
          <w:rFonts w:ascii="Palatino Linotype" w:eastAsia="Calibri" w:hAnsi="Palatino Linotype"/>
          <w:i/>
          <w:lang w:val="es-AR"/>
        </w:rPr>
        <w:t xml:space="preserve"> en el juicio de amparo directo </w:t>
      </w:r>
      <w:r w:rsidRPr="00F92AE5">
        <w:rPr>
          <w:rFonts w:ascii="Palatino Linotype" w:eastAsia="Calibri" w:hAnsi="Palatino Linotype"/>
          <w:b/>
          <w:i/>
          <w:lang w:val="es-AR"/>
        </w:rPr>
        <w:t>provoca la terminación de la controversia planteada</w:t>
      </w:r>
      <w:r w:rsidRPr="00F92AE5">
        <w:rPr>
          <w:rFonts w:ascii="Palatino Linotype" w:eastAsia="Calibri" w:hAnsi="Palatino Linotype"/>
          <w:i/>
          <w:lang w:val="es-AR"/>
        </w:rPr>
        <w:t xml:space="preserve"> por el quejoso en la demanda de amparo</w:t>
      </w:r>
      <w:r w:rsidRPr="00F92AE5">
        <w:rPr>
          <w:rFonts w:ascii="Palatino Linotype" w:eastAsia="Calibri" w:hAnsi="Palatino Linotype"/>
          <w:b/>
          <w:i/>
          <w:lang w:val="es-AR"/>
        </w:rPr>
        <w:t>, sin hacer un pronunciamiento de fondo sobre la legalidad o ilegalidad de la sentencia reclamada</w:t>
      </w:r>
      <w:r w:rsidRPr="00F92AE5">
        <w:rPr>
          <w:rFonts w:ascii="Palatino Linotype" w:eastAsia="Calibri" w:hAnsi="Palatino Linotype"/>
          <w:i/>
          <w:lang w:val="es-AR"/>
        </w:rPr>
        <w:t xml:space="preserve">. </w:t>
      </w:r>
      <w:r w:rsidRPr="00F92AE5">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92AE5">
        <w:rPr>
          <w:rFonts w:ascii="Palatino Linotype" w:eastAsia="Calibri" w:hAnsi="Palatino Linotype"/>
          <w:i/>
          <w:lang w:val="es-AR"/>
        </w:rPr>
        <w:t>.</w:t>
      </w:r>
    </w:p>
    <w:p w:rsidR="006A0BBC" w:rsidRPr="00F92AE5" w:rsidRDefault="006A0BBC" w:rsidP="003D7B75">
      <w:pPr>
        <w:spacing w:line="360" w:lineRule="auto"/>
        <w:contextualSpacing/>
        <w:jc w:val="both"/>
        <w:rPr>
          <w:rFonts w:ascii="Palatino Linotype" w:eastAsia="Calibri" w:hAnsi="Palatino Linotype"/>
          <w:i/>
          <w:lang w:val="es-AR"/>
        </w:rPr>
      </w:pPr>
      <w:r w:rsidRPr="00F92AE5">
        <w:rPr>
          <w:rFonts w:ascii="Palatino Linotype" w:eastAsia="Calibri" w:hAnsi="Palatino Linotype"/>
          <w:i/>
          <w:lang w:val="es-AR"/>
        </w:rPr>
        <w:t>SÉPTIMO TRIBUNAL COLEGIADO EN MATERIA CIVIL DEL PRIMER CIRCUITO.</w:t>
      </w:r>
    </w:p>
    <w:p w:rsidR="006A0BBC" w:rsidRPr="00F92AE5" w:rsidRDefault="006A0BBC" w:rsidP="003D7B75">
      <w:pPr>
        <w:spacing w:line="360" w:lineRule="auto"/>
        <w:contextualSpacing/>
        <w:jc w:val="both"/>
        <w:rPr>
          <w:rFonts w:ascii="Palatino Linotype" w:eastAsia="Calibri" w:hAnsi="Palatino Linotype"/>
          <w:b/>
          <w:i/>
          <w:lang w:val="es-AR"/>
        </w:rPr>
      </w:pPr>
      <w:r w:rsidRPr="00F92AE5">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6A0BBC" w:rsidRPr="00F92AE5" w:rsidRDefault="006A0BBC" w:rsidP="003D7B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cs="Arial"/>
          <w:color w:val="000000" w:themeColor="text1"/>
          <w:sz w:val="24"/>
          <w:lang w:val="es-ES"/>
        </w:rPr>
        <w:lastRenderedPageBreak/>
        <w:t xml:space="preserve">Consecuentemente, </w:t>
      </w:r>
      <w:r w:rsidRPr="00F92AE5">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A0BBC" w:rsidRPr="00F92AE5" w:rsidRDefault="006A0BBC" w:rsidP="003D7B75">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A0BBC" w:rsidRPr="00F92AE5" w:rsidRDefault="006A0BBC" w:rsidP="003D7B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F92AE5">
        <w:rPr>
          <w:rFonts w:ascii="Palatino Linotype" w:eastAsia="Calibri" w:hAnsi="Palatino Linotype"/>
          <w:sz w:val="24"/>
        </w:rPr>
        <w:t xml:space="preserve">Bajo </w:t>
      </w:r>
      <w:r w:rsidRPr="00F92AE5">
        <w:rPr>
          <w:rFonts w:ascii="Palatino Linotype" w:eastAsia="Calibri" w:hAnsi="Palatino Linotype"/>
          <w:sz w:val="24"/>
          <w:lang w:val="es-CO"/>
        </w:rPr>
        <w:t xml:space="preserve">ese tenor y en términos del artículo 186 fracción I este Pleno determina el </w:t>
      </w:r>
      <w:r w:rsidRPr="00F92AE5">
        <w:rPr>
          <w:rFonts w:ascii="Palatino Linotype" w:eastAsia="Calibri" w:hAnsi="Palatino Linotype"/>
          <w:b/>
          <w:sz w:val="24"/>
          <w:lang w:val="es-CO"/>
        </w:rPr>
        <w:t xml:space="preserve">SOBRESEIMIENTO </w:t>
      </w:r>
      <w:r w:rsidRPr="00F92AE5">
        <w:rPr>
          <w:rFonts w:ascii="Palatino Linotype" w:eastAsia="Calibri" w:hAnsi="Palatino Linotype"/>
          <w:sz w:val="24"/>
          <w:lang w:val="es-CO"/>
        </w:rPr>
        <w:t xml:space="preserve">de los recursos de revisión </w:t>
      </w:r>
      <w:r w:rsidR="00EC16D7" w:rsidRPr="00F92AE5">
        <w:rPr>
          <w:rFonts w:ascii="Palatino Linotype" w:hAnsi="Palatino Linotype" w:cs="Arial"/>
          <w:b/>
          <w:bCs/>
          <w:sz w:val="24"/>
        </w:rPr>
        <w:t>04968</w:t>
      </w:r>
      <w:r w:rsidRPr="00F92AE5">
        <w:rPr>
          <w:rFonts w:ascii="Palatino Linotype" w:hAnsi="Palatino Linotype" w:cs="Arial"/>
          <w:b/>
          <w:bCs/>
          <w:sz w:val="24"/>
        </w:rPr>
        <w:t>/INFOEM/IP/RR</w:t>
      </w:r>
      <w:r w:rsidR="00EC16D7" w:rsidRPr="00F92AE5">
        <w:rPr>
          <w:rFonts w:ascii="Palatino Linotype" w:hAnsi="Palatino Linotype" w:cs="Arial"/>
          <w:b/>
          <w:bCs/>
          <w:sz w:val="24"/>
        </w:rPr>
        <w:t>/2025 y 04980</w:t>
      </w:r>
      <w:r w:rsidRPr="00F92AE5">
        <w:rPr>
          <w:rFonts w:ascii="Palatino Linotype" w:hAnsi="Palatino Linotype" w:cs="Arial"/>
          <w:b/>
          <w:bCs/>
          <w:sz w:val="24"/>
        </w:rPr>
        <w:t>/INFOEM/IP/RR/2025</w:t>
      </w:r>
      <w:r w:rsidRPr="00F92AE5">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6A0BBC" w:rsidRPr="00F92AE5" w:rsidRDefault="006A0BBC" w:rsidP="003D7B75">
      <w:pPr>
        <w:pStyle w:val="Prrafodelista"/>
        <w:shd w:val="clear" w:color="auto" w:fill="FFFFFF"/>
        <w:tabs>
          <w:tab w:val="left" w:pos="284"/>
        </w:tabs>
        <w:spacing w:line="360" w:lineRule="auto"/>
        <w:ind w:left="0"/>
        <w:jc w:val="both"/>
        <w:rPr>
          <w:rFonts w:ascii="Palatino Linotype" w:hAnsi="Palatino Linotype" w:cs="Arial"/>
          <w:sz w:val="24"/>
        </w:rPr>
      </w:pPr>
    </w:p>
    <w:p w:rsidR="006A0BBC" w:rsidRPr="00F92AE5" w:rsidRDefault="006A0BBC" w:rsidP="003D7B75">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F92AE5">
        <w:rPr>
          <w:rFonts w:ascii="Palatino Linotype" w:eastAsia="Calibri" w:hAnsi="Palatino Linotype"/>
        </w:rPr>
        <w:t xml:space="preserve">Por lo anteriormente expuesto y fundado, este </w:t>
      </w:r>
      <w:r w:rsidRPr="00F92AE5">
        <w:rPr>
          <w:rFonts w:ascii="Palatino Linotype" w:eastAsia="Calibri" w:hAnsi="Palatino Linotype"/>
          <w:b/>
          <w:bCs/>
        </w:rPr>
        <w:t>ÓRGANO GARANTE</w:t>
      </w:r>
      <w:r w:rsidRPr="00F92AE5">
        <w:rPr>
          <w:rFonts w:ascii="Palatino Linotype" w:eastAsia="Calibri" w:hAnsi="Palatino Linotype"/>
        </w:rPr>
        <w:t xml:space="preserve"> emite los siguientes:</w:t>
      </w:r>
      <w:bookmarkEnd w:id="5"/>
      <w:bookmarkEnd w:id="6"/>
      <w:bookmarkEnd w:id="7"/>
      <w:bookmarkEnd w:id="8"/>
    </w:p>
    <w:p w:rsidR="006A0BBC" w:rsidRPr="00F92AE5" w:rsidRDefault="006A0BBC" w:rsidP="003D7B75">
      <w:pPr>
        <w:pStyle w:val="Sinespaciado"/>
        <w:tabs>
          <w:tab w:val="left" w:pos="284"/>
        </w:tabs>
        <w:spacing w:line="360" w:lineRule="auto"/>
        <w:contextualSpacing/>
        <w:jc w:val="both"/>
        <w:rPr>
          <w:rFonts w:ascii="Palatino Linotype" w:eastAsia="Calibri" w:hAnsi="Palatino Linotype"/>
        </w:rPr>
      </w:pPr>
    </w:p>
    <w:p w:rsidR="006A0BBC" w:rsidRPr="00F92AE5" w:rsidRDefault="006A0BBC" w:rsidP="003D7B75">
      <w:pPr>
        <w:spacing w:line="360" w:lineRule="auto"/>
        <w:jc w:val="center"/>
        <w:rPr>
          <w:rFonts w:ascii="Palatino Linotype" w:hAnsi="Palatino Linotype"/>
          <w:b/>
          <w:lang w:val="es-ES"/>
        </w:rPr>
      </w:pPr>
      <w:r w:rsidRPr="00F92AE5">
        <w:rPr>
          <w:rFonts w:ascii="Palatino Linotype" w:hAnsi="Palatino Linotype"/>
          <w:b/>
          <w:lang w:val="es-ES"/>
        </w:rPr>
        <w:t>R E S O L U T I V O S</w:t>
      </w:r>
    </w:p>
    <w:p w:rsidR="006A0BBC" w:rsidRPr="00F92AE5" w:rsidRDefault="006A0BBC" w:rsidP="003D7B75">
      <w:pPr>
        <w:pStyle w:val="Sinespaciado"/>
        <w:spacing w:line="360" w:lineRule="auto"/>
        <w:jc w:val="both"/>
        <w:rPr>
          <w:rFonts w:ascii="Palatino Linotype" w:hAnsi="Palatino Linotype"/>
        </w:rPr>
      </w:pPr>
    </w:p>
    <w:p w:rsidR="006A0BBC" w:rsidRPr="00F92AE5" w:rsidRDefault="006A0BBC" w:rsidP="003D7B75">
      <w:pPr>
        <w:spacing w:line="360" w:lineRule="auto"/>
        <w:jc w:val="both"/>
        <w:rPr>
          <w:rFonts w:ascii="Palatino Linotype" w:eastAsiaTheme="minorHAnsi" w:hAnsi="Palatino Linotype" w:cstheme="minorBidi"/>
          <w:lang w:eastAsia="en-US"/>
        </w:rPr>
      </w:pPr>
      <w:r w:rsidRPr="00F92AE5">
        <w:rPr>
          <w:rFonts w:ascii="Palatino Linotype" w:eastAsiaTheme="minorHAnsi" w:hAnsi="Palatino Linotype" w:cstheme="minorBidi"/>
          <w:b/>
          <w:lang w:eastAsia="en-US"/>
        </w:rPr>
        <w:t xml:space="preserve">PRIMERO. </w:t>
      </w:r>
      <w:r w:rsidRPr="00F92AE5">
        <w:rPr>
          <w:rFonts w:ascii="Palatino Linotype" w:eastAsia="MS Mincho" w:hAnsi="Palatino Linotype"/>
          <w:lang w:val="es-ES_tradnl" w:eastAsia="es-ES"/>
        </w:rPr>
        <w:t xml:space="preserve">Se </w:t>
      </w:r>
      <w:r w:rsidRPr="00F92AE5">
        <w:rPr>
          <w:rFonts w:ascii="Palatino Linotype" w:eastAsia="MS Mincho" w:hAnsi="Palatino Linotype"/>
          <w:b/>
          <w:lang w:val="es-ES_tradnl" w:eastAsia="es-ES"/>
        </w:rPr>
        <w:t>SOBRESEEN</w:t>
      </w:r>
      <w:r w:rsidRPr="00F92AE5">
        <w:rPr>
          <w:rFonts w:ascii="Palatino Linotype" w:eastAsia="MS Mincho" w:hAnsi="Palatino Linotype"/>
          <w:lang w:val="es-ES_tradnl" w:eastAsia="es-ES"/>
        </w:rPr>
        <w:t xml:space="preserve"> los recursos de revisión número </w:t>
      </w:r>
      <w:r w:rsidR="00EC16D7" w:rsidRPr="00F92AE5">
        <w:rPr>
          <w:rFonts w:ascii="Palatino Linotype" w:eastAsia="MS Mincho" w:hAnsi="Palatino Linotype"/>
          <w:b/>
          <w:lang w:val="es-ES_tradnl" w:eastAsia="es-ES"/>
        </w:rPr>
        <w:t>04968</w:t>
      </w:r>
      <w:r w:rsidRPr="00F92AE5">
        <w:rPr>
          <w:rFonts w:ascii="Palatino Linotype" w:eastAsia="MS Mincho" w:hAnsi="Palatino Linotype"/>
          <w:b/>
          <w:lang w:val="es-ES_tradnl" w:eastAsia="es-ES"/>
        </w:rPr>
        <w:t xml:space="preserve">/INFOEM/IP/RR/2025 </w:t>
      </w:r>
      <w:r w:rsidR="00EC16D7" w:rsidRPr="00F92AE5">
        <w:rPr>
          <w:rFonts w:ascii="Palatino Linotype" w:eastAsia="MS Mincho" w:hAnsi="Palatino Linotype"/>
          <w:b/>
          <w:lang w:val="es-ES_tradnl" w:eastAsia="es-ES"/>
        </w:rPr>
        <w:t>y 04980</w:t>
      </w:r>
      <w:r w:rsidRPr="00F92AE5">
        <w:rPr>
          <w:rFonts w:ascii="Palatino Linotype" w:eastAsia="MS Mincho" w:hAnsi="Palatino Linotype"/>
          <w:b/>
          <w:lang w:val="es-ES_tradnl" w:eastAsia="es-ES"/>
        </w:rPr>
        <w:t xml:space="preserve">/INFOEM/IP/RR/2025 </w:t>
      </w:r>
      <w:r w:rsidRPr="00F92AE5">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F92AE5">
        <w:rPr>
          <w:rFonts w:ascii="Palatino Linotype" w:eastAsia="MS Mincho" w:hAnsi="Palatino Linotype"/>
          <w:lang w:val="es-ES_tradnl" w:eastAsia="es-ES"/>
        </w:rPr>
        <w:t xml:space="preserve"> porque al </w:t>
      </w:r>
      <w:r w:rsidRPr="00F92AE5">
        <w:rPr>
          <w:rFonts w:ascii="Palatino Linotype" w:eastAsia="MS Mincho" w:hAnsi="Palatino Linotype"/>
          <w:b/>
          <w:bCs/>
          <w:lang w:val="es-ES_tradnl" w:eastAsia="es-ES"/>
        </w:rPr>
        <w:t>modificar las respuestas a través del informe justificado y atender lo solicitado</w:t>
      </w:r>
      <w:r w:rsidRPr="00F92AE5">
        <w:rPr>
          <w:rFonts w:ascii="Palatino Linotype" w:eastAsia="MS Mincho" w:hAnsi="Palatino Linotype"/>
          <w:lang w:val="es-ES_tradnl" w:eastAsia="es-ES"/>
        </w:rPr>
        <w:t xml:space="preserve">, el recurso de revisión quedó sin materia en términos del Considerando </w:t>
      </w:r>
      <w:r w:rsidRPr="00F92AE5">
        <w:rPr>
          <w:rFonts w:ascii="Palatino Linotype" w:eastAsia="MS Mincho" w:hAnsi="Palatino Linotype"/>
          <w:b/>
          <w:lang w:val="es-ES_tradnl" w:eastAsia="es-ES"/>
        </w:rPr>
        <w:t>TERCERO</w:t>
      </w:r>
      <w:r w:rsidRPr="00F92AE5">
        <w:rPr>
          <w:rFonts w:ascii="Palatino Linotype" w:eastAsia="MS Mincho" w:hAnsi="Palatino Linotype"/>
          <w:lang w:val="es-ES_tradnl" w:eastAsia="es-ES"/>
        </w:rPr>
        <w:t xml:space="preserve"> de la presente resolución.</w:t>
      </w:r>
    </w:p>
    <w:p w:rsidR="006A0BBC" w:rsidRPr="00F92AE5" w:rsidRDefault="006A0BBC" w:rsidP="003D7B75">
      <w:pPr>
        <w:spacing w:line="360" w:lineRule="auto"/>
        <w:jc w:val="both"/>
        <w:rPr>
          <w:rFonts w:ascii="Palatino Linotype" w:eastAsiaTheme="minorHAnsi" w:hAnsi="Palatino Linotype" w:cstheme="minorBidi"/>
          <w:lang w:eastAsia="en-US"/>
        </w:rPr>
      </w:pPr>
    </w:p>
    <w:p w:rsidR="006A0BBC" w:rsidRPr="00F92AE5" w:rsidRDefault="003D7B75" w:rsidP="003D7B75">
      <w:pPr>
        <w:spacing w:line="360" w:lineRule="auto"/>
        <w:jc w:val="both"/>
        <w:rPr>
          <w:rFonts w:ascii="Palatino Linotype" w:eastAsia="Calibri" w:hAnsi="Palatino Linotype" w:cs="Arial"/>
          <w:b/>
          <w:bCs/>
          <w:lang w:val="es-ES" w:eastAsia="en-US"/>
        </w:rPr>
      </w:pPr>
      <w:r w:rsidRPr="00F92AE5">
        <w:rPr>
          <w:rFonts w:ascii="Palatino Linotype" w:eastAsia="Calibri" w:hAnsi="Palatino Linotype" w:cs="Arial"/>
          <w:b/>
          <w:bCs/>
          <w:lang w:val="es-ES" w:eastAsia="en-US"/>
        </w:rPr>
        <w:t>SEGUNDO. Notifíquese</w:t>
      </w:r>
      <w:r w:rsidR="006A0BBC" w:rsidRPr="00F92AE5">
        <w:rPr>
          <w:rFonts w:ascii="Palatino Linotype" w:eastAsia="Calibri" w:hAnsi="Palatino Linotype" w:cs="Arial"/>
          <w:b/>
          <w:bCs/>
          <w:lang w:val="es-ES" w:eastAsia="en-US"/>
        </w:rPr>
        <w:t xml:space="preserve"> </w:t>
      </w:r>
      <w:r w:rsidR="006A0BBC" w:rsidRPr="00F92AE5">
        <w:rPr>
          <w:rFonts w:ascii="Palatino Linotype" w:eastAsia="Calibri" w:hAnsi="Palatino Linotype" w:cs="Arial"/>
          <w:bCs/>
          <w:lang w:val="es-ES" w:eastAsia="en-US"/>
        </w:rPr>
        <w:t xml:space="preserve">a través del Sistema de Acceso a la Información Mexiquense </w:t>
      </w:r>
      <w:r w:rsidR="006A0BBC" w:rsidRPr="00F92AE5">
        <w:rPr>
          <w:rFonts w:ascii="Palatino Linotype" w:eastAsia="Calibri" w:hAnsi="Palatino Linotype" w:cs="Arial"/>
          <w:b/>
          <w:bCs/>
          <w:lang w:val="es-ES" w:eastAsia="en-US"/>
        </w:rPr>
        <w:t xml:space="preserve">(SAIMEX) </w:t>
      </w:r>
      <w:r w:rsidR="006A0BBC" w:rsidRPr="00F92AE5">
        <w:rPr>
          <w:rFonts w:ascii="Palatino Linotype" w:eastAsia="Calibri" w:hAnsi="Palatino Linotype" w:cs="Arial"/>
          <w:bCs/>
          <w:lang w:val="es-ES" w:eastAsia="en-US"/>
        </w:rPr>
        <w:t>la presente resolución al Titular de la Unidad de Transparencia del</w:t>
      </w:r>
      <w:r w:rsidR="006A0BBC" w:rsidRPr="00F92AE5">
        <w:rPr>
          <w:rFonts w:ascii="Palatino Linotype" w:eastAsia="Calibri" w:hAnsi="Palatino Linotype" w:cs="Arial"/>
          <w:b/>
          <w:bCs/>
          <w:lang w:val="es-ES" w:eastAsia="en-US"/>
        </w:rPr>
        <w:t xml:space="preserve"> SUJETO OBLIGADO. </w:t>
      </w:r>
    </w:p>
    <w:p w:rsidR="006A0BBC" w:rsidRPr="00F92AE5" w:rsidRDefault="006A0BBC" w:rsidP="003D7B75">
      <w:pPr>
        <w:tabs>
          <w:tab w:val="left" w:pos="3263"/>
        </w:tabs>
        <w:spacing w:line="360" w:lineRule="auto"/>
        <w:jc w:val="both"/>
        <w:rPr>
          <w:rFonts w:ascii="Palatino Linotype" w:eastAsia="Palatino Linotype" w:hAnsi="Palatino Linotype" w:cs="Palatino Linotype"/>
          <w:b/>
          <w:lang w:eastAsia="en-US"/>
        </w:rPr>
      </w:pPr>
      <w:r w:rsidRPr="00F92AE5">
        <w:rPr>
          <w:rFonts w:ascii="Palatino Linotype" w:eastAsia="Palatino Linotype" w:hAnsi="Palatino Linotype" w:cs="Palatino Linotype"/>
          <w:b/>
          <w:lang w:eastAsia="en-US"/>
        </w:rPr>
        <w:tab/>
      </w:r>
    </w:p>
    <w:p w:rsidR="006A0BBC" w:rsidRPr="00F92AE5" w:rsidRDefault="006A0BBC" w:rsidP="003D7B75">
      <w:pPr>
        <w:spacing w:line="360" w:lineRule="auto"/>
        <w:jc w:val="both"/>
        <w:rPr>
          <w:rFonts w:ascii="Palatino Linotype" w:hAnsi="Palatino Linotype"/>
          <w:color w:val="222222"/>
          <w:lang w:val="es-ES"/>
        </w:rPr>
      </w:pPr>
      <w:r w:rsidRPr="00F92AE5">
        <w:rPr>
          <w:rFonts w:ascii="Palatino Linotype" w:hAnsi="Palatino Linotype" w:cs="Arial"/>
          <w:b/>
          <w:lang w:eastAsia="en-US"/>
        </w:rPr>
        <w:lastRenderedPageBreak/>
        <w:t xml:space="preserve">TERCERO. </w:t>
      </w:r>
      <w:r w:rsidRPr="00F92AE5">
        <w:rPr>
          <w:rFonts w:ascii="Palatino Linotype" w:hAnsi="Palatino Linotype"/>
          <w:b/>
          <w:bCs/>
          <w:lang w:val="es-ES" w:eastAsia="en-US"/>
        </w:rPr>
        <w:t xml:space="preserve">Notifíquese </w:t>
      </w:r>
      <w:r w:rsidRPr="00F92AE5">
        <w:rPr>
          <w:rFonts w:ascii="Palatino Linotype" w:hAnsi="Palatino Linotype"/>
          <w:bCs/>
          <w:lang w:val="es-ES" w:eastAsia="en-US"/>
        </w:rPr>
        <w:t xml:space="preserve">al </w:t>
      </w:r>
      <w:r w:rsidRPr="00F92AE5">
        <w:rPr>
          <w:rFonts w:ascii="Palatino Linotype" w:hAnsi="Palatino Linotype"/>
          <w:b/>
          <w:bCs/>
          <w:lang w:val="es-ES" w:eastAsia="en-US"/>
        </w:rPr>
        <w:t>RECURRENTE</w:t>
      </w:r>
      <w:r w:rsidRPr="00F92AE5">
        <w:rPr>
          <w:rFonts w:ascii="Palatino Linotype" w:eastAsiaTheme="minorHAnsi" w:hAnsi="Palatino Linotype" w:cstheme="minorBidi"/>
          <w:lang w:eastAsia="en-US"/>
        </w:rPr>
        <w:t xml:space="preserve"> </w:t>
      </w:r>
      <w:r w:rsidRPr="00F92AE5">
        <w:rPr>
          <w:rFonts w:ascii="Palatino Linotype" w:hAnsi="Palatino Linotype"/>
          <w:lang w:val="es-ES"/>
        </w:rPr>
        <w:t>la presente resolución vía SAIMEX.</w:t>
      </w:r>
    </w:p>
    <w:p w:rsidR="006A0BBC" w:rsidRPr="00F92AE5" w:rsidRDefault="006A0BBC" w:rsidP="003D7B75">
      <w:pPr>
        <w:spacing w:line="360" w:lineRule="auto"/>
        <w:jc w:val="both"/>
        <w:rPr>
          <w:rFonts w:ascii="Palatino Linotype" w:hAnsi="Palatino Linotype"/>
          <w:color w:val="222222"/>
          <w:lang w:val="es-ES"/>
        </w:rPr>
      </w:pPr>
    </w:p>
    <w:p w:rsidR="006A0BBC" w:rsidRPr="00F92AE5" w:rsidRDefault="006A0BBC" w:rsidP="003D7B75">
      <w:pPr>
        <w:spacing w:line="360" w:lineRule="auto"/>
        <w:jc w:val="both"/>
        <w:rPr>
          <w:rFonts w:ascii="Palatino Linotype" w:eastAsia="MS Mincho" w:hAnsi="Palatino Linotype"/>
          <w:lang w:val="es-ES" w:eastAsia="es-ES"/>
        </w:rPr>
      </w:pPr>
      <w:r w:rsidRPr="00F92AE5">
        <w:rPr>
          <w:rFonts w:ascii="Palatino Linotype" w:eastAsia="MS Mincho" w:hAnsi="Palatino Linotype"/>
          <w:b/>
          <w:lang w:eastAsia="es-ES"/>
        </w:rPr>
        <w:t>CUARTO.</w:t>
      </w:r>
      <w:r w:rsidRPr="00F92AE5">
        <w:rPr>
          <w:rFonts w:ascii="Palatino Linotype" w:eastAsia="MS Mincho" w:hAnsi="Palatino Linotype"/>
          <w:lang w:eastAsia="es-ES"/>
        </w:rPr>
        <w:t xml:space="preserve"> </w:t>
      </w:r>
      <w:r w:rsidRPr="00F92AE5">
        <w:rPr>
          <w:rFonts w:ascii="Palatino Linotype" w:eastAsia="MS Mincho" w:hAnsi="Palatino Linotype"/>
          <w:lang w:val="es-ES" w:eastAsia="es-ES"/>
        </w:rPr>
        <w:t xml:space="preserve">Se hace del conocimiento del </w:t>
      </w:r>
      <w:r w:rsidRPr="00F92AE5">
        <w:rPr>
          <w:rFonts w:ascii="Palatino Linotype" w:hAnsi="Palatino Linotype"/>
          <w:b/>
          <w:bCs/>
          <w:lang w:val="es-ES" w:eastAsia="es-ES"/>
        </w:rPr>
        <w:t>RECURRENTE</w:t>
      </w:r>
      <w:r w:rsidRPr="00F92AE5">
        <w:rPr>
          <w:rFonts w:ascii="Palatino Linotype" w:eastAsiaTheme="minorEastAsia" w:hAnsi="Palatino Linotype" w:cstheme="minorBidi"/>
          <w:lang w:val="es-ES_tradnl" w:eastAsia="es-ES"/>
        </w:rPr>
        <w:t xml:space="preserve"> que</w:t>
      </w:r>
      <w:r w:rsidRPr="00F92AE5">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92AE5">
        <w:rPr>
          <w:rFonts w:ascii="Palatino Linotype" w:eastAsia="MS Mincho" w:hAnsi="Palatino Linotype"/>
          <w:bCs/>
          <w:lang w:val="es-ES" w:eastAsia="es-ES"/>
        </w:rPr>
        <w:t>vía juicio de amparo</w:t>
      </w:r>
      <w:r w:rsidRPr="00F92AE5">
        <w:rPr>
          <w:rFonts w:ascii="Palatino Linotype" w:eastAsia="MS Mincho" w:hAnsi="Palatino Linotype"/>
          <w:lang w:val="es-ES" w:eastAsia="es-ES"/>
        </w:rPr>
        <w:t> en los términos de las leyes aplicables.</w:t>
      </w:r>
    </w:p>
    <w:p w:rsidR="006A0BBC" w:rsidRPr="00F92AE5" w:rsidRDefault="006A0BBC" w:rsidP="003D7B75">
      <w:pPr>
        <w:spacing w:line="360" w:lineRule="auto"/>
        <w:jc w:val="both"/>
        <w:rPr>
          <w:rFonts w:ascii="Palatino Linotype" w:eastAsia="MS Mincho" w:hAnsi="Palatino Linotype"/>
          <w:lang w:val="es-ES"/>
        </w:rPr>
      </w:pPr>
    </w:p>
    <w:p w:rsidR="001D7EB6" w:rsidRPr="00444783" w:rsidRDefault="00F92AE5" w:rsidP="001D7EB6">
      <w:pPr>
        <w:spacing w:line="360" w:lineRule="auto"/>
        <w:ind w:right="49"/>
        <w:jc w:val="both"/>
        <w:rPr>
          <w:rFonts w:ascii="Palatino Linotype" w:eastAsia="Palatino Linotype" w:hAnsi="Palatino Linotype" w:cs="Palatino Linotype"/>
        </w:rPr>
      </w:pPr>
      <w:r w:rsidRPr="00F92AE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1D7EB6" w:rsidRPr="00F92AE5">
        <w:rPr>
          <w:rFonts w:ascii="Palatino Linotype" w:eastAsia="Palatino Linotype" w:hAnsi="Palatino Linotype" w:cs="Palatino Linotype"/>
        </w:rPr>
        <w:t>.</w:t>
      </w:r>
    </w:p>
    <w:p w:rsidR="006A0BBC" w:rsidRPr="003D7B75" w:rsidRDefault="006A0BBC" w:rsidP="003D7B75">
      <w:pPr>
        <w:pStyle w:val="Prrafodelista"/>
        <w:ind w:left="0"/>
        <w:rPr>
          <w:rFonts w:ascii="Palatino Linotype" w:hAnsi="Palatino Linotype" w:cs="Arial"/>
          <w:sz w:val="24"/>
          <w:lang w:val="es-ES" w:eastAsia="es-ES"/>
        </w:rPr>
      </w:pPr>
    </w:p>
    <w:p w:rsidR="006A0BBC" w:rsidRPr="003D7B75" w:rsidRDefault="006A0BBC" w:rsidP="003D7B75">
      <w:pPr>
        <w:pStyle w:val="Prrafodelista"/>
        <w:spacing w:line="360" w:lineRule="auto"/>
        <w:ind w:left="0"/>
        <w:jc w:val="both"/>
        <w:rPr>
          <w:rFonts w:ascii="Palatino Linotype" w:hAnsi="Palatino Linotype" w:cs="Arial"/>
          <w:sz w:val="24"/>
          <w:lang w:val="es-ES" w:eastAsia="es-ES"/>
        </w:rPr>
      </w:pPr>
    </w:p>
    <w:p w:rsidR="006A0BBC" w:rsidRPr="003D7B75" w:rsidRDefault="006A0BBC" w:rsidP="003D7B75">
      <w:pPr>
        <w:pStyle w:val="Prrafodelista"/>
        <w:spacing w:line="360" w:lineRule="auto"/>
        <w:ind w:left="0"/>
        <w:jc w:val="both"/>
        <w:rPr>
          <w:rFonts w:ascii="Palatino Linotype" w:hAnsi="Palatino Linotype" w:cs="Arial"/>
          <w:sz w:val="24"/>
          <w:lang w:val="es-ES" w:eastAsia="es-ES"/>
        </w:rPr>
      </w:pPr>
    </w:p>
    <w:p w:rsidR="006A0BBC" w:rsidRPr="003D7B75" w:rsidRDefault="006A0BBC" w:rsidP="003D7B75">
      <w:pPr>
        <w:pStyle w:val="Prrafodelista"/>
        <w:spacing w:line="360" w:lineRule="auto"/>
        <w:ind w:left="0"/>
        <w:jc w:val="both"/>
        <w:rPr>
          <w:rFonts w:ascii="Palatino Linotype" w:hAnsi="Palatino Linotype" w:cs="Arial"/>
          <w:sz w:val="24"/>
          <w:lang w:val="es-ES" w:eastAsia="es-ES"/>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6A0BBC" w:rsidRPr="003D7B75" w:rsidRDefault="006A0BBC" w:rsidP="003D7B75">
      <w:pPr>
        <w:rPr>
          <w:rFonts w:ascii="Palatino Linotype" w:hAnsi="Palatino Linotype"/>
        </w:rPr>
      </w:pPr>
    </w:p>
    <w:p w:rsidR="00E827E1" w:rsidRDefault="00E827E1" w:rsidP="003D7B75">
      <w:pPr>
        <w:rPr>
          <w:rFonts w:ascii="Palatino Linotype" w:hAnsi="Palatino Linotype"/>
        </w:rPr>
      </w:pPr>
    </w:p>
    <w:p w:rsidR="001D7EB6" w:rsidRDefault="001D7EB6" w:rsidP="003D7B75">
      <w:pPr>
        <w:rPr>
          <w:rFonts w:ascii="Palatino Linotype" w:hAnsi="Palatino Linotype"/>
        </w:rPr>
      </w:pPr>
    </w:p>
    <w:p w:rsidR="001D7EB6" w:rsidRDefault="001D7EB6" w:rsidP="003D7B75">
      <w:pPr>
        <w:rPr>
          <w:rFonts w:ascii="Palatino Linotype" w:hAnsi="Palatino Linotype"/>
        </w:rPr>
      </w:pPr>
    </w:p>
    <w:p w:rsidR="001D7EB6" w:rsidRDefault="001D7EB6" w:rsidP="003D7B75">
      <w:pPr>
        <w:rPr>
          <w:rFonts w:ascii="Palatino Linotype" w:hAnsi="Palatino Linotype"/>
        </w:rPr>
      </w:pPr>
    </w:p>
    <w:p w:rsidR="001D7EB6" w:rsidRDefault="001D7EB6" w:rsidP="003D7B75">
      <w:pPr>
        <w:rPr>
          <w:rFonts w:ascii="Palatino Linotype" w:hAnsi="Palatino Linotype"/>
        </w:rPr>
      </w:pPr>
    </w:p>
    <w:p w:rsidR="001D7EB6" w:rsidRDefault="001D7EB6" w:rsidP="003D7B75">
      <w:pPr>
        <w:rPr>
          <w:rFonts w:ascii="Palatino Linotype" w:hAnsi="Palatino Linotype"/>
        </w:rPr>
      </w:pPr>
    </w:p>
    <w:p w:rsidR="001D7EB6" w:rsidRDefault="001D7EB6" w:rsidP="003D7B75">
      <w:pPr>
        <w:rPr>
          <w:rFonts w:ascii="Palatino Linotype" w:hAnsi="Palatino Linotype"/>
        </w:rPr>
      </w:pPr>
    </w:p>
    <w:p w:rsidR="001D7EB6" w:rsidRPr="003D7B75" w:rsidRDefault="001D7EB6" w:rsidP="003D7B75">
      <w:pPr>
        <w:rPr>
          <w:rFonts w:ascii="Palatino Linotype" w:hAnsi="Palatino Linotype"/>
        </w:rPr>
      </w:pPr>
    </w:p>
    <w:sectPr w:rsidR="001D7EB6" w:rsidRPr="003D7B75" w:rsidSect="004236F8">
      <w:headerReference w:type="even" r:id="rId19"/>
      <w:headerReference w:type="default" r:id="rId20"/>
      <w:footerReference w:type="default" r:id="rId21"/>
      <w:headerReference w:type="first" r:id="rId22"/>
      <w:footerReference w:type="first" r:id="rId2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B33" w:rsidRDefault="00EB3B33" w:rsidP="006A0BBC">
      <w:r>
        <w:separator/>
      </w:r>
    </w:p>
  </w:endnote>
  <w:endnote w:type="continuationSeparator" w:id="0">
    <w:p w:rsidR="00EB3B33" w:rsidRDefault="00EB3B33" w:rsidP="006A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36" w:rsidRDefault="00B85336">
    <w:pPr>
      <w:pStyle w:val="Piedepgina"/>
      <w:jc w:val="right"/>
    </w:pPr>
    <w:r>
      <w:rPr>
        <w:lang w:val="es-ES"/>
      </w:rPr>
      <w:t xml:space="preserve">Página </w:t>
    </w:r>
    <w:r>
      <w:rPr>
        <w:b/>
        <w:bCs/>
      </w:rPr>
      <w:fldChar w:fldCharType="begin"/>
    </w:r>
    <w:r>
      <w:rPr>
        <w:b/>
        <w:bCs/>
      </w:rPr>
      <w:instrText>PAGE</w:instrText>
    </w:r>
    <w:r>
      <w:rPr>
        <w:b/>
        <w:bCs/>
      </w:rPr>
      <w:fldChar w:fldCharType="separate"/>
    </w:r>
    <w:r w:rsidR="003A6920">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6920">
      <w:rPr>
        <w:b/>
        <w:bCs/>
        <w:noProof/>
      </w:rPr>
      <w:t>30</w:t>
    </w:r>
    <w:r>
      <w:rPr>
        <w:b/>
        <w:bCs/>
      </w:rPr>
      <w:fldChar w:fldCharType="end"/>
    </w:r>
  </w:p>
  <w:p w:rsidR="00B85336" w:rsidRDefault="00B853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36" w:rsidRDefault="00B85336">
    <w:pPr>
      <w:pStyle w:val="Piedepgina"/>
      <w:jc w:val="right"/>
    </w:pPr>
    <w:r>
      <w:rPr>
        <w:lang w:val="es-ES"/>
      </w:rPr>
      <w:t xml:space="preserve">Página </w:t>
    </w:r>
    <w:r>
      <w:rPr>
        <w:b/>
        <w:bCs/>
      </w:rPr>
      <w:fldChar w:fldCharType="begin"/>
    </w:r>
    <w:r>
      <w:rPr>
        <w:b/>
        <w:bCs/>
      </w:rPr>
      <w:instrText>PAGE</w:instrText>
    </w:r>
    <w:r>
      <w:rPr>
        <w:b/>
        <w:bCs/>
      </w:rPr>
      <w:fldChar w:fldCharType="separate"/>
    </w:r>
    <w:r w:rsidR="003A692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6920">
      <w:rPr>
        <w:b/>
        <w:bCs/>
        <w:noProof/>
      </w:rPr>
      <w:t>30</w:t>
    </w:r>
    <w:r>
      <w:rPr>
        <w:b/>
        <w:bCs/>
      </w:rPr>
      <w:fldChar w:fldCharType="end"/>
    </w:r>
  </w:p>
  <w:p w:rsidR="00B85336" w:rsidRDefault="00B853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B33" w:rsidRDefault="00EB3B33" w:rsidP="006A0BBC">
      <w:r>
        <w:separator/>
      </w:r>
    </w:p>
  </w:footnote>
  <w:footnote w:type="continuationSeparator" w:id="0">
    <w:p w:rsidR="00EB3B33" w:rsidRDefault="00EB3B33" w:rsidP="006A0BBC">
      <w:r>
        <w:continuationSeparator/>
      </w:r>
    </w:p>
  </w:footnote>
  <w:footnote w:id="1">
    <w:p w:rsidR="00B85336" w:rsidRDefault="00B85336" w:rsidP="006A0BBC">
      <w:pPr>
        <w:pStyle w:val="Textonotapie"/>
      </w:pPr>
      <w:r>
        <w:rPr>
          <w:rStyle w:val="Refdenotaalpie"/>
        </w:rPr>
        <w:footnoteRef/>
      </w:r>
      <w:r>
        <w:t xml:space="preserve"> Artículo 150. Ley de Transparencia y Acceso a la Información Pública del Estado de México y Municipios.</w:t>
      </w:r>
    </w:p>
    <w:p w:rsidR="00B85336" w:rsidRDefault="00B85336" w:rsidP="006A0BBC">
      <w:pPr>
        <w:pStyle w:val="Textonotapie"/>
      </w:pPr>
      <w:r>
        <w:t>Artículo 151. Ibídem.</w:t>
      </w:r>
    </w:p>
  </w:footnote>
  <w:footnote w:id="2">
    <w:p w:rsidR="00B85336" w:rsidRDefault="00B85336" w:rsidP="006A0BBC">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36" w:rsidRDefault="00EB3B3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B85336" w:rsidRPr="005C106F" w:rsidTr="003D7B75">
      <w:trPr>
        <w:trHeight w:val="1435"/>
      </w:trPr>
      <w:tc>
        <w:tcPr>
          <w:tcW w:w="2268" w:type="dxa"/>
          <w:shd w:val="clear" w:color="auto" w:fill="auto"/>
        </w:tcPr>
        <w:p w:rsidR="00B85336" w:rsidRPr="005C106F" w:rsidRDefault="00B85336" w:rsidP="003F4599">
          <w:pPr>
            <w:tabs>
              <w:tab w:val="right" w:pos="4273"/>
            </w:tabs>
            <w:rPr>
              <w:rFonts w:ascii="Garamond" w:eastAsia="Calibri" w:hAnsi="Garamond"/>
              <w:sz w:val="16"/>
              <w:szCs w:val="16"/>
              <w:lang w:eastAsia="en-US"/>
            </w:rPr>
          </w:pPr>
        </w:p>
      </w:tc>
      <w:tc>
        <w:tcPr>
          <w:tcW w:w="7938" w:type="dxa"/>
          <w:shd w:val="clear" w:color="auto" w:fill="auto"/>
        </w:tcPr>
        <w:tbl>
          <w:tblPr>
            <w:tblW w:w="7790" w:type="dxa"/>
            <w:tblInd w:w="459" w:type="dxa"/>
            <w:tblLayout w:type="fixed"/>
            <w:tblLook w:val="0420" w:firstRow="1" w:lastRow="0" w:firstColumn="0" w:lastColumn="0" w:noHBand="0" w:noVBand="1"/>
          </w:tblPr>
          <w:tblGrid>
            <w:gridCol w:w="2687"/>
            <w:gridCol w:w="5103"/>
          </w:tblGrid>
          <w:tr w:rsidR="00B85336" w:rsidTr="004236F8">
            <w:trPr>
              <w:trHeight w:val="150"/>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Recurso de Revisión:</w:t>
                </w:r>
              </w:p>
            </w:tc>
            <w:tc>
              <w:tcPr>
                <w:tcW w:w="5103" w:type="dxa"/>
                <w:shd w:val="clear" w:color="auto" w:fill="auto"/>
              </w:tcPr>
              <w:p w:rsidR="00B85336" w:rsidRPr="003D7B75" w:rsidRDefault="00B85336" w:rsidP="003D7B75">
                <w:pPr>
                  <w:tabs>
                    <w:tab w:val="right" w:pos="8838"/>
                  </w:tabs>
                  <w:ind w:left="-108" w:right="-102"/>
                  <w:jc w:val="both"/>
                  <w:rPr>
                    <w:rFonts w:ascii="Palatino Linotype" w:eastAsia="Calibri" w:hAnsi="Palatino Linotype" w:cs="Tahoma"/>
                    <w:bCs/>
                    <w:lang w:val="es-ES" w:eastAsia="en-US"/>
                  </w:rPr>
                </w:pPr>
                <w:r w:rsidRPr="003D7B75">
                  <w:rPr>
                    <w:rFonts w:ascii="Palatino Linotype" w:eastAsia="Calibri" w:hAnsi="Palatino Linotype" w:cs="Tahoma"/>
                    <w:bCs/>
                    <w:lang w:eastAsia="en-US"/>
                  </w:rPr>
                  <w:t>04968/INFOEM/IP/RR/2025 y Acumulado</w:t>
                </w:r>
              </w:p>
            </w:tc>
          </w:tr>
          <w:tr w:rsidR="00B85336" w:rsidTr="004236F8">
            <w:trPr>
              <w:trHeight w:val="295"/>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Sujeto Obligado:</w:t>
                </w:r>
              </w:p>
            </w:tc>
            <w:tc>
              <w:tcPr>
                <w:tcW w:w="5103" w:type="dxa"/>
                <w:shd w:val="clear" w:color="auto" w:fill="auto"/>
              </w:tcPr>
              <w:p w:rsidR="00B85336" w:rsidRPr="003D7B75" w:rsidRDefault="00B85336" w:rsidP="003D7B75">
                <w:pPr>
                  <w:tabs>
                    <w:tab w:val="left" w:pos="2834"/>
                    <w:tab w:val="right" w:pos="8838"/>
                  </w:tabs>
                  <w:ind w:left="-108" w:right="-102"/>
                  <w:jc w:val="both"/>
                  <w:rPr>
                    <w:rFonts w:ascii="Palatino Linotype" w:eastAsia="Calibri" w:hAnsi="Palatino Linotype" w:cs="Tahoma"/>
                    <w:lang w:val="es-ES" w:eastAsia="en-US"/>
                  </w:rPr>
                </w:pPr>
                <w:r w:rsidRPr="003D7B75">
                  <w:rPr>
                    <w:rFonts w:ascii="Palatino Linotype" w:eastAsia="Calibri" w:hAnsi="Palatino Linotype" w:cs="Tahoma"/>
                    <w:bCs/>
                    <w:lang w:eastAsia="en-US"/>
                  </w:rPr>
                  <w:t>Ayuntamiento de Ecatepec de Morelos</w:t>
                </w:r>
              </w:p>
            </w:tc>
          </w:tr>
          <w:tr w:rsidR="00B85336" w:rsidTr="004236F8">
            <w:trPr>
              <w:trHeight w:val="295"/>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Comisionado ponente:</w:t>
                </w:r>
              </w:p>
            </w:tc>
            <w:tc>
              <w:tcPr>
                <w:tcW w:w="5103" w:type="dxa"/>
                <w:shd w:val="clear" w:color="auto" w:fill="auto"/>
              </w:tcPr>
              <w:p w:rsidR="00B85336" w:rsidRPr="003D7B75" w:rsidRDefault="00B85336" w:rsidP="003D7B75">
                <w:pPr>
                  <w:tabs>
                    <w:tab w:val="right" w:pos="8838"/>
                  </w:tabs>
                  <w:ind w:left="-108" w:right="171"/>
                  <w:jc w:val="both"/>
                  <w:rPr>
                    <w:rFonts w:ascii="Palatino Linotype" w:eastAsia="Calibri" w:hAnsi="Palatino Linotype" w:cs="Tahoma"/>
                    <w:lang w:val="es-ES" w:eastAsia="en-US"/>
                  </w:rPr>
                </w:pPr>
                <w:r w:rsidRPr="003D7B75">
                  <w:rPr>
                    <w:rFonts w:ascii="Palatino Linotype" w:eastAsia="Calibri" w:hAnsi="Palatino Linotype" w:cs="Tahoma"/>
                    <w:lang w:val="es-ES" w:eastAsia="en-US"/>
                  </w:rPr>
                  <w:t>María del Rosario Mejía Ayala</w:t>
                </w:r>
              </w:p>
              <w:p w:rsidR="00B85336" w:rsidRPr="003D7B75" w:rsidRDefault="00B85336" w:rsidP="003D7B75">
                <w:pPr>
                  <w:tabs>
                    <w:tab w:val="right" w:pos="8838"/>
                  </w:tabs>
                  <w:ind w:left="-108" w:right="171"/>
                  <w:jc w:val="both"/>
                  <w:rPr>
                    <w:rFonts w:ascii="Palatino Linotype" w:eastAsia="Calibri" w:hAnsi="Palatino Linotype" w:cs="Tahoma"/>
                    <w:b/>
                    <w:lang w:val="es-ES" w:eastAsia="en-US"/>
                  </w:rPr>
                </w:pPr>
              </w:p>
            </w:tc>
          </w:tr>
        </w:tbl>
        <w:p w:rsidR="00B85336" w:rsidRPr="005C106F" w:rsidRDefault="00B85336" w:rsidP="003F4599">
          <w:pPr>
            <w:tabs>
              <w:tab w:val="right" w:pos="8838"/>
            </w:tabs>
            <w:ind w:left="-28"/>
            <w:jc w:val="both"/>
            <w:rPr>
              <w:rFonts w:ascii="Arial" w:eastAsia="Calibri" w:hAnsi="Arial" w:cs="Arial"/>
              <w:b/>
              <w:sz w:val="22"/>
              <w:szCs w:val="22"/>
              <w:lang w:eastAsia="en-US"/>
            </w:rPr>
          </w:pPr>
        </w:p>
      </w:tc>
    </w:tr>
  </w:tbl>
  <w:p w:rsidR="00B85336" w:rsidRPr="00443C6B" w:rsidRDefault="00EB3B33" w:rsidP="003F459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2268"/>
      <w:gridCol w:w="8364"/>
    </w:tblGrid>
    <w:tr w:rsidR="00B85336" w:rsidRPr="00330DA7" w:rsidTr="003D7B75">
      <w:trPr>
        <w:trHeight w:val="1435"/>
      </w:trPr>
      <w:tc>
        <w:tcPr>
          <w:tcW w:w="2268" w:type="dxa"/>
          <w:shd w:val="clear" w:color="auto" w:fill="auto"/>
        </w:tcPr>
        <w:p w:rsidR="00B85336" w:rsidRPr="00330DA7" w:rsidRDefault="00B85336" w:rsidP="003F4599">
          <w:pPr>
            <w:tabs>
              <w:tab w:val="right" w:pos="4273"/>
            </w:tabs>
            <w:rPr>
              <w:rFonts w:ascii="Garamond" w:eastAsia="Calibri" w:hAnsi="Garamond"/>
              <w:sz w:val="22"/>
              <w:szCs w:val="22"/>
              <w:lang w:eastAsia="en-US"/>
            </w:rPr>
          </w:pPr>
        </w:p>
      </w:tc>
      <w:tc>
        <w:tcPr>
          <w:tcW w:w="8364" w:type="dxa"/>
          <w:shd w:val="clear" w:color="auto" w:fill="auto"/>
        </w:tcPr>
        <w:tbl>
          <w:tblPr>
            <w:tblW w:w="7932" w:type="dxa"/>
            <w:tblInd w:w="318" w:type="dxa"/>
            <w:tblLayout w:type="fixed"/>
            <w:tblLook w:val="0420" w:firstRow="1" w:lastRow="0" w:firstColumn="0" w:lastColumn="0" w:noHBand="0" w:noVBand="1"/>
          </w:tblPr>
          <w:tblGrid>
            <w:gridCol w:w="2687"/>
            <w:gridCol w:w="5245"/>
          </w:tblGrid>
          <w:tr w:rsidR="00B85336" w:rsidRPr="00330DA7" w:rsidTr="004236F8">
            <w:trPr>
              <w:trHeight w:val="144"/>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Recurso de Revisión:</w:t>
                </w:r>
              </w:p>
            </w:tc>
            <w:tc>
              <w:tcPr>
                <w:tcW w:w="5245" w:type="dxa"/>
                <w:shd w:val="clear" w:color="auto" w:fill="auto"/>
              </w:tcPr>
              <w:p w:rsidR="00B85336" w:rsidRPr="003D7B75" w:rsidRDefault="00B85336" w:rsidP="003D7B75">
                <w:pPr>
                  <w:tabs>
                    <w:tab w:val="right" w:pos="8838"/>
                  </w:tabs>
                  <w:ind w:right="-105"/>
                  <w:jc w:val="both"/>
                  <w:rPr>
                    <w:rFonts w:ascii="Palatino Linotype" w:eastAsia="Calibri" w:hAnsi="Palatino Linotype" w:cs="Tahoma"/>
                    <w:bCs/>
                    <w:lang w:val="es-ES" w:eastAsia="en-US"/>
                  </w:rPr>
                </w:pPr>
                <w:r w:rsidRPr="003D7B75">
                  <w:rPr>
                    <w:rFonts w:ascii="Palatino Linotype" w:eastAsia="Calibri" w:hAnsi="Palatino Linotype" w:cs="Tahoma"/>
                    <w:lang w:eastAsia="en-US"/>
                  </w:rPr>
                  <w:t>0496</w:t>
                </w:r>
                <w:r w:rsidR="004236F8">
                  <w:rPr>
                    <w:rFonts w:ascii="Palatino Linotype" w:eastAsia="Calibri" w:hAnsi="Palatino Linotype" w:cs="Tahoma"/>
                    <w:lang w:eastAsia="en-US"/>
                  </w:rPr>
                  <w:t>8/INFOEM/IP/RR/2025 y Acumulado</w:t>
                </w:r>
              </w:p>
            </w:tc>
          </w:tr>
          <w:tr w:rsidR="00B85336" w:rsidRPr="00330DA7" w:rsidTr="004236F8">
            <w:trPr>
              <w:trHeight w:val="144"/>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Recurrente:</w:t>
                </w:r>
              </w:p>
            </w:tc>
            <w:tc>
              <w:tcPr>
                <w:tcW w:w="5245" w:type="dxa"/>
                <w:shd w:val="clear" w:color="auto" w:fill="auto"/>
              </w:tcPr>
              <w:p w:rsidR="00B85336" w:rsidRPr="003D7B75" w:rsidRDefault="003A6920" w:rsidP="003D7B75">
                <w:pPr>
                  <w:tabs>
                    <w:tab w:val="left" w:pos="3122"/>
                    <w:tab w:val="right" w:pos="8838"/>
                  </w:tabs>
                  <w:ind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B85336" w:rsidRPr="00330DA7" w:rsidTr="004236F8">
            <w:trPr>
              <w:trHeight w:val="283"/>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Sujeto Obligado:</w:t>
                </w:r>
              </w:p>
            </w:tc>
            <w:tc>
              <w:tcPr>
                <w:tcW w:w="5245" w:type="dxa"/>
                <w:shd w:val="clear" w:color="auto" w:fill="auto"/>
              </w:tcPr>
              <w:p w:rsidR="00B85336" w:rsidRPr="003D7B75" w:rsidRDefault="00B85336" w:rsidP="003D7B75">
                <w:pPr>
                  <w:tabs>
                    <w:tab w:val="left" w:pos="2834"/>
                    <w:tab w:val="right" w:pos="8838"/>
                  </w:tabs>
                  <w:ind w:right="-105"/>
                  <w:jc w:val="both"/>
                  <w:rPr>
                    <w:rFonts w:ascii="Palatino Linotype" w:eastAsia="Calibri" w:hAnsi="Palatino Linotype" w:cs="Tahoma"/>
                    <w:lang w:val="es-ES" w:eastAsia="en-US"/>
                  </w:rPr>
                </w:pPr>
                <w:r w:rsidRPr="003D7B75">
                  <w:rPr>
                    <w:rFonts w:ascii="Palatino Linotype" w:eastAsia="Calibri" w:hAnsi="Palatino Linotype" w:cs="Tahoma"/>
                    <w:bCs/>
                    <w:lang w:eastAsia="en-US"/>
                  </w:rPr>
                  <w:t>Ayuntamiento de Ecatepec de Morelos</w:t>
                </w:r>
              </w:p>
            </w:tc>
          </w:tr>
          <w:tr w:rsidR="00B85336" w:rsidRPr="00330DA7" w:rsidTr="004236F8">
            <w:trPr>
              <w:trHeight w:val="283"/>
            </w:trPr>
            <w:tc>
              <w:tcPr>
                <w:tcW w:w="2687" w:type="dxa"/>
                <w:shd w:val="clear" w:color="auto" w:fill="auto"/>
              </w:tcPr>
              <w:p w:rsidR="00B85336" w:rsidRPr="003D7B75" w:rsidRDefault="00B85336" w:rsidP="003D7B75">
                <w:pPr>
                  <w:tabs>
                    <w:tab w:val="right" w:pos="8838"/>
                  </w:tabs>
                  <w:ind w:right="-105"/>
                  <w:rPr>
                    <w:rFonts w:ascii="Palatino Linotype" w:eastAsia="Calibri" w:hAnsi="Palatino Linotype" w:cs="Tahoma"/>
                    <w:b/>
                    <w:lang w:val="es-ES" w:eastAsia="en-US"/>
                  </w:rPr>
                </w:pPr>
                <w:r w:rsidRPr="003D7B75">
                  <w:rPr>
                    <w:rFonts w:ascii="Palatino Linotype" w:eastAsia="Calibri" w:hAnsi="Palatino Linotype" w:cs="Tahoma"/>
                    <w:b/>
                    <w:lang w:val="es-ES" w:eastAsia="en-US"/>
                  </w:rPr>
                  <w:t>Comisionado ponente:</w:t>
                </w:r>
              </w:p>
            </w:tc>
            <w:tc>
              <w:tcPr>
                <w:tcW w:w="5245" w:type="dxa"/>
                <w:shd w:val="clear" w:color="auto" w:fill="auto"/>
              </w:tcPr>
              <w:p w:rsidR="00B85336" w:rsidRPr="003D7B75" w:rsidRDefault="00B85336" w:rsidP="003D7B75">
                <w:pPr>
                  <w:tabs>
                    <w:tab w:val="right" w:pos="8838"/>
                  </w:tabs>
                  <w:ind w:right="-105"/>
                  <w:jc w:val="both"/>
                  <w:rPr>
                    <w:rFonts w:ascii="Palatino Linotype" w:eastAsia="Calibri" w:hAnsi="Palatino Linotype" w:cs="Tahoma"/>
                    <w:lang w:val="es-ES" w:eastAsia="en-US"/>
                  </w:rPr>
                </w:pPr>
                <w:r w:rsidRPr="003D7B75">
                  <w:rPr>
                    <w:rFonts w:ascii="Palatino Linotype" w:eastAsia="Calibri" w:hAnsi="Palatino Linotype" w:cs="Tahoma"/>
                    <w:lang w:val="es-ES" w:eastAsia="en-US"/>
                  </w:rPr>
                  <w:t>María del Rosario Mejía Ayala</w:t>
                </w:r>
              </w:p>
              <w:p w:rsidR="00B85336" w:rsidRPr="003D7B75" w:rsidRDefault="00B85336" w:rsidP="003D7B75">
                <w:pPr>
                  <w:tabs>
                    <w:tab w:val="right" w:pos="8838"/>
                  </w:tabs>
                  <w:ind w:right="-105"/>
                  <w:jc w:val="both"/>
                  <w:rPr>
                    <w:rFonts w:ascii="Palatino Linotype" w:eastAsia="Calibri" w:hAnsi="Palatino Linotype" w:cs="Tahoma"/>
                    <w:b/>
                    <w:lang w:val="es-ES" w:eastAsia="en-US"/>
                  </w:rPr>
                </w:pPr>
              </w:p>
            </w:tc>
          </w:tr>
        </w:tbl>
        <w:p w:rsidR="00B85336" w:rsidRPr="00330DA7" w:rsidRDefault="00B85336" w:rsidP="003F4599">
          <w:pPr>
            <w:tabs>
              <w:tab w:val="right" w:pos="8838"/>
            </w:tabs>
            <w:ind w:left="-28"/>
            <w:jc w:val="both"/>
            <w:rPr>
              <w:rFonts w:ascii="Arial" w:eastAsia="Calibri" w:hAnsi="Arial" w:cs="Arial"/>
              <w:b/>
              <w:sz w:val="22"/>
              <w:szCs w:val="22"/>
              <w:lang w:eastAsia="en-US"/>
            </w:rPr>
          </w:pPr>
        </w:p>
      </w:tc>
    </w:tr>
  </w:tbl>
  <w:p w:rsidR="00B85336" w:rsidRPr="00827FA0" w:rsidRDefault="00EB3B33" w:rsidP="003F459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601933"/>
    <w:multiLevelType w:val="multilevel"/>
    <w:tmpl w:val="CB5E7DB4"/>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4F2C0C"/>
    <w:multiLevelType w:val="hybridMultilevel"/>
    <w:tmpl w:val="25DE0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64B5C"/>
    <w:multiLevelType w:val="hybridMultilevel"/>
    <w:tmpl w:val="8CB8E9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EC4538D"/>
    <w:multiLevelType w:val="hybridMultilevel"/>
    <w:tmpl w:val="0B4E0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8B110A"/>
    <w:multiLevelType w:val="multilevel"/>
    <w:tmpl w:val="D3FE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60E4A"/>
    <w:multiLevelType w:val="hybridMultilevel"/>
    <w:tmpl w:val="6F7A0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842EE2"/>
    <w:multiLevelType w:val="hybridMultilevel"/>
    <w:tmpl w:val="81BA31E4"/>
    <w:lvl w:ilvl="0" w:tplc="5FEA305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4327D72"/>
    <w:multiLevelType w:val="multilevel"/>
    <w:tmpl w:val="C558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6"/>
  </w:num>
  <w:num w:numId="6">
    <w:abstractNumId w:val="2"/>
  </w:num>
  <w:num w:numId="7">
    <w:abstractNumId w:val="8"/>
  </w:num>
  <w:num w:numId="8">
    <w:abstractNumId w:val="7"/>
  </w:num>
  <w:num w:numId="9">
    <w:abstractNumId w:val="1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BC"/>
    <w:rsid w:val="000E626B"/>
    <w:rsid w:val="00117B9A"/>
    <w:rsid w:val="00136523"/>
    <w:rsid w:val="001D7EB6"/>
    <w:rsid w:val="0020612E"/>
    <w:rsid w:val="00394C86"/>
    <w:rsid w:val="003A6920"/>
    <w:rsid w:val="003D7B75"/>
    <w:rsid w:val="003F4599"/>
    <w:rsid w:val="004236F8"/>
    <w:rsid w:val="00501DBE"/>
    <w:rsid w:val="00521EAE"/>
    <w:rsid w:val="005A6784"/>
    <w:rsid w:val="006375CA"/>
    <w:rsid w:val="0067056A"/>
    <w:rsid w:val="006A0BBC"/>
    <w:rsid w:val="006F2CC5"/>
    <w:rsid w:val="0077692C"/>
    <w:rsid w:val="00877136"/>
    <w:rsid w:val="0099662B"/>
    <w:rsid w:val="009B091B"/>
    <w:rsid w:val="00B85336"/>
    <w:rsid w:val="00BD2986"/>
    <w:rsid w:val="00DD7052"/>
    <w:rsid w:val="00E53870"/>
    <w:rsid w:val="00E62C1B"/>
    <w:rsid w:val="00E827E1"/>
    <w:rsid w:val="00EB3B33"/>
    <w:rsid w:val="00EC16D7"/>
    <w:rsid w:val="00F73C46"/>
    <w:rsid w:val="00F92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8E73E6-514F-4622-B771-88CC5058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BBC"/>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6A0B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A0BBC"/>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6A0BBC"/>
    <w:pPr>
      <w:tabs>
        <w:tab w:val="center" w:pos="4419"/>
        <w:tab w:val="right" w:pos="8838"/>
      </w:tabs>
    </w:pPr>
  </w:style>
  <w:style w:type="character" w:customStyle="1" w:styleId="EncabezadoCar">
    <w:name w:val="Encabezado Car"/>
    <w:basedOn w:val="Fuentedeprrafopredeter"/>
    <w:link w:val="Encabezado"/>
    <w:uiPriority w:val="99"/>
    <w:rsid w:val="006A0BB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A0BBC"/>
    <w:pPr>
      <w:tabs>
        <w:tab w:val="center" w:pos="4419"/>
        <w:tab w:val="right" w:pos="8838"/>
      </w:tabs>
    </w:pPr>
  </w:style>
  <w:style w:type="character" w:customStyle="1" w:styleId="PiedepginaCar">
    <w:name w:val="Pie de página Car"/>
    <w:basedOn w:val="Fuentedeprrafopredeter"/>
    <w:link w:val="Piedepgina"/>
    <w:uiPriority w:val="99"/>
    <w:rsid w:val="006A0BB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0BB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A0BBC"/>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A0BBC"/>
    <w:rPr>
      <w:color w:val="0563C1"/>
      <w:u w:val="single"/>
    </w:rPr>
  </w:style>
  <w:style w:type="paragraph" w:styleId="Sinespaciado">
    <w:name w:val="No Spacing"/>
    <w:aliases w:val="Francesa,INAI"/>
    <w:link w:val="SinespaciadoCar"/>
    <w:uiPriority w:val="1"/>
    <w:qFormat/>
    <w:rsid w:val="006A0BB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A0BB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A0BB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A0BB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A0BBC"/>
    <w:rPr>
      <w:vertAlign w:val="superscript"/>
    </w:rPr>
  </w:style>
  <w:style w:type="paragraph" w:styleId="Listaconvietas2">
    <w:name w:val="List Bullet 2"/>
    <w:basedOn w:val="Normal"/>
    <w:uiPriority w:val="99"/>
    <w:unhideWhenUsed/>
    <w:rsid w:val="006A0BBC"/>
    <w:pPr>
      <w:numPr>
        <w:numId w:val="4"/>
      </w:numPr>
      <w:contextualSpacing/>
    </w:pPr>
    <w:rPr>
      <w:sz w:val="20"/>
      <w:szCs w:val="20"/>
    </w:rPr>
  </w:style>
  <w:style w:type="table" w:styleId="Tablaconcuadrcula">
    <w:name w:val="Table Grid"/>
    <w:basedOn w:val="Tablanormal"/>
    <w:uiPriority w:val="39"/>
    <w:rsid w:val="00B8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B853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77184">
      <w:bodyDiv w:val="1"/>
      <w:marLeft w:val="0"/>
      <w:marRight w:val="0"/>
      <w:marTop w:val="0"/>
      <w:marBottom w:val="0"/>
      <w:divBdr>
        <w:top w:val="none" w:sz="0" w:space="0" w:color="auto"/>
        <w:left w:val="none" w:sz="0" w:space="0" w:color="auto"/>
        <w:bottom w:val="none" w:sz="0" w:space="0" w:color="auto"/>
        <w:right w:val="none" w:sz="0" w:space="0" w:color="auto"/>
      </w:divBdr>
    </w:div>
    <w:div w:id="894858225">
      <w:bodyDiv w:val="1"/>
      <w:marLeft w:val="0"/>
      <w:marRight w:val="0"/>
      <w:marTop w:val="0"/>
      <w:marBottom w:val="0"/>
      <w:divBdr>
        <w:top w:val="none" w:sz="0" w:space="0" w:color="auto"/>
        <w:left w:val="none" w:sz="0" w:space="0" w:color="auto"/>
        <w:bottom w:val="none" w:sz="0" w:space="0" w:color="auto"/>
        <w:right w:val="none" w:sz="0" w:space="0" w:color="auto"/>
      </w:divBdr>
    </w:div>
    <w:div w:id="1426147718">
      <w:bodyDiv w:val="1"/>
      <w:marLeft w:val="0"/>
      <w:marRight w:val="0"/>
      <w:marTop w:val="0"/>
      <w:marBottom w:val="0"/>
      <w:divBdr>
        <w:top w:val="none" w:sz="0" w:space="0" w:color="auto"/>
        <w:left w:val="none" w:sz="0" w:space="0" w:color="auto"/>
        <w:bottom w:val="none" w:sz="0" w:space="0" w:color="auto"/>
        <w:right w:val="none" w:sz="0" w:space="0" w:color="auto"/>
      </w:divBdr>
    </w:div>
    <w:div w:id="20034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Pnt(649679);" TargetMode="External"/><Relationship Id="rId13" Type="http://schemas.openxmlformats.org/officeDocument/2006/relationships/hyperlink" Target="https://saimex.org.mx/saimex/solicitud/downloadAttach/2435795.page" TargetMode="External"/><Relationship Id="rId18" Type="http://schemas.openxmlformats.org/officeDocument/2006/relationships/hyperlink" Target="https://saimex.org.mx/saimex/solicitud/downloadAttach/2458855.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javascript:abrirAcusePnt(649682);" TargetMode="External"/><Relationship Id="rId12" Type="http://schemas.openxmlformats.org/officeDocument/2006/relationships/hyperlink" Target="https://saimex.org.mx/saimex/solicitud/downloadAttach/2427964.page" TargetMode="External"/><Relationship Id="rId17" Type="http://schemas.openxmlformats.org/officeDocument/2006/relationships/hyperlink" Target="https://saimex.org.mx/saimex/solicitud/downloadAttach/2456530.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2445348.pa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27905.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imex.org.mx/saimex/solicitud/downloadAttach/2510609.page" TargetMode="External"/><Relationship Id="rId23" Type="http://schemas.openxmlformats.org/officeDocument/2006/relationships/footer" Target="footer2.xml"/><Relationship Id="rId10" Type="http://schemas.openxmlformats.org/officeDocument/2006/relationships/hyperlink" Target="javascript:abrirAcusePnt(64968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AcusePnt(649682);" TargetMode="External"/><Relationship Id="rId14" Type="http://schemas.openxmlformats.org/officeDocument/2006/relationships/hyperlink" Target="https://saimex.org.mx/saimex/solicitud/downloadAttach/2442386.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30</Pages>
  <Words>8344</Words>
  <Characters>45892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2025-08-29T16:34:00Z</cp:lastPrinted>
  <dcterms:created xsi:type="dcterms:W3CDTF">2025-08-21T03:13:00Z</dcterms:created>
  <dcterms:modified xsi:type="dcterms:W3CDTF">2025-09-05T20:02:00Z</dcterms:modified>
</cp:coreProperties>
</file>