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BEB7" w14:textId="77777777" w:rsidR="009E197C" w:rsidRDefault="009E197C">
      <w:pPr>
        <w:widowControl w:val="0"/>
        <w:pBdr>
          <w:top w:val="nil"/>
          <w:left w:val="nil"/>
          <w:bottom w:val="nil"/>
          <w:right w:val="nil"/>
          <w:between w:val="nil"/>
        </w:pBdr>
        <w:spacing w:line="276" w:lineRule="auto"/>
      </w:pPr>
    </w:p>
    <w:p w14:paraId="65C93A43" w14:textId="77777777" w:rsidR="009E197C" w:rsidRDefault="00727B69">
      <w:pPr>
        <w:keepNext/>
        <w:keepLines/>
        <w:pBdr>
          <w:top w:val="nil"/>
          <w:left w:val="nil"/>
          <w:bottom w:val="nil"/>
          <w:right w:val="nil"/>
          <w:between w:val="nil"/>
        </w:pBdr>
        <w:spacing w:before="240" w:line="259" w:lineRule="auto"/>
        <w:rPr>
          <w:rFonts w:ascii="Palatino Linotype" w:eastAsia="Palatino Linotype" w:hAnsi="Palatino Linotype" w:cs="Palatino Linotype"/>
          <w:color w:val="2F5496"/>
          <w:sz w:val="22"/>
          <w:szCs w:val="22"/>
        </w:rPr>
      </w:pPr>
      <w:r>
        <w:rPr>
          <w:rFonts w:ascii="Palatino Linotype" w:eastAsia="Palatino Linotype" w:hAnsi="Palatino Linotype" w:cs="Palatino Linotype"/>
          <w:color w:val="2F5496"/>
          <w:sz w:val="22"/>
          <w:szCs w:val="22"/>
        </w:rPr>
        <w:t>Tabla de contenido</w:t>
      </w:r>
    </w:p>
    <w:sdt>
      <w:sdtPr>
        <w:id w:val="-699530429"/>
        <w:docPartObj>
          <w:docPartGallery w:val="Table of Contents"/>
          <w:docPartUnique/>
        </w:docPartObj>
      </w:sdtPr>
      <w:sdtContent>
        <w:p w14:paraId="73CCF6A0" w14:textId="77777777" w:rsidR="009E197C" w:rsidRDefault="00727B69">
          <w:pPr>
            <w:pBdr>
              <w:top w:val="nil"/>
              <w:left w:val="nil"/>
              <w:bottom w:val="nil"/>
              <w:right w:val="nil"/>
              <w:between w:val="nil"/>
            </w:pBdr>
            <w:tabs>
              <w:tab w:val="right" w:pos="9034"/>
            </w:tabs>
            <w:spacing w:after="100"/>
            <w:rPr>
              <w:rFonts w:ascii="Palatino Linotype" w:eastAsia="Palatino Linotype" w:hAnsi="Palatino Linotype" w:cs="Palatino Linotype"/>
              <w:color w:val="000000"/>
              <w:sz w:val="22"/>
              <w:szCs w:val="22"/>
            </w:rPr>
          </w:pPr>
          <w:r>
            <w:fldChar w:fldCharType="begin"/>
          </w:r>
          <w:r>
            <w:instrText xml:space="preserve"> TOC \h \u \z \t "Heading 1,1,Heading 2,2,Heading 3,3,"</w:instrText>
          </w:r>
          <w:r>
            <w:fldChar w:fldCharType="separate"/>
          </w:r>
          <w:hyperlink w:anchor="_heading=h.b1u0hw1m49kg">
            <w:r w:rsidR="009E197C">
              <w:rPr>
                <w:rFonts w:ascii="Palatino Linotype" w:eastAsia="Palatino Linotype" w:hAnsi="Palatino Linotype" w:cs="Palatino Linotype"/>
                <w:b/>
                <w:color w:val="000000"/>
                <w:sz w:val="22"/>
                <w:szCs w:val="22"/>
              </w:rPr>
              <w:t>A N T E C E D E N T E S</w:t>
            </w:r>
          </w:hyperlink>
          <w:hyperlink w:anchor="_heading=h.b1u0hw1m49kg">
            <w:r w:rsidR="009E197C">
              <w:rPr>
                <w:rFonts w:ascii="Palatino Linotype" w:eastAsia="Palatino Linotype" w:hAnsi="Palatino Linotype" w:cs="Palatino Linotype"/>
                <w:color w:val="000000"/>
                <w:sz w:val="22"/>
                <w:szCs w:val="22"/>
              </w:rPr>
              <w:tab/>
              <w:t>2</w:t>
            </w:r>
          </w:hyperlink>
        </w:p>
        <w:p w14:paraId="191E539C"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lpxzd5eeyh8o">
            <w:r>
              <w:rPr>
                <w:rFonts w:ascii="Palatino Linotype" w:eastAsia="Palatino Linotype" w:hAnsi="Palatino Linotype" w:cs="Palatino Linotype"/>
                <w:color w:val="000000"/>
                <w:sz w:val="22"/>
                <w:szCs w:val="22"/>
              </w:rPr>
              <w:t>I. Presentación de las solicitudes de información</w:t>
            </w:r>
            <w:r>
              <w:rPr>
                <w:rFonts w:ascii="Palatino Linotype" w:eastAsia="Palatino Linotype" w:hAnsi="Palatino Linotype" w:cs="Palatino Linotype"/>
                <w:color w:val="000000"/>
                <w:sz w:val="22"/>
                <w:szCs w:val="22"/>
              </w:rPr>
              <w:tab/>
              <w:t>2</w:t>
            </w:r>
          </w:hyperlink>
        </w:p>
        <w:p w14:paraId="3B7A4856"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riyrjxklhhqw">
            <w:r>
              <w:rPr>
                <w:rFonts w:ascii="Palatino Linotype" w:eastAsia="Palatino Linotype" w:hAnsi="Palatino Linotype" w:cs="Palatino Linotype"/>
                <w:color w:val="000000"/>
                <w:sz w:val="22"/>
                <w:szCs w:val="22"/>
              </w:rPr>
              <w:t>II. Respuestas del Sujeto Obligado</w:t>
            </w:r>
            <w:r>
              <w:rPr>
                <w:rFonts w:ascii="Palatino Linotype" w:eastAsia="Palatino Linotype" w:hAnsi="Palatino Linotype" w:cs="Palatino Linotype"/>
                <w:color w:val="000000"/>
                <w:sz w:val="22"/>
                <w:szCs w:val="22"/>
              </w:rPr>
              <w:tab/>
              <w:t>3</w:t>
            </w:r>
          </w:hyperlink>
        </w:p>
        <w:p w14:paraId="5D35DBB7"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yzzgavyhhean">
            <w:r>
              <w:rPr>
                <w:rFonts w:ascii="Palatino Linotype" w:eastAsia="Palatino Linotype" w:hAnsi="Palatino Linotype" w:cs="Palatino Linotype"/>
                <w:color w:val="000000"/>
                <w:sz w:val="22"/>
                <w:szCs w:val="22"/>
              </w:rPr>
              <w:t>III. Interposición del Recurso de Revisión</w:t>
            </w:r>
            <w:r>
              <w:rPr>
                <w:rFonts w:ascii="Palatino Linotype" w:eastAsia="Palatino Linotype" w:hAnsi="Palatino Linotype" w:cs="Palatino Linotype"/>
                <w:color w:val="000000"/>
                <w:sz w:val="22"/>
                <w:szCs w:val="22"/>
              </w:rPr>
              <w:tab/>
              <w:t>4</w:t>
            </w:r>
          </w:hyperlink>
        </w:p>
        <w:p w14:paraId="763AD877"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1gjantzem3ch">
            <w:r>
              <w:rPr>
                <w:rFonts w:ascii="Palatino Linotype" w:eastAsia="Palatino Linotype" w:hAnsi="Palatino Linotype" w:cs="Palatino Linotype"/>
                <w:color w:val="000000"/>
                <w:sz w:val="22"/>
                <w:szCs w:val="22"/>
              </w:rPr>
              <w:t>IV. Trámite del Recurso de Revisión ante el Instituto</w:t>
            </w:r>
            <w:r>
              <w:rPr>
                <w:rFonts w:ascii="Palatino Linotype" w:eastAsia="Palatino Linotype" w:hAnsi="Palatino Linotype" w:cs="Palatino Linotype"/>
                <w:color w:val="000000"/>
                <w:sz w:val="22"/>
                <w:szCs w:val="22"/>
              </w:rPr>
              <w:tab/>
              <w:t>5</w:t>
            </w:r>
          </w:hyperlink>
        </w:p>
        <w:p w14:paraId="4A8F3707" w14:textId="77777777" w:rsidR="009E197C" w:rsidRDefault="009E197C">
          <w:pPr>
            <w:pBdr>
              <w:top w:val="nil"/>
              <w:left w:val="nil"/>
              <w:bottom w:val="nil"/>
              <w:right w:val="nil"/>
              <w:between w:val="nil"/>
            </w:pBdr>
            <w:tabs>
              <w:tab w:val="right" w:pos="9034"/>
            </w:tabs>
            <w:spacing w:after="100"/>
            <w:rPr>
              <w:rFonts w:ascii="Palatino Linotype" w:eastAsia="Palatino Linotype" w:hAnsi="Palatino Linotype" w:cs="Palatino Linotype"/>
              <w:color w:val="000000"/>
              <w:sz w:val="22"/>
              <w:szCs w:val="22"/>
            </w:rPr>
          </w:pPr>
          <w:hyperlink w:anchor="_heading=h.k82qy6c7424e">
            <w:r>
              <w:rPr>
                <w:rFonts w:ascii="Palatino Linotype" w:eastAsia="Palatino Linotype" w:hAnsi="Palatino Linotype" w:cs="Palatino Linotype"/>
                <w:b/>
                <w:color w:val="000000"/>
                <w:sz w:val="22"/>
                <w:szCs w:val="22"/>
              </w:rPr>
              <w:t>C O N S I D E R A N D O S</w:t>
            </w:r>
          </w:hyperlink>
          <w:hyperlink w:anchor="_heading=h.k82qy6c7424e">
            <w:r>
              <w:rPr>
                <w:rFonts w:ascii="Palatino Linotype" w:eastAsia="Palatino Linotype" w:hAnsi="Palatino Linotype" w:cs="Palatino Linotype"/>
                <w:color w:val="000000"/>
                <w:sz w:val="22"/>
                <w:szCs w:val="22"/>
              </w:rPr>
              <w:tab/>
              <w:t>7</w:t>
            </w:r>
          </w:hyperlink>
        </w:p>
        <w:p w14:paraId="733EF3A9"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krksuij7t9z6">
            <w:r>
              <w:rPr>
                <w:rFonts w:ascii="Palatino Linotype" w:eastAsia="Palatino Linotype" w:hAnsi="Palatino Linotype" w:cs="Palatino Linotype"/>
                <w:color w:val="000000"/>
                <w:sz w:val="22"/>
                <w:szCs w:val="22"/>
              </w:rPr>
              <w:t>PRIMERO. Competencia</w:t>
            </w:r>
            <w:r>
              <w:rPr>
                <w:rFonts w:ascii="Palatino Linotype" w:eastAsia="Palatino Linotype" w:hAnsi="Palatino Linotype" w:cs="Palatino Linotype"/>
                <w:color w:val="000000"/>
                <w:sz w:val="22"/>
                <w:szCs w:val="22"/>
              </w:rPr>
              <w:tab/>
              <w:t>7</w:t>
            </w:r>
          </w:hyperlink>
        </w:p>
        <w:p w14:paraId="51169EB8"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k6hffn47tvzu">
            <w:r>
              <w:rPr>
                <w:rFonts w:ascii="Palatino Linotype" w:eastAsia="Palatino Linotype" w:hAnsi="Palatino Linotype" w:cs="Palatino Linotype"/>
                <w:color w:val="000000"/>
                <w:sz w:val="22"/>
                <w:szCs w:val="22"/>
              </w:rPr>
              <w:t>SEGUNDO. Causales de improcedencia y sobreseimiento</w:t>
            </w:r>
            <w:r>
              <w:rPr>
                <w:rFonts w:ascii="Palatino Linotype" w:eastAsia="Palatino Linotype" w:hAnsi="Palatino Linotype" w:cs="Palatino Linotype"/>
                <w:color w:val="000000"/>
                <w:sz w:val="22"/>
                <w:szCs w:val="22"/>
              </w:rPr>
              <w:tab/>
              <w:t>7</w:t>
            </w:r>
          </w:hyperlink>
        </w:p>
        <w:p w14:paraId="6BD3CA4A"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3n98chi2tui4">
            <w:r>
              <w:rPr>
                <w:rFonts w:ascii="Palatino Linotype" w:eastAsia="Palatino Linotype" w:hAnsi="Palatino Linotype" w:cs="Palatino Linotype"/>
                <w:color w:val="000000"/>
                <w:sz w:val="22"/>
                <w:szCs w:val="22"/>
              </w:rPr>
              <w:t>TERCERO. Determinación de la Controversia</w:t>
            </w:r>
            <w:r>
              <w:rPr>
                <w:rFonts w:ascii="Palatino Linotype" w:eastAsia="Palatino Linotype" w:hAnsi="Palatino Linotype" w:cs="Palatino Linotype"/>
                <w:color w:val="000000"/>
                <w:sz w:val="22"/>
                <w:szCs w:val="22"/>
              </w:rPr>
              <w:tab/>
              <w:t>9</w:t>
            </w:r>
          </w:hyperlink>
        </w:p>
        <w:p w14:paraId="370463BB"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rkrat7dump7q">
            <w:r>
              <w:rPr>
                <w:rFonts w:ascii="Palatino Linotype" w:eastAsia="Palatino Linotype" w:hAnsi="Palatino Linotype" w:cs="Palatino Linotype"/>
                <w:color w:val="000000"/>
                <w:sz w:val="22"/>
                <w:szCs w:val="22"/>
              </w:rPr>
              <w:t>CUARTO. Marco normativo aplicable en materia de transparencia y acceso a la información pública</w:t>
            </w:r>
            <w:r>
              <w:rPr>
                <w:rFonts w:ascii="Palatino Linotype" w:eastAsia="Palatino Linotype" w:hAnsi="Palatino Linotype" w:cs="Palatino Linotype"/>
                <w:color w:val="000000"/>
                <w:sz w:val="22"/>
                <w:szCs w:val="22"/>
              </w:rPr>
              <w:tab/>
              <w:t>10</w:t>
            </w:r>
          </w:hyperlink>
        </w:p>
        <w:p w14:paraId="3E72D7AC"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5pssgamxtybp">
            <w:r>
              <w:rPr>
                <w:rFonts w:ascii="Palatino Linotype" w:eastAsia="Palatino Linotype" w:hAnsi="Palatino Linotype" w:cs="Palatino Linotype"/>
                <w:color w:val="000000"/>
                <w:sz w:val="22"/>
                <w:szCs w:val="22"/>
              </w:rPr>
              <w:t>QUINTO. Estudio de Fondo</w:t>
            </w:r>
            <w:r>
              <w:rPr>
                <w:rFonts w:ascii="Palatino Linotype" w:eastAsia="Palatino Linotype" w:hAnsi="Palatino Linotype" w:cs="Palatino Linotype"/>
                <w:color w:val="000000"/>
                <w:sz w:val="22"/>
                <w:szCs w:val="22"/>
              </w:rPr>
              <w:tab/>
              <w:t>11</w:t>
            </w:r>
          </w:hyperlink>
        </w:p>
        <w:p w14:paraId="56C8BA0C" w14:textId="77777777" w:rsidR="009E197C" w:rsidRDefault="009E197C">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mnw35cs3wuu1">
            <w:r>
              <w:rPr>
                <w:rFonts w:ascii="Palatino Linotype" w:eastAsia="Palatino Linotype" w:hAnsi="Palatino Linotype" w:cs="Palatino Linotype"/>
                <w:color w:val="000000"/>
                <w:sz w:val="22"/>
                <w:szCs w:val="22"/>
              </w:rPr>
              <w:t>SEXTO. Decisión</w:t>
            </w:r>
            <w:r>
              <w:rPr>
                <w:rFonts w:ascii="Palatino Linotype" w:eastAsia="Palatino Linotype" w:hAnsi="Palatino Linotype" w:cs="Palatino Linotype"/>
                <w:color w:val="000000"/>
                <w:sz w:val="22"/>
                <w:szCs w:val="22"/>
              </w:rPr>
              <w:tab/>
              <w:t>33</w:t>
            </w:r>
          </w:hyperlink>
        </w:p>
        <w:p w14:paraId="6D965305" w14:textId="77777777" w:rsidR="009E197C" w:rsidRDefault="009E197C">
          <w:pPr>
            <w:pBdr>
              <w:top w:val="nil"/>
              <w:left w:val="nil"/>
              <w:bottom w:val="nil"/>
              <w:right w:val="nil"/>
              <w:between w:val="nil"/>
            </w:pBdr>
            <w:tabs>
              <w:tab w:val="right" w:pos="9034"/>
            </w:tabs>
            <w:spacing w:after="100"/>
            <w:rPr>
              <w:rFonts w:ascii="Palatino Linotype" w:eastAsia="Palatino Linotype" w:hAnsi="Palatino Linotype" w:cs="Palatino Linotype"/>
              <w:color w:val="000000"/>
              <w:sz w:val="22"/>
              <w:szCs w:val="22"/>
            </w:rPr>
          </w:pPr>
          <w:hyperlink w:anchor="_heading=h.lwn7g8b128ow">
            <w:r>
              <w:rPr>
                <w:rFonts w:ascii="Palatino Linotype" w:eastAsia="Palatino Linotype" w:hAnsi="Palatino Linotype" w:cs="Palatino Linotype"/>
                <w:b/>
                <w:color w:val="000000"/>
                <w:sz w:val="22"/>
                <w:szCs w:val="22"/>
              </w:rPr>
              <w:t>R E S U E L V E</w:t>
            </w:r>
          </w:hyperlink>
          <w:hyperlink w:anchor="_heading=h.lwn7g8b128ow">
            <w:r>
              <w:rPr>
                <w:rFonts w:ascii="Palatino Linotype" w:eastAsia="Palatino Linotype" w:hAnsi="Palatino Linotype" w:cs="Palatino Linotype"/>
                <w:color w:val="000000"/>
                <w:sz w:val="22"/>
                <w:szCs w:val="22"/>
              </w:rPr>
              <w:tab/>
              <w:t>34</w:t>
            </w:r>
          </w:hyperlink>
        </w:p>
        <w:p w14:paraId="3AFBDFE7" w14:textId="77777777" w:rsidR="009E197C" w:rsidRDefault="00727B69">
          <w:r>
            <w:fldChar w:fldCharType="end"/>
          </w:r>
        </w:p>
      </w:sdtContent>
    </w:sdt>
    <w:p w14:paraId="6BC968C6"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28C55530"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3561E396"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0764C078"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3F38804E" w14:textId="77777777" w:rsidR="009E197C" w:rsidRDefault="00727B69">
      <w:pPr>
        <w:spacing w:line="360" w:lineRule="auto"/>
        <w:jc w:val="both"/>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Resolución del Pleno del Instituto de Transparencia, Acceso a la Información Pública y Protección de Datos Personales del Estado de México y Municipios, con domicilio en Metepec, Estado de México, de fecha trece de agosto de dos mil veinticinco.</w:t>
      </w:r>
      <w:r>
        <w:rPr>
          <w:rFonts w:ascii="Palatino Linotype" w:eastAsia="Palatino Linotype" w:hAnsi="Palatino Linotype" w:cs="Palatino Linotype"/>
          <w:sz w:val="22"/>
          <w:szCs w:val="22"/>
        </w:rPr>
        <w:t xml:space="preserve"> </w:t>
      </w:r>
    </w:p>
    <w:p w14:paraId="759EF977"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6ED52EDB" w14:textId="77777777" w:rsidR="009E197C" w:rsidRDefault="00727B69">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 xml:space="preserve">VISTO </w:t>
      </w:r>
      <w:r>
        <w:rPr>
          <w:rFonts w:ascii="Palatino Linotype" w:eastAsia="Palatino Linotype" w:hAnsi="Palatino Linotype" w:cs="Palatino Linotype"/>
          <w:color w:val="000000"/>
          <w:sz w:val="22"/>
          <w:szCs w:val="22"/>
        </w:rPr>
        <w:t xml:space="preserve">el expediente conformado con motivo de los Recursos de Revisión </w:t>
      </w:r>
      <w:r>
        <w:rPr>
          <w:rFonts w:ascii="Palatino Linotype" w:eastAsia="Palatino Linotype" w:hAnsi="Palatino Linotype" w:cs="Palatino Linotype"/>
          <w:b/>
          <w:color w:val="000000"/>
          <w:sz w:val="22"/>
          <w:szCs w:val="22"/>
        </w:rPr>
        <w:t>05121/INFOEM/IP/RR/2025</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sz w:val="22"/>
          <w:szCs w:val="22"/>
        </w:rPr>
        <w:t xml:space="preserve">y 05122/INFOEM/IP/RR/2025 </w:t>
      </w:r>
      <w:r>
        <w:rPr>
          <w:rFonts w:ascii="Palatino Linotype" w:eastAsia="Palatino Linotype" w:hAnsi="Palatino Linotype" w:cs="Palatino Linotype"/>
          <w:color w:val="000000"/>
          <w:sz w:val="22"/>
          <w:szCs w:val="22"/>
        </w:rPr>
        <w:t xml:space="preserve">interpuestos por la persona </w:t>
      </w:r>
      <w:r>
        <w:rPr>
          <w:rFonts w:ascii="Palatino Linotype" w:eastAsia="Palatino Linotype" w:hAnsi="Palatino Linotype" w:cs="Palatino Linotype"/>
          <w:color w:val="0D0D0D"/>
          <w:sz w:val="22"/>
          <w:szCs w:val="22"/>
        </w:rPr>
        <w:t>Recurrente o Particular</w:t>
      </w:r>
      <w:r>
        <w:rPr>
          <w:rFonts w:ascii="Palatino Linotype" w:eastAsia="Palatino Linotype" w:hAnsi="Palatino Linotype" w:cs="Palatino Linotype"/>
          <w:color w:val="000000"/>
          <w:sz w:val="22"/>
          <w:szCs w:val="22"/>
        </w:rPr>
        <w:t xml:space="preserve">, en contra de las respuestas del Sujeto Obligado, </w:t>
      </w:r>
      <w:r>
        <w:rPr>
          <w:rFonts w:ascii="Palatino Linotype" w:eastAsia="Palatino Linotype" w:hAnsi="Palatino Linotype" w:cs="Palatino Linotype"/>
          <w:b/>
          <w:sz w:val="22"/>
          <w:szCs w:val="22"/>
        </w:rPr>
        <w:t>Ayuntamiento de Zinacantepec</w:t>
      </w:r>
      <w:r>
        <w:rPr>
          <w:rFonts w:ascii="Palatino Linotype" w:eastAsia="Palatino Linotype" w:hAnsi="Palatino Linotype" w:cs="Palatino Linotype"/>
          <w:color w:val="000000"/>
          <w:sz w:val="22"/>
          <w:szCs w:val="22"/>
        </w:rPr>
        <w:t xml:space="preserve">, a las solicitudes de acceso a la información pública </w:t>
      </w:r>
      <w:r>
        <w:rPr>
          <w:rFonts w:ascii="Palatino Linotype" w:eastAsia="Palatino Linotype" w:hAnsi="Palatino Linotype" w:cs="Palatino Linotype"/>
          <w:b/>
          <w:color w:val="000000"/>
          <w:sz w:val="22"/>
          <w:szCs w:val="22"/>
        </w:rPr>
        <w:t>00136/ZINACANT/IP/2025 y 00135/ZINACANT/IP/2025</w:t>
      </w: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00000"/>
          <w:sz w:val="22"/>
          <w:szCs w:val="22"/>
        </w:rPr>
        <w:t xml:space="preserve">se emite la presente resolución, con base en los antecedentes y considerandos que a continuación se exponen: </w:t>
      </w:r>
    </w:p>
    <w:p w14:paraId="037385AB" w14:textId="77777777" w:rsidR="009E197C" w:rsidRDefault="009E197C">
      <w:pPr>
        <w:tabs>
          <w:tab w:val="left" w:pos="2835"/>
        </w:tabs>
        <w:spacing w:line="360" w:lineRule="auto"/>
        <w:jc w:val="both"/>
        <w:rPr>
          <w:rFonts w:ascii="Palatino Linotype" w:eastAsia="Palatino Linotype" w:hAnsi="Palatino Linotype" w:cs="Palatino Linotype"/>
          <w:sz w:val="22"/>
          <w:szCs w:val="22"/>
        </w:rPr>
      </w:pPr>
    </w:p>
    <w:p w14:paraId="01DB9936" w14:textId="77777777" w:rsidR="009E197C" w:rsidRDefault="00727B69">
      <w:pPr>
        <w:pStyle w:val="Ttulo1"/>
        <w:spacing w:before="0" w:line="360" w:lineRule="auto"/>
        <w:jc w:val="center"/>
        <w:rPr>
          <w:rFonts w:ascii="Palatino Linotype" w:eastAsia="Palatino Linotype" w:hAnsi="Palatino Linotype" w:cs="Palatino Linotype"/>
          <w:b/>
          <w:color w:val="000000"/>
          <w:sz w:val="22"/>
          <w:szCs w:val="22"/>
        </w:rPr>
      </w:pPr>
      <w:bookmarkStart w:id="0" w:name="_heading=h.b1u0hw1m49kg" w:colFirst="0" w:colLast="0"/>
      <w:bookmarkEnd w:id="0"/>
      <w:r>
        <w:rPr>
          <w:rFonts w:ascii="Palatino Linotype" w:eastAsia="Palatino Linotype" w:hAnsi="Palatino Linotype" w:cs="Palatino Linotype"/>
          <w:b/>
          <w:color w:val="000000"/>
          <w:sz w:val="22"/>
          <w:szCs w:val="22"/>
        </w:rPr>
        <w:t>A N T E C E D E N T E S</w:t>
      </w:r>
    </w:p>
    <w:p w14:paraId="609166E9" w14:textId="77777777" w:rsidR="009E197C" w:rsidRDefault="009E197C">
      <w:pPr>
        <w:spacing w:line="360" w:lineRule="auto"/>
        <w:jc w:val="both"/>
        <w:rPr>
          <w:rFonts w:ascii="Palatino Linotype" w:eastAsia="Palatino Linotype" w:hAnsi="Palatino Linotype" w:cs="Palatino Linotype"/>
          <w:sz w:val="22"/>
          <w:szCs w:val="22"/>
        </w:rPr>
      </w:pPr>
    </w:p>
    <w:p w14:paraId="4525DEA0" w14:textId="77777777" w:rsidR="009E197C" w:rsidRDefault="00727B69">
      <w:pPr>
        <w:pStyle w:val="Ttulo2"/>
        <w:spacing w:before="0" w:after="0" w:line="360" w:lineRule="auto"/>
        <w:rPr>
          <w:rFonts w:ascii="Palatino Linotype" w:eastAsia="Palatino Linotype" w:hAnsi="Palatino Linotype" w:cs="Palatino Linotype"/>
          <w:b w:val="0"/>
          <w:sz w:val="22"/>
          <w:szCs w:val="22"/>
        </w:rPr>
      </w:pPr>
      <w:bookmarkStart w:id="1" w:name="_heading=h.lpxzd5eeyh8o" w:colFirst="0" w:colLast="0"/>
      <w:bookmarkEnd w:id="1"/>
      <w:r>
        <w:rPr>
          <w:rFonts w:ascii="Palatino Linotype" w:eastAsia="Palatino Linotype" w:hAnsi="Palatino Linotype" w:cs="Palatino Linotype"/>
          <w:sz w:val="22"/>
          <w:szCs w:val="22"/>
        </w:rPr>
        <w:t>I. Presentación de las solicitudes de información</w:t>
      </w:r>
    </w:p>
    <w:p w14:paraId="58DA72C5" w14:textId="77777777" w:rsidR="009E197C" w:rsidRDefault="009E197C">
      <w:pPr>
        <w:tabs>
          <w:tab w:val="left" w:pos="567"/>
        </w:tabs>
        <w:spacing w:line="360" w:lineRule="auto"/>
        <w:jc w:val="both"/>
        <w:rPr>
          <w:rFonts w:ascii="Palatino Linotype" w:eastAsia="Palatino Linotype" w:hAnsi="Palatino Linotype" w:cs="Palatino Linotype"/>
          <w:sz w:val="22"/>
          <w:szCs w:val="22"/>
        </w:rPr>
      </w:pPr>
    </w:p>
    <w:p w14:paraId="4F71D6D1"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fecha veinticinco de marzo de dos mil veinticinco, la persona Solicitante presentó solicitudes de acceso a la información pública, a través del Sistema de Acceso a la Información Mexiquense, en lo sucesivo el SAIMEX, ante el Ayuntamiento de Zinacantepec, mediante las que requirió lo siguiente: </w:t>
      </w:r>
    </w:p>
    <w:p w14:paraId="5D4AF54D"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1FB181F6" w14:textId="532E9872" w:rsidR="009E197C" w:rsidRDefault="00910245" w:rsidP="00910245">
      <w:p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rPr>
      </w:pPr>
      <w:r>
        <w:rPr>
          <w:rFonts w:ascii="Palatino Linotype" w:eastAsia="Palatino Linotype" w:hAnsi="Palatino Linotype" w:cs="Palatino Linotype"/>
          <w:b/>
          <w:color w:val="000000"/>
        </w:rPr>
        <w:tab/>
        <w:t>Folio de la solicitud: 00136/ZINACANT/IP/2025</w:t>
      </w:r>
    </w:p>
    <w:p w14:paraId="77D37EEC" w14:textId="77777777" w:rsidR="009E197C" w:rsidRDefault="00727B69">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Pr>
          <w:rFonts w:ascii="Palatino Linotype" w:eastAsia="Palatino Linotype" w:hAnsi="Palatino Linotype" w:cs="Palatino Linotype"/>
          <w:b/>
        </w:rPr>
        <w:t>DESCRIPCIÓN CLARA Y PRECISA DE LA INFORMACIÓN SOLICITADA:</w:t>
      </w:r>
    </w:p>
    <w:p w14:paraId="07B92BA8" w14:textId="77777777" w:rsidR="009E197C" w:rsidRDefault="00727B69">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“Solicito un informe detallado sobre las recomendaciones emitidas por el Órgano Interno de Control en los últimos 5 años, así como el seguimiento que la sindicatura municipal ha realizado para asegurar su cumplimiento y los resultados obtenidos.”</w:t>
      </w:r>
      <w:r>
        <w:rPr>
          <w:rFonts w:ascii="Palatino Linotype" w:eastAsia="Palatino Linotype" w:hAnsi="Palatino Linotype" w:cs="Palatino Linotype"/>
          <w:b/>
          <w:i/>
          <w:color w:val="000000"/>
        </w:rPr>
        <w:t xml:space="preserve"> </w:t>
      </w:r>
    </w:p>
    <w:p w14:paraId="48BC39BF" w14:textId="77777777" w:rsidR="00910245" w:rsidRDefault="00910245">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p>
    <w:p w14:paraId="74244ECA" w14:textId="3D9B2920" w:rsidR="009E197C" w:rsidRDefault="00910245" w:rsidP="00910245">
      <w:p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ab/>
        <w:t>Folio de la solicitud: 00135/ZINACANT/IP/2025</w:t>
      </w:r>
    </w:p>
    <w:p w14:paraId="2FEF87F5" w14:textId="77777777" w:rsidR="009E197C" w:rsidRDefault="00727B69">
      <w:pPr>
        <w:tabs>
          <w:tab w:val="left" w:pos="567"/>
        </w:tabs>
        <w:spacing w:line="360" w:lineRule="auto"/>
        <w:ind w:left="567" w:right="539"/>
        <w:jc w:val="both"/>
        <w:rPr>
          <w:rFonts w:ascii="Palatino Linotype" w:eastAsia="Palatino Linotype" w:hAnsi="Palatino Linotype" w:cs="Palatino Linotype"/>
          <w:b/>
        </w:rPr>
      </w:pPr>
      <w:r>
        <w:rPr>
          <w:rFonts w:ascii="Palatino Linotype" w:eastAsia="Palatino Linotype" w:hAnsi="Palatino Linotype" w:cs="Palatino Linotype"/>
          <w:b/>
        </w:rPr>
        <w:t>DESCRIPCIÓN CLARA Y PRECISA DE LA INFORMACIÓN SOLICITADA:</w:t>
      </w:r>
    </w:p>
    <w:p w14:paraId="133F7D20" w14:textId="77777777" w:rsidR="009E197C" w:rsidRDefault="00727B69">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“Solicito un informe detallado sobre las recomendaciones emitidas por el Órgano Interno de Control en los últimos 5 años, así como el seguimiento que la sindicatura municipal ha realizado para asegurar su cumplimiento y los resultados obtenidos.” </w:t>
      </w:r>
    </w:p>
    <w:p w14:paraId="05AFF42B" w14:textId="77777777" w:rsidR="009E197C" w:rsidRDefault="009E197C">
      <w:pPr>
        <w:spacing w:line="360" w:lineRule="auto"/>
        <w:jc w:val="both"/>
        <w:rPr>
          <w:rFonts w:ascii="Palatino Linotype" w:eastAsia="Palatino Linotype" w:hAnsi="Palatino Linotype" w:cs="Palatino Linotype"/>
          <w:b/>
          <w:color w:val="000000"/>
        </w:rPr>
      </w:pPr>
    </w:p>
    <w:p w14:paraId="4A36CA4C" w14:textId="26CF57D1"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w:t>
      </w:r>
      <w:r w:rsidR="00910245">
        <w:rPr>
          <w:rFonts w:ascii="Palatino Linotype" w:eastAsia="Palatino Linotype" w:hAnsi="Palatino Linotype" w:cs="Palatino Linotype"/>
          <w:color w:val="000000"/>
          <w:sz w:val="22"/>
          <w:szCs w:val="22"/>
        </w:rPr>
        <w:t>ambas</w:t>
      </w:r>
      <w:r>
        <w:rPr>
          <w:rFonts w:ascii="Palatino Linotype" w:eastAsia="Palatino Linotype" w:hAnsi="Palatino Linotype" w:cs="Palatino Linotype"/>
          <w:color w:val="000000"/>
          <w:sz w:val="22"/>
          <w:szCs w:val="22"/>
        </w:rPr>
        <w:t xml:space="preserve"> solicitudes de información, la persona Solicitante, señaló como modalidad de entrega </w:t>
      </w:r>
      <w:r>
        <w:rPr>
          <w:rFonts w:ascii="Palatino Linotype" w:eastAsia="Palatino Linotype" w:hAnsi="Palatino Linotype" w:cs="Palatino Linotype"/>
          <w:i/>
          <w:color w:val="000000"/>
          <w:sz w:val="22"/>
          <w:szCs w:val="22"/>
        </w:rPr>
        <w:t>“A través del SAIMEX”</w:t>
      </w:r>
    </w:p>
    <w:p w14:paraId="32FB93B0"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785D84C0" w14:textId="77777777" w:rsidR="009E197C" w:rsidRDefault="00727B69">
      <w:pPr>
        <w:pStyle w:val="Ttulo2"/>
        <w:spacing w:before="0" w:after="0" w:line="360" w:lineRule="auto"/>
        <w:rPr>
          <w:rFonts w:ascii="Palatino Linotype" w:eastAsia="Palatino Linotype" w:hAnsi="Palatino Linotype" w:cs="Palatino Linotype"/>
          <w:b w:val="0"/>
          <w:color w:val="000000"/>
          <w:sz w:val="22"/>
          <w:szCs w:val="22"/>
        </w:rPr>
      </w:pPr>
      <w:bookmarkStart w:id="2" w:name="_heading=h.riyrjxklhhqw" w:colFirst="0" w:colLast="0"/>
      <w:bookmarkEnd w:id="2"/>
      <w:r>
        <w:rPr>
          <w:rFonts w:ascii="Palatino Linotype" w:eastAsia="Palatino Linotype" w:hAnsi="Palatino Linotype" w:cs="Palatino Linotype"/>
          <w:color w:val="000000"/>
          <w:sz w:val="22"/>
          <w:szCs w:val="22"/>
        </w:rPr>
        <w:t>II. Respuestas del Sujeto Obligado</w:t>
      </w:r>
    </w:p>
    <w:p w14:paraId="36BAB455" w14:textId="77777777" w:rsidR="009E197C" w:rsidRDefault="009E197C">
      <w:pPr>
        <w:tabs>
          <w:tab w:val="left" w:pos="567"/>
        </w:tabs>
        <w:spacing w:line="360" w:lineRule="auto"/>
        <w:jc w:val="both"/>
        <w:rPr>
          <w:rFonts w:ascii="Palatino Linotype" w:eastAsia="Palatino Linotype" w:hAnsi="Palatino Linotype" w:cs="Palatino Linotype"/>
          <w:sz w:val="22"/>
          <w:szCs w:val="22"/>
        </w:rPr>
      </w:pPr>
    </w:p>
    <w:p w14:paraId="33A50103" w14:textId="77777777" w:rsidR="009E197C" w:rsidRDefault="00727B69">
      <w:pPr>
        <w:tabs>
          <w:tab w:val="left" w:pos="567"/>
        </w:tabs>
        <w:spacing w:line="360" w:lineRule="auto"/>
        <w:jc w:val="both"/>
        <w:rPr>
          <w:rFonts w:ascii="Palatino Linotype" w:eastAsia="Palatino Linotype" w:hAnsi="Palatino Linotype" w:cs="Palatino Linotype"/>
          <w:sz w:val="22"/>
          <w:szCs w:val="22"/>
        </w:rPr>
      </w:pPr>
      <w:bookmarkStart w:id="3" w:name="_heading=h.2s8eyo1" w:colFirst="0" w:colLast="0"/>
      <w:bookmarkEnd w:id="3"/>
      <w:r>
        <w:rPr>
          <w:rFonts w:ascii="Palatino Linotype" w:eastAsia="Palatino Linotype" w:hAnsi="Palatino Linotype" w:cs="Palatino Linotype"/>
          <w:sz w:val="22"/>
          <w:szCs w:val="22"/>
        </w:rPr>
        <w:t xml:space="preserve">En fecha veintiuno de abril de dos mil veinticinco, el Sujeto Obligado notificó las respuestas a las solicitudes de acceso a la información, a través del SAIMEX, en ambos casos se dio respuesta en los mismos términos, a saber: </w:t>
      </w:r>
    </w:p>
    <w:p w14:paraId="5C24ABA7" w14:textId="77777777" w:rsidR="009E197C" w:rsidRDefault="009E197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p>
    <w:p w14:paraId="05D9FE2A" w14:textId="77777777" w:rsidR="009E197C" w:rsidRDefault="00727B69">
      <w:pPr>
        <w:numPr>
          <w:ilvl w:val="0"/>
          <w:numId w:val="1"/>
        </w:numPr>
        <w:pBdr>
          <w:top w:val="nil"/>
          <w:left w:val="nil"/>
          <w:bottom w:val="nil"/>
          <w:right w:val="nil"/>
          <w:between w:val="nil"/>
        </w:pBdr>
        <w:tabs>
          <w:tab w:val="left" w:pos="567"/>
        </w:tabs>
        <w:spacing w:line="360" w:lineRule="auto"/>
        <w:ind w:left="567" w:hanging="1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Oficios suscritos por la Síndica Municipal, en que mencionó que derivado de una búsqueda minuciosa, exhaustiva y razonada en los archivos físicos y electrónicos de dicha área, no se localizó la información solicitada y que, de acuerdo con la normatividad, la Sindicatura no cuenta con la información requerida, por lo que orientó a solicitarla al Órgano Interno de Control.</w:t>
      </w:r>
    </w:p>
    <w:p w14:paraId="16F8323B" w14:textId="77777777" w:rsidR="009E197C" w:rsidRDefault="009E197C">
      <w:pPr>
        <w:pBdr>
          <w:top w:val="nil"/>
          <w:left w:val="nil"/>
          <w:bottom w:val="nil"/>
          <w:right w:val="nil"/>
          <w:between w:val="nil"/>
        </w:pBdr>
        <w:tabs>
          <w:tab w:val="left" w:pos="567"/>
        </w:tabs>
        <w:spacing w:line="360" w:lineRule="auto"/>
        <w:ind w:left="567" w:hanging="11"/>
        <w:jc w:val="both"/>
        <w:rPr>
          <w:rFonts w:ascii="Palatino Linotype" w:eastAsia="Palatino Linotype" w:hAnsi="Palatino Linotype" w:cs="Palatino Linotype"/>
          <w:color w:val="000000"/>
          <w:sz w:val="22"/>
          <w:szCs w:val="22"/>
        </w:rPr>
      </w:pPr>
    </w:p>
    <w:p w14:paraId="4AABB1E9" w14:textId="77777777" w:rsidR="009E197C" w:rsidRDefault="00727B69">
      <w:pPr>
        <w:numPr>
          <w:ilvl w:val="0"/>
          <w:numId w:val="1"/>
        </w:numPr>
        <w:pBdr>
          <w:top w:val="nil"/>
          <w:left w:val="nil"/>
          <w:bottom w:val="nil"/>
          <w:right w:val="nil"/>
          <w:between w:val="nil"/>
        </w:pBdr>
        <w:tabs>
          <w:tab w:val="left" w:pos="567"/>
        </w:tabs>
        <w:spacing w:line="360" w:lineRule="auto"/>
        <w:ind w:left="567" w:hanging="1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Oficios suscritos por la Contraloría Municipal, en que mencionó que lo solicitado no encuadra en materia de acceso a la información, sino que se trata de un derecho de petición que no es procedente en materia de transparencia, por ello, consideró que la solicitud no pudo atenderse por esta vía.</w:t>
      </w:r>
    </w:p>
    <w:p w14:paraId="070C1131" w14:textId="77777777" w:rsidR="009E197C" w:rsidRDefault="00727B69">
      <w:pPr>
        <w:numPr>
          <w:ilvl w:val="0"/>
          <w:numId w:val="1"/>
        </w:numPr>
        <w:pBdr>
          <w:top w:val="nil"/>
          <w:left w:val="nil"/>
          <w:bottom w:val="nil"/>
          <w:right w:val="nil"/>
          <w:between w:val="nil"/>
        </w:pBdr>
        <w:tabs>
          <w:tab w:val="left" w:pos="567"/>
        </w:tabs>
        <w:spacing w:line="360" w:lineRule="auto"/>
        <w:ind w:left="567" w:hanging="1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Oficios suscritos por el Titular de la Unidad de Transparencia, por el que remitió los oficios descritos en los puntos anteriores.</w:t>
      </w:r>
    </w:p>
    <w:p w14:paraId="74FC440A" w14:textId="77777777" w:rsidR="009E197C" w:rsidRDefault="009E197C">
      <w:pPr>
        <w:pStyle w:val="Ttulo2"/>
        <w:spacing w:before="0" w:after="0" w:line="360" w:lineRule="auto"/>
        <w:rPr>
          <w:rFonts w:ascii="Palatino Linotype" w:eastAsia="Palatino Linotype" w:hAnsi="Palatino Linotype" w:cs="Palatino Linotype"/>
          <w:color w:val="000000"/>
          <w:sz w:val="22"/>
          <w:szCs w:val="22"/>
        </w:rPr>
      </w:pPr>
      <w:bookmarkStart w:id="4" w:name="_heading=h.cv4hh7kd68j2" w:colFirst="0" w:colLast="0"/>
      <w:bookmarkEnd w:id="4"/>
    </w:p>
    <w:p w14:paraId="0CCB192A" w14:textId="77777777" w:rsidR="009E197C" w:rsidRDefault="00727B69">
      <w:pPr>
        <w:pStyle w:val="Ttulo2"/>
        <w:spacing w:before="0" w:after="0" w:line="360" w:lineRule="auto"/>
        <w:rPr>
          <w:rFonts w:ascii="Palatino Linotype" w:eastAsia="Palatino Linotype" w:hAnsi="Palatino Linotype" w:cs="Palatino Linotype"/>
          <w:b w:val="0"/>
          <w:color w:val="000000"/>
          <w:sz w:val="22"/>
          <w:szCs w:val="22"/>
        </w:rPr>
      </w:pPr>
      <w:bookmarkStart w:id="5" w:name="_heading=h.yzzgavyhhean" w:colFirst="0" w:colLast="0"/>
      <w:bookmarkEnd w:id="5"/>
      <w:r>
        <w:rPr>
          <w:rFonts w:ascii="Palatino Linotype" w:eastAsia="Palatino Linotype" w:hAnsi="Palatino Linotype" w:cs="Palatino Linotype"/>
          <w:color w:val="000000"/>
          <w:sz w:val="22"/>
          <w:szCs w:val="22"/>
        </w:rPr>
        <w:t>III. Interposición del Recurso de Revisión</w:t>
      </w:r>
    </w:p>
    <w:p w14:paraId="66911887" w14:textId="77777777" w:rsidR="009E197C" w:rsidRDefault="009E197C">
      <w:pPr>
        <w:spacing w:line="360" w:lineRule="auto"/>
        <w:jc w:val="both"/>
        <w:rPr>
          <w:rFonts w:ascii="Palatino Linotype" w:eastAsia="Palatino Linotype" w:hAnsi="Palatino Linotype" w:cs="Palatino Linotype"/>
          <w:b/>
          <w:color w:val="000000"/>
          <w:sz w:val="22"/>
          <w:szCs w:val="22"/>
        </w:rPr>
      </w:pPr>
    </w:p>
    <w:p w14:paraId="6766DCB1"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fecha seis de mayo de dos mil veinticinco, se recibieron en este Instituto, a través del SAIMEX, los Recursos de Revisión interpuestos por la persona Recurrente, ante el Sujeto Obligado, los siguientes términos:</w:t>
      </w:r>
    </w:p>
    <w:p w14:paraId="702D507C" w14:textId="77777777" w:rsidR="009E197C" w:rsidRDefault="009E197C">
      <w:pPr>
        <w:spacing w:line="360" w:lineRule="auto"/>
        <w:jc w:val="both"/>
        <w:rPr>
          <w:rFonts w:ascii="Palatino Linotype" w:eastAsia="Palatino Linotype" w:hAnsi="Palatino Linotype" w:cs="Palatino Linotype"/>
          <w:sz w:val="22"/>
          <w:szCs w:val="22"/>
        </w:rPr>
      </w:pPr>
    </w:p>
    <w:p w14:paraId="596BE6CC" w14:textId="1FAEEC1A" w:rsidR="009E197C" w:rsidRDefault="00910245" w:rsidP="00910245">
      <w:p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b/>
        <w:t xml:space="preserve">Folio de Recurso de Revisión: 05121/INFOEM/IP/RR/2025 </w:t>
      </w:r>
    </w:p>
    <w:p w14:paraId="65E2BF7D" w14:textId="77777777" w:rsidR="009E197C" w:rsidRDefault="00727B69">
      <w:pPr>
        <w:spacing w:line="360" w:lineRule="auto"/>
        <w:ind w:left="567" w:right="539"/>
        <w:jc w:val="both"/>
        <w:rPr>
          <w:rFonts w:ascii="Palatino Linotype" w:eastAsia="Palatino Linotype" w:hAnsi="Palatino Linotype" w:cs="Palatino Linotype"/>
          <w:b/>
        </w:rPr>
      </w:pPr>
      <w:r>
        <w:rPr>
          <w:rFonts w:ascii="Palatino Linotype" w:eastAsia="Palatino Linotype" w:hAnsi="Palatino Linotype" w:cs="Palatino Linotype"/>
          <w:b/>
        </w:rPr>
        <w:t>ACTO IMPUGNADO</w:t>
      </w:r>
      <w:r>
        <w:rPr>
          <w:rFonts w:ascii="Palatino Linotype" w:eastAsia="Palatino Linotype" w:hAnsi="Palatino Linotype" w:cs="Palatino Linotype"/>
          <w:b/>
        </w:rPr>
        <w:tab/>
      </w:r>
    </w:p>
    <w:p w14:paraId="46D90AE8" w14:textId="77777777" w:rsidR="009E197C" w:rsidRDefault="00727B69">
      <w:pPr>
        <w:spacing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“NO ENTREGA INFORMACION” (Sic.)</w:t>
      </w:r>
    </w:p>
    <w:p w14:paraId="0F8440B9" w14:textId="77777777" w:rsidR="009E197C" w:rsidRDefault="009E197C">
      <w:pPr>
        <w:spacing w:line="360" w:lineRule="auto"/>
        <w:ind w:left="567" w:right="539"/>
        <w:jc w:val="both"/>
        <w:rPr>
          <w:rFonts w:ascii="Palatino Linotype" w:eastAsia="Palatino Linotype" w:hAnsi="Palatino Linotype" w:cs="Palatino Linotype"/>
          <w:i/>
        </w:rPr>
      </w:pPr>
    </w:p>
    <w:p w14:paraId="5FB3B5E6" w14:textId="77777777" w:rsidR="009E197C" w:rsidRDefault="00727B69">
      <w:pPr>
        <w:spacing w:line="360" w:lineRule="auto"/>
        <w:ind w:left="567" w:right="539"/>
        <w:jc w:val="both"/>
        <w:rPr>
          <w:rFonts w:ascii="Palatino Linotype" w:eastAsia="Palatino Linotype" w:hAnsi="Palatino Linotype" w:cs="Palatino Linotype"/>
          <w:b/>
        </w:rPr>
      </w:pPr>
      <w:r>
        <w:rPr>
          <w:rFonts w:ascii="Palatino Linotype" w:eastAsia="Palatino Linotype" w:hAnsi="Palatino Linotype" w:cs="Palatino Linotype"/>
          <w:b/>
        </w:rPr>
        <w:t>RAZONES O MOTIVOS DE LA INCONFORMIDAD</w:t>
      </w:r>
      <w:r>
        <w:rPr>
          <w:rFonts w:ascii="Palatino Linotype" w:eastAsia="Palatino Linotype" w:hAnsi="Palatino Linotype" w:cs="Palatino Linotype"/>
          <w:b/>
        </w:rPr>
        <w:tab/>
      </w:r>
    </w:p>
    <w:p w14:paraId="1F13C75D" w14:textId="77777777" w:rsidR="00910245" w:rsidRDefault="00727B69" w:rsidP="00910245">
      <w:pPr>
        <w:tabs>
          <w:tab w:val="left" w:pos="4667"/>
        </w:tabs>
        <w:spacing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“NO ENTREGA INFORMACION” (Sic.)</w:t>
      </w:r>
    </w:p>
    <w:p w14:paraId="6173D17E" w14:textId="77777777" w:rsidR="00910245" w:rsidRDefault="00910245" w:rsidP="00910245">
      <w:pPr>
        <w:tabs>
          <w:tab w:val="left" w:pos="4667"/>
        </w:tabs>
        <w:spacing w:line="360" w:lineRule="auto"/>
        <w:ind w:left="567" w:right="539"/>
        <w:jc w:val="both"/>
        <w:rPr>
          <w:rFonts w:ascii="Palatino Linotype" w:eastAsia="Palatino Linotype" w:hAnsi="Palatino Linotype" w:cs="Palatino Linotype"/>
          <w:i/>
        </w:rPr>
      </w:pPr>
    </w:p>
    <w:p w14:paraId="11262CF5" w14:textId="54D3EE8F" w:rsidR="009E197C" w:rsidRPr="00910245" w:rsidRDefault="00727B69" w:rsidP="00910245">
      <w:pPr>
        <w:tabs>
          <w:tab w:val="left" w:pos="4667"/>
        </w:tabs>
        <w:spacing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b/>
          <w:color w:val="000000"/>
        </w:rPr>
        <w:t>Folio de Recurso de Revisión: 05122/INFOEM/IP/RR/2025</w:t>
      </w:r>
    </w:p>
    <w:p w14:paraId="4E906855" w14:textId="77777777" w:rsidR="009E197C" w:rsidRDefault="00727B69">
      <w:pPr>
        <w:spacing w:line="360" w:lineRule="auto"/>
        <w:ind w:left="567" w:right="539"/>
        <w:jc w:val="both"/>
        <w:rPr>
          <w:rFonts w:ascii="Palatino Linotype" w:eastAsia="Palatino Linotype" w:hAnsi="Palatino Linotype" w:cs="Palatino Linotype"/>
          <w:b/>
        </w:rPr>
      </w:pPr>
      <w:r>
        <w:rPr>
          <w:rFonts w:ascii="Palatino Linotype" w:eastAsia="Palatino Linotype" w:hAnsi="Palatino Linotype" w:cs="Palatino Linotype"/>
          <w:b/>
        </w:rPr>
        <w:t>ACTO IMPUGNADO</w:t>
      </w:r>
      <w:r>
        <w:rPr>
          <w:rFonts w:ascii="Palatino Linotype" w:eastAsia="Palatino Linotype" w:hAnsi="Palatino Linotype" w:cs="Palatino Linotype"/>
          <w:b/>
        </w:rPr>
        <w:tab/>
      </w:r>
    </w:p>
    <w:p w14:paraId="14FF6E4F" w14:textId="77777777" w:rsidR="009E197C" w:rsidRDefault="00727B69">
      <w:pPr>
        <w:spacing w:line="360" w:lineRule="auto"/>
        <w:ind w:left="567" w:right="539"/>
        <w:jc w:val="both"/>
        <w:rPr>
          <w:rFonts w:ascii="Palatino Linotype" w:eastAsia="Palatino Linotype" w:hAnsi="Palatino Linotype" w:cs="Palatino Linotype"/>
        </w:rPr>
      </w:pPr>
      <w:r>
        <w:rPr>
          <w:rFonts w:ascii="Palatino Linotype" w:eastAsia="Palatino Linotype" w:hAnsi="Palatino Linotype" w:cs="Palatino Linotype"/>
          <w:i/>
        </w:rPr>
        <w:t>“NO ENTREGA INFORMACION”</w:t>
      </w:r>
      <w:r>
        <w:rPr>
          <w:rFonts w:ascii="Palatino Linotype" w:eastAsia="Palatino Linotype" w:hAnsi="Palatino Linotype" w:cs="Palatino Linotype"/>
        </w:rPr>
        <w:t xml:space="preserve"> (Sic.)</w:t>
      </w:r>
    </w:p>
    <w:p w14:paraId="26377B15" w14:textId="77777777" w:rsidR="009E197C" w:rsidRDefault="009E197C">
      <w:pPr>
        <w:spacing w:line="360" w:lineRule="auto"/>
        <w:ind w:left="567" w:right="539"/>
        <w:jc w:val="both"/>
        <w:rPr>
          <w:rFonts w:ascii="Palatino Linotype" w:eastAsia="Palatino Linotype" w:hAnsi="Palatino Linotype" w:cs="Palatino Linotype"/>
          <w:b/>
        </w:rPr>
      </w:pPr>
    </w:p>
    <w:p w14:paraId="397998D0" w14:textId="77777777" w:rsidR="009E197C" w:rsidRDefault="00727B69">
      <w:pPr>
        <w:spacing w:line="360" w:lineRule="auto"/>
        <w:ind w:left="567" w:right="539"/>
        <w:jc w:val="both"/>
        <w:rPr>
          <w:rFonts w:ascii="Palatino Linotype" w:eastAsia="Palatino Linotype" w:hAnsi="Palatino Linotype" w:cs="Palatino Linotype"/>
          <w:b/>
        </w:rPr>
      </w:pPr>
      <w:bookmarkStart w:id="6" w:name="_heading=h.17dp8vu" w:colFirst="0" w:colLast="0"/>
      <w:bookmarkEnd w:id="6"/>
      <w:r>
        <w:rPr>
          <w:rFonts w:ascii="Palatino Linotype" w:eastAsia="Palatino Linotype" w:hAnsi="Palatino Linotype" w:cs="Palatino Linotype"/>
          <w:b/>
        </w:rPr>
        <w:t>RAZONES O MOTIVOS DE LA INCONFORMIDAD</w:t>
      </w:r>
      <w:r>
        <w:rPr>
          <w:rFonts w:ascii="Palatino Linotype" w:eastAsia="Palatino Linotype" w:hAnsi="Palatino Linotype" w:cs="Palatino Linotype"/>
          <w:b/>
        </w:rPr>
        <w:tab/>
      </w:r>
    </w:p>
    <w:p w14:paraId="08E848A5" w14:textId="77777777" w:rsidR="009E197C" w:rsidRDefault="00727B69">
      <w:pPr>
        <w:tabs>
          <w:tab w:val="left" w:pos="4667"/>
        </w:tabs>
        <w:spacing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“NO ENTREGA INFORMACION” (Sic.)</w:t>
      </w:r>
    </w:p>
    <w:p w14:paraId="523796B1" w14:textId="77777777" w:rsidR="009E197C" w:rsidRDefault="009E197C">
      <w:pPr>
        <w:tabs>
          <w:tab w:val="left" w:pos="4667"/>
        </w:tabs>
        <w:spacing w:line="360" w:lineRule="auto"/>
        <w:ind w:right="539"/>
        <w:jc w:val="both"/>
        <w:rPr>
          <w:rFonts w:ascii="Palatino Linotype" w:eastAsia="Palatino Linotype" w:hAnsi="Palatino Linotype" w:cs="Palatino Linotype"/>
          <w:i/>
          <w:sz w:val="22"/>
          <w:szCs w:val="22"/>
        </w:rPr>
      </w:pPr>
    </w:p>
    <w:p w14:paraId="399CD958" w14:textId="77777777" w:rsidR="009E197C" w:rsidRDefault="00727B69">
      <w:pPr>
        <w:pStyle w:val="Ttulo2"/>
        <w:spacing w:before="0" w:after="0" w:line="360" w:lineRule="auto"/>
        <w:rPr>
          <w:rFonts w:ascii="Palatino Linotype" w:eastAsia="Palatino Linotype" w:hAnsi="Palatino Linotype" w:cs="Palatino Linotype"/>
          <w:b w:val="0"/>
          <w:color w:val="000000"/>
          <w:sz w:val="22"/>
          <w:szCs w:val="22"/>
        </w:rPr>
      </w:pPr>
      <w:bookmarkStart w:id="7" w:name="_heading=h.1gjantzem3ch" w:colFirst="0" w:colLast="0"/>
      <w:bookmarkEnd w:id="7"/>
      <w:r>
        <w:rPr>
          <w:rFonts w:ascii="Palatino Linotype" w:eastAsia="Palatino Linotype" w:hAnsi="Palatino Linotype" w:cs="Palatino Linotype"/>
          <w:color w:val="000000"/>
          <w:sz w:val="22"/>
          <w:szCs w:val="22"/>
        </w:rPr>
        <w:t>IV. Trámite del Recurso de Revisión ante el Instituto</w:t>
      </w:r>
    </w:p>
    <w:p w14:paraId="514AE507"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41411223"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a) Turno de los Medios de Impugnación. </w:t>
      </w:r>
      <w:r>
        <w:rPr>
          <w:rFonts w:ascii="Palatino Linotype" w:eastAsia="Palatino Linotype" w:hAnsi="Palatino Linotype" w:cs="Palatino Linotype"/>
          <w:color w:val="000000"/>
          <w:sz w:val="22"/>
          <w:szCs w:val="22"/>
        </w:rPr>
        <w:t xml:space="preserve">El seis de mayo de dos mil veinticinco, el SAIMEX, asignó los número de expedientes </w:t>
      </w:r>
      <w:r>
        <w:rPr>
          <w:rFonts w:ascii="Palatino Linotype" w:eastAsia="Palatino Linotype" w:hAnsi="Palatino Linotype" w:cs="Palatino Linotype"/>
          <w:b/>
          <w:sz w:val="22"/>
          <w:szCs w:val="22"/>
        </w:rPr>
        <w:t>05121/INFOEM/IP/RR/2025 y 05122/INFOEM/IP/RR/2025</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lastRenderedPageBreak/>
        <w:t>a los medios de impugnación que nos ocupan, con base en el sistema aprobado por el Pleno de este Órgano Garante y lo turnó a la Comisionada Sharon Cristina Morales Martínez y al Comisionado Ponente Luis Gustavo Parra Noriega, para los efectos del artículo 185, fracción I, de la Ley de Transparencia y Acceso a la Información Pública del Estado de México y Municipios.</w:t>
      </w:r>
    </w:p>
    <w:p w14:paraId="7861A553"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55104E79"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b) Admisión de los Recursos de Revisión. </w:t>
      </w:r>
      <w:r>
        <w:rPr>
          <w:rFonts w:ascii="Palatino Linotype" w:eastAsia="Palatino Linotype" w:hAnsi="Palatino Linotype" w:cs="Palatino Linotype"/>
          <w:color w:val="000000"/>
          <w:sz w:val="22"/>
          <w:szCs w:val="22"/>
        </w:rPr>
        <w:t xml:space="preserve">En fechas ocho y doce de mayo de dos mil veinticinco, se notificó vía SAIMEX los acuerdos de fecha ocho y nueve del mismo mes y año, mediante los cuales se acordó la admisión de los Recursos de Revisión interpuestos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w:t>
      </w:r>
      <w:r>
        <w:rPr>
          <w:rFonts w:ascii="Palatino Linotype" w:eastAsia="Palatino Linotype" w:hAnsi="Palatino Linotype" w:cs="Palatino Linotype"/>
          <w:sz w:val="22"/>
          <w:szCs w:val="22"/>
        </w:rPr>
        <w:t>manifestara</w:t>
      </w:r>
      <w:r>
        <w:rPr>
          <w:rFonts w:ascii="Palatino Linotype" w:eastAsia="Palatino Linotype" w:hAnsi="Palatino Linotype" w:cs="Palatino Linotype"/>
          <w:color w:val="000000"/>
          <w:sz w:val="22"/>
          <w:szCs w:val="22"/>
        </w:rPr>
        <w:t xml:space="preserve"> lo que a su derecho conviniera y </w:t>
      </w:r>
      <w:r>
        <w:rPr>
          <w:rFonts w:ascii="Palatino Linotype" w:eastAsia="Palatino Linotype" w:hAnsi="Palatino Linotype" w:cs="Palatino Linotype"/>
          <w:sz w:val="22"/>
          <w:szCs w:val="22"/>
        </w:rPr>
        <w:t>formularán</w:t>
      </w:r>
      <w:r>
        <w:rPr>
          <w:rFonts w:ascii="Palatino Linotype" w:eastAsia="Palatino Linotype" w:hAnsi="Palatino Linotype" w:cs="Palatino Linotype"/>
          <w:color w:val="000000"/>
          <w:sz w:val="22"/>
          <w:szCs w:val="22"/>
        </w:rPr>
        <w:t xml:space="preserve"> alegatos.</w:t>
      </w:r>
    </w:p>
    <w:p w14:paraId="6D9F5265"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1428CFC0" w14:textId="77777777" w:rsidR="009E197C" w:rsidRDefault="00727B69">
      <w:pPr>
        <w:spacing w:line="360" w:lineRule="auto"/>
        <w:jc w:val="both"/>
        <w:rPr>
          <w:rFonts w:ascii="Palatino Linotype" w:eastAsia="Palatino Linotype" w:hAnsi="Palatino Linotype" w:cs="Palatino Linotype"/>
          <w:color w:val="000000"/>
          <w:sz w:val="22"/>
          <w:szCs w:val="22"/>
        </w:rPr>
      </w:pPr>
      <w:bookmarkStart w:id="8" w:name="_heading=h.gjdgxs" w:colFirst="0" w:colLast="0"/>
      <w:bookmarkEnd w:id="8"/>
      <w:r>
        <w:rPr>
          <w:rFonts w:ascii="Palatino Linotype" w:eastAsia="Palatino Linotype" w:hAnsi="Palatino Linotype" w:cs="Palatino Linotype"/>
          <w:b/>
          <w:sz w:val="22"/>
          <w:szCs w:val="22"/>
        </w:rPr>
        <w:t>c) Acumulación de los asuntos.</w:t>
      </w:r>
      <w:r>
        <w:rPr>
          <w:rFonts w:ascii="Palatino Linotype" w:eastAsia="Palatino Linotype" w:hAnsi="Palatino Linotype" w:cs="Palatino Linotype"/>
          <w:sz w:val="22"/>
          <w:szCs w:val="22"/>
        </w:rPr>
        <w:t xml:space="preserve"> El diecinueve de junio de dos mil veinticinco, se notificó vía SAIMEX el acuerdo mediante el cual se informó, que en fecha veintiuno de mayo de dos mil veinticinco, el Pleno del Instituto de Transparencia, Acceso a la Información Pública y Protección de Datos Personales del Estado de México y Municipios, durante su Décima Octava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del Recurso de Revisión</w:t>
      </w:r>
      <w:r>
        <w:rPr>
          <w:rFonts w:ascii="Palatino Linotype" w:eastAsia="Palatino Linotype" w:hAnsi="Palatino Linotype" w:cs="Palatino Linotype"/>
          <w:b/>
          <w:color w:val="000000"/>
          <w:sz w:val="22"/>
          <w:szCs w:val="22"/>
        </w:rPr>
        <w:t xml:space="preserve"> 05122/INFOEM/IP/RR/2025  </w:t>
      </w:r>
      <w:r>
        <w:rPr>
          <w:rFonts w:ascii="Palatino Linotype" w:eastAsia="Palatino Linotype" w:hAnsi="Palatino Linotype" w:cs="Palatino Linotype"/>
          <w:color w:val="000000"/>
          <w:sz w:val="22"/>
          <w:szCs w:val="22"/>
        </w:rPr>
        <w:t>al diverso</w:t>
      </w:r>
      <w:r>
        <w:rPr>
          <w:rFonts w:ascii="Palatino Linotype" w:eastAsia="Palatino Linotype" w:hAnsi="Palatino Linotype" w:cs="Palatino Linotype"/>
          <w:b/>
          <w:color w:val="000000"/>
          <w:sz w:val="22"/>
          <w:szCs w:val="22"/>
        </w:rPr>
        <w:t xml:space="preserve"> 05121/INFOEM/IP/RR/2025, </w:t>
      </w:r>
      <w:r>
        <w:rPr>
          <w:rFonts w:ascii="Palatino Linotype" w:eastAsia="Palatino Linotype" w:hAnsi="Palatino Linotype" w:cs="Palatino Linotype"/>
          <w:color w:val="000000"/>
          <w:sz w:val="22"/>
          <w:szCs w:val="22"/>
        </w:rPr>
        <w:t xml:space="preserve">por ser este último el más antiguo, sustanciado bajo el índice de esta Ponencia, al advertir conexidad entre estos, ya que fueron promovidos por la misma persona, en los que señaló como Sujeto Obligado al </w:t>
      </w:r>
      <w:r>
        <w:rPr>
          <w:rFonts w:ascii="Palatino Linotype" w:eastAsia="Palatino Linotype" w:hAnsi="Palatino Linotype" w:cs="Palatino Linotype"/>
          <w:sz w:val="22"/>
          <w:szCs w:val="22"/>
        </w:rPr>
        <w:t>Ayuntamiento de Zinacantepec</w:t>
      </w:r>
      <w:r>
        <w:rPr>
          <w:rFonts w:ascii="Palatino Linotype" w:eastAsia="Palatino Linotype" w:hAnsi="Palatino Linotype" w:cs="Palatino Linotype"/>
          <w:color w:val="000000"/>
          <w:sz w:val="22"/>
          <w:szCs w:val="22"/>
        </w:rPr>
        <w:t>.</w:t>
      </w:r>
    </w:p>
    <w:p w14:paraId="07BD75F4"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 </w:t>
      </w:r>
      <w:r>
        <w:rPr>
          <w:rFonts w:ascii="Palatino Linotype" w:eastAsia="Palatino Linotype" w:hAnsi="Palatino Linotype" w:cs="Palatino Linotype"/>
          <w:b/>
          <w:color w:val="000000"/>
          <w:sz w:val="22"/>
          <w:szCs w:val="22"/>
        </w:rPr>
        <w:t>d) Informe Justificado y manifestaciones de la parte Recurrente</w:t>
      </w:r>
      <w:r>
        <w:rPr>
          <w:rFonts w:ascii="Palatino Linotype" w:eastAsia="Palatino Linotype" w:hAnsi="Palatino Linotype" w:cs="Palatino Linotype"/>
          <w:color w:val="000000"/>
          <w:sz w:val="22"/>
          <w:szCs w:val="22"/>
        </w:rPr>
        <w:t>. De las constancias que obran en los expedientes digitales en SAIMEX, se aprecia que el Sujeto Obligado fue omiso en rendir informe justificado y la parte Recurrente no añadió manifestaciones.</w:t>
      </w:r>
    </w:p>
    <w:p w14:paraId="0A62B922"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0864F644" w14:textId="21171534" w:rsidR="009E197C" w:rsidRDefault="00727B69">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e)</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Ampliación de plazo para resolver</w:t>
      </w:r>
      <w:r>
        <w:rPr>
          <w:rFonts w:ascii="Palatino Linotype" w:eastAsia="Palatino Linotype" w:hAnsi="Palatino Linotype" w:cs="Palatino Linotype"/>
          <w:color w:val="000000"/>
          <w:sz w:val="22"/>
          <w:szCs w:val="22"/>
        </w:rPr>
        <w:t xml:space="preserve">. El </w:t>
      </w:r>
      <w:r w:rsidR="009B3B1F">
        <w:rPr>
          <w:rFonts w:ascii="Palatino Linotype" w:eastAsia="Palatino Linotype" w:hAnsi="Palatino Linotype" w:cs="Palatino Linotype"/>
          <w:color w:val="000000"/>
          <w:sz w:val="22"/>
          <w:szCs w:val="22"/>
        </w:rPr>
        <w:t>veinticuatro de junio</w:t>
      </w:r>
      <w:r>
        <w:rPr>
          <w:rFonts w:ascii="Palatino Linotype" w:eastAsia="Palatino Linotype" w:hAnsi="Palatino Linotype" w:cs="Palatino Linotype"/>
          <w:color w:val="000000"/>
          <w:sz w:val="22"/>
          <w:szCs w:val="22"/>
        </w:rPr>
        <w:t xml:space="preserv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en la misma fecha, mediante el SAIMEX.</w:t>
      </w:r>
    </w:p>
    <w:p w14:paraId="244848ED" w14:textId="77777777" w:rsidR="009E197C" w:rsidRDefault="009E197C">
      <w:pPr>
        <w:spacing w:line="360" w:lineRule="auto"/>
        <w:jc w:val="both"/>
        <w:rPr>
          <w:rFonts w:ascii="Palatino Linotype" w:eastAsia="Palatino Linotype" w:hAnsi="Palatino Linotype" w:cs="Palatino Linotype"/>
          <w:sz w:val="22"/>
          <w:szCs w:val="22"/>
        </w:rPr>
      </w:pPr>
    </w:p>
    <w:p w14:paraId="042264BF" w14:textId="77777777" w:rsidR="009E197C" w:rsidRDefault="00727B69">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f) Cierre de instrucción. </w:t>
      </w:r>
      <w:r>
        <w:rPr>
          <w:rFonts w:ascii="Palatino Linotype" w:eastAsia="Palatino Linotype" w:hAnsi="Palatino Linotype" w:cs="Palatino Linotype"/>
          <w:sz w:val="22"/>
          <w:szCs w:val="22"/>
        </w:rPr>
        <w:t xml:space="preserve">El cinco de agosto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SAIMEX. </w:t>
      </w:r>
    </w:p>
    <w:p w14:paraId="367FB327" w14:textId="77777777" w:rsidR="009E197C" w:rsidRDefault="009E197C">
      <w:pPr>
        <w:spacing w:line="360" w:lineRule="auto"/>
        <w:jc w:val="both"/>
        <w:rPr>
          <w:rFonts w:ascii="Palatino Linotype" w:eastAsia="Palatino Linotype" w:hAnsi="Palatino Linotype" w:cs="Palatino Linotype"/>
          <w:b/>
          <w:sz w:val="22"/>
          <w:szCs w:val="22"/>
        </w:rPr>
      </w:pPr>
    </w:p>
    <w:p w14:paraId="5C08A8BF"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533E8F76"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2212872C" w14:textId="77777777" w:rsidR="009E197C" w:rsidRDefault="00727B69">
      <w:pPr>
        <w:pStyle w:val="Ttulo1"/>
        <w:spacing w:before="0" w:line="360" w:lineRule="auto"/>
        <w:jc w:val="center"/>
        <w:rPr>
          <w:rFonts w:ascii="Palatino Linotype" w:eastAsia="Palatino Linotype" w:hAnsi="Palatino Linotype" w:cs="Palatino Linotype"/>
          <w:b/>
          <w:color w:val="000000"/>
          <w:sz w:val="22"/>
          <w:szCs w:val="22"/>
        </w:rPr>
      </w:pPr>
      <w:bookmarkStart w:id="9" w:name="_heading=h.k82qy6c7424e" w:colFirst="0" w:colLast="0"/>
      <w:bookmarkEnd w:id="9"/>
      <w:r>
        <w:rPr>
          <w:rFonts w:ascii="Palatino Linotype" w:eastAsia="Palatino Linotype" w:hAnsi="Palatino Linotype" w:cs="Palatino Linotype"/>
          <w:b/>
          <w:color w:val="000000"/>
          <w:sz w:val="22"/>
          <w:szCs w:val="22"/>
        </w:rPr>
        <w:t>C O N S I D E R A N D O S</w:t>
      </w:r>
    </w:p>
    <w:p w14:paraId="3BD86CA4" w14:textId="77777777" w:rsidR="009E197C" w:rsidRDefault="009E197C">
      <w:pPr>
        <w:spacing w:line="360" w:lineRule="auto"/>
        <w:rPr>
          <w:rFonts w:ascii="Palatino Linotype" w:eastAsia="Palatino Linotype" w:hAnsi="Palatino Linotype" w:cs="Palatino Linotype"/>
          <w:b/>
          <w:sz w:val="22"/>
          <w:szCs w:val="22"/>
        </w:rPr>
      </w:pPr>
    </w:p>
    <w:p w14:paraId="78CC9841" w14:textId="77777777" w:rsidR="009E197C" w:rsidRDefault="00727B69">
      <w:pPr>
        <w:pStyle w:val="Ttulo2"/>
        <w:spacing w:before="0" w:after="0" w:line="360" w:lineRule="auto"/>
        <w:rPr>
          <w:rFonts w:ascii="Palatino Linotype" w:eastAsia="Palatino Linotype" w:hAnsi="Palatino Linotype" w:cs="Palatino Linotype"/>
          <w:b w:val="0"/>
          <w:sz w:val="22"/>
          <w:szCs w:val="22"/>
        </w:rPr>
      </w:pPr>
      <w:bookmarkStart w:id="10" w:name="_heading=h.krksuij7t9z6" w:colFirst="0" w:colLast="0"/>
      <w:bookmarkEnd w:id="10"/>
      <w:r>
        <w:rPr>
          <w:rFonts w:ascii="Palatino Linotype" w:eastAsia="Palatino Linotype" w:hAnsi="Palatino Linotype" w:cs="Palatino Linotype"/>
          <w:color w:val="000000"/>
          <w:sz w:val="22"/>
          <w:szCs w:val="22"/>
        </w:rPr>
        <w:t xml:space="preserve">PRIMERO. </w:t>
      </w:r>
      <w:r>
        <w:rPr>
          <w:rFonts w:ascii="Palatino Linotype" w:eastAsia="Palatino Linotype" w:hAnsi="Palatino Linotype" w:cs="Palatino Linotype"/>
          <w:sz w:val="22"/>
          <w:szCs w:val="22"/>
        </w:rPr>
        <w:t>Competencia</w:t>
      </w:r>
    </w:p>
    <w:p w14:paraId="5BF9FD28" w14:textId="77777777" w:rsidR="009E197C" w:rsidRDefault="009E197C">
      <w:pPr>
        <w:spacing w:line="360" w:lineRule="auto"/>
        <w:jc w:val="both"/>
        <w:rPr>
          <w:rFonts w:ascii="Palatino Linotype" w:eastAsia="Palatino Linotype" w:hAnsi="Palatino Linotype" w:cs="Palatino Linotype"/>
          <w:b/>
          <w:sz w:val="22"/>
          <w:szCs w:val="22"/>
        </w:rPr>
      </w:pPr>
    </w:p>
    <w:p w14:paraId="4A784420" w14:textId="4D402697" w:rsidR="009E197C" w:rsidRDefault="009B3B1F">
      <w:pPr>
        <w:spacing w:line="360" w:lineRule="auto"/>
        <w:jc w:val="both"/>
        <w:rPr>
          <w:rFonts w:ascii="Palatino Linotype" w:eastAsia="Palatino Linotype" w:hAnsi="Palatino Linotype" w:cs="Palatino Linotype"/>
          <w:color w:val="000000"/>
          <w:sz w:val="22"/>
          <w:szCs w:val="22"/>
        </w:rPr>
      </w:pPr>
      <w:r w:rsidRPr="009B3B1F">
        <w:rPr>
          <w:rFonts w:ascii="Palatino Linotype" w:eastAsia="Palatino Linotype" w:hAnsi="Palatino Linotype" w:cs="Palatino Linotype"/>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9F4366E" w14:textId="77777777" w:rsidR="009B3B1F" w:rsidRDefault="009B3B1F">
      <w:pPr>
        <w:spacing w:line="360" w:lineRule="auto"/>
        <w:jc w:val="both"/>
        <w:rPr>
          <w:rFonts w:ascii="Palatino Linotype" w:eastAsia="Palatino Linotype" w:hAnsi="Palatino Linotype" w:cs="Palatino Linotype"/>
          <w:color w:val="000000"/>
          <w:sz w:val="22"/>
          <w:szCs w:val="22"/>
        </w:rPr>
      </w:pPr>
    </w:p>
    <w:p w14:paraId="02DA6E73" w14:textId="77777777" w:rsidR="009E197C" w:rsidRDefault="00727B69">
      <w:pPr>
        <w:pStyle w:val="Ttulo2"/>
        <w:spacing w:before="0" w:after="0" w:line="360" w:lineRule="auto"/>
        <w:rPr>
          <w:rFonts w:ascii="Palatino Linotype" w:eastAsia="Palatino Linotype" w:hAnsi="Palatino Linotype" w:cs="Palatino Linotype"/>
          <w:color w:val="000000"/>
          <w:sz w:val="22"/>
          <w:szCs w:val="22"/>
        </w:rPr>
      </w:pPr>
      <w:bookmarkStart w:id="11" w:name="_heading=h.k6hffn47tvzu" w:colFirst="0" w:colLast="0"/>
      <w:bookmarkEnd w:id="11"/>
      <w:r>
        <w:rPr>
          <w:rFonts w:ascii="Palatino Linotype" w:eastAsia="Palatino Linotype" w:hAnsi="Palatino Linotype" w:cs="Palatino Linotype"/>
          <w:color w:val="000000"/>
          <w:sz w:val="22"/>
          <w:szCs w:val="22"/>
        </w:rPr>
        <w:t>SEGUNDO. Causales de improcedencia y sobreseimiento</w:t>
      </w:r>
    </w:p>
    <w:p w14:paraId="10CBD7B2"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771E77B1"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E2C2B3"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2454418B"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la persona Recurrente </w:t>
      </w:r>
      <w:r>
        <w:rPr>
          <w:rFonts w:ascii="Palatino Linotype" w:eastAsia="Palatino Linotype" w:hAnsi="Palatino Linotype" w:cs="Palatino Linotype"/>
          <w:color w:val="000000"/>
          <w:sz w:val="22"/>
          <w:szCs w:val="22"/>
        </w:rPr>
        <w:lastRenderedPageBreak/>
        <w:t>ante otra instancia; no existió prevención alguna; la veracidad de la respuesta no formó parte del agravio; ni se realizó una consulta o ampliación a los alcances del requerimiento informativo.</w:t>
      </w:r>
    </w:p>
    <w:p w14:paraId="4F633648" w14:textId="77777777" w:rsidR="009E197C" w:rsidRDefault="009E197C">
      <w:pPr>
        <w:spacing w:line="360" w:lineRule="auto"/>
        <w:jc w:val="both"/>
        <w:rPr>
          <w:rFonts w:ascii="Palatino Linotype" w:eastAsia="Palatino Linotype" w:hAnsi="Palatino Linotype" w:cs="Palatino Linotype"/>
          <w:b/>
          <w:sz w:val="22"/>
          <w:szCs w:val="22"/>
        </w:rPr>
      </w:pPr>
    </w:p>
    <w:p w14:paraId="2C263842" w14:textId="77777777" w:rsidR="009E197C" w:rsidRDefault="00727B69">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sobreseimiento</w:t>
      </w:r>
    </w:p>
    <w:p w14:paraId="5148F61F" w14:textId="77777777" w:rsidR="009E197C" w:rsidRDefault="009E197C">
      <w:pPr>
        <w:spacing w:line="360" w:lineRule="auto"/>
        <w:jc w:val="both"/>
        <w:rPr>
          <w:rFonts w:ascii="Palatino Linotype" w:eastAsia="Palatino Linotype" w:hAnsi="Palatino Linotype" w:cs="Palatino Linotype"/>
          <w:sz w:val="22"/>
          <w:szCs w:val="22"/>
        </w:rPr>
      </w:pPr>
    </w:p>
    <w:p w14:paraId="7716DB4D"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que hace a las causales de sobreseimiento, del análisis realizado por este Instituto, se advierte que</w:t>
      </w:r>
      <w:r>
        <w:rPr>
          <w:rFonts w:ascii="Palatino Linotype" w:eastAsia="Palatino Linotype" w:hAnsi="Palatino Linotype" w:cs="Palatino Linotype"/>
          <w:b/>
          <w:sz w:val="22"/>
          <w:szCs w:val="22"/>
        </w:rPr>
        <w:t xml:space="preserve"> no se actualiza ninguna de las previstas por el artículo 192 de la Ley de Transparencia y Acceso a la Información Pública del Estado de México y Municipios; </w:t>
      </w:r>
      <w:r>
        <w:rPr>
          <w:rFonts w:ascii="Palatino Linotype" w:eastAsia="Palatino Linotype" w:hAnsi="Palatino Linotype" w:cs="Palatino Linotype"/>
          <w:sz w:val="22"/>
          <w:szCs w:val="22"/>
        </w:rPr>
        <w:t xml:space="preserve">lo anterior, en virtud de que no existe constancia en el expediente en que se actúa, de que la persona Recurrente se hubiera desistido del recurso, hubiera fallecido, que sobreviene alguna causal de improcedencia, que el Sujeto Obligado hubiese modificado o revocado el acto impugnado, o bien que el recurso de revisión hubiera quedado sin materia. Por tales motivos, se considera procedente entrar al fondo del presente asunto. </w:t>
      </w:r>
    </w:p>
    <w:p w14:paraId="42E80339" w14:textId="77777777" w:rsidR="009E197C" w:rsidRDefault="009E197C">
      <w:pPr>
        <w:spacing w:line="360" w:lineRule="auto"/>
        <w:jc w:val="both"/>
        <w:rPr>
          <w:rFonts w:ascii="Palatino Linotype" w:eastAsia="Palatino Linotype" w:hAnsi="Palatino Linotype" w:cs="Palatino Linotype"/>
          <w:sz w:val="22"/>
          <w:szCs w:val="22"/>
        </w:rPr>
      </w:pPr>
    </w:p>
    <w:p w14:paraId="59D06B10" w14:textId="77777777" w:rsidR="009E197C" w:rsidRDefault="00727B69">
      <w:pPr>
        <w:pStyle w:val="Ttulo2"/>
        <w:spacing w:before="0" w:after="0" w:line="360" w:lineRule="auto"/>
        <w:rPr>
          <w:rFonts w:ascii="Palatino Linotype" w:eastAsia="Palatino Linotype" w:hAnsi="Palatino Linotype" w:cs="Palatino Linotype"/>
          <w:b w:val="0"/>
          <w:sz w:val="22"/>
          <w:szCs w:val="22"/>
        </w:rPr>
      </w:pPr>
      <w:bookmarkStart w:id="12" w:name="_heading=h.3n98chi2tui4" w:colFirst="0" w:colLast="0"/>
      <w:bookmarkEnd w:id="12"/>
      <w:r>
        <w:rPr>
          <w:rFonts w:ascii="Palatino Linotype" w:eastAsia="Palatino Linotype" w:hAnsi="Palatino Linotype" w:cs="Palatino Linotype"/>
          <w:sz w:val="22"/>
          <w:szCs w:val="22"/>
        </w:rPr>
        <w:t>TERCERO. Determinación de la Controversia</w:t>
      </w:r>
    </w:p>
    <w:p w14:paraId="2BA817FC" w14:textId="77777777" w:rsidR="009E197C" w:rsidRDefault="009E197C">
      <w:pPr>
        <w:tabs>
          <w:tab w:val="left" w:pos="4962"/>
        </w:tabs>
        <w:spacing w:line="360" w:lineRule="auto"/>
        <w:jc w:val="both"/>
        <w:rPr>
          <w:rFonts w:ascii="Palatino Linotype" w:eastAsia="Palatino Linotype" w:hAnsi="Palatino Linotype" w:cs="Palatino Linotype"/>
          <w:sz w:val="22"/>
          <w:szCs w:val="22"/>
        </w:rPr>
      </w:pPr>
    </w:p>
    <w:p w14:paraId="6AACE9D9" w14:textId="77777777" w:rsidR="009E197C" w:rsidRDefault="00727B69">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persona Solicitante requirió a través de las solicitudes de información, un informe detallado sobre las recomendaciones emitidas por el Órgano Interno de Control en los últimos cinco años, así como el seguimiento que la Sindicatura Municipal realizó para asegurar su cumplimiento y los resultados obtenidos.</w:t>
      </w:r>
    </w:p>
    <w:p w14:paraId="069418BB" w14:textId="77777777" w:rsidR="009E197C" w:rsidRDefault="009E197C">
      <w:pPr>
        <w:tabs>
          <w:tab w:val="left" w:pos="4962"/>
        </w:tabs>
        <w:spacing w:line="360" w:lineRule="auto"/>
        <w:jc w:val="both"/>
        <w:rPr>
          <w:rFonts w:ascii="Palatino Linotype" w:eastAsia="Palatino Linotype" w:hAnsi="Palatino Linotype" w:cs="Palatino Linotype"/>
          <w:sz w:val="22"/>
          <w:szCs w:val="22"/>
        </w:rPr>
      </w:pPr>
    </w:p>
    <w:p w14:paraId="7A856AD0" w14:textId="77777777" w:rsidR="009E197C" w:rsidRDefault="00727B69">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a ambas solicitudes,  el Sujeto Obligado  informó a través de la Síndica Municipal que derivado de una búsqueda exhaustiva y razonable no se localizó la información requerida y que no se encuentra dentro de sus facultades; por su parte, la Contraloría Municipal señaló que lo solicitado no constituye materia de acceso a la información, sino un derecho de petición, </w:t>
      </w:r>
      <w:r>
        <w:rPr>
          <w:rFonts w:ascii="Palatino Linotype" w:eastAsia="Palatino Linotype" w:hAnsi="Palatino Linotype" w:cs="Palatino Linotype"/>
          <w:sz w:val="22"/>
          <w:szCs w:val="22"/>
        </w:rPr>
        <w:lastRenderedPageBreak/>
        <w:t>al implicar la generación de un documento específico dado que requiere informes, por lo que señaló que no era procedente atender la solicitud por la vía propuesta.</w:t>
      </w:r>
    </w:p>
    <w:p w14:paraId="6B5FA632" w14:textId="77777777" w:rsidR="009E197C" w:rsidRDefault="009E197C">
      <w:pPr>
        <w:tabs>
          <w:tab w:val="left" w:pos="4962"/>
        </w:tabs>
        <w:spacing w:line="360" w:lineRule="auto"/>
        <w:jc w:val="both"/>
        <w:rPr>
          <w:rFonts w:ascii="Palatino Linotype" w:eastAsia="Palatino Linotype" w:hAnsi="Palatino Linotype" w:cs="Palatino Linotype"/>
          <w:sz w:val="22"/>
          <w:szCs w:val="22"/>
        </w:rPr>
      </w:pPr>
    </w:p>
    <w:p w14:paraId="4F77B716" w14:textId="77777777" w:rsidR="009E197C" w:rsidRDefault="00727B69">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Derivado de las respuestas, la parte Recurrente se inconformó bajo el argumento de que no se entregó la información solicitada. Durante la sustanciación del Recurso de Revisión, el Sujeto Obligado fue omiso en rendir informe justificado y la parte Recurrente fue omisa en añadir manifestaciones. </w:t>
      </w:r>
    </w:p>
    <w:p w14:paraId="3EB7A8A0" w14:textId="77777777" w:rsidR="009E197C" w:rsidRDefault="009E197C">
      <w:pPr>
        <w:tabs>
          <w:tab w:val="left" w:pos="4962"/>
        </w:tabs>
        <w:spacing w:line="360" w:lineRule="auto"/>
        <w:jc w:val="both"/>
        <w:rPr>
          <w:rFonts w:ascii="Palatino Linotype" w:eastAsia="Palatino Linotype" w:hAnsi="Palatino Linotype" w:cs="Palatino Linotype"/>
          <w:sz w:val="22"/>
          <w:szCs w:val="22"/>
        </w:rPr>
      </w:pPr>
    </w:p>
    <w:p w14:paraId="26CCCF9A" w14:textId="77777777" w:rsidR="009E197C" w:rsidRDefault="00727B69">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pues, de las constancias que integran el expediente, se advierte que </w:t>
      </w:r>
      <w:r>
        <w:rPr>
          <w:rFonts w:ascii="Palatino Linotype" w:eastAsia="Palatino Linotype" w:hAnsi="Palatino Linotype" w:cs="Palatino Linotype"/>
          <w:color w:val="000000"/>
          <w:sz w:val="22"/>
          <w:szCs w:val="22"/>
        </w:rPr>
        <w:t xml:space="preserve">en el asunto que nos ocupa se actualiza la causal de procedencia señalada en el </w:t>
      </w:r>
      <w:r>
        <w:rPr>
          <w:rFonts w:ascii="Palatino Linotype" w:eastAsia="Palatino Linotype" w:hAnsi="Palatino Linotype" w:cs="Palatino Linotype"/>
          <w:sz w:val="22"/>
          <w:szCs w:val="22"/>
        </w:rPr>
        <w:t xml:space="preserve">artículo 179, fracción I, de la Ley de la materia; es decir por la negativa de la información solicitada. </w:t>
      </w:r>
    </w:p>
    <w:p w14:paraId="1A4519BE" w14:textId="77777777" w:rsidR="009E197C" w:rsidRDefault="009E197C">
      <w:pPr>
        <w:tabs>
          <w:tab w:val="left" w:pos="4962"/>
        </w:tabs>
        <w:spacing w:line="360" w:lineRule="auto"/>
        <w:jc w:val="both"/>
        <w:rPr>
          <w:rFonts w:ascii="Palatino Linotype" w:eastAsia="Palatino Linotype" w:hAnsi="Palatino Linotype" w:cs="Palatino Linotype"/>
          <w:b/>
          <w:sz w:val="22"/>
          <w:szCs w:val="22"/>
        </w:rPr>
      </w:pPr>
    </w:p>
    <w:p w14:paraId="67F95CD9" w14:textId="77777777" w:rsidR="009E197C" w:rsidRDefault="00727B69">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46BCDF7" w14:textId="77777777" w:rsidR="009E197C" w:rsidRDefault="009E197C">
      <w:pPr>
        <w:tabs>
          <w:tab w:val="left" w:pos="4962"/>
        </w:tabs>
        <w:spacing w:line="360" w:lineRule="auto"/>
        <w:jc w:val="both"/>
        <w:rPr>
          <w:rFonts w:ascii="Palatino Linotype" w:eastAsia="Palatino Linotype" w:hAnsi="Palatino Linotype" w:cs="Palatino Linotype"/>
          <w:sz w:val="22"/>
          <w:szCs w:val="22"/>
        </w:rPr>
      </w:pPr>
    </w:p>
    <w:p w14:paraId="16C97478" w14:textId="77777777" w:rsidR="009E197C" w:rsidRDefault="00727B69">
      <w:pPr>
        <w:pStyle w:val="Ttulo2"/>
        <w:spacing w:before="0" w:after="0" w:line="360" w:lineRule="auto"/>
        <w:jc w:val="both"/>
        <w:rPr>
          <w:rFonts w:ascii="Palatino Linotype" w:eastAsia="Palatino Linotype" w:hAnsi="Palatino Linotype" w:cs="Palatino Linotype"/>
          <w:b w:val="0"/>
          <w:sz w:val="22"/>
          <w:szCs w:val="22"/>
        </w:rPr>
      </w:pPr>
      <w:bookmarkStart w:id="13" w:name="_heading=h.rkrat7dump7q" w:colFirst="0" w:colLast="0"/>
      <w:bookmarkEnd w:id="13"/>
      <w:r>
        <w:rPr>
          <w:rFonts w:ascii="Palatino Linotype" w:eastAsia="Palatino Linotype" w:hAnsi="Palatino Linotype" w:cs="Palatino Linotype"/>
          <w:sz w:val="22"/>
          <w:szCs w:val="22"/>
        </w:rPr>
        <w:t>CUARTO. Marco normativo aplicable en materia de transparencia y acceso a la información pública</w:t>
      </w:r>
    </w:p>
    <w:p w14:paraId="4985DD1C" w14:textId="77777777" w:rsidR="009E197C" w:rsidRDefault="009E197C">
      <w:pPr>
        <w:spacing w:line="360" w:lineRule="auto"/>
        <w:jc w:val="both"/>
        <w:rPr>
          <w:rFonts w:ascii="Palatino Linotype" w:eastAsia="Palatino Linotype" w:hAnsi="Palatino Linotype" w:cs="Palatino Linotype"/>
          <w:sz w:val="22"/>
          <w:szCs w:val="22"/>
        </w:rPr>
      </w:pPr>
    </w:p>
    <w:p w14:paraId="2F8059E2"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04FD5A" w14:textId="77777777" w:rsidR="009E197C" w:rsidRDefault="009E197C">
      <w:pPr>
        <w:spacing w:line="360" w:lineRule="auto"/>
        <w:jc w:val="both"/>
        <w:rPr>
          <w:rFonts w:ascii="Palatino Linotype" w:eastAsia="Palatino Linotype" w:hAnsi="Palatino Linotype" w:cs="Palatino Linotype"/>
          <w:sz w:val="22"/>
          <w:szCs w:val="22"/>
        </w:rPr>
      </w:pPr>
    </w:p>
    <w:p w14:paraId="5C78661F"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materia local, el artículo 5°, fracción I de la Constitución Política del Estado Libre y Soberano de México, es coincidente con la Constitución Política de los Estados Unidos </w:t>
      </w:r>
      <w:r>
        <w:rPr>
          <w:rFonts w:ascii="Palatino Linotype" w:eastAsia="Palatino Linotype" w:hAnsi="Palatino Linotype" w:cs="Palatino Linotype"/>
          <w:sz w:val="22"/>
          <w:szCs w:val="22"/>
        </w:rPr>
        <w:lastRenderedPageBreak/>
        <w:t>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F299D7" w14:textId="77777777" w:rsidR="009E197C" w:rsidRDefault="009E197C">
      <w:pPr>
        <w:spacing w:line="360" w:lineRule="auto"/>
        <w:jc w:val="both"/>
        <w:rPr>
          <w:rFonts w:ascii="Palatino Linotype" w:eastAsia="Palatino Linotype" w:hAnsi="Palatino Linotype" w:cs="Palatino Linotype"/>
          <w:sz w:val="22"/>
          <w:szCs w:val="22"/>
        </w:rPr>
      </w:pPr>
    </w:p>
    <w:p w14:paraId="23049A22"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0299D9B4" w14:textId="77777777" w:rsidR="009E197C" w:rsidRDefault="009E197C">
      <w:pPr>
        <w:spacing w:line="360" w:lineRule="auto"/>
        <w:jc w:val="both"/>
        <w:rPr>
          <w:rFonts w:ascii="Palatino Linotype" w:eastAsia="Palatino Linotype" w:hAnsi="Palatino Linotype" w:cs="Palatino Linotype"/>
          <w:sz w:val="22"/>
          <w:szCs w:val="22"/>
        </w:rPr>
      </w:pPr>
    </w:p>
    <w:p w14:paraId="63418F94"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dice que, quienes generen, recopilen, administren, manejen, procesen, archiven o conserven información pública serán responsables de la misma.</w:t>
      </w:r>
    </w:p>
    <w:p w14:paraId="652DFBA7" w14:textId="77777777" w:rsidR="009E197C" w:rsidRDefault="009E197C">
      <w:pPr>
        <w:spacing w:line="360" w:lineRule="auto"/>
        <w:jc w:val="both"/>
        <w:rPr>
          <w:rFonts w:ascii="Palatino Linotype" w:eastAsia="Palatino Linotype" w:hAnsi="Palatino Linotype" w:cs="Palatino Linotype"/>
          <w:sz w:val="22"/>
          <w:szCs w:val="22"/>
        </w:rPr>
      </w:pPr>
    </w:p>
    <w:p w14:paraId="301C332D"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4E40257" w14:textId="77777777" w:rsidR="009E197C" w:rsidRDefault="009E197C">
      <w:pPr>
        <w:spacing w:line="360" w:lineRule="auto"/>
        <w:jc w:val="both"/>
        <w:rPr>
          <w:rFonts w:ascii="Palatino Linotype" w:eastAsia="Palatino Linotype" w:hAnsi="Palatino Linotype" w:cs="Palatino Linotype"/>
          <w:sz w:val="22"/>
          <w:szCs w:val="22"/>
        </w:rPr>
      </w:pPr>
    </w:p>
    <w:p w14:paraId="7A3A97E6"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4E239A8" w14:textId="77777777" w:rsidR="009E197C" w:rsidRDefault="009E197C">
      <w:pPr>
        <w:spacing w:line="360" w:lineRule="auto"/>
        <w:jc w:val="both"/>
        <w:rPr>
          <w:rFonts w:ascii="Palatino Linotype" w:eastAsia="Palatino Linotype" w:hAnsi="Palatino Linotype" w:cs="Palatino Linotype"/>
          <w:b/>
          <w:sz w:val="22"/>
          <w:szCs w:val="22"/>
        </w:rPr>
      </w:pPr>
    </w:p>
    <w:p w14:paraId="65CAB978" w14:textId="77777777" w:rsidR="009E197C" w:rsidRDefault="00727B69">
      <w:pPr>
        <w:pStyle w:val="Ttulo2"/>
        <w:spacing w:before="0" w:after="0" w:line="360" w:lineRule="auto"/>
        <w:rPr>
          <w:rFonts w:ascii="Palatino Linotype" w:eastAsia="Palatino Linotype" w:hAnsi="Palatino Linotype" w:cs="Palatino Linotype"/>
          <w:b w:val="0"/>
          <w:sz w:val="22"/>
          <w:szCs w:val="22"/>
        </w:rPr>
      </w:pPr>
      <w:bookmarkStart w:id="14" w:name="_heading=h.5pssgamxtybp" w:colFirst="0" w:colLast="0"/>
      <w:bookmarkEnd w:id="14"/>
      <w:r>
        <w:rPr>
          <w:rFonts w:ascii="Palatino Linotype" w:eastAsia="Palatino Linotype" w:hAnsi="Palatino Linotype" w:cs="Palatino Linotype"/>
          <w:sz w:val="22"/>
          <w:szCs w:val="22"/>
        </w:rPr>
        <w:t>QUINTO. Estudio de Fondo</w:t>
      </w:r>
    </w:p>
    <w:p w14:paraId="2D3A2FD3" w14:textId="77777777" w:rsidR="009E197C" w:rsidRDefault="009E197C">
      <w:pPr>
        <w:spacing w:line="360" w:lineRule="auto"/>
        <w:jc w:val="both"/>
        <w:rPr>
          <w:rFonts w:ascii="Palatino Linotype" w:eastAsia="Palatino Linotype" w:hAnsi="Palatino Linotype" w:cs="Palatino Linotype"/>
          <w:sz w:val="22"/>
          <w:szCs w:val="22"/>
        </w:rPr>
      </w:pPr>
    </w:p>
    <w:p w14:paraId="2C497577"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Una vez expuesto lo anterior, es preciso proceder a la contextualización de la solicitud de información, dado que se trata de información relacionada con recomendaciones emitidas por el Órgano Interno de Control Municipal y el seguimiento por parte de la Sindicatura Municipal. </w:t>
      </w:r>
    </w:p>
    <w:p w14:paraId="192C1878" w14:textId="77777777" w:rsidR="009E197C" w:rsidRDefault="009E197C">
      <w:pPr>
        <w:spacing w:line="360" w:lineRule="auto"/>
        <w:jc w:val="both"/>
        <w:rPr>
          <w:rFonts w:ascii="Palatino Linotype" w:eastAsia="Palatino Linotype" w:hAnsi="Palatino Linotype" w:cs="Palatino Linotype"/>
          <w:sz w:val="22"/>
          <w:szCs w:val="22"/>
        </w:rPr>
      </w:pPr>
    </w:p>
    <w:p w14:paraId="4BB37CF3" w14:textId="22DF7BB9"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Al respecto dicha información se vincula con la generada por los órganos internos de control municipales, quienes de conformidad con lo dispuesto en el artículo 18 de la Ley de Responsabilidades Administrativas del Estado de México y Municipios, deben evaluar anualmente el resultado de las acciones específicas que implemente y en su caso informar de las modificaciones que resulten procedentes al Presidente Municipal</w:t>
      </w:r>
      <w:r w:rsidR="00910245">
        <w:rPr>
          <w:rFonts w:ascii="Palatino Linotype" w:eastAsia="Palatino Linotype" w:hAnsi="Palatino Linotype" w:cs="Palatino Linotype"/>
          <w:sz w:val="22"/>
          <w:szCs w:val="22"/>
        </w:rPr>
        <w:t>.</w:t>
      </w:r>
    </w:p>
    <w:p w14:paraId="3FCD4973" w14:textId="77777777" w:rsidR="009E197C" w:rsidRDefault="009E197C">
      <w:pPr>
        <w:spacing w:line="360" w:lineRule="auto"/>
        <w:jc w:val="both"/>
        <w:rPr>
          <w:rFonts w:ascii="Palatino Linotype" w:eastAsia="Palatino Linotype" w:hAnsi="Palatino Linotype" w:cs="Palatino Linotype"/>
          <w:sz w:val="22"/>
          <w:szCs w:val="22"/>
        </w:rPr>
      </w:pPr>
    </w:p>
    <w:p w14:paraId="41878C15" w14:textId="5F3A45B2"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artículo 112, fracciones I, III y XI de la Ley Orgánica Municipal del Estado de México, establece que dentro de las funciones del </w:t>
      </w:r>
      <w:r w:rsidR="00910245">
        <w:rPr>
          <w:rFonts w:ascii="Palatino Linotype" w:eastAsia="Palatino Linotype" w:hAnsi="Palatino Linotype" w:cs="Palatino Linotype"/>
          <w:sz w:val="22"/>
          <w:szCs w:val="22"/>
        </w:rPr>
        <w:t>Ó</w:t>
      </w:r>
      <w:r>
        <w:rPr>
          <w:rFonts w:ascii="Palatino Linotype" w:eastAsia="Palatino Linotype" w:hAnsi="Palatino Linotype" w:cs="Palatino Linotype"/>
          <w:sz w:val="22"/>
          <w:szCs w:val="22"/>
        </w:rPr>
        <w:t xml:space="preserve">rgano </w:t>
      </w:r>
      <w:r w:rsidR="00910245">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nterno de </w:t>
      </w:r>
      <w:r w:rsidR="00910245">
        <w:rPr>
          <w:rFonts w:ascii="Palatino Linotype" w:eastAsia="Palatino Linotype" w:hAnsi="Palatino Linotype" w:cs="Palatino Linotype"/>
          <w:sz w:val="22"/>
          <w:szCs w:val="22"/>
        </w:rPr>
        <w:t>C</w:t>
      </w:r>
      <w:r>
        <w:rPr>
          <w:rFonts w:ascii="Palatino Linotype" w:eastAsia="Palatino Linotype" w:hAnsi="Palatino Linotype" w:cs="Palatino Linotype"/>
          <w:sz w:val="22"/>
          <w:szCs w:val="22"/>
        </w:rPr>
        <w:t>ontrol municipal, se cuenta con la atribución de planear, programar, organizar y coordinar el sistema de control y evaluación municipal, así como de aplicar las normas y criterios en materia de control y evaluación, por su parte, dicha área puede realizar auditorías y evaluaciones e informar del resultado de las mismas al Ayuntamiento.</w:t>
      </w:r>
    </w:p>
    <w:p w14:paraId="40AC6A4C" w14:textId="77777777" w:rsidR="00910245" w:rsidRDefault="00910245">
      <w:pPr>
        <w:spacing w:line="360" w:lineRule="auto"/>
        <w:jc w:val="both"/>
        <w:rPr>
          <w:rFonts w:ascii="Palatino Linotype" w:eastAsia="Palatino Linotype" w:hAnsi="Palatino Linotype" w:cs="Palatino Linotype"/>
          <w:sz w:val="22"/>
          <w:szCs w:val="22"/>
        </w:rPr>
      </w:pPr>
    </w:p>
    <w:p w14:paraId="46F95A24" w14:textId="62FA7B21" w:rsidR="009E197C" w:rsidRDefault="0091024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orden de ideas, el Manual de Organización del Órgano Interno de Control Municipal, establece que el Órgano Interno de Control Municipal tiene a su cargo, diversas funciones, entre ellas, la de efectuar el seguimiento de la implementación de acciones de mejora para las recomendaciones derivadas de las acciones de control y evaluación; planear, programar y dirigir las acciones de control y evaluación; coordinar la planeación y ejecución de acciones de control y evaluación dentro del Sujeto Obligado,  y planear, coordinar, dirigir, controlar y evaluar las auditorías que se lleven a cabo a las diferentes unidades administrativas e informar de sus resultados a las instituciones correspondientes. </w:t>
      </w:r>
    </w:p>
    <w:p w14:paraId="6703E959" w14:textId="77777777" w:rsidR="009E197C" w:rsidRDefault="009E197C">
      <w:pPr>
        <w:spacing w:line="360" w:lineRule="auto"/>
        <w:jc w:val="both"/>
        <w:rPr>
          <w:rFonts w:ascii="Palatino Linotype" w:eastAsia="Palatino Linotype" w:hAnsi="Palatino Linotype" w:cs="Palatino Linotype"/>
          <w:sz w:val="22"/>
          <w:szCs w:val="22"/>
        </w:rPr>
      </w:pPr>
    </w:p>
    <w:p w14:paraId="20F0946E" w14:textId="77777777" w:rsidR="00DE1515"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dentro del Manual en cita, se desprende lo correspondiente a los objetivos y funciones del Departamento de Fiscalización, Control y Evaluación Interna de la Gestión Municipal, </w:t>
      </w:r>
      <w:r w:rsidR="00DE1515">
        <w:rPr>
          <w:rFonts w:ascii="Palatino Linotype" w:eastAsia="Palatino Linotype" w:hAnsi="Palatino Linotype" w:cs="Palatino Linotype"/>
          <w:sz w:val="22"/>
          <w:szCs w:val="22"/>
        </w:rPr>
        <w:t>por lo que dicha área se encarga de</w:t>
      </w:r>
      <w:r>
        <w:rPr>
          <w:rFonts w:ascii="Palatino Linotype" w:eastAsia="Palatino Linotype" w:hAnsi="Palatino Linotype" w:cs="Palatino Linotype"/>
          <w:sz w:val="22"/>
          <w:szCs w:val="22"/>
        </w:rPr>
        <w:t xml:space="preserve"> planear, organizar y ejecutar auditorías de </w:t>
      </w:r>
      <w:r>
        <w:rPr>
          <w:rFonts w:ascii="Palatino Linotype" w:eastAsia="Palatino Linotype" w:hAnsi="Palatino Linotype" w:cs="Palatino Linotype"/>
          <w:sz w:val="22"/>
          <w:szCs w:val="22"/>
        </w:rPr>
        <w:lastRenderedPageBreak/>
        <w:t xml:space="preserve">cumplimiento, financiera y de desempeño, así como las diversas acciones control realizadas por las unidades administrativas de la administración pública municipal. </w:t>
      </w:r>
    </w:p>
    <w:p w14:paraId="3440AEAA" w14:textId="77777777" w:rsidR="00DE1515" w:rsidRDefault="00DE1515">
      <w:pPr>
        <w:spacing w:line="360" w:lineRule="auto"/>
        <w:jc w:val="both"/>
        <w:rPr>
          <w:rFonts w:ascii="Palatino Linotype" w:eastAsia="Palatino Linotype" w:hAnsi="Palatino Linotype" w:cs="Palatino Linotype"/>
          <w:sz w:val="22"/>
          <w:szCs w:val="22"/>
        </w:rPr>
      </w:pPr>
    </w:p>
    <w:p w14:paraId="1C1BE61B" w14:textId="2F844728" w:rsidR="009E197C" w:rsidRPr="00DE1515" w:rsidRDefault="00727B69">
      <w:pPr>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Dentro de sus funciones también se encuentra la de revisar, supervisar y autorizar los papeles de trabajo y documentos emanados de las diversas auditorías y otras acciones de control, </w:t>
      </w:r>
      <w:r w:rsidR="00DE1515">
        <w:rPr>
          <w:rFonts w:ascii="Palatino Linotype" w:eastAsia="Palatino Linotype" w:hAnsi="Palatino Linotype" w:cs="Palatino Linotype"/>
          <w:sz w:val="22"/>
          <w:szCs w:val="22"/>
        </w:rPr>
        <w:t xml:space="preserve">así como, </w:t>
      </w:r>
      <w:r>
        <w:rPr>
          <w:rFonts w:ascii="Palatino Linotype" w:eastAsia="Palatino Linotype" w:hAnsi="Palatino Linotype" w:cs="Palatino Linotype"/>
          <w:sz w:val="22"/>
          <w:szCs w:val="22"/>
        </w:rPr>
        <w:t>de supervisar la integración de los expedientes de auditoría, inspección, supervisión y otras acciones de control, y remitir los resultados de auditorías, inspecciones y otras acciones de control ejecutadas, también puede, p</w:t>
      </w:r>
      <w:r w:rsidRPr="00DE1515">
        <w:rPr>
          <w:rFonts w:ascii="Palatino Linotype" w:eastAsia="Palatino Linotype" w:hAnsi="Palatino Linotype" w:cs="Palatino Linotype"/>
          <w:b/>
          <w:bCs/>
          <w:sz w:val="22"/>
          <w:szCs w:val="22"/>
        </w:rPr>
        <w:t xml:space="preserve">roponer el seguimiento a las observaciones, acciones de mejora y/o recomendaciones y en su caso, determinar la </w:t>
      </w:r>
      <w:proofErr w:type="spellStart"/>
      <w:r w:rsidRPr="00DE1515">
        <w:rPr>
          <w:rFonts w:ascii="Palatino Linotype" w:eastAsia="Palatino Linotype" w:hAnsi="Palatino Linotype" w:cs="Palatino Linotype"/>
          <w:b/>
          <w:bCs/>
          <w:sz w:val="22"/>
          <w:szCs w:val="22"/>
        </w:rPr>
        <w:t>solventación</w:t>
      </w:r>
      <w:proofErr w:type="spellEnd"/>
      <w:r w:rsidRPr="00DE1515">
        <w:rPr>
          <w:rFonts w:ascii="Palatino Linotype" w:eastAsia="Palatino Linotype" w:hAnsi="Palatino Linotype" w:cs="Palatino Linotype"/>
          <w:b/>
          <w:bCs/>
          <w:sz w:val="22"/>
          <w:szCs w:val="22"/>
        </w:rPr>
        <w:t xml:space="preserve">, aclaración o atención a las mismas. </w:t>
      </w:r>
    </w:p>
    <w:p w14:paraId="75576D6D" w14:textId="77777777" w:rsidR="009E197C" w:rsidRDefault="009E197C">
      <w:pPr>
        <w:spacing w:line="360" w:lineRule="auto"/>
        <w:jc w:val="both"/>
        <w:rPr>
          <w:rFonts w:ascii="Palatino Linotype" w:eastAsia="Palatino Linotype" w:hAnsi="Palatino Linotype" w:cs="Palatino Linotype"/>
          <w:sz w:val="22"/>
          <w:szCs w:val="22"/>
        </w:rPr>
      </w:pPr>
    </w:p>
    <w:p w14:paraId="360DE3B6" w14:textId="39282A0A" w:rsidR="009E197C" w:rsidRDefault="00727B69">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Derivado de lo anterior, se aprecia que el Sujeto Obligado a través de su </w:t>
      </w:r>
      <w:r w:rsidR="00DE1515">
        <w:rPr>
          <w:rFonts w:ascii="Palatino Linotype" w:eastAsia="Palatino Linotype" w:hAnsi="Palatino Linotype" w:cs="Palatino Linotype"/>
          <w:b/>
          <w:sz w:val="22"/>
          <w:szCs w:val="22"/>
        </w:rPr>
        <w:t xml:space="preserve">Departamento de Fiscalización, Control y Evaluación Interna de la Gestión Municipal del </w:t>
      </w:r>
      <w:r>
        <w:rPr>
          <w:rFonts w:ascii="Palatino Linotype" w:eastAsia="Palatino Linotype" w:hAnsi="Palatino Linotype" w:cs="Palatino Linotype"/>
          <w:b/>
          <w:sz w:val="22"/>
          <w:szCs w:val="22"/>
        </w:rPr>
        <w:t>Órgano Interno de Control, puede conocer de la información relacionada con las recomendaciones realizadas durante la temporalidad requerida, las cuales pueden resultar de las auditorías o revisiones a las acciones específicas implementadas.</w:t>
      </w:r>
    </w:p>
    <w:p w14:paraId="4DE5935C" w14:textId="77777777" w:rsidR="009E197C" w:rsidRDefault="009E197C">
      <w:pPr>
        <w:spacing w:line="360" w:lineRule="auto"/>
        <w:jc w:val="both"/>
        <w:rPr>
          <w:rFonts w:ascii="Palatino Linotype" w:eastAsia="Palatino Linotype" w:hAnsi="Palatino Linotype" w:cs="Palatino Linotype"/>
          <w:sz w:val="22"/>
          <w:szCs w:val="22"/>
        </w:rPr>
      </w:pPr>
    </w:p>
    <w:p w14:paraId="7B530CE1" w14:textId="2E69C0BE" w:rsidR="009E197C" w:rsidRDefault="00727B69">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Por cuanto hace al seguimiento, </w:t>
      </w:r>
      <w:r w:rsidR="00DE1515">
        <w:rPr>
          <w:rFonts w:ascii="Palatino Linotype" w:eastAsia="Palatino Linotype" w:hAnsi="Palatino Linotype" w:cs="Palatino Linotype"/>
          <w:sz w:val="22"/>
          <w:szCs w:val="22"/>
        </w:rPr>
        <w:t>que,</w:t>
      </w:r>
      <w:r>
        <w:rPr>
          <w:rFonts w:ascii="Palatino Linotype" w:eastAsia="Palatino Linotype" w:hAnsi="Palatino Linotype" w:cs="Palatino Linotype"/>
          <w:sz w:val="22"/>
          <w:szCs w:val="22"/>
        </w:rPr>
        <w:t xml:space="preserve"> en su caso, podría realizar la Sindicatura Municipal, es preciso señalar que el artículo 52 de la Ley Orgánica Municipal del Estado de México prevé que los Síndicos Municipales tienen a su cargo, entre otras actividades la función de la contraloría interna, que en su caso, ejercerán conjuntamente con el órgano de control y evaluación que establezcan los ayuntamientos.</w:t>
      </w:r>
      <w:r>
        <w:rPr>
          <w:rFonts w:ascii="Palatino Linotype" w:eastAsia="Palatino Linotype" w:hAnsi="Palatino Linotype" w:cs="Palatino Linotype"/>
          <w:b/>
          <w:sz w:val="22"/>
          <w:szCs w:val="22"/>
        </w:rPr>
        <w:t xml:space="preserve"> </w:t>
      </w:r>
    </w:p>
    <w:p w14:paraId="3C22197C" w14:textId="77777777" w:rsidR="009E197C" w:rsidRDefault="009E197C">
      <w:pPr>
        <w:spacing w:line="360" w:lineRule="auto"/>
        <w:jc w:val="both"/>
        <w:rPr>
          <w:rFonts w:ascii="Palatino Linotype" w:eastAsia="Palatino Linotype" w:hAnsi="Palatino Linotype" w:cs="Palatino Linotype"/>
          <w:sz w:val="22"/>
          <w:szCs w:val="22"/>
        </w:rPr>
      </w:pPr>
    </w:p>
    <w:p w14:paraId="03388CBB"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robustece con lo dispuesto en artículo 38 Bando Municipal del Sujeto Obligado, que prevé que la Sindicatura Municipal tendrá a su cargo entre otras cosas, la función de la </w:t>
      </w:r>
      <w:r>
        <w:rPr>
          <w:rFonts w:ascii="Palatino Linotype" w:eastAsia="Palatino Linotype" w:hAnsi="Palatino Linotype" w:cs="Palatino Linotype"/>
          <w:sz w:val="22"/>
          <w:szCs w:val="22"/>
        </w:rPr>
        <w:lastRenderedPageBreak/>
        <w:t xml:space="preserve">Contraloría Interna, que será ejercida de forma conjunta con el Órgano Interno de Control; </w:t>
      </w:r>
      <w:r>
        <w:rPr>
          <w:rFonts w:ascii="Palatino Linotype" w:eastAsia="Palatino Linotype" w:hAnsi="Palatino Linotype" w:cs="Palatino Linotype"/>
          <w:b/>
          <w:sz w:val="22"/>
          <w:szCs w:val="22"/>
        </w:rPr>
        <w:t>por lo que en su caso, la Sindicatura podría conocer de lo solicitado.</w:t>
      </w:r>
    </w:p>
    <w:p w14:paraId="2B7B9DE1" w14:textId="77777777" w:rsidR="009E197C" w:rsidRDefault="009E197C">
      <w:pPr>
        <w:spacing w:line="360" w:lineRule="auto"/>
        <w:jc w:val="both"/>
        <w:rPr>
          <w:rFonts w:ascii="Palatino Linotype" w:eastAsia="Palatino Linotype" w:hAnsi="Palatino Linotype" w:cs="Palatino Linotype"/>
          <w:sz w:val="22"/>
          <w:szCs w:val="22"/>
        </w:rPr>
      </w:pPr>
    </w:p>
    <w:p w14:paraId="40648035"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Así, se procede analizar la información proporcionada por el Sujeto Obligado, para lo cual, cabe señalar que este dio respuesta a través de la Sindicatura Municipal y de la Contraloría Municipal; por lo que, </w:t>
      </w:r>
      <w:r>
        <w:rPr>
          <w:rFonts w:ascii="Palatino Linotype" w:eastAsia="Palatino Linotype" w:hAnsi="Palatino Linotype" w:cs="Palatino Linotype"/>
          <w:sz w:val="22"/>
          <w:szCs w:val="22"/>
        </w:rPr>
        <w:t xml:space="preserve">es oportuno hacer referencia al </w:t>
      </w:r>
      <w:r>
        <w:rPr>
          <w:rFonts w:ascii="Palatino Linotype" w:eastAsia="Palatino Linotype" w:hAnsi="Palatino Linotype" w:cs="Palatino Linotype"/>
          <w:b/>
          <w:sz w:val="22"/>
          <w:szCs w:val="22"/>
        </w:rPr>
        <w:t>procedimiento de búsqueda que deben de seguir los Sujetos Obligados para localizar la información</w:t>
      </w:r>
      <w:r>
        <w:rPr>
          <w:rFonts w:ascii="Palatino Linotype" w:eastAsia="Palatino Linotype" w:hAnsi="Palatino Linotype" w:cs="Palatino Linotype"/>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6A9735F6" w14:textId="77777777" w:rsidR="009E197C" w:rsidRDefault="009E197C">
      <w:pPr>
        <w:spacing w:line="360" w:lineRule="auto"/>
        <w:jc w:val="both"/>
        <w:rPr>
          <w:rFonts w:ascii="Palatino Linotype" w:eastAsia="Palatino Linotype" w:hAnsi="Palatino Linotype" w:cs="Palatino Linotype"/>
          <w:sz w:val="22"/>
          <w:szCs w:val="22"/>
        </w:rPr>
      </w:pPr>
    </w:p>
    <w:p w14:paraId="45FE0DDC" w14:textId="4A752A9D" w:rsidR="009E197C" w:rsidRDefault="00727B69">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pues, es preciso indicar </w:t>
      </w:r>
      <w:r w:rsidR="00DE1515">
        <w:rPr>
          <w:rFonts w:ascii="Palatino Linotype" w:eastAsia="Palatino Linotype" w:hAnsi="Palatino Linotype" w:cs="Palatino Linotype"/>
          <w:sz w:val="22"/>
          <w:szCs w:val="22"/>
        </w:rPr>
        <w:t>que,</w:t>
      </w:r>
      <w:r>
        <w:rPr>
          <w:rFonts w:ascii="Palatino Linotype" w:eastAsia="Palatino Linotype" w:hAnsi="Palatino Linotype" w:cs="Palatino Linotype"/>
          <w:sz w:val="22"/>
          <w:szCs w:val="22"/>
        </w:rPr>
        <w:t xml:space="preserve"> de conformidad con lo descrito en líneas anteriores, </w:t>
      </w:r>
      <w:r>
        <w:rPr>
          <w:rFonts w:ascii="Palatino Linotype" w:eastAsia="Palatino Linotype" w:hAnsi="Palatino Linotype" w:cs="Palatino Linotype"/>
          <w:color w:val="000000"/>
          <w:sz w:val="22"/>
          <w:szCs w:val="22"/>
        </w:rPr>
        <w:t xml:space="preserve">se advierte que </w:t>
      </w:r>
      <w:r>
        <w:rPr>
          <w:rFonts w:ascii="Palatino Linotype" w:eastAsia="Palatino Linotype" w:hAnsi="Palatino Linotype" w:cs="Palatino Linotype"/>
          <w:b/>
          <w:color w:val="000000"/>
          <w:sz w:val="22"/>
          <w:szCs w:val="22"/>
        </w:rPr>
        <w:t>el Sujeto Obligado cumplió con el procedimiento de búsqueda referido</w:t>
      </w:r>
      <w:r>
        <w:rPr>
          <w:rFonts w:ascii="Palatino Linotype" w:eastAsia="Palatino Linotype" w:hAnsi="Palatino Linotype" w:cs="Palatino Linotype"/>
          <w:color w:val="000000"/>
          <w:sz w:val="22"/>
          <w:szCs w:val="22"/>
        </w:rPr>
        <w:t>, pues turnó la solicitud de información a las áreas que pueden resultar competentes de conocer lo solicitado.</w:t>
      </w:r>
    </w:p>
    <w:p w14:paraId="3E66958D" w14:textId="77777777" w:rsidR="009E197C" w:rsidRDefault="009E197C">
      <w:pPr>
        <w:spacing w:line="360" w:lineRule="auto"/>
        <w:jc w:val="both"/>
        <w:rPr>
          <w:rFonts w:ascii="Palatino Linotype" w:eastAsia="Palatino Linotype" w:hAnsi="Palatino Linotype" w:cs="Palatino Linotype"/>
          <w:sz w:val="22"/>
          <w:szCs w:val="22"/>
        </w:rPr>
      </w:pPr>
    </w:p>
    <w:p w14:paraId="2B62C901" w14:textId="338FE5B8" w:rsidR="00DE1515" w:rsidRPr="00DE1515" w:rsidRDefault="00727B69">
      <w:pPr>
        <w:spacing w:line="360" w:lineRule="auto"/>
        <w:jc w:val="both"/>
        <w:rPr>
          <w:rFonts w:ascii="Palatino Linotype" w:eastAsia="Palatino Linotype" w:hAnsi="Palatino Linotype" w:cs="Palatino Linotype"/>
          <w:bCs/>
          <w:sz w:val="22"/>
          <w:szCs w:val="22"/>
        </w:rPr>
      </w:pPr>
      <w:r>
        <w:rPr>
          <w:rFonts w:ascii="Palatino Linotype" w:eastAsia="Palatino Linotype" w:hAnsi="Palatino Linotype" w:cs="Palatino Linotype"/>
          <w:sz w:val="22"/>
          <w:szCs w:val="22"/>
        </w:rPr>
        <w:t>En este contexto normativo se debe tener en cuenta, que la parte Recurrente requirió</w:t>
      </w:r>
      <w:r w:rsidR="00DE1515">
        <w:rPr>
          <w:rFonts w:ascii="Palatino Linotype" w:eastAsia="Palatino Linotype" w:hAnsi="Palatino Linotype" w:cs="Palatino Linotype"/>
          <w:sz w:val="22"/>
          <w:szCs w:val="22"/>
        </w:rPr>
        <w:t xml:space="preserve"> del </w:t>
      </w:r>
      <w:r w:rsidR="00DE1515" w:rsidRPr="00DE1515">
        <w:rPr>
          <w:rFonts w:ascii="Palatino Linotype" w:eastAsia="Palatino Linotype" w:hAnsi="Palatino Linotype" w:cs="Palatino Linotype"/>
          <w:bCs/>
          <w:sz w:val="22"/>
          <w:szCs w:val="22"/>
        </w:rPr>
        <w:t>25 de marzo de 2020 al 25 de marzo de 2025, lo siguiente:</w:t>
      </w:r>
    </w:p>
    <w:p w14:paraId="4EF3F967" w14:textId="77777777" w:rsidR="00DE1515" w:rsidRDefault="00DE1515">
      <w:pPr>
        <w:spacing w:line="360" w:lineRule="auto"/>
        <w:jc w:val="both"/>
        <w:rPr>
          <w:rFonts w:ascii="Palatino Linotype" w:eastAsia="Palatino Linotype" w:hAnsi="Palatino Linotype" w:cs="Palatino Linotype"/>
          <w:sz w:val="22"/>
          <w:szCs w:val="22"/>
        </w:rPr>
      </w:pPr>
    </w:p>
    <w:p w14:paraId="10393D80" w14:textId="2AD7F41B" w:rsidR="009E197C" w:rsidRPr="00DE1515" w:rsidRDefault="00DE1515" w:rsidP="00DE1515">
      <w:pPr>
        <w:pStyle w:val="Prrafodelista"/>
        <w:numPr>
          <w:ilvl w:val="0"/>
          <w:numId w:val="10"/>
        </w:numPr>
        <w:spacing w:line="360" w:lineRule="auto"/>
        <w:jc w:val="both"/>
        <w:rPr>
          <w:rFonts w:ascii="Palatino Linotype" w:eastAsia="Palatino Linotype" w:hAnsi="Palatino Linotype" w:cs="Palatino Linotype"/>
          <w:b/>
          <w:color w:val="000000"/>
          <w:szCs w:val="22"/>
        </w:rPr>
      </w:pPr>
      <w:r w:rsidRPr="00DE1515">
        <w:rPr>
          <w:rFonts w:ascii="Palatino Linotype" w:eastAsia="Palatino Linotype" w:hAnsi="Palatino Linotype" w:cs="Palatino Linotype"/>
          <w:b/>
          <w:bCs/>
          <w:szCs w:val="22"/>
        </w:rPr>
        <w:t>L</w:t>
      </w:r>
      <w:r w:rsidRPr="00DE1515">
        <w:rPr>
          <w:rFonts w:ascii="Palatino Linotype" w:eastAsia="Palatino Linotype" w:hAnsi="Palatino Linotype" w:cs="Palatino Linotype"/>
          <w:b/>
          <w:color w:val="000000"/>
          <w:szCs w:val="22"/>
        </w:rPr>
        <w:t xml:space="preserve">as recomendaciones emitidas por el Órgano Interno de Control </w:t>
      </w:r>
    </w:p>
    <w:p w14:paraId="7EF90E45" w14:textId="77777777" w:rsidR="009E197C" w:rsidRDefault="00727B69" w:rsidP="00DE151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El seguimiento que la Sindicatura Municipal ha realizado para asegurar su cumplimiento y los resultados obtenidos. </w:t>
      </w:r>
    </w:p>
    <w:p w14:paraId="33A564CE" w14:textId="77777777" w:rsidR="009E197C" w:rsidRDefault="009E197C">
      <w:pPr>
        <w:spacing w:line="360" w:lineRule="auto"/>
        <w:jc w:val="both"/>
        <w:rPr>
          <w:rFonts w:ascii="Palatino Linotype" w:eastAsia="Palatino Linotype" w:hAnsi="Palatino Linotype" w:cs="Palatino Linotype"/>
          <w:sz w:val="22"/>
          <w:szCs w:val="22"/>
        </w:rPr>
      </w:pPr>
    </w:p>
    <w:p w14:paraId="6B18F080" w14:textId="0A186933"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Ahora bien, en atención a que se tratan de requerimientos de información diversos y que el Sujeto Obligado emitió pronunciamiento a cada uno de ellos, se procede a su análisis en los siguientes términos:</w:t>
      </w:r>
    </w:p>
    <w:p w14:paraId="3618967B" w14:textId="77777777" w:rsidR="009E197C" w:rsidRDefault="009E197C">
      <w:pPr>
        <w:spacing w:line="360" w:lineRule="auto"/>
        <w:jc w:val="both"/>
        <w:rPr>
          <w:rFonts w:ascii="Palatino Linotype" w:eastAsia="Palatino Linotype" w:hAnsi="Palatino Linotype" w:cs="Palatino Linotype"/>
          <w:sz w:val="22"/>
          <w:szCs w:val="22"/>
        </w:rPr>
      </w:pPr>
    </w:p>
    <w:p w14:paraId="426F472C" w14:textId="326B4530" w:rsidR="00DE1515" w:rsidRDefault="00DE1515">
      <w:pPr>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Recomendaciones emitidas</w:t>
      </w:r>
    </w:p>
    <w:p w14:paraId="2E765E1B" w14:textId="77777777" w:rsidR="00DE1515" w:rsidRPr="00DE1515" w:rsidRDefault="00DE1515">
      <w:pPr>
        <w:spacing w:line="360" w:lineRule="auto"/>
        <w:jc w:val="both"/>
        <w:rPr>
          <w:rFonts w:ascii="Palatino Linotype" w:eastAsia="Palatino Linotype" w:hAnsi="Palatino Linotype" w:cs="Palatino Linotype"/>
          <w:b/>
          <w:bCs/>
          <w:sz w:val="22"/>
          <w:szCs w:val="22"/>
        </w:rPr>
      </w:pPr>
    </w:p>
    <w:p w14:paraId="1C9A9BAD" w14:textId="0C78EF75" w:rsidR="00DE1515" w:rsidRPr="00DE1515" w:rsidRDefault="00727B69" w:rsidP="00DE1515">
      <w:pPr>
        <w:spacing w:line="360" w:lineRule="auto"/>
        <w:jc w:val="both"/>
        <w:rPr>
          <w:rFonts w:ascii="Palatino Linotype" w:eastAsia="Palatino Linotype" w:hAnsi="Palatino Linotype" w:cs="Palatino Linotype"/>
          <w:b/>
          <w:bCs/>
          <w:sz w:val="22"/>
          <w:szCs w:val="22"/>
          <w:lang w:val="es-ES_tradnl"/>
        </w:rPr>
      </w:pPr>
      <w:r>
        <w:rPr>
          <w:rFonts w:ascii="Palatino Linotype" w:eastAsia="Palatino Linotype" w:hAnsi="Palatino Linotype" w:cs="Palatino Linotype"/>
          <w:sz w:val="22"/>
          <w:szCs w:val="22"/>
        </w:rPr>
        <w:t xml:space="preserve">Al respecto, es menester señalar que sí bien, la parte Recurrente requirió un informe detallado y que dicha información podría considerarse como la solicitud de un documento </w:t>
      </w:r>
      <w:r>
        <w:rPr>
          <w:rFonts w:ascii="Palatino Linotype" w:eastAsia="Palatino Linotype" w:hAnsi="Palatino Linotype" w:cs="Palatino Linotype"/>
          <w:i/>
          <w:sz w:val="22"/>
          <w:szCs w:val="22"/>
        </w:rPr>
        <w:t xml:space="preserve">ad hoc, </w:t>
      </w:r>
      <w:r>
        <w:rPr>
          <w:rFonts w:ascii="Palatino Linotype" w:eastAsia="Palatino Linotype" w:hAnsi="Palatino Linotype" w:cs="Palatino Linotype"/>
          <w:sz w:val="22"/>
          <w:szCs w:val="22"/>
        </w:rPr>
        <w:t xml:space="preserve">lo cierto es, que en la atención a las solicitudes de información se debe procurar atender a la expresión documental, en este sentido, se atrae al estudio </w:t>
      </w:r>
      <w:r w:rsidR="00DE1515" w:rsidRPr="00DE1515">
        <w:rPr>
          <w:rFonts w:ascii="Palatino Linotype" w:eastAsia="Palatino Linotype" w:hAnsi="Palatino Linotype" w:cs="Palatino Linotype"/>
          <w:sz w:val="22"/>
          <w:szCs w:val="22"/>
          <w:lang w:val="es-ES_tradnl"/>
        </w:rPr>
        <w:t xml:space="preserve">el Criterio de Interpretación, con clave de control SO/016/2017, de la Segunda Época, emitido por el </w:t>
      </w:r>
      <w:r w:rsidR="00DE1515">
        <w:rPr>
          <w:rFonts w:ascii="Palatino Linotype" w:eastAsia="Palatino Linotype" w:hAnsi="Palatino Linotype" w:cs="Palatino Linotype"/>
          <w:sz w:val="22"/>
          <w:szCs w:val="22"/>
          <w:lang w:val="es-ES_tradnl"/>
        </w:rPr>
        <w:t xml:space="preserve">entonces </w:t>
      </w:r>
      <w:r w:rsidR="00DE1515" w:rsidRPr="00DE1515">
        <w:rPr>
          <w:rFonts w:ascii="Palatino Linotype" w:eastAsia="Palatino Linotype" w:hAnsi="Palatino Linotype" w:cs="Palatino Linotype"/>
          <w:sz w:val="22"/>
          <w:szCs w:val="22"/>
          <w:lang w:val="es-ES_tradnl"/>
        </w:rPr>
        <w:t xml:space="preserve">Instituto Nacional de Transparencia, Acceso a la Información y Protección de Datos Personales, </w:t>
      </w:r>
      <w:r w:rsidR="00DE1515">
        <w:rPr>
          <w:rFonts w:ascii="Palatino Linotype" w:eastAsia="Palatino Linotype" w:hAnsi="Palatino Linotype" w:cs="Palatino Linotype"/>
          <w:sz w:val="22"/>
          <w:szCs w:val="22"/>
          <w:lang w:val="es-ES_tradnl"/>
        </w:rPr>
        <w:t>que e</w:t>
      </w:r>
      <w:r w:rsidR="00DE1515" w:rsidRPr="00DE1515">
        <w:rPr>
          <w:rFonts w:ascii="Palatino Linotype" w:eastAsia="Palatino Linotype" w:hAnsi="Palatino Linotype" w:cs="Palatino Linotype"/>
          <w:sz w:val="22"/>
          <w:szCs w:val="22"/>
          <w:lang w:val="es-ES_tradnl"/>
        </w:rPr>
        <w:t xml:space="preserve">stablece que cuando los particulares no identifiquen de forma precisa la documentación que podría contener la información de su interés o la solicitud sea una consulta, </w:t>
      </w:r>
      <w:r w:rsidR="00DE1515" w:rsidRPr="00DE1515">
        <w:rPr>
          <w:rFonts w:ascii="Palatino Linotype" w:eastAsia="Palatino Linotype" w:hAnsi="Palatino Linotype" w:cs="Palatino Linotype"/>
          <w:b/>
          <w:bCs/>
          <w:sz w:val="22"/>
          <w:szCs w:val="22"/>
          <w:lang w:val="es-ES_tradnl"/>
        </w:rPr>
        <w:t>los Sujetos Obligados deben de proporcionar la expresión documental, que dé cuenta de lo requerido.</w:t>
      </w:r>
    </w:p>
    <w:p w14:paraId="7C0F2A14" w14:textId="77777777" w:rsidR="00DE1515" w:rsidRPr="00DE1515" w:rsidRDefault="00DE1515" w:rsidP="00DE1515">
      <w:pPr>
        <w:spacing w:line="360" w:lineRule="auto"/>
        <w:jc w:val="both"/>
        <w:rPr>
          <w:rFonts w:ascii="Palatino Linotype" w:eastAsia="Palatino Linotype" w:hAnsi="Palatino Linotype" w:cs="Palatino Linotype"/>
          <w:bCs/>
          <w:iCs/>
          <w:sz w:val="22"/>
          <w:szCs w:val="22"/>
        </w:rPr>
      </w:pPr>
    </w:p>
    <w:p w14:paraId="6851C3F9" w14:textId="44976B40" w:rsidR="009E197C" w:rsidRDefault="00DE15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para el caso que nos ocupa, si bien la persona Recurrente se puede entregar una expresión documental que satisfaga su solicitud de información, </w:t>
      </w:r>
      <w:r>
        <w:rPr>
          <w:rFonts w:ascii="Palatino Linotype" w:eastAsia="Palatino Linotype" w:hAnsi="Palatino Linotype" w:cs="Palatino Linotype"/>
          <w:b/>
          <w:sz w:val="22"/>
          <w:szCs w:val="22"/>
        </w:rPr>
        <w:t>lo que se traduce al documento donde consten las recomendaciones emitidas por el Órgano Interno de Control o Contraloría Municipal.</w:t>
      </w:r>
      <w:r>
        <w:rPr>
          <w:rFonts w:ascii="Palatino Linotype" w:eastAsia="Palatino Linotype" w:hAnsi="Palatino Linotype" w:cs="Palatino Linotype"/>
          <w:sz w:val="22"/>
          <w:szCs w:val="22"/>
        </w:rPr>
        <w:t xml:space="preserve"> </w:t>
      </w:r>
    </w:p>
    <w:p w14:paraId="23D818C0"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43A49CE" w14:textId="10CEF29D"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atención a lo anterior, la Contralora Municipal del Ayuntamiento de Zinacantepec, argumentó en respuesta que la solicitud de información se trata</w:t>
      </w:r>
      <w:r w:rsidR="00DE1515">
        <w:rPr>
          <w:rFonts w:ascii="Palatino Linotype" w:eastAsia="Palatino Linotype" w:hAnsi="Palatino Linotype" w:cs="Palatino Linotype"/>
          <w:sz w:val="22"/>
          <w:szCs w:val="22"/>
        </w:rPr>
        <w:t>ba</w:t>
      </w:r>
      <w:r>
        <w:rPr>
          <w:rFonts w:ascii="Palatino Linotype" w:eastAsia="Palatino Linotype" w:hAnsi="Palatino Linotype" w:cs="Palatino Linotype"/>
          <w:sz w:val="22"/>
          <w:szCs w:val="22"/>
        </w:rPr>
        <w:t xml:space="preserve"> de un derecho de petición y no de un ejercicio de acceso a la información pública, lo cual no da cuenta de lo solicitado, puesto que en un ejercicio de otorgar la expresión documental, debió de aplicar </w:t>
      </w:r>
      <w:r w:rsidR="00DE1515">
        <w:rPr>
          <w:rFonts w:ascii="Palatino Linotype" w:eastAsia="Palatino Linotype" w:hAnsi="Palatino Linotype" w:cs="Palatino Linotype"/>
          <w:sz w:val="22"/>
          <w:szCs w:val="22"/>
        </w:rPr>
        <w:t>el</w:t>
      </w:r>
      <w:r>
        <w:rPr>
          <w:rFonts w:ascii="Palatino Linotype" w:eastAsia="Palatino Linotype" w:hAnsi="Palatino Linotype" w:cs="Palatino Linotype"/>
          <w:sz w:val="22"/>
          <w:szCs w:val="22"/>
        </w:rPr>
        <w:t xml:space="preserve"> principio de expresión documental</w:t>
      </w:r>
      <w:r w:rsidR="00DE1515">
        <w:rPr>
          <w:rFonts w:ascii="Palatino Linotype" w:eastAsia="Palatino Linotype" w:hAnsi="Palatino Linotype" w:cs="Palatino Linotype"/>
          <w:sz w:val="22"/>
          <w:szCs w:val="22"/>
        </w:rPr>
        <w:t xml:space="preserve"> y de máxima publicidad, para</w:t>
      </w:r>
      <w:r>
        <w:rPr>
          <w:rFonts w:ascii="Palatino Linotype" w:eastAsia="Palatino Linotype" w:hAnsi="Palatino Linotype" w:cs="Palatino Linotype"/>
          <w:sz w:val="22"/>
          <w:szCs w:val="22"/>
        </w:rPr>
        <w:t xml:space="preserve"> considerar la entrega del documento </w:t>
      </w:r>
      <w:r>
        <w:rPr>
          <w:rFonts w:ascii="Palatino Linotype" w:eastAsia="Palatino Linotype" w:hAnsi="Palatino Linotype" w:cs="Palatino Linotype"/>
          <w:sz w:val="22"/>
          <w:szCs w:val="22"/>
        </w:rPr>
        <w:lastRenderedPageBreak/>
        <w:t xml:space="preserve">originario </w:t>
      </w:r>
      <w:r w:rsidR="00DE1515">
        <w:rPr>
          <w:rFonts w:ascii="Palatino Linotype" w:eastAsia="Palatino Linotype" w:hAnsi="Palatino Linotype" w:cs="Palatino Linotype"/>
          <w:sz w:val="22"/>
          <w:szCs w:val="22"/>
        </w:rPr>
        <w:t>o tuviera la información solicitada</w:t>
      </w:r>
      <w:r>
        <w:rPr>
          <w:rFonts w:ascii="Palatino Linotype" w:eastAsia="Palatino Linotype" w:hAnsi="Palatino Linotype" w:cs="Palatino Linotype"/>
          <w:sz w:val="22"/>
          <w:szCs w:val="22"/>
        </w:rPr>
        <w:t xml:space="preserve">, es decir de las recomendaciones y con ello otorgar el acceso a la información solicitada. </w:t>
      </w:r>
    </w:p>
    <w:p w14:paraId="3B2E2553" w14:textId="77777777" w:rsidR="009E197C" w:rsidRDefault="009E197C">
      <w:pPr>
        <w:spacing w:line="360" w:lineRule="auto"/>
        <w:jc w:val="both"/>
        <w:rPr>
          <w:rFonts w:ascii="Palatino Linotype" w:eastAsia="Palatino Linotype" w:hAnsi="Palatino Linotype" w:cs="Palatino Linotype"/>
          <w:sz w:val="22"/>
          <w:szCs w:val="22"/>
        </w:rPr>
      </w:pPr>
    </w:p>
    <w:p w14:paraId="745AB18C" w14:textId="77777777" w:rsidR="009E197C" w:rsidRDefault="00727B69">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pues, la respuesta proporcionada por el Sujeto Obligado no da cuenta de lo requerido y por tanto, </w:t>
      </w:r>
      <w:r>
        <w:rPr>
          <w:rFonts w:ascii="Palatino Linotype" w:eastAsia="Palatino Linotype" w:hAnsi="Palatino Linotype" w:cs="Palatino Linotype"/>
          <w:b/>
          <w:sz w:val="22"/>
          <w:szCs w:val="22"/>
        </w:rPr>
        <w:t xml:space="preserve">será necesario que entregue las recomendaciones que haya realizado el Órgano Interno de Control durante la temporalidad requerida. </w:t>
      </w:r>
    </w:p>
    <w:p w14:paraId="565A443D" w14:textId="77777777" w:rsidR="009E197C" w:rsidRDefault="009E197C">
      <w:pPr>
        <w:spacing w:line="360" w:lineRule="auto"/>
        <w:jc w:val="both"/>
        <w:rPr>
          <w:rFonts w:ascii="Palatino Linotype" w:eastAsia="Palatino Linotype" w:hAnsi="Palatino Linotype" w:cs="Palatino Linotype"/>
          <w:b/>
          <w:sz w:val="22"/>
          <w:szCs w:val="22"/>
        </w:rPr>
      </w:pPr>
    </w:p>
    <w:p w14:paraId="2FB5FFFD" w14:textId="77777777" w:rsidR="00A342E7" w:rsidRPr="00A342E7" w:rsidRDefault="00727B69" w:rsidP="00A342E7">
      <w:pPr>
        <w:spacing w:line="360" w:lineRule="auto"/>
        <w:jc w:val="both"/>
        <w:rPr>
          <w:rFonts w:ascii="Palatino Linotype" w:hAnsi="Palatino Linotype"/>
          <w:sz w:val="22"/>
          <w:szCs w:val="22"/>
          <w:lang w:eastAsia="es-ES"/>
        </w:rPr>
      </w:pPr>
      <w:r w:rsidRPr="00A342E7">
        <w:rPr>
          <w:rFonts w:ascii="Palatino Linotype" w:eastAsia="Palatino Linotype" w:hAnsi="Palatino Linotype" w:cs="Palatino Linotype"/>
          <w:bCs/>
          <w:sz w:val="22"/>
          <w:szCs w:val="22"/>
        </w:rPr>
        <w:t>Cabe señalar que para el caso de las recomendaciones que quedaron firmes y definitivas, deberá</w:t>
      </w:r>
      <w:r w:rsidR="00A342E7">
        <w:rPr>
          <w:rFonts w:ascii="Palatino Linotype" w:eastAsia="Palatino Linotype" w:hAnsi="Palatino Linotype" w:cs="Palatino Linotype"/>
          <w:bCs/>
          <w:sz w:val="22"/>
          <w:szCs w:val="22"/>
        </w:rPr>
        <w:t xml:space="preserve"> entregar los documentos que den cuenta de estas; </w:t>
      </w:r>
      <w:r w:rsidR="00A342E7" w:rsidRPr="00A342E7">
        <w:rPr>
          <w:rFonts w:ascii="Palatino Linotype" w:hAnsi="Palatino Linotype"/>
          <w:bCs/>
          <w:sz w:val="22"/>
          <w:szCs w:val="22"/>
          <w:lang w:val="es-ES" w:eastAsia="es-ES"/>
        </w:rPr>
        <w:t>d</w:t>
      </w:r>
      <w:r w:rsidR="00A342E7" w:rsidRPr="00A342E7">
        <w:rPr>
          <w:rFonts w:ascii="Palatino Linotype" w:hAnsi="Palatino Linotype"/>
          <w:iCs/>
          <w:sz w:val="22"/>
          <w:szCs w:val="22"/>
          <w:lang w:eastAsia="es-ES"/>
        </w:rPr>
        <w:t>icha</w:t>
      </w:r>
      <w:r w:rsidR="00A342E7" w:rsidRPr="00A342E7">
        <w:rPr>
          <w:rFonts w:ascii="Palatino Linotype" w:hAnsi="Palatino Linotype"/>
          <w:sz w:val="22"/>
          <w:szCs w:val="22"/>
          <w:lang w:val="es-ES" w:eastAsia="es-ES"/>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42A6B18" w14:textId="77777777" w:rsidR="00A342E7" w:rsidRPr="00A342E7" w:rsidRDefault="00A342E7" w:rsidP="00A342E7">
      <w:pPr>
        <w:spacing w:line="360" w:lineRule="auto"/>
        <w:jc w:val="both"/>
        <w:rPr>
          <w:rFonts w:ascii="Palatino Linotype" w:hAnsi="Palatino Linotype"/>
          <w:sz w:val="22"/>
          <w:szCs w:val="22"/>
          <w:lang w:val="es-ES" w:eastAsia="es-ES"/>
        </w:rPr>
      </w:pPr>
    </w:p>
    <w:p w14:paraId="1A5B5DEC" w14:textId="77777777" w:rsidR="00A342E7" w:rsidRPr="00A342E7" w:rsidRDefault="00A342E7" w:rsidP="00A342E7">
      <w:pPr>
        <w:spacing w:line="360" w:lineRule="auto"/>
        <w:jc w:val="both"/>
        <w:rPr>
          <w:rFonts w:ascii="Palatino Linotype" w:hAnsi="Palatino Linotype" w:cs="Tahoma"/>
          <w:i/>
          <w:iCs/>
          <w:lang w:val="es-ES" w:eastAsia="es-ES"/>
        </w:rPr>
      </w:pPr>
      <w:r w:rsidRPr="00A342E7">
        <w:rPr>
          <w:rFonts w:ascii="Palatino Linotype" w:hAnsi="Palatino Linotype" w:cs="Tahoma"/>
          <w:sz w:val="22"/>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A342E7">
        <w:rPr>
          <w:rFonts w:ascii="Palatino Linotype" w:hAnsi="Palatino Linotype" w:cs="Tahoma"/>
          <w:i/>
          <w:iCs/>
          <w:sz w:val="22"/>
          <w:szCs w:val="24"/>
          <w:lang w:val="es-ES" w:eastAsia="es-ES"/>
        </w:rPr>
        <w:t>ad hoc</w:t>
      </w:r>
      <w:r w:rsidRPr="00A342E7">
        <w:rPr>
          <w:rFonts w:ascii="Palatino Linotype" w:hAnsi="Palatino Linotype" w:cs="Tahoma"/>
          <w:sz w:val="22"/>
          <w:szCs w:val="24"/>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3E2EF748" w14:textId="77777777" w:rsidR="00A342E7" w:rsidRPr="00A342E7" w:rsidRDefault="00A342E7" w:rsidP="00A342E7">
      <w:pPr>
        <w:spacing w:line="360" w:lineRule="auto"/>
        <w:jc w:val="both"/>
        <w:rPr>
          <w:rFonts w:ascii="Palatino Linotype" w:eastAsia="Calibri" w:hAnsi="Palatino Linotype"/>
          <w:color w:val="000000" w:themeColor="text1"/>
          <w:sz w:val="22"/>
          <w:szCs w:val="22"/>
          <w:lang w:eastAsia="en-US"/>
        </w:rPr>
      </w:pPr>
    </w:p>
    <w:p w14:paraId="2AD1691D" w14:textId="40152971" w:rsidR="00A342E7" w:rsidRPr="00A342E7" w:rsidRDefault="00A342E7" w:rsidP="00A342E7">
      <w:pPr>
        <w:spacing w:line="360" w:lineRule="auto"/>
        <w:jc w:val="both"/>
        <w:rPr>
          <w:rFonts w:ascii="Palatino Linotype" w:hAnsi="Palatino Linotype" w:cs="Tahoma"/>
          <w:color w:val="0D0D0D" w:themeColor="text1" w:themeTint="F2"/>
          <w:sz w:val="22"/>
          <w:szCs w:val="22"/>
          <w:lang w:val="es-ES" w:eastAsia="es-ES"/>
        </w:rPr>
      </w:pPr>
      <w:r w:rsidRPr="00A342E7">
        <w:rPr>
          <w:rFonts w:ascii="Palatino Linotype" w:hAnsi="Palatino Linotype" w:cs="Tahoma"/>
          <w:color w:val="0D0D0D" w:themeColor="text1" w:themeTint="F2"/>
          <w:sz w:val="22"/>
          <w:szCs w:val="22"/>
          <w:lang w:val="es-ES" w:eastAsia="es-ES"/>
        </w:rPr>
        <w:t xml:space="preserve">De tales circunstancias, se concluye que los sujetos obligados únicamente se encuentran constreñidos a proporcionar la información que dé cuenta de lo peticionado, como obre en sus archivos, sin tener que elaborarlos a las necesidades del Recurrente; </w:t>
      </w:r>
      <w:r>
        <w:rPr>
          <w:rFonts w:ascii="Palatino Linotype" w:hAnsi="Palatino Linotype" w:cs="Tahoma"/>
          <w:color w:val="0D0D0D" w:themeColor="text1" w:themeTint="F2"/>
          <w:sz w:val="22"/>
          <w:szCs w:val="22"/>
          <w:lang w:val="es-ES" w:eastAsia="es-ES"/>
        </w:rPr>
        <w:t xml:space="preserve">por lo que, deberá entregar el documento donde consten las recomendaciones emitidas por la Contraloría Municipal, que se encuentren </w:t>
      </w:r>
      <w:r w:rsidR="00027227">
        <w:rPr>
          <w:rFonts w:ascii="Palatino Linotype" w:hAnsi="Palatino Linotype" w:cs="Tahoma"/>
          <w:color w:val="0D0D0D" w:themeColor="text1" w:themeTint="F2"/>
          <w:sz w:val="22"/>
          <w:szCs w:val="22"/>
          <w:lang w:val="es-ES" w:eastAsia="es-ES"/>
        </w:rPr>
        <w:t>concluidas</w:t>
      </w:r>
      <w:r>
        <w:rPr>
          <w:rFonts w:ascii="Palatino Linotype" w:hAnsi="Palatino Linotype" w:cs="Tahoma"/>
          <w:color w:val="0D0D0D" w:themeColor="text1" w:themeTint="F2"/>
          <w:sz w:val="22"/>
          <w:szCs w:val="22"/>
          <w:lang w:val="es-ES" w:eastAsia="es-ES"/>
        </w:rPr>
        <w:t>.</w:t>
      </w:r>
    </w:p>
    <w:p w14:paraId="02E3483F" w14:textId="69955E59" w:rsidR="009E197C" w:rsidRPr="00A342E7" w:rsidRDefault="00727B69">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lastRenderedPageBreak/>
        <w:t xml:space="preserve">Por cuanto hace a las </w:t>
      </w:r>
      <w:r>
        <w:rPr>
          <w:rFonts w:ascii="Palatino Linotype" w:eastAsia="Palatino Linotype" w:hAnsi="Palatino Linotype" w:cs="Palatino Linotype"/>
          <w:b/>
          <w:sz w:val="22"/>
          <w:szCs w:val="22"/>
        </w:rPr>
        <w:t xml:space="preserve">recomendaciones que se </w:t>
      </w:r>
      <w:r w:rsidR="00A342E7">
        <w:rPr>
          <w:rFonts w:ascii="Palatino Linotype" w:eastAsia="Palatino Linotype" w:hAnsi="Palatino Linotype" w:cs="Palatino Linotype"/>
          <w:b/>
          <w:sz w:val="22"/>
          <w:szCs w:val="22"/>
        </w:rPr>
        <w:t>encontra</w:t>
      </w:r>
      <w:r w:rsidR="00027227">
        <w:rPr>
          <w:rFonts w:ascii="Palatino Linotype" w:eastAsia="Palatino Linotype" w:hAnsi="Palatino Linotype" w:cs="Palatino Linotype"/>
          <w:b/>
          <w:sz w:val="22"/>
          <w:szCs w:val="22"/>
        </w:rPr>
        <w:t>b</w:t>
      </w:r>
      <w:r w:rsidR="00A342E7">
        <w:rPr>
          <w:rFonts w:ascii="Palatino Linotype" w:eastAsia="Palatino Linotype" w:hAnsi="Palatino Linotype" w:cs="Palatino Linotype"/>
          <w:b/>
          <w:sz w:val="22"/>
          <w:szCs w:val="22"/>
        </w:rPr>
        <w:t>an</w:t>
      </w:r>
      <w:r>
        <w:rPr>
          <w:rFonts w:ascii="Palatino Linotype" w:eastAsia="Palatino Linotype" w:hAnsi="Palatino Linotype" w:cs="Palatino Linotype"/>
          <w:b/>
          <w:sz w:val="22"/>
          <w:szCs w:val="22"/>
        </w:rPr>
        <w:t xml:space="preserve"> en trámite</w:t>
      </w:r>
      <w:r w:rsidR="00A342E7">
        <w:rPr>
          <w:rFonts w:ascii="Palatino Linotype" w:eastAsia="Palatino Linotype" w:hAnsi="Palatino Linotype" w:cs="Palatino Linotype"/>
          <w:b/>
          <w:sz w:val="22"/>
          <w:szCs w:val="22"/>
        </w:rPr>
        <w:t xml:space="preserve"> a la fecha de presentación de la solicitud, resulta analizar de manera oficiosa, si actualizan alguna causal de reserva; sobre tal circunstancia, </w:t>
      </w:r>
      <w:r>
        <w:rPr>
          <w:rFonts w:ascii="Palatino Linotype" w:eastAsia="Palatino Linotype" w:hAnsi="Palatino Linotype" w:cs="Palatino Linotype"/>
          <w:b/>
          <w:sz w:val="22"/>
          <w:szCs w:val="22"/>
        </w:rPr>
        <w:t xml:space="preserve">el </w:t>
      </w:r>
      <w:r>
        <w:rPr>
          <w:rFonts w:ascii="Palatino Linotype" w:eastAsia="Palatino Linotype" w:hAnsi="Palatino Linotype" w:cs="Palatino Linotype"/>
          <w:b/>
          <w:color w:val="000000"/>
          <w:sz w:val="22"/>
          <w:szCs w:val="22"/>
        </w:rPr>
        <w:t xml:space="preserve">artículo 140, fracción VII, </w:t>
      </w:r>
      <w:r>
        <w:rPr>
          <w:rFonts w:ascii="Palatino Linotype" w:eastAsia="Palatino Linotype" w:hAnsi="Palatino Linotype" w:cs="Palatino Linotype"/>
          <w:color w:val="000000"/>
          <w:sz w:val="22"/>
          <w:szCs w:val="22"/>
        </w:rPr>
        <w:t>de la Ley de Transparencia y Acceso a la Información Pública del Estado de México y Municipios (homólogo al artículo 113, fracción VIII de la Ley General de Transparencia y Acceso a la Información Pública), que precisa lo siguiente:</w:t>
      </w:r>
    </w:p>
    <w:p w14:paraId="64574E15"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045B7A7D" w14:textId="77777777" w:rsidR="009E197C" w:rsidRDefault="00727B69">
      <w:pPr>
        <w:spacing w:line="360" w:lineRule="auto"/>
        <w:ind w:left="567" w:right="567"/>
        <w:jc w:val="both"/>
        <w:rPr>
          <w:rFonts w:ascii="Palatino Linotype" w:eastAsia="Palatino Linotype" w:hAnsi="Palatino Linotype" w:cs="Palatino Linotype"/>
          <w:i/>
          <w:color w:val="000000"/>
        </w:rPr>
      </w:pPr>
      <w:r w:rsidRPr="00A342E7">
        <w:rPr>
          <w:rFonts w:ascii="Palatino Linotype" w:eastAsia="Palatino Linotype" w:hAnsi="Palatino Linotype" w:cs="Palatino Linotype"/>
          <w:b/>
          <w:bCs/>
          <w:i/>
          <w:color w:val="000000"/>
        </w:rPr>
        <w:t xml:space="preserve"> “Artículo 140</w:t>
      </w:r>
      <w:r>
        <w:rPr>
          <w:rFonts w:ascii="Palatino Linotype" w:eastAsia="Palatino Linotype" w:hAnsi="Palatino Linotype" w:cs="Palatino Linotype"/>
          <w:i/>
          <w:color w:val="000000"/>
        </w:rPr>
        <w:t>. El acceso a la información pública será restringido excepcionalmente, cuando por razones de interés público, ésta sea clasificada como reservada, conforme a los criterios siguientes:</w:t>
      </w:r>
    </w:p>
    <w:p w14:paraId="4476C562" w14:textId="77777777" w:rsidR="009E197C" w:rsidRDefault="00727B69">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1B7F0E61" w14:textId="77777777" w:rsidR="009E197C" w:rsidRDefault="00727B69">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 La que contengan las opiniones, recomendaciones o puntos de vista que formen parte del proceso deliberativo de los servidores públicos, hasta en tanto sea adoptada la decisión definitiva, la cual deberá estar documentada;</w:t>
      </w:r>
    </w:p>
    <w:p w14:paraId="7457678B" w14:textId="77777777" w:rsidR="009E197C" w:rsidRDefault="00727B69">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582C2433"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3075972A"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Por su parte, en los Lineamientos Generales, se prevé lo siguiente:</w:t>
      </w:r>
    </w:p>
    <w:p w14:paraId="2A34E98C"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4AF057AE" w14:textId="77777777" w:rsidR="009E197C" w:rsidRDefault="00727B69">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“Vigésimo séptimo. 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0160946B" w14:textId="77777777" w:rsidR="009E197C" w:rsidRDefault="009E197C">
      <w:pPr>
        <w:spacing w:line="360" w:lineRule="auto"/>
        <w:ind w:left="567" w:right="539"/>
        <w:jc w:val="both"/>
        <w:rPr>
          <w:rFonts w:ascii="Palatino Linotype" w:eastAsia="Palatino Linotype" w:hAnsi="Palatino Linotype" w:cs="Palatino Linotype"/>
          <w:color w:val="000000"/>
        </w:rPr>
      </w:pPr>
    </w:p>
    <w:p w14:paraId="712A770E" w14:textId="77777777" w:rsidR="009E197C" w:rsidRDefault="00727B69">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I. La existencia de un proceso deliberativo en curso, precisando la fecha de inicio;</w:t>
      </w:r>
    </w:p>
    <w:p w14:paraId="0526380C" w14:textId="77777777" w:rsidR="009E197C" w:rsidRDefault="00727B69">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II. Que la información consista en opiniones, recomendaciones o puntos de vista de los servidores públicos que participan en el proceso deliberativo;</w:t>
      </w:r>
    </w:p>
    <w:p w14:paraId="2640C8DA" w14:textId="77777777" w:rsidR="009E197C" w:rsidRDefault="00727B69">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Que la información se encuentre relacionada, de manera directa, con el proceso deliberativo, y</w:t>
      </w:r>
    </w:p>
    <w:p w14:paraId="1E661848" w14:textId="77777777" w:rsidR="009E197C" w:rsidRDefault="00727B69">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IV. Que con su difusión se pueda llegar a interrumpir, menoscabar o inhibir el diseño, negociación, determinación o implementación de los asuntos sometidos a deliberación.</w:t>
      </w:r>
    </w:p>
    <w:p w14:paraId="4DBE47C4" w14:textId="77777777" w:rsidR="009E197C" w:rsidRDefault="00727B69">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3A335C9C" w14:textId="77777777" w:rsidR="009E197C" w:rsidRDefault="00727B69">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5F74A8D5"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197DDD41"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los preceptos normativos citados, se desprende que podrá considerarse como información reservada la que contenga opiniones, recomendaciones o puntos de vista que formen parte del proceso deliberativo, hasta en tanto no sea adoptada la decisión definitiva, la cual deberá estar documentada. En ese tenor, para poder acreditar la clasificación referida, deben cumplirse los siguientes requisitos:</w:t>
      </w:r>
    </w:p>
    <w:p w14:paraId="0C9DD358"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1DC18A72"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1)      La existencia de un proceso deliberativo en curso.</w:t>
      </w:r>
    </w:p>
    <w:p w14:paraId="24E90916"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2)      Que la información solicitada consista en opiniones, recomendaciones o puntos de vista de los servidores públicos que participan en el proceso deliberativo.</w:t>
      </w:r>
    </w:p>
    <w:p w14:paraId="1B0E6A62"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3)      Que la información solicitada se encuentre relacionada de manera directa con el proceso deliberativo.</w:t>
      </w:r>
    </w:p>
    <w:p w14:paraId="1313FFD4"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4)      Que con su difusión se pueda llegar afectar los asuntos sometidos a deliberación.</w:t>
      </w:r>
    </w:p>
    <w:p w14:paraId="014A33C6"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16B0D88C"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sentido, la información de un proceso deliberativo que es susceptible de reserva, es aquélla que registra la deliberación o el sentido de la decisión, al tratarse de opiniones, recomendaciones o puntos de vista que son valorados por las autoridades, ya que lo que se protege es la secrecía en la toma de decisiones hasta que estas sean adoptadas a fin de que dicha deliberación no sea afectada por agentes externos de modo tal que estos servidores se vean incapacitados para tomar la decisión de forma adecuada; es decir, la información </w:t>
      </w:r>
      <w:r>
        <w:rPr>
          <w:rFonts w:ascii="Palatino Linotype" w:eastAsia="Palatino Linotype" w:hAnsi="Palatino Linotype" w:cs="Palatino Linotype"/>
          <w:color w:val="000000"/>
          <w:sz w:val="22"/>
          <w:szCs w:val="22"/>
        </w:rPr>
        <w:lastRenderedPageBreak/>
        <w:t xml:space="preserve">susceptible de reserva es aquella que estrictamente forma parte y guarda relación directa con el proceso de toma de decisión y cuya divulgación, precisamente, </w:t>
      </w:r>
      <w:r>
        <w:rPr>
          <w:rFonts w:ascii="Palatino Linotype" w:eastAsia="Palatino Linotype" w:hAnsi="Palatino Linotype" w:cs="Palatino Linotype"/>
          <w:sz w:val="22"/>
          <w:szCs w:val="22"/>
        </w:rPr>
        <w:t>inhibir</w:t>
      </w:r>
      <w:r>
        <w:rPr>
          <w:rFonts w:ascii="Palatino Linotype" w:eastAsia="Palatino Linotype" w:hAnsi="Palatino Linotype" w:cs="Palatino Linotype"/>
          <w:color w:val="000000"/>
          <w:sz w:val="22"/>
          <w:szCs w:val="22"/>
        </w:rPr>
        <w:t xml:space="preserve"> ese proceso o </w:t>
      </w:r>
      <w:r>
        <w:rPr>
          <w:rFonts w:ascii="Palatino Linotype" w:eastAsia="Palatino Linotype" w:hAnsi="Palatino Linotype" w:cs="Palatino Linotype"/>
          <w:sz w:val="22"/>
          <w:szCs w:val="22"/>
        </w:rPr>
        <w:t>lesionar</w:t>
      </w:r>
      <w:r>
        <w:rPr>
          <w:rFonts w:ascii="Palatino Linotype" w:eastAsia="Palatino Linotype" w:hAnsi="Palatino Linotype" w:cs="Palatino Linotype"/>
          <w:color w:val="000000"/>
          <w:sz w:val="22"/>
          <w:szCs w:val="22"/>
        </w:rPr>
        <w:t xml:space="preserve"> su determinación.</w:t>
      </w:r>
    </w:p>
    <w:p w14:paraId="19702D62"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7F89C241"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En otras palabras, lo que se busca evitar es que se divulgue información que pueda entorpecer o afectar el correcto desarrollo de la deliberación.</w:t>
      </w:r>
    </w:p>
    <w:p w14:paraId="62EE4244"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69711CAB"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Resulta indispensable precisar que los Sujetos Obligados deben distinguir claramente la información que documenta el proceso deliberativo, es decir, opiniones, recomendaciones o puntos de vista de los servidores públicos que participan, de aquella otra que, si bien guarda alguna relación con el mismo, no está relacionada de forma directa con la deliberación y su conclusión definitiva, por lo que, únicamente es un insumo informativo. </w:t>
      </w:r>
    </w:p>
    <w:p w14:paraId="3365B087"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14:paraId="5F31EDCD"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se robustece con el Criterio de Interpretación, con clave de control SO/016/2013, de la Primera Época, emitido por el Pleno del entonces Instituto Federal de Acceso a la Información y Protección de Datos, que precisa lo siguiente:</w:t>
      </w:r>
    </w:p>
    <w:p w14:paraId="197CCB9C"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639BD5FE" w14:textId="77777777" w:rsidR="009E197C" w:rsidRDefault="00727B69">
      <w:pPr>
        <w:spacing w:line="360" w:lineRule="auto"/>
        <w:ind w:left="567" w:right="567"/>
        <w:jc w:val="both"/>
        <w:rPr>
          <w:rFonts w:ascii="Palatino Linotype" w:eastAsia="Palatino Linotype" w:hAnsi="Palatino Linotype" w:cs="Palatino Linotype"/>
          <w:i/>
          <w:color w:val="000000"/>
        </w:rPr>
      </w:pPr>
      <w:r w:rsidRPr="00A342E7">
        <w:rPr>
          <w:rFonts w:ascii="Palatino Linotype" w:eastAsia="Palatino Linotype" w:hAnsi="Palatino Linotype" w:cs="Palatino Linotype"/>
          <w:b/>
          <w:bCs/>
          <w:i/>
          <w:color w:val="000000"/>
        </w:rPr>
        <w:t>“Insumos informativos o de apoyo.</w:t>
      </w:r>
      <w:r>
        <w:rPr>
          <w:rFonts w:ascii="Palatino Linotype" w:eastAsia="Palatino Linotype" w:hAnsi="Palatino Linotype" w:cs="Palatino Linotype"/>
          <w:i/>
          <w:color w:val="000000"/>
        </w:rPr>
        <w:t xml:space="preserve"> No forman parte de los procesos deliberativos. Al clasificar información con base en el artículo 14, fracción VI de la Ley Federal de Transparencia y Acceso a la Información Pública Gubernamental, las  dependencias  y  entidades  de  la  Administración  Pública  Federal  deben distinguir entre la información que en sí misma documenta el proceso deliberativo o el sentido de la decisión a adoptar, de aquélla que no se relaciona de manera directa con la toma de </w:t>
      </w:r>
      <w:r>
        <w:rPr>
          <w:rFonts w:ascii="Palatino Linotype" w:eastAsia="Palatino Linotype" w:hAnsi="Palatino Linotype" w:cs="Palatino Linotype"/>
          <w:i/>
          <w:color w:val="000000"/>
        </w:rPr>
        <w:lastRenderedPageBreak/>
        <w:t>decisiones, como es el caso de un insumo informativo o de apoyo del proceso deliberativo. En el primer supuesto, se tiene que la información se encuentra  ligada  de  manera  directa  con  los  procesos  deliberativos,  y  su difusión puede llegar a interrumpir, menoscabar o inhibir el diseño, negociación e implementación del objeto materia del proceso; mientras que los insumos informativos o de apoyo no forman parte de las opiniones, recomendaciones o puntos de vista del proceso deliberativo y, por tanto, su difusión no afecta la decisión que se pudiese llegar a adoptar”.</w:t>
      </w:r>
    </w:p>
    <w:p w14:paraId="6C6D658F"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3BDE1B8E" w14:textId="0944CA6E"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Así, se puede vislumbrar que la difusión de los insumos informativos o de apoyo no afecta a la decisión final que pueda adoptar la autoridad, pues no forman parte de las opiniones, recomendaciones o puntos de vista del proceso deliberativo.</w:t>
      </w:r>
    </w:p>
    <w:p w14:paraId="11C4B11E" w14:textId="77777777" w:rsidR="00A342E7" w:rsidRDefault="00A342E7">
      <w:pPr>
        <w:spacing w:line="360" w:lineRule="auto"/>
        <w:jc w:val="both"/>
        <w:rPr>
          <w:rFonts w:ascii="Palatino Linotype" w:eastAsia="Palatino Linotype" w:hAnsi="Palatino Linotype" w:cs="Palatino Linotype"/>
          <w:color w:val="000000"/>
          <w:sz w:val="22"/>
          <w:szCs w:val="22"/>
        </w:rPr>
      </w:pPr>
    </w:p>
    <w:p w14:paraId="2822D29E" w14:textId="50001D16"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contexto, se debe tener en cuenta que las recomendaciones que se encuentren en trámite, pueden actualizar un supuesto de reserva al encontrarse en un proceso deliberativo</w:t>
      </w:r>
      <w:r w:rsidR="00A342E7">
        <w:rPr>
          <w:rFonts w:ascii="Palatino Linotype" w:eastAsia="Palatino Linotype" w:hAnsi="Palatino Linotype" w:cs="Palatino Linotype"/>
          <w:color w:val="000000"/>
          <w:sz w:val="22"/>
          <w:szCs w:val="22"/>
        </w:rPr>
        <w:t xml:space="preserve">, pues la Contraloría Municipal pudiera estar revisando la forma en que implemento las mismas, para atender un procedimiento específico; por lo cual, </w:t>
      </w:r>
      <w:r>
        <w:rPr>
          <w:rFonts w:ascii="Palatino Linotype" w:eastAsia="Palatino Linotype" w:hAnsi="Palatino Linotype" w:cs="Palatino Linotype"/>
          <w:color w:val="000000"/>
          <w:sz w:val="22"/>
          <w:szCs w:val="22"/>
        </w:rPr>
        <w:t>se considera que se acredita la causal de reserva, establecida en el artículo 140, fracción VII, de la Ley de Transparencia y Acceso a la Información Pública del Estado de México y Municipios.</w:t>
      </w:r>
    </w:p>
    <w:p w14:paraId="5AF6AF85"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44B85D07"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FD5BBF8"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7598FE8B" w14:textId="4CD91B55" w:rsidR="009E197C" w:rsidRPr="00A342E7" w:rsidRDefault="00727B69" w:rsidP="00A342E7">
      <w:pPr>
        <w:pStyle w:val="Prrafodelista"/>
        <w:numPr>
          <w:ilvl w:val="0"/>
          <w:numId w:val="12"/>
        </w:numPr>
        <w:spacing w:line="360" w:lineRule="auto"/>
        <w:jc w:val="both"/>
        <w:rPr>
          <w:rFonts w:ascii="Palatino Linotype" w:eastAsia="Palatino Linotype" w:hAnsi="Palatino Linotype" w:cs="Palatino Linotype"/>
          <w:color w:val="000000"/>
          <w:szCs w:val="22"/>
        </w:rPr>
      </w:pPr>
      <w:r w:rsidRPr="00A342E7">
        <w:rPr>
          <w:rFonts w:ascii="Palatino Linotype" w:eastAsia="Palatino Linotype" w:hAnsi="Palatino Linotype" w:cs="Palatino Linotype"/>
          <w:color w:val="000000"/>
          <w:szCs w:val="22"/>
        </w:rPr>
        <w:t>La divulgación de la información representa un riesgo real, demostrable e identificable de perjuicio significativo al interés público o a la seguridad nacional.</w:t>
      </w:r>
    </w:p>
    <w:p w14:paraId="096A189B"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463E9A65" w14:textId="3FFA7C32" w:rsidR="009E197C" w:rsidRPr="00A342E7" w:rsidRDefault="00727B69" w:rsidP="00A342E7">
      <w:pPr>
        <w:pStyle w:val="Prrafodelista"/>
        <w:numPr>
          <w:ilvl w:val="0"/>
          <w:numId w:val="12"/>
        </w:numPr>
        <w:spacing w:line="360" w:lineRule="auto"/>
        <w:jc w:val="both"/>
        <w:rPr>
          <w:rFonts w:ascii="Palatino Linotype" w:eastAsia="Palatino Linotype" w:hAnsi="Palatino Linotype" w:cs="Palatino Linotype"/>
          <w:color w:val="000000"/>
          <w:szCs w:val="22"/>
        </w:rPr>
      </w:pPr>
      <w:r w:rsidRPr="00A342E7">
        <w:rPr>
          <w:rFonts w:ascii="Palatino Linotype" w:eastAsia="Palatino Linotype" w:hAnsi="Palatino Linotype" w:cs="Palatino Linotype"/>
          <w:color w:val="000000"/>
          <w:szCs w:val="22"/>
        </w:rPr>
        <w:lastRenderedPageBreak/>
        <w:t>El riesgo de perjuicio supera el interés público general de que se difunda.</w:t>
      </w:r>
    </w:p>
    <w:p w14:paraId="61923D4F" w14:textId="077B6EB9" w:rsidR="009E197C" w:rsidRPr="00A342E7" w:rsidRDefault="00727B69" w:rsidP="00A342E7">
      <w:pPr>
        <w:pStyle w:val="Prrafodelista"/>
        <w:numPr>
          <w:ilvl w:val="0"/>
          <w:numId w:val="12"/>
        </w:numPr>
        <w:spacing w:line="360" w:lineRule="auto"/>
        <w:jc w:val="both"/>
        <w:rPr>
          <w:rFonts w:ascii="Palatino Linotype" w:eastAsia="Palatino Linotype" w:hAnsi="Palatino Linotype" w:cs="Palatino Linotype"/>
          <w:color w:val="000000"/>
          <w:szCs w:val="22"/>
        </w:rPr>
      </w:pPr>
      <w:r w:rsidRPr="00A342E7">
        <w:rPr>
          <w:rFonts w:ascii="Palatino Linotype" w:eastAsia="Palatino Linotype" w:hAnsi="Palatino Linotype" w:cs="Palatino Linotype"/>
          <w:color w:val="000000"/>
          <w:szCs w:val="22"/>
        </w:rPr>
        <w:t>Que la limitación se adecua al principio de proporcionalidad y representa el medio menos restrictivo disponible para evitar el perjuicio.</w:t>
      </w:r>
    </w:p>
    <w:p w14:paraId="4246E1B5"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344DA6B6"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las recomendaciones que se encuentren en trámite.</w:t>
      </w:r>
    </w:p>
    <w:p w14:paraId="2201524F"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27BF7166" w14:textId="77777777" w:rsidR="009E197C" w:rsidRDefault="00727B69">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Pr>
          <w:rFonts w:ascii="Palatino Linotype" w:eastAsia="Palatino Linotype" w:hAnsi="Palatino Linotype" w:cs="Palatino Linotype"/>
          <w:b/>
          <w:color w:val="000000"/>
          <w:sz w:val="22"/>
          <w:szCs w:val="22"/>
        </w:rPr>
        <w:t>análisis caso por caso.</w:t>
      </w:r>
    </w:p>
    <w:p w14:paraId="766E2194" w14:textId="77777777" w:rsidR="009E197C" w:rsidRDefault="009E197C">
      <w:pPr>
        <w:spacing w:line="360" w:lineRule="auto"/>
        <w:jc w:val="both"/>
        <w:rPr>
          <w:rFonts w:ascii="Palatino Linotype" w:eastAsia="Palatino Linotype" w:hAnsi="Palatino Linotype" w:cs="Palatino Linotype"/>
          <w:b/>
          <w:color w:val="000000"/>
          <w:sz w:val="22"/>
          <w:szCs w:val="22"/>
        </w:rPr>
      </w:pPr>
    </w:p>
    <w:p w14:paraId="7A0B2E90"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Además, el artículo 131 de la Ley referida, así como el Quinto de los Lineamientos Generales, establecen que los sujetos obligados </w:t>
      </w:r>
      <w:r>
        <w:rPr>
          <w:rFonts w:ascii="Palatino Linotype" w:eastAsia="Palatino Linotype" w:hAnsi="Palatino Linotype" w:cs="Palatino Linotype"/>
          <w:b/>
          <w:color w:val="000000"/>
          <w:sz w:val="22"/>
          <w:szCs w:val="22"/>
        </w:rPr>
        <w:t>deberán fundar y motivar</w:t>
      </w:r>
      <w:r>
        <w:rPr>
          <w:rFonts w:ascii="Palatino Linotype" w:eastAsia="Palatino Linotype" w:hAnsi="Palatino Linotype" w:cs="Palatino Linotype"/>
          <w:color w:val="000000"/>
          <w:sz w:val="22"/>
          <w:szCs w:val="22"/>
        </w:rPr>
        <w:t xml:space="preserve"> debidamente la clasificación de la información.</w:t>
      </w:r>
    </w:p>
    <w:p w14:paraId="1A0637A3" w14:textId="77777777" w:rsidR="009E197C" w:rsidRDefault="009E197C">
      <w:pPr>
        <w:spacing w:line="360" w:lineRule="auto"/>
        <w:jc w:val="both"/>
        <w:rPr>
          <w:rFonts w:ascii="Palatino Linotype" w:eastAsia="Palatino Linotype" w:hAnsi="Palatino Linotype" w:cs="Palatino Linotype"/>
          <w:b/>
          <w:color w:val="000000"/>
          <w:sz w:val="22"/>
          <w:szCs w:val="22"/>
        </w:rPr>
      </w:pPr>
    </w:p>
    <w:p w14:paraId="7B911C49"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Al respecto, el Octavo de los Lineamientos Generales, precisa lo siguiente:</w:t>
      </w:r>
    </w:p>
    <w:p w14:paraId="08F725F1"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0C774720" w14:textId="77777777" w:rsidR="009E197C" w:rsidRDefault="00727B69">
      <w:pPr>
        <w:numPr>
          <w:ilvl w:val="0"/>
          <w:numId w:val="5"/>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Para fundar la clasificación</w:t>
      </w:r>
      <w:r>
        <w:rPr>
          <w:rFonts w:ascii="Palatino Linotype" w:eastAsia="Palatino Linotype" w:hAnsi="Palatino Linotype" w:cs="Palatino Linotype"/>
          <w:color w:val="000000"/>
          <w:sz w:val="22"/>
          <w:szCs w:val="22"/>
        </w:rPr>
        <w:t xml:space="preserve"> de la información se deberán señalar el artículo, fracción, inciso, párrafo o numeral de la Ley aplicable;</w:t>
      </w:r>
    </w:p>
    <w:p w14:paraId="56F04F6B"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5C23AFEF" w14:textId="77777777" w:rsidR="009E197C" w:rsidRDefault="00727B69">
      <w:pPr>
        <w:numPr>
          <w:ilvl w:val="0"/>
          <w:numId w:val="5"/>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Para motivar la clasificación</w:t>
      </w:r>
      <w:r>
        <w:rPr>
          <w:rFonts w:ascii="Palatino Linotype" w:eastAsia="Palatino Linotype" w:hAnsi="Palatino Linotype" w:cs="Palatino Linotype"/>
          <w:color w:val="000000"/>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60214B86"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785B3C80"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5F2CFF1F"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5C443595" w14:textId="77777777" w:rsidR="009E197C" w:rsidRDefault="00727B69">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“FUNDAMENTACION Y MOTIVACION, CONCEPTO DE. </w:t>
      </w:r>
      <w:r>
        <w:rPr>
          <w:rFonts w:ascii="Palatino Linotype" w:eastAsia="Palatino Linotype" w:hAnsi="Palatino Linotype" w:cs="Palatino Linotype"/>
          <w:i/>
          <w:color w:val="00000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FC86F7E"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076A10DD"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Conforme a lo anterior, se advierte lo siguiente:</w:t>
      </w:r>
    </w:p>
    <w:p w14:paraId="0B15AAD5"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594757DD" w14:textId="77777777" w:rsidR="009E197C" w:rsidRDefault="00727B69">
      <w:pPr>
        <w:numPr>
          <w:ilvl w:val="0"/>
          <w:numId w:val="6"/>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Fundamentación: </w:t>
      </w:r>
      <w:r>
        <w:rPr>
          <w:rFonts w:ascii="Palatino Linotype" w:eastAsia="Palatino Linotype" w:hAnsi="Palatino Linotype" w:cs="Palatino Linotype"/>
          <w:color w:val="000000"/>
          <w:sz w:val="22"/>
          <w:szCs w:val="22"/>
        </w:rPr>
        <w:t>Obligación de la autoridad que emite un acto, para citar los preceptos legales, sustantivos y adjetivos, en que se apoye para la determinación tomada.</w:t>
      </w:r>
    </w:p>
    <w:p w14:paraId="210292C0" w14:textId="77777777" w:rsidR="009E197C" w:rsidRDefault="009E197C">
      <w:pPr>
        <w:spacing w:line="360" w:lineRule="auto"/>
        <w:jc w:val="both"/>
        <w:rPr>
          <w:rFonts w:ascii="Palatino Linotype" w:eastAsia="Palatino Linotype" w:hAnsi="Palatino Linotype" w:cs="Palatino Linotype"/>
          <w:b/>
          <w:color w:val="000000"/>
          <w:sz w:val="22"/>
          <w:szCs w:val="22"/>
        </w:rPr>
      </w:pPr>
    </w:p>
    <w:p w14:paraId="7AC4A4F1" w14:textId="77777777" w:rsidR="009E197C" w:rsidRDefault="00727B69">
      <w:pPr>
        <w:numPr>
          <w:ilvl w:val="0"/>
          <w:numId w:val="6"/>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Motivación: </w:t>
      </w:r>
      <w:r>
        <w:rPr>
          <w:rFonts w:ascii="Palatino Linotype" w:eastAsia="Palatino Linotype" w:hAnsi="Palatino Linotype" w:cs="Palatino Linotype"/>
          <w:color w:val="000000"/>
          <w:sz w:val="22"/>
          <w:szCs w:val="22"/>
        </w:rPr>
        <w:t>Razonamientos lógico-jurídicos sobre porque se consideró en el caso en concreto, que se ajusta a la hipótesis normativa.</w:t>
      </w:r>
    </w:p>
    <w:p w14:paraId="5B501B2A" w14:textId="77777777" w:rsidR="00553DDC" w:rsidRDefault="00553DDC">
      <w:pPr>
        <w:spacing w:line="360" w:lineRule="auto"/>
        <w:jc w:val="both"/>
        <w:rPr>
          <w:rFonts w:ascii="Palatino Linotype" w:eastAsia="Palatino Linotype" w:hAnsi="Palatino Linotype" w:cs="Palatino Linotype"/>
          <w:color w:val="000000"/>
          <w:sz w:val="22"/>
          <w:szCs w:val="22"/>
        </w:rPr>
      </w:pPr>
    </w:p>
    <w:p w14:paraId="16899519" w14:textId="5E9E8C64"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Así</w:t>
      </w:r>
      <w:r w:rsidR="00553DDC">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para el caso de las recomendaciones en trámite, el Sujeto Obligado deberá remitir el acuerdo de clasificación como información reservada </w:t>
      </w:r>
      <w:r w:rsidR="00553DDC">
        <w:rPr>
          <w:rFonts w:ascii="Palatino Linotype" w:eastAsia="Palatino Linotype" w:hAnsi="Palatino Linotype" w:cs="Palatino Linotype"/>
          <w:color w:val="000000"/>
          <w:sz w:val="22"/>
          <w:szCs w:val="22"/>
        </w:rPr>
        <w:t>la misma</w:t>
      </w:r>
      <w:r>
        <w:rPr>
          <w:rFonts w:ascii="Palatino Linotype" w:eastAsia="Palatino Linotype" w:hAnsi="Palatino Linotype" w:cs="Palatino Linotype"/>
          <w:color w:val="000000"/>
          <w:sz w:val="22"/>
          <w:szCs w:val="22"/>
        </w:rPr>
        <w:t>, emitido por el Comité de Transparencia, de acuerdo con los artículos 49, fracciones II y VIII, 132, fracción II y 140, fracción VII de la Ley de Transparencia y Acceso a la Información Pública del Estado de México y Municipios.</w:t>
      </w:r>
    </w:p>
    <w:p w14:paraId="3729AE28"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550B18B6" w14:textId="320C5533"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se omite mencionar que para el caso de que en</w:t>
      </w:r>
      <w:r w:rsidR="00553DDC">
        <w:rPr>
          <w:rFonts w:ascii="Palatino Linotype" w:eastAsia="Palatino Linotype" w:hAnsi="Palatino Linotype" w:cs="Palatino Linotype"/>
          <w:color w:val="000000"/>
          <w:sz w:val="22"/>
          <w:szCs w:val="22"/>
        </w:rPr>
        <w:t xml:space="preserve"> toda o en parte</w:t>
      </w:r>
      <w:r>
        <w:rPr>
          <w:rFonts w:ascii="Palatino Linotype" w:eastAsia="Palatino Linotype" w:hAnsi="Palatino Linotype" w:cs="Palatino Linotype"/>
          <w:color w:val="000000"/>
          <w:sz w:val="22"/>
          <w:szCs w:val="22"/>
        </w:rPr>
        <w:t xml:space="preserve"> temporalidad de la que se requiere la información no se </w:t>
      </w:r>
      <w:r w:rsidR="00553DDC">
        <w:rPr>
          <w:rFonts w:ascii="Palatino Linotype" w:eastAsia="Palatino Linotype" w:hAnsi="Palatino Linotype" w:cs="Palatino Linotype"/>
          <w:color w:val="000000"/>
          <w:sz w:val="22"/>
          <w:szCs w:val="22"/>
        </w:rPr>
        <w:t xml:space="preserve">hayan </w:t>
      </w:r>
      <w:r>
        <w:rPr>
          <w:rFonts w:ascii="Palatino Linotype" w:eastAsia="Palatino Linotype" w:hAnsi="Palatino Linotype" w:cs="Palatino Linotype"/>
          <w:color w:val="000000"/>
          <w:sz w:val="22"/>
          <w:szCs w:val="22"/>
        </w:rPr>
        <w:t>emitió ninguna recomendación bastará que lo haga del conocimiento de forma clara y precisa</w:t>
      </w:r>
      <w:r w:rsidR="00553DDC">
        <w:rPr>
          <w:rFonts w:ascii="Palatino Linotype" w:eastAsia="Palatino Linotype" w:hAnsi="Palatino Linotype" w:cs="Palatino Linotype"/>
          <w:color w:val="000000"/>
          <w:sz w:val="22"/>
          <w:szCs w:val="22"/>
        </w:rPr>
        <w:t>, en términos del artículo 19, párrafo segundo de la Ley de Transparencia y Acceso a la Información Pública.</w:t>
      </w:r>
    </w:p>
    <w:p w14:paraId="25BFD257"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4AF50D60" w14:textId="017162FA" w:rsidR="009E197C" w:rsidRPr="00553DDC" w:rsidRDefault="00553DDC" w:rsidP="00553DDC">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w:t>
      </w:r>
      <w:r w:rsidRPr="00553DDC">
        <w:rPr>
          <w:rFonts w:ascii="Palatino Linotype" w:eastAsia="Palatino Linotype" w:hAnsi="Palatino Linotype" w:cs="Palatino Linotype"/>
          <w:b/>
          <w:color w:val="000000"/>
          <w:sz w:val="22"/>
          <w:szCs w:val="22"/>
        </w:rPr>
        <w:t xml:space="preserve">eguimiento que la Sindicatura Municipal realizó para asegurar su cumplimiento y los resultados obtenidos. </w:t>
      </w:r>
    </w:p>
    <w:p w14:paraId="360EF770" w14:textId="77777777" w:rsidR="009E197C" w:rsidRDefault="009E197C">
      <w:pPr>
        <w:spacing w:line="360" w:lineRule="auto"/>
        <w:rPr>
          <w:rFonts w:ascii="Palatino Linotype" w:eastAsia="Palatino Linotype" w:hAnsi="Palatino Linotype" w:cs="Palatino Linotype"/>
          <w:sz w:val="22"/>
          <w:szCs w:val="22"/>
        </w:rPr>
      </w:pPr>
    </w:p>
    <w:p w14:paraId="77375C2D" w14:textId="1C7A09E8"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sentido, vale la pena señalar que en respuesta la Síndica Municipal, indicó que derivado de la búsqueda exhaustiva y razonable en sus archivos físicos y electrónicos, no </w:t>
      </w:r>
      <w:r>
        <w:rPr>
          <w:rFonts w:ascii="Palatino Linotype" w:eastAsia="Palatino Linotype" w:hAnsi="Palatino Linotype" w:cs="Palatino Linotype"/>
          <w:sz w:val="22"/>
          <w:szCs w:val="22"/>
        </w:rPr>
        <w:lastRenderedPageBreak/>
        <w:t>localizó la información solicitada, dado que no la genera</w:t>
      </w:r>
      <w:r w:rsidR="00553DDC">
        <w:rPr>
          <w:rFonts w:ascii="Palatino Linotype" w:eastAsia="Palatino Linotype" w:hAnsi="Palatino Linotype" w:cs="Palatino Linotype"/>
          <w:sz w:val="22"/>
          <w:szCs w:val="22"/>
        </w:rPr>
        <w:t>ba</w:t>
      </w:r>
      <w:r>
        <w:rPr>
          <w:rFonts w:ascii="Palatino Linotype" w:eastAsia="Palatino Linotype" w:hAnsi="Palatino Linotype" w:cs="Palatino Linotype"/>
          <w:sz w:val="22"/>
          <w:szCs w:val="22"/>
        </w:rPr>
        <w:t xml:space="preserve"> y no se </w:t>
      </w:r>
      <w:r w:rsidR="00553DDC">
        <w:rPr>
          <w:rFonts w:ascii="Palatino Linotype" w:eastAsia="Palatino Linotype" w:hAnsi="Palatino Linotype" w:cs="Palatino Linotype"/>
          <w:sz w:val="22"/>
          <w:szCs w:val="22"/>
        </w:rPr>
        <w:t>encontraba</w:t>
      </w:r>
      <w:r>
        <w:rPr>
          <w:rFonts w:ascii="Palatino Linotype" w:eastAsia="Palatino Linotype" w:hAnsi="Palatino Linotype" w:cs="Palatino Linotype"/>
          <w:sz w:val="22"/>
          <w:szCs w:val="22"/>
        </w:rPr>
        <w:t xml:space="preserve"> dentro de sus facultades.</w:t>
      </w:r>
    </w:p>
    <w:p w14:paraId="21D8180B" w14:textId="77777777" w:rsidR="009E197C" w:rsidRDefault="009E197C">
      <w:pPr>
        <w:spacing w:line="360" w:lineRule="auto"/>
        <w:jc w:val="both"/>
        <w:rPr>
          <w:rFonts w:ascii="Palatino Linotype" w:eastAsia="Palatino Linotype" w:hAnsi="Palatino Linotype" w:cs="Palatino Linotype"/>
          <w:sz w:val="22"/>
          <w:szCs w:val="22"/>
        </w:rPr>
      </w:pPr>
    </w:p>
    <w:p w14:paraId="7A1F34D6" w14:textId="21C7A5D2"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es preciso señalar que si bien, en la normatividad previamente citada, se describe que la Sindicatura Municipal deberá ejercer funciones de la Contraloría Interna en conjunto con los Órganos Internos de Control, no se localizó fuente normativa que constriña u obligue a la Sindicatura a contar con la información solicitada, específicamente a dar seguimiento, cumplimiento y resultados respecto a las recomendaciones emitidas por el Órgano Interno de Control, </w:t>
      </w:r>
      <w:r w:rsidR="00553DDC">
        <w:rPr>
          <w:rFonts w:ascii="Palatino Linotype" w:eastAsia="Palatino Linotype" w:hAnsi="Palatino Linotype" w:cs="Palatino Linotype"/>
          <w:sz w:val="22"/>
          <w:szCs w:val="22"/>
        </w:rPr>
        <w:t>por lo cual, se advierte que dicha información es inexistente, al no generarse.</w:t>
      </w:r>
    </w:p>
    <w:p w14:paraId="1A3AE397" w14:textId="77777777" w:rsidR="009E197C" w:rsidRDefault="009E197C">
      <w:pPr>
        <w:spacing w:line="360" w:lineRule="auto"/>
        <w:jc w:val="both"/>
        <w:rPr>
          <w:rFonts w:ascii="Palatino Linotype" w:eastAsia="Palatino Linotype" w:hAnsi="Palatino Linotype" w:cs="Palatino Linotype"/>
          <w:sz w:val="22"/>
          <w:szCs w:val="22"/>
        </w:rPr>
      </w:pPr>
    </w:p>
    <w:p w14:paraId="6039D66B"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Sobre el tema, el Criterio orientador, con clave de control SO/014/2017, emitido por el entonces Instituto Nacional de Transparencia, Acceso a la Información Pública y Protección de Datos Personales en el Estado de México y Municipios, se desprende que la inexistencia de la información, es una cuestión de hecho que se le atribuye a la misma, cuando ésta no se encuentra en los archivos del Sujeto Obligado. </w:t>
      </w:r>
    </w:p>
    <w:p w14:paraId="25E3BA6A" w14:textId="77777777" w:rsidR="009E197C" w:rsidRDefault="009E197C">
      <w:pPr>
        <w:spacing w:line="360" w:lineRule="auto"/>
        <w:jc w:val="both"/>
        <w:rPr>
          <w:rFonts w:ascii="Palatino Linotype" w:eastAsia="Palatino Linotype" w:hAnsi="Palatino Linotype" w:cs="Palatino Linotype"/>
          <w:sz w:val="22"/>
          <w:szCs w:val="22"/>
        </w:rPr>
      </w:pPr>
    </w:p>
    <w:p w14:paraId="2C732B6F"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955FA45" w14:textId="77777777" w:rsidR="009E197C" w:rsidRDefault="009E197C">
      <w:pPr>
        <w:spacing w:line="360" w:lineRule="auto"/>
        <w:jc w:val="both"/>
        <w:rPr>
          <w:rFonts w:ascii="Palatino Linotype" w:eastAsia="Palatino Linotype" w:hAnsi="Palatino Linotype" w:cs="Palatino Linotype"/>
          <w:sz w:val="22"/>
          <w:szCs w:val="22"/>
        </w:rPr>
      </w:pPr>
    </w:p>
    <w:p w14:paraId="526F04B4"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es posible concluir que la </w:t>
      </w:r>
      <w:r>
        <w:rPr>
          <w:rFonts w:ascii="Palatino Linotype" w:eastAsia="Palatino Linotype" w:hAnsi="Palatino Linotype" w:cs="Palatino Linotype"/>
          <w:b/>
          <w:sz w:val="22"/>
          <w:szCs w:val="22"/>
        </w:rPr>
        <w:t>inexistencia</w:t>
      </w:r>
      <w:r>
        <w:rPr>
          <w:rFonts w:ascii="Palatino Linotype" w:eastAsia="Palatino Linotype" w:hAnsi="Palatino Linotype" w:cs="Palatino Linotype"/>
          <w:sz w:val="22"/>
          <w:szCs w:val="22"/>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0DD50A69"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ese sentido,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40FD0F00" w14:textId="77777777" w:rsidR="009E197C" w:rsidRDefault="009E197C">
      <w:pPr>
        <w:spacing w:line="360" w:lineRule="auto"/>
        <w:jc w:val="both"/>
        <w:rPr>
          <w:rFonts w:ascii="Palatino Linotype" w:eastAsia="Palatino Linotype" w:hAnsi="Palatino Linotype" w:cs="Palatino Linotype"/>
          <w:sz w:val="22"/>
          <w:szCs w:val="22"/>
        </w:rPr>
      </w:pPr>
    </w:p>
    <w:p w14:paraId="473536F6"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apuntó a su existencia.</w:t>
      </w:r>
    </w:p>
    <w:p w14:paraId="5F8A4B8A" w14:textId="77777777" w:rsidR="009E197C" w:rsidRDefault="009E197C">
      <w:pPr>
        <w:spacing w:line="360" w:lineRule="auto"/>
        <w:jc w:val="both"/>
        <w:rPr>
          <w:rFonts w:ascii="Palatino Linotype" w:eastAsia="Palatino Linotype" w:hAnsi="Palatino Linotype" w:cs="Palatino Linotype"/>
          <w:sz w:val="22"/>
          <w:szCs w:val="22"/>
        </w:rPr>
      </w:pPr>
    </w:p>
    <w:p w14:paraId="5780D49C" w14:textId="0586F940"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dicho criterio aplica al caso en concreto, ya que, no se localizó algún indicio de que el Sujeto Obligado cuente con la información requerida</w:t>
      </w:r>
      <w:r w:rsidR="00553DDC">
        <w:rPr>
          <w:rFonts w:ascii="Palatino Linotype" w:eastAsia="Palatino Linotype" w:hAnsi="Palatino Linotype" w:cs="Palatino Linotype"/>
          <w:sz w:val="22"/>
          <w:szCs w:val="22"/>
        </w:rPr>
        <w:t>, pues no existe alguna fuente obligaciones que prevea que la Sindicatura Municipal vea el seguimiento y cumplimiento de las recomendaciones emitidas por la Contraloría Municipal</w:t>
      </w:r>
      <w:r>
        <w:rPr>
          <w:rFonts w:ascii="Palatino Linotype" w:eastAsia="Palatino Linotype" w:hAnsi="Palatino Linotype" w:cs="Palatino Linotype"/>
          <w:sz w:val="22"/>
          <w:szCs w:val="22"/>
        </w:rPr>
        <w:t xml:space="preserve">; por lo cual, se considera que el Sujeto Obligado señaló las razones por las cuales no contaba con lo requerido y cumplió con el segundo párrafo, del artículo 19 de la Ley de Transparencia y Acceso a la Información Pública del Estado de México y Municipios. </w:t>
      </w:r>
      <w:r>
        <w:rPr>
          <w:rFonts w:ascii="Palatino Linotype" w:eastAsia="Palatino Linotype" w:hAnsi="Palatino Linotype" w:cs="Palatino Linotype"/>
          <w:b/>
          <w:sz w:val="22"/>
          <w:szCs w:val="22"/>
        </w:rPr>
        <w:t>Así pues, es procedente tener por atendido el punto de análisis con la respuesta remitida por el Sujeto Obligado.</w:t>
      </w:r>
    </w:p>
    <w:p w14:paraId="04693898" w14:textId="77777777" w:rsidR="009E197C" w:rsidRDefault="009E197C">
      <w:pPr>
        <w:spacing w:line="360" w:lineRule="auto"/>
        <w:jc w:val="both"/>
        <w:rPr>
          <w:rFonts w:ascii="Palatino Linotype" w:eastAsia="Palatino Linotype" w:hAnsi="Palatino Linotype" w:cs="Palatino Linotype"/>
          <w:sz w:val="22"/>
          <w:szCs w:val="22"/>
        </w:rPr>
      </w:pPr>
    </w:p>
    <w:p w14:paraId="53ACE37A" w14:textId="5A36613C" w:rsidR="009E197C" w:rsidRDefault="00727B69">
      <w:pPr>
        <w:spacing w:line="360" w:lineRule="auto"/>
        <w:jc w:val="both"/>
        <w:rPr>
          <w:rFonts w:ascii="Palatino Linotype" w:eastAsia="Palatino Linotype" w:hAnsi="Palatino Linotype" w:cs="Palatino Linotype"/>
          <w:sz w:val="22"/>
          <w:szCs w:val="22"/>
        </w:rPr>
      </w:pPr>
      <w:bookmarkStart w:id="15" w:name="_heading=h.i0rea88sn81p" w:colFirst="0" w:colLast="0"/>
      <w:bookmarkEnd w:id="15"/>
      <w:r>
        <w:rPr>
          <w:rFonts w:ascii="Palatino Linotype" w:eastAsia="Palatino Linotype" w:hAnsi="Palatino Linotype" w:cs="Palatino Linotype"/>
          <w:sz w:val="22"/>
          <w:szCs w:val="22"/>
        </w:rPr>
        <w:t xml:space="preserve">En consecuencia, es procedente tener por </w:t>
      </w:r>
      <w:r w:rsidR="00553DDC" w:rsidRPr="00553DDC">
        <w:rPr>
          <w:rFonts w:ascii="Palatino Linotype" w:eastAsia="Palatino Linotype" w:hAnsi="Palatino Linotype" w:cs="Palatino Linotype"/>
          <w:b/>
          <w:bCs/>
          <w:sz w:val="22"/>
          <w:szCs w:val="22"/>
        </w:rPr>
        <w:t>PARCIALMENTE FUNDADOS</w:t>
      </w:r>
      <w:r w:rsidR="00553DD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los motivos de inconformidad y es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las respuestas iniciales, a fin de que el Sujeto </w:t>
      </w:r>
      <w:r>
        <w:rPr>
          <w:rFonts w:ascii="Palatino Linotype" w:eastAsia="Palatino Linotype" w:hAnsi="Palatino Linotype" w:cs="Palatino Linotype"/>
          <w:sz w:val="22"/>
          <w:szCs w:val="22"/>
        </w:rPr>
        <w:lastRenderedPageBreak/>
        <w:t xml:space="preserve">Obligado entregue las recomendaciones concluidas realizadas por el Órgano Interno de Control Municipal, durante la temporalidad </w:t>
      </w:r>
      <w:r w:rsidR="00553DDC">
        <w:rPr>
          <w:rFonts w:ascii="Palatino Linotype" w:eastAsia="Palatino Linotype" w:hAnsi="Palatino Linotype" w:cs="Palatino Linotype"/>
          <w:sz w:val="22"/>
          <w:szCs w:val="22"/>
        </w:rPr>
        <w:t>peticionada</w:t>
      </w:r>
      <w:r>
        <w:rPr>
          <w:rFonts w:ascii="Palatino Linotype" w:eastAsia="Palatino Linotype" w:hAnsi="Palatino Linotype" w:cs="Palatino Linotype"/>
          <w:sz w:val="22"/>
          <w:szCs w:val="22"/>
        </w:rPr>
        <w:t>, así como el acuerdo de reserva para el caso de las recomendaciones en trámite, bajo las consideraciones previamente expuestas.</w:t>
      </w:r>
    </w:p>
    <w:p w14:paraId="2A9FAB5E" w14:textId="77777777" w:rsidR="009E197C" w:rsidRDefault="009E197C">
      <w:pPr>
        <w:spacing w:line="360" w:lineRule="auto"/>
        <w:jc w:val="both"/>
        <w:rPr>
          <w:rFonts w:ascii="Palatino Linotype" w:eastAsia="Palatino Linotype" w:hAnsi="Palatino Linotype" w:cs="Palatino Linotype"/>
          <w:sz w:val="22"/>
          <w:szCs w:val="22"/>
        </w:rPr>
      </w:pPr>
    </w:p>
    <w:p w14:paraId="70E2EBF0" w14:textId="77777777" w:rsidR="00027227" w:rsidRPr="00027227" w:rsidRDefault="00027227" w:rsidP="00027227">
      <w:pPr>
        <w:spacing w:line="360" w:lineRule="auto"/>
        <w:jc w:val="both"/>
        <w:rPr>
          <w:rFonts w:ascii="Palatino Linotype" w:eastAsia="Calibri" w:hAnsi="Palatino Linotype" w:cs="Tahoma"/>
          <w:bCs/>
          <w:iCs/>
          <w:color w:val="000000"/>
          <w:sz w:val="22"/>
          <w:szCs w:val="22"/>
          <w:lang w:val="es-ES" w:eastAsia="en-US"/>
        </w:rPr>
      </w:pPr>
      <w:r w:rsidRPr="00027227">
        <w:rPr>
          <w:rFonts w:ascii="Palatino Linotype" w:eastAsia="Calibri" w:hAnsi="Palatino Linotype" w:cs="Tahoma"/>
          <w:bCs/>
          <w:iCs/>
          <w:color w:val="000000"/>
          <w:sz w:val="22"/>
          <w:szCs w:val="22"/>
          <w:lang w:val="es-ES_tradnl" w:eastAsia="en-US"/>
        </w:rPr>
        <w:t>De tal suerte, este Instituto considera que los documentos que den cuenta de lo solicitado, pudieran contener datos o información clasificada (cabe precisar que el número de expediente no es clasificable); por lo que, en el supuesto, deberá elaborar la versión pública respectiva; a</w:t>
      </w:r>
      <w:r w:rsidRPr="00027227">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C824EF9" w14:textId="77777777" w:rsidR="00027227" w:rsidRPr="00027227" w:rsidRDefault="00027227" w:rsidP="00027227">
      <w:pPr>
        <w:spacing w:line="360" w:lineRule="auto"/>
        <w:jc w:val="both"/>
        <w:rPr>
          <w:rFonts w:ascii="Palatino Linotype" w:eastAsia="Calibri" w:hAnsi="Palatino Linotype" w:cs="Tahoma"/>
          <w:bCs/>
          <w:iCs/>
          <w:color w:val="000000"/>
          <w:sz w:val="22"/>
          <w:szCs w:val="22"/>
          <w:lang w:val="es-ES" w:eastAsia="en-US"/>
        </w:rPr>
      </w:pPr>
    </w:p>
    <w:p w14:paraId="3E1C78CE" w14:textId="77777777" w:rsidR="00027227" w:rsidRPr="00027227" w:rsidRDefault="00027227" w:rsidP="00027227">
      <w:pPr>
        <w:spacing w:line="360" w:lineRule="auto"/>
        <w:jc w:val="both"/>
        <w:rPr>
          <w:rFonts w:ascii="Palatino Linotype" w:eastAsia="Calibri" w:hAnsi="Palatino Linotype" w:cs="Tahoma"/>
          <w:bCs/>
          <w:iCs/>
          <w:sz w:val="22"/>
          <w:szCs w:val="22"/>
          <w:lang w:eastAsia="en-US"/>
        </w:rPr>
      </w:pPr>
      <w:r w:rsidRPr="00027227">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70CA9E8" w14:textId="77777777" w:rsidR="009E197C" w:rsidRDefault="009E197C">
      <w:pPr>
        <w:pStyle w:val="Ttulo2"/>
        <w:spacing w:before="0" w:after="0" w:line="360" w:lineRule="auto"/>
        <w:rPr>
          <w:rFonts w:ascii="Palatino Linotype" w:eastAsia="Palatino Linotype" w:hAnsi="Palatino Linotype" w:cs="Palatino Linotype"/>
          <w:sz w:val="22"/>
          <w:szCs w:val="22"/>
        </w:rPr>
      </w:pPr>
      <w:bookmarkStart w:id="16" w:name="_heading=h.26xaur5qlrw8" w:colFirst="0" w:colLast="0"/>
      <w:bookmarkEnd w:id="16"/>
    </w:p>
    <w:p w14:paraId="4BDF043E" w14:textId="77777777" w:rsidR="009E197C" w:rsidRDefault="00727B69">
      <w:pPr>
        <w:pStyle w:val="Ttulo2"/>
        <w:spacing w:before="0" w:after="0" w:line="360" w:lineRule="auto"/>
        <w:rPr>
          <w:rFonts w:ascii="Palatino Linotype" w:eastAsia="Palatino Linotype" w:hAnsi="Palatino Linotype" w:cs="Palatino Linotype"/>
          <w:b w:val="0"/>
          <w:sz w:val="22"/>
          <w:szCs w:val="22"/>
        </w:rPr>
      </w:pPr>
      <w:bookmarkStart w:id="17" w:name="_heading=h.mnw35cs3wuu1" w:colFirst="0" w:colLast="0"/>
      <w:bookmarkEnd w:id="17"/>
      <w:r>
        <w:rPr>
          <w:rFonts w:ascii="Palatino Linotype" w:eastAsia="Palatino Linotype" w:hAnsi="Palatino Linotype" w:cs="Palatino Linotype"/>
          <w:sz w:val="22"/>
          <w:szCs w:val="22"/>
        </w:rPr>
        <w:t>SEXTO. Decisión</w:t>
      </w:r>
    </w:p>
    <w:p w14:paraId="45B2ABFE" w14:textId="77777777" w:rsidR="009E197C" w:rsidRDefault="009E197C">
      <w:pPr>
        <w:spacing w:line="360" w:lineRule="auto"/>
        <w:jc w:val="both"/>
        <w:rPr>
          <w:rFonts w:ascii="Palatino Linotype" w:eastAsia="Palatino Linotype" w:hAnsi="Palatino Linotype" w:cs="Palatino Linotype"/>
          <w:sz w:val="22"/>
          <w:szCs w:val="22"/>
        </w:rPr>
      </w:pPr>
    </w:p>
    <w:p w14:paraId="727D1792" w14:textId="2FC3FB5E"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el artículo 186, fracción III, de la Ley de Transparencia y Acceso a la Información Pública del Estado de México y Municipios, este Instituto considera procedente</w:t>
      </w:r>
      <w:r>
        <w:rPr>
          <w:rFonts w:ascii="Palatino Linotype" w:eastAsia="Palatino Linotype" w:hAnsi="Palatino Linotype" w:cs="Palatino Linotype"/>
          <w:b/>
          <w:sz w:val="22"/>
          <w:szCs w:val="22"/>
        </w:rPr>
        <w:t xml:space="preserve"> MODIFICAR </w:t>
      </w:r>
      <w:r>
        <w:rPr>
          <w:rFonts w:ascii="Palatino Linotype" w:eastAsia="Palatino Linotype" w:hAnsi="Palatino Linotype" w:cs="Palatino Linotype"/>
          <w:sz w:val="22"/>
          <w:szCs w:val="22"/>
        </w:rPr>
        <w:t>las respuestas otorgadas por el Sujeto Obligado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a las solicitudes de información </w:t>
      </w:r>
      <w:r w:rsidRPr="00027227">
        <w:rPr>
          <w:rFonts w:ascii="Palatino Linotype" w:eastAsia="Palatino Linotype" w:hAnsi="Palatino Linotype" w:cs="Palatino Linotype"/>
          <w:bCs/>
          <w:color w:val="000000"/>
          <w:sz w:val="22"/>
          <w:szCs w:val="22"/>
        </w:rPr>
        <w:t>0013</w:t>
      </w:r>
      <w:r w:rsidR="00027227">
        <w:rPr>
          <w:rFonts w:ascii="Palatino Linotype" w:eastAsia="Palatino Linotype" w:hAnsi="Palatino Linotype" w:cs="Palatino Linotype"/>
          <w:bCs/>
          <w:color w:val="000000"/>
          <w:sz w:val="22"/>
          <w:szCs w:val="22"/>
        </w:rPr>
        <w:t>5</w:t>
      </w:r>
      <w:r w:rsidRPr="00027227">
        <w:rPr>
          <w:rFonts w:ascii="Palatino Linotype" w:eastAsia="Palatino Linotype" w:hAnsi="Palatino Linotype" w:cs="Palatino Linotype"/>
          <w:bCs/>
          <w:color w:val="000000"/>
          <w:sz w:val="22"/>
          <w:szCs w:val="22"/>
        </w:rPr>
        <w:t>/ZINACANT/IP/2025 y 0013</w:t>
      </w:r>
      <w:r w:rsidR="00027227">
        <w:rPr>
          <w:rFonts w:ascii="Palatino Linotype" w:eastAsia="Palatino Linotype" w:hAnsi="Palatino Linotype" w:cs="Palatino Linotype"/>
          <w:bCs/>
          <w:color w:val="000000"/>
          <w:sz w:val="22"/>
          <w:szCs w:val="22"/>
        </w:rPr>
        <w:t>6</w:t>
      </w:r>
      <w:r w:rsidRPr="00027227">
        <w:rPr>
          <w:rFonts w:ascii="Palatino Linotype" w:eastAsia="Palatino Linotype" w:hAnsi="Palatino Linotype" w:cs="Palatino Linotype"/>
          <w:bCs/>
          <w:color w:val="000000"/>
          <w:sz w:val="22"/>
          <w:szCs w:val="22"/>
        </w:rPr>
        <w:t>/ZINACANT/IP/2025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por resultar </w:t>
      </w:r>
      <w:r w:rsidR="00027227" w:rsidRPr="00027227">
        <w:rPr>
          <w:rFonts w:ascii="Palatino Linotype" w:eastAsia="Palatino Linotype" w:hAnsi="Palatino Linotype" w:cs="Palatino Linotype"/>
          <w:b/>
          <w:bCs/>
          <w:sz w:val="22"/>
          <w:szCs w:val="22"/>
        </w:rPr>
        <w:t>PARCIALMENTE FUNDADAS</w:t>
      </w:r>
      <w:r w:rsidR="00027227">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las razones o motivos de inconformidad hechos valer por la persona Recurrente, </w:t>
      </w:r>
      <w:r>
        <w:rPr>
          <w:rFonts w:ascii="Palatino Linotype" w:eastAsia="Palatino Linotype" w:hAnsi="Palatino Linotype" w:cs="Palatino Linotype"/>
          <w:sz w:val="22"/>
          <w:szCs w:val="22"/>
        </w:rPr>
        <w:lastRenderedPageBreak/>
        <w:t>en los Recursos de Revisión</w:t>
      </w:r>
      <w:r>
        <w:rPr>
          <w:rFonts w:ascii="Palatino Linotype" w:eastAsia="Palatino Linotype" w:hAnsi="Palatino Linotype" w:cs="Palatino Linotype"/>
          <w:b/>
          <w:color w:val="0D0D0D"/>
          <w:sz w:val="22"/>
          <w:szCs w:val="22"/>
        </w:rPr>
        <w:t xml:space="preserve"> </w:t>
      </w:r>
      <w:r>
        <w:rPr>
          <w:rFonts w:ascii="Palatino Linotype" w:eastAsia="Palatino Linotype" w:hAnsi="Palatino Linotype" w:cs="Palatino Linotype"/>
          <w:b/>
          <w:sz w:val="22"/>
          <w:szCs w:val="22"/>
        </w:rPr>
        <w:t xml:space="preserve">05121/INFOEM/IP/RR/2025  y </w:t>
      </w:r>
      <w:r>
        <w:rPr>
          <w:rFonts w:ascii="Palatino Linotype" w:eastAsia="Palatino Linotype" w:hAnsi="Palatino Linotype" w:cs="Palatino Linotype"/>
          <w:b/>
          <w:color w:val="000000"/>
          <w:sz w:val="22"/>
          <w:szCs w:val="22"/>
        </w:rPr>
        <w:t>05122/INFOEM/IP/RR/2025</w:t>
      </w:r>
      <w:r>
        <w:rPr>
          <w:rFonts w:ascii="Palatino Linotype" w:eastAsia="Palatino Linotype" w:hAnsi="Palatino Linotype" w:cs="Palatino Linotype"/>
          <w:b/>
          <w:color w:val="0D0D0D"/>
          <w:sz w:val="22"/>
          <w:szCs w:val="22"/>
        </w:rPr>
        <w:t xml:space="preserve">, </w:t>
      </w:r>
      <w:r>
        <w:rPr>
          <w:rFonts w:ascii="Palatino Linotype" w:eastAsia="Palatino Linotype" w:hAnsi="Palatino Linotype" w:cs="Palatino Linotype"/>
          <w:sz w:val="22"/>
          <w:szCs w:val="22"/>
        </w:rPr>
        <w:t xml:space="preserve">en consecuencia procede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la entrega de la información en los términos antes expuestos.</w:t>
      </w:r>
    </w:p>
    <w:p w14:paraId="43FE363F" w14:textId="77777777" w:rsidR="009E197C" w:rsidRDefault="009E197C">
      <w:pPr>
        <w:spacing w:line="360" w:lineRule="auto"/>
        <w:jc w:val="both"/>
        <w:rPr>
          <w:rFonts w:ascii="Palatino Linotype" w:eastAsia="Palatino Linotype" w:hAnsi="Palatino Linotype" w:cs="Palatino Linotype"/>
          <w:sz w:val="22"/>
          <w:szCs w:val="22"/>
        </w:rPr>
      </w:pPr>
    </w:p>
    <w:p w14:paraId="0A73F29F" w14:textId="77777777" w:rsidR="009E197C" w:rsidRDefault="00727B69">
      <w:pPr>
        <w:spacing w:line="360" w:lineRule="auto"/>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Términos de la Resolución para la persona Recurrente</w:t>
      </w:r>
    </w:p>
    <w:p w14:paraId="1D2F682C" w14:textId="77777777" w:rsidR="009E197C" w:rsidRDefault="009E197C">
      <w:pPr>
        <w:spacing w:line="360" w:lineRule="auto"/>
        <w:jc w:val="both"/>
        <w:rPr>
          <w:rFonts w:ascii="Palatino Linotype" w:eastAsia="Palatino Linotype" w:hAnsi="Palatino Linotype" w:cs="Palatino Linotype"/>
          <w:sz w:val="22"/>
          <w:szCs w:val="22"/>
          <w:u w:val="single"/>
        </w:rPr>
      </w:pPr>
    </w:p>
    <w:p w14:paraId="3EBC327B" w14:textId="77777777" w:rsidR="009E197C" w:rsidRDefault="00727B69">
      <w:pPr>
        <w:spacing w:line="360" w:lineRule="auto"/>
        <w:jc w:val="both"/>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t>Se hace del conocimiento de la persona Particular que este Organismo Garante determinó concederle parcialmente la razón, puesto que el Sujeto Obligado se pronunció a través de las áreas componentes y la Sindicatura señaló que no cuenta con la información, respuesta  que colmó el punto respecto a dicha área.</w:t>
      </w:r>
    </w:p>
    <w:p w14:paraId="54E971FF" w14:textId="77777777" w:rsidR="009E197C" w:rsidRDefault="009E197C">
      <w:pPr>
        <w:spacing w:line="360" w:lineRule="auto"/>
        <w:jc w:val="both"/>
        <w:rPr>
          <w:rFonts w:ascii="Palatino Linotype" w:eastAsia="Palatino Linotype" w:hAnsi="Palatino Linotype" w:cs="Palatino Linotype"/>
          <w:sz w:val="22"/>
          <w:szCs w:val="22"/>
          <w:u w:val="single"/>
        </w:rPr>
      </w:pPr>
    </w:p>
    <w:p w14:paraId="1AC73142" w14:textId="77777777" w:rsidR="009E197C" w:rsidRDefault="00727B69">
      <w:pPr>
        <w:spacing w:line="360" w:lineRule="auto"/>
        <w:jc w:val="both"/>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t>Ahora bien, respecto al informe detallado de las recomendaciones emitidas por el Órgano Interno de Control Municipal, se determinó que no existe fuente obligacional para generar los informes detallados, pero sí existe una expresión documental que puede dar cuenta de lo solicitado que corresponde a las recomendaciones, por tanto se ordena su entrega.</w:t>
      </w:r>
    </w:p>
    <w:p w14:paraId="66B980D9" w14:textId="77777777" w:rsidR="009E197C" w:rsidRDefault="009E197C">
      <w:pPr>
        <w:spacing w:line="360" w:lineRule="auto"/>
        <w:jc w:val="both"/>
        <w:rPr>
          <w:rFonts w:ascii="Palatino Linotype" w:eastAsia="Palatino Linotype" w:hAnsi="Palatino Linotype" w:cs="Palatino Linotype"/>
          <w:sz w:val="22"/>
          <w:szCs w:val="22"/>
          <w:u w:val="single"/>
        </w:rPr>
      </w:pPr>
    </w:p>
    <w:p w14:paraId="7590F6CC" w14:textId="77777777" w:rsidR="009E197C" w:rsidRDefault="00727B69">
      <w:pPr>
        <w:spacing w:line="360" w:lineRule="auto"/>
        <w:jc w:val="both"/>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t xml:space="preserve">Cabe señalar que las recomendaciones en trámite actualiza un supuesto de reserva, por lo que, se deberá entregar acuerdo de reserva para las recomendaciones en trámite debidamente fundado y motivado. </w:t>
      </w:r>
    </w:p>
    <w:p w14:paraId="5558D483" w14:textId="77777777" w:rsidR="009E197C" w:rsidRDefault="009E197C">
      <w:pPr>
        <w:spacing w:line="360" w:lineRule="auto"/>
        <w:jc w:val="both"/>
        <w:rPr>
          <w:rFonts w:ascii="Palatino Linotype" w:eastAsia="Palatino Linotype" w:hAnsi="Palatino Linotype" w:cs="Palatino Linotype"/>
          <w:sz w:val="22"/>
          <w:szCs w:val="22"/>
          <w:u w:val="single"/>
        </w:rPr>
      </w:pPr>
    </w:p>
    <w:p w14:paraId="4BDD8EB7" w14:textId="77777777" w:rsidR="009E197C" w:rsidRDefault="00727B69">
      <w:pPr>
        <w:spacing w:line="360" w:lineRule="auto"/>
        <w:jc w:val="both"/>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t>Es necesario mencionar que para el caso de que la información tenga datos personales será necesaria su entrega en versión pública, lo que significa que se testan los datos personales y se entrega acompañada de un acuerdo en el que se expresen las razones por las que se protegen dichos datos.</w:t>
      </w:r>
    </w:p>
    <w:p w14:paraId="0DB8D641" w14:textId="77777777" w:rsidR="009E197C" w:rsidRDefault="009E197C">
      <w:pPr>
        <w:spacing w:line="360" w:lineRule="auto"/>
        <w:jc w:val="both"/>
        <w:rPr>
          <w:rFonts w:ascii="Palatino Linotype" w:eastAsia="Palatino Linotype" w:hAnsi="Palatino Linotype" w:cs="Palatino Linotype"/>
          <w:sz w:val="22"/>
          <w:szCs w:val="22"/>
          <w:u w:val="single"/>
        </w:rPr>
      </w:pPr>
    </w:p>
    <w:p w14:paraId="070031F1" w14:textId="77777777" w:rsidR="009E197C" w:rsidRDefault="00727B69">
      <w:pPr>
        <w:spacing w:line="360" w:lineRule="auto"/>
        <w:jc w:val="both"/>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lastRenderedPageBreak/>
        <w:t>La labor del INFOEM, es apoyar a la población para acceder a la información pública y garantizar la protección de sus datos personales.</w:t>
      </w:r>
    </w:p>
    <w:p w14:paraId="2D88921D" w14:textId="77777777" w:rsidR="009E197C" w:rsidRDefault="009E197C">
      <w:pPr>
        <w:spacing w:line="360" w:lineRule="auto"/>
        <w:jc w:val="both"/>
        <w:rPr>
          <w:rFonts w:ascii="Palatino Linotype" w:eastAsia="Palatino Linotype" w:hAnsi="Palatino Linotype" w:cs="Palatino Linotype"/>
          <w:sz w:val="22"/>
          <w:szCs w:val="22"/>
        </w:rPr>
      </w:pPr>
    </w:p>
    <w:p w14:paraId="6B5A38C6"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14:paraId="7F4106C0" w14:textId="77777777" w:rsidR="009E197C" w:rsidRDefault="00727B69">
      <w:pPr>
        <w:pStyle w:val="Ttulo1"/>
        <w:spacing w:before="0" w:line="360" w:lineRule="auto"/>
        <w:jc w:val="center"/>
        <w:rPr>
          <w:rFonts w:ascii="Palatino Linotype" w:eastAsia="Palatino Linotype" w:hAnsi="Palatino Linotype" w:cs="Palatino Linotype"/>
          <w:b/>
          <w:color w:val="000000"/>
          <w:sz w:val="22"/>
          <w:szCs w:val="22"/>
        </w:rPr>
      </w:pPr>
      <w:bookmarkStart w:id="18" w:name="_heading=h.lwn7g8b128ow" w:colFirst="0" w:colLast="0"/>
      <w:bookmarkEnd w:id="18"/>
      <w:r>
        <w:rPr>
          <w:rFonts w:ascii="Palatino Linotype" w:eastAsia="Palatino Linotype" w:hAnsi="Palatino Linotype" w:cs="Palatino Linotype"/>
          <w:b/>
          <w:color w:val="000000"/>
          <w:sz w:val="22"/>
          <w:szCs w:val="22"/>
        </w:rPr>
        <w:t>R E S U E L V E</w:t>
      </w:r>
    </w:p>
    <w:p w14:paraId="7CACF9A5" w14:textId="77777777" w:rsidR="009E197C" w:rsidRDefault="009E197C">
      <w:pPr>
        <w:spacing w:line="360" w:lineRule="auto"/>
        <w:jc w:val="center"/>
        <w:rPr>
          <w:rFonts w:ascii="Palatino Linotype" w:eastAsia="Palatino Linotype" w:hAnsi="Palatino Linotype" w:cs="Palatino Linotype"/>
          <w:b/>
          <w:sz w:val="22"/>
          <w:szCs w:val="22"/>
        </w:rPr>
      </w:pPr>
    </w:p>
    <w:p w14:paraId="12F21F90" w14:textId="75EFD294" w:rsidR="009E197C" w:rsidRDefault="00727B69">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w:t>
      </w:r>
      <w:r>
        <w:rPr>
          <w:rFonts w:ascii="Palatino Linotype" w:eastAsia="Palatino Linotype" w:hAnsi="Palatino Linotype" w:cs="Palatino Linotype"/>
          <w:sz w:val="22"/>
          <w:szCs w:val="22"/>
        </w:rPr>
        <w:t xml:space="preserve"> Se </w:t>
      </w:r>
      <w:r>
        <w:rPr>
          <w:rFonts w:ascii="Palatino Linotype" w:eastAsia="Palatino Linotype" w:hAnsi="Palatino Linotype" w:cs="Palatino Linotype"/>
          <w:b/>
          <w:sz w:val="22"/>
          <w:szCs w:val="22"/>
        </w:rPr>
        <w:t xml:space="preserve">MODIFICAN </w:t>
      </w:r>
      <w:r>
        <w:rPr>
          <w:rFonts w:ascii="Palatino Linotype" w:eastAsia="Palatino Linotype" w:hAnsi="Palatino Linotype" w:cs="Palatino Linotype"/>
          <w:sz w:val="22"/>
          <w:szCs w:val="22"/>
        </w:rPr>
        <w:t xml:space="preserve">las respuestas entregadas por el Sujeto Obligado a las solicitudes de acceso a la información con número de </w:t>
      </w:r>
      <w:r w:rsidRPr="006B4F94">
        <w:rPr>
          <w:rFonts w:ascii="Palatino Linotype" w:eastAsia="Palatino Linotype" w:hAnsi="Palatino Linotype" w:cs="Palatino Linotype"/>
          <w:sz w:val="22"/>
          <w:szCs w:val="22"/>
        </w:rPr>
        <w:t>folio </w:t>
      </w:r>
      <w:r w:rsidRPr="006B4F94">
        <w:rPr>
          <w:rFonts w:ascii="Palatino Linotype" w:eastAsia="Palatino Linotype" w:hAnsi="Palatino Linotype" w:cs="Palatino Linotype"/>
          <w:color w:val="000000"/>
          <w:sz w:val="22"/>
          <w:szCs w:val="22"/>
        </w:rPr>
        <w:t>0013</w:t>
      </w:r>
      <w:r w:rsidR="00027227" w:rsidRPr="006B4F94">
        <w:rPr>
          <w:rFonts w:ascii="Palatino Linotype" w:eastAsia="Palatino Linotype" w:hAnsi="Palatino Linotype" w:cs="Palatino Linotype"/>
          <w:color w:val="000000"/>
          <w:sz w:val="22"/>
          <w:szCs w:val="22"/>
        </w:rPr>
        <w:t>5</w:t>
      </w:r>
      <w:r w:rsidRPr="006B4F94">
        <w:rPr>
          <w:rFonts w:ascii="Palatino Linotype" w:eastAsia="Palatino Linotype" w:hAnsi="Palatino Linotype" w:cs="Palatino Linotype"/>
          <w:color w:val="000000"/>
          <w:sz w:val="22"/>
          <w:szCs w:val="22"/>
        </w:rPr>
        <w:t>/ZINACANT/IP/2025 y 0013</w:t>
      </w:r>
      <w:r w:rsidR="00027227" w:rsidRPr="006B4F94">
        <w:rPr>
          <w:rFonts w:ascii="Palatino Linotype" w:eastAsia="Palatino Linotype" w:hAnsi="Palatino Linotype" w:cs="Palatino Linotype"/>
          <w:color w:val="000000"/>
          <w:sz w:val="22"/>
          <w:szCs w:val="22"/>
        </w:rPr>
        <w:t>6</w:t>
      </w:r>
      <w:r w:rsidRPr="006B4F94">
        <w:rPr>
          <w:rFonts w:ascii="Palatino Linotype" w:eastAsia="Palatino Linotype" w:hAnsi="Palatino Linotype" w:cs="Palatino Linotype"/>
          <w:color w:val="000000"/>
          <w:sz w:val="22"/>
          <w:szCs w:val="22"/>
        </w:rPr>
        <w:t>/ZINACANT/IP/2025</w:t>
      </w:r>
      <w:r w:rsidRPr="006B4F94">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por resultar </w:t>
      </w:r>
      <w:r w:rsidRPr="00027227">
        <w:rPr>
          <w:rFonts w:ascii="Palatino Linotype" w:eastAsia="Palatino Linotype" w:hAnsi="Palatino Linotype" w:cs="Palatino Linotype"/>
          <w:b/>
          <w:bCs/>
          <w:sz w:val="22"/>
          <w:szCs w:val="22"/>
        </w:rPr>
        <w:t>PARCIALMENTE FUNDADAS</w:t>
      </w:r>
      <w:r>
        <w:rPr>
          <w:rFonts w:ascii="Palatino Linotype" w:eastAsia="Palatino Linotype" w:hAnsi="Palatino Linotype" w:cs="Palatino Linotype"/>
          <w:sz w:val="22"/>
          <w:szCs w:val="22"/>
        </w:rPr>
        <w:t xml:space="preserve"> las razones o motivos de inconformidad hechas valer por la persona Recurrente, en términos de los Considerandos QUINTO y SEXTO de esta Resolución.</w:t>
      </w:r>
    </w:p>
    <w:p w14:paraId="6DB18B16"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4F31B889" w14:textId="0BAC61C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SEGUNDO. </w:t>
      </w:r>
      <w:r>
        <w:rPr>
          <w:rFonts w:ascii="Palatino Linotype" w:eastAsia="Palatino Linotype" w:hAnsi="Palatino Linotype" w:cs="Palatino Linotype"/>
          <w:color w:val="000000"/>
          <w:sz w:val="22"/>
          <w:szCs w:val="22"/>
        </w:rPr>
        <w:t xml:space="preserve">Se </w:t>
      </w:r>
      <w:r>
        <w:rPr>
          <w:rFonts w:ascii="Palatino Linotype" w:eastAsia="Palatino Linotype" w:hAnsi="Palatino Linotype" w:cs="Palatino Linotype"/>
          <w:b/>
          <w:color w:val="000000"/>
          <w:sz w:val="22"/>
          <w:szCs w:val="22"/>
        </w:rPr>
        <w:t>ORDENA</w:t>
      </w:r>
      <w:r>
        <w:rPr>
          <w:rFonts w:ascii="Palatino Linotype" w:eastAsia="Palatino Linotype" w:hAnsi="Palatino Linotype" w:cs="Palatino Linotype"/>
          <w:color w:val="000000"/>
          <w:sz w:val="22"/>
          <w:szCs w:val="22"/>
        </w:rPr>
        <w:t xml:space="preserve"> al Sujeto Obligado, a efecto de entregue, previa búsqueda exhaustiva y razonable, a través del SAIMEX, </w:t>
      </w:r>
      <w:r w:rsidR="006E0142">
        <w:rPr>
          <w:rFonts w:ascii="Palatino Linotype" w:eastAsia="Palatino Linotype" w:hAnsi="Palatino Linotype" w:cs="Palatino Linotype"/>
          <w:color w:val="000000"/>
          <w:sz w:val="22"/>
          <w:szCs w:val="22"/>
        </w:rPr>
        <w:t xml:space="preserve">del 25 de marzo de 2020 al 25 de marzo de 2025, </w:t>
      </w:r>
      <w:r>
        <w:rPr>
          <w:rFonts w:ascii="Palatino Linotype" w:eastAsia="Palatino Linotype" w:hAnsi="Palatino Linotype" w:cs="Palatino Linotype"/>
          <w:color w:val="000000"/>
          <w:sz w:val="22"/>
          <w:szCs w:val="22"/>
        </w:rPr>
        <w:t xml:space="preserve">los documentos </w:t>
      </w:r>
      <w:r w:rsidR="006E0142">
        <w:rPr>
          <w:rFonts w:ascii="Palatino Linotype" w:eastAsia="Palatino Linotype" w:hAnsi="Palatino Linotype" w:cs="Palatino Linotype"/>
          <w:color w:val="000000"/>
          <w:sz w:val="22"/>
          <w:szCs w:val="22"/>
        </w:rPr>
        <w:t xml:space="preserve">donde conste </w:t>
      </w:r>
      <w:r>
        <w:rPr>
          <w:rFonts w:ascii="Palatino Linotype" w:eastAsia="Palatino Linotype" w:hAnsi="Palatino Linotype" w:cs="Palatino Linotype"/>
          <w:color w:val="000000"/>
          <w:sz w:val="22"/>
          <w:szCs w:val="22"/>
        </w:rPr>
        <w:t>lo siguiente:</w:t>
      </w:r>
    </w:p>
    <w:p w14:paraId="426E14DF"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1423760C" w14:textId="74B38836" w:rsidR="009E197C" w:rsidRPr="006B4F94" w:rsidRDefault="006B4F94" w:rsidP="006B4F94">
      <w:pPr>
        <w:numPr>
          <w:ilvl w:val="3"/>
          <w:numId w:val="9"/>
        </w:num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su caso, en versión pública,</w:t>
      </w:r>
      <w:r w:rsidRPr="006B4F94">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l</w:t>
      </w:r>
      <w:r w:rsidRPr="006B4F94">
        <w:rPr>
          <w:rFonts w:ascii="Palatino Linotype" w:eastAsia="Palatino Linotype" w:hAnsi="Palatino Linotype" w:cs="Palatino Linotype"/>
          <w:color w:val="000000"/>
          <w:sz w:val="22"/>
          <w:szCs w:val="22"/>
        </w:rPr>
        <w:t xml:space="preserve">as recomendaciones emitidas por </w:t>
      </w:r>
      <w:r w:rsidR="006E0142" w:rsidRPr="006B4F94">
        <w:rPr>
          <w:rFonts w:ascii="Palatino Linotype" w:eastAsia="Palatino Linotype" w:hAnsi="Palatino Linotype" w:cs="Palatino Linotype"/>
          <w:color w:val="000000"/>
          <w:sz w:val="22"/>
          <w:szCs w:val="22"/>
        </w:rPr>
        <w:t>la Contraloría Municipal</w:t>
      </w:r>
      <w:r w:rsidRPr="006B4F94">
        <w:rPr>
          <w:rFonts w:ascii="Palatino Linotype" w:eastAsia="Palatino Linotype" w:hAnsi="Palatino Linotype" w:cs="Palatino Linotype"/>
          <w:color w:val="000000"/>
          <w:sz w:val="22"/>
          <w:szCs w:val="22"/>
        </w:rPr>
        <w:t xml:space="preserve">. </w:t>
      </w:r>
    </w:p>
    <w:p w14:paraId="16F9699C" w14:textId="77777777" w:rsidR="006E0142" w:rsidRDefault="006E0142" w:rsidP="006E0142">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2"/>
          <w:szCs w:val="22"/>
        </w:rPr>
      </w:pPr>
    </w:p>
    <w:p w14:paraId="06EE92A2" w14:textId="059EC6E7" w:rsidR="006B4F94" w:rsidRDefault="00727B69" w:rsidP="006B4F94">
      <w:pPr>
        <w:numPr>
          <w:ilvl w:val="3"/>
          <w:numId w:val="9"/>
        </w:num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Acuerdo emitido por el Comité de Transparencia </w:t>
      </w:r>
      <w:r w:rsidR="006B4F94">
        <w:rPr>
          <w:rFonts w:ascii="Palatino Linotype" w:eastAsia="Palatino Linotype" w:hAnsi="Palatino Linotype" w:cs="Palatino Linotype"/>
          <w:color w:val="000000"/>
          <w:sz w:val="22"/>
          <w:szCs w:val="22"/>
        </w:rPr>
        <w:t>de conformidad con los artículos 49, fracciones II y VIII y 132, fracción II de la Ley de Transparencia y Acceso a la Información Pública del Estado de México y Municipios, donde confirme la clasificación de lo siguiente:</w:t>
      </w:r>
    </w:p>
    <w:p w14:paraId="641952B1" w14:textId="77777777" w:rsidR="006B4F94" w:rsidRDefault="006B4F94" w:rsidP="006B4F94">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2"/>
          <w:szCs w:val="22"/>
        </w:rPr>
      </w:pPr>
    </w:p>
    <w:p w14:paraId="1F601F7C" w14:textId="42872C41" w:rsidR="009E197C" w:rsidRDefault="006B4F94" w:rsidP="006B4F94">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Pr>
          <w:rFonts w:ascii="Palatino Linotype" w:eastAsia="Palatino Linotype" w:hAnsi="Palatino Linotype" w:cs="Palatino Linotype"/>
          <w:color w:val="000000"/>
          <w:szCs w:val="22"/>
        </w:rPr>
        <w:t>L</w:t>
      </w:r>
      <w:r w:rsidRPr="006B4F94">
        <w:rPr>
          <w:rFonts w:ascii="Palatino Linotype" w:eastAsia="Palatino Linotype" w:hAnsi="Palatino Linotype" w:cs="Palatino Linotype"/>
          <w:color w:val="000000"/>
          <w:szCs w:val="22"/>
        </w:rPr>
        <w:t>as recomendaciones que se encontraran en trámite a la fecha de la solicitud</w:t>
      </w:r>
      <w:r>
        <w:rPr>
          <w:rFonts w:ascii="Palatino Linotype" w:eastAsia="Palatino Linotype" w:hAnsi="Palatino Linotype" w:cs="Palatino Linotype"/>
          <w:color w:val="000000"/>
          <w:szCs w:val="22"/>
        </w:rPr>
        <w:t>, y</w:t>
      </w:r>
    </w:p>
    <w:p w14:paraId="2891385B" w14:textId="5D23AC21" w:rsidR="006B4F94" w:rsidRPr="006B4F94" w:rsidRDefault="006B4F94" w:rsidP="006B4F94">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Pr>
          <w:rFonts w:ascii="Palatino Linotype" w:eastAsia="Palatino Linotype" w:hAnsi="Palatino Linotype" w:cs="Palatino Linotype"/>
          <w:color w:val="000000"/>
          <w:szCs w:val="22"/>
        </w:rPr>
        <w:t>Los datos testados en las versiones públicas que den cuenta del numeral 1.</w:t>
      </w:r>
    </w:p>
    <w:p w14:paraId="7CAA254E" w14:textId="36F7D3E2"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Para el caso de que durante </w:t>
      </w:r>
      <w:r w:rsidR="006B4F94">
        <w:rPr>
          <w:rFonts w:ascii="Palatino Linotype" w:eastAsia="Palatino Linotype" w:hAnsi="Palatino Linotype" w:cs="Palatino Linotype"/>
          <w:sz w:val="22"/>
          <w:szCs w:val="22"/>
        </w:rPr>
        <w:t>toda o parte de la</w:t>
      </w:r>
      <w:r>
        <w:rPr>
          <w:rFonts w:ascii="Palatino Linotype" w:eastAsia="Palatino Linotype" w:hAnsi="Palatino Linotype" w:cs="Palatino Linotype"/>
          <w:sz w:val="22"/>
          <w:szCs w:val="22"/>
        </w:rPr>
        <w:t xml:space="preserve"> temporalidad que se ordena, no se haya emitido </w:t>
      </w:r>
      <w:r w:rsidR="006B4F94">
        <w:rPr>
          <w:rFonts w:ascii="Palatino Linotype" w:eastAsia="Palatino Linotype" w:hAnsi="Palatino Linotype" w:cs="Palatino Linotype"/>
          <w:sz w:val="22"/>
          <w:szCs w:val="22"/>
        </w:rPr>
        <w:t>alguna</w:t>
      </w:r>
      <w:r>
        <w:rPr>
          <w:rFonts w:ascii="Palatino Linotype" w:eastAsia="Palatino Linotype" w:hAnsi="Palatino Linotype" w:cs="Palatino Linotype"/>
          <w:sz w:val="22"/>
          <w:szCs w:val="22"/>
        </w:rPr>
        <w:t xml:space="preserve"> recomendación, bastará con que lo haga del conocimiento del Particular de manera precisa y clara.</w:t>
      </w:r>
    </w:p>
    <w:p w14:paraId="26661EC5"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36B721BE" w14:textId="77777777" w:rsidR="009E197C" w:rsidRDefault="00727B69">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mallCaps/>
          <w:color w:val="000000"/>
          <w:sz w:val="22"/>
          <w:szCs w:val="22"/>
        </w:rPr>
        <w:t>TERCERO</w:t>
      </w:r>
      <w:r>
        <w:rPr>
          <w:rFonts w:ascii="Palatino Linotype" w:eastAsia="Palatino Linotype" w:hAnsi="Palatino Linotype" w:cs="Palatino Linotype"/>
          <w:b/>
          <w:color w:val="000000"/>
          <w:sz w:val="22"/>
          <w:szCs w:val="22"/>
        </w:rPr>
        <w:t xml:space="preserve">. NOTIFÍQUESE POR SAIMEX </w:t>
      </w:r>
      <w:r>
        <w:rPr>
          <w:rFonts w:ascii="Palatino Linotype" w:eastAsia="Palatino Linotype" w:hAnsi="Palatino Linotype" w:cs="Palatino Linotype"/>
          <w:color w:val="000000"/>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963604"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5FA2EF93" w14:textId="77777777" w:rsidR="009E197C" w:rsidRDefault="00727B69">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CDB61E"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56D05CF6" w14:textId="77777777"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 xml:space="preserve">CUARTO. </w:t>
      </w:r>
      <w:r>
        <w:rPr>
          <w:rFonts w:ascii="Palatino Linotype" w:eastAsia="Palatino Linotype" w:hAnsi="Palatino Linotype" w:cs="Palatino Linotype"/>
          <w:b/>
          <w:sz w:val="22"/>
          <w:szCs w:val="22"/>
        </w:rPr>
        <w:t xml:space="preserve">NOTIFÍQUESE POR SAIMEX </w:t>
      </w:r>
      <w:r>
        <w:rPr>
          <w:rFonts w:ascii="Palatino Linotype" w:eastAsia="Palatino Linotype" w:hAnsi="Palatino Linotype" w:cs="Palatino Linotype"/>
          <w:sz w:val="22"/>
          <w:szCs w:val="22"/>
        </w:rPr>
        <w:t xml:space="preserve">a </w:t>
      </w:r>
      <w:r>
        <w:rPr>
          <w:rFonts w:ascii="Palatino Linotype" w:eastAsia="Palatino Linotype" w:hAnsi="Palatino Linotype" w:cs="Palatino Linotype"/>
          <w:color w:val="000000"/>
          <w:sz w:val="22"/>
          <w:szCs w:val="22"/>
        </w:rPr>
        <w:t xml:space="preserve">la persona </w:t>
      </w:r>
      <w:r>
        <w:rPr>
          <w:rFonts w:ascii="Palatino Linotype" w:eastAsia="Palatino Linotype" w:hAnsi="Palatino Linotype" w:cs="Palatino Linotype"/>
          <w:sz w:val="22"/>
          <w:szCs w:val="22"/>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28B2ED3" w14:textId="77777777" w:rsidR="009E197C" w:rsidRDefault="009E197C">
      <w:pPr>
        <w:spacing w:line="360" w:lineRule="auto"/>
        <w:jc w:val="both"/>
        <w:rPr>
          <w:rFonts w:ascii="Palatino Linotype" w:eastAsia="Palatino Linotype" w:hAnsi="Palatino Linotype" w:cs="Palatino Linotype"/>
          <w:color w:val="000000"/>
          <w:sz w:val="22"/>
          <w:szCs w:val="22"/>
        </w:rPr>
      </w:pPr>
    </w:p>
    <w:p w14:paraId="009005E2" w14:textId="70BC85C5" w:rsidR="009E197C" w:rsidRDefault="00727B6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 xml:space="preserve">UNANIMIDAD </w:t>
      </w:r>
      <w:r>
        <w:rPr>
          <w:rFonts w:ascii="Palatino Linotype" w:eastAsia="Palatino Linotype" w:hAnsi="Palatino Linotype" w:cs="Palatino Linotype"/>
          <w:sz w:val="22"/>
          <w:szCs w:val="22"/>
        </w:rPr>
        <w:t xml:space="preserve">DE VOTOS EL PLENO DEL INSTITUTO DE TRANSPARENCIA, ACCESO A LA INFORMACIÓN PÚBLICA Y PROTECCIÓN DE </w:t>
      </w:r>
      <w:r>
        <w:rPr>
          <w:rFonts w:ascii="Palatino Linotype" w:eastAsia="Palatino Linotype" w:hAnsi="Palatino Linotype" w:cs="Palatino Linotype"/>
          <w:sz w:val="22"/>
          <w:szCs w:val="22"/>
        </w:rPr>
        <w:lastRenderedPageBreak/>
        <w:t>DATOS PERSONALES DEL ESTADO DE MÉXICO Y MUNICIPIOS, CONFORMADO POR LOS COMISIONADOS JOSÉ MARTÍNEZ VILCHIS, MARÍA DEL ROSARIO MEJÍA AYALA, SHARON CRISTINA MORALES MARTÍNEZ, LUIS GUSTAVO PARRA NORIEGA  CON VOTO PARTICULAR</w:t>
      </w:r>
      <w:r w:rsidR="0021779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Y GUADALUPE RAMÍREZ PEÑA, EN LA VIGÉSIMA </w:t>
      </w:r>
      <w:r w:rsidR="009B3B1F">
        <w:rPr>
          <w:rFonts w:ascii="Palatino Linotype" w:eastAsia="Palatino Linotype" w:hAnsi="Palatino Linotype" w:cs="Palatino Linotype"/>
          <w:sz w:val="22"/>
          <w:szCs w:val="22"/>
        </w:rPr>
        <w:t xml:space="preserve">OCTAVA </w:t>
      </w:r>
      <w:r>
        <w:rPr>
          <w:rFonts w:ascii="Palatino Linotype" w:eastAsia="Palatino Linotype" w:hAnsi="Palatino Linotype" w:cs="Palatino Linotype"/>
          <w:sz w:val="22"/>
          <w:szCs w:val="22"/>
        </w:rPr>
        <w:t>SESIÓN ORDINARIA, CELEBRADA EL TRECE DE AGOSTO DE DOS MIL VEINTICINCO, ANTE EL SECRETARIO TÉCNICO DEL PLENO, ALEXIS TAPIA RAMÍREZ.</w:t>
      </w:r>
    </w:p>
    <w:p w14:paraId="303E6F8B" w14:textId="77777777" w:rsidR="009E197C" w:rsidRDefault="009E197C">
      <w:pPr>
        <w:spacing w:line="360" w:lineRule="auto"/>
        <w:jc w:val="both"/>
        <w:rPr>
          <w:rFonts w:ascii="Palatino Linotype" w:eastAsia="Palatino Linotype" w:hAnsi="Palatino Linotype" w:cs="Palatino Linotype"/>
          <w:sz w:val="22"/>
          <w:szCs w:val="22"/>
        </w:rPr>
      </w:pPr>
    </w:p>
    <w:p w14:paraId="6649E310" w14:textId="77777777" w:rsidR="009E197C" w:rsidRDefault="009E197C">
      <w:pPr>
        <w:spacing w:line="360" w:lineRule="auto"/>
        <w:jc w:val="both"/>
        <w:rPr>
          <w:rFonts w:ascii="Palatino Linotype" w:eastAsia="Palatino Linotype" w:hAnsi="Palatino Linotype" w:cs="Palatino Linotype"/>
          <w:sz w:val="22"/>
          <w:szCs w:val="22"/>
        </w:rPr>
      </w:pPr>
    </w:p>
    <w:p w14:paraId="3B98D1AA" w14:textId="77777777" w:rsidR="009E197C" w:rsidRDefault="009E197C">
      <w:pPr>
        <w:spacing w:line="360" w:lineRule="auto"/>
        <w:jc w:val="both"/>
        <w:rPr>
          <w:rFonts w:ascii="Palatino Linotype" w:eastAsia="Palatino Linotype" w:hAnsi="Palatino Linotype" w:cs="Palatino Linotype"/>
          <w:sz w:val="22"/>
          <w:szCs w:val="22"/>
        </w:rPr>
      </w:pPr>
    </w:p>
    <w:p w14:paraId="44C34004" w14:textId="77777777" w:rsidR="009B3B1F" w:rsidRDefault="009B3B1F">
      <w:pPr>
        <w:spacing w:line="360" w:lineRule="auto"/>
        <w:jc w:val="both"/>
        <w:rPr>
          <w:rFonts w:ascii="Palatino Linotype" w:eastAsia="Palatino Linotype" w:hAnsi="Palatino Linotype" w:cs="Palatino Linotype"/>
          <w:sz w:val="22"/>
          <w:szCs w:val="22"/>
        </w:rPr>
      </w:pPr>
    </w:p>
    <w:p w14:paraId="53911F49" w14:textId="77777777" w:rsidR="009B3B1F" w:rsidRDefault="009B3B1F">
      <w:pPr>
        <w:spacing w:line="360" w:lineRule="auto"/>
        <w:jc w:val="both"/>
        <w:rPr>
          <w:rFonts w:ascii="Palatino Linotype" w:eastAsia="Palatino Linotype" w:hAnsi="Palatino Linotype" w:cs="Palatino Linotype"/>
          <w:sz w:val="22"/>
          <w:szCs w:val="22"/>
        </w:rPr>
      </w:pPr>
    </w:p>
    <w:p w14:paraId="5DA6278C" w14:textId="77777777" w:rsidR="009B3B1F" w:rsidRDefault="009B3B1F">
      <w:pPr>
        <w:spacing w:line="360" w:lineRule="auto"/>
        <w:jc w:val="both"/>
        <w:rPr>
          <w:rFonts w:ascii="Palatino Linotype" w:eastAsia="Palatino Linotype" w:hAnsi="Palatino Linotype" w:cs="Palatino Linotype"/>
          <w:sz w:val="22"/>
          <w:szCs w:val="22"/>
        </w:rPr>
      </w:pPr>
    </w:p>
    <w:p w14:paraId="4A6DCD87" w14:textId="77777777" w:rsidR="009B3B1F" w:rsidRDefault="009B3B1F">
      <w:pPr>
        <w:spacing w:line="360" w:lineRule="auto"/>
        <w:jc w:val="both"/>
        <w:rPr>
          <w:rFonts w:ascii="Palatino Linotype" w:eastAsia="Palatino Linotype" w:hAnsi="Palatino Linotype" w:cs="Palatino Linotype"/>
          <w:sz w:val="22"/>
          <w:szCs w:val="22"/>
        </w:rPr>
      </w:pPr>
    </w:p>
    <w:p w14:paraId="55B6865F" w14:textId="77777777" w:rsidR="009B3B1F" w:rsidRDefault="009B3B1F">
      <w:pPr>
        <w:spacing w:line="360" w:lineRule="auto"/>
        <w:jc w:val="both"/>
        <w:rPr>
          <w:rFonts w:ascii="Palatino Linotype" w:eastAsia="Palatino Linotype" w:hAnsi="Palatino Linotype" w:cs="Palatino Linotype"/>
          <w:sz w:val="22"/>
          <w:szCs w:val="22"/>
        </w:rPr>
      </w:pPr>
    </w:p>
    <w:p w14:paraId="02D3E6F4" w14:textId="77777777" w:rsidR="009B3B1F" w:rsidRDefault="009B3B1F">
      <w:pPr>
        <w:spacing w:line="360" w:lineRule="auto"/>
        <w:jc w:val="both"/>
        <w:rPr>
          <w:rFonts w:ascii="Palatino Linotype" w:eastAsia="Palatino Linotype" w:hAnsi="Palatino Linotype" w:cs="Palatino Linotype"/>
          <w:sz w:val="22"/>
          <w:szCs w:val="22"/>
        </w:rPr>
      </w:pPr>
    </w:p>
    <w:p w14:paraId="1078CC5A" w14:textId="77777777" w:rsidR="009B3B1F" w:rsidRDefault="009B3B1F">
      <w:pPr>
        <w:spacing w:line="360" w:lineRule="auto"/>
        <w:jc w:val="both"/>
        <w:rPr>
          <w:rFonts w:ascii="Palatino Linotype" w:eastAsia="Palatino Linotype" w:hAnsi="Palatino Linotype" w:cs="Palatino Linotype"/>
          <w:sz w:val="22"/>
          <w:szCs w:val="22"/>
        </w:rPr>
      </w:pPr>
    </w:p>
    <w:p w14:paraId="26DAB4CA" w14:textId="77777777" w:rsidR="009B3B1F" w:rsidRDefault="009B3B1F">
      <w:pPr>
        <w:spacing w:line="360" w:lineRule="auto"/>
        <w:jc w:val="both"/>
        <w:rPr>
          <w:rFonts w:ascii="Palatino Linotype" w:eastAsia="Palatino Linotype" w:hAnsi="Palatino Linotype" w:cs="Palatino Linotype"/>
          <w:sz w:val="22"/>
          <w:szCs w:val="22"/>
        </w:rPr>
      </w:pPr>
    </w:p>
    <w:p w14:paraId="226870BD" w14:textId="77777777" w:rsidR="009B3B1F" w:rsidRDefault="009B3B1F">
      <w:pPr>
        <w:spacing w:line="360" w:lineRule="auto"/>
        <w:jc w:val="both"/>
        <w:rPr>
          <w:rFonts w:ascii="Palatino Linotype" w:eastAsia="Palatino Linotype" w:hAnsi="Palatino Linotype" w:cs="Palatino Linotype"/>
          <w:sz w:val="22"/>
          <w:szCs w:val="22"/>
        </w:rPr>
      </w:pPr>
    </w:p>
    <w:p w14:paraId="40B235B0" w14:textId="77777777" w:rsidR="009B3B1F" w:rsidRDefault="009B3B1F">
      <w:pPr>
        <w:spacing w:line="360" w:lineRule="auto"/>
        <w:jc w:val="both"/>
        <w:rPr>
          <w:rFonts w:ascii="Palatino Linotype" w:eastAsia="Palatino Linotype" w:hAnsi="Palatino Linotype" w:cs="Palatino Linotype"/>
          <w:sz w:val="22"/>
          <w:szCs w:val="22"/>
        </w:rPr>
      </w:pPr>
    </w:p>
    <w:p w14:paraId="2FE1F903" w14:textId="77777777" w:rsidR="009B3B1F" w:rsidRDefault="009B3B1F">
      <w:pPr>
        <w:spacing w:line="360" w:lineRule="auto"/>
        <w:jc w:val="both"/>
        <w:rPr>
          <w:rFonts w:ascii="Palatino Linotype" w:eastAsia="Palatino Linotype" w:hAnsi="Palatino Linotype" w:cs="Palatino Linotype"/>
          <w:sz w:val="22"/>
          <w:szCs w:val="22"/>
        </w:rPr>
      </w:pPr>
    </w:p>
    <w:p w14:paraId="1D21328A" w14:textId="77777777" w:rsidR="009B3B1F" w:rsidRDefault="009B3B1F">
      <w:pPr>
        <w:spacing w:line="360" w:lineRule="auto"/>
        <w:jc w:val="both"/>
        <w:rPr>
          <w:rFonts w:ascii="Palatino Linotype" w:eastAsia="Palatino Linotype" w:hAnsi="Palatino Linotype" w:cs="Palatino Linotype"/>
          <w:sz w:val="22"/>
          <w:szCs w:val="22"/>
        </w:rPr>
      </w:pPr>
    </w:p>
    <w:p w14:paraId="1C92EF98" w14:textId="77777777" w:rsidR="009B3B1F" w:rsidRDefault="009B3B1F">
      <w:pPr>
        <w:spacing w:line="360" w:lineRule="auto"/>
        <w:jc w:val="both"/>
        <w:rPr>
          <w:rFonts w:ascii="Palatino Linotype" w:eastAsia="Palatino Linotype" w:hAnsi="Palatino Linotype" w:cs="Palatino Linotype"/>
          <w:sz w:val="22"/>
          <w:szCs w:val="22"/>
        </w:rPr>
      </w:pPr>
    </w:p>
    <w:p w14:paraId="75AF9A91" w14:textId="77777777" w:rsidR="009B3B1F" w:rsidRDefault="009B3B1F">
      <w:pPr>
        <w:spacing w:line="360" w:lineRule="auto"/>
        <w:jc w:val="both"/>
        <w:rPr>
          <w:rFonts w:ascii="Palatino Linotype" w:eastAsia="Palatino Linotype" w:hAnsi="Palatino Linotype" w:cs="Palatino Linotype"/>
          <w:sz w:val="22"/>
          <w:szCs w:val="22"/>
        </w:rPr>
      </w:pPr>
    </w:p>
    <w:p w14:paraId="0E19FB03" w14:textId="77777777" w:rsidR="009B3B1F" w:rsidRDefault="009B3B1F">
      <w:pPr>
        <w:spacing w:line="360" w:lineRule="auto"/>
        <w:jc w:val="both"/>
        <w:rPr>
          <w:rFonts w:ascii="Palatino Linotype" w:eastAsia="Palatino Linotype" w:hAnsi="Palatino Linotype" w:cs="Palatino Linotype"/>
          <w:sz w:val="22"/>
          <w:szCs w:val="22"/>
        </w:rPr>
      </w:pPr>
    </w:p>
    <w:p w14:paraId="67DAF200" w14:textId="77777777" w:rsidR="009B3B1F" w:rsidRDefault="009B3B1F">
      <w:pPr>
        <w:spacing w:line="360" w:lineRule="auto"/>
        <w:jc w:val="both"/>
        <w:rPr>
          <w:rFonts w:ascii="Palatino Linotype" w:eastAsia="Palatino Linotype" w:hAnsi="Palatino Linotype" w:cs="Palatino Linotype"/>
          <w:sz w:val="22"/>
          <w:szCs w:val="22"/>
        </w:rPr>
      </w:pPr>
    </w:p>
    <w:p w14:paraId="198AE823" w14:textId="77777777" w:rsidR="009B3B1F" w:rsidRDefault="009B3B1F">
      <w:pPr>
        <w:spacing w:line="360" w:lineRule="auto"/>
        <w:jc w:val="both"/>
        <w:rPr>
          <w:rFonts w:ascii="Palatino Linotype" w:eastAsia="Palatino Linotype" w:hAnsi="Palatino Linotype" w:cs="Palatino Linotype"/>
          <w:sz w:val="22"/>
          <w:szCs w:val="22"/>
        </w:rPr>
      </w:pPr>
    </w:p>
    <w:p w14:paraId="4D813F9C" w14:textId="77777777" w:rsidR="009B3B1F" w:rsidRDefault="009B3B1F">
      <w:pPr>
        <w:spacing w:line="360" w:lineRule="auto"/>
        <w:jc w:val="both"/>
        <w:rPr>
          <w:rFonts w:ascii="Palatino Linotype" w:eastAsia="Palatino Linotype" w:hAnsi="Palatino Linotype" w:cs="Palatino Linotype"/>
          <w:sz w:val="22"/>
          <w:szCs w:val="22"/>
        </w:rPr>
      </w:pPr>
    </w:p>
    <w:p w14:paraId="2155AB89" w14:textId="77777777" w:rsidR="009B3B1F" w:rsidRDefault="009B3B1F">
      <w:pPr>
        <w:spacing w:line="360" w:lineRule="auto"/>
        <w:jc w:val="both"/>
        <w:rPr>
          <w:rFonts w:ascii="Palatino Linotype" w:eastAsia="Palatino Linotype" w:hAnsi="Palatino Linotype" w:cs="Palatino Linotype"/>
          <w:sz w:val="22"/>
          <w:szCs w:val="22"/>
        </w:rPr>
      </w:pPr>
    </w:p>
    <w:p w14:paraId="67839C80" w14:textId="77777777" w:rsidR="009B3B1F" w:rsidRDefault="009B3B1F">
      <w:pPr>
        <w:spacing w:line="360" w:lineRule="auto"/>
        <w:jc w:val="both"/>
        <w:rPr>
          <w:rFonts w:ascii="Palatino Linotype" w:eastAsia="Palatino Linotype" w:hAnsi="Palatino Linotype" w:cs="Palatino Linotype"/>
          <w:sz w:val="22"/>
          <w:szCs w:val="22"/>
        </w:rPr>
      </w:pPr>
    </w:p>
    <w:p w14:paraId="11397C8C" w14:textId="77777777" w:rsidR="009B3B1F" w:rsidRDefault="009B3B1F">
      <w:pPr>
        <w:spacing w:line="360" w:lineRule="auto"/>
        <w:jc w:val="both"/>
        <w:rPr>
          <w:rFonts w:ascii="Palatino Linotype" w:eastAsia="Palatino Linotype" w:hAnsi="Palatino Linotype" w:cs="Palatino Linotype"/>
          <w:sz w:val="22"/>
          <w:szCs w:val="22"/>
        </w:rPr>
      </w:pPr>
    </w:p>
    <w:p w14:paraId="740E61ED" w14:textId="77777777" w:rsidR="009B3B1F" w:rsidRDefault="009B3B1F">
      <w:pPr>
        <w:spacing w:line="360" w:lineRule="auto"/>
        <w:jc w:val="both"/>
        <w:rPr>
          <w:rFonts w:ascii="Palatino Linotype" w:eastAsia="Palatino Linotype" w:hAnsi="Palatino Linotype" w:cs="Palatino Linotype"/>
          <w:sz w:val="22"/>
          <w:szCs w:val="22"/>
        </w:rPr>
      </w:pPr>
    </w:p>
    <w:p w14:paraId="46FEA959" w14:textId="77777777" w:rsidR="009B3B1F" w:rsidRDefault="009B3B1F">
      <w:pPr>
        <w:spacing w:line="360" w:lineRule="auto"/>
        <w:jc w:val="both"/>
        <w:rPr>
          <w:rFonts w:ascii="Palatino Linotype" w:eastAsia="Palatino Linotype" w:hAnsi="Palatino Linotype" w:cs="Palatino Linotype"/>
          <w:sz w:val="22"/>
          <w:szCs w:val="22"/>
        </w:rPr>
      </w:pPr>
    </w:p>
    <w:p w14:paraId="2BE7C7C2" w14:textId="77777777" w:rsidR="009B3B1F" w:rsidRDefault="009B3B1F">
      <w:pPr>
        <w:spacing w:line="360" w:lineRule="auto"/>
        <w:jc w:val="both"/>
        <w:rPr>
          <w:rFonts w:ascii="Palatino Linotype" w:eastAsia="Palatino Linotype" w:hAnsi="Palatino Linotype" w:cs="Palatino Linotype"/>
          <w:sz w:val="22"/>
          <w:szCs w:val="22"/>
        </w:rPr>
      </w:pPr>
    </w:p>
    <w:p w14:paraId="3D6B07D6" w14:textId="77777777" w:rsidR="009B3B1F" w:rsidRDefault="009B3B1F">
      <w:pPr>
        <w:spacing w:line="360" w:lineRule="auto"/>
        <w:jc w:val="both"/>
        <w:rPr>
          <w:rFonts w:ascii="Palatino Linotype" w:eastAsia="Palatino Linotype" w:hAnsi="Palatino Linotype" w:cs="Palatino Linotype"/>
          <w:sz w:val="22"/>
          <w:szCs w:val="22"/>
        </w:rPr>
      </w:pPr>
    </w:p>
    <w:p w14:paraId="1D3370AA" w14:textId="77777777" w:rsidR="009B3B1F" w:rsidRDefault="009B3B1F">
      <w:pPr>
        <w:spacing w:line="360" w:lineRule="auto"/>
        <w:jc w:val="both"/>
        <w:rPr>
          <w:rFonts w:ascii="Palatino Linotype" w:eastAsia="Palatino Linotype" w:hAnsi="Palatino Linotype" w:cs="Palatino Linotype"/>
          <w:sz w:val="22"/>
          <w:szCs w:val="22"/>
        </w:rPr>
      </w:pPr>
    </w:p>
    <w:sectPr w:rsidR="009B3B1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6EFE" w14:textId="77777777" w:rsidR="000B1FA3" w:rsidRDefault="000B1FA3">
      <w:r>
        <w:separator/>
      </w:r>
    </w:p>
  </w:endnote>
  <w:endnote w:type="continuationSeparator" w:id="0">
    <w:p w14:paraId="2BF60AC8" w14:textId="77777777" w:rsidR="000B1FA3" w:rsidRDefault="000B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9E4C" w14:textId="77777777" w:rsidR="009E197C" w:rsidRDefault="009E197C">
    <w:pPr>
      <w:pBdr>
        <w:top w:val="nil"/>
        <w:left w:val="nil"/>
        <w:bottom w:val="nil"/>
        <w:right w:val="nil"/>
        <w:between w:val="nil"/>
      </w:pBdr>
      <w:tabs>
        <w:tab w:val="center" w:pos="4419"/>
        <w:tab w:val="right" w:pos="8838"/>
      </w:tabs>
      <w:jc w:val="right"/>
      <w:rPr>
        <w:color w:val="000000"/>
        <w:sz w:val="26"/>
        <w:szCs w:val="26"/>
      </w:rPr>
    </w:pPr>
  </w:p>
  <w:p w14:paraId="3B2794B0" w14:textId="77777777" w:rsidR="009E197C" w:rsidRDefault="00727B6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474D7">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74D7">
      <w:rPr>
        <w:b/>
        <w:noProof/>
        <w:color w:val="000000"/>
        <w:sz w:val="24"/>
        <w:szCs w:val="24"/>
      </w:rPr>
      <w:t>30</w:t>
    </w:r>
    <w:r>
      <w:rPr>
        <w:b/>
        <w:color w:val="000000"/>
        <w:sz w:val="24"/>
        <w:szCs w:val="24"/>
      </w:rPr>
      <w:fldChar w:fldCharType="end"/>
    </w:r>
  </w:p>
  <w:p w14:paraId="787FFDEC" w14:textId="77777777" w:rsidR="009E197C" w:rsidRDefault="009E197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584A" w14:textId="77777777" w:rsidR="009E197C" w:rsidRDefault="009E197C">
    <w:pPr>
      <w:pBdr>
        <w:top w:val="nil"/>
        <w:left w:val="nil"/>
        <w:bottom w:val="nil"/>
        <w:right w:val="nil"/>
        <w:between w:val="nil"/>
      </w:pBdr>
      <w:tabs>
        <w:tab w:val="center" w:pos="4419"/>
        <w:tab w:val="right" w:pos="8838"/>
      </w:tabs>
      <w:jc w:val="right"/>
      <w:rPr>
        <w:color w:val="000000"/>
      </w:rPr>
    </w:pPr>
  </w:p>
  <w:p w14:paraId="2DCE02E0" w14:textId="77777777" w:rsidR="009E197C" w:rsidRDefault="00727B6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D487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D4871">
      <w:rPr>
        <w:b/>
        <w:noProof/>
        <w:color w:val="000000"/>
        <w:sz w:val="24"/>
        <w:szCs w:val="24"/>
      </w:rPr>
      <w:t>30</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8E57" w14:textId="77777777" w:rsidR="000B1FA3" w:rsidRDefault="000B1FA3">
      <w:r>
        <w:separator/>
      </w:r>
    </w:p>
  </w:footnote>
  <w:footnote w:type="continuationSeparator" w:id="0">
    <w:p w14:paraId="73CC8510" w14:textId="77777777" w:rsidR="000B1FA3" w:rsidRDefault="000B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57BB" w14:textId="77777777" w:rsidR="009E197C" w:rsidRDefault="0000000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r>
      <w:rPr>
        <w:rFonts w:ascii="Garamond" w:eastAsia="Garamond" w:hAnsi="Garamond" w:cs="Garamond"/>
        <w:color w:val="000000"/>
        <w:sz w:val="16"/>
        <w:szCs w:val="16"/>
      </w:rPr>
      <w:pict w14:anchorId="1487A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ARCA DE AGUA - HOJA RESOLUCIÓN" style="position:absolute;margin-left:-76.05pt;margin-top:-141.45pt;width:663.5pt;height:12in;z-index:-251658240;mso-wrap-edited:f;mso-position-horizontal-relative:margin;mso-position-vertical-relative:margin" o:allowincell="f">
          <v:imagedata r:id="rId1" o:title="MARCA DE AGUA - HOJA RESOLUCIÓN"/>
          <w10:wrap anchorx="margin" anchory="margin"/>
        </v:shape>
      </w:pict>
    </w:r>
  </w:p>
  <w:tbl>
    <w:tblPr>
      <w:tblStyle w:val="a"/>
      <w:tblW w:w="9782" w:type="dxa"/>
      <w:tblInd w:w="0" w:type="dxa"/>
      <w:tblLayout w:type="fixed"/>
      <w:tblLook w:val="0400" w:firstRow="0" w:lastRow="0" w:firstColumn="0" w:lastColumn="0" w:noHBand="0" w:noVBand="1"/>
    </w:tblPr>
    <w:tblGrid>
      <w:gridCol w:w="2127"/>
      <w:gridCol w:w="7655"/>
    </w:tblGrid>
    <w:tr w:rsidR="009E197C" w14:paraId="0C6B2895" w14:textId="77777777">
      <w:trPr>
        <w:trHeight w:val="1412"/>
      </w:trPr>
      <w:tc>
        <w:tcPr>
          <w:tcW w:w="2127" w:type="dxa"/>
        </w:tcPr>
        <w:p w14:paraId="7B958AA7" w14:textId="77777777" w:rsidR="009E197C" w:rsidRDefault="009E197C">
          <w:pPr>
            <w:tabs>
              <w:tab w:val="right" w:pos="4273"/>
            </w:tabs>
            <w:rPr>
              <w:rFonts w:ascii="Garamond" w:eastAsia="Garamond" w:hAnsi="Garamond" w:cs="Garamond"/>
              <w:sz w:val="16"/>
              <w:szCs w:val="16"/>
            </w:rPr>
          </w:pPr>
        </w:p>
      </w:tc>
      <w:tc>
        <w:tcPr>
          <w:tcW w:w="7655" w:type="dxa"/>
        </w:tcPr>
        <w:tbl>
          <w:tblPr>
            <w:tblStyle w:val="a0"/>
            <w:tblW w:w="6957" w:type="dxa"/>
            <w:tblInd w:w="447" w:type="dxa"/>
            <w:tblLayout w:type="fixed"/>
            <w:tblLook w:val="0400" w:firstRow="0" w:lastRow="0" w:firstColumn="0" w:lastColumn="0" w:noHBand="0" w:noVBand="1"/>
          </w:tblPr>
          <w:tblGrid>
            <w:gridCol w:w="2555"/>
            <w:gridCol w:w="4402"/>
          </w:tblGrid>
          <w:tr w:rsidR="009E197C" w14:paraId="4F42625B" w14:textId="77777777" w:rsidTr="00910245">
            <w:trPr>
              <w:trHeight w:val="152"/>
            </w:trPr>
            <w:tc>
              <w:tcPr>
                <w:tcW w:w="2555" w:type="dxa"/>
              </w:tcPr>
              <w:p w14:paraId="03DFD14F" w14:textId="77777777" w:rsidR="009E197C" w:rsidRDefault="00727B69">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02" w:type="dxa"/>
              </w:tcPr>
              <w:p w14:paraId="3C6D7C32" w14:textId="77777777" w:rsidR="009E197C" w:rsidRPr="00910245" w:rsidRDefault="00727B69">
                <w:pPr>
                  <w:tabs>
                    <w:tab w:val="right" w:pos="8838"/>
                  </w:tabs>
                  <w:ind w:left="-108"/>
                  <w:jc w:val="both"/>
                  <w:rPr>
                    <w:rFonts w:ascii="Palatino Linotype" w:eastAsia="Palatino Linotype" w:hAnsi="Palatino Linotype" w:cs="Palatino Linotype"/>
                    <w:bCs/>
                    <w:sz w:val="22"/>
                    <w:szCs w:val="22"/>
                  </w:rPr>
                </w:pPr>
                <w:r w:rsidRPr="00910245">
                  <w:rPr>
                    <w:rFonts w:ascii="Palatino Linotype" w:eastAsia="Palatino Linotype" w:hAnsi="Palatino Linotype" w:cs="Palatino Linotype"/>
                    <w:bCs/>
                    <w:sz w:val="22"/>
                    <w:szCs w:val="22"/>
                  </w:rPr>
                  <w:t>05121/INFOEM/IP/RR/2025 y acumulado</w:t>
                </w:r>
              </w:p>
            </w:tc>
          </w:tr>
          <w:tr w:rsidR="009E197C" w14:paraId="70DE1328" w14:textId="77777777" w:rsidTr="00910245">
            <w:trPr>
              <w:trHeight w:val="152"/>
            </w:trPr>
            <w:tc>
              <w:tcPr>
                <w:tcW w:w="2555" w:type="dxa"/>
              </w:tcPr>
              <w:p w14:paraId="40C40EE1" w14:textId="77777777" w:rsidR="009E197C" w:rsidRDefault="00727B69">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02" w:type="dxa"/>
              </w:tcPr>
              <w:p w14:paraId="3C7BB511" w14:textId="77777777" w:rsidR="009E197C" w:rsidRDefault="00727B69">
                <w:pPr>
                  <w:tabs>
                    <w:tab w:val="right" w:pos="8838"/>
                  </w:tabs>
                  <w:ind w:left="-108" w:right="14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Zinacantepec</w:t>
                </w:r>
              </w:p>
            </w:tc>
          </w:tr>
          <w:tr w:rsidR="009E197C" w14:paraId="19D62015" w14:textId="77777777" w:rsidTr="00910245">
            <w:trPr>
              <w:trHeight w:val="145"/>
            </w:trPr>
            <w:tc>
              <w:tcPr>
                <w:tcW w:w="2555" w:type="dxa"/>
              </w:tcPr>
              <w:p w14:paraId="1291D866" w14:textId="77777777" w:rsidR="009E197C" w:rsidRDefault="00727B69">
                <w:pPr>
                  <w:tabs>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402" w:type="dxa"/>
              </w:tcPr>
              <w:p w14:paraId="00278611" w14:textId="77777777" w:rsidR="009E197C" w:rsidRDefault="00727B69">
                <w:pPr>
                  <w:tabs>
                    <w:tab w:val="right" w:pos="8838"/>
                  </w:tabs>
                  <w:ind w:lef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074EF8D2" w14:textId="77777777" w:rsidR="009E197C" w:rsidRDefault="009E197C">
                <w:pPr>
                  <w:tabs>
                    <w:tab w:val="right" w:pos="8838"/>
                  </w:tabs>
                  <w:ind w:left="-108"/>
                  <w:jc w:val="both"/>
                  <w:rPr>
                    <w:rFonts w:ascii="Palatino Linotype" w:eastAsia="Palatino Linotype" w:hAnsi="Palatino Linotype" w:cs="Palatino Linotype"/>
                    <w:sz w:val="22"/>
                    <w:szCs w:val="22"/>
                  </w:rPr>
                </w:pPr>
              </w:p>
              <w:p w14:paraId="7BAC3E12" w14:textId="77777777" w:rsidR="009E197C" w:rsidRDefault="009E197C">
                <w:pPr>
                  <w:tabs>
                    <w:tab w:val="right" w:pos="8838"/>
                  </w:tabs>
                  <w:ind w:left="-108"/>
                  <w:jc w:val="both"/>
                  <w:rPr>
                    <w:rFonts w:ascii="Palatino Linotype" w:eastAsia="Palatino Linotype" w:hAnsi="Palatino Linotype" w:cs="Palatino Linotype"/>
                    <w:b/>
                    <w:sz w:val="14"/>
                    <w:szCs w:val="14"/>
                  </w:rPr>
                </w:pPr>
              </w:p>
            </w:tc>
          </w:tr>
        </w:tbl>
        <w:p w14:paraId="46999162" w14:textId="77777777" w:rsidR="009E197C" w:rsidRDefault="009E197C">
          <w:pPr>
            <w:tabs>
              <w:tab w:val="right" w:pos="8838"/>
            </w:tabs>
            <w:ind w:left="-28"/>
            <w:jc w:val="both"/>
            <w:rPr>
              <w:rFonts w:ascii="Arial" w:eastAsia="Arial" w:hAnsi="Arial" w:cs="Arial"/>
              <w:b/>
              <w:sz w:val="22"/>
              <w:szCs w:val="22"/>
            </w:rPr>
          </w:pPr>
        </w:p>
      </w:tc>
    </w:tr>
  </w:tbl>
  <w:p w14:paraId="060096A7" w14:textId="77777777" w:rsidR="009E197C" w:rsidRDefault="009E197C">
    <w:pPr>
      <w:pBdr>
        <w:top w:val="nil"/>
        <w:left w:val="nil"/>
        <w:bottom w:val="nil"/>
        <w:right w:val="nil"/>
        <w:between w:val="nil"/>
      </w:pBdr>
      <w:tabs>
        <w:tab w:val="center" w:pos="4419"/>
        <w:tab w:val="right" w:pos="8838"/>
      </w:tabs>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8CE8" w14:textId="77777777" w:rsidR="009E197C" w:rsidRDefault="00000000">
    <w:r>
      <w:rPr>
        <w:rFonts w:ascii="Palatino Linotype" w:eastAsia="Palatino Linotype" w:hAnsi="Palatino Linotype" w:cs="Palatino Linotype"/>
        <w:b/>
        <w:sz w:val="22"/>
        <w:szCs w:val="22"/>
      </w:rPr>
      <w:pict w14:anchorId="32F75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margin-left:-79.1pt;margin-top:-148.05pt;width:663.5pt;height:12in;z-index:-251659264;mso-position-horizontal-relative:margin;mso-position-vertical-relative:margin">
          <v:imagedata r:id="rId1" o:title="image2"/>
          <w10:wrap anchorx="margin" anchory="margin"/>
        </v:shape>
      </w:pict>
    </w:r>
  </w:p>
  <w:tbl>
    <w:tblPr>
      <w:tblStyle w:val="a1"/>
      <w:tblpPr w:leftFromText="141" w:rightFromText="141" w:vertAnchor="page" w:horzAnchor="margin" w:tblpY="556"/>
      <w:tblW w:w="9356" w:type="dxa"/>
      <w:tblInd w:w="0" w:type="dxa"/>
      <w:tblLayout w:type="fixed"/>
      <w:tblLook w:val="0400" w:firstRow="0" w:lastRow="0" w:firstColumn="0" w:lastColumn="0" w:noHBand="0" w:noVBand="1"/>
    </w:tblPr>
    <w:tblGrid>
      <w:gridCol w:w="2410"/>
      <w:gridCol w:w="2415"/>
      <w:gridCol w:w="4531"/>
    </w:tblGrid>
    <w:tr w:rsidR="009E197C" w14:paraId="3894F20B" w14:textId="77777777" w:rsidTr="00910245">
      <w:trPr>
        <w:trHeight w:val="466"/>
      </w:trPr>
      <w:tc>
        <w:tcPr>
          <w:tcW w:w="2410" w:type="dxa"/>
        </w:tcPr>
        <w:p w14:paraId="348E48E5" w14:textId="77777777" w:rsidR="009E197C" w:rsidRDefault="009E197C">
          <w:pPr>
            <w:tabs>
              <w:tab w:val="right" w:pos="8838"/>
            </w:tabs>
            <w:ind w:right="-105"/>
            <w:rPr>
              <w:rFonts w:ascii="Palatino Linotype" w:eastAsia="Palatino Linotype" w:hAnsi="Palatino Linotype" w:cs="Palatino Linotype"/>
              <w:b/>
              <w:sz w:val="22"/>
              <w:szCs w:val="22"/>
            </w:rPr>
          </w:pPr>
        </w:p>
      </w:tc>
      <w:tc>
        <w:tcPr>
          <w:tcW w:w="2415" w:type="dxa"/>
        </w:tcPr>
        <w:p w14:paraId="518F3DE6" w14:textId="77777777" w:rsidR="009E197C" w:rsidRDefault="009E197C">
          <w:pPr>
            <w:tabs>
              <w:tab w:val="left" w:pos="1735"/>
              <w:tab w:val="right" w:pos="8838"/>
            </w:tabs>
            <w:rPr>
              <w:rFonts w:ascii="Palatino Linotype" w:eastAsia="Palatino Linotype" w:hAnsi="Palatino Linotype" w:cs="Palatino Linotype"/>
              <w:b/>
              <w:sz w:val="22"/>
              <w:szCs w:val="22"/>
            </w:rPr>
          </w:pPr>
        </w:p>
        <w:p w14:paraId="09672030" w14:textId="77777777" w:rsidR="00910245" w:rsidRDefault="00910245">
          <w:pPr>
            <w:tabs>
              <w:tab w:val="left" w:pos="1735"/>
              <w:tab w:val="right" w:pos="8838"/>
            </w:tabs>
            <w:rPr>
              <w:rFonts w:ascii="Palatino Linotype" w:eastAsia="Palatino Linotype" w:hAnsi="Palatino Linotype" w:cs="Palatino Linotype"/>
              <w:b/>
              <w:sz w:val="22"/>
              <w:szCs w:val="22"/>
            </w:rPr>
          </w:pPr>
        </w:p>
        <w:p w14:paraId="7F46900B" w14:textId="6915EE62" w:rsidR="009E197C" w:rsidRDefault="00727B69">
          <w:pPr>
            <w:tabs>
              <w:tab w:val="left" w:pos="1735"/>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31" w:type="dxa"/>
        </w:tcPr>
        <w:p w14:paraId="511100FD" w14:textId="77777777" w:rsidR="009E197C" w:rsidRDefault="009E197C">
          <w:pPr>
            <w:tabs>
              <w:tab w:val="left" w:pos="3435"/>
              <w:tab w:val="right" w:pos="8838"/>
            </w:tabs>
            <w:ind w:right="359"/>
            <w:jc w:val="both"/>
            <w:rPr>
              <w:rFonts w:ascii="Palatino Linotype" w:eastAsia="Palatino Linotype" w:hAnsi="Palatino Linotype" w:cs="Palatino Linotype"/>
              <w:b/>
              <w:sz w:val="22"/>
              <w:szCs w:val="22"/>
            </w:rPr>
          </w:pPr>
        </w:p>
        <w:p w14:paraId="4ACB4BD1" w14:textId="77777777" w:rsidR="00910245" w:rsidRDefault="00910245" w:rsidP="00910245">
          <w:pPr>
            <w:tabs>
              <w:tab w:val="left" w:pos="3150"/>
              <w:tab w:val="right" w:pos="8838"/>
            </w:tabs>
            <w:ind w:right="-206"/>
            <w:jc w:val="both"/>
            <w:rPr>
              <w:rFonts w:ascii="Palatino Linotype" w:eastAsia="Palatino Linotype" w:hAnsi="Palatino Linotype" w:cs="Palatino Linotype"/>
              <w:bCs/>
              <w:sz w:val="22"/>
              <w:szCs w:val="22"/>
            </w:rPr>
          </w:pPr>
        </w:p>
        <w:p w14:paraId="145FC1A7" w14:textId="544A8B35" w:rsidR="009E197C" w:rsidRPr="00910245" w:rsidRDefault="00727B69" w:rsidP="00910245">
          <w:pPr>
            <w:tabs>
              <w:tab w:val="left" w:pos="3150"/>
              <w:tab w:val="right" w:pos="8838"/>
            </w:tabs>
            <w:ind w:right="-206"/>
            <w:jc w:val="both"/>
            <w:rPr>
              <w:rFonts w:ascii="Palatino Linotype" w:eastAsia="Palatino Linotype" w:hAnsi="Palatino Linotype" w:cs="Palatino Linotype"/>
              <w:bCs/>
              <w:sz w:val="22"/>
              <w:szCs w:val="22"/>
            </w:rPr>
          </w:pPr>
          <w:r w:rsidRPr="00910245">
            <w:rPr>
              <w:rFonts w:ascii="Palatino Linotype" w:eastAsia="Palatino Linotype" w:hAnsi="Palatino Linotype" w:cs="Palatino Linotype"/>
              <w:bCs/>
              <w:sz w:val="22"/>
              <w:szCs w:val="22"/>
            </w:rPr>
            <w:t>05121/INFOEM/IP/RR/2025 y acumulado</w:t>
          </w:r>
        </w:p>
      </w:tc>
    </w:tr>
    <w:tr w:rsidR="009E197C" w14:paraId="6F15DC5F" w14:textId="77777777" w:rsidTr="00910245">
      <w:trPr>
        <w:trHeight w:val="119"/>
      </w:trPr>
      <w:tc>
        <w:tcPr>
          <w:tcW w:w="2410" w:type="dxa"/>
        </w:tcPr>
        <w:p w14:paraId="451669AF" w14:textId="77777777" w:rsidR="009E197C" w:rsidRDefault="009E197C">
          <w:pPr>
            <w:tabs>
              <w:tab w:val="right" w:pos="8838"/>
            </w:tabs>
            <w:ind w:right="-105"/>
            <w:rPr>
              <w:rFonts w:ascii="Palatino Linotype" w:eastAsia="Palatino Linotype" w:hAnsi="Palatino Linotype" w:cs="Palatino Linotype"/>
              <w:b/>
              <w:sz w:val="22"/>
              <w:szCs w:val="22"/>
            </w:rPr>
          </w:pPr>
        </w:p>
      </w:tc>
      <w:tc>
        <w:tcPr>
          <w:tcW w:w="2415" w:type="dxa"/>
        </w:tcPr>
        <w:p w14:paraId="07E148AD" w14:textId="77777777" w:rsidR="009E197C" w:rsidRDefault="00727B69">
          <w:pPr>
            <w:tabs>
              <w:tab w:val="right" w:pos="8838"/>
            </w:tabs>
            <w:ind w:right="171"/>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531" w:type="dxa"/>
        </w:tcPr>
        <w:p w14:paraId="68ADD01D" w14:textId="77777777" w:rsidR="009E197C" w:rsidRDefault="009E197C">
          <w:pPr>
            <w:tabs>
              <w:tab w:val="right" w:pos="8838"/>
            </w:tabs>
            <w:ind w:right="359"/>
            <w:jc w:val="both"/>
            <w:rPr>
              <w:rFonts w:ascii="Palatino Linotype" w:eastAsia="Palatino Linotype" w:hAnsi="Palatino Linotype" w:cs="Palatino Linotype"/>
              <w:b/>
              <w:sz w:val="22"/>
              <w:szCs w:val="22"/>
            </w:rPr>
          </w:pPr>
          <w:bookmarkStart w:id="19" w:name="_heading=h.4y8gqwcsdgem" w:colFirst="0" w:colLast="0"/>
          <w:bookmarkEnd w:id="19"/>
        </w:p>
      </w:tc>
    </w:tr>
    <w:tr w:rsidR="009E197C" w14:paraId="7896F600" w14:textId="77777777" w:rsidTr="00910245">
      <w:trPr>
        <w:trHeight w:val="234"/>
      </w:trPr>
      <w:tc>
        <w:tcPr>
          <w:tcW w:w="2410" w:type="dxa"/>
        </w:tcPr>
        <w:p w14:paraId="34B421AC" w14:textId="77777777" w:rsidR="009E197C" w:rsidRDefault="009E197C">
          <w:pPr>
            <w:tabs>
              <w:tab w:val="right" w:pos="8838"/>
            </w:tabs>
            <w:ind w:right="26"/>
            <w:rPr>
              <w:rFonts w:ascii="Palatino Linotype" w:eastAsia="Palatino Linotype" w:hAnsi="Palatino Linotype" w:cs="Palatino Linotype"/>
              <w:b/>
              <w:sz w:val="22"/>
              <w:szCs w:val="22"/>
            </w:rPr>
          </w:pPr>
        </w:p>
      </w:tc>
      <w:tc>
        <w:tcPr>
          <w:tcW w:w="2415" w:type="dxa"/>
        </w:tcPr>
        <w:p w14:paraId="7D7C9261" w14:textId="77777777" w:rsidR="009E197C" w:rsidRDefault="00727B69">
          <w:pPr>
            <w:tabs>
              <w:tab w:val="right" w:pos="8838"/>
            </w:tabs>
            <w:ind w:right="17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31" w:type="dxa"/>
        </w:tcPr>
        <w:p w14:paraId="2F089DB5" w14:textId="77777777" w:rsidR="009E197C" w:rsidRDefault="00727B69">
          <w:pPr>
            <w:tabs>
              <w:tab w:val="right" w:pos="8838"/>
            </w:tabs>
            <w:ind w:right="35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Zinacantepec</w:t>
          </w:r>
        </w:p>
      </w:tc>
    </w:tr>
    <w:tr w:rsidR="009E197C" w14:paraId="45DDB3D9" w14:textId="77777777" w:rsidTr="00910245">
      <w:trPr>
        <w:trHeight w:val="234"/>
      </w:trPr>
      <w:tc>
        <w:tcPr>
          <w:tcW w:w="2410" w:type="dxa"/>
        </w:tcPr>
        <w:p w14:paraId="5268689E" w14:textId="77777777" w:rsidR="009E197C" w:rsidRDefault="009E197C">
          <w:pPr>
            <w:tabs>
              <w:tab w:val="right" w:pos="8838"/>
            </w:tabs>
            <w:ind w:right="-105"/>
            <w:rPr>
              <w:rFonts w:ascii="Palatino Linotype" w:eastAsia="Palatino Linotype" w:hAnsi="Palatino Linotype" w:cs="Palatino Linotype"/>
              <w:b/>
              <w:sz w:val="22"/>
              <w:szCs w:val="22"/>
            </w:rPr>
          </w:pPr>
        </w:p>
      </w:tc>
      <w:tc>
        <w:tcPr>
          <w:tcW w:w="2415" w:type="dxa"/>
        </w:tcPr>
        <w:p w14:paraId="0A8250BD" w14:textId="77777777" w:rsidR="009E197C" w:rsidRDefault="00727B69">
          <w:pPr>
            <w:tabs>
              <w:tab w:val="right" w:pos="8838"/>
            </w:tabs>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531" w:type="dxa"/>
        </w:tcPr>
        <w:p w14:paraId="4460263F" w14:textId="77777777" w:rsidR="009E197C" w:rsidRDefault="00727B69">
          <w:pPr>
            <w:tabs>
              <w:tab w:val="right" w:pos="8838"/>
            </w:tabs>
            <w:ind w:right="35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37A81295" w14:textId="77777777" w:rsidR="009E197C" w:rsidRDefault="009E197C">
          <w:pPr>
            <w:tabs>
              <w:tab w:val="right" w:pos="8838"/>
            </w:tabs>
            <w:ind w:right="359"/>
            <w:rPr>
              <w:rFonts w:ascii="Palatino Linotype" w:eastAsia="Palatino Linotype" w:hAnsi="Palatino Linotype" w:cs="Palatino Linotype"/>
              <w:sz w:val="22"/>
              <w:szCs w:val="22"/>
            </w:rPr>
          </w:pPr>
        </w:p>
      </w:tc>
    </w:tr>
  </w:tbl>
  <w:p w14:paraId="65495DE0" w14:textId="77777777" w:rsidR="009E197C" w:rsidRDefault="009E19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5A2"/>
    <w:multiLevelType w:val="hybridMultilevel"/>
    <w:tmpl w:val="69EAC18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8DD31B3"/>
    <w:multiLevelType w:val="hybridMultilevel"/>
    <w:tmpl w:val="C8F0564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8F55AEB"/>
    <w:multiLevelType w:val="multilevel"/>
    <w:tmpl w:val="84D8C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C7AAE"/>
    <w:multiLevelType w:val="multilevel"/>
    <w:tmpl w:val="8B96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0F9910D0"/>
    <w:multiLevelType w:val="multilevel"/>
    <w:tmpl w:val="795C4EF0"/>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2A2B8C"/>
    <w:multiLevelType w:val="multilevel"/>
    <w:tmpl w:val="9050B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D40064"/>
    <w:multiLevelType w:val="hybridMultilevel"/>
    <w:tmpl w:val="914C95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3F3F2259"/>
    <w:multiLevelType w:val="multilevel"/>
    <w:tmpl w:val="CC543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184356"/>
    <w:multiLevelType w:val="multilevel"/>
    <w:tmpl w:val="D73E0C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0E3E11"/>
    <w:multiLevelType w:val="multilevel"/>
    <w:tmpl w:val="A0F69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0F1871"/>
    <w:multiLevelType w:val="multilevel"/>
    <w:tmpl w:val="A2B21CEE"/>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DD6F2A"/>
    <w:multiLevelType w:val="hybridMultilevel"/>
    <w:tmpl w:val="869A4ACC"/>
    <w:lvl w:ilvl="0" w:tplc="080A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60AB5BFC"/>
    <w:multiLevelType w:val="multilevel"/>
    <w:tmpl w:val="52A27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2987920">
    <w:abstractNumId w:val="10"/>
  </w:num>
  <w:num w:numId="2" w16cid:durableId="145049164">
    <w:abstractNumId w:val="2"/>
  </w:num>
  <w:num w:numId="3" w16cid:durableId="392579840">
    <w:abstractNumId w:val="12"/>
  </w:num>
  <w:num w:numId="4" w16cid:durableId="405733779">
    <w:abstractNumId w:val="4"/>
  </w:num>
  <w:num w:numId="5" w16cid:durableId="2059697096">
    <w:abstractNumId w:val="5"/>
  </w:num>
  <w:num w:numId="6" w16cid:durableId="914511933">
    <w:abstractNumId w:val="9"/>
  </w:num>
  <w:num w:numId="7" w16cid:durableId="2090229875">
    <w:abstractNumId w:val="7"/>
  </w:num>
  <w:num w:numId="8" w16cid:durableId="1020279432">
    <w:abstractNumId w:val="3"/>
  </w:num>
  <w:num w:numId="9" w16cid:durableId="101532119">
    <w:abstractNumId w:val="8"/>
  </w:num>
  <w:num w:numId="10" w16cid:durableId="73013407">
    <w:abstractNumId w:val="0"/>
  </w:num>
  <w:num w:numId="11" w16cid:durableId="399669254">
    <w:abstractNumId w:val="6"/>
  </w:num>
  <w:num w:numId="12" w16cid:durableId="917330890">
    <w:abstractNumId w:val="11"/>
  </w:num>
  <w:num w:numId="13" w16cid:durableId="1032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97C"/>
    <w:rsid w:val="00027227"/>
    <w:rsid w:val="000B1FA3"/>
    <w:rsid w:val="001651EE"/>
    <w:rsid w:val="0021779C"/>
    <w:rsid w:val="00553DDC"/>
    <w:rsid w:val="006B4F94"/>
    <w:rsid w:val="006E0142"/>
    <w:rsid w:val="00727B69"/>
    <w:rsid w:val="00910245"/>
    <w:rsid w:val="009B3B1F"/>
    <w:rsid w:val="009E197C"/>
    <w:rsid w:val="00A342E7"/>
    <w:rsid w:val="00A85604"/>
    <w:rsid w:val="00CC5A1A"/>
    <w:rsid w:val="00DD4871"/>
    <w:rsid w:val="00DE1515"/>
    <w:rsid w:val="00E474D7"/>
    <w:rsid w:val="00E637E7"/>
    <w:rsid w:val="00FB48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0838"/>
  <w15:docId w15:val="{BF891EEB-CBCD-43C9-8011-C03BDE46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rPr>
      <w:rFonts w:ascii="Calibri" w:eastAsia="Calibri" w:hAnsi="Calibri" w:cs="Calibri"/>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044C31"/>
    <w:rPr>
      <w:color w:val="605E5C"/>
      <w:shd w:val="clear" w:color="auto" w:fill="E1DFDD"/>
    </w:rPr>
  </w:style>
  <w:style w:type="table" w:customStyle="1" w:styleId="Tablaconcuadrcula1">
    <w:name w:val="Tabla con cuadrícula1"/>
    <w:basedOn w:val="Tablanormal"/>
    <w:next w:val="Tablaconcuadrcula"/>
    <w:uiPriority w:val="39"/>
    <w:rsid w:val="00C6425F"/>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223E5"/>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841C2"/>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22A09"/>
    <w:rPr>
      <w:color w:val="605E5C"/>
      <w:shd w:val="clear" w:color="auto" w:fill="E1DFDD"/>
    </w:rPr>
  </w:style>
  <w:style w:type="character" w:customStyle="1" w:styleId="Mencinsinresolver3">
    <w:name w:val="Mención sin resolver3"/>
    <w:basedOn w:val="Fuentedeprrafopredeter"/>
    <w:uiPriority w:val="99"/>
    <w:semiHidden/>
    <w:unhideWhenUsed/>
    <w:rsid w:val="00333643"/>
    <w:rPr>
      <w:color w:val="605E5C"/>
      <w:shd w:val="clear" w:color="auto" w:fill="E1DFDD"/>
    </w:rPr>
  </w:style>
  <w:style w:type="table" w:customStyle="1" w:styleId="31">
    <w:name w:val="3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0">
    <w:name w:val="3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9">
    <w:name w:val="2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8">
    <w:name w:val="2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
    <w:rPr>
      <w:rFonts w:ascii="Calibri" w:eastAsia="Calibri" w:hAnsi="Calibri" w:cs="Calibri"/>
    </w:rPr>
    <w:tblPr>
      <w:tblStyleRowBandSize w:val="1"/>
      <w:tblStyleColBandSize w:val="1"/>
      <w:tblCellMar>
        <w:left w:w="108" w:type="dxa"/>
        <w:right w:w="108" w:type="dxa"/>
      </w:tblCellMar>
    </w:tblPr>
  </w:style>
  <w:style w:type="paragraph" w:styleId="TtuloTDC">
    <w:name w:val="TOC Heading"/>
    <w:next w:val="Normal"/>
    <w:uiPriority w:val="39"/>
    <w:unhideWhenUsed/>
    <w:qFormat/>
    <w:rsid w:val="00490B81"/>
    <w:pPr>
      <w:spacing w:line="259" w:lineRule="auto"/>
    </w:pPr>
  </w:style>
  <w:style w:type="paragraph" w:styleId="TDC1">
    <w:name w:val="toc 1"/>
    <w:basedOn w:val="Normal"/>
    <w:next w:val="Normal"/>
    <w:autoRedefine/>
    <w:uiPriority w:val="39"/>
    <w:unhideWhenUsed/>
    <w:rsid w:val="008622A3"/>
    <w:pPr>
      <w:spacing w:after="100"/>
    </w:pPr>
  </w:style>
  <w:style w:type="paragraph" w:styleId="TDC2">
    <w:name w:val="toc 2"/>
    <w:basedOn w:val="Normal"/>
    <w:next w:val="Normal"/>
    <w:autoRedefine/>
    <w:uiPriority w:val="39"/>
    <w:unhideWhenUsed/>
    <w:rsid w:val="008622A3"/>
    <w:pPr>
      <w:spacing w:after="100"/>
      <w:ind w:left="200"/>
    </w:pPr>
  </w:style>
  <w:style w:type="table" w:customStyle="1" w:styleId="21">
    <w:name w:val="21"/>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2"/>
    <w:rPr>
      <w:rFonts w:ascii="Calibri" w:eastAsia="Calibri" w:hAnsi="Calibri" w:cs="Calibri"/>
    </w:r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C06161"/>
    <w:rPr>
      <w:color w:val="605E5C"/>
      <w:shd w:val="clear" w:color="auto" w:fill="E1DFDD"/>
    </w:r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3"/>
    <w:tblPr>
      <w:tblStyleRowBandSize w:val="1"/>
      <w:tblStyleColBandSize w:val="1"/>
      <w:tblCellMar>
        <w:left w:w="115" w:type="dxa"/>
        <w:right w:w="115" w:type="dxa"/>
      </w:tblCellMar>
    </w:tblPr>
  </w:style>
  <w:style w:type="table" w:customStyle="1" w:styleId="13">
    <w:name w:val="13"/>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4"/>
    <w:rPr>
      <w:rFonts w:ascii="Calibri" w:eastAsia="Calibri" w:hAnsi="Calibri" w:cs="Calibri"/>
    </w:r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4D369D"/>
    <w:rPr>
      <w:color w:val="605E5C"/>
      <w:shd w:val="clear" w:color="auto" w:fill="E1DFDD"/>
    </w:rPr>
  </w:style>
  <w:style w:type="table" w:customStyle="1" w:styleId="3">
    <w:name w:val="3"/>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5"/>
    <w:rPr>
      <w:rFonts w:ascii="Calibri" w:eastAsia="Calibri" w:hAnsi="Calibri" w:cs="Calibri"/>
    </w:r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E2673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09749">
      <w:bodyDiv w:val="1"/>
      <w:marLeft w:val="0"/>
      <w:marRight w:val="0"/>
      <w:marTop w:val="0"/>
      <w:marBottom w:val="0"/>
      <w:divBdr>
        <w:top w:val="none" w:sz="0" w:space="0" w:color="auto"/>
        <w:left w:val="none" w:sz="0" w:space="0" w:color="auto"/>
        <w:bottom w:val="none" w:sz="0" w:space="0" w:color="auto"/>
        <w:right w:val="none" w:sz="0" w:space="0" w:color="auto"/>
      </w:divBdr>
    </w:div>
    <w:div w:id="844780435">
      <w:bodyDiv w:val="1"/>
      <w:marLeft w:val="0"/>
      <w:marRight w:val="0"/>
      <w:marTop w:val="0"/>
      <w:marBottom w:val="0"/>
      <w:divBdr>
        <w:top w:val="none" w:sz="0" w:space="0" w:color="auto"/>
        <w:left w:val="none" w:sz="0" w:space="0" w:color="auto"/>
        <w:bottom w:val="none" w:sz="0" w:space="0" w:color="auto"/>
        <w:right w:val="none" w:sz="0" w:space="0" w:color="auto"/>
      </w:divBdr>
    </w:div>
    <w:div w:id="850727127">
      <w:bodyDiv w:val="1"/>
      <w:marLeft w:val="0"/>
      <w:marRight w:val="0"/>
      <w:marTop w:val="0"/>
      <w:marBottom w:val="0"/>
      <w:divBdr>
        <w:top w:val="none" w:sz="0" w:space="0" w:color="auto"/>
        <w:left w:val="none" w:sz="0" w:space="0" w:color="auto"/>
        <w:bottom w:val="none" w:sz="0" w:space="0" w:color="auto"/>
        <w:right w:val="none" w:sz="0" w:space="0" w:color="auto"/>
      </w:divBdr>
    </w:div>
    <w:div w:id="893391859">
      <w:bodyDiv w:val="1"/>
      <w:marLeft w:val="0"/>
      <w:marRight w:val="0"/>
      <w:marTop w:val="0"/>
      <w:marBottom w:val="0"/>
      <w:divBdr>
        <w:top w:val="none" w:sz="0" w:space="0" w:color="auto"/>
        <w:left w:val="none" w:sz="0" w:space="0" w:color="auto"/>
        <w:bottom w:val="none" w:sz="0" w:space="0" w:color="auto"/>
        <w:right w:val="none" w:sz="0" w:space="0" w:color="auto"/>
      </w:divBdr>
    </w:div>
    <w:div w:id="1481186985">
      <w:bodyDiv w:val="1"/>
      <w:marLeft w:val="0"/>
      <w:marRight w:val="0"/>
      <w:marTop w:val="0"/>
      <w:marBottom w:val="0"/>
      <w:divBdr>
        <w:top w:val="none" w:sz="0" w:space="0" w:color="auto"/>
        <w:left w:val="none" w:sz="0" w:space="0" w:color="auto"/>
        <w:bottom w:val="none" w:sz="0" w:space="0" w:color="auto"/>
        <w:right w:val="none" w:sz="0" w:space="0" w:color="auto"/>
      </w:divBdr>
    </w:div>
    <w:div w:id="1988780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q+u72J+8h4rFiO6ZOLZTs/Gig==">CgMxLjAyDmguYjF1MGh3MW00OWtnMg5oLmxweHpkNWVleWg4bzIOaC5yaXlyanhrbGhocXcyCWguMnM4ZXlvMTIOaC5jdjRoaDdrZDY4ajIyDmgueXp6Z2F2eWhoZWFuMgloLjE3ZHA4dnUyDmguMWdqYW50emVtM2NoMghoLmdqZGd4czIOaC5rODJxeTZjNzQyNGUyDmgua3Jrc3Vpajd0OXo2Mg5oLms2aGZmbjQ3dHZ6dTIOaC4zbjk4Y2hpMnR1aTQyDmgucmtyYXQ3ZHVtcDdxMg5oLjVwc3NnYW14dHlicDIOaC5pMHJlYTg4c244MXAyDmguMjZ4YXVyNXFscnc4Mg5oLm1udzM1Y3Mzd3V1MTIOaC5sd243ZzhiMTI4b3cyDmguNHk4Z3F3Y3NkZ2VtOAByITF6R1VRNGFJeG44RmZDTENFMUJSdThUQ0Y3czVma2o5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7242</Words>
  <Characters>39834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Office</cp:lastModifiedBy>
  <cp:revision>3</cp:revision>
  <cp:lastPrinted>2025-08-15T04:52:00Z</cp:lastPrinted>
  <dcterms:created xsi:type="dcterms:W3CDTF">2025-08-15T04:51:00Z</dcterms:created>
  <dcterms:modified xsi:type="dcterms:W3CDTF">2025-08-15T04:52:00Z</dcterms:modified>
</cp:coreProperties>
</file>