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FE" w:rsidRDefault="00F77DFE">
      <w:pPr>
        <w:widowControl w:val="0"/>
        <w:pBdr>
          <w:top w:val="nil"/>
          <w:left w:val="nil"/>
          <w:bottom w:val="nil"/>
          <w:right w:val="nil"/>
          <w:between w:val="nil"/>
        </w:pBdr>
        <w:spacing w:line="276" w:lineRule="auto"/>
      </w:pPr>
    </w:p>
    <w:p w:rsidR="00F77DFE" w:rsidRDefault="00F77DFE">
      <w:pPr>
        <w:widowControl w:val="0"/>
        <w:pBdr>
          <w:top w:val="nil"/>
          <w:left w:val="nil"/>
          <w:bottom w:val="nil"/>
          <w:right w:val="nil"/>
          <w:between w:val="nil"/>
        </w:pBdr>
        <w:spacing w:line="276" w:lineRule="auto"/>
      </w:pPr>
    </w:p>
    <w:p w:rsidR="00F77DFE" w:rsidRPr="006B1104" w:rsidRDefault="00EC6F3F">
      <w:pPr>
        <w:tabs>
          <w:tab w:val="left" w:pos="0"/>
        </w:tabs>
        <w:spacing w:line="360" w:lineRule="auto"/>
        <w:ind w:right="1"/>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veintidós de enero de dos mil veinticinco. </w:t>
      </w:r>
    </w:p>
    <w:p w:rsidR="00F77DFE" w:rsidRPr="006B1104" w:rsidRDefault="00F77DFE">
      <w:pPr>
        <w:tabs>
          <w:tab w:val="left" w:pos="0"/>
        </w:tabs>
        <w:spacing w:line="360" w:lineRule="auto"/>
        <w:ind w:right="1"/>
        <w:jc w:val="both"/>
        <w:rPr>
          <w:rFonts w:ascii="Palatino Linotype" w:eastAsia="Palatino Linotype" w:hAnsi="Palatino Linotype" w:cs="Palatino Linotype"/>
        </w:rPr>
      </w:pPr>
    </w:p>
    <w:p w:rsidR="00F77DFE" w:rsidRPr="006B1104" w:rsidRDefault="00EC6F3F">
      <w:pPr>
        <w:tabs>
          <w:tab w:val="left" w:pos="0"/>
        </w:tabs>
        <w:spacing w:line="360" w:lineRule="auto"/>
        <w:ind w:right="1"/>
        <w:jc w:val="both"/>
        <w:rPr>
          <w:rFonts w:ascii="Palatino Linotype" w:eastAsia="Palatino Linotype" w:hAnsi="Palatino Linotype" w:cs="Palatino Linotype"/>
        </w:rPr>
      </w:pPr>
      <w:r w:rsidRPr="006B1104">
        <w:rPr>
          <w:rFonts w:ascii="Palatino Linotype" w:eastAsia="Palatino Linotype" w:hAnsi="Palatino Linotype" w:cs="Palatino Linotype"/>
          <w:b/>
        </w:rPr>
        <w:t>VISTO</w:t>
      </w:r>
      <w:r w:rsidRPr="006B1104">
        <w:rPr>
          <w:rFonts w:ascii="Palatino Linotype" w:eastAsia="Palatino Linotype" w:hAnsi="Palatino Linotype" w:cs="Palatino Linotype"/>
        </w:rPr>
        <w:t xml:space="preserve"> el </w:t>
      </w:r>
      <w:r w:rsidRPr="006B1104">
        <w:rPr>
          <w:rFonts w:ascii="Palatino Linotype" w:eastAsia="Palatino Linotype" w:hAnsi="Palatino Linotype" w:cs="Palatino Linotype"/>
          <w:b/>
        </w:rPr>
        <w:t>expediente</w:t>
      </w:r>
      <w:r w:rsidRPr="006B1104">
        <w:rPr>
          <w:rFonts w:ascii="Palatino Linotype" w:eastAsia="Palatino Linotype" w:hAnsi="Palatino Linotype" w:cs="Palatino Linotype"/>
        </w:rPr>
        <w:t xml:space="preserve"> electrónico formado con motivo del recurso de revisión </w:t>
      </w:r>
      <w:r w:rsidRPr="006B1104">
        <w:rPr>
          <w:rFonts w:ascii="Palatino Linotype" w:eastAsia="Palatino Linotype" w:hAnsi="Palatino Linotype" w:cs="Palatino Linotype"/>
          <w:b/>
        </w:rPr>
        <w:t>06548/INFOEM/IP/RR/2024</w:t>
      </w:r>
      <w:r w:rsidRPr="006B1104">
        <w:rPr>
          <w:rFonts w:ascii="Palatino Linotype" w:eastAsia="Palatino Linotype" w:hAnsi="Palatino Linotype" w:cs="Palatino Linotype"/>
        </w:rPr>
        <w:t>,</w:t>
      </w:r>
      <w:r w:rsidRPr="006B1104">
        <w:rPr>
          <w:rFonts w:ascii="Palatino Linotype" w:eastAsia="Palatino Linotype" w:hAnsi="Palatino Linotype" w:cs="Palatino Linotype"/>
          <w:b/>
        </w:rPr>
        <w:t xml:space="preserve"> </w:t>
      </w:r>
      <w:r w:rsidRPr="006B1104">
        <w:rPr>
          <w:rFonts w:ascii="Palatino Linotype" w:eastAsia="Palatino Linotype" w:hAnsi="Palatino Linotype" w:cs="Palatino Linotype"/>
        </w:rPr>
        <w:t xml:space="preserve">promovido por </w:t>
      </w:r>
      <w:r w:rsidR="006B1104" w:rsidRPr="006B1104">
        <w:rPr>
          <w:rFonts w:ascii="Palatino Linotype" w:eastAsia="Palatino Linotype" w:hAnsi="Palatino Linotype" w:cs="Palatino Linotype"/>
        </w:rPr>
        <w:t>XXXXXXXXX</w:t>
      </w:r>
      <w:r w:rsidRPr="006B1104">
        <w:rPr>
          <w:rFonts w:ascii="Palatino Linotype" w:eastAsia="Palatino Linotype" w:hAnsi="Palatino Linotype" w:cs="Palatino Linotype"/>
        </w:rPr>
        <w:t xml:space="preserve">, a quien en lo sucesivo denominaremos </w:t>
      </w:r>
      <w:r w:rsidRPr="006B1104">
        <w:rPr>
          <w:rFonts w:ascii="Palatino Linotype" w:eastAsia="Palatino Linotype" w:hAnsi="Palatino Linotype" w:cs="Palatino Linotype"/>
          <w:b/>
        </w:rPr>
        <w:t>RECURRENTE</w:t>
      </w:r>
      <w:r w:rsidRPr="006B1104">
        <w:rPr>
          <w:rFonts w:ascii="Palatino Linotype" w:eastAsia="Palatino Linotype" w:hAnsi="Palatino Linotype" w:cs="Palatino Linotype"/>
        </w:rPr>
        <w:t xml:space="preserve">, en contra de la respuesta del </w:t>
      </w:r>
      <w:r w:rsidRPr="006B1104">
        <w:rPr>
          <w:rFonts w:ascii="Palatino Linotype" w:eastAsia="Palatino Linotype" w:hAnsi="Palatino Linotype" w:cs="Palatino Linotype"/>
          <w:b/>
        </w:rPr>
        <w:t xml:space="preserve">Organismo Agua y Saneamiento de Toluca, </w:t>
      </w:r>
      <w:r w:rsidRPr="006B1104">
        <w:rPr>
          <w:rFonts w:ascii="Palatino Linotype" w:eastAsia="Palatino Linotype" w:hAnsi="Palatino Linotype" w:cs="Palatino Linotype"/>
        </w:rPr>
        <w:t>en adelante el</w:t>
      </w:r>
      <w:r w:rsidRPr="006B1104">
        <w:rPr>
          <w:rFonts w:ascii="Palatino Linotype" w:eastAsia="Palatino Linotype" w:hAnsi="Palatino Linotype" w:cs="Palatino Linotype"/>
          <w:b/>
        </w:rPr>
        <w:t xml:space="preserve"> SUJETO OBLIGADO, </w:t>
      </w:r>
      <w:r w:rsidRPr="006B1104">
        <w:rPr>
          <w:rFonts w:ascii="Palatino Linotype" w:eastAsia="Palatino Linotype" w:hAnsi="Palatino Linotype" w:cs="Palatino Linotype"/>
        </w:rPr>
        <w:t>se procede a dictar la presente resolución, con base en los siguientes:</w:t>
      </w:r>
    </w:p>
    <w:p w:rsidR="00F77DFE" w:rsidRPr="006B1104" w:rsidRDefault="00F77DFE">
      <w:pPr>
        <w:spacing w:line="360" w:lineRule="auto"/>
        <w:ind w:right="1"/>
        <w:jc w:val="both"/>
        <w:rPr>
          <w:rFonts w:ascii="Palatino Linotype" w:eastAsia="Palatino Linotype" w:hAnsi="Palatino Linotype" w:cs="Palatino Linotype"/>
        </w:rPr>
      </w:pPr>
    </w:p>
    <w:p w:rsidR="00F77DFE" w:rsidRPr="006B1104" w:rsidRDefault="00EC6F3F">
      <w:pPr>
        <w:keepNext/>
        <w:keepLines/>
        <w:tabs>
          <w:tab w:val="left" w:pos="0"/>
        </w:tabs>
        <w:spacing w:before="240" w:after="240" w:line="360" w:lineRule="auto"/>
        <w:ind w:right="1"/>
        <w:jc w:val="center"/>
        <w:rPr>
          <w:rFonts w:ascii="Palatino Linotype" w:eastAsia="Palatino Linotype" w:hAnsi="Palatino Linotype" w:cs="Palatino Linotype"/>
          <w:b/>
        </w:rPr>
      </w:pPr>
      <w:bookmarkStart w:id="0" w:name="_heading=h.gjdgxs" w:colFirst="0" w:colLast="0"/>
      <w:bookmarkEnd w:id="0"/>
      <w:r w:rsidRPr="006B1104">
        <w:rPr>
          <w:rFonts w:ascii="Palatino Linotype" w:eastAsia="Palatino Linotype" w:hAnsi="Palatino Linotype" w:cs="Palatino Linotype"/>
          <w:b/>
        </w:rPr>
        <w:t>A N T E C E D E N T E S</w:t>
      </w:r>
    </w:p>
    <w:p w:rsidR="00F77DFE" w:rsidRPr="006B1104" w:rsidRDefault="00EC6F3F">
      <w:pPr>
        <w:numPr>
          <w:ilvl w:val="0"/>
          <w:numId w:val="5"/>
        </w:numPr>
        <w:tabs>
          <w:tab w:val="left" w:pos="0"/>
        </w:tabs>
        <w:spacing w:line="360" w:lineRule="auto"/>
        <w:ind w:left="0" w:right="1"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El </w:t>
      </w:r>
      <w:r w:rsidRPr="006B1104">
        <w:rPr>
          <w:rFonts w:ascii="Palatino Linotype" w:eastAsia="Palatino Linotype" w:hAnsi="Palatino Linotype" w:cs="Palatino Linotype"/>
          <w:b/>
        </w:rPr>
        <w:t>once de septiembre de dos mil veinticuatro</w:t>
      </w:r>
      <w:r w:rsidRPr="006B1104">
        <w:rPr>
          <w:rFonts w:ascii="Palatino Linotype" w:eastAsia="Palatino Linotype" w:hAnsi="Palatino Linotype" w:cs="Palatino Linotype"/>
        </w:rPr>
        <w:t>, el</w:t>
      </w:r>
      <w:r w:rsidRPr="006B1104">
        <w:rPr>
          <w:rFonts w:ascii="Palatino Linotype" w:eastAsia="Palatino Linotype" w:hAnsi="Palatino Linotype" w:cs="Palatino Linotype"/>
          <w:b/>
        </w:rPr>
        <w:t xml:space="preserve"> RECURRENTE </w:t>
      </w:r>
      <w:r w:rsidRPr="006B1104">
        <w:rPr>
          <w:rFonts w:ascii="Palatino Linotype" w:eastAsia="Palatino Linotype" w:hAnsi="Palatino Linotype" w:cs="Palatino Linotype"/>
        </w:rPr>
        <w:t>presentó</w:t>
      </w:r>
      <w:r w:rsidRPr="006B1104">
        <w:rPr>
          <w:rFonts w:ascii="Palatino Linotype" w:eastAsia="Palatino Linotype" w:hAnsi="Palatino Linotype" w:cs="Palatino Linotype"/>
          <w:b/>
        </w:rPr>
        <w:t xml:space="preserve"> </w:t>
      </w:r>
      <w:r w:rsidRPr="006B1104">
        <w:rPr>
          <w:rFonts w:ascii="Palatino Linotype" w:eastAsia="Palatino Linotype" w:hAnsi="Palatino Linotype" w:cs="Palatino Linotype"/>
        </w:rPr>
        <w:t xml:space="preserve">ante el </w:t>
      </w:r>
      <w:r w:rsidRPr="006B1104">
        <w:rPr>
          <w:rFonts w:ascii="Palatino Linotype" w:eastAsia="Palatino Linotype" w:hAnsi="Palatino Linotype" w:cs="Palatino Linotype"/>
          <w:b/>
        </w:rPr>
        <w:t>SUJETO OBLIGADO,</w:t>
      </w:r>
      <w:r w:rsidRPr="006B1104">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6B1104">
        <w:rPr>
          <w:rFonts w:ascii="Palatino Linotype" w:eastAsia="Palatino Linotype" w:hAnsi="Palatino Linotype" w:cs="Palatino Linotype"/>
          <w:b/>
        </w:rPr>
        <w:t>00138/OASTOL/IP/2024,</w:t>
      </w:r>
      <w:r w:rsidRPr="006B1104">
        <w:rPr>
          <w:rFonts w:ascii="Palatino Linotype" w:eastAsia="Palatino Linotype" w:hAnsi="Palatino Linotype" w:cs="Palatino Linotype"/>
        </w:rPr>
        <w:t xml:space="preserve"> mediante la cual se solicitó:</w:t>
      </w:r>
    </w:p>
    <w:p w:rsidR="00F77DFE" w:rsidRPr="006B1104" w:rsidRDefault="00F77DFE">
      <w:pPr>
        <w:spacing w:line="360" w:lineRule="auto"/>
        <w:ind w:right="568"/>
        <w:jc w:val="both"/>
        <w:rPr>
          <w:rFonts w:ascii="Palatino Linotype" w:eastAsia="Palatino Linotype" w:hAnsi="Palatino Linotype" w:cs="Palatino Linotype"/>
        </w:rPr>
      </w:pPr>
    </w:p>
    <w:p w:rsidR="00F77DFE" w:rsidRPr="006B1104" w:rsidRDefault="00EC6F3F">
      <w:pPr>
        <w:spacing w:line="360" w:lineRule="auto"/>
        <w:ind w:left="567" w:right="568"/>
        <w:jc w:val="both"/>
        <w:rPr>
          <w:rFonts w:ascii="Palatino Linotype" w:eastAsia="Palatino Linotype" w:hAnsi="Palatino Linotype" w:cs="Palatino Linotype"/>
          <w:i/>
          <w:color w:val="000000"/>
        </w:rPr>
      </w:pPr>
      <w:r w:rsidRPr="006B1104">
        <w:rPr>
          <w:rFonts w:ascii="Palatino Linotype" w:eastAsia="Palatino Linotype" w:hAnsi="Palatino Linotype" w:cs="Palatino Linotype"/>
          <w:i/>
          <w:color w:val="000000"/>
        </w:rPr>
        <w:t>“SOLICITO TODOS LOS RECIBOS DE NOMINA DEL EJERCICIO FISCAL 2024 DE TODOS LOS TITULARES DE AREA. TITULAR DE UNIDAD, SUBDIRECTORES, DIRECTORES, SECRETARIO TECNICO, SECRETARIO PARTICULAR Y DIRECTOR GENERAL” (Sic)</w:t>
      </w:r>
    </w:p>
    <w:p w:rsidR="00F77DFE" w:rsidRPr="006B1104" w:rsidRDefault="00F77DFE">
      <w:pPr>
        <w:spacing w:line="360" w:lineRule="auto"/>
        <w:ind w:left="567" w:right="568"/>
        <w:jc w:val="both"/>
        <w:rPr>
          <w:rFonts w:ascii="Palatino Linotype" w:eastAsia="Palatino Linotype" w:hAnsi="Palatino Linotype" w:cs="Palatino Linotype"/>
          <w:i/>
          <w:color w:val="000000"/>
        </w:rPr>
      </w:pPr>
    </w:p>
    <w:p w:rsidR="00F77DFE" w:rsidRPr="006B1104" w:rsidRDefault="00EC6F3F">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lastRenderedPageBreak/>
        <w:t xml:space="preserve">Se hace constar que se señaló como modalidad de entrega de la información a través del Sistema de Acceso a la Información Mexiquense </w:t>
      </w:r>
      <w:r w:rsidRPr="006B1104">
        <w:rPr>
          <w:rFonts w:ascii="Palatino Linotype" w:eastAsia="Palatino Linotype" w:hAnsi="Palatino Linotype" w:cs="Palatino Linotype"/>
          <w:b/>
          <w:color w:val="000000"/>
          <w:sz w:val="22"/>
          <w:szCs w:val="22"/>
        </w:rPr>
        <w:t>(SAIMEX).</w:t>
      </w:r>
    </w:p>
    <w:p w:rsidR="00F77DFE" w:rsidRPr="006B1104" w:rsidRDefault="00F77DFE">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El </w:t>
      </w:r>
      <w:r w:rsidRPr="006B1104">
        <w:rPr>
          <w:rFonts w:ascii="Palatino Linotype" w:eastAsia="Palatino Linotype" w:hAnsi="Palatino Linotype" w:cs="Palatino Linotype"/>
          <w:b/>
          <w:color w:val="000000"/>
        </w:rPr>
        <w:t>doce de septiembre de dos mil veinticuatro</w:t>
      </w:r>
      <w:r w:rsidRPr="006B1104">
        <w:rPr>
          <w:rFonts w:ascii="Palatino Linotype" w:eastAsia="Palatino Linotype" w:hAnsi="Palatino Linotype" w:cs="Palatino Linotype"/>
          <w:color w:val="000000"/>
        </w:rPr>
        <w:t xml:space="preserve">, el </w:t>
      </w:r>
      <w:r w:rsidRPr="006B1104">
        <w:rPr>
          <w:rFonts w:ascii="Palatino Linotype" w:eastAsia="Palatino Linotype" w:hAnsi="Palatino Linotype" w:cs="Palatino Linotype"/>
          <w:b/>
          <w:color w:val="000000"/>
        </w:rPr>
        <w:t>SUJETO OBLIGADO</w:t>
      </w:r>
      <w:r w:rsidRPr="006B1104">
        <w:rPr>
          <w:rFonts w:ascii="Palatino Linotype" w:eastAsia="Palatino Linotype" w:hAnsi="Palatino Linotype" w:cs="Palatino Linotype"/>
          <w:color w:val="000000"/>
        </w:rPr>
        <w:t xml:space="preserve"> realizó un requerimiento, mediante oficio 00138/OASTOL/IP/2024, suscrito por el Jefe del Departamento de Transparencia y Oficialía de Partes. </w:t>
      </w:r>
    </w:p>
    <w:p w:rsidR="00F77DFE" w:rsidRPr="006B1104" w:rsidRDefault="00F77DFE">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El </w:t>
      </w:r>
      <w:r w:rsidRPr="006B1104">
        <w:rPr>
          <w:rFonts w:ascii="Palatino Linotype" w:eastAsia="Palatino Linotype" w:hAnsi="Palatino Linotype" w:cs="Palatino Linotype"/>
          <w:b/>
          <w:color w:val="000000"/>
        </w:rPr>
        <w:t xml:space="preserve">cuatro de octubre de dos mil veinticuatro, </w:t>
      </w:r>
      <w:r w:rsidRPr="006B1104">
        <w:rPr>
          <w:rFonts w:ascii="Palatino Linotype" w:eastAsia="Palatino Linotype" w:hAnsi="Palatino Linotype" w:cs="Palatino Linotype"/>
          <w:color w:val="000000"/>
        </w:rPr>
        <w:t>el Comité de Transparencia resolvió confirmar la ampliación del plazo para dar respuesta a la solicitud de información.</w:t>
      </w:r>
    </w:p>
    <w:p w:rsidR="00F77DFE" w:rsidRPr="006B1104" w:rsidRDefault="00F77DFE">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F77DFE" w:rsidRPr="006B1104" w:rsidRDefault="00EC6F3F">
      <w:pPr>
        <w:numPr>
          <w:ilvl w:val="0"/>
          <w:numId w:val="5"/>
        </w:numPr>
        <w:tabs>
          <w:tab w:val="left" w:pos="0"/>
        </w:tabs>
        <w:spacing w:line="360" w:lineRule="auto"/>
        <w:ind w:left="0" w:right="-112" w:firstLine="0"/>
        <w:jc w:val="both"/>
        <w:rPr>
          <w:rFonts w:ascii="Palatino Linotype" w:eastAsia="Palatino Linotype" w:hAnsi="Palatino Linotype" w:cs="Palatino Linotype"/>
          <w:b/>
        </w:rPr>
      </w:pPr>
      <w:bookmarkStart w:id="1" w:name="_heading=h.30j0zll" w:colFirst="0" w:colLast="0"/>
      <w:bookmarkEnd w:id="1"/>
      <w:r w:rsidRPr="006B1104">
        <w:rPr>
          <w:rFonts w:ascii="Palatino Linotype" w:eastAsia="Palatino Linotype" w:hAnsi="Palatino Linotype" w:cs="Palatino Linotype"/>
        </w:rPr>
        <w:t xml:space="preserve">El </w:t>
      </w:r>
      <w:r w:rsidRPr="006B1104">
        <w:rPr>
          <w:rFonts w:ascii="Palatino Linotype" w:eastAsia="Palatino Linotype" w:hAnsi="Palatino Linotype" w:cs="Palatino Linotype"/>
          <w:b/>
        </w:rPr>
        <w:t>quince de octubre de dos mil veinticuatro</w:t>
      </w:r>
      <w:r w:rsidRPr="006B1104">
        <w:rPr>
          <w:rFonts w:ascii="Palatino Linotype" w:eastAsia="Palatino Linotype" w:hAnsi="Palatino Linotype" w:cs="Palatino Linotype"/>
        </w:rPr>
        <w:t xml:space="preserve">, el </w:t>
      </w:r>
      <w:r w:rsidRPr="006B1104">
        <w:rPr>
          <w:rFonts w:ascii="Palatino Linotype" w:eastAsia="Palatino Linotype" w:hAnsi="Palatino Linotype" w:cs="Palatino Linotype"/>
          <w:b/>
        </w:rPr>
        <w:t xml:space="preserve">SUJETO OBLIGADO </w:t>
      </w:r>
      <w:r w:rsidRPr="006B1104">
        <w:rPr>
          <w:rFonts w:ascii="Palatino Linotype" w:eastAsia="Palatino Linotype" w:hAnsi="Palatino Linotype" w:cs="Palatino Linotype"/>
        </w:rPr>
        <w:t xml:space="preserve">dio respuesta través del SAIMEX, adjuntando tres archivos electrónicos en </w:t>
      </w:r>
      <w:proofErr w:type="spellStart"/>
      <w:r w:rsidRPr="006B1104">
        <w:rPr>
          <w:rFonts w:ascii="Palatino Linotype" w:eastAsia="Palatino Linotype" w:hAnsi="Palatino Linotype" w:cs="Palatino Linotype"/>
        </w:rPr>
        <w:t>pdf</w:t>
      </w:r>
      <w:proofErr w:type="spellEnd"/>
      <w:r w:rsidRPr="006B1104">
        <w:rPr>
          <w:rFonts w:ascii="Palatino Linotype" w:eastAsia="Palatino Linotype" w:hAnsi="Palatino Linotype" w:cs="Palatino Linotype"/>
        </w:rPr>
        <w:t>, siendo los siguientes:</w:t>
      </w:r>
    </w:p>
    <w:p w:rsidR="00F77DFE" w:rsidRPr="006B1104" w:rsidRDefault="00F77DFE">
      <w:pPr>
        <w:tabs>
          <w:tab w:val="left" w:pos="0"/>
        </w:tabs>
        <w:spacing w:line="360" w:lineRule="auto"/>
        <w:ind w:right="-112"/>
        <w:jc w:val="both"/>
        <w:rPr>
          <w:rFonts w:ascii="Palatino Linotype" w:eastAsia="Palatino Linotype" w:hAnsi="Palatino Linotype" w:cs="Palatino Linotype"/>
          <w:b/>
        </w:rPr>
      </w:pPr>
    </w:p>
    <w:p w:rsidR="00F77DFE" w:rsidRPr="006B1104" w:rsidRDefault="00EC6F3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b/>
          <w:color w:val="000000"/>
          <w:sz w:val="22"/>
          <w:szCs w:val="22"/>
        </w:rPr>
        <w:t xml:space="preserve">RES.03.pdf: </w:t>
      </w:r>
      <w:r w:rsidRPr="006B1104">
        <w:rPr>
          <w:rFonts w:ascii="Palatino Linotype" w:eastAsia="Palatino Linotype" w:hAnsi="Palatino Linotype" w:cs="Palatino Linotype"/>
          <w:color w:val="000000"/>
          <w:sz w:val="22"/>
          <w:szCs w:val="22"/>
        </w:rPr>
        <w:t>Contiene el Acta de la Tercera Sesión Ordinaria del Comité de Transparencia, de fecha catorce de octubre de dos mil veinticuatro, por la que se resolvió por unanimidad confirmar la clasificación parcial como confidencial de los datos personales como: CURP, RFC, Clave de ISSEMYM y otras deducciones que no corresponden a erogaciones de recurso públicos, así también se ordenó al Departamento de Transparencia y Oficialía de Partes, colocara en versión pública aprobada los recibos de nómina solicitados por el RECURRENTE.</w:t>
      </w:r>
    </w:p>
    <w:p w:rsidR="00F77DFE" w:rsidRPr="006B1104" w:rsidRDefault="00F77DF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77DFE" w:rsidRPr="006B1104" w:rsidRDefault="00EC6F3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b/>
          <w:color w:val="000000"/>
          <w:sz w:val="22"/>
          <w:szCs w:val="22"/>
        </w:rPr>
        <w:lastRenderedPageBreak/>
        <w:t>OFICIO 073 SOLICITANTE SOL 138.pdf:</w:t>
      </w:r>
      <w:r w:rsidRPr="006B1104">
        <w:rPr>
          <w:rFonts w:ascii="Palatino Linotype" w:eastAsia="Palatino Linotype" w:hAnsi="Palatino Linotype" w:cs="Palatino Linotype"/>
          <w:color w:val="000000"/>
          <w:sz w:val="22"/>
          <w:szCs w:val="22"/>
        </w:rPr>
        <w:t xml:space="preserve"> Oficio 200C16001/073/2024, de fecha quince de octubre de dos mil veinticuatro, suscrito por el Jefe de Departamento de Transparencia y Oficialía de Partes, por medio del cual dio respuesta al RECURRENTE, así también adjuntó el oficio de respuesta emitido por la Jefa de Departamento de Recursos Humanos y la versión pública aprobada de los recibos de nómina solicitados.  </w:t>
      </w:r>
    </w:p>
    <w:p w:rsidR="00F77DFE" w:rsidRPr="006B1104" w:rsidRDefault="00F77DF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77DFE" w:rsidRPr="006B1104" w:rsidRDefault="00EC6F3F">
      <w:pPr>
        <w:numPr>
          <w:ilvl w:val="0"/>
          <w:numId w:val="1"/>
        </w:numPr>
        <w:pBdr>
          <w:top w:val="nil"/>
          <w:left w:val="nil"/>
          <w:bottom w:val="nil"/>
          <w:right w:val="nil"/>
          <w:between w:val="nil"/>
        </w:pBdr>
        <w:spacing w:line="360" w:lineRule="auto"/>
        <w:ind w:left="0" w:firstLine="0"/>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b/>
          <w:color w:val="000000"/>
          <w:sz w:val="22"/>
          <w:szCs w:val="22"/>
        </w:rPr>
        <w:t>138.2024.zip:</w:t>
      </w:r>
      <w:r w:rsidRPr="006B1104">
        <w:rPr>
          <w:rFonts w:ascii="Palatino Linotype" w:eastAsia="Palatino Linotype" w:hAnsi="Palatino Linotype" w:cs="Palatino Linotype"/>
          <w:color w:val="000000"/>
          <w:sz w:val="22"/>
          <w:szCs w:val="22"/>
        </w:rPr>
        <w:t xml:space="preserve"> Carpeta de archivos, la cual contiene veinte archivos en </w:t>
      </w:r>
      <w:proofErr w:type="spellStart"/>
      <w:r w:rsidRPr="006B1104">
        <w:rPr>
          <w:rFonts w:ascii="Palatino Linotype" w:eastAsia="Palatino Linotype" w:hAnsi="Palatino Linotype" w:cs="Palatino Linotype"/>
          <w:color w:val="000000"/>
          <w:sz w:val="22"/>
          <w:szCs w:val="22"/>
        </w:rPr>
        <w:t>pdf</w:t>
      </w:r>
      <w:proofErr w:type="spellEnd"/>
      <w:r w:rsidRPr="006B1104">
        <w:rPr>
          <w:rFonts w:ascii="Palatino Linotype" w:eastAsia="Palatino Linotype" w:hAnsi="Palatino Linotype" w:cs="Palatino Linotype"/>
          <w:color w:val="000000"/>
          <w:sz w:val="22"/>
          <w:szCs w:val="22"/>
        </w:rPr>
        <w:t>, siendo los siguientes:</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ABRIL ok 30: Contiene los recibos de nómina de 30 servidores públicos,  correspondientes a la primera quincena del mes de abril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AGOSTO OK: Contiene los recibos de nómina de 30 servidores públicos,  correspondientes a la primera quincena del mes de agosto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enero 0k 30: Contiene los recibos de nómina de 30 servidores públicos,  correspondientes a la primera quincena del mes de enero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febrero ok 30: Contiene los recibos de nómina de 30 servidores públicos,  correspondientes a la primera quincena del mes de febrero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JULIO OK 30: Contiene los recibos de nómina de 30 servidores públicos,  correspondientes a la primera quincena del mes de julio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JUNIO ok 30: Contiene los recibos de nómina de 30 servidores públicos,  correspondientes a la primera quincena del mes de junio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MARZO ok 30: Contiene los recibos de nómina de 30 servidores públicos,  correspondientes a la primera quincena del mes de marzo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1A MAYO ok 30: Contiene los recibos de nómina de 30 servidores públicos,  correspondientes a la primera quincena del mes de mayo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lastRenderedPageBreak/>
        <w:t>2A ABRIL ok 30: Contiene los recibos de nómina de 30 servidores públicos,  correspondientes a la segunda quincena del mes de abril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2A AGOSTO OK: Contiene los recibos de nómina de 30 servidores públicos,  correspondientes a la segunda quincena del mes de agosto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2a enero ok 30: Contiene los recibos de nómina de 30 servidores públicos,  correspondientes a la segunda quincena del mes de enero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2a febrero ok 30: Contiene los recibos de nómina de 30 servidores públicos,  correspondientes a la segunda quincena del mes de febrero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2A JULIO OK: Contiene los recibos de nómina de 30 servidores públicos,  correspondientes a la segunda quincena del mes de julio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2A JUNIO ok 30: Contiene los recibos de nómina de 30 servidores públicos,  correspondientes a la segunda quincena del mes de junio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2A MARZO OK 30: Contiene los recibos de nómina de 30 servidores públicos,  correspondientes a la segunda quincena del mes de marzo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2a mayo ok 30: Contiene los recibos de nómina de 30 servidores públicos,  correspondientes a la segunda quincena del mes de mayo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 xml:space="preserve">200C13001.989.2024: Contiene el oficio de fecha once de octubre de dos mil veinticuatro, suscrito por el Jefe de Departamento de Recursos Humanos. </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AGUINALDO MARZO OK: Contiene los recibos de nómina de 29 servidores públicos, correspondientes al aguinaldo con fecha del 16 al 22 de marzo de 2024.</w:t>
      </w:r>
    </w:p>
    <w:p w:rsidR="00F77DFE" w:rsidRPr="006B1104" w:rsidRDefault="00EC6F3F">
      <w:pPr>
        <w:numPr>
          <w:ilvl w:val="3"/>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 xml:space="preserve">OFICIO 073 SOLICITANTE SOL 138: Oficio de fecha quince de octubre de dos mil veinticuatro, suscrito por el Jefe de Departamento de Transparencia y Oficialía de Partes, por medio del cual dio respuesta al particular. </w:t>
      </w:r>
    </w:p>
    <w:p w:rsidR="00F77DFE" w:rsidRPr="006B1104" w:rsidRDefault="00EC6F3F">
      <w:pPr>
        <w:numPr>
          <w:ilvl w:val="3"/>
          <w:numId w:val="5"/>
        </w:numPr>
        <w:pBdr>
          <w:top w:val="nil"/>
          <w:left w:val="nil"/>
          <w:bottom w:val="nil"/>
          <w:right w:val="nil"/>
          <w:between w:val="nil"/>
        </w:pBdr>
        <w:spacing w:line="360" w:lineRule="auto"/>
        <w:ind w:left="709"/>
        <w:rPr>
          <w:rFonts w:ascii="Palatino Linotype" w:eastAsia="Palatino Linotype" w:hAnsi="Palatino Linotype" w:cs="Palatino Linotype"/>
          <w:color w:val="000000"/>
          <w:sz w:val="22"/>
          <w:szCs w:val="22"/>
        </w:rPr>
      </w:pPr>
      <w:r w:rsidRPr="006B1104">
        <w:rPr>
          <w:rFonts w:ascii="Palatino Linotype" w:eastAsia="Palatino Linotype" w:hAnsi="Palatino Linotype" w:cs="Palatino Linotype"/>
          <w:color w:val="000000"/>
          <w:sz w:val="22"/>
          <w:szCs w:val="22"/>
        </w:rPr>
        <w:t>PRIM VAC JULIO OK: Contiene los recibos de nómina de 28 servidores públicos, correspondientes a la prima vacacional, con fecha 16 de julio de 2024.</w:t>
      </w:r>
    </w:p>
    <w:p w:rsidR="00F77DFE" w:rsidRPr="006B1104" w:rsidRDefault="00F77DFE">
      <w:pPr>
        <w:tabs>
          <w:tab w:val="left" w:pos="0"/>
        </w:tabs>
        <w:spacing w:line="360" w:lineRule="auto"/>
        <w:ind w:right="-112"/>
        <w:jc w:val="both"/>
        <w:rPr>
          <w:rFonts w:ascii="Palatino Linotype" w:eastAsia="Palatino Linotype" w:hAnsi="Palatino Linotype" w:cs="Palatino Linotype"/>
        </w:rPr>
      </w:pPr>
    </w:p>
    <w:p w:rsidR="00F77DFE" w:rsidRPr="006B1104" w:rsidRDefault="00EC6F3F">
      <w:pPr>
        <w:numPr>
          <w:ilvl w:val="0"/>
          <w:numId w:val="5"/>
        </w:numPr>
        <w:pBdr>
          <w:top w:val="nil"/>
          <w:left w:val="nil"/>
          <w:bottom w:val="nil"/>
          <w:right w:val="nil"/>
          <w:between w:val="nil"/>
        </w:pBdr>
        <w:tabs>
          <w:tab w:val="left" w:pos="0"/>
        </w:tabs>
        <w:spacing w:line="360" w:lineRule="auto"/>
        <w:ind w:left="0" w:right="-112"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t xml:space="preserve">El </w:t>
      </w:r>
      <w:r w:rsidRPr="006B1104">
        <w:rPr>
          <w:rFonts w:ascii="Palatino Linotype" w:eastAsia="Palatino Linotype" w:hAnsi="Palatino Linotype" w:cs="Palatino Linotype"/>
          <w:b/>
          <w:color w:val="000000"/>
        </w:rPr>
        <w:t>veintiuno de octubre de dos mil veinticuatro,</w:t>
      </w:r>
      <w:r w:rsidRPr="006B1104">
        <w:rPr>
          <w:rFonts w:ascii="Palatino Linotype" w:eastAsia="Palatino Linotype" w:hAnsi="Palatino Linotype" w:cs="Palatino Linotype"/>
          <w:color w:val="000000"/>
        </w:rPr>
        <w:t xml:space="preserve"> el </w:t>
      </w:r>
      <w:r w:rsidRPr="006B1104">
        <w:rPr>
          <w:rFonts w:ascii="Palatino Linotype" w:eastAsia="Palatino Linotype" w:hAnsi="Palatino Linotype" w:cs="Palatino Linotype"/>
          <w:b/>
          <w:color w:val="000000"/>
        </w:rPr>
        <w:t xml:space="preserve">RECURRENTE </w:t>
      </w:r>
      <w:r w:rsidRPr="006B1104">
        <w:rPr>
          <w:rFonts w:ascii="Palatino Linotype" w:eastAsia="Palatino Linotype" w:hAnsi="Palatino Linotype" w:cs="Palatino Linotype"/>
          <w:color w:val="000000"/>
        </w:rPr>
        <w:t>interpuso el recurso de revisión, señalando como:</w:t>
      </w:r>
    </w:p>
    <w:p w:rsidR="00F77DFE" w:rsidRPr="006B1104" w:rsidRDefault="00F77DFE">
      <w:pPr>
        <w:pBdr>
          <w:top w:val="nil"/>
          <w:left w:val="nil"/>
          <w:bottom w:val="nil"/>
          <w:right w:val="nil"/>
          <w:between w:val="nil"/>
        </w:pBdr>
        <w:tabs>
          <w:tab w:val="left" w:pos="0"/>
        </w:tabs>
        <w:spacing w:line="360" w:lineRule="auto"/>
        <w:ind w:right="1"/>
        <w:jc w:val="both"/>
        <w:rPr>
          <w:rFonts w:ascii="Palatino Linotype" w:eastAsia="Palatino Linotype" w:hAnsi="Palatino Linotype" w:cs="Palatino Linotype"/>
          <w:b/>
          <w:color w:val="000000"/>
        </w:rPr>
      </w:pPr>
    </w:p>
    <w:p w:rsidR="00F77DFE" w:rsidRPr="006B1104" w:rsidRDefault="00EC6F3F">
      <w:pPr>
        <w:ind w:left="567"/>
        <w:jc w:val="both"/>
        <w:rPr>
          <w:rFonts w:ascii="Palatino Linotype" w:eastAsia="Palatino Linotype" w:hAnsi="Palatino Linotype" w:cs="Palatino Linotype"/>
          <w:i/>
          <w:color w:val="000000"/>
        </w:rPr>
      </w:pPr>
      <w:r w:rsidRPr="006B1104">
        <w:rPr>
          <w:rFonts w:ascii="Palatino Linotype" w:eastAsia="Palatino Linotype" w:hAnsi="Palatino Linotype" w:cs="Palatino Linotype"/>
          <w:b/>
        </w:rPr>
        <w:t>ACTO IMPUGNADO:</w:t>
      </w:r>
      <w:r w:rsidRPr="006B1104">
        <w:rPr>
          <w:rFonts w:ascii="Palatino Linotype" w:eastAsia="Palatino Linotype" w:hAnsi="Palatino Linotype" w:cs="Palatino Linotype"/>
          <w:i/>
        </w:rPr>
        <w:t xml:space="preserve"> “LA DECLARACION DE CLASIFICACION DE INFORMACION</w:t>
      </w:r>
      <w:r w:rsidRPr="006B1104">
        <w:rPr>
          <w:rFonts w:ascii="Palatino Linotype" w:eastAsia="Palatino Linotype" w:hAnsi="Palatino Linotype" w:cs="Palatino Linotype"/>
          <w:i/>
          <w:color w:val="000000"/>
        </w:rPr>
        <w:t xml:space="preserve">” </w:t>
      </w:r>
      <w:r w:rsidRPr="006B1104">
        <w:rPr>
          <w:rFonts w:ascii="Palatino Linotype" w:eastAsia="Palatino Linotype" w:hAnsi="Palatino Linotype" w:cs="Palatino Linotype"/>
          <w:color w:val="000000"/>
        </w:rPr>
        <w:t>(Sic)</w:t>
      </w:r>
    </w:p>
    <w:p w:rsidR="00F77DFE" w:rsidRPr="006B1104" w:rsidRDefault="00F77DFE">
      <w:pPr>
        <w:spacing w:line="360" w:lineRule="auto"/>
        <w:ind w:left="567" w:right="568"/>
        <w:jc w:val="both"/>
        <w:rPr>
          <w:rFonts w:ascii="Palatino Linotype" w:eastAsia="Palatino Linotype" w:hAnsi="Palatino Linotype" w:cs="Palatino Linotype"/>
        </w:rPr>
      </w:pPr>
    </w:p>
    <w:p w:rsidR="00F77DFE" w:rsidRPr="006B1104" w:rsidRDefault="00EC6F3F">
      <w:pPr>
        <w:spacing w:line="360" w:lineRule="auto"/>
        <w:ind w:left="567" w:right="597"/>
        <w:jc w:val="both"/>
        <w:rPr>
          <w:rFonts w:ascii="Palatino Linotype" w:eastAsia="Palatino Linotype" w:hAnsi="Palatino Linotype" w:cs="Palatino Linotype"/>
        </w:rPr>
      </w:pPr>
      <w:r w:rsidRPr="006B1104">
        <w:rPr>
          <w:rFonts w:ascii="Palatino Linotype" w:eastAsia="Palatino Linotype" w:hAnsi="Palatino Linotype" w:cs="Palatino Linotype"/>
          <w:b/>
        </w:rPr>
        <w:t>RAZONES O MOTIVOS DE INCONFORMIDAD</w:t>
      </w:r>
      <w:r w:rsidRPr="006B1104">
        <w:rPr>
          <w:rFonts w:ascii="Palatino Linotype" w:eastAsia="Palatino Linotype" w:hAnsi="Palatino Linotype" w:cs="Palatino Linotype"/>
          <w:i/>
        </w:rPr>
        <w:t>: “</w:t>
      </w:r>
      <w:r w:rsidRPr="006B1104">
        <w:rPr>
          <w:rFonts w:ascii="Palatino Linotype" w:eastAsia="Palatino Linotype" w:hAnsi="Palatino Linotype" w:cs="Palatino Linotype"/>
          <w:i/>
          <w:color w:val="000000"/>
        </w:rPr>
        <w:t>LA SUPLENTE DEL DIRECTOR DE ADMINISTRACION Y FINANZAS NO CUENTA CON LEGITIMIDAD PARA FIRMAR UN ACTA DEL COMITE DE TRANSPARENCIA, YA QUE LA FIRGURA DE SECRETARIA PARTICULAR NO FORMA PARTE DEL ORGANIGRAMA DEL ORGANISMO AGUA Y SANEAMIENTO DE TOLUCA, POR LO QUE SE ENCUENTRA USURPANDO FUNCIONES.” (Sic)</w:t>
      </w:r>
    </w:p>
    <w:p w:rsidR="00F77DFE" w:rsidRPr="006B1104" w:rsidRDefault="00F77DFE">
      <w:pPr>
        <w:spacing w:line="360" w:lineRule="auto"/>
        <w:ind w:right="1"/>
        <w:jc w:val="both"/>
        <w:rPr>
          <w:rFonts w:ascii="Palatino Linotype" w:eastAsia="Palatino Linotype" w:hAnsi="Palatino Linotype" w:cs="Palatino Linotype"/>
          <w:color w:val="000000"/>
        </w:rPr>
      </w:pPr>
    </w:p>
    <w:p w:rsidR="00F77DFE" w:rsidRPr="006B1104" w:rsidRDefault="00EC6F3F">
      <w:pPr>
        <w:numPr>
          <w:ilvl w:val="0"/>
          <w:numId w:val="5"/>
        </w:numPr>
        <w:spacing w:line="360" w:lineRule="auto"/>
        <w:ind w:left="0" w:right="1"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La </w:t>
      </w:r>
      <w:r w:rsidRPr="006B1104">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Pr="006B1104">
        <w:rPr>
          <w:rFonts w:ascii="Palatino Linotype" w:eastAsia="Palatino Linotype" w:hAnsi="Palatino Linotype" w:cs="Palatino Linotype"/>
          <w:b/>
        </w:rPr>
        <w:t>veinticuatro de octubre de dos mil veinticuatro</w:t>
      </w:r>
      <w:r w:rsidRPr="006B1104">
        <w:rPr>
          <w:rFonts w:ascii="Palatino Linotype" w:eastAsia="Palatino Linotype" w:hAnsi="Palatino Linotype" w:cs="Palatino Linotype"/>
        </w:rPr>
        <w:t xml:space="preserve">, puso a disposición de las partes el  expediente electrónicos vía Sistema de Acceso a la Información Mexiquense </w:t>
      </w:r>
      <w:r w:rsidRPr="006B1104">
        <w:rPr>
          <w:rFonts w:ascii="Palatino Linotype" w:eastAsia="Palatino Linotype" w:hAnsi="Palatino Linotype" w:cs="Palatino Linotype"/>
          <w:b/>
        </w:rPr>
        <w:t xml:space="preserve">SAIMEX </w:t>
      </w:r>
      <w:r w:rsidRPr="006B1104">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6B1104">
        <w:rPr>
          <w:rFonts w:ascii="Palatino Linotype" w:eastAsia="Palatino Linotype" w:hAnsi="Palatino Linotype" w:cs="Palatino Linotype"/>
          <w:b/>
        </w:rPr>
        <w:t>SUJETO OBLIGADO</w:t>
      </w:r>
      <w:r w:rsidRPr="006B1104">
        <w:rPr>
          <w:rFonts w:ascii="Palatino Linotype" w:eastAsia="Palatino Linotype" w:hAnsi="Palatino Linotype" w:cs="Palatino Linotype"/>
        </w:rPr>
        <w:t xml:space="preserve"> presentará el Informe Justificado procedente.</w:t>
      </w:r>
    </w:p>
    <w:p w:rsidR="00F77DFE" w:rsidRPr="006B1104" w:rsidRDefault="00F77DFE">
      <w:pPr>
        <w:spacing w:line="360" w:lineRule="auto"/>
        <w:ind w:right="1"/>
        <w:jc w:val="both"/>
        <w:rPr>
          <w:rFonts w:ascii="Palatino Linotype" w:eastAsia="Palatino Linotype" w:hAnsi="Palatino Linotype" w:cs="Palatino Linotype"/>
          <w:color w:val="000000"/>
        </w:rPr>
      </w:pPr>
    </w:p>
    <w:p w:rsidR="00F77DFE" w:rsidRPr="006B1104" w:rsidRDefault="00EC6F3F">
      <w:pPr>
        <w:numPr>
          <w:ilvl w:val="0"/>
          <w:numId w:val="5"/>
        </w:numPr>
        <w:spacing w:line="360" w:lineRule="auto"/>
        <w:ind w:left="0" w:right="1"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lastRenderedPageBreak/>
        <w:t xml:space="preserve">De lo anterior, el </w:t>
      </w:r>
      <w:r w:rsidRPr="006B1104">
        <w:rPr>
          <w:rFonts w:ascii="Palatino Linotype" w:eastAsia="Palatino Linotype" w:hAnsi="Palatino Linotype" w:cs="Palatino Linotype"/>
          <w:b/>
          <w:color w:val="000000"/>
        </w:rPr>
        <w:t>RECURRENTE</w:t>
      </w:r>
      <w:r w:rsidRPr="006B1104">
        <w:rPr>
          <w:rFonts w:ascii="Palatino Linotype" w:eastAsia="Palatino Linotype" w:hAnsi="Palatino Linotype" w:cs="Palatino Linotype"/>
          <w:color w:val="000000"/>
        </w:rPr>
        <w:t xml:space="preserve"> y el </w:t>
      </w:r>
      <w:r w:rsidRPr="006B1104">
        <w:rPr>
          <w:rFonts w:ascii="Palatino Linotype" w:eastAsia="Palatino Linotype" w:hAnsi="Palatino Linotype" w:cs="Palatino Linotype"/>
          <w:b/>
          <w:color w:val="000000"/>
        </w:rPr>
        <w:t>SUJETO OBLIGADO</w:t>
      </w:r>
      <w:r w:rsidRPr="006B1104">
        <w:rPr>
          <w:rFonts w:ascii="Palatino Linotype" w:eastAsia="Palatino Linotype" w:hAnsi="Palatino Linotype" w:cs="Palatino Linotype"/>
          <w:color w:val="000000"/>
        </w:rPr>
        <w:t xml:space="preserve"> respectivamente, dejaron de realizar manifestaciones que a su derecho conviniera y asistiera.</w:t>
      </w:r>
    </w:p>
    <w:p w:rsidR="00F77DFE" w:rsidRPr="006B1104" w:rsidRDefault="00F77DFE">
      <w:pPr>
        <w:spacing w:line="360" w:lineRule="auto"/>
        <w:ind w:right="1"/>
        <w:jc w:val="both"/>
        <w:rPr>
          <w:rFonts w:ascii="Palatino Linotype" w:eastAsia="Palatino Linotype" w:hAnsi="Palatino Linotype" w:cs="Palatino Linotype"/>
        </w:rPr>
      </w:pPr>
    </w:p>
    <w:p w:rsidR="00F77DFE" w:rsidRPr="006B1104" w:rsidRDefault="00EC6F3F">
      <w:pPr>
        <w:numPr>
          <w:ilvl w:val="0"/>
          <w:numId w:val="5"/>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F77DFE" w:rsidRPr="006B1104" w:rsidRDefault="00F77DFE">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F77DFE" w:rsidRPr="006B1104" w:rsidRDefault="00F77DFE">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rsidR="00F77DFE" w:rsidRPr="006B1104" w:rsidRDefault="00EC6F3F">
      <w:pPr>
        <w:numPr>
          <w:ilvl w:val="0"/>
          <w:numId w:val="5"/>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77DFE" w:rsidRPr="006B1104" w:rsidRDefault="00F77DFE">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F77DFE" w:rsidRPr="006B1104" w:rsidRDefault="00EC6F3F">
      <w:pPr>
        <w:numPr>
          <w:ilvl w:val="0"/>
          <w:numId w:val="5"/>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w:t>
      </w:r>
      <w:r w:rsidRPr="006B1104">
        <w:rPr>
          <w:rFonts w:ascii="Palatino Linotype" w:eastAsia="Palatino Linotype" w:hAnsi="Palatino Linotype" w:cs="Palatino Linotype"/>
          <w:color w:val="000000"/>
        </w:rPr>
        <w:lastRenderedPageBreak/>
        <w:t xml:space="preserve">órganos jurisdiccionales o cuasi jurisdiccionales, tanto por la complejidad de los hechos, como por el número de casos que conocen. </w:t>
      </w:r>
    </w:p>
    <w:p w:rsidR="00F77DFE" w:rsidRPr="006B1104" w:rsidRDefault="00F77DFE">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F77DFE" w:rsidRPr="006B1104" w:rsidRDefault="00EC6F3F">
      <w:pPr>
        <w:numPr>
          <w:ilvl w:val="0"/>
          <w:numId w:val="5"/>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F77DFE" w:rsidRPr="006B1104" w:rsidRDefault="00F77DFE">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F77DFE" w:rsidRPr="006B1104" w:rsidRDefault="00EC6F3F">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6B1104">
        <w:rPr>
          <w:rFonts w:ascii="Palatino Linotype" w:eastAsia="Palatino Linotype" w:hAnsi="Palatino Linotype" w:cs="Palatino Linotype"/>
          <w:color w:val="000000"/>
        </w:rPr>
        <w:t xml:space="preserve">Complejidad del </w:t>
      </w:r>
      <w:r w:rsidRPr="006B1104">
        <w:rPr>
          <w:rFonts w:ascii="Palatino Linotype" w:eastAsia="Palatino Linotype" w:hAnsi="Palatino Linotype" w:cs="Palatino Linotype"/>
        </w:rPr>
        <w:t>asunto</w:t>
      </w:r>
      <w:r w:rsidRPr="006B1104">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F77DFE" w:rsidRPr="006B1104" w:rsidRDefault="00EC6F3F">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Actividad Procesal del interesado. Acciones u omisiones del interesado.</w:t>
      </w:r>
    </w:p>
    <w:p w:rsidR="00F77DFE" w:rsidRPr="006B1104" w:rsidRDefault="00EC6F3F">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F77DFE" w:rsidRPr="006B1104" w:rsidRDefault="00EC6F3F">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La afectación generada en la situación jurídica de la persona involucrada en el proceso: Violación a sus derechos humanos.</w:t>
      </w:r>
    </w:p>
    <w:p w:rsidR="00F77DFE" w:rsidRPr="006B1104" w:rsidRDefault="00F77DFE">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77DFE" w:rsidRPr="006B1104" w:rsidRDefault="00F77DFE">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F77DFE" w:rsidRPr="006B1104" w:rsidRDefault="00EC6F3F">
      <w:pPr>
        <w:numPr>
          <w:ilvl w:val="0"/>
          <w:numId w:val="5"/>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lastRenderedPageBreak/>
        <w:t>Argumento que encuentra sustento en la jurisprudencia P</w:t>
      </w:r>
      <w:proofErr w:type="gramStart"/>
      <w:r w:rsidRPr="006B1104">
        <w:rPr>
          <w:rFonts w:ascii="Palatino Linotype" w:eastAsia="Palatino Linotype" w:hAnsi="Palatino Linotype" w:cs="Palatino Linotype"/>
          <w:color w:val="000000"/>
        </w:rPr>
        <w:t>./</w:t>
      </w:r>
      <w:proofErr w:type="gramEnd"/>
      <w:r w:rsidRPr="006B1104">
        <w:rPr>
          <w:rFonts w:ascii="Palatino Linotype" w:eastAsia="Palatino Linotype" w:hAnsi="Palatino Linotype" w:cs="Palatino Linotype"/>
          <w:color w:val="000000"/>
        </w:rPr>
        <w:t xml:space="preserve">J. 32/92 emitida por el Pleno de la Suprema Corte de Justicia de la Nación </w:t>
      </w:r>
      <w:r w:rsidRPr="006B1104">
        <w:rPr>
          <w:rFonts w:ascii="Palatino Linotype" w:eastAsia="Palatino Linotype" w:hAnsi="Palatino Linotype" w:cs="Palatino Linotype"/>
        </w:rPr>
        <w:t>del rubro</w:t>
      </w:r>
      <w:r w:rsidRPr="006B1104">
        <w:rPr>
          <w:rFonts w:ascii="Palatino Linotype" w:eastAsia="Palatino Linotype" w:hAnsi="Palatino Linotype" w:cs="Palatino Linotype"/>
          <w:color w:val="000000"/>
        </w:rPr>
        <w:t xml:space="preserve"> </w:t>
      </w:r>
      <w:r w:rsidRPr="006B1104">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6B1104">
        <w:rPr>
          <w:rFonts w:ascii="Palatino Linotype" w:eastAsia="Palatino Linotype" w:hAnsi="Palatino Linotype" w:cs="Palatino Linotype"/>
          <w:color w:val="000000"/>
        </w:rPr>
        <w:t xml:space="preserve">, visible en la Gaceta del </w:t>
      </w:r>
      <w:r w:rsidRPr="006B1104">
        <w:rPr>
          <w:rFonts w:ascii="Palatino Linotype" w:eastAsia="Palatino Linotype" w:hAnsi="Palatino Linotype" w:cs="Palatino Linotype"/>
        </w:rPr>
        <w:t>Semanario</w:t>
      </w:r>
      <w:r w:rsidRPr="006B1104">
        <w:rPr>
          <w:rFonts w:ascii="Palatino Linotype" w:eastAsia="Palatino Linotype" w:hAnsi="Palatino Linotype" w:cs="Palatino Linotype"/>
          <w:color w:val="000000"/>
        </w:rPr>
        <w:t xml:space="preserve"> Judicial de la Federación con el registro digital 205635.</w:t>
      </w:r>
    </w:p>
    <w:p w:rsidR="00F77DFE" w:rsidRPr="006B1104" w:rsidRDefault="00F77DFE">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right="-28"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Seguidamente el </w:t>
      </w:r>
      <w:r w:rsidRPr="006B1104">
        <w:rPr>
          <w:rFonts w:ascii="Palatino Linotype" w:eastAsia="Palatino Linotype" w:hAnsi="Palatino Linotype" w:cs="Palatino Linotype"/>
          <w:b/>
        </w:rPr>
        <w:t>veintiocho de noviembre de dos mil veinticuatro</w:t>
      </w:r>
      <w:r w:rsidRPr="006B1104">
        <w:rPr>
          <w:rFonts w:ascii="Palatino Linotype" w:eastAsia="Palatino Linotype" w:hAnsi="Palatino Linotype" w:cs="Palatino Linotype"/>
        </w:rPr>
        <w:t xml:space="preserve">, se notificó el acuerdo mediante el cual se aprobó la ampliación de plazo para emitir resolución. </w:t>
      </w:r>
    </w:p>
    <w:p w:rsidR="00F77DFE" w:rsidRPr="006B1104" w:rsidRDefault="00F77DFE">
      <w:pPr>
        <w:spacing w:line="360" w:lineRule="auto"/>
        <w:ind w:right="1"/>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right="1" w:firstLine="0"/>
        <w:jc w:val="both"/>
        <w:rPr>
          <w:rFonts w:ascii="Palatino Linotype" w:eastAsia="Palatino Linotype" w:hAnsi="Palatino Linotype" w:cs="Palatino Linotype"/>
          <w:b/>
        </w:rPr>
      </w:pPr>
      <w:bookmarkStart w:id="2" w:name="_heading=h.1fob9te" w:colFirst="0" w:colLast="0"/>
      <w:bookmarkEnd w:id="2"/>
      <w:r w:rsidRPr="006B1104">
        <w:rPr>
          <w:rFonts w:ascii="Palatino Linotype" w:eastAsia="Palatino Linotype" w:hAnsi="Palatino Linotype" w:cs="Palatino Linotype"/>
        </w:rPr>
        <w:t xml:space="preserve">La Comisionada Ponente decretó el cierre de instrucción mediante acuerdo del </w:t>
      </w:r>
      <w:r w:rsidRPr="006B1104">
        <w:rPr>
          <w:rFonts w:ascii="Palatino Linotype" w:eastAsia="Palatino Linotype" w:hAnsi="Palatino Linotype" w:cs="Palatino Linotype"/>
          <w:b/>
        </w:rPr>
        <w:t>quince de enero de dos mil veinticinco</w:t>
      </w:r>
      <w:r w:rsidRPr="006B1104">
        <w:rPr>
          <w:rFonts w:ascii="Palatino Linotype" w:eastAsia="Palatino Linotype" w:hAnsi="Palatino Linotype" w:cs="Palatino Linotype"/>
        </w:rPr>
        <w:t>, por lo que, ordenó turnar el expediente a resolución, misma que a continuación se pronuncia.</w:t>
      </w:r>
    </w:p>
    <w:p w:rsidR="00F77DFE" w:rsidRPr="006B1104" w:rsidRDefault="00F77DFE">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F77DFE" w:rsidRPr="006B1104" w:rsidRDefault="00EC6F3F">
      <w:pPr>
        <w:spacing w:line="360" w:lineRule="auto"/>
        <w:ind w:right="1"/>
        <w:jc w:val="center"/>
        <w:rPr>
          <w:rFonts w:ascii="Palatino Linotype" w:eastAsia="Palatino Linotype" w:hAnsi="Palatino Linotype" w:cs="Palatino Linotype"/>
          <w:b/>
        </w:rPr>
      </w:pPr>
      <w:r w:rsidRPr="006B1104">
        <w:rPr>
          <w:rFonts w:ascii="Palatino Linotype" w:eastAsia="Palatino Linotype" w:hAnsi="Palatino Linotype" w:cs="Palatino Linotype"/>
          <w:b/>
        </w:rPr>
        <w:t>C O N S I D E R A N D O</w:t>
      </w:r>
    </w:p>
    <w:p w:rsidR="00F77DFE" w:rsidRPr="006B1104" w:rsidRDefault="00F77DFE">
      <w:pPr>
        <w:spacing w:line="360" w:lineRule="auto"/>
        <w:ind w:right="1"/>
        <w:jc w:val="center"/>
        <w:rPr>
          <w:rFonts w:ascii="Palatino Linotype" w:eastAsia="Palatino Linotype" w:hAnsi="Palatino Linotype" w:cs="Palatino Linotype"/>
          <w:b/>
        </w:rPr>
      </w:pPr>
    </w:p>
    <w:p w:rsidR="00F77DFE" w:rsidRPr="006B1104" w:rsidRDefault="00EC6F3F">
      <w:pPr>
        <w:keepNext/>
        <w:keepLines/>
        <w:spacing w:line="360" w:lineRule="auto"/>
        <w:ind w:right="1"/>
        <w:rPr>
          <w:rFonts w:ascii="Palatino Linotype" w:eastAsia="Palatino Linotype" w:hAnsi="Palatino Linotype" w:cs="Palatino Linotype"/>
          <w:b/>
        </w:rPr>
      </w:pPr>
      <w:bookmarkStart w:id="3" w:name="_heading=h.3znysh7" w:colFirst="0" w:colLast="0"/>
      <w:bookmarkEnd w:id="3"/>
      <w:r w:rsidRPr="006B1104">
        <w:rPr>
          <w:rFonts w:ascii="Palatino Linotype" w:eastAsia="Palatino Linotype" w:hAnsi="Palatino Linotype" w:cs="Palatino Linotype"/>
          <w:b/>
        </w:rPr>
        <w:t>PRIMERO. De la competencia.</w:t>
      </w:r>
    </w:p>
    <w:p w:rsidR="00F77DFE" w:rsidRPr="006B1104" w:rsidRDefault="00EC6F3F">
      <w:pPr>
        <w:numPr>
          <w:ilvl w:val="0"/>
          <w:numId w:val="5"/>
        </w:numPr>
        <w:spacing w:line="360" w:lineRule="auto"/>
        <w:ind w:left="0" w:right="1" w:firstLine="0"/>
        <w:jc w:val="both"/>
        <w:rPr>
          <w:rFonts w:ascii="Palatino Linotype" w:eastAsia="Palatino Linotype" w:hAnsi="Palatino Linotype" w:cs="Palatino Linotype"/>
          <w:b/>
        </w:rPr>
      </w:pPr>
      <w:bookmarkStart w:id="4" w:name="_heading=h.2et92p0" w:colFirst="0" w:colLast="0"/>
      <w:bookmarkEnd w:id="4"/>
      <w:r w:rsidRPr="006B1104">
        <w:rPr>
          <w:rFonts w:ascii="Palatino Linotype" w:eastAsia="Palatino Linotype" w:hAnsi="Palatino Linotype" w:cs="Palatino Linotype"/>
        </w:rPr>
        <w:t xml:space="preserve">Este </w:t>
      </w:r>
      <w:r w:rsidRPr="006B1104">
        <w:rPr>
          <w:rFonts w:ascii="Palatino Linotype" w:eastAsia="Palatino Linotype" w:hAnsi="Palatino Linotype" w:cs="Palatino Linotype"/>
          <w:color w:val="222222"/>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w:t>
      </w:r>
      <w:r w:rsidRPr="006B1104">
        <w:rPr>
          <w:rFonts w:ascii="Palatino Linotype" w:eastAsia="Palatino Linotype" w:hAnsi="Palatino Linotype" w:cs="Palatino Linotype"/>
          <w:color w:val="222222"/>
        </w:rPr>
        <w:lastRenderedPageBreak/>
        <w:t>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F77DFE" w:rsidRPr="006B1104" w:rsidRDefault="00F77DFE">
      <w:pPr>
        <w:spacing w:line="360" w:lineRule="auto"/>
        <w:ind w:right="1"/>
        <w:jc w:val="both"/>
        <w:rPr>
          <w:rFonts w:ascii="Palatino Linotype" w:eastAsia="Palatino Linotype" w:hAnsi="Palatino Linotype" w:cs="Palatino Linotype"/>
          <w:b/>
        </w:rPr>
      </w:pPr>
    </w:p>
    <w:p w:rsidR="00F77DFE" w:rsidRPr="006B1104" w:rsidRDefault="00EC6F3F">
      <w:pPr>
        <w:keepNext/>
        <w:keepLines/>
        <w:spacing w:line="360" w:lineRule="auto"/>
        <w:ind w:right="1"/>
        <w:jc w:val="both"/>
        <w:rPr>
          <w:rFonts w:ascii="Palatino Linotype" w:eastAsia="Palatino Linotype" w:hAnsi="Palatino Linotype" w:cs="Palatino Linotype"/>
          <w:b/>
        </w:rPr>
      </w:pPr>
      <w:r w:rsidRPr="006B1104">
        <w:rPr>
          <w:rFonts w:ascii="Palatino Linotype" w:eastAsia="Palatino Linotype" w:hAnsi="Palatino Linotype" w:cs="Palatino Linotype"/>
          <w:b/>
        </w:rPr>
        <w:t>SEGUNDO. De la oportunidad y procedencia.</w:t>
      </w:r>
    </w:p>
    <w:p w:rsidR="00F77DFE" w:rsidRPr="006B1104" w:rsidRDefault="00EC6F3F">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El medio de impugnación fue presentado a través del </w:t>
      </w:r>
      <w:r w:rsidRPr="006B1104">
        <w:rPr>
          <w:rFonts w:ascii="Palatino Linotype" w:eastAsia="Palatino Linotype" w:hAnsi="Palatino Linotype" w:cs="Palatino Linotype"/>
          <w:b/>
          <w:color w:val="000000"/>
        </w:rPr>
        <w:t>SAIMEX,</w:t>
      </w:r>
      <w:r w:rsidRPr="006B1104">
        <w:rPr>
          <w:rFonts w:ascii="Palatino Linotype" w:eastAsia="Palatino Linotype" w:hAnsi="Palatino Linotype" w:cs="Palatino Linotype"/>
          <w:color w:val="000000"/>
        </w:rPr>
        <w:t xml:space="preserve"> en el formato previamente aprobado para tal efecto y dentro del plazo legalmente establecido; para el caso en particular es de señalar que el </w:t>
      </w:r>
      <w:r w:rsidRPr="006B1104">
        <w:rPr>
          <w:rFonts w:ascii="Palatino Linotype" w:eastAsia="Palatino Linotype" w:hAnsi="Palatino Linotype" w:cs="Palatino Linotype"/>
          <w:b/>
          <w:color w:val="000000"/>
        </w:rPr>
        <w:t>SUJETO OBLIGADO</w:t>
      </w:r>
      <w:r w:rsidRPr="006B1104">
        <w:rPr>
          <w:rFonts w:ascii="Palatino Linotype" w:eastAsia="Palatino Linotype" w:hAnsi="Palatino Linotype" w:cs="Palatino Linotype"/>
          <w:color w:val="000000"/>
        </w:rPr>
        <w:t xml:space="preserve"> entregó su respuesta el quince de octubre de dos mil veinticuatro, de tal forma que el plazo para interponer el recurso de revisión transcurrió del dieciséis de octubre de dos mil veinticuatro al seis de noviembre de dos mil veinticuatro; presentando su inconformidad el día veintiuno de octubre de dos mil veinticuatro, por lo que se estima que la inconformidad se presentó dentro del plazo establecido para tal efecto.</w:t>
      </w:r>
    </w:p>
    <w:p w:rsidR="00F77DFE" w:rsidRPr="006B1104" w:rsidRDefault="00F77DF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Previo al estudio del fondo del asunto, se procede a analizar los requisitos de oportunidad y </w:t>
      </w:r>
      <w:proofErr w:type="spellStart"/>
      <w:r w:rsidRPr="006B1104">
        <w:rPr>
          <w:rFonts w:ascii="Palatino Linotype" w:eastAsia="Palatino Linotype" w:hAnsi="Palatino Linotype" w:cs="Palatino Linotype"/>
          <w:color w:val="000000"/>
        </w:rPr>
        <w:t>procedibilidad</w:t>
      </w:r>
      <w:proofErr w:type="spellEnd"/>
      <w:r w:rsidRPr="006B1104">
        <w:rPr>
          <w:rFonts w:ascii="Palatino Linotype" w:eastAsia="Palatino Linotype" w:hAnsi="Palatino Linotype" w:cs="Palatino Linotype"/>
          <w:color w:val="000000"/>
        </w:rPr>
        <w:t xml:space="preserve"> que deben reunir los recursos de revisión interpuestos, previsto en el artículo 178 y 180 de la Ley de Transparencia y Acceso a la Información Pública del Estado de México y Municipios.</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color w:val="000000"/>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B1104">
        <w:rPr>
          <w:rFonts w:ascii="Palatino Linotype" w:eastAsia="Palatino Linotype" w:hAnsi="Palatino Linotype" w:cs="Palatino Linotype"/>
          <w:b/>
          <w:color w:val="000000"/>
        </w:rPr>
        <w:t xml:space="preserve">EL SAIMEX.  </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spacing w:after="240" w:line="360" w:lineRule="auto"/>
        <w:jc w:val="both"/>
        <w:rPr>
          <w:rFonts w:ascii="Palatino Linotype" w:eastAsia="Palatino Linotype" w:hAnsi="Palatino Linotype" w:cs="Palatino Linotype"/>
          <w:b/>
          <w:i/>
          <w:color w:val="000000"/>
        </w:rPr>
      </w:pPr>
      <w:r w:rsidRPr="006B1104">
        <w:rPr>
          <w:rFonts w:ascii="Palatino Linotype" w:eastAsia="Palatino Linotype" w:hAnsi="Palatino Linotype" w:cs="Palatino Linotype"/>
          <w:b/>
          <w:color w:val="000000"/>
        </w:rPr>
        <w:t xml:space="preserve">TERCERO. Del planteamiento de la </w:t>
      </w:r>
      <w:r w:rsidRPr="006B1104">
        <w:rPr>
          <w:rFonts w:ascii="Palatino Linotype" w:eastAsia="Palatino Linotype" w:hAnsi="Palatino Linotype" w:cs="Palatino Linotype"/>
          <w:b/>
          <w:i/>
          <w:color w:val="000000"/>
        </w:rPr>
        <w:t>Litis.</w:t>
      </w:r>
    </w:p>
    <w:p w:rsidR="00F77DFE" w:rsidRPr="006B1104" w:rsidRDefault="00EC6F3F">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Se solicitó todos los recibos de nómina del ejercicio fiscal 2024 de todos los Titulares de Área, Titular de la Unidad, Subdirectores, Directores, Secretario Técnico, Secretario Particular y Director General.</w:t>
      </w:r>
    </w:p>
    <w:p w:rsidR="00F77DFE" w:rsidRPr="006B1104" w:rsidRDefault="00F77D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En respuesta el </w:t>
      </w:r>
      <w:r w:rsidRPr="006B1104">
        <w:rPr>
          <w:rFonts w:ascii="Palatino Linotype" w:eastAsia="Palatino Linotype" w:hAnsi="Palatino Linotype" w:cs="Palatino Linotype"/>
          <w:b/>
          <w:color w:val="000000"/>
        </w:rPr>
        <w:t>SUJETO OBLIGADO</w:t>
      </w:r>
      <w:r w:rsidRPr="006B1104">
        <w:rPr>
          <w:rFonts w:ascii="Palatino Linotype" w:eastAsia="Palatino Linotype" w:hAnsi="Palatino Linotype" w:cs="Palatino Linotype"/>
          <w:color w:val="000000"/>
        </w:rPr>
        <w:t xml:space="preserve"> entregó el Acta de Comité de Transparencia, mediante la cual se aprueba la clasificación de la información confidencial, así como los recibos de nómina solicitados.</w:t>
      </w:r>
    </w:p>
    <w:p w:rsidR="00F77DFE" w:rsidRPr="006B1104" w:rsidRDefault="00F77DFE">
      <w:pPr>
        <w:pBdr>
          <w:top w:val="nil"/>
          <w:left w:val="nil"/>
          <w:bottom w:val="nil"/>
          <w:right w:val="nil"/>
          <w:between w:val="nil"/>
        </w:pBdr>
        <w:ind w:left="720"/>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En dichas condiciones, la </w:t>
      </w:r>
      <w:r w:rsidRPr="006B1104">
        <w:rPr>
          <w:rFonts w:ascii="Palatino Linotype" w:eastAsia="Palatino Linotype" w:hAnsi="Palatino Linotype" w:cs="Palatino Linotype"/>
          <w:i/>
          <w:color w:val="000000"/>
        </w:rPr>
        <w:t xml:space="preserve">Litis </w:t>
      </w:r>
      <w:r w:rsidRPr="006B1104">
        <w:rPr>
          <w:rFonts w:ascii="Palatino Linotype" w:eastAsia="Palatino Linotype" w:hAnsi="Palatino Linotype" w:cs="Palatino Linotype"/>
          <w:color w:val="000000"/>
        </w:rPr>
        <w:t xml:space="preserve">a resolver en este recurso se circunscribe a determinar si se actualiza la causal de procedencia prevista en el artículo 179 fracción II de la Ley de Transparencia y Acceso a la Información Pública del Estado de México y Municipios; fracción que determina la hipótesis jurídica relativa a la clasificación de la información por parte del </w:t>
      </w:r>
      <w:r w:rsidRPr="006B1104">
        <w:rPr>
          <w:rFonts w:ascii="Palatino Linotype" w:eastAsia="Palatino Linotype" w:hAnsi="Palatino Linotype" w:cs="Palatino Linotype"/>
          <w:b/>
          <w:color w:val="000000"/>
        </w:rPr>
        <w:t xml:space="preserve">SUJETO OBLIGADO; </w:t>
      </w:r>
      <w:r w:rsidRPr="006B1104">
        <w:rPr>
          <w:rFonts w:ascii="Palatino Linotype" w:eastAsia="Palatino Linotype" w:hAnsi="Palatino Linotype" w:cs="Palatino Linotype"/>
          <w:color w:val="000000"/>
        </w:rPr>
        <w:t xml:space="preserve">contexto del cual se dolió el </w:t>
      </w:r>
      <w:r w:rsidRPr="006B1104">
        <w:rPr>
          <w:rFonts w:ascii="Palatino Linotype" w:eastAsia="Palatino Linotype" w:hAnsi="Palatino Linotype" w:cs="Palatino Linotype"/>
          <w:b/>
          <w:color w:val="000000"/>
        </w:rPr>
        <w:t>RECURRENTE</w:t>
      </w:r>
      <w:r w:rsidRPr="006B1104">
        <w:rPr>
          <w:rFonts w:ascii="Palatino Linotype" w:eastAsia="Palatino Linotype" w:hAnsi="Palatino Linotype" w:cs="Palatino Linotype"/>
          <w:color w:val="000000"/>
        </w:rPr>
        <w:t xml:space="preserve"> al momento de interponer su inconformidad. De modo tal que el presente recurso de revisión se abocará en determinar si el </w:t>
      </w:r>
      <w:r w:rsidRPr="006B1104">
        <w:rPr>
          <w:rFonts w:ascii="Palatino Linotype" w:eastAsia="Palatino Linotype" w:hAnsi="Palatino Linotype" w:cs="Palatino Linotype"/>
          <w:b/>
          <w:color w:val="000000"/>
        </w:rPr>
        <w:t>SUJETO OBLIGADO</w:t>
      </w:r>
      <w:r w:rsidRPr="006B1104">
        <w:rPr>
          <w:rFonts w:ascii="Palatino Linotype" w:eastAsia="Palatino Linotype" w:hAnsi="Palatino Linotype" w:cs="Palatino Linotype"/>
          <w:color w:val="000000"/>
        </w:rPr>
        <w:t xml:space="preserve"> con su respuesta ciertamente actualiza la causal de procedencia antes señalada.</w:t>
      </w:r>
    </w:p>
    <w:p w:rsidR="00F77DFE" w:rsidRPr="006B1104" w:rsidRDefault="00F77DFE">
      <w:pPr>
        <w:pBdr>
          <w:top w:val="nil"/>
          <w:left w:val="nil"/>
          <w:bottom w:val="nil"/>
          <w:right w:val="nil"/>
          <w:between w:val="nil"/>
        </w:pBdr>
        <w:ind w:left="720"/>
        <w:rPr>
          <w:rFonts w:ascii="Palatino Linotype" w:eastAsia="Palatino Linotype" w:hAnsi="Palatino Linotype" w:cs="Palatino Linotype"/>
          <w:color w:val="000000"/>
        </w:rPr>
      </w:pPr>
    </w:p>
    <w:p w:rsidR="00F77DFE" w:rsidRPr="006B1104" w:rsidRDefault="00EC6F3F">
      <w:pPr>
        <w:pStyle w:val="Ttulo2"/>
        <w:spacing w:before="0" w:line="360" w:lineRule="auto"/>
        <w:rPr>
          <w:rFonts w:ascii="Palatino Linotype" w:eastAsia="Palatino Linotype" w:hAnsi="Palatino Linotype" w:cs="Palatino Linotype"/>
          <w:b/>
          <w:color w:val="000000"/>
          <w:sz w:val="24"/>
          <w:szCs w:val="24"/>
        </w:rPr>
      </w:pPr>
      <w:bookmarkStart w:id="5" w:name="_heading=h.4d34og8" w:colFirst="0" w:colLast="0"/>
      <w:bookmarkEnd w:id="5"/>
      <w:r w:rsidRPr="006B1104">
        <w:rPr>
          <w:rFonts w:ascii="Palatino Linotype" w:eastAsia="Palatino Linotype" w:hAnsi="Palatino Linotype" w:cs="Palatino Linotype"/>
          <w:b/>
          <w:color w:val="000000"/>
          <w:sz w:val="24"/>
          <w:szCs w:val="24"/>
        </w:rPr>
        <w:t>CUARTO. Del estudio y resolución del asunto.</w:t>
      </w:r>
    </w:p>
    <w:p w:rsidR="00F77DFE" w:rsidRPr="006B1104" w:rsidRDefault="00F77DFE">
      <w:pPr>
        <w:spacing w:line="276" w:lineRule="auto"/>
        <w:rPr>
          <w:rFonts w:ascii="Palatino Linotype" w:eastAsia="Palatino Linotype" w:hAnsi="Palatino Linotype" w:cs="Palatino Linotype"/>
        </w:rPr>
      </w:pPr>
    </w:p>
    <w:p w:rsidR="00F77DFE" w:rsidRPr="006B1104" w:rsidRDefault="00EC6F3F">
      <w:pPr>
        <w:pStyle w:val="Ttulo1"/>
        <w:numPr>
          <w:ilvl w:val="0"/>
          <w:numId w:val="3"/>
        </w:numPr>
        <w:spacing w:before="0" w:after="240"/>
        <w:ind w:left="786" w:hanging="360"/>
        <w:rPr>
          <w:rFonts w:ascii="Palatino Linotype" w:eastAsia="Palatino Linotype" w:hAnsi="Palatino Linotype" w:cs="Palatino Linotype"/>
          <w:b/>
          <w:color w:val="000000"/>
          <w:sz w:val="24"/>
          <w:szCs w:val="24"/>
        </w:rPr>
      </w:pPr>
      <w:bookmarkStart w:id="6" w:name="_heading=h.2s8eyo1" w:colFirst="0" w:colLast="0"/>
      <w:bookmarkEnd w:id="6"/>
      <w:r w:rsidRPr="006B1104">
        <w:rPr>
          <w:rFonts w:ascii="Palatino Linotype" w:eastAsia="Palatino Linotype" w:hAnsi="Palatino Linotype" w:cs="Palatino Linotype"/>
          <w:b/>
          <w:color w:val="000000"/>
          <w:sz w:val="24"/>
          <w:szCs w:val="24"/>
        </w:rPr>
        <w:t>Del derecho de acceso a la información.</w:t>
      </w:r>
    </w:p>
    <w:p w:rsidR="00F77DFE" w:rsidRPr="006B1104" w:rsidRDefault="00EC6F3F">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F77DFE" w:rsidRPr="006B1104" w:rsidRDefault="00F77D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Definiendo el Derecho de Acceso a la Información Pública como: </w:t>
      </w:r>
      <w:r w:rsidRPr="006B1104">
        <w:rPr>
          <w:rFonts w:ascii="Palatino Linotype" w:eastAsia="Palatino Linotype" w:hAnsi="Palatino Linotype" w:cs="Palatino Linotype"/>
          <w:i/>
          <w:color w:val="000000"/>
        </w:rPr>
        <w:t>La igualdad de oportunidades para recibir, buscar e impartir información</w:t>
      </w:r>
      <w:r w:rsidRPr="006B1104">
        <w:rPr>
          <w:rFonts w:ascii="Palatino Linotype" w:eastAsia="Palatino Linotype" w:hAnsi="Palatino Linotype" w:cs="Palatino Linotype"/>
          <w:i/>
          <w:vertAlign w:val="superscript"/>
        </w:rPr>
        <w:footnoteReference w:id="1"/>
      </w:r>
      <w:r w:rsidRPr="006B1104">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B1104">
        <w:rPr>
          <w:rFonts w:ascii="Palatino Linotype" w:eastAsia="Palatino Linotype" w:hAnsi="Palatino Linotype" w:cs="Palatino Linotype"/>
          <w:i/>
          <w:vertAlign w:val="superscript"/>
        </w:rPr>
        <w:footnoteReference w:id="2"/>
      </w:r>
      <w:r w:rsidRPr="006B1104">
        <w:rPr>
          <w:rFonts w:ascii="Palatino Linotype" w:eastAsia="Palatino Linotype" w:hAnsi="Palatino Linotype" w:cs="Palatino Linotype"/>
          <w:color w:val="000000"/>
        </w:rPr>
        <w:t>que se constituye como una herramienta fundamental para ejercer</w:t>
      </w:r>
      <w:r w:rsidRPr="006B1104">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6B1104">
        <w:rPr>
          <w:rFonts w:ascii="Palatino Linotype" w:eastAsia="Palatino Linotype" w:hAnsi="Palatino Linotype" w:cs="Palatino Linotype"/>
          <w:i/>
          <w:vertAlign w:val="superscript"/>
        </w:rPr>
        <w:footnoteReference w:id="3"/>
      </w:r>
      <w:r w:rsidRPr="006B1104">
        <w:rPr>
          <w:rFonts w:ascii="Palatino Linotype" w:eastAsia="Palatino Linotype" w:hAnsi="Palatino Linotype" w:cs="Palatino Linotype"/>
          <w:color w:val="000000"/>
        </w:rPr>
        <w:t>fomentando</w:t>
      </w:r>
      <w:r w:rsidRPr="006B1104">
        <w:rPr>
          <w:rFonts w:ascii="Palatino Linotype" w:eastAsia="Palatino Linotype" w:hAnsi="Palatino Linotype" w:cs="Palatino Linotype"/>
          <w:i/>
          <w:color w:val="000000"/>
        </w:rPr>
        <w:t xml:space="preserve"> la transparencia de las actividades estatales y </w:t>
      </w:r>
      <w:r w:rsidRPr="006B1104">
        <w:rPr>
          <w:rFonts w:ascii="Palatino Linotype" w:eastAsia="Palatino Linotype" w:hAnsi="Palatino Linotype" w:cs="Palatino Linotype"/>
          <w:color w:val="000000"/>
        </w:rPr>
        <w:t>promoviendo</w:t>
      </w:r>
      <w:r w:rsidRPr="006B1104">
        <w:rPr>
          <w:rFonts w:ascii="Palatino Linotype" w:eastAsia="Palatino Linotype" w:hAnsi="Palatino Linotype" w:cs="Palatino Linotype"/>
          <w:i/>
          <w:color w:val="000000"/>
        </w:rPr>
        <w:t xml:space="preserve"> la responsabilidad de los funcionarios sobre su gestión pública,</w:t>
      </w:r>
      <w:r w:rsidRPr="006B1104">
        <w:rPr>
          <w:rFonts w:ascii="Palatino Linotype" w:eastAsia="Palatino Linotype" w:hAnsi="Palatino Linotype" w:cs="Palatino Linotype"/>
          <w:i/>
          <w:vertAlign w:val="superscript"/>
        </w:rPr>
        <w:footnoteReference w:id="4"/>
      </w:r>
      <w:r w:rsidRPr="006B1104">
        <w:rPr>
          <w:rFonts w:ascii="Palatino Linotype" w:eastAsia="Palatino Linotype" w:hAnsi="Palatino Linotype" w:cs="Palatino Linotype"/>
          <w:color w:val="000000"/>
        </w:rPr>
        <w:t>que permite</w:t>
      </w:r>
      <w:r w:rsidRPr="006B1104">
        <w:rPr>
          <w:rFonts w:ascii="Palatino Linotype" w:eastAsia="Palatino Linotype" w:hAnsi="Palatino Linotype" w:cs="Palatino Linotype"/>
          <w:i/>
          <w:color w:val="000000"/>
        </w:rPr>
        <w:t xml:space="preserve"> saber qué están </w:t>
      </w:r>
      <w:r w:rsidRPr="006B1104">
        <w:rPr>
          <w:rFonts w:ascii="Palatino Linotype" w:eastAsia="Palatino Linotype" w:hAnsi="Palatino Linotype" w:cs="Palatino Linotype"/>
          <w:i/>
          <w:color w:val="000000"/>
        </w:rPr>
        <w:lastRenderedPageBreak/>
        <w:t>haciendo los gobiernos por sus pueblos, sin lo cual la verdad languidecería y la participación en el gobierno permanecería fragmentada.</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En México, además de los derechos, están reconocidas las garantías para su protección, en el párrafo tercero de artículo primero de la Constitución Política de los Estados Unidos Mexicanos, por lo que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Así, conforme a la Constitución Política de las Estado Unidos Mexicanos, en su artículo 6, apartado A, fracción I; y la Constitución Política del Estado Libre y Soberano de México, en su artículo 5 respectivamente, determinan el cumplimiento de las garantías primarias, entendidas como obligaciones inmediatamente relacionadas con el Derecho de Acceso a la Información Pública, permiten que todas las autoridades, en el ámbito de sus atribuciones lo respeten, protejan y garanticen.</w:t>
      </w:r>
    </w:p>
    <w:p w:rsidR="00F77DFE" w:rsidRPr="006B1104" w:rsidRDefault="00F77DFE">
      <w:pPr>
        <w:tabs>
          <w:tab w:val="left" w:pos="567"/>
        </w:tabs>
        <w:spacing w:line="360" w:lineRule="auto"/>
        <w:ind w:right="567"/>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6B1104">
        <w:rPr>
          <w:rFonts w:ascii="Palatino Linotype" w:eastAsia="Palatino Linotype" w:hAnsi="Palatino Linotype" w:cs="Palatino Linotype"/>
          <w:i/>
        </w:rPr>
        <w:t>por los principios de simplicidad, rapidez gratuidad del procedimiento, auxilio y orientación a los particulares</w:t>
      </w:r>
      <w:r w:rsidRPr="006B1104">
        <w:rPr>
          <w:rFonts w:ascii="Palatino Linotype" w:eastAsia="Palatino Linotype" w:hAnsi="Palatino Linotype" w:cs="Palatino Linotype"/>
        </w:rPr>
        <w:t>, contemplando el derecho de las personas con discapacidad y hablantes de lengua indígena.</w:t>
      </w:r>
    </w:p>
    <w:p w:rsidR="00F77DFE" w:rsidRPr="006B1104" w:rsidRDefault="00F77DFE">
      <w:pPr>
        <w:spacing w:line="360" w:lineRule="auto"/>
        <w:ind w:right="49"/>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El Derecho de Acceso a la Información se garantiza y respeta oportunamente, y según lo que dispone la Ley, las </w:t>
      </w:r>
      <w:r w:rsidRPr="006B1104">
        <w:rPr>
          <w:rFonts w:ascii="Palatino Linotype" w:eastAsia="Palatino Linotype" w:hAnsi="Palatino Linotype" w:cs="Palatino Linotype"/>
          <w:i/>
        </w:rPr>
        <w:t>solicitudes de acceso a la información</w:t>
      </w:r>
      <w:r w:rsidRPr="006B1104">
        <w:rPr>
          <w:rFonts w:ascii="Palatino Linotype" w:eastAsia="Palatino Linotype" w:hAnsi="Palatino Linotype" w:cs="Palatino Linotype"/>
        </w:rPr>
        <w:t>.</w:t>
      </w:r>
    </w:p>
    <w:p w:rsidR="00F77DFE" w:rsidRPr="006B1104" w:rsidRDefault="00F77DFE">
      <w:pPr>
        <w:spacing w:line="360" w:lineRule="auto"/>
        <w:ind w:right="49"/>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bookmarkStart w:id="7" w:name="_heading=h.17dp8vu" w:colFirst="0" w:colLast="0"/>
      <w:bookmarkEnd w:id="7"/>
      <w:r w:rsidRPr="006B1104">
        <w:rPr>
          <w:rFonts w:ascii="Palatino Linotype" w:eastAsia="Palatino Linotype" w:hAnsi="Palatino Linotype" w:cs="Palatino Linotype"/>
        </w:rPr>
        <w:t xml:space="preserve">Así entonces, se procede analizar, en primer lugar, si el </w:t>
      </w:r>
      <w:r w:rsidRPr="006B1104">
        <w:rPr>
          <w:rFonts w:ascii="Palatino Linotype" w:eastAsia="Palatino Linotype" w:hAnsi="Palatino Linotype" w:cs="Palatino Linotype"/>
          <w:b/>
        </w:rPr>
        <w:t>SUJETO OBLIGADO</w:t>
      </w:r>
      <w:r w:rsidRPr="006B1104">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F77DFE" w:rsidRPr="006B1104" w:rsidRDefault="00F77DFE">
      <w:pPr>
        <w:spacing w:line="360" w:lineRule="auto"/>
        <w:ind w:right="49"/>
        <w:jc w:val="both"/>
        <w:rPr>
          <w:rFonts w:ascii="Palatino Linotype" w:eastAsia="Palatino Linotype" w:hAnsi="Palatino Linotype" w:cs="Palatino Linotype"/>
        </w:rPr>
      </w:pPr>
    </w:p>
    <w:p w:rsidR="00F77DFE" w:rsidRPr="006B1104" w:rsidRDefault="00EC6F3F">
      <w:pPr>
        <w:pStyle w:val="Ttulo1"/>
        <w:spacing w:before="0" w:line="360" w:lineRule="auto"/>
        <w:rPr>
          <w:rFonts w:ascii="Palatino Linotype" w:eastAsia="Palatino Linotype" w:hAnsi="Palatino Linotype" w:cs="Palatino Linotype"/>
          <w:b/>
          <w:color w:val="000000"/>
          <w:sz w:val="24"/>
          <w:szCs w:val="24"/>
        </w:rPr>
      </w:pPr>
      <w:r w:rsidRPr="006B1104">
        <w:rPr>
          <w:rFonts w:ascii="Palatino Linotype" w:eastAsia="Palatino Linotype" w:hAnsi="Palatino Linotype" w:cs="Palatino Linotype"/>
          <w:b/>
          <w:color w:val="000000"/>
          <w:sz w:val="24"/>
          <w:szCs w:val="24"/>
        </w:rPr>
        <w:t>II. De la información solicitada y la respuesta del SUJETO OBLIGADO</w:t>
      </w: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color w:val="000000"/>
        </w:rPr>
        <w:t xml:space="preserve">Acotada la </w:t>
      </w:r>
      <w:r w:rsidRPr="006B1104">
        <w:rPr>
          <w:rFonts w:ascii="Palatino Linotype" w:eastAsia="Palatino Linotype" w:hAnsi="Palatino Linotype" w:cs="Palatino Linotype"/>
          <w:i/>
          <w:color w:val="000000"/>
        </w:rPr>
        <w:t>Litis</w:t>
      </w:r>
      <w:r w:rsidRPr="006B1104">
        <w:rPr>
          <w:rFonts w:ascii="Palatino Linotype" w:eastAsia="Palatino Linotype" w:hAnsi="Palatino Linotype" w:cs="Palatino Linotype"/>
          <w:color w:val="000000"/>
        </w:rPr>
        <w:t xml:space="preserve"> del presente asunto, primeramente es menester precisar que del escrito de inconformidad, se observa que el particular se duele la declaración de la clasificación de la información, argumenta que la Suplente del Director de Administración y Finanzas no cuenta con legitimidad para firmar un acta del Comité de Transparencia, ya que la figura de Secretaria Particular no forma parte del Organigrama del Organismo de Agua y Saneamiento de Toluca. </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En ese sentido,  se determina</w:t>
      </w:r>
      <w:r w:rsidR="005E3AD8" w:rsidRPr="006B1104">
        <w:rPr>
          <w:rFonts w:ascii="Palatino Linotype" w:eastAsia="Palatino Linotype" w:hAnsi="Palatino Linotype" w:cs="Palatino Linotype"/>
        </w:rPr>
        <w:t xml:space="preserve"> que la información que solicitó</w:t>
      </w:r>
      <w:r w:rsidRPr="006B1104">
        <w:rPr>
          <w:rFonts w:ascii="Palatino Linotype" w:eastAsia="Palatino Linotype" w:hAnsi="Palatino Linotype" w:cs="Palatino Linotype"/>
        </w:rPr>
        <w:t xml:space="preserve"> el </w:t>
      </w:r>
      <w:r w:rsidRPr="006B1104">
        <w:rPr>
          <w:rFonts w:ascii="Palatino Linotype" w:eastAsia="Palatino Linotype" w:hAnsi="Palatino Linotype" w:cs="Palatino Linotype"/>
          <w:b/>
        </w:rPr>
        <w:t xml:space="preserve">RECURRENTE </w:t>
      </w:r>
      <w:r w:rsidRPr="006B1104">
        <w:rPr>
          <w:rFonts w:ascii="Palatino Linotype" w:eastAsia="Palatino Linotype" w:hAnsi="Palatino Linotype" w:cs="Palatino Linotype"/>
        </w:rPr>
        <w:t xml:space="preserve">consistió en los recibos de nómina de los Titulares del Área, Titular de la Unidad, Subdirectores, Directores, Secretario Técnico, Secretario Particular y Director General. </w:t>
      </w:r>
    </w:p>
    <w:p w:rsidR="00F77DFE" w:rsidRPr="006B1104" w:rsidRDefault="00F77DF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6B1104">
        <w:rPr>
          <w:rFonts w:ascii="Palatino Linotype" w:eastAsia="Palatino Linotype" w:hAnsi="Palatino Linotype" w:cs="Palatino Linotype"/>
          <w:color w:val="000000"/>
        </w:rPr>
        <w:lastRenderedPageBreak/>
        <w:t xml:space="preserve">Respecto al motivo de inconformidad, resulta importante señalar lo establecido </w:t>
      </w:r>
      <w:r w:rsidR="007B12AA" w:rsidRPr="006B1104">
        <w:rPr>
          <w:rFonts w:ascii="Palatino Linotype" w:eastAsia="Palatino Linotype" w:hAnsi="Palatino Linotype" w:cs="Palatino Linotype"/>
          <w:color w:val="000000"/>
        </w:rPr>
        <w:t xml:space="preserve">en el Criterio 04/17 de las Resoluciones del Comité de Transparencia del </w:t>
      </w:r>
      <w:r w:rsidRPr="006B1104">
        <w:rPr>
          <w:rFonts w:ascii="Palatino Linotype" w:eastAsia="Palatino Linotype" w:hAnsi="Palatino Linotype" w:cs="Palatino Linotype"/>
          <w:color w:val="000000"/>
        </w:rPr>
        <w:t xml:space="preserve">Instituto Nacional de Transparencia, Acceso a la Información y Protección de Datos Personales que establece: </w:t>
      </w:r>
    </w:p>
    <w:p w:rsidR="00F77DFE" w:rsidRPr="006B1104" w:rsidRDefault="00F77D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B12AA" w:rsidRPr="006B1104" w:rsidRDefault="007B12AA" w:rsidP="009B3A64">
      <w:pPr>
        <w:pBdr>
          <w:top w:val="nil"/>
          <w:left w:val="nil"/>
          <w:bottom w:val="nil"/>
          <w:right w:val="nil"/>
          <w:between w:val="nil"/>
        </w:pBdr>
        <w:spacing w:line="360" w:lineRule="auto"/>
        <w:ind w:left="709" w:right="454"/>
        <w:jc w:val="both"/>
        <w:rPr>
          <w:rFonts w:ascii="Palatino Linotype" w:eastAsia="Palatino Linotype" w:hAnsi="Palatino Linotype" w:cs="Palatino Linotype"/>
          <w:b/>
          <w:i/>
          <w:color w:val="000000"/>
          <w:sz w:val="22"/>
          <w:szCs w:val="22"/>
          <w:u w:val="single"/>
        </w:rPr>
      </w:pPr>
      <w:r w:rsidRPr="006B1104">
        <w:rPr>
          <w:rFonts w:ascii="Palatino Linotype" w:eastAsia="Palatino Linotype" w:hAnsi="Palatino Linotype" w:cs="Palatino Linotype"/>
          <w:b/>
          <w:i/>
          <w:color w:val="000000"/>
          <w:sz w:val="22"/>
          <w:szCs w:val="22"/>
        </w:rPr>
        <w:t>Resoluciones del Comité de Transparencia, gozan de validez siempre que contengan la firma de quien los emite</w:t>
      </w:r>
      <w:r w:rsidRPr="006B1104">
        <w:rPr>
          <w:rFonts w:ascii="Palatino Linotype" w:eastAsia="Palatino Linotype" w:hAnsi="Palatino Linotype" w:cs="Palatino Linotype"/>
          <w:i/>
          <w:color w:val="000000"/>
          <w:sz w:val="22"/>
          <w:szCs w:val="22"/>
        </w:rPr>
        <w:t xml:space="preserve">. En términos de lo dispuesto en la fracción IV del artículo 3 de la Ley Federal de Procedimiento Administrativo, supletoria de la Ley Federal de Transparencia y Acceso a la Información Pública, uno de los elementos de validez del acto administrativo es la firma autógrafa de la autoridad que lo expida; en consecuencia, las resoluciones del Comité de Transparencia del sujeto obligado, </w:t>
      </w:r>
      <w:r w:rsidRPr="006B1104">
        <w:rPr>
          <w:rFonts w:ascii="Palatino Linotype" w:eastAsia="Palatino Linotype" w:hAnsi="Palatino Linotype" w:cs="Palatino Linotype"/>
          <w:b/>
          <w:i/>
          <w:color w:val="000000"/>
          <w:sz w:val="22"/>
          <w:szCs w:val="22"/>
          <w:u w:val="single"/>
        </w:rPr>
        <w:t xml:space="preserve">deberán contener la firma autógrafa de los integrantes que la emitan, ya que dicho signo gráfico otorga validez a la resolución decretada y, al mismo tiempo, constituye la forma en que el particular tiene la certeza de que fue emitida por la autoridad respectiva y su contenido representa la voluntad manifestada por ésta. </w:t>
      </w:r>
    </w:p>
    <w:p w:rsidR="007B12AA" w:rsidRPr="006B1104" w:rsidRDefault="007B12AA" w:rsidP="009B3A64">
      <w:pPr>
        <w:pBdr>
          <w:top w:val="nil"/>
          <w:left w:val="nil"/>
          <w:bottom w:val="nil"/>
          <w:right w:val="nil"/>
          <w:between w:val="nil"/>
        </w:pBdr>
        <w:spacing w:line="360" w:lineRule="auto"/>
        <w:ind w:left="709" w:right="454"/>
        <w:jc w:val="both"/>
        <w:rPr>
          <w:rFonts w:ascii="Palatino Linotype" w:eastAsia="Palatino Linotype" w:hAnsi="Palatino Linotype" w:cs="Palatino Linotype"/>
          <w:i/>
          <w:color w:val="000000"/>
          <w:sz w:val="22"/>
          <w:szCs w:val="22"/>
        </w:rPr>
      </w:pPr>
    </w:p>
    <w:p w:rsidR="007B12AA" w:rsidRPr="006B1104" w:rsidRDefault="007B12AA" w:rsidP="009B3A64">
      <w:pPr>
        <w:pBdr>
          <w:top w:val="nil"/>
          <w:left w:val="nil"/>
          <w:bottom w:val="nil"/>
          <w:right w:val="nil"/>
          <w:between w:val="nil"/>
        </w:pBdr>
        <w:spacing w:line="360" w:lineRule="auto"/>
        <w:ind w:left="709" w:right="454"/>
        <w:jc w:val="both"/>
        <w:rPr>
          <w:rFonts w:ascii="Palatino Linotype" w:eastAsia="Palatino Linotype" w:hAnsi="Palatino Linotype" w:cs="Palatino Linotype"/>
          <w:i/>
          <w:color w:val="000000"/>
          <w:sz w:val="22"/>
          <w:szCs w:val="22"/>
        </w:rPr>
      </w:pPr>
      <w:r w:rsidRPr="006B1104">
        <w:rPr>
          <w:rFonts w:ascii="Palatino Linotype" w:eastAsia="Palatino Linotype" w:hAnsi="Palatino Linotype" w:cs="Palatino Linotype"/>
          <w:i/>
          <w:color w:val="000000"/>
          <w:sz w:val="22"/>
          <w:szCs w:val="22"/>
        </w:rPr>
        <w:t xml:space="preserve">Resoluciones: </w:t>
      </w:r>
      <w:r w:rsidRPr="006B1104">
        <w:rPr>
          <w:rFonts w:ascii="Palatino Linotype" w:eastAsia="Palatino Linotype" w:hAnsi="Palatino Linotype" w:cs="Palatino Linotype"/>
          <w:i/>
          <w:color w:val="000000"/>
          <w:sz w:val="22"/>
          <w:szCs w:val="22"/>
        </w:rPr>
        <w:t xml:space="preserve"> RRA 1588/16. Comisión Nacional de Áreas Naturales Protegidas. 27 de septiembre de 2016. Por unanimidad. Comisionada Ponente Ximena Puente de la Mora.  </w:t>
      </w:r>
      <w:r w:rsidRPr="006B1104">
        <w:rPr>
          <w:rFonts w:ascii="Palatino Linotype" w:eastAsia="Palatino Linotype" w:hAnsi="Palatino Linotype" w:cs="Palatino Linotype"/>
          <w:i/>
          <w:color w:val="000000"/>
          <w:sz w:val="22"/>
          <w:szCs w:val="22"/>
        </w:rPr>
        <w:t xml:space="preserve"> RRA 2410/16. Instituto Nacional de Migración. 25 de octubre de 2016. Por unanimidad. Comisionada Ponente Areli Cano Guadiana. </w:t>
      </w:r>
      <w:r w:rsidRPr="006B1104">
        <w:rPr>
          <w:rFonts w:ascii="Palatino Linotype" w:eastAsia="Palatino Linotype" w:hAnsi="Palatino Linotype" w:cs="Palatino Linotype"/>
          <w:i/>
          <w:color w:val="000000"/>
          <w:sz w:val="22"/>
          <w:szCs w:val="22"/>
        </w:rPr>
        <w:t xml:space="preserve"> RRA 3763/16. Secretaría de Relaciones Exteriores. 07 de diciembre de 2016. Por unanimidad. Comisionada Ponente María Patricia </w:t>
      </w:r>
      <w:proofErr w:type="spellStart"/>
      <w:r w:rsidRPr="006B1104">
        <w:rPr>
          <w:rFonts w:ascii="Palatino Linotype" w:eastAsia="Palatino Linotype" w:hAnsi="Palatino Linotype" w:cs="Palatino Linotype"/>
          <w:i/>
          <w:color w:val="000000"/>
          <w:sz w:val="22"/>
          <w:szCs w:val="22"/>
        </w:rPr>
        <w:t>Kurczyn</w:t>
      </w:r>
      <w:proofErr w:type="spellEnd"/>
      <w:r w:rsidRPr="006B1104">
        <w:rPr>
          <w:rFonts w:ascii="Palatino Linotype" w:eastAsia="Palatino Linotype" w:hAnsi="Palatino Linotype" w:cs="Palatino Linotype"/>
          <w:i/>
          <w:color w:val="000000"/>
          <w:sz w:val="22"/>
          <w:szCs w:val="22"/>
        </w:rPr>
        <w:t xml:space="preserve"> Villalobos.</w:t>
      </w:r>
    </w:p>
    <w:p w:rsidR="007B12AA" w:rsidRPr="006B1104" w:rsidRDefault="007B12A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3A64" w:rsidRPr="006B1104" w:rsidRDefault="009B3A6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6B1104">
        <w:rPr>
          <w:rFonts w:ascii="Palatino Linotype" w:eastAsia="Palatino Linotype" w:hAnsi="Palatino Linotype" w:cs="Palatino Linotype"/>
          <w:color w:val="000000"/>
        </w:rPr>
        <w:t xml:space="preserve">De lo anterior, se establece que el Acuerdo emitido por el SUJETO OBLIGADO, respecto a la Clasificación de la Información, se encuentra incompleto, toda vez que no </w:t>
      </w:r>
      <w:r w:rsidRPr="006B1104">
        <w:rPr>
          <w:rFonts w:ascii="Palatino Linotype" w:eastAsia="Palatino Linotype" w:hAnsi="Palatino Linotype" w:cs="Palatino Linotype"/>
          <w:color w:val="000000"/>
        </w:rPr>
        <w:lastRenderedPageBreak/>
        <w:t>contiene la firma del Suplente de la Directora Jurídica y de Fiscalización, en su carácter de Integrante del Comité de Transparencia en cuestiones relacionadas con la Protección de Datos Personales.</w:t>
      </w:r>
    </w:p>
    <w:p w:rsidR="00C403FB" w:rsidRPr="006B1104" w:rsidRDefault="00C403FB" w:rsidP="00C403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3A64" w:rsidRPr="006B1104" w:rsidRDefault="00C403FB" w:rsidP="0088630D">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6B1104">
        <w:rPr>
          <w:rFonts w:ascii="Palatino Linotype" w:eastAsia="Palatino Linotype" w:hAnsi="Palatino Linotype" w:cs="Palatino Linotype"/>
          <w:color w:val="000000"/>
        </w:rPr>
        <w:t xml:space="preserve">En relación a la manifestación de que la Secretaria Particular se encuentra usurpando funciones, </w:t>
      </w:r>
      <w:r w:rsidR="0088630D" w:rsidRPr="006B1104">
        <w:rPr>
          <w:rFonts w:ascii="Palatino Linotype" w:eastAsia="Palatino Linotype" w:hAnsi="Palatino Linotype" w:cs="Palatino Linotype"/>
          <w:color w:val="000000"/>
        </w:rPr>
        <w:t xml:space="preserve">al no contar </w:t>
      </w:r>
      <w:r w:rsidRPr="006B1104">
        <w:rPr>
          <w:rFonts w:ascii="Palatino Linotype" w:eastAsia="Palatino Linotype" w:hAnsi="Palatino Linotype" w:cs="Palatino Linotype"/>
          <w:color w:val="000000"/>
        </w:rPr>
        <w:t>con legitimidad para firmar un acta del Comité de Transparencia</w:t>
      </w:r>
      <w:r w:rsidR="0088630D" w:rsidRPr="006B1104">
        <w:rPr>
          <w:rFonts w:ascii="Palatino Linotype" w:eastAsia="Palatino Linotype" w:hAnsi="Palatino Linotype" w:cs="Palatino Linotype"/>
          <w:color w:val="000000"/>
        </w:rPr>
        <w:t xml:space="preserve">, se hace la aclaración que la misma firma en “SUPLENCIA”, </w:t>
      </w:r>
      <w:r w:rsidRPr="006B1104">
        <w:rPr>
          <w:rFonts w:ascii="Palatino Linotype" w:eastAsia="Palatino Linotype" w:hAnsi="Palatino Linotype" w:cs="Palatino Linotype"/>
          <w:color w:val="000000"/>
        </w:rPr>
        <w:t xml:space="preserve"> </w:t>
      </w:r>
      <w:r w:rsidR="0088630D" w:rsidRPr="006B1104">
        <w:rPr>
          <w:rFonts w:ascii="Palatino Linotype" w:eastAsia="Palatino Linotype" w:hAnsi="Palatino Linotype" w:cs="Palatino Linotype"/>
          <w:color w:val="000000"/>
        </w:rPr>
        <w:t xml:space="preserve">por lo que resulta importante mencionar lo que el Diccionario de la Real Academia define como </w:t>
      </w:r>
      <w:r w:rsidR="0088630D" w:rsidRPr="006B1104">
        <w:rPr>
          <w:rFonts w:ascii="Palatino Linotype" w:eastAsia="Palatino Linotype" w:hAnsi="Palatino Linotype" w:cs="Palatino Linotype"/>
          <w:i/>
          <w:color w:val="000000"/>
        </w:rPr>
        <w:t xml:space="preserve">suplencia: Situación que se produce cuando por circunstancias temporales (vacante, enfermedad o ausencia, vacaciones, etc.) se produce una simple sucesión transitoria de la titularidad de un órgano, </w:t>
      </w:r>
      <w:r w:rsidR="0088630D" w:rsidRPr="006B1104">
        <w:rPr>
          <w:rFonts w:ascii="Palatino Linotype" w:eastAsia="Palatino Linotype" w:hAnsi="Palatino Linotype" w:cs="Palatino Linotype"/>
          <w:b/>
          <w:i/>
          <w:color w:val="000000"/>
          <w:u w:val="single"/>
        </w:rPr>
        <w:t>sin traslación de competencias</w:t>
      </w:r>
      <w:r w:rsidR="0088630D" w:rsidRPr="006B1104">
        <w:rPr>
          <w:rFonts w:ascii="Palatino Linotype" w:eastAsia="Palatino Linotype" w:hAnsi="Palatino Linotype" w:cs="Palatino Linotype"/>
          <w:i/>
          <w:color w:val="000000"/>
        </w:rPr>
        <w:t xml:space="preserve"> (únicamente se desplaza el titular);</w:t>
      </w:r>
      <w:r w:rsidR="0088630D" w:rsidRPr="006B1104">
        <w:rPr>
          <w:rFonts w:ascii="Palatino Linotype" w:eastAsia="Palatino Linotype" w:hAnsi="Palatino Linotype" w:cs="Palatino Linotype"/>
          <w:color w:val="000000"/>
        </w:rPr>
        <w:t>(énfasis añadido).</w:t>
      </w:r>
      <w:r w:rsidR="0088630D" w:rsidRPr="006B1104">
        <w:rPr>
          <w:rFonts w:ascii="Palatino Linotype" w:eastAsia="Palatino Linotype" w:hAnsi="Palatino Linotype" w:cs="Palatino Linotype"/>
          <w:i/>
          <w:color w:val="000000"/>
        </w:rPr>
        <w:t xml:space="preserve"> </w:t>
      </w:r>
    </w:p>
    <w:p w:rsidR="00C403FB" w:rsidRPr="006B1104" w:rsidRDefault="00C403FB" w:rsidP="009B3A6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6B1104">
        <w:rPr>
          <w:rFonts w:ascii="Palatino Linotype" w:eastAsia="Palatino Linotype" w:hAnsi="Palatino Linotype" w:cs="Palatino Linotype"/>
          <w:color w:val="000000"/>
        </w:rPr>
        <w:t xml:space="preserve">No obstante que el RECURRENTE solicitó los recibos de nómina ya señalados párrafos anteriores, y que los mismos fueron entregados por el </w:t>
      </w:r>
      <w:r w:rsidRPr="006B1104">
        <w:rPr>
          <w:rFonts w:ascii="Palatino Linotype" w:eastAsia="Palatino Linotype" w:hAnsi="Palatino Linotype" w:cs="Palatino Linotype"/>
          <w:b/>
          <w:color w:val="000000"/>
        </w:rPr>
        <w:t>SUJETO OBLIGADO</w:t>
      </w:r>
      <w:r w:rsidRPr="006B1104">
        <w:rPr>
          <w:rFonts w:ascii="Palatino Linotype" w:eastAsia="Palatino Linotype" w:hAnsi="Palatino Linotype" w:cs="Palatino Linotype"/>
          <w:color w:val="000000"/>
        </w:rPr>
        <w:t xml:space="preserve">, </w:t>
      </w:r>
      <w:r w:rsidR="00687923" w:rsidRPr="006B1104">
        <w:rPr>
          <w:rFonts w:ascii="Palatino Linotype" w:eastAsia="Palatino Linotype" w:hAnsi="Palatino Linotype" w:cs="Palatino Linotype"/>
          <w:color w:val="000000"/>
        </w:rPr>
        <w:t xml:space="preserve">y atendiendo a que de la entrega de los mismos, no se inconformó, los mismos </w:t>
      </w:r>
      <w:r w:rsidRPr="006B1104">
        <w:rPr>
          <w:rFonts w:ascii="Palatino Linotype" w:eastAsia="Palatino Linotype" w:hAnsi="Palatino Linotype" w:cs="Palatino Linotype"/>
          <w:color w:val="000000"/>
        </w:rPr>
        <w:t>se deben tener como actos consentidos, lo anterior por no haber hecho pronunciamiento de impugnación respecto a este punto de la solicitud.</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Luego entonces, al no existir inconformidad del resto de información entregada, es que se tiene por </w:t>
      </w:r>
      <w:r w:rsidRPr="006B1104">
        <w:rPr>
          <w:rFonts w:ascii="Palatino Linotype" w:eastAsia="Palatino Linotype" w:hAnsi="Palatino Linotype" w:cs="Palatino Linotype"/>
          <w:color w:val="000000"/>
        </w:rPr>
        <w:t>consentida</w:t>
      </w:r>
      <w:r w:rsidRPr="006B1104">
        <w:rPr>
          <w:rFonts w:ascii="Palatino Linotype" w:eastAsia="Palatino Linotype" w:hAnsi="Palatino Linotype" w:cs="Palatino Linotype"/>
        </w:rPr>
        <w:t>, ya</w:t>
      </w:r>
      <w:r w:rsidRPr="006B1104">
        <w:rPr>
          <w:rFonts w:ascii="Palatino Linotype" w:eastAsia="Palatino Linotype" w:hAnsi="Palatino Linotype" w:cs="Palatino Linotype"/>
          <w:b/>
        </w:rPr>
        <w:t xml:space="preserve"> </w:t>
      </w:r>
      <w:r w:rsidRPr="006B1104">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6B1104">
        <w:rPr>
          <w:rFonts w:ascii="Palatino Linotype" w:eastAsia="Palatino Linotype" w:hAnsi="Palatino Linotype" w:cs="Palatino Linotype"/>
          <w:b/>
        </w:rPr>
        <w:t>actos consentidos</w:t>
      </w:r>
      <w:r w:rsidRPr="006B1104">
        <w:rPr>
          <w:rFonts w:ascii="Palatino Linotype" w:eastAsia="Palatino Linotype" w:hAnsi="Palatino Linotype" w:cs="Palatino Linotype"/>
        </w:rPr>
        <w:t>.</w:t>
      </w:r>
    </w:p>
    <w:p w:rsidR="00F77DFE" w:rsidRPr="006B1104" w:rsidRDefault="00F77DFE">
      <w:pPr>
        <w:pBdr>
          <w:top w:val="nil"/>
          <w:left w:val="nil"/>
          <w:bottom w:val="nil"/>
          <w:right w:val="nil"/>
          <w:between w:val="nil"/>
        </w:pBdr>
        <w:spacing w:line="360" w:lineRule="auto"/>
        <w:rPr>
          <w:rFonts w:ascii="Palatino Linotype" w:eastAsia="Palatino Linotype" w:hAnsi="Palatino Linotype" w:cs="Palatino Linotype"/>
          <w:color w:val="000000"/>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lastRenderedPageBreak/>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F77DFE" w:rsidRPr="006B1104" w:rsidRDefault="00F77DFE">
      <w:pPr>
        <w:pBdr>
          <w:top w:val="nil"/>
          <w:left w:val="nil"/>
          <w:bottom w:val="nil"/>
          <w:right w:val="nil"/>
          <w:between w:val="nil"/>
        </w:pBdr>
        <w:spacing w:line="360" w:lineRule="auto"/>
        <w:ind w:left="1134" w:right="900"/>
        <w:rPr>
          <w:rFonts w:ascii="Palatino Linotype" w:eastAsia="Palatino Linotype" w:hAnsi="Palatino Linotype" w:cs="Palatino Linotype"/>
          <w:color w:val="000000"/>
        </w:rPr>
      </w:pPr>
    </w:p>
    <w:p w:rsidR="00F77DFE" w:rsidRPr="006B1104" w:rsidRDefault="00EC6F3F">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6B1104">
        <w:rPr>
          <w:rFonts w:ascii="Palatino Linotype" w:eastAsia="Palatino Linotype" w:hAnsi="Palatino Linotype" w:cs="Palatino Linotype"/>
          <w:b/>
          <w:i/>
          <w:color w:val="000000"/>
        </w:rPr>
        <w:t>“REVISIÓN EN AMPARO. LOS RESOLUTIVOS NO COMBATIDOS DEBEN DECLARARSE FIRMES. </w:t>
      </w:r>
      <w:r w:rsidRPr="006B1104">
        <w:rPr>
          <w:rFonts w:ascii="Palatino Linotype" w:eastAsia="Palatino Linotype" w:hAnsi="Palatino Linotype" w:cs="Palatino Linotype"/>
          <w:i/>
          <w:color w:val="000000"/>
          <w:u w:val="single"/>
        </w:rPr>
        <w:t>Cuando algún resolutivo de la sentencia impugnada afecta a EL RECURRENTE, y ésta no expresa agravio en contra de las consideraciones que le sirven de base, dicho resolutivo debe declararse firme.</w:t>
      </w:r>
      <w:r w:rsidRPr="006B1104">
        <w:rPr>
          <w:rFonts w:ascii="Palatino Linotype" w:eastAsia="Palatino Linotype" w:hAnsi="Palatino Linotype" w:cs="Palatino Linotype"/>
          <w:i/>
          <w:color w:val="000000"/>
        </w:rPr>
        <w:t> Esto es, en el caso referido, no obstante que la materia de la revisión comprende a todos los resolutivos que afectan a EL RECURRENTE, </w:t>
      </w:r>
      <w:r w:rsidRPr="006B1104">
        <w:rPr>
          <w:rFonts w:ascii="Palatino Linotype" w:eastAsia="Palatino Linotype" w:hAnsi="Palatino Linotype" w:cs="Palatino Linotype"/>
          <w:i/>
          <w:color w:val="000000"/>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6B1104">
        <w:rPr>
          <w:rFonts w:ascii="Palatino Linotype" w:eastAsia="Palatino Linotype" w:hAnsi="Palatino Linotype" w:cs="Palatino Linotype"/>
          <w:i/>
          <w:color w:val="000000"/>
        </w:rPr>
        <w:t>.”</w:t>
      </w:r>
    </w:p>
    <w:p w:rsidR="00F77DFE" w:rsidRPr="006B1104" w:rsidRDefault="00EC6F3F">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(Énfasis añadido)</w:t>
      </w:r>
    </w:p>
    <w:p w:rsidR="00F77DFE" w:rsidRPr="006B1104" w:rsidRDefault="00F77DFE">
      <w:pPr>
        <w:pBdr>
          <w:top w:val="nil"/>
          <w:left w:val="nil"/>
          <w:bottom w:val="nil"/>
          <w:right w:val="nil"/>
          <w:between w:val="nil"/>
        </w:pBdr>
        <w:spacing w:line="360" w:lineRule="auto"/>
        <w:ind w:left="1134" w:right="900"/>
        <w:jc w:val="center"/>
        <w:rPr>
          <w:rFonts w:ascii="Palatino Linotype" w:eastAsia="Palatino Linotype" w:hAnsi="Palatino Linotype" w:cs="Palatino Linotype"/>
          <w:color w:val="000000"/>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Consecutivamente, </w:t>
      </w:r>
      <w:r w:rsidRPr="006B1104">
        <w:rPr>
          <w:rFonts w:ascii="Palatino Linotype" w:eastAsia="Palatino Linotype" w:hAnsi="Palatino Linotype" w:cs="Palatino Linotype"/>
          <w:b/>
        </w:rPr>
        <w:t xml:space="preserve">la parte de la respuesta que no fue impugnada debe </w:t>
      </w:r>
      <w:r w:rsidRPr="006B1104">
        <w:rPr>
          <w:rFonts w:ascii="Palatino Linotype" w:eastAsia="Palatino Linotype" w:hAnsi="Palatino Linotype" w:cs="Palatino Linotype"/>
        </w:rPr>
        <w:t>declararse</w:t>
      </w:r>
      <w:r w:rsidRPr="006B1104">
        <w:rPr>
          <w:rFonts w:ascii="Palatino Linotype" w:eastAsia="Palatino Linotype" w:hAnsi="Palatino Linotype" w:cs="Palatino Linotype"/>
          <w:b/>
        </w:rPr>
        <w:t xml:space="preserve"> </w:t>
      </w:r>
      <w:r w:rsidRPr="006B1104">
        <w:rPr>
          <w:rFonts w:ascii="Palatino Linotype" w:eastAsia="Palatino Linotype" w:hAnsi="Palatino Linotype" w:cs="Palatino Linotype"/>
        </w:rPr>
        <w:t>consentida</w:t>
      </w:r>
      <w:r w:rsidRPr="006B1104">
        <w:rPr>
          <w:rFonts w:ascii="Palatino Linotype" w:eastAsia="Palatino Linotype" w:hAnsi="Palatino Linotype" w:cs="Palatino Linotype"/>
          <w:b/>
        </w:rPr>
        <w:t xml:space="preserve"> por el recurrente, toda vez que no realizó </w:t>
      </w:r>
      <w:r w:rsidRPr="006B1104">
        <w:rPr>
          <w:rFonts w:ascii="Palatino Linotype" w:eastAsia="Palatino Linotype" w:hAnsi="Palatino Linotype" w:cs="Palatino Linotype"/>
        </w:rPr>
        <w:t>manifestaciones</w:t>
      </w:r>
      <w:r w:rsidRPr="006B1104">
        <w:rPr>
          <w:rFonts w:ascii="Palatino Linotype" w:eastAsia="Palatino Linotype" w:hAnsi="Palatino Linotype" w:cs="Palatino Linotype"/>
          <w:b/>
        </w:rPr>
        <w:t xml:space="preserve"> de inconformidad</w:t>
      </w:r>
      <w:r w:rsidRPr="006B1104">
        <w:rPr>
          <w:rFonts w:ascii="Palatino Linotype" w:eastAsia="Palatino Linotype" w:hAnsi="Palatino Linotype" w:cs="Palatino Linotype"/>
        </w:rPr>
        <w:t xml:space="preserve">; por lo que, no pueden producirse efectos jurídicos tendentes a revocar, </w:t>
      </w:r>
      <w:r w:rsidRPr="006B1104">
        <w:rPr>
          <w:rFonts w:ascii="Palatino Linotype" w:eastAsia="Palatino Linotype" w:hAnsi="Palatino Linotype" w:cs="Palatino Linotype"/>
        </w:rPr>
        <w:lastRenderedPageBreak/>
        <w:t>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6B1104">
        <w:rPr>
          <w:rFonts w:ascii="Palatino Linotype" w:eastAsia="Palatino Linotype" w:hAnsi="Palatino Linotype" w:cs="Palatino Linotype"/>
          <w:b/>
          <w:i/>
          <w:color w:val="000000"/>
        </w:rPr>
        <w:t>“ACTOS CONSENTIDOS. SON LOS QUE NO SE IMPUGNAN MEDIANTE EL RECURSO IDÓNEO. </w:t>
      </w:r>
      <w:r w:rsidRPr="006B1104">
        <w:rPr>
          <w:rFonts w:ascii="Palatino Linotype" w:eastAsia="Palatino Linotype" w:hAnsi="Palatino Linotype" w:cs="Palatino Linotype"/>
          <w:i/>
          <w:color w:val="000000"/>
          <w:u w:val="single"/>
        </w:rPr>
        <w:t>Debe reputarse como consentido el acto que no se impugnó por el medio establecido por la ley</w:t>
      </w:r>
      <w:r w:rsidRPr="006B1104">
        <w:rPr>
          <w:rFonts w:ascii="Palatino Linotype" w:eastAsia="Palatino Linotype" w:hAnsi="Palatino Linotype" w:cs="Palatino Linotype"/>
          <w:i/>
          <w:color w:val="000000"/>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F77DFE" w:rsidRPr="006B1104" w:rsidRDefault="00EC6F3F">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(Énfasis añadido)</w:t>
      </w:r>
    </w:p>
    <w:p w:rsidR="00F77DFE" w:rsidRPr="006B1104" w:rsidRDefault="00F77DFE">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Por otro lado, se debe de mencionar que en la información entregada, es decir los recibos de nómina, se entregaron con información que debió de clasificarse como confidencial siendo en este caso del Código de Barras bidimensional (QR), de los recibos de nómina del personal adscrito al Organismo de Agua y Saneamiento de Toluca, situación por la cual se debe de referir lo siguiente. </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Como se advierte, de los elementos contenidos en el Código QR, hacen a su titular, identificado, identificable e incluso ubicable en su domicilio, ya que se deja al </w:t>
      </w:r>
      <w:r w:rsidRPr="006B1104">
        <w:rPr>
          <w:rFonts w:ascii="Palatino Linotype" w:eastAsia="Palatino Linotype" w:hAnsi="Palatino Linotype" w:cs="Palatino Linotype"/>
        </w:rPr>
        <w:lastRenderedPageBreak/>
        <w:t xml:space="preserve">descubierto su Registro Federal de Contribuyente (RFC). El cual, constituye un dato personal, pues se genera con caracteres alfanuméricos a partir del nombre y la fecha de nacimiento de cada persona, y finalmente la </w:t>
      </w:r>
      <w:proofErr w:type="spellStart"/>
      <w:r w:rsidRPr="006B1104">
        <w:rPr>
          <w:rFonts w:ascii="Palatino Linotype" w:eastAsia="Palatino Linotype" w:hAnsi="Palatino Linotype" w:cs="Palatino Linotype"/>
        </w:rPr>
        <w:t>homoclave</w:t>
      </w:r>
      <w:proofErr w:type="spellEnd"/>
      <w:r w:rsidRPr="006B1104">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rsidR="00F77DFE" w:rsidRPr="006B1104" w:rsidRDefault="00F77DFE">
      <w:pPr>
        <w:tabs>
          <w:tab w:val="left" w:pos="284"/>
        </w:tabs>
        <w:spacing w:line="360" w:lineRule="auto"/>
        <w:jc w:val="both"/>
        <w:rPr>
          <w:rFonts w:ascii="Palatino Linotype" w:eastAsia="Palatino Linotype" w:hAnsi="Palatino Linotype" w:cs="Palatino Linotype"/>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F77DFE" w:rsidRPr="006B1104" w:rsidRDefault="00F77DFE">
      <w:pPr>
        <w:tabs>
          <w:tab w:val="left" w:pos="284"/>
        </w:tabs>
        <w:spacing w:line="360" w:lineRule="auto"/>
        <w:jc w:val="both"/>
        <w:rPr>
          <w:rFonts w:ascii="Palatino Linotype" w:eastAsia="Palatino Linotype" w:hAnsi="Palatino Linotype" w:cs="Palatino Linotype"/>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Lo anterior es compartido por el entonces Instituto Federal de Acceso a la </w:t>
      </w:r>
      <w:r w:rsidRPr="006B1104">
        <w:rPr>
          <w:rFonts w:ascii="Palatino Linotype" w:eastAsia="Palatino Linotype" w:hAnsi="Palatino Linotype" w:cs="Palatino Linotype"/>
          <w:b/>
        </w:rPr>
        <w:t>Información</w:t>
      </w:r>
      <w:r w:rsidRPr="006B1104">
        <w:rPr>
          <w:rFonts w:ascii="Palatino Linotype" w:eastAsia="Palatino Linotype" w:hAnsi="Palatino Linotype" w:cs="Palatino Linotype"/>
        </w:rPr>
        <w:t xml:space="preserve"> Pública y Protección de Datos Personales (IFAI) a través del Criterio 19/17, el cual es del tenor literal siguiente:</w:t>
      </w:r>
    </w:p>
    <w:p w:rsidR="00F77DFE" w:rsidRPr="006B1104" w:rsidRDefault="00F77DF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rsidR="00F77DFE" w:rsidRPr="006B1104" w:rsidRDefault="00EC6F3F">
      <w:pPr>
        <w:spacing w:line="276" w:lineRule="auto"/>
        <w:ind w:left="1134" w:right="851"/>
        <w:jc w:val="both"/>
        <w:rPr>
          <w:rFonts w:ascii="Palatino Linotype" w:eastAsia="Palatino Linotype" w:hAnsi="Palatino Linotype" w:cs="Palatino Linotype"/>
          <w:i/>
          <w:sz w:val="22"/>
          <w:szCs w:val="22"/>
        </w:rPr>
      </w:pPr>
      <w:r w:rsidRPr="006B1104">
        <w:rPr>
          <w:rFonts w:ascii="Palatino Linotype" w:eastAsia="Palatino Linotype" w:hAnsi="Palatino Linotype" w:cs="Palatino Linotype"/>
          <w:b/>
          <w:i/>
          <w:sz w:val="22"/>
          <w:szCs w:val="22"/>
        </w:rPr>
        <w:t>“Registro Federal de Contribuyentes (RFC) de personas físicas</w:t>
      </w:r>
      <w:r w:rsidRPr="006B1104">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rsidR="00F77DFE" w:rsidRPr="006B1104" w:rsidRDefault="00F77DFE">
      <w:pPr>
        <w:spacing w:line="360" w:lineRule="auto"/>
        <w:ind w:left="567" w:right="900"/>
        <w:jc w:val="both"/>
        <w:rPr>
          <w:rFonts w:ascii="Palatino Linotype" w:eastAsia="Palatino Linotype" w:hAnsi="Palatino Linotype" w:cs="Palatino Linotype"/>
          <w:i/>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Así, el </w:t>
      </w:r>
      <w:r w:rsidRPr="006B1104">
        <w:rPr>
          <w:rFonts w:ascii="Palatino Linotype" w:eastAsia="Palatino Linotype" w:hAnsi="Palatino Linotype" w:cs="Palatino Linotype"/>
          <w:b/>
        </w:rPr>
        <w:t>Registro Federal de Contribuyentes, RFC</w:t>
      </w:r>
      <w:r w:rsidRPr="006B1104">
        <w:rPr>
          <w:rFonts w:ascii="Palatino Linotype" w:eastAsia="Palatino Linotype" w:hAnsi="Palatino Linotype" w:cs="Palatino Linotype"/>
        </w:rPr>
        <w:t xml:space="preserve">, se vincula al nombre de su titular y permite identificar la edad de la persona, su fecha de nacimiento, así como su </w:t>
      </w:r>
      <w:proofErr w:type="spellStart"/>
      <w:r w:rsidRPr="006B1104">
        <w:rPr>
          <w:rFonts w:ascii="Palatino Linotype" w:eastAsia="Palatino Linotype" w:hAnsi="Palatino Linotype" w:cs="Palatino Linotype"/>
        </w:rPr>
        <w:t>homoclave</w:t>
      </w:r>
      <w:proofErr w:type="spellEnd"/>
      <w:r w:rsidRPr="006B1104">
        <w:rPr>
          <w:rFonts w:ascii="Palatino Linotype" w:eastAsia="Palatino Linotype" w:hAnsi="Palatino Linotype" w:cs="Palatino Linotype"/>
        </w:rPr>
        <w:t xml:space="preserve">, la cual es única e irrepetible y determina la identificación de dicha persona para efectos fiscales, por lo que constituye un dato personal que </w:t>
      </w:r>
      <w:r w:rsidRPr="006B1104">
        <w:rPr>
          <w:rFonts w:ascii="Palatino Linotype" w:eastAsia="Palatino Linotype" w:hAnsi="Palatino Linotype" w:cs="Palatino Linotype"/>
          <w:u w:val="single"/>
        </w:rPr>
        <w:t>concierne a una persona física identificada e identificable</w:t>
      </w:r>
      <w:r w:rsidRPr="006B1104">
        <w:rPr>
          <w:rFonts w:ascii="Palatino Linotype" w:eastAsia="Palatino Linotype" w:hAnsi="Palatino Linotype" w:cs="Palatino Linotype"/>
        </w:rPr>
        <w:t xml:space="preserve"> en términos de los artículos 3, fracción IX de </w:t>
      </w:r>
      <w:r w:rsidRPr="006B1104">
        <w:rPr>
          <w:rFonts w:ascii="Palatino Linotype" w:eastAsia="Palatino Linotype" w:hAnsi="Palatino Linotype" w:cs="Palatino Linotype"/>
        </w:rPr>
        <w:lastRenderedPageBreak/>
        <w:t>la Ley de Transparencia y Acceso a la Información Pública del Estado de México y Municipios, y  4 fracciones XI y XII de la Ley de Protección de Datos Personales en Posesión de los Sujetos Obligados del Estado de México y Municipios.</w:t>
      </w:r>
    </w:p>
    <w:p w:rsidR="00F77DFE" w:rsidRPr="006B1104" w:rsidRDefault="00F77DFE">
      <w:pPr>
        <w:tabs>
          <w:tab w:val="left" w:pos="284"/>
        </w:tabs>
        <w:spacing w:line="360" w:lineRule="auto"/>
        <w:jc w:val="both"/>
        <w:rPr>
          <w:rFonts w:ascii="Palatino Linotype" w:eastAsia="Palatino Linotype" w:hAnsi="Palatino Linotype" w:cs="Palatino Linotype"/>
        </w:rPr>
      </w:pPr>
    </w:p>
    <w:p w:rsidR="00F77DFE" w:rsidRPr="006B1104" w:rsidRDefault="00EC6F3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color w:val="000000"/>
        </w:rPr>
        <w:t xml:space="preserve">Resulta necesario señalar que los comprobantes </w:t>
      </w:r>
      <w:r w:rsidRPr="006B1104">
        <w:rPr>
          <w:rFonts w:ascii="Palatino Linotype" w:eastAsia="Palatino Linotype" w:hAnsi="Palatino Linotype" w:cs="Palatino Linotype"/>
          <w:b/>
          <w:color w:val="000000"/>
        </w:rPr>
        <w:t>fiscales</w:t>
      </w:r>
      <w:r w:rsidRPr="006B1104">
        <w:rPr>
          <w:rFonts w:ascii="Palatino Linotype" w:eastAsia="Palatino Linotype" w:hAnsi="Palatino Linotype" w:cs="Palatino Linotype"/>
          <w:color w:val="000000"/>
        </w:rPr>
        <w:t xml:space="preserve"> digitales por Internet, deben de incluir un código bidimensional conforme al formato QR </w:t>
      </w:r>
      <w:proofErr w:type="spellStart"/>
      <w:r w:rsidRPr="006B1104">
        <w:rPr>
          <w:rFonts w:ascii="Palatino Linotype" w:eastAsia="Palatino Linotype" w:hAnsi="Palatino Linotype" w:cs="Palatino Linotype"/>
          <w:color w:val="000000"/>
        </w:rPr>
        <w:t>Code</w:t>
      </w:r>
      <w:proofErr w:type="spellEnd"/>
      <w:r w:rsidRPr="006B1104">
        <w:rPr>
          <w:rFonts w:ascii="Palatino Linotype" w:eastAsia="Palatino Linotype" w:hAnsi="Palatino Linotype" w:cs="Palatino Linotype"/>
          <w:color w:val="000000"/>
        </w:rPr>
        <w:t xml:space="preserve"> (Quick Response </w:t>
      </w:r>
      <w:proofErr w:type="spellStart"/>
      <w:r w:rsidRPr="006B1104">
        <w:rPr>
          <w:rFonts w:ascii="Palatino Linotype" w:eastAsia="Palatino Linotype" w:hAnsi="Palatino Linotype" w:cs="Palatino Linotype"/>
          <w:color w:val="000000"/>
        </w:rPr>
        <w:t>Code</w:t>
      </w:r>
      <w:proofErr w:type="spellEnd"/>
      <w:r w:rsidRPr="006B1104">
        <w:rPr>
          <w:rFonts w:ascii="Palatino Linotype" w:eastAsia="Palatino Linotype" w:hAnsi="Palatino Linotype" w:cs="Palatino Linotype"/>
          <w:color w:val="000000"/>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8">
        <w:r w:rsidRPr="006B1104">
          <w:rPr>
            <w:rFonts w:ascii="Palatino Linotype" w:eastAsia="Palatino Linotype" w:hAnsi="Palatino Linotype" w:cs="Palatino Linotype"/>
            <w:color w:val="000000"/>
          </w:rPr>
          <w:t>http://dof.gob.mx/nota_detalle.php?codigo=5492254&amp;fecha=28/07/2017</w:t>
        </w:r>
      </w:hyperlink>
      <w:r w:rsidRPr="006B1104">
        <w:rPr>
          <w:rFonts w:ascii="Palatino Linotype" w:eastAsia="Palatino Linotype" w:hAnsi="Palatino Linotype" w:cs="Palatino Linotype"/>
          <w:color w:val="000000"/>
        </w:rPr>
        <w:t>. Incluso con la captura de dicho código, a través de la aplicación móvil del Servicio de Administración Tributaria, permite el acceso al Registro Federal de Contribuyentes, como del Sujeto Obligado, como de la persona física o moral correspondiente.</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Dada esta relevancia y toda vez que se dejó descubierto el código QR, en el que se tiene acceso al Registro Federal de Contribuyentes (RFC), siendo considerado como </w:t>
      </w:r>
      <w:r w:rsidRPr="006B1104">
        <w:rPr>
          <w:rFonts w:ascii="Palatino Linotype" w:eastAsia="Palatino Linotype" w:hAnsi="Palatino Linotype" w:cs="Palatino Linotype"/>
          <w:b/>
        </w:rPr>
        <w:t xml:space="preserve">un dato personal </w:t>
      </w:r>
      <w:r w:rsidRPr="006B1104">
        <w:rPr>
          <w:rFonts w:ascii="Palatino Linotype" w:eastAsia="Palatino Linotype" w:hAnsi="Palatino Linotype" w:cs="Palatino Linotype"/>
        </w:rPr>
        <w:t xml:space="preserve">se debió cuidar la clasificación del mismo como confidencial y no dejarlo a la vista del </w:t>
      </w:r>
      <w:r w:rsidRPr="006B1104">
        <w:rPr>
          <w:rFonts w:ascii="Palatino Linotype" w:eastAsia="Palatino Linotype" w:hAnsi="Palatino Linotype" w:cs="Palatino Linotype"/>
          <w:b/>
        </w:rPr>
        <w:t xml:space="preserve">RECURRENTE, </w:t>
      </w:r>
      <w:r w:rsidRPr="006B1104">
        <w:rPr>
          <w:rFonts w:ascii="Palatino Linotype" w:eastAsia="Palatino Linotype" w:hAnsi="Palatino Linotype" w:cs="Palatino Linotype"/>
        </w:rPr>
        <w:t xml:space="preserve">toda vez que se actualiza la causal de clasificación, establecida en el artículo 143, fracción I, de la Ley de Transparencia y Acceso a la Información Pública del Estado de México y Municipios, situación por la cual se debe de dar vista a la Dirección General de Protección de Datos Personales. </w:t>
      </w:r>
    </w:p>
    <w:p w:rsidR="00F77DFE" w:rsidRPr="006B1104" w:rsidRDefault="00F77DF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77DFE" w:rsidRPr="006B1104" w:rsidRDefault="00EC6F3F">
      <w:pPr>
        <w:tabs>
          <w:tab w:val="left" w:pos="426"/>
        </w:tabs>
        <w:spacing w:before="240" w:line="360" w:lineRule="auto"/>
        <w:ind w:right="51"/>
        <w:jc w:val="both"/>
        <w:rPr>
          <w:rFonts w:ascii="Palatino Linotype" w:eastAsia="Palatino Linotype" w:hAnsi="Palatino Linotype" w:cs="Palatino Linotype"/>
          <w:b/>
          <w:color w:val="000000"/>
        </w:rPr>
      </w:pPr>
      <w:r w:rsidRPr="006B1104">
        <w:rPr>
          <w:rFonts w:ascii="Palatino Linotype" w:eastAsia="Palatino Linotype" w:hAnsi="Palatino Linotype" w:cs="Palatino Linotype"/>
          <w:b/>
          <w:color w:val="000000"/>
        </w:rPr>
        <w:t>QUINTO. Vista a la Dirección General de Protección de Datos Personales.</w:t>
      </w:r>
    </w:p>
    <w:p w:rsidR="00F77DFE" w:rsidRPr="006B1104" w:rsidRDefault="00EC6F3F">
      <w:pPr>
        <w:numPr>
          <w:ilvl w:val="0"/>
          <w:numId w:val="5"/>
        </w:numPr>
        <w:tabs>
          <w:tab w:val="left" w:pos="709"/>
        </w:tabs>
        <w:spacing w:line="360" w:lineRule="auto"/>
        <w:ind w:left="0" w:right="49"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lastRenderedPageBreak/>
        <w:t>Es 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w:t>
      </w:r>
    </w:p>
    <w:p w:rsidR="00F77DFE" w:rsidRPr="006B1104" w:rsidRDefault="00F77DFE">
      <w:pPr>
        <w:tabs>
          <w:tab w:val="left" w:pos="709"/>
        </w:tabs>
        <w:spacing w:line="360" w:lineRule="auto"/>
        <w:ind w:right="49"/>
        <w:jc w:val="both"/>
        <w:rPr>
          <w:rFonts w:ascii="Palatino Linotype" w:eastAsia="Palatino Linotype" w:hAnsi="Palatino Linotype" w:cs="Palatino Linotype"/>
        </w:rPr>
      </w:pPr>
    </w:p>
    <w:p w:rsidR="00F77DFE" w:rsidRPr="006B1104" w:rsidRDefault="00EC6F3F">
      <w:pPr>
        <w:numPr>
          <w:ilvl w:val="0"/>
          <w:numId w:val="5"/>
        </w:numPr>
        <w:tabs>
          <w:tab w:val="left" w:pos="567"/>
        </w:tabs>
        <w:spacing w:line="360" w:lineRule="auto"/>
        <w:ind w:left="0" w:right="51"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rPr>
        <w:t>Por ello, es conveniente señalar las fracciones XIV, XXII, XXIII y XXV, del artículo 82, de la Ley de Protección de Datos Personales en Posesión de Sujetos Obligados del Estado de México y Municipios, que establece:</w:t>
      </w:r>
    </w:p>
    <w:p w:rsidR="00F77DFE" w:rsidRPr="006B1104" w:rsidRDefault="00F77DFE">
      <w:pPr>
        <w:tabs>
          <w:tab w:val="left" w:pos="426"/>
        </w:tabs>
        <w:spacing w:line="360" w:lineRule="auto"/>
        <w:ind w:left="1134" w:right="900"/>
        <w:jc w:val="both"/>
        <w:rPr>
          <w:rFonts w:ascii="Palatino Linotype" w:eastAsia="Palatino Linotype" w:hAnsi="Palatino Linotype" w:cs="Palatino Linotype"/>
          <w:color w:val="000000"/>
        </w:rPr>
      </w:pP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b/>
          <w:i/>
        </w:rPr>
      </w:pPr>
      <w:r w:rsidRPr="006B1104">
        <w:rPr>
          <w:rFonts w:ascii="Palatino Linotype" w:eastAsia="Palatino Linotype" w:hAnsi="Palatino Linotype" w:cs="Palatino Linotype"/>
          <w:b/>
          <w:i/>
        </w:rPr>
        <w:t xml:space="preserve">Atribuciones del Instituto </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b/>
          <w:i/>
        </w:rPr>
        <w:t>Artículo 82.</w:t>
      </w:r>
      <w:r w:rsidRPr="006B1104">
        <w:rPr>
          <w:rFonts w:ascii="Palatino Linotype" w:eastAsia="Palatino Linotype" w:hAnsi="Palatino Linotype" w:cs="Palatino Linotype"/>
          <w:i/>
        </w:rPr>
        <w:t xml:space="preserve"> El Instituto, además de las atribuciones encomendadas por la Ley de Transparencia y normatividad aplicable, tendrá las atribuciones siguientes:</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i/>
        </w:rPr>
        <w:t>(…)</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b/>
          <w:i/>
        </w:rPr>
        <w:t>XIV.</w:t>
      </w:r>
      <w:r w:rsidRPr="006B1104">
        <w:rPr>
          <w:rFonts w:ascii="Palatino Linotype" w:eastAsia="Palatino Linotype" w:hAnsi="Palatino Linotype" w:cs="Palatino Linotype"/>
          <w:i/>
        </w:rPr>
        <w:t xml:space="preserve"> </w:t>
      </w:r>
      <w:r w:rsidRPr="006B1104">
        <w:rPr>
          <w:rFonts w:ascii="Palatino Linotype" w:eastAsia="Palatino Linotype" w:hAnsi="Palatino Linotype" w:cs="Palatino Linotype"/>
          <w:b/>
          <w:i/>
        </w:rPr>
        <w:t>Formular observaciones y recomendaciones</w:t>
      </w:r>
      <w:r w:rsidRPr="006B1104">
        <w:rPr>
          <w:rFonts w:ascii="Palatino Linotype" w:eastAsia="Palatino Linotype" w:hAnsi="Palatino Linotype" w:cs="Palatino Linotype"/>
          <w:i/>
        </w:rPr>
        <w:t xml:space="preserve"> a los sujetos obligados que incumplan esta Ley.</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i/>
        </w:rPr>
        <w:t>(…)</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b/>
          <w:i/>
        </w:rPr>
        <w:t>XXII.</w:t>
      </w:r>
      <w:r w:rsidRPr="006B1104">
        <w:rPr>
          <w:rFonts w:ascii="Palatino Linotype" w:eastAsia="Palatino Linotype" w:hAnsi="Palatino Linotype" w:cs="Palatino Linotype"/>
          <w:i/>
        </w:rPr>
        <w:t xml:space="preserve"> </w:t>
      </w:r>
      <w:r w:rsidRPr="006B1104">
        <w:rPr>
          <w:rFonts w:ascii="Palatino Linotype" w:eastAsia="Palatino Linotype" w:hAnsi="Palatino Linotype" w:cs="Palatino Linotype"/>
          <w:b/>
          <w:i/>
        </w:rPr>
        <w:t>Verificar el cumplimiento</w:t>
      </w:r>
      <w:r w:rsidRPr="006B1104">
        <w:rPr>
          <w:rFonts w:ascii="Palatino Linotype" w:eastAsia="Palatino Linotype" w:hAnsi="Palatino Linotype" w:cs="Palatino Linotype"/>
          <w:i/>
        </w:rPr>
        <w:t xml:space="preserve"> de las disposiciones previstas en esta Ley a través de los procedimientos de revisión que resulten compatibles con las disposiciones de esta Ley.</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b/>
          <w:i/>
        </w:rPr>
        <w:lastRenderedPageBreak/>
        <w:t>XXIII.</w:t>
      </w:r>
      <w:r w:rsidRPr="006B1104">
        <w:rPr>
          <w:rFonts w:ascii="Palatino Linotype" w:eastAsia="Palatino Linotype" w:hAnsi="Palatino Linotype" w:cs="Palatino Linotype"/>
          <w:i/>
        </w:rPr>
        <w:t xml:space="preserve"> </w:t>
      </w:r>
      <w:r w:rsidRPr="006B1104">
        <w:rPr>
          <w:rFonts w:ascii="Palatino Linotype" w:eastAsia="Palatino Linotype" w:hAnsi="Palatino Linotype" w:cs="Palatino Linotype"/>
          <w:b/>
          <w:i/>
        </w:rPr>
        <w:t>Implementar</w:t>
      </w:r>
      <w:r w:rsidRPr="006B1104">
        <w:rPr>
          <w:rFonts w:ascii="Palatino Linotype" w:eastAsia="Palatino Linotype" w:hAnsi="Palatino Linotype" w:cs="Palatino Linotype"/>
          <w:i/>
        </w:rPr>
        <w:t xml:space="preserve"> los </w:t>
      </w:r>
      <w:r w:rsidRPr="006B1104">
        <w:rPr>
          <w:rFonts w:ascii="Palatino Linotype" w:eastAsia="Palatino Linotype" w:hAnsi="Palatino Linotype" w:cs="Palatino Linotype"/>
          <w:b/>
          <w:i/>
        </w:rPr>
        <w:t>procedimientos</w:t>
      </w:r>
      <w:r w:rsidRPr="006B1104">
        <w:rPr>
          <w:rFonts w:ascii="Palatino Linotype" w:eastAsia="Palatino Linotype" w:hAnsi="Palatino Linotype" w:cs="Palatino Linotype"/>
          <w:i/>
        </w:rPr>
        <w:t xml:space="preserve"> que resulten necesarios </w:t>
      </w:r>
      <w:r w:rsidRPr="006B1104">
        <w:rPr>
          <w:rFonts w:ascii="Palatino Linotype" w:eastAsia="Palatino Linotype" w:hAnsi="Palatino Linotype" w:cs="Palatino Linotype"/>
          <w:b/>
          <w:i/>
        </w:rPr>
        <w:t xml:space="preserve">para el cumplimiento </w:t>
      </w:r>
      <w:r w:rsidRPr="006B1104">
        <w:rPr>
          <w:rFonts w:ascii="Palatino Linotype" w:eastAsia="Palatino Linotype" w:hAnsi="Palatino Linotype" w:cs="Palatino Linotype"/>
          <w:i/>
        </w:rPr>
        <w:t>de las disposiciones de esta Ley y para asegurar la protección de datos personales de los titulares. (…)</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b/>
          <w:i/>
        </w:rPr>
        <w:t>XXV.</w:t>
      </w:r>
      <w:r w:rsidRPr="006B1104">
        <w:rPr>
          <w:rFonts w:ascii="Palatino Linotype" w:eastAsia="Palatino Linotype" w:hAnsi="Palatino Linotype" w:cs="Palatino Linotype"/>
          <w:i/>
        </w:rPr>
        <w:t xml:space="preserve"> </w:t>
      </w:r>
      <w:r w:rsidRPr="006B1104">
        <w:rPr>
          <w:rFonts w:ascii="Palatino Linotype" w:eastAsia="Palatino Linotype" w:hAnsi="Palatino Linotype" w:cs="Palatino Linotype"/>
          <w:b/>
          <w:i/>
        </w:rPr>
        <w:t>Investigar</w:t>
      </w:r>
      <w:r w:rsidRPr="006B1104">
        <w:rPr>
          <w:rFonts w:ascii="Palatino Linotype" w:eastAsia="Palatino Linotype" w:hAnsi="Palatino Linotype" w:cs="Palatino Linotype"/>
          <w:i/>
        </w:rPr>
        <w:t xml:space="preserve"> las </w:t>
      </w:r>
      <w:r w:rsidRPr="006B1104">
        <w:rPr>
          <w:rFonts w:ascii="Palatino Linotype" w:eastAsia="Palatino Linotype" w:hAnsi="Palatino Linotype" w:cs="Palatino Linotype"/>
          <w:b/>
          <w:i/>
        </w:rPr>
        <w:t>posibles violaciones</w:t>
      </w:r>
      <w:r w:rsidRPr="006B1104">
        <w:rPr>
          <w:rFonts w:ascii="Palatino Linotype" w:eastAsia="Palatino Linotype" w:hAnsi="Palatino Linotype" w:cs="Palatino Linotype"/>
          <w:i/>
        </w:rPr>
        <w:t xml:space="preserve"> a la seguridad de los datos personales a fin de determinar la práctica de verificaciones.</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i/>
        </w:rPr>
        <w:t>(…)”</w:t>
      </w:r>
    </w:p>
    <w:p w:rsidR="00F77DFE" w:rsidRPr="006B1104" w:rsidRDefault="00EC6F3F">
      <w:pPr>
        <w:tabs>
          <w:tab w:val="left" w:pos="142"/>
          <w:tab w:val="left" w:pos="284"/>
          <w:tab w:val="left" w:pos="426"/>
          <w:tab w:val="left" w:pos="993"/>
        </w:tabs>
        <w:spacing w:line="360" w:lineRule="auto"/>
        <w:ind w:left="1134" w:right="900"/>
        <w:jc w:val="both"/>
        <w:rPr>
          <w:rFonts w:ascii="Palatino Linotype" w:eastAsia="Palatino Linotype" w:hAnsi="Palatino Linotype" w:cs="Palatino Linotype"/>
        </w:rPr>
      </w:pPr>
      <w:r w:rsidRPr="006B1104">
        <w:rPr>
          <w:rFonts w:ascii="Palatino Linotype" w:eastAsia="Palatino Linotype" w:hAnsi="Palatino Linotype" w:cs="Palatino Linotype"/>
        </w:rPr>
        <w:t>(Énfasis añadido)</w:t>
      </w:r>
    </w:p>
    <w:p w:rsidR="00F77DFE" w:rsidRPr="006B1104" w:rsidRDefault="00F77DFE">
      <w:pPr>
        <w:tabs>
          <w:tab w:val="left" w:pos="426"/>
        </w:tabs>
        <w:spacing w:line="360" w:lineRule="auto"/>
        <w:ind w:right="51"/>
        <w:jc w:val="both"/>
        <w:rPr>
          <w:rFonts w:ascii="Palatino Linotype" w:eastAsia="Palatino Linotype" w:hAnsi="Palatino Linotype" w:cs="Palatino Linotype"/>
          <w:color w:val="000000"/>
        </w:rPr>
      </w:pPr>
    </w:p>
    <w:p w:rsidR="00F77DFE" w:rsidRPr="006B1104" w:rsidRDefault="00EC6F3F">
      <w:pPr>
        <w:numPr>
          <w:ilvl w:val="0"/>
          <w:numId w:val="5"/>
        </w:numPr>
        <w:spacing w:line="360" w:lineRule="auto"/>
        <w:ind w:left="0"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Por </w:t>
      </w:r>
      <w:r w:rsidRPr="006B1104">
        <w:rPr>
          <w:rFonts w:ascii="Palatino Linotype" w:eastAsia="Palatino Linotype" w:hAnsi="Palatino Linotype" w:cs="Palatino Linotype"/>
          <w:color w:val="000000"/>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6B1104">
        <w:rPr>
          <w:rFonts w:ascii="Palatino Linotype" w:eastAsia="Palatino Linotype" w:hAnsi="Palatino Linotype" w:cs="Palatino Linotype"/>
        </w:rPr>
        <w:t>Investigar las posibles violaciones a la seguridad de los datos personales a fin de determinar la práctica de verificaciones.</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right="49"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adscritos al Organismo de Agua y Saneamiento de Toluca. Por dicha información es menester hacer del conocimiento de la persona que solicitó la información, que ahora se encuentra sujeto a la </w:t>
      </w:r>
      <w:r w:rsidRPr="006B1104">
        <w:rPr>
          <w:rFonts w:ascii="Palatino Linotype" w:eastAsia="Palatino Linotype" w:hAnsi="Palatino Linotype" w:cs="Palatino Linotype"/>
          <w:b/>
        </w:rPr>
        <w:t>LEY FEDERAL DE PROTECCIÓN DE DATOS PERSONALES EN POSESIÓN DE LOS PARTICULARES</w:t>
      </w:r>
      <w:r w:rsidRPr="006B1104">
        <w:rPr>
          <w:rFonts w:ascii="Palatino Linotype" w:eastAsia="Palatino Linotype" w:hAnsi="Palatino Linotype" w:cs="Palatino Linotype"/>
        </w:rPr>
        <w:t xml:space="preserve"> que señala puntualmente en su artículo 1 lo siguiente:</w:t>
      </w:r>
    </w:p>
    <w:p w:rsidR="00F77DFE" w:rsidRPr="006B1104" w:rsidRDefault="00F77DFE">
      <w:pPr>
        <w:spacing w:line="360" w:lineRule="auto"/>
        <w:ind w:left="720"/>
        <w:rPr>
          <w:rFonts w:ascii="Palatino Linotype" w:eastAsia="Palatino Linotype" w:hAnsi="Palatino Linotype" w:cs="Palatino Linotype"/>
        </w:rPr>
      </w:pPr>
    </w:p>
    <w:p w:rsidR="00F77DFE" w:rsidRPr="006B1104" w:rsidRDefault="00EC6F3F">
      <w:pPr>
        <w:spacing w:line="360" w:lineRule="auto"/>
        <w:ind w:left="1134" w:right="900"/>
        <w:jc w:val="both"/>
        <w:rPr>
          <w:rFonts w:ascii="Palatino Linotype" w:eastAsia="Palatino Linotype" w:hAnsi="Palatino Linotype" w:cs="Palatino Linotype"/>
          <w:i/>
        </w:rPr>
      </w:pPr>
      <w:r w:rsidRPr="006B1104">
        <w:rPr>
          <w:rFonts w:ascii="Palatino Linotype" w:eastAsia="Palatino Linotype" w:hAnsi="Palatino Linotype" w:cs="Palatino Linotype"/>
          <w:i/>
        </w:rPr>
        <w:t xml:space="preserve">Artículo 1.- La presente Ley es de orden público y de observancia general en toda la República y </w:t>
      </w:r>
      <w:r w:rsidRPr="006B1104">
        <w:rPr>
          <w:rFonts w:ascii="Palatino Linotype" w:eastAsia="Palatino Linotype" w:hAnsi="Palatino Linotype" w:cs="Palatino Linotype"/>
          <w:b/>
          <w:i/>
        </w:rPr>
        <w:t>tiene por objeto la protección de los datos personales en posesión de los particulares</w:t>
      </w:r>
      <w:r w:rsidRPr="006B1104">
        <w:rPr>
          <w:rFonts w:ascii="Palatino Linotype" w:eastAsia="Palatino Linotype" w:hAnsi="Palatino Linotype" w:cs="Palatino Linotype"/>
          <w:i/>
        </w:rPr>
        <w:t>, con la finalidad de regular su tratamiento legítimo, controlado e informado, a efecto de garantizar la privacidad y el derecho a la autodeterminación informativa de las personas.</w:t>
      </w:r>
    </w:p>
    <w:p w:rsidR="00F77DFE" w:rsidRPr="006B1104" w:rsidRDefault="00F77DFE">
      <w:pPr>
        <w:spacing w:line="360" w:lineRule="auto"/>
        <w:ind w:left="708" w:right="49" w:hanging="708"/>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right="49" w:firstLine="0"/>
        <w:jc w:val="both"/>
        <w:rPr>
          <w:rFonts w:ascii="Palatino Linotype" w:eastAsia="Palatino Linotype" w:hAnsi="Palatino Linotype" w:cs="Palatino Linotype"/>
        </w:rPr>
      </w:pPr>
      <w:r w:rsidRPr="006B1104">
        <w:rPr>
          <w:rFonts w:ascii="Palatino Linotype" w:eastAsia="Palatino Linotype" w:hAnsi="Palatino Linotype" w:cs="Palatino Linotype"/>
        </w:rPr>
        <w:t>En ese escenario, el particular deberá de ser responsable en el buen uso de la información proporcionada, pues se trata de datos personales que le fueron proporcionados por haber incurrido en una probable violación a la privacidad de las personas.</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EC6F3F">
      <w:pPr>
        <w:numPr>
          <w:ilvl w:val="0"/>
          <w:numId w:val="5"/>
        </w:numPr>
        <w:spacing w:line="360" w:lineRule="auto"/>
        <w:ind w:left="0" w:right="34" w:firstLine="0"/>
        <w:jc w:val="both"/>
        <w:rPr>
          <w:rFonts w:ascii="Palatino Linotype" w:eastAsia="Palatino Linotype" w:hAnsi="Palatino Linotype" w:cs="Palatino Linotype"/>
          <w:color w:val="000000"/>
        </w:rPr>
      </w:pPr>
      <w:r w:rsidRPr="006B1104">
        <w:rPr>
          <w:rFonts w:ascii="Palatino Linotype" w:eastAsia="Palatino Linotype" w:hAnsi="Palatino Linotype" w:cs="Palatino Linotype"/>
        </w:rPr>
        <w:t xml:space="preserve">Por lo anteriormente expuesto, este Órgano Garante considera con fundamento en el artículo 186 fracción III de la Ley de Transparencia y Acceso a la Información Pública del Estado de México y Municipios, es procedente </w:t>
      </w:r>
      <w:r w:rsidRPr="006B1104">
        <w:rPr>
          <w:rFonts w:ascii="Palatino Linotype" w:eastAsia="Palatino Linotype" w:hAnsi="Palatino Linotype" w:cs="Palatino Linotype"/>
          <w:b/>
        </w:rPr>
        <w:t xml:space="preserve">MODIFICAR </w:t>
      </w:r>
      <w:r w:rsidRPr="006B1104">
        <w:rPr>
          <w:rFonts w:ascii="Palatino Linotype" w:eastAsia="Palatino Linotype" w:hAnsi="Palatino Linotype" w:cs="Palatino Linotype"/>
        </w:rPr>
        <w:t xml:space="preserve">la respuesta otorgada por el SUJETO OBLIGADO  a la solicitud de información </w:t>
      </w:r>
      <w:r w:rsidR="001F5535" w:rsidRPr="006B1104">
        <w:rPr>
          <w:rFonts w:ascii="Palatino Linotype" w:eastAsia="Palatino Linotype" w:hAnsi="Palatino Linotype" w:cs="Palatino Linotype"/>
          <w:b/>
        </w:rPr>
        <w:t xml:space="preserve">00138/OASTOL/IP/2024, </w:t>
      </w:r>
      <w:r w:rsidR="001F5535" w:rsidRPr="006B1104">
        <w:rPr>
          <w:rFonts w:ascii="Palatino Linotype" w:eastAsia="Palatino Linotype" w:hAnsi="Palatino Linotype" w:cs="Palatino Linotype"/>
        </w:rPr>
        <w:t xml:space="preserve">por resultar fundadas las razones o motivos de conformidad hechos valer por el RECURRENTE, en el Recurso de Revisión </w:t>
      </w:r>
      <w:r w:rsidR="001F5535" w:rsidRPr="006B1104">
        <w:rPr>
          <w:rFonts w:ascii="Palatino Linotype" w:eastAsia="Palatino Linotype" w:hAnsi="Palatino Linotype" w:cs="Palatino Linotype"/>
          <w:b/>
        </w:rPr>
        <w:t>06548/INFOEM/IP/RR2024</w:t>
      </w:r>
      <w:r w:rsidR="001F5535" w:rsidRPr="006B1104">
        <w:rPr>
          <w:rFonts w:ascii="Palatino Linotype" w:eastAsia="Palatino Linotype" w:hAnsi="Palatino Linotype" w:cs="Palatino Linotype"/>
        </w:rPr>
        <w:t xml:space="preserve">, </w:t>
      </w:r>
      <w:r w:rsidR="00912935" w:rsidRPr="006B1104">
        <w:rPr>
          <w:rFonts w:ascii="Palatino Linotype" w:eastAsia="Palatino Linotype" w:hAnsi="Palatino Linotype" w:cs="Palatino Linotype"/>
        </w:rPr>
        <w:t xml:space="preserve">en consecuencia se procede a </w:t>
      </w:r>
      <w:r w:rsidR="00912935" w:rsidRPr="006B1104">
        <w:rPr>
          <w:rFonts w:ascii="Palatino Linotype" w:eastAsia="Palatino Linotype" w:hAnsi="Palatino Linotype" w:cs="Palatino Linotype"/>
          <w:b/>
        </w:rPr>
        <w:t xml:space="preserve">ORDENAR, </w:t>
      </w:r>
      <w:r w:rsidR="00912935" w:rsidRPr="006B1104">
        <w:rPr>
          <w:rFonts w:ascii="Palatino Linotype" w:eastAsia="Palatino Linotype" w:hAnsi="Palatino Linotype" w:cs="Palatino Linotype"/>
        </w:rPr>
        <w:t>la entrega de la información en los términos señalados.</w:t>
      </w:r>
    </w:p>
    <w:p w:rsidR="00F77DFE" w:rsidRPr="006B1104" w:rsidRDefault="00F77DFE">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77DFE" w:rsidRPr="006B1104" w:rsidRDefault="00EC6F3F">
      <w:pPr>
        <w:tabs>
          <w:tab w:val="left" w:pos="709"/>
        </w:tabs>
        <w:spacing w:line="360" w:lineRule="auto"/>
        <w:ind w:right="51"/>
        <w:jc w:val="both"/>
        <w:rPr>
          <w:rFonts w:ascii="Palatino Linotype" w:eastAsia="Palatino Linotype" w:hAnsi="Palatino Linotype" w:cs="Palatino Linotype"/>
        </w:rPr>
      </w:pPr>
      <w:r w:rsidRPr="006B1104">
        <w:rPr>
          <w:rFonts w:ascii="Palatino Linotype" w:eastAsia="Palatino Linotype" w:hAnsi="Palatino Linotype" w:cs="Palatino Linotype"/>
        </w:rPr>
        <w:t>Por lo antes expuesto y fundado se emiten los siguientes:</w:t>
      </w:r>
    </w:p>
    <w:p w:rsidR="00F77DFE" w:rsidRPr="006B1104" w:rsidRDefault="00F77DFE">
      <w:pPr>
        <w:tabs>
          <w:tab w:val="left" w:pos="709"/>
        </w:tabs>
        <w:spacing w:line="360" w:lineRule="auto"/>
        <w:ind w:right="51"/>
        <w:jc w:val="both"/>
        <w:rPr>
          <w:rFonts w:ascii="Palatino Linotype" w:eastAsia="Palatino Linotype" w:hAnsi="Palatino Linotype" w:cs="Palatino Linotype"/>
        </w:rPr>
      </w:pPr>
    </w:p>
    <w:p w:rsidR="00F77DFE" w:rsidRPr="006B1104" w:rsidRDefault="00EC6F3F">
      <w:pPr>
        <w:tabs>
          <w:tab w:val="left" w:pos="709"/>
        </w:tabs>
        <w:spacing w:line="360" w:lineRule="auto"/>
        <w:ind w:right="51"/>
        <w:jc w:val="center"/>
        <w:rPr>
          <w:rFonts w:ascii="Palatino Linotype" w:eastAsia="Palatino Linotype" w:hAnsi="Palatino Linotype" w:cs="Palatino Linotype"/>
          <w:b/>
        </w:rPr>
      </w:pPr>
      <w:r w:rsidRPr="006B1104">
        <w:rPr>
          <w:rFonts w:ascii="Palatino Linotype" w:eastAsia="Palatino Linotype" w:hAnsi="Palatino Linotype" w:cs="Palatino Linotype"/>
          <w:b/>
        </w:rPr>
        <w:lastRenderedPageBreak/>
        <w:t>R E S O L U T I V O S</w:t>
      </w:r>
    </w:p>
    <w:p w:rsidR="00F77DFE" w:rsidRPr="006B1104" w:rsidRDefault="00F77DFE">
      <w:pPr>
        <w:tabs>
          <w:tab w:val="left" w:pos="709"/>
        </w:tabs>
        <w:spacing w:line="360" w:lineRule="auto"/>
        <w:ind w:right="51"/>
        <w:jc w:val="center"/>
        <w:rPr>
          <w:rFonts w:ascii="Palatino Linotype" w:eastAsia="Palatino Linotype" w:hAnsi="Palatino Linotype" w:cs="Palatino Linotype"/>
          <w:b/>
        </w:rPr>
      </w:pPr>
    </w:p>
    <w:p w:rsidR="00F77DFE" w:rsidRPr="006B1104" w:rsidRDefault="00EC6F3F">
      <w:pPr>
        <w:spacing w:line="360" w:lineRule="auto"/>
        <w:jc w:val="both"/>
        <w:rPr>
          <w:rFonts w:ascii="Palatino Linotype" w:eastAsia="Palatino Linotype" w:hAnsi="Palatino Linotype" w:cs="Palatino Linotype"/>
        </w:rPr>
      </w:pPr>
      <w:r w:rsidRPr="006B1104">
        <w:rPr>
          <w:rFonts w:ascii="Palatino Linotype" w:eastAsia="Palatino Linotype" w:hAnsi="Palatino Linotype" w:cs="Palatino Linotype"/>
          <w:b/>
        </w:rPr>
        <w:t>PRIMERO.</w:t>
      </w:r>
      <w:r w:rsidRPr="006B1104">
        <w:rPr>
          <w:rFonts w:ascii="Palatino Linotype" w:eastAsia="Palatino Linotype" w:hAnsi="Palatino Linotype" w:cs="Palatino Linotype"/>
        </w:rPr>
        <w:t xml:space="preserve"> Se </w:t>
      </w:r>
      <w:r w:rsidR="00912935" w:rsidRPr="006B1104">
        <w:rPr>
          <w:rFonts w:ascii="Palatino Linotype" w:eastAsia="Palatino Linotype" w:hAnsi="Palatino Linotype" w:cs="Palatino Linotype"/>
          <w:b/>
        </w:rPr>
        <w:t>MODIFICA</w:t>
      </w:r>
      <w:r w:rsidRPr="006B1104">
        <w:rPr>
          <w:rFonts w:ascii="Palatino Linotype" w:eastAsia="Palatino Linotype" w:hAnsi="Palatino Linotype" w:cs="Palatino Linotype"/>
          <w:b/>
        </w:rPr>
        <w:t xml:space="preserve"> </w:t>
      </w:r>
      <w:r w:rsidRPr="006B1104">
        <w:rPr>
          <w:rFonts w:ascii="Palatino Linotype" w:eastAsia="Palatino Linotype" w:hAnsi="Palatino Linotype" w:cs="Palatino Linotype"/>
        </w:rPr>
        <w:t>la respuesta entregada por el</w:t>
      </w:r>
      <w:r w:rsidRPr="006B1104">
        <w:rPr>
          <w:rFonts w:ascii="Palatino Linotype" w:eastAsia="Palatino Linotype" w:hAnsi="Palatino Linotype" w:cs="Palatino Linotype"/>
          <w:b/>
        </w:rPr>
        <w:t xml:space="preserve"> Sujeto Obligado </w:t>
      </w:r>
      <w:r w:rsidRPr="006B1104">
        <w:rPr>
          <w:rFonts w:ascii="Palatino Linotype" w:eastAsia="Palatino Linotype" w:hAnsi="Palatino Linotype" w:cs="Palatino Linotype"/>
        </w:rPr>
        <w:t xml:space="preserve">a la solicitud de información número </w:t>
      </w:r>
      <w:r w:rsidRPr="006B1104">
        <w:rPr>
          <w:rFonts w:ascii="Palatino Linotype" w:eastAsia="Palatino Linotype" w:hAnsi="Palatino Linotype" w:cs="Palatino Linotype"/>
          <w:b/>
        </w:rPr>
        <w:t xml:space="preserve">00138/OASTOL/IP/2024, </w:t>
      </w:r>
      <w:r w:rsidR="002C0A32" w:rsidRPr="006B1104">
        <w:rPr>
          <w:rFonts w:ascii="Palatino Linotype" w:eastAsia="Palatino Linotype" w:hAnsi="Palatino Linotype" w:cs="Palatino Linotype"/>
        </w:rPr>
        <w:t xml:space="preserve">por resultar </w:t>
      </w:r>
      <w:r w:rsidRPr="006B1104">
        <w:rPr>
          <w:rFonts w:ascii="Palatino Linotype" w:eastAsia="Palatino Linotype" w:hAnsi="Palatino Linotype" w:cs="Palatino Linotype"/>
        </w:rPr>
        <w:t xml:space="preserve">fundados los motivos de inconformidad que arguye </w:t>
      </w:r>
      <w:r w:rsidRPr="006B1104">
        <w:rPr>
          <w:rFonts w:ascii="Palatino Linotype" w:eastAsia="Palatino Linotype" w:hAnsi="Palatino Linotype" w:cs="Palatino Linotype"/>
          <w:b/>
        </w:rPr>
        <w:t xml:space="preserve">EL RECURRENTE, </w:t>
      </w:r>
      <w:r w:rsidRPr="006B1104">
        <w:rPr>
          <w:rFonts w:ascii="Palatino Linotype" w:eastAsia="Palatino Linotype" w:hAnsi="Palatino Linotype" w:cs="Palatino Linotype"/>
        </w:rPr>
        <w:t xml:space="preserve">en términos del </w:t>
      </w:r>
      <w:r w:rsidRPr="006B1104">
        <w:rPr>
          <w:rFonts w:ascii="Palatino Linotype" w:eastAsia="Palatino Linotype" w:hAnsi="Palatino Linotype" w:cs="Palatino Linotype"/>
          <w:b/>
        </w:rPr>
        <w:t>Considerando CUARTO</w:t>
      </w:r>
      <w:r w:rsidRPr="006B1104">
        <w:rPr>
          <w:rFonts w:ascii="Palatino Linotype" w:eastAsia="Palatino Linotype" w:hAnsi="Palatino Linotype" w:cs="Palatino Linotype"/>
        </w:rPr>
        <w:t xml:space="preserve"> de la presente resolución.</w:t>
      </w:r>
    </w:p>
    <w:p w:rsidR="00F77DFE" w:rsidRPr="006B1104" w:rsidRDefault="00F77DFE">
      <w:pPr>
        <w:spacing w:line="360" w:lineRule="auto"/>
        <w:jc w:val="both"/>
        <w:rPr>
          <w:rFonts w:ascii="Palatino Linotype" w:eastAsia="Palatino Linotype" w:hAnsi="Palatino Linotype" w:cs="Palatino Linotype"/>
        </w:rPr>
      </w:pPr>
    </w:p>
    <w:p w:rsidR="00912935" w:rsidRPr="006B1104" w:rsidRDefault="00EC6F3F" w:rsidP="00912935">
      <w:pPr>
        <w:spacing w:line="360" w:lineRule="auto"/>
        <w:jc w:val="both"/>
        <w:rPr>
          <w:rFonts w:ascii="Palatino Linotype" w:eastAsia="Palatino Linotype" w:hAnsi="Palatino Linotype" w:cs="Palatino Linotype"/>
          <w:b/>
        </w:rPr>
      </w:pPr>
      <w:r w:rsidRPr="006B1104">
        <w:rPr>
          <w:rFonts w:ascii="Palatino Linotype" w:eastAsia="Palatino Linotype" w:hAnsi="Palatino Linotype" w:cs="Palatino Linotype"/>
          <w:b/>
        </w:rPr>
        <w:t xml:space="preserve">SEGUNDO. </w:t>
      </w:r>
      <w:r w:rsidR="00912935" w:rsidRPr="006B1104">
        <w:rPr>
          <w:rFonts w:ascii="Palatino Linotype" w:eastAsia="Palatino Linotype" w:hAnsi="Palatino Linotype" w:cs="Palatino Linotype"/>
        </w:rPr>
        <w:t xml:space="preserve">Se </w:t>
      </w:r>
      <w:r w:rsidR="00912935" w:rsidRPr="006B1104">
        <w:rPr>
          <w:rFonts w:ascii="Palatino Linotype" w:eastAsia="Palatino Linotype" w:hAnsi="Palatino Linotype" w:cs="Palatino Linotype"/>
          <w:b/>
        </w:rPr>
        <w:t xml:space="preserve">ORDENA </w:t>
      </w:r>
      <w:r w:rsidR="00912935" w:rsidRPr="006B1104">
        <w:rPr>
          <w:rFonts w:ascii="Palatino Linotype" w:hAnsi="Palatino Linotype"/>
          <w:color w:val="000000"/>
        </w:rPr>
        <w:t>al Sujeto Obligado, a efecto de que haga entrega en versión correcta del Acuerdo de Clasificación de la Información solicitada remitido en respuesta.</w:t>
      </w:r>
    </w:p>
    <w:p w:rsidR="00912935" w:rsidRPr="006B1104" w:rsidRDefault="00912935" w:rsidP="00912935">
      <w:pPr>
        <w:spacing w:line="360" w:lineRule="auto"/>
        <w:jc w:val="both"/>
        <w:rPr>
          <w:rFonts w:ascii="Palatino Linotype" w:eastAsia="Palatino Linotype" w:hAnsi="Palatino Linotype" w:cs="Palatino Linotype"/>
          <w:b/>
        </w:rPr>
      </w:pPr>
    </w:p>
    <w:p w:rsidR="00912935" w:rsidRPr="006B1104" w:rsidRDefault="00912935" w:rsidP="00912935">
      <w:pPr>
        <w:tabs>
          <w:tab w:val="left" w:pos="284"/>
          <w:tab w:val="left" w:pos="8080"/>
        </w:tabs>
        <w:spacing w:line="360" w:lineRule="auto"/>
        <w:ind w:right="49"/>
        <w:contextualSpacing/>
        <w:jc w:val="both"/>
        <w:rPr>
          <w:rFonts w:ascii="Palatino Linotype" w:eastAsia="Palatino Linotype" w:hAnsi="Palatino Linotype" w:cs="Palatino Linotype"/>
          <w:b/>
          <w:lang w:val="es-ES_tradnl"/>
        </w:rPr>
      </w:pPr>
      <w:r w:rsidRPr="006B1104">
        <w:rPr>
          <w:rFonts w:ascii="Palatino Linotype" w:eastAsia="Palatino Linotype" w:hAnsi="Palatino Linotype" w:cs="Palatino Linotype"/>
          <w:b/>
        </w:rPr>
        <w:t xml:space="preserve">TERCERO. </w:t>
      </w:r>
      <w:r w:rsidRPr="006B1104">
        <w:rPr>
          <w:rFonts w:ascii="Palatino Linotype" w:hAnsi="Palatino Linotype" w:cs="Arial"/>
          <w:b/>
          <w:color w:val="222222"/>
          <w:shd w:val="clear" w:color="auto" w:fill="FFFFFF"/>
        </w:rPr>
        <w:t>NOTIFÍQUESE</w:t>
      </w:r>
      <w:r w:rsidRPr="006B1104">
        <w:rPr>
          <w:rFonts w:ascii="Palatino Linotype" w:hAnsi="Palatino Linotype" w:cs="Arial"/>
          <w:color w:val="222222"/>
          <w:shd w:val="clear" w:color="auto" w:fill="FFFFFF"/>
        </w:rPr>
        <w:t xml:space="preserve"> la presente resolución al Titular de la Unidad de Transparencia del Sujeto Obligado</w:t>
      </w:r>
      <w:r w:rsidR="002C0A32" w:rsidRPr="006B1104">
        <w:rPr>
          <w:rFonts w:ascii="Palatino Linotype" w:hAnsi="Palatino Linotype" w:cs="Arial"/>
          <w:color w:val="222222"/>
          <w:shd w:val="clear" w:color="auto" w:fill="FFFFFF"/>
        </w:rPr>
        <w:t xml:space="preserve"> vía SAIMEX</w:t>
      </w:r>
      <w:r w:rsidRPr="006B1104">
        <w:rPr>
          <w:rFonts w:ascii="Palatino Linotype" w:hAnsi="Palatino Linotype" w:cs="Arial"/>
          <w:color w:val="222222"/>
          <w:shd w:val="clear" w:color="auto" w:fill="FFFFFF"/>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77DFE" w:rsidRPr="006B1104" w:rsidRDefault="00F77DFE" w:rsidP="00912935">
      <w:pPr>
        <w:spacing w:line="360" w:lineRule="auto"/>
        <w:jc w:val="both"/>
        <w:rPr>
          <w:rFonts w:ascii="Palatino Linotype" w:eastAsia="Palatino Linotype" w:hAnsi="Palatino Linotype" w:cs="Palatino Linotype"/>
          <w:b/>
        </w:rPr>
      </w:pPr>
    </w:p>
    <w:p w:rsidR="00912935" w:rsidRPr="006B1104" w:rsidRDefault="00912935" w:rsidP="00912935">
      <w:pPr>
        <w:shd w:val="clear" w:color="auto" w:fill="FFFFFF"/>
        <w:tabs>
          <w:tab w:val="left" w:pos="284"/>
        </w:tabs>
        <w:spacing w:line="360" w:lineRule="auto"/>
        <w:jc w:val="both"/>
        <w:rPr>
          <w:rFonts w:ascii="Palatino Linotype" w:eastAsia="MS Mincho" w:hAnsi="Palatino Linotype"/>
          <w:lang w:val="es-ES_tradnl"/>
        </w:rPr>
      </w:pPr>
      <w:r w:rsidRPr="006B1104">
        <w:rPr>
          <w:rFonts w:ascii="Palatino Linotype" w:hAnsi="Palatino Linotype" w:cs="Arial"/>
          <w:b/>
          <w:lang w:val="es-ES_tradnl"/>
        </w:rPr>
        <w:lastRenderedPageBreak/>
        <w:t xml:space="preserve">CUARTO. </w:t>
      </w:r>
      <w:r w:rsidRPr="006B1104">
        <w:rPr>
          <w:rFonts w:ascii="Palatino Linotype" w:hAnsi="Palatino Linotype"/>
          <w:b/>
          <w:bCs/>
          <w:color w:val="222222"/>
          <w:lang w:val="es-ES"/>
        </w:rPr>
        <w:t xml:space="preserve">Notifíquese </w:t>
      </w:r>
      <w:r w:rsidRPr="006B1104">
        <w:rPr>
          <w:rFonts w:ascii="Palatino Linotype" w:hAnsi="Palatino Linotype"/>
          <w:bCs/>
          <w:color w:val="222222"/>
          <w:lang w:val="es-ES"/>
        </w:rPr>
        <w:t xml:space="preserve">al </w:t>
      </w:r>
      <w:r w:rsidRPr="006B1104">
        <w:rPr>
          <w:rFonts w:ascii="Palatino Linotype" w:hAnsi="Palatino Linotype"/>
          <w:b/>
          <w:bCs/>
          <w:color w:val="222222"/>
          <w:lang w:val="es-ES"/>
        </w:rPr>
        <w:t>RECURRENTE</w:t>
      </w:r>
      <w:r w:rsidRPr="006B1104">
        <w:rPr>
          <w:rFonts w:ascii="Palatino Linotype" w:hAnsi="Palatino Linotype"/>
          <w:b/>
          <w:color w:val="222222"/>
          <w:lang w:val="es-ES"/>
        </w:rPr>
        <w:t xml:space="preserve"> </w:t>
      </w:r>
      <w:r w:rsidRPr="006B1104">
        <w:rPr>
          <w:rFonts w:ascii="Palatino Linotype" w:eastAsiaTheme="minorEastAsia" w:hAnsi="Palatino Linotype"/>
          <w:lang w:val="es-ES_tradnl"/>
        </w:rPr>
        <w:t>la presente resolución</w:t>
      </w:r>
      <w:r w:rsidRPr="006B1104">
        <w:rPr>
          <w:rFonts w:ascii="Palatino Linotype" w:eastAsia="MS Mincho" w:hAnsi="Palatino Linotype"/>
          <w:lang w:val="es-ES_tradnl"/>
        </w:rPr>
        <w:t xml:space="preserve"> a través del Sistema de Acceso a la Información Mexiquense (SAIMEX).</w:t>
      </w:r>
    </w:p>
    <w:p w:rsidR="00912935" w:rsidRPr="006B1104" w:rsidRDefault="00912935" w:rsidP="00912935">
      <w:pPr>
        <w:spacing w:line="360" w:lineRule="auto"/>
        <w:jc w:val="both"/>
        <w:rPr>
          <w:rFonts w:ascii="Palatino Linotype" w:eastAsia="Palatino Linotype" w:hAnsi="Palatino Linotype" w:cs="Palatino Linotype"/>
          <w:b/>
        </w:rPr>
      </w:pPr>
    </w:p>
    <w:p w:rsidR="00F77DFE" w:rsidRPr="006B1104" w:rsidRDefault="00912935">
      <w:pPr>
        <w:spacing w:line="360" w:lineRule="auto"/>
        <w:jc w:val="both"/>
        <w:rPr>
          <w:rFonts w:ascii="Palatino Linotype" w:eastAsia="Palatino Linotype" w:hAnsi="Palatino Linotype" w:cs="Palatino Linotype"/>
        </w:rPr>
      </w:pPr>
      <w:r w:rsidRPr="006B1104">
        <w:rPr>
          <w:rFonts w:ascii="Palatino Linotype" w:eastAsia="Palatino Linotype" w:hAnsi="Palatino Linotype" w:cs="Palatino Linotype"/>
          <w:b/>
        </w:rPr>
        <w:t>QUINT</w:t>
      </w:r>
      <w:r w:rsidR="00EC6F3F" w:rsidRPr="006B1104">
        <w:rPr>
          <w:rFonts w:ascii="Palatino Linotype" w:eastAsia="Palatino Linotype" w:hAnsi="Palatino Linotype" w:cs="Palatino Linotype"/>
          <w:b/>
        </w:rPr>
        <w:t xml:space="preserve">O. </w:t>
      </w:r>
      <w:r w:rsidR="00EC6F3F" w:rsidRPr="006B1104">
        <w:rPr>
          <w:rFonts w:ascii="Palatino Linotype" w:eastAsia="Palatino Linotype" w:hAnsi="Palatino Linotype" w:cs="Palatino Linotype"/>
        </w:rPr>
        <w:t>Se hace del conocimiento del</w:t>
      </w:r>
      <w:r w:rsidR="00EC6F3F" w:rsidRPr="006B1104">
        <w:rPr>
          <w:rFonts w:ascii="Palatino Linotype" w:eastAsia="Palatino Linotype" w:hAnsi="Palatino Linotype" w:cs="Palatino Linotype"/>
          <w:b/>
        </w:rPr>
        <w:t xml:space="preserve"> RECURRENTE </w:t>
      </w:r>
      <w:r w:rsidR="00EC6F3F" w:rsidRPr="006B1104">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F77DFE" w:rsidRPr="006B1104" w:rsidRDefault="00F77DFE">
      <w:pPr>
        <w:spacing w:line="360" w:lineRule="auto"/>
        <w:jc w:val="both"/>
        <w:rPr>
          <w:rFonts w:ascii="Palatino Linotype" w:eastAsia="Palatino Linotype" w:hAnsi="Palatino Linotype" w:cs="Palatino Linotype"/>
        </w:rPr>
      </w:pPr>
    </w:p>
    <w:p w:rsidR="00F77DFE" w:rsidRPr="006B1104" w:rsidRDefault="008E53B7">
      <w:pPr>
        <w:shd w:val="clear" w:color="auto" w:fill="FFFFFF"/>
        <w:spacing w:line="360" w:lineRule="auto"/>
        <w:jc w:val="both"/>
        <w:rPr>
          <w:rFonts w:ascii="Palatino Linotype" w:eastAsia="Palatino Linotype" w:hAnsi="Palatino Linotype" w:cs="Palatino Linotype"/>
        </w:rPr>
      </w:pPr>
      <w:r w:rsidRPr="006B1104">
        <w:rPr>
          <w:rFonts w:ascii="Palatino Linotype" w:eastAsia="Palatino Linotype" w:hAnsi="Palatino Linotype" w:cs="Palatino Linotype"/>
          <w:b/>
        </w:rPr>
        <w:t>SEXTO</w:t>
      </w:r>
      <w:r w:rsidR="00EC6F3F" w:rsidRPr="006B1104">
        <w:rPr>
          <w:rFonts w:ascii="Palatino Linotype" w:eastAsia="Palatino Linotype" w:hAnsi="Palatino Linotype" w:cs="Palatino Linotype"/>
          <w:b/>
        </w:rPr>
        <w:t>.</w:t>
      </w:r>
      <w:r w:rsidR="00EC6F3F" w:rsidRPr="006B1104">
        <w:rPr>
          <w:rFonts w:ascii="Palatino Linotype" w:eastAsia="Palatino Linotype" w:hAnsi="Palatino Linotype" w:cs="Palatino Linotype"/>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QUINTO de la presente Resolución.</w:t>
      </w:r>
    </w:p>
    <w:p w:rsidR="00F77DFE" w:rsidRPr="006B1104" w:rsidRDefault="00F77DFE">
      <w:pPr>
        <w:shd w:val="clear" w:color="auto" w:fill="FFFFFF"/>
        <w:spacing w:line="360" w:lineRule="auto"/>
        <w:jc w:val="both"/>
        <w:rPr>
          <w:rFonts w:ascii="Palatino Linotype" w:eastAsia="Palatino Linotype" w:hAnsi="Palatino Linotype" w:cs="Palatino Linotype"/>
        </w:rPr>
      </w:pPr>
    </w:p>
    <w:p w:rsidR="002C0A32" w:rsidRPr="003C7186" w:rsidRDefault="002C0A32" w:rsidP="002C0A32">
      <w:pPr>
        <w:spacing w:line="360" w:lineRule="auto"/>
        <w:ind w:left="-142" w:right="-234" w:firstLine="1"/>
        <w:jc w:val="both"/>
        <w:rPr>
          <w:rFonts w:ascii="Palatino Linotype" w:hAnsi="Palatino Linotype"/>
        </w:rPr>
      </w:pPr>
      <w:bookmarkStart w:id="8" w:name="_heading=h.3rdcrjn" w:colFirst="0" w:colLast="0"/>
      <w:bookmarkEnd w:id="8"/>
      <w:r w:rsidRPr="006B1104">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221BC" w:rsidRPr="006B1104">
        <w:rPr>
          <w:rFonts w:ascii="Palatino Linotype" w:hAnsi="Palatino Linotype"/>
        </w:rPr>
        <w:t xml:space="preserve">EMITIENDO VOTO PARTICULAR CONCURRENTE </w:t>
      </w:r>
      <w:r w:rsidRPr="006B1104">
        <w:rPr>
          <w:rFonts w:ascii="Palatino Linotype" w:hAnsi="Palatino Linotype"/>
        </w:rPr>
        <w:t>Y GUADALUPE RAMÍREZ PEÑA</w:t>
      </w:r>
      <w:r w:rsidR="008221BC" w:rsidRPr="006B1104">
        <w:rPr>
          <w:rFonts w:ascii="Palatino Linotype" w:hAnsi="Palatino Linotype"/>
        </w:rPr>
        <w:t xml:space="preserve"> EMITIENDO VOTO PARTICULAR CONCURRENTE</w:t>
      </w:r>
      <w:r w:rsidRPr="006B1104">
        <w:rPr>
          <w:rFonts w:ascii="Palatino Linotype" w:hAnsi="Palatino Linotype"/>
        </w:rPr>
        <w:t xml:space="preserve">; EN LA </w:t>
      </w:r>
      <w:r w:rsidRPr="006B1104">
        <w:rPr>
          <w:rFonts w:ascii="Palatino Linotype" w:hAnsi="Palatino Linotype"/>
        </w:rPr>
        <w:lastRenderedPageBreak/>
        <w:t>SEGUNDA SESIÓN ORDINARIA CELEBRADA EL VEINTIDÓS (22) DE ENERO DE DOS MIL VEINTICINCO, ANTE EL SECRETARIO TÉCNICO DEL PLENO ALEXIS TAPIA RAMÍREZ.</w:t>
      </w:r>
      <w:bookmarkStart w:id="9" w:name="_GoBack"/>
      <w:bookmarkEnd w:id="9"/>
      <w:r w:rsidRPr="003C7186">
        <w:rPr>
          <w:rFonts w:ascii="Palatino Linotype" w:hAnsi="Palatino Linotype"/>
        </w:rPr>
        <w:t xml:space="preserve"> </w:t>
      </w:r>
    </w:p>
    <w:p w:rsidR="00F77DFE" w:rsidRDefault="00F77DF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p>
    <w:sectPr w:rsidR="00F77DFE">
      <w:headerReference w:type="even" r:id="rId9"/>
      <w:headerReference w:type="default" r:id="rId10"/>
      <w:footerReference w:type="default" r:id="rId11"/>
      <w:headerReference w:type="first" r:id="rId12"/>
      <w:footerReference w:type="first" r:id="rId13"/>
      <w:pgSz w:w="12240" w:h="15840"/>
      <w:pgMar w:top="80" w:right="1579" w:bottom="1418" w:left="1560"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A9" w:rsidRDefault="005066A9">
      <w:r>
        <w:separator/>
      </w:r>
    </w:p>
  </w:endnote>
  <w:endnote w:type="continuationSeparator" w:id="0">
    <w:p w:rsidR="005066A9" w:rsidRDefault="0050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F3F" w:rsidRDefault="00EC6F3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B1104">
      <w:rPr>
        <w:b/>
        <w:noProof/>
        <w:color w:val="000000"/>
      </w:rPr>
      <w:t>23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B1104">
      <w:rPr>
        <w:b/>
        <w:noProof/>
        <w:color w:val="000000"/>
      </w:rPr>
      <w:t>25</w:t>
    </w:r>
    <w:r>
      <w:rPr>
        <w:b/>
        <w:color w:val="000000"/>
      </w:rPr>
      <w:fldChar w:fldCharType="end"/>
    </w:r>
  </w:p>
  <w:p w:rsidR="00EC6F3F" w:rsidRDefault="00EC6F3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F3F" w:rsidRDefault="00EC6F3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B110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B1104">
      <w:rPr>
        <w:b/>
        <w:noProof/>
        <w:color w:val="000000"/>
      </w:rPr>
      <w:t>25</w:t>
    </w:r>
    <w:r>
      <w:rPr>
        <w:b/>
        <w:color w:val="000000"/>
      </w:rPr>
      <w:fldChar w:fldCharType="end"/>
    </w:r>
  </w:p>
  <w:p w:rsidR="00EC6F3F" w:rsidRDefault="00EC6F3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A9" w:rsidRDefault="005066A9">
      <w:r>
        <w:separator/>
      </w:r>
    </w:p>
  </w:footnote>
  <w:footnote w:type="continuationSeparator" w:id="0">
    <w:p w:rsidR="005066A9" w:rsidRDefault="005066A9">
      <w:r>
        <w:continuationSeparator/>
      </w:r>
    </w:p>
  </w:footnote>
  <w:footnote w:id="1">
    <w:p w:rsidR="00EC6F3F" w:rsidRDefault="00EC6F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EC6F3F" w:rsidRDefault="00EC6F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EC6F3F" w:rsidRDefault="00EC6F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EC6F3F" w:rsidRDefault="00EC6F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F3F" w:rsidRDefault="005066A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F3F" w:rsidRDefault="00EC6F3F">
    <w:pPr>
      <w:widowControl w:val="0"/>
      <w:pBdr>
        <w:top w:val="nil"/>
        <w:left w:val="nil"/>
        <w:bottom w:val="nil"/>
        <w:right w:val="nil"/>
        <w:between w:val="nil"/>
      </w:pBdr>
      <w:spacing w:line="276" w:lineRule="auto"/>
      <w:rPr>
        <w:color w:val="000000"/>
      </w:rPr>
    </w:pPr>
  </w:p>
  <w:tbl>
    <w:tblPr>
      <w:tblStyle w:val="aa"/>
      <w:tblW w:w="9214" w:type="dxa"/>
      <w:tblInd w:w="0" w:type="dxa"/>
      <w:tblLayout w:type="fixed"/>
      <w:tblLook w:val="0400" w:firstRow="0" w:lastRow="0" w:firstColumn="0" w:lastColumn="0" w:noHBand="0" w:noVBand="1"/>
    </w:tblPr>
    <w:tblGrid>
      <w:gridCol w:w="2268"/>
      <w:gridCol w:w="6946"/>
    </w:tblGrid>
    <w:tr w:rsidR="00EC6F3F">
      <w:trPr>
        <w:trHeight w:val="1435"/>
      </w:trPr>
      <w:tc>
        <w:tcPr>
          <w:tcW w:w="2268" w:type="dxa"/>
          <w:shd w:val="clear" w:color="auto" w:fill="auto"/>
        </w:tcPr>
        <w:p w:rsidR="00EC6F3F" w:rsidRDefault="00EC6F3F">
          <w:pPr>
            <w:tabs>
              <w:tab w:val="right" w:pos="4273"/>
            </w:tabs>
            <w:rPr>
              <w:rFonts w:ascii="Garamond" w:eastAsia="Garamond" w:hAnsi="Garamond" w:cs="Garamond"/>
              <w:sz w:val="16"/>
              <w:szCs w:val="16"/>
            </w:rPr>
          </w:pPr>
        </w:p>
      </w:tc>
      <w:tc>
        <w:tcPr>
          <w:tcW w:w="6946" w:type="dxa"/>
          <w:shd w:val="clear" w:color="auto" w:fill="auto"/>
        </w:tcPr>
        <w:p w:rsidR="00EC6F3F" w:rsidRDefault="00EC6F3F"/>
        <w:tbl>
          <w:tblPr>
            <w:tblStyle w:val="ab"/>
            <w:tblW w:w="6662" w:type="dxa"/>
            <w:tblInd w:w="40" w:type="dxa"/>
            <w:tblLayout w:type="fixed"/>
            <w:tblLook w:val="0400" w:firstRow="0" w:lastRow="0" w:firstColumn="0" w:lastColumn="0" w:noHBand="0" w:noVBand="1"/>
          </w:tblPr>
          <w:tblGrid>
            <w:gridCol w:w="2551"/>
            <w:gridCol w:w="4111"/>
          </w:tblGrid>
          <w:tr w:rsidR="00EC6F3F">
            <w:trPr>
              <w:trHeight w:val="150"/>
            </w:trPr>
            <w:tc>
              <w:tcPr>
                <w:tcW w:w="2551" w:type="dxa"/>
                <w:shd w:val="clear" w:color="auto" w:fill="auto"/>
              </w:tcPr>
              <w:p w:rsidR="00EC6F3F" w:rsidRDefault="00EC6F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EC6F3F" w:rsidRDefault="00EC6F3F">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06548/INFOEM/IP/RR/2024</w:t>
                </w:r>
              </w:p>
            </w:tc>
          </w:tr>
          <w:tr w:rsidR="00EC6F3F">
            <w:trPr>
              <w:trHeight w:val="295"/>
            </w:trPr>
            <w:tc>
              <w:tcPr>
                <w:tcW w:w="2551" w:type="dxa"/>
                <w:shd w:val="clear" w:color="auto" w:fill="auto"/>
              </w:tcPr>
              <w:p w:rsidR="00EC6F3F" w:rsidRDefault="00EC6F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EC6F3F" w:rsidRDefault="00EC6F3F">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Organismo Agua y Saneamiento de Toluca  </w:t>
                </w:r>
              </w:p>
            </w:tc>
          </w:tr>
          <w:tr w:rsidR="00EC6F3F">
            <w:trPr>
              <w:trHeight w:val="295"/>
            </w:trPr>
            <w:tc>
              <w:tcPr>
                <w:tcW w:w="2551" w:type="dxa"/>
                <w:shd w:val="clear" w:color="auto" w:fill="auto"/>
              </w:tcPr>
              <w:p w:rsidR="00EC6F3F" w:rsidRDefault="00EC6F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EC6F3F" w:rsidRDefault="00EC6F3F">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EC6F3F" w:rsidRDefault="00EC6F3F">
                <w:pPr>
                  <w:tabs>
                    <w:tab w:val="right" w:pos="8838"/>
                  </w:tabs>
                  <w:ind w:left="-108" w:right="171"/>
                  <w:jc w:val="both"/>
                  <w:rPr>
                    <w:rFonts w:ascii="Palatino Linotype" w:eastAsia="Palatino Linotype" w:hAnsi="Palatino Linotype" w:cs="Palatino Linotype"/>
                    <w:b/>
                    <w:sz w:val="22"/>
                    <w:szCs w:val="22"/>
                  </w:rPr>
                </w:pPr>
              </w:p>
            </w:tc>
          </w:tr>
        </w:tbl>
        <w:p w:rsidR="00EC6F3F" w:rsidRDefault="00EC6F3F">
          <w:pPr>
            <w:tabs>
              <w:tab w:val="right" w:pos="8838"/>
            </w:tabs>
            <w:ind w:left="-28"/>
            <w:jc w:val="both"/>
            <w:rPr>
              <w:rFonts w:ascii="Arial" w:eastAsia="Arial" w:hAnsi="Arial" w:cs="Arial"/>
              <w:b/>
              <w:sz w:val="22"/>
              <w:szCs w:val="22"/>
            </w:rPr>
          </w:pPr>
        </w:p>
      </w:tc>
    </w:tr>
  </w:tbl>
  <w:p w:rsidR="00EC6F3F" w:rsidRDefault="005066A9">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F3F" w:rsidRDefault="00EC6F3F">
    <w:pPr>
      <w:widowControl w:val="0"/>
      <w:pBdr>
        <w:top w:val="nil"/>
        <w:left w:val="nil"/>
        <w:bottom w:val="nil"/>
        <w:right w:val="nil"/>
        <w:between w:val="nil"/>
      </w:pBdr>
      <w:spacing w:line="276" w:lineRule="auto"/>
      <w:rPr>
        <w:color w:val="000000"/>
        <w:sz w:val="14"/>
        <w:szCs w:val="14"/>
      </w:rPr>
    </w:pPr>
  </w:p>
  <w:tbl>
    <w:tblPr>
      <w:tblStyle w:val="ac"/>
      <w:tblW w:w="9072" w:type="dxa"/>
      <w:tblInd w:w="0" w:type="dxa"/>
      <w:tblLayout w:type="fixed"/>
      <w:tblLook w:val="0400" w:firstRow="0" w:lastRow="0" w:firstColumn="0" w:lastColumn="0" w:noHBand="0" w:noVBand="1"/>
    </w:tblPr>
    <w:tblGrid>
      <w:gridCol w:w="2268"/>
      <w:gridCol w:w="6804"/>
    </w:tblGrid>
    <w:tr w:rsidR="00EC6F3F">
      <w:trPr>
        <w:trHeight w:val="1435"/>
      </w:trPr>
      <w:tc>
        <w:tcPr>
          <w:tcW w:w="2268" w:type="dxa"/>
          <w:shd w:val="clear" w:color="auto" w:fill="auto"/>
        </w:tcPr>
        <w:p w:rsidR="00EC6F3F" w:rsidRDefault="00EC6F3F">
          <w:pPr>
            <w:tabs>
              <w:tab w:val="right" w:pos="4273"/>
            </w:tabs>
            <w:rPr>
              <w:rFonts w:ascii="Garamond" w:eastAsia="Garamond" w:hAnsi="Garamond" w:cs="Garamond"/>
              <w:sz w:val="22"/>
              <w:szCs w:val="22"/>
            </w:rPr>
          </w:pPr>
        </w:p>
      </w:tc>
      <w:tc>
        <w:tcPr>
          <w:tcW w:w="6804" w:type="dxa"/>
          <w:shd w:val="clear" w:color="auto" w:fill="auto"/>
        </w:tcPr>
        <w:p w:rsidR="00EC6F3F" w:rsidRDefault="00EC6F3F">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d"/>
            <w:tblW w:w="6662" w:type="dxa"/>
            <w:tblInd w:w="40" w:type="dxa"/>
            <w:tblLayout w:type="fixed"/>
            <w:tblLook w:val="0400" w:firstRow="0" w:lastRow="0" w:firstColumn="0" w:lastColumn="0" w:noHBand="0" w:noVBand="1"/>
          </w:tblPr>
          <w:tblGrid>
            <w:gridCol w:w="2444"/>
            <w:gridCol w:w="4218"/>
          </w:tblGrid>
          <w:tr w:rsidR="00EC6F3F">
            <w:trPr>
              <w:trHeight w:val="144"/>
            </w:trPr>
            <w:tc>
              <w:tcPr>
                <w:tcW w:w="2444" w:type="dxa"/>
                <w:shd w:val="clear" w:color="auto" w:fill="auto"/>
              </w:tcPr>
              <w:p w:rsidR="00EC6F3F" w:rsidRDefault="00EC6F3F">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EC6F3F" w:rsidRDefault="00EC6F3F">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06548/INFOEM/IP/RR/2024</w:t>
                </w:r>
              </w:p>
            </w:tc>
          </w:tr>
          <w:tr w:rsidR="00EC6F3F">
            <w:trPr>
              <w:trHeight w:val="144"/>
            </w:trPr>
            <w:tc>
              <w:tcPr>
                <w:tcW w:w="2444" w:type="dxa"/>
                <w:shd w:val="clear" w:color="auto" w:fill="auto"/>
              </w:tcPr>
              <w:p w:rsidR="00EC6F3F" w:rsidRDefault="00EC6F3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EC6F3F" w:rsidRDefault="006B1104">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w:t>
                </w:r>
              </w:p>
            </w:tc>
          </w:tr>
          <w:tr w:rsidR="00EC6F3F">
            <w:trPr>
              <w:trHeight w:val="283"/>
            </w:trPr>
            <w:tc>
              <w:tcPr>
                <w:tcW w:w="2444" w:type="dxa"/>
                <w:shd w:val="clear" w:color="auto" w:fill="auto"/>
              </w:tcPr>
              <w:p w:rsidR="00EC6F3F" w:rsidRDefault="00EC6F3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EC6F3F" w:rsidRDefault="00EC6F3F">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Organismo Agua y Saneamiento de Toluca </w:t>
                </w:r>
              </w:p>
            </w:tc>
          </w:tr>
          <w:tr w:rsidR="00EC6F3F">
            <w:trPr>
              <w:trHeight w:val="283"/>
            </w:trPr>
            <w:tc>
              <w:tcPr>
                <w:tcW w:w="2444" w:type="dxa"/>
                <w:shd w:val="clear" w:color="auto" w:fill="auto"/>
              </w:tcPr>
              <w:p w:rsidR="00EC6F3F" w:rsidRDefault="00EC6F3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EC6F3F" w:rsidRDefault="00EC6F3F">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EC6F3F" w:rsidRDefault="00EC6F3F">
                <w:pPr>
                  <w:tabs>
                    <w:tab w:val="right" w:pos="8838"/>
                  </w:tabs>
                  <w:ind w:left="-74" w:right="-105"/>
                  <w:jc w:val="both"/>
                  <w:rPr>
                    <w:rFonts w:ascii="Palatino Linotype" w:eastAsia="Palatino Linotype" w:hAnsi="Palatino Linotype" w:cs="Palatino Linotype"/>
                    <w:b/>
                    <w:sz w:val="22"/>
                    <w:szCs w:val="22"/>
                  </w:rPr>
                </w:pPr>
              </w:p>
            </w:tc>
          </w:tr>
        </w:tbl>
        <w:p w:rsidR="00EC6F3F" w:rsidRDefault="00EC6F3F">
          <w:pPr>
            <w:tabs>
              <w:tab w:val="right" w:pos="8838"/>
            </w:tabs>
            <w:ind w:left="-28"/>
            <w:jc w:val="both"/>
            <w:rPr>
              <w:rFonts w:ascii="Arial" w:eastAsia="Arial" w:hAnsi="Arial" w:cs="Arial"/>
              <w:b/>
              <w:sz w:val="22"/>
              <w:szCs w:val="22"/>
            </w:rPr>
          </w:pPr>
        </w:p>
      </w:tc>
    </w:tr>
  </w:tbl>
  <w:p w:rsidR="00EC6F3F" w:rsidRDefault="005066A9">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34871"/>
    <w:multiLevelType w:val="multilevel"/>
    <w:tmpl w:val="B150DC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55E08DC"/>
    <w:multiLevelType w:val="multilevel"/>
    <w:tmpl w:val="14D8F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800FDE"/>
    <w:multiLevelType w:val="multilevel"/>
    <w:tmpl w:val="C7908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E87CF0"/>
    <w:multiLevelType w:val="multilevel"/>
    <w:tmpl w:val="BFFCD6F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64220E"/>
    <w:multiLevelType w:val="multilevel"/>
    <w:tmpl w:val="6ED8F2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FE"/>
    <w:rsid w:val="00023F2B"/>
    <w:rsid w:val="00137F4C"/>
    <w:rsid w:val="001F5535"/>
    <w:rsid w:val="00203392"/>
    <w:rsid w:val="00252219"/>
    <w:rsid w:val="002B3D67"/>
    <w:rsid w:val="002C0A32"/>
    <w:rsid w:val="00305969"/>
    <w:rsid w:val="005066A9"/>
    <w:rsid w:val="005E3AD8"/>
    <w:rsid w:val="00657726"/>
    <w:rsid w:val="00687923"/>
    <w:rsid w:val="006B1104"/>
    <w:rsid w:val="007077B2"/>
    <w:rsid w:val="007B12AA"/>
    <w:rsid w:val="008221BC"/>
    <w:rsid w:val="0088630D"/>
    <w:rsid w:val="008942EC"/>
    <w:rsid w:val="008E53B7"/>
    <w:rsid w:val="00912935"/>
    <w:rsid w:val="009B3A64"/>
    <w:rsid w:val="00A45852"/>
    <w:rsid w:val="00C403FB"/>
    <w:rsid w:val="00EA27F9"/>
    <w:rsid w:val="00EC6F3F"/>
    <w:rsid w:val="00F77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B20EA36-93F6-460A-B112-298D6B78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table" w:customStyle="1" w:styleId="a0">
    <w:basedOn w:val="TableNormal1"/>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 w:type="character" w:customStyle="1" w:styleId="Mencinsinresolver3">
    <w:name w:val="Mención sin resolver3"/>
    <w:basedOn w:val="Fuentedeprrafopredeter"/>
    <w:uiPriority w:val="99"/>
    <w:semiHidden/>
    <w:unhideWhenUsed/>
    <w:rsid w:val="00D54D5B"/>
    <w:rPr>
      <w:color w:val="605E5C"/>
      <w:shd w:val="clear" w:color="auto" w:fill="E1DFDD"/>
    </w:rPr>
  </w:style>
  <w:style w:type="paragraph" w:styleId="Sangradetextonormal">
    <w:name w:val="Body Text Indent"/>
    <w:basedOn w:val="Normal"/>
    <w:link w:val="SangradetextonormalCar"/>
    <w:uiPriority w:val="99"/>
    <w:unhideWhenUsed/>
    <w:rsid w:val="008456B3"/>
    <w:pPr>
      <w:spacing w:after="120"/>
      <w:ind w:left="283"/>
    </w:pPr>
  </w:style>
  <w:style w:type="character" w:customStyle="1" w:styleId="SangradetextonormalCar">
    <w:name w:val="Sangría de texto normal Car"/>
    <w:basedOn w:val="Fuentedeprrafopredeter"/>
    <w:link w:val="Sangradetextonormal"/>
    <w:uiPriority w:val="99"/>
    <w:rsid w:val="008456B3"/>
  </w:style>
  <w:style w:type="paragraph" w:styleId="Textoindependienteprimerasangra2">
    <w:name w:val="Body Text First Indent 2"/>
    <w:basedOn w:val="Sangradetextonormal"/>
    <w:link w:val="Textoindependienteprimerasangra2Car"/>
    <w:uiPriority w:val="99"/>
    <w:unhideWhenUsed/>
    <w:rsid w:val="008456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56B3"/>
  </w:style>
  <w:style w:type="paragraph" w:customStyle="1" w:styleId="paragraph">
    <w:name w:val="paragraph"/>
    <w:basedOn w:val="Normal"/>
    <w:rsid w:val="000B3FDE"/>
    <w:pPr>
      <w:spacing w:before="100" w:beforeAutospacing="1" w:after="100" w:afterAutospacing="1"/>
    </w:p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rPr>
      <w:color w:val="000000"/>
    </w:rPr>
    <w:tblPr>
      <w:tblStyleRowBandSize w:val="1"/>
      <w:tblStyleColBandSize w:val="1"/>
      <w:tblCellMar>
        <w:left w:w="115" w:type="dxa"/>
        <w:right w:w="115" w:type="dxa"/>
      </w:tblCellMar>
    </w:tblPr>
  </w:style>
  <w:style w:type="table" w:customStyle="1" w:styleId="a7">
    <w:basedOn w:val="TableNormal1"/>
    <w:rPr>
      <w:color w:val="000000"/>
    </w:rPr>
    <w:tblPr>
      <w:tblStyleRowBandSize w:val="1"/>
      <w:tblStyleColBandSize w:val="1"/>
      <w:tblCellMar>
        <w:left w:w="115" w:type="dxa"/>
        <w:right w:w="115" w:type="dxa"/>
      </w:tblCellMar>
    </w:tblPr>
  </w:style>
  <w:style w:type="table" w:customStyle="1" w:styleId="a8">
    <w:basedOn w:val="TableNormal1"/>
    <w:rPr>
      <w:color w:val="000000"/>
    </w:rPr>
    <w:tblPr>
      <w:tblStyleRowBandSize w:val="1"/>
      <w:tblStyleColBandSize w:val="1"/>
      <w:tblCellMar>
        <w:left w:w="115" w:type="dxa"/>
        <w:right w:w="115" w:type="dxa"/>
      </w:tblCellMar>
    </w:tblPr>
  </w:style>
  <w:style w:type="table" w:customStyle="1" w:styleId="a9">
    <w:basedOn w:val="TableNormal1"/>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554A11"/>
    <w:pPr>
      <w:spacing w:before="100" w:beforeAutospacing="1" w:after="100" w:afterAutospacing="1"/>
    </w:pPr>
  </w:style>
  <w:style w:type="paragraph" w:customStyle="1" w:styleId="Citas">
    <w:name w:val="Citas"/>
    <w:basedOn w:val="Normal"/>
    <w:qFormat/>
    <w:rsid w:val="005B723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a">
    <w:basedOn w:val="TableNormal0"/>
    <w:rPr>
      <w:color w:val="000000"/>
    </w:rPr>
    <w:tblPr>
      <w:tblStyleRowBandSize w:val="1"/>
      <w:tblStyleColBandSize w:val="1"/>
      <w:tblCellMar>
        <w:left w:w="115" w:type="dxa"/>
        <w:right w:w="115" w:type="dxa"/>
      </w:tblCellMar>
    </w:tblPr>
  </w:style>
  <w:style w:type="table" w:customStyle="1" w:styleId="ab">
    <w:basedOn w:val="TableNormal0"/>
    <w:rPr>
      <w:color w:val="000000"/>
    </w:rPr>
    <w:tblPr>
      <w:tblStyleRowBandSize w:val="1"/>
      <w:tblStyleColBandSize w:val="1"/>
      <w:tblCellMar>
        <w:left w:w="115" w:type="dxa"/>
        <w:right w:w="115" w:type="dxa"/>
      </w:tblCellMar>
    </w:tblPr>
  </w:style>
  <w:style w:type="table" w:customStyle="1" w:styleId="ac">
    <w:basedOn w:val="TableNormal0"/>
    <w:rPr>
      <w:color w:val="000000"/>
    </w:rPr>
    <w:tblPr>
      <w:tblStyleRowBandSize w:val="1"/>
      <w:tblStyleColBandSize w:val="1"/>
      <w:tblCellMar>
        <w:left w:w="115" w:type="dxa"/>
        <w:right w:w="115" w:type="dxa"/>
      </w:tblCellMar>
    </w:tblPr>
  </w:style>
  <w:style w:type="table" w:customStyle="1" w:styleId="ad">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of.gob.mx/nota_detalle.php?codigo=5492254&amp;fecha=28/07/20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F3/N4y4e4vpcMIH7gIQGUgMsg==">CgMxLjAyCGguZ2pkZ3hzMgloLjMwajB6bGwyCWguMWZvYjl0ZTIJaC4zem55c2g3MgloLjJldDkycDAyCWguNGQzNG9nODIJaC4yczhleW8xMgloLjE3ZHA4dnUyCWguM3JkY3JqbjIJaC4zcmRjcmpuOAByITFKYzBVN1d2UzVvVFhlajlDRnN2LTFZM1BWZ0V3VmlOVQ==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5156</Words>
  <Characters>28360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7</cp:revision>
  <dcterms:created xsi:type="dcterms:W3CDTF">2025-01-21T17:19:00Z</dcterms:created>
  <dcterms:modified xsi:type="dcterms:W3CDTF">2025-02-10T22:22:00Z</dcterms:modified>
</cp:coreProperties>
</file>