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1F7302F6" w14:textId="77777777" w:rsidR="00342378" w:rsidRPr="00C0258A" w:rsidRDefault="00342378">
          <w:pPr>
            <w:pStyle w:val="TtulodeTDC"/>
            <w:rPr>
              <w:rFonts w:ascii="Palatino Linotype" w:hAnsi="Palatino Linotype"/>
              <w:bCs/>
              <w:color w:val="auto"/>
              <w:sz w:val="22"/>
              <w:szCs w:val="22"/>
            </w:rPr>
          </w:pPr>
          <w:r w:rsidRPr="00C0258A">
            <w:rPr>
              <w:rFonts w:ascii="Palatino Linotype" w:hAnsi="Palatino Linotype"/>
              <w:bCs/>
              <w:color w:val="auto"/>
              <w:sz w:val="22"/>
              <w:szCs w:val="22"/>
              <w:lang w:val="es-ES"/>
            </w:rPr>
            <w:t>Contenido</w:t>
          </w:r>
        </w:p>
        <w:p w14:paraId="2CE8A76B" w14:textId="3536FC39" w:rsidR="00A318BC" w:rsidRPr="00C0258A" w:rsidRDefault="00342378">
          <w:pPr>
            <w:pStyle w:val="TDC1"/>
            <w:tabs>
              <w:tab w:val="right" w:leader="dot" w:pos="9034"/>
            </w:tabs>
            <w:rPr>
              <w:rFonts w:asciiTheme="minorHAnsi" w:eastAsiaTheme="minorEastAsia" w:hAnsiTheme="minorHAnsi" w:cstheme="minorBidi"/>
              <w:bCs/>
              <w:noProof/>
              <w:kern w:val="2"/>
              <w:sz w:val="22"/>
              <w:szCs w:val="22"/>
              <w:lang w:eastAsia="es-MX"/>
              <w14:ligatures w14:val="standardContextual"/>
            </w:rPr>
          </w:pPr>
          <w:r w:rsidRPr="00C0258A">
            <w:rPr>
              <w:rFonts w:ascii="Palatino Linotype" w:hAnsi="Palatino Linotype"/>
              <w:bCs/>
              <w:sz w:val="22"/>
              <w:szCs w:val="22"/>
              <w:lang w:val="es-ES"/>
            </w:rPr>
            <w:fldChar w:fldCharType="begin"/>
          </w:r>
          <w:r w:rsidRPr="00C0258A">
            <w:rPr>
              <w:rFonts w:ascii="Palatino Linotype" w:hAnsi="Palatino Linotype"/>
              <w:bCs/>
              <w:sz w:val="22"/>
              <w:szCs w:val="22"/>
              <w:lang w:val="es-ES"/>
            </w:rPr>
            <w:instrText xml:space="preserve"> TOC \o "1-3" \h \z \u </w:instrText>
          </w:r>
          <w:r w:rsidRPr="00C0258A">
            <w:rPr>
              <w:rFonts w:ascii="Palatino Linotype" w:hAnsi="Palatino Linotype"/>
              <w:bCs/>
              <w:sz w:val="22"/>
              <w:szCs w:val="22"/>
              <w:lang w:val="es-ES"/>
            </w:rPr>
            <w:fldChar w:fldCharType="separate"/>
          </w:r>
          <w:hyperlink w:anchor="_Toc196923893" w:history="1">
            <w:r w:rsidR="00A318BC" w:rsidRPr="00C0258A">
              <w:rPr>
                <w:rStyle w:val="Hipervnculo"/>
                <w:rFonts w:ascii="Palatino Linotype" w:hAnsi="Palatino Linotype"/>
                <w:bCs/>
                <w:noProof/>
                <w:lang w:val="pt-BR"/>
              </w:rPr>
              <w:t>A N T E C E D E N T E S</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_Toc196923893 \h </w:instrText>
            </w:r>
            <w:r w:rsidR="00A318BC" w:rsidRPr="00C0258A">
              <w:rPr>
                <w:bCs/>
                <w:noProof/>
                <w:webHidden/>
              </w:rPr>
            </w:r>
            <w:r w:rsidR="00A318BC" w:rsidRPr="00C0258A">
              <w:rPr>
                <w:bCs/>
                <w:noProof/>
                <w:webHidden/>
              </w:rPr>
              <w:fldChar w:fldCharType="separate"/>
            </w:r>
            <w:r w:rsidR="00FE3D9D">
              <w:rPr>
                <w:bCs/>
                <w:noProof/>
                <w:webHidden/>
              </w:rPr>
              <w:t>2</w:t>
            </w:r>
            <w:r w:rsidR="00A318BC" w:rsidRPr="00C0258A">
              <w:rPr>
                <w:bCs/>
                <w:noProof/>
                <w:webHidden/>
              </w:rPr>
              <w:fldChar w:fldCharType="end"/>
            </w:r>
          </w:hyperlink>
        </w:p>
        <w:p w14:paraId="746B768E" w14:textId="3B1FD84E"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894" w:history="1">
            <w:r w:rsidR="00A318BC" w:rsidRPr="00C0258A">
              <w:rPr>
                <w:rStyle w:val="Hipervnculo"/>
                <w:rFonts w:ascii="Palatino Linotype" w:hAnsi="Palatino Linotype" w:cs="Tahoma"/>
                <w:bCs/>
                <w:noProof/>
              </w:rPr>
              <w:t>I. Presentación de la solicitud de información</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_Toc196923894 \h </w:instrText>
            </w:r>
            <w:r w:rsidR="00A318BC" w:rsidRPr="00C0258A">
              <w:rPr>
                <w:bCs/>
                <w:noProof/>
                <w:webHidden/>
              </w:rPr>
            </w:r>
            <w:r w:rsidR="00A318BC" w:rsidRPr="00C0258A">
              <w:rPr>
                <w:bCs/>
                <w:noProof/>
                <w:webHidden/>
              </w:rPr>
              <w:fldChar w:fldCharType="separate"/>
            </w:r>
            <w:r w:rsidR="00FE3D9D">
              <w:rPr>
                <w:bCs/>
                <w:noProof/>
                <w:webHidden/>
              </w:rPr>
              <w:t>2</w:t>
            </w:r>
            <w:r w:rsidR="00A318BC" w:rsidRPr="00C0258A">
              <w:rPr>
                <w:bCs/>
                <w:noProof/>
                <w:webHidden/>
              </w:rPr>
              <w:fldChar w:fldCharType="end"/>
            </w:r>
          </w:hyperlink>
        </w:p>
        <w:p w14:paraId="59B018C0" w14:textId="081D11F2"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895" w:history="1">
            <w:r w:rsidR="00A318BC" w:rsidRPr="00C0258A">
              <w:rPr>
                <w:rStyle w:val="Hipervnculo"/>
                <w:rFonts w:ascii="Palatino Linotype" w:hAnsi="Palatino Linotype" w:cs="Tahoma"/>
                <w:bCs/>
                <w:noProof/>
              </w:rPr>
              <w:t>II. Respuesta del Sujeto Obligado</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_Toc196923895 \h </w:instrText>
            </w:r>
            <w:r w:rsidR="00A318BC" w:rsidRPr="00C0258A">
              <w:rPr>
                <w:bCs/>
                <w:noProof/>
                <w:webHidden/>
              </w:rPr>
            </w:r>
            <w:r w:rsidR="00A318BC" w:rsidRPr="00C0258A">
              <w:rPr>
                <w:bCs/>
                <w:noProof/>
                <w:webHidden/>
              </w:rPr>
              <w:fldChar w:fldCharType="separate"/>
            </w:r>
            <w:r w:rsidR="00FE3D9D">
              <w:rPr>
                <w:bCs/>
                <w:noProof/>
                <w:webHidden/>
              </w:rPr>
              <w:t>4</w:t>
            </w:r>
            <w:r w:rsidR="00A318BC" w:rsidRPr="00C0258A">
              <w:rPr>
                <w:bCs/>
                <w:noProof/>
                <w:webHidden/>
              </w:rPr>
              <w:fldChar w:fldCharType="end"/>
            </w:r>
          </w:hyperlink>
        </w:p>
        <w:p w14:paraId="53B25EA2" w14:textId="6195E565"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896" w:history="1">
            <w:r w:rsidR="00A318BC" w:rsidRPr="00C0258A">
              <w:rPr>
                <w:rStyle w:val="Hipervnculo"/>
                <w:rFonts w:ascii="Palatino Linotype" w:hAnsi="Palatino Linotype" w:cs="Tahoma"/>
                <w:bCs/>
                <w:noProof/>
              </w:rPr>
              <w:t>III. Interposición del Recurso de Revisión</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_Toc196923896 \h </w:instrText>
            </w:r>
            <w:r w:rsidR="00A318BC" w:rsidRPr="00C0258A">
              <w:rPr>
                <w:bCs/>
                <w:noProof/>
                <w:webHidden/>
              </w:rPr>
            </w:r>
            <w:r w:rsidR="00A318BC" w:rsidRPr="00C0258A">
              <w:rPr>
                <w:bCs/>
                <w:noProof/>
                <w:webHidden/>
              </w:rPr>
              <w:fldChar w:fldCharType="separate"/>
            </w:r>
            <w:r w:rsidR="00FE3D9D">
              <w:rPr>
                <w:bCs/>
                <w:noProof/>
                <w:webHidden/>
              </w:rPr>
              <w:t>6</w:t>
            </w:r>
            <w:r w:rsidR="00A318BC" w:rsidRPr="00C0258A">
              <w:rPr>
                <w:bCs/>
                <w:noProof/>
                <w:webHidden/>
              </w:rPr>
              <w:fldChar w:fldCharType="end"/>
            </w:r>
          </w:hyperlink>
        </w:p>
        <w:p w14:paraId="7CE5415E" w14:textId="7A1E899B"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897" w:history="1">
            <w:r w:rsidR="00A318BC" w:rsidRPr="00C0258A">
              <w:rPr>
                <w:rStyle w:val="Hipervnculo"/>
                <w:rFonts w:ascii="Palatino Linotype" w:hAnsi="Palatino Linotype"/>
                <w:bCs/>
                <w:noProof/>
              </w:rPr>
              <w:t>IV. Trámite del Recurso de Revisión ante el Instituto</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_Toc196923897 \h </w:instrText>
            </w:r>
            <w:r w:rsidR="00A318BC" w:rsidRPr="00C0258A">
              <w:rPr>
                <w:bCs/>
                <w:noProof/>
                <w:webHidden/>
              </w:rPr>
            </w:r>
            <w:r w:rsidR="00A318BC" w:rsidRPr="00C0258A">
              <w:rPr>
                <w:bCs/>
                <w:noProof/>
                <w:webHidden/>
              </w:rPr>
              <w:fldChar w:fldCharType="separate"/>
            </w:r>
            <w:r w:rsidR="00FE3D9D">
              <w:rPr>
                <w:bCs/>
                <w:noProof/>
                <w:webHidden/>
              </w:rPr>
              <w:t>8</w:t>
            </w:r>
            <w:r w:rsidR="00A318BC" w:rsidRPr="00C0258A">
              <w:rPr>
                <w:bCs/>
                <w:noProof/>
                <w:webHidden/>
              </w:rPr>
              <w:fldChar w:fldCharType="end"/>
            </w:r>
          </w:hyperlink>
        </w:p>
        <w:p w14:paraId="0209AF29" w14:textId="5815CD4F" w:rsidR="00A318BC" w:rsidRPr="00C0258A" w:rsidRDefault="00EE1B8D">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898" w:history="1">
            <w:r w:rsidR="00A318BC" w:rsidRPr="00C0258A">
              <w:rPr>
                <w:rStyle w:val="Hipervnculo"/>
                <w:rFonts w:ascii="Palatino Linotype" w:hAnsi="Palatino Linotype"/>
                <w:bCs/>
                <w:noProof/>
              </w:rPr>
              <w:t>a) Turno del Recurso de Revisión.</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_Toc196923898 \h </w:instrText>
            </w:r>
            <w:r w:rsidR="00A318BC" w:rsidRPr="00C0258A">
              <w:rPr>
                <w:bCs/>
                <w:noProof/>
                <w:webHidden/>
              </w:rPr>
            </w:r>
            <w:r w:rsidR="00A318BC" w:rsidRPr="00C0258A">
              <w:rPr>
                <w:bCs/>
                <w:noProof/>
                <w:webHidden/>
              </w:rPr>
              <w:fldChar w:fldCharType="separate"/>
            </w:r>
            <w:r w:rsidR="00FE3D9D">
              <w:rPr>
                <w:bCs/>
                <w:noProof/>
                <w:webHidden/>
              </w:rPr>
              <w:t>8</w:t>
            </w:r>
            <w:r w:rsidR="00A318BC" w:rsidRPr="00C0258A">
              <w:rPr>
                <w:bCs/>
                <w:noProof/>
                <w:webHidden/>
              </w:rPr>
              <w:fldChar w:fldCharType="end"/>
            </w:r>
          </w:hyperlink>
        </w:p>
        <w:p w14:paraId="48915CAF" w14:textId="635874F2" w:rsidR="00A318BC" w:rsidRPr="00C0258A" w:rsidRDefault="00EE1B8D">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899" w:history="1">
            <w:r w:rsidR="00A318BC" w:rsidRPr="00C0258A">
              <w:rPr>
                <w:rStyle w:val="Hipervnculo"/>
                <w:rFonts w:ascii="Palatino Linotype" w:hAnsi="Palatino Linotype"/>
                <w:bCs/>
                <w:noProof/>
              </w:rPr>
              <w:t>b) Admisión del Recurso de Revisión.</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_Toc196923899 \h </w:instrText>
            </w:r>
            <w:r w:rsidR="00A318BC" w:rsidRPr="00C0258A">
              <w:rPr>
                <w:bCs/>
                <w:noProof/>
                <w:webHidden/>
              </w:rPr>
            </w:r>
            <w:r w:rsidR="00A318BC" w:rsidRPr="00C0258A">
              <w:rPr>
                <w:bCs/>
                <w:noProof/>
                <w:webHidden/>
              </w:rPr>
              <w:fldChar w:fldCharType="separate"/>
            </w:r>
            <w:r w:rsidR="00FE3D9D">
              <w:rPr>
                <w:bCs/>
                <w:noProof/>
                <w:webHidden/>
              </w:rPr>
              <w:t>8</w:t>
            </w:r>
            <w:r w:rsidR="00A318BC" w:rsidRPr="00C0258A">
              <w:rPr>
                <w:bCs/>
                <w:noProof/>
                <w:webHidden/>
              </w:rPr>
              <w:fldChar w:fldCharType="end"/>
            </w:r>
          </w:hyperlink>
        </w:p>
        <w:p w14:paraId="0B9D868A" w14:textId="6A5598F4" w:rsidR="00A318BC" w:rsidRPr="00C0258A" w:rsidRDefault="00EE1B8D">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0" w:history="1">
            <w:r w:rsidR="00A318BC" w:rsidRPr="00C0258A">
              <w:rPr>
                <w:rStyle w:val="Hipervnculo"/>
                <w:rFonts w:ascii="Palatino Linotype" w:hAnsi="Palatino Linotype"/>
                <w:bCs/>
                <w:noProof/>
              </w:rPr>
              <w:t>c) Informe Justificado.</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_Toc196923900 \h </w:instrText>
            </w:r>
            <w:r w:rsidR="00A318BC" w:rsidRPr="00C0258A">
              <w:rPr>
                <w:bCs/>
                <w:noProof/>
                <w:webHidden/>
              </w:rPr>
            </w:r>
            <w:r w:rsidR="00A318BC" w:rsidRPr="00C0258A">
              <w:rPr>
                <w:bCs/>
                <w:noProof/>
                <w:webHidden/>
              </w:rPr>
              <w:fldChar w:fldCharType="separate"/>
            </w:r>
            <w:r w:rsidR="00FE3D9D">
              <w:rPr>
                <w:bCs/>
                <w:noProof/>
                <w:webHidden/>
              </w:rPr>
              <w:t>9</w:t>
            </w:r>
            <w:r w:rsidR="00A318BC" w:rsidRPr="00C0258A">
              <w:rPr>
                <w:bCs/>
                <w:noProof/>
                <w:webHidden/>
              </w:rPr>
              <w:fldChar w:fldCharType="end"/>
            </w:r>
          </w:hyperlink>
        </w:p>
        <w:p w14:paraId="353F01E6" w14:textId="41C0424C" w:rsidR="00A318BC" w:rsidRPr="00C0258A" w:rsidRDefault="00EE1B8D">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1" w:history="1">
            <w:r w:rsidR="00A318BC" w:rsidRPr="00C0258A">
              <w:rPr>
                <w:rStyle w:val="Hipervnculo"/>
                <w:rFonts w:ascii="Palatino Linotype" w:hAnsi="Palatino Linotype"/>
                <w:bCs/>
                <w:noProof/>
              </w:rPr>
              <w:t>d). Vista del Informe Justificado.</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_Toc196923901 \h </w:instrText>
            </w:r>
            <w:r w:rsidR="00A318BC" w:rsidRPr="00C0258A">
              <w:rPr>
                <w:bCs/>
                <w:noProof/>
                <w:webHidden/>
              </w:rPr>
            </w:r>
            <w:r w:rsidR="00A318BC" w:rsidRPr="00C0258A">
              <w:rPr>
                <w:bCs/>
                <w:noProof/>
                <w:webHidden/>
              </w:rPr>
              <w:fldChar w:fldCharType="separate"/>
            </w:r>
            <w:r w:rsidR="00FE3D9D">
              <w:rPr>
                <w:bCs/>
                <w:noProof/>
                <w:webHidden/>
              </w:rPr>
              <w:t>9</w:t>
            </w:r>
            <w:r w:rsidR="00A318BC" w:rsidRPr="00C0258A">
              <w:rPr>
                <w:bCs/>
                <w:noProof/>
                <w:webHidden/>
              </w:rPr>
              <w:fldChar w:fldCharType="end"/>
            </w:r>
          </w:hyperlink>
        </w:p>
        <w:p w14:paraId="4D389D03" w14:textId="2E41841D" w:rsidR="00A318BC" w:rsidRPr="00C0258A" w:rsidRDefault="00EE1B8D">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2" w:history="1">
            <w:r w:rsidR="00A318BC" w:rsidRPr="00C0258A">
              <w:rPr>
                <w:rStyle w:val="Hipervnculo"/>
                <w:rFonts w:ascii="Palatino Linotype" w:hAnsi="Palatino Linotype"/>
                <w:bCs/>
                <w:noProof/>
              </w:rPr>
              <w:t>e) Manifestaciones del Recurrente</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_Toc196923902 \h </w:instrText>
            </w:r>
            <w:r w:rsidR="00A318BC" w:rsidRPr="00C0258A">
              <w:rPr>
                <w:bCs/>
                <w:noProof/>
                <w:webHidden/>
              </w:rPr>
            </w:r>
            <w:r w:rsidR="00A318BC" w:rsidRPr="00C0258A">
              <w:rPr>
                <w:bCs/>
                <w:noProof/>
                <w:webHidden/>
              </w:rPr>
              <w:fldChar w:fldCharType="separate"/>
            </w:r>
            <w:r w:rsidR="00FE3D9D">
              <w:rPr>
                <w:bCs/>
                <w:noProof/>
                <w:webHidden/>
              </w:rPr>
              <w:t>9</w:t>
            </w:r>
            <w:r w:rsidR="00A318BC" w:rsidRPr="00C0258A">
              <w:rPr>
                <w:bCs/>
                <w:noProof/>
                <w:webHidden/>
              </w:rPr>
              <w:fldChar w:fldCharType="end"/>
            </w:r>
          </w:hyperlink>
        </w:p>
        <w:p w14:paraId="0FEC485F" w14:textId="40CE83E0" w:rsidR="00A318BC" w:rsidRPr="00C0258A" w:rsidRDefault="00EE1B8D">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3" w:history="1">
            <w:r w:rsidR="00A318BC" w:rsidRPr="00C0258A">
              <w:rPr>
                <w:rStyle w:val="Hipervnculo"/>
                <w:rFonts w:ascii="Palatino Linotype" w:hAnsi="Palatino Linotype"/>
                <w:bCs/>
                <w:noProof/>
              </w:rPr>
              <w:t>f). Cierre de instrucción</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_Toc196923903 \h </w:instrText>
            </w:r>
            <w:r w:rsidR="00A318BC" w:rsidRPr="00C0258A">
              <w:rPr>
                <w:bCs/>
                <w:noProof/>
                <w:webHidden/>
              </w:rPr>
            </w:r>
            <w:r w:rsidR="00A318BC" w:rsidRPr="00C0258A">
              <w:rPr>
                <w:bCs/>
                <w:noProof/>
                <w:webHidden/>
              </w:rPr>
              <w:fldChar w:fldCharType="separate"/>
            </w:r>
            <w:r w:rsidR="00FE3D9D">
              <w:rPr>
                <w:bCs/>
                <w:noProof/>
                <w:webHidden/>
              </w:rPr>
              <w:t>9</w:t>
            </w:r>
            <w:r w:rsidR="00A318BC" w:rsidRPr="00C0258A">
              <w:rPr>
                <w:bCs/>
                <w:noProof/>
                <w:webHidden/>
              </w:rPr>
              <w:fldChar w:fldCharType="end"/>
            </w:r>
          </w:hyperlink>
        </w:p>
        <w:p w14:paraId="76A1148A" w14:textId="26C9B436" w:rsidR="00A318BC" w:rsidRPr="00C0258A" w:rsidRDefault="00EE1B8D">
          <w:pPr>
            <w:pStyle w:val="TDC1"/>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4" w:history="1">
            <w:r w:rsidR="00A318BC" w:rsidRPr="00C0258A">
              <w:rPr>
                <w:rStyle w:val="Hipervnculo"/>
                <w:rFonts w:ascii="Palatino Linotype" w:hAnsi="Palatino Linotype"/>
                <w:bCs/>
                <w:noProof/>
                <w:lang w:val="pt-BR"/>
              </w:rPr>
              <w:t>C O N S I D E R A N D O S</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_Toc196923904 \h </w:instrText>
            </w:r>
            <w:r w:rsidR="00A318BC" w:rsidRPr="00C0258A">
              <w:rPr>
                <w:bCs/>
                <w:noProof/>
                <w:webHidden/>
              </w:rPr>
            </w:r>
            <w:r w:rsidR="00A318BC" w:rsidRPr="00C0258A">
              <w:rPr>
                <w:bCs/>
                <w:noProof/>
                <w:webHidden/>
              </w:rPr>
              <w:fldChar w:fldCharType="separate"/>
            </w:r>
            <w:r w:rsidR="00FE3D9D">
              <w:rPr>
                <w:bCs/>
                <w:noProof/>
                <w:webHidden/>
              </w:rPr>
              <w:t>10</w:t>
            </w:r>
            <w:r w:rsidR="00A318BC" w:rsidRPr="00C0258A">
              <w:rPr>
                <w:bCs/>
                <w:noProof/>
                <w:webHidden/>
              </w:rPr>
              <w:fldChar w:fldCharType="end"/>
            </w:r>
          </w:hyperlink>
        </w:p>
        <w:p w14:paraId="1C9DDC89" w14:textId="3796275B"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5" w:history="1">
            <w:r w:rsidR="00A318BC" w:rsidRPr="00C0258A">
              <w:rPr>
                <w:rStyle w:val="Hipervnculo"/>
                <w:rFonts w:ascii="Palatino Linotype" w:eastAsia="Calibri" w:hAnsi="Palatino Linotype"/>
                <w:bCs/>
                <w:noProof/>
                <w:lang w:eastAsia="es-MX"/>
              </w:rPr>
              <w:t xml:space="preserve">PRIMERO. </w:t>
            </w:r>
            <w:r w:rsidR="00A318BC" w:rsidRPr="00C0258A">
              <w:rPr>
                <w:rStyle w:val="Hipervnculo"/>
                <w:rFonts w:ascii="Palatino Linotype" w:hAnsi="Palatino Linotype"/>
                <w:bCs/>
                <w:noProof/>
              </w:rPr>
              <w:t>Competencia</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_Toc196923905 \h </w:instrText>
            </w:r>
            <w:r w:rsidR="00A318BC" w:rsidRPr="00C0258A">
              <w:rPr>
                <w:bCs/>
                <w:noProof/>
                <w:webHidden/>
              </w:rPr>
            </w:r>
            <w:r w:rsidR="00A318BC" w:rsidRPr="00C0258A">
              <w:rPr>
                <w:bCs/>
                <w:noProof/>
                <w:webHidden/>
              </w:rPr>
              <w:fldChar w:fldCharType="separate"/>
            </w:r>
            <w:r w:rsidR="00FE3D9D">
              <w:rPr>
                <w:bCs/>
                <w:noProof/>
                <w:webHidden/>
              </w:rPr>
              <w:t>10</w:t>
            </w:r>
            <w:r w:rsidR="00A318BC" w:rsidRPr="00C0258A">
              <w:rPr>
                <w:bCs/>
                <w:noProof/>
                <w:webHidden/>
              </w:rPr>
              <w:fldChar w:fldCharType="end"/>
            </w:r>
          </w:hyperlink>
        </w:p>
        <w:p w14:paraId="6F22248C" w14:textId="56D2448A"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6" w:history="1">
            <w:r w:rsidR="00A318BC" w:rsidRPr="00C0258A">
              <w:rPr>
                <w:rStyle w:val="Hipervnculo"/>
                <w:rFonts w:ascii="Palatino Linotype" w:eastAsia="Calibri" w:hAnsi="Palatino Linotype"/>
                <w:bCs/>
                <w:noProof/>
                <w:lang w:eastAsia="es-MX"/>
              </w:rPr>
              <w:t>SEGUNDO. Causales de improcedencia y sobreseimiento</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_Toc196923906 \h </w:instrText>
            </w:r>
            <w:r w:rsidR="00A318BC" w:rsidRPr="00C0258A">
              <w:rPr>
                <w:bCs/>
                <w:noProof/>
                <w:webHidden/>
              </w:rPr>
            </w:r>
            <w:r w:rsidR="00A318BC" w:rsidRPr="00C0258A">
              <w:rPr>
                <w:bCs/>
                <w:noProof/>
                <w:webHidden/>
              </w:rPr>
              <w:fldChar w:fldCharType="separate"/>
            </w:r>
            <w:r w:rsidR="00FE3D9D">
              <w:rPr>
                <w:bCs/>
                <w:noProof/>
                <w:webHidden/>
              </w:rPr>
              <w:t>10</w:t>
            </w:r>
            <w:r w:rsidR="00A318BC" w:rsidRPr="00C0258A">
              <w:rPr>
                <w:bCs/>
                <w:noProof/>
                <w:webHidden/>
              </w:rPr>
              <w:fldChar w:fldCharType="end"/>
            </w:r>
          </w:hyperlink>
        </w:p>
        <w:p w14:paraId="0BE0F238" w14:textId="135F9D85" w:rsidR="00A318BC" w:rsidRPr="00C0258A" w:rsidRDefault="00EE1B8D">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7" w:history="1">
            <w:r w:rsidR="00A318BC" w:rsidRPr="00C0258A">
              <w:rPr>
                <w:rStyle w:val="Hipervnculo"/>
                <w:rFonts w:ascii="Palatino Linotype" w:eastAsia="Calibri" w:hAnsi="Palatino Linotype" w:cs="Arial"/>
                <w:bCs/>
                <w:noProof/>
                <w:lang w:eastAsia="es-ES_tradnl"/>
              </w:rPr>
              <w:t>Causales de sobreseimiento</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_Toc196923907 \h </w:instrText>
            </w:r>
            <w:r w:rsidR="00A318BC" w:rsidRPr="00C0258A">
              <w:rPr>
                <w:bCs/>
                <w:noProof/>
                <w:webHidden/>
              </w:rPr>
            </w:r>
            <w:r w:rsidR="00A318BC" w:rsidRPr="00C0258A">
              <w:rPr>
                <w:bCs/>
                <w:noProof/>
                <w:webHidden/>
              </w:rPr>
              <w:fldChar w:fldCharType="separate"/>
            </w:r>
            <w:r w:rsidR="00FE3D9D">
              <w:rPr>
                <w:bCs/>
                <w:noProof/>
                <w:webHidden/>
              </w:rPr>
              <w:t>11</w:t>
            </w:r>
            <w:r w:rsidR="00A318BC" w:rsidRPr="00C0258A">
              <w:rPr>
                <w:bCs/>
                <w:noProof/>
                <w:webHidden/>
              </w:rPr>
              <w:fldChar w:fldCharType="end"/>
            </w:r>
          </w:hyperlink>
        </w:p>
        <w:p w14:paraId="4FB8FC6D" w14:textId="41DEC9D9"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8" w:history="1">
            <w:r w:rsidR="00A318BC" w:rsidRPr="00C0258A">
              <w:rPr>
                <w:rStyle w:val="Hipervnculo"/>
                <w:rFonts w:ascii="Palatino Linotype" w:eastAsia="Calibri" w:hAnsi="Palatino Linotype"/>
                <w:bCs/>
                <w:noProof/>
                <w:lang w:eastAsia="es-ES_tradnl"/>
              </w:rPr>
              <w:t>TERCERO. Determinación de la Controversia</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_Toc196923908 \h </w:instrText>
            </w:r>
            <w:r w:rsidR="00A318BC" w:rsidRPr="00C0258A">
              <w:rPr>
                <w:bCs/>
                <w:noProof/>
                <w:webHidden/>
              </w:rPr>
            </w:r>
            <w:r w:rsidR="00A318BC" w:rsidRPr="00C0258A">
              <w:rPr>
                <w:bCs/>
                <w:noProof/>
                <w:webHidden/>
              </w:rPr>
              <w:fldChar w:fldCharType="separate"/>
            </w:r>
            <w:r w:rsidR="00FE3D9D">
              <w:rPr>
                <w:bCs/>
                <w:noProof/>
                <w:webHidden/>
              </w:rPr>
              <w:t>11</w:t>
            </w:r>
            <w:r w:rsidR="00A318BC" w:rsidRPr="00C0258A">
              <w:rPr>
                <w:bCs/>
                <w:noProof/>
                <w:webHidden/>
              </w:rPr>
              <w:fldChar w:fldCharType="end"/>
            </w:r>
          </w:hyperlink>
        </w:p>
        <w:p w14:paraId="06B8B047" w14:textId="2CB774C6"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09" w:history="1">
            <w:r w:rsidR="00A318BC" w:rsidRPr="00C0258A">
              <w:rPr>
                <w:rStyle w:val="Hipervnculo"/>
                <w:rFonts w:ascii="Palatino Linotype" w:eastAsia="Calibri" w:hAnsi="Palatino Linotype" w:cs="Arial"/>
                <w:bCs/>
                <w:noProof/>
                <w:lang w:eastAsia="es-ES_tradnl"/>
              </w:rPr>
              <w:t>CUARTO. Marco normativo aplicable en materia de transparencia y acceso a la información pública</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_Toc196923909 \h </w:instrText>
            </w:r>
            <w:r w:rsidR="00A318BC" w:rsidRPr="00C0258A">
              <w:rPr>
                <w:bCs/>
                <w:noProof/>
                <w:webHidden/>
              </w:rPr>
            </w:r>
            <w:r w:rsidR="00A318BC" w:rsidRPr="00C0258A">
              <w:rPr>
                <w:bCs/>
                <w:noProof/>
                <w:webHidden/>
              </w:rPr>
              <w:fldChar w:fldCharType="separate"/>
            </w:r>
            <w:r w:rsidR="00FE3D9D">
              <w:rPr>
                <w:bCs/>
                <w:noProof/>
                <w:webHidden/>
              </w:rPr>
              <w:t>13</w:t>
            </w:r>
            <w:r w:rsidR="00A318BC" w:rsidRPr="00C0258A">
              <w:rPr>
                <w:bCs/>
                <w:noProof/>
                <w:webHidden/>
              </w:rPr>
              <w:fldChar w:fldCharType="end"/>
            </w:r>
          </w:hyperlink>
        </w:p>
        <w:p w14:paraId="764F3CA0" w14:textId="2E2BEDB6"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10" w:history="1">
            <w:r w:rsidR="00A318BC" w:rsidRPr="00C0258A">
              <w:rPr>
                <w:rStyle w:val="Hipervnculo"/>
                <w:rFonts w:ascii="Palatino Linotype" w:eastAsia="Calibri" w:hAnsi="Palatino Linotype"/>
                <w:bCs/>
                <w:noProof/>
                <w:lang w:eastAsia="es-ES_tradnl"/>
              </w:rPr>
              <w:t>QUINTO. Estudio de Fondo</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_Toc196923910 \h </w:instrText>
            </w:r>
            <w:r w:rsidR="00A318BC" w:rsidRPr="00C0258A">
              <w:rPr>
                <w:bCs/>
                <w:noProof/>
                <w:webHidden/>
              </w:rPr>
            </w:r>
            <w:r w:rsidR="00A318BC" w:rsidRPr="00C0258A">
              <w:rPr>
                <w:bCs/>
                <w:noProof/>
                <w:webHidden/>
              </w:rPr>
              <w:fldChar w:fldCharType="separate"/>
            </w:r>
            <w:r w:rsidR="00FE3D9D">
              <w:rPr>
                <w:bCs/>
                <w:noProof/>
                <w:webHidden/>
              </w:rPr>
              <w:t>14</w:t>
            </w:r>
            <w:r w:rsidR="00A318BC" w:rsidRPr="00C0258A">
              <w:rPr>
                <w:bCs/>
                <w:noProof/>
                <w:webHidden/>
              </w:rPr>
              <w:fldChar w:fldCharType="end"/>
            </w:r>
          </w:hyperlink>
        </w:p>
        <w:p w14:paraId="58D5C61A" w14:textId="2B9D960A" w:rsidR="00A318BC" w:rsidRPr="00C0258A" w:rsidRDefault="00EE1B8D">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11" w:history="1">
            <w:r w:rsidR="00A318BC" w:rsidRPr="00C0258A">
              <w:rPr>
                <w:rStyle w:val="Hipervnculo"/>
                <w:rFonts w:ascii="Palatino Linotype" w:hAnsi="Palatino Linotype"/>
                <w:bCs/>
                <w:noProof/>
              </w:rPr>
              <w:t>SEXTO. Decisión</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_Toc196923911 \h </w:instrText>
            </w:r>
            <w:r w:rsidR="00A318BC" w:rsidRPr="00C0258A">
              <w:rPr>
                <w:bCs/>
                <w:noProof/>
                <w:webHidden/>
              </w:rPr>
            </w:r>
            <w:r w:rsidR="00A318BC" w:rsidRPr="00C0258A">
              <w:rPr>
                <w:bCs/>
                <w:noProof/>
                <w:webHidden/>
              </w:rPr>
              <w:fldChar w:fldCharType="separate"/>
            </w:r>
            <w:r w:rsidR="00FE3D9D">
              <w:rPr>
                <w:bCs/>
                <w:noProof/>
                <w:webHidden/>
              </w:rPr>
              <w:t>31</w:t>
            </w:r>
            <w:r w:rsidR="00A318BC" w:rsidRPr="00C0258A">
              <w:rPr>
                <w:bCs/>
                <w:noProof/>
                <w:webHidden/>
              </w:rPr>
              <w:fldChar w:fldCharType="end"/>
            </w:r>
          </w:hyperlink>
        </w:p>
        <w:p w14:paraId="1C1DB694" w14:textId="48F279E0" w:rsidR="00A318BC" w:rsidRPr="00C0258A" w:rsidRDefault="00EE1B8D">
          <w:pPr>
            <w:pStyle w:val="TDC1"/>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3912" w:history="1">
            <w:r w:rsidR="00A318BC" w:rsidRPr="00C0258A">
              <w:rPr>
                <w:rStyle w:val="Hipervnculo"/>
                <w:rFonts w:ascii="Palatino Linotype" w:eastAsia="Calibri" w:hAnsi="Palatino Linotype"/>
                <w:bCs/>
                <w:noProof/>
                <w:lang w:val="pt-BR" w:eastAsia="en-US"/>
              </w:rPr>
              <w:t>R E S U E L V E</w:t>
            </w:r>
            <w:r w:rsidR="00A318BC" w:rsidRPr="00C0258A">
              <w:rPr>
                <w:bCs/>
                <w:noProof/>
                <w:webHidden/>
              </w:rPr>
              <w:tab/>
            </w:r>
            <w:r w:rsidR="00A318BC" w:rsidRPr="00C0258A">
              <w:rPr>
                <w:bCs/>
                <w:noProof/>
                <w:webHidden/>
              </w:rPr>
              <w:fldChar w:fldCharType="begin"/>
            </w:r>
            <w:r w:rsidR="00A318BC" w:rsidRPr="00C0258A">
              <w:rPr>
                <w:bCs/>
                <w:noProof/>
                <w:webHidden/>
              </w:rPr>
              <w:instrText xml:space="preserve"> PAGEREF _Toc196923912 \h </w:instrText>
            </w:r>
            <w:r w:rsidR="00A318BC" w:rsidRPr="00C0258A">
              <w:rPr>
                <w:bCs/>
                <w:noProof/>
                <w:webHidden/>
              </w:rPr>
            </w:r>
            <w:r w:rsidR="00A318BC" w:rsidRPr="00C0258A">
              <w:rPr>
                <w:bCs/>
                <w:noProof/>
                <w:webHidden/>
              </w:rPr>
              <w:fldChar w:fldCharType="separate"/>
            </w:r>
            <w:r w:rsidR="00FE3D9D">
              <w:rPr>
                <w:bCs/>
                <w:noProof/>
                <w:webHidden/>
              </w:rPr>
              <w:t>32</w:t>
            </w:r>
            <w:r w:rsidR="00A318BC" w:rsidRPr="00C0258A">
              <w:rPr>
                <w:bCs/>
                <w:noProof/>
                <w:webHidden/>
              </w:rPr>
              <w:fldChar w:fldCharType="end"/>
            </w:r>
          </w:hyperlink>
        </w:p>
        <w:p w14:paraId="68BF1A58" w14:textId="3AF20B28" w:rsidR="00342378" w:rsidRPr="00C0258A" w:rsidRDefault="00342378">
          <w:r w:rsidRPr="00C0258A">
            <w:rPr>
              <w:rFonts w:ascii="Palatino Linotype" w:hAnsi="Palatino Linotype"/>
              <w:bCs/>
              <w:sz w:val="22"/>
              <w:szCs w:val="22"/>
              <w:lang w:val="es-ES"/>
            </w:rPr>
            <w:fldChar w:fldCharType="end"/>
          </w:r>
        </w:p>
      </w:sdtContent>
    </w:sdt>
    <w:p w14:paraId="06628015" w14:textId="77777777" w:rsidR="00ED76AF" w:rsidRPr="00C0258A" w:rsidRDefault="00ED76AF" w:rsidP="006B0B50">
      <w:pPr>
        <w:tabs>
          <w:tab w:val="left" w:pos="3969"/>
        </w:tabs>
        <w:spacing w:line="360" w:lineRule="auto"/>
        <w:contextualSpacing/>
        <w:jc w:val="both"/>
        <w:rPr>
          <w:rFonts w:ascii="Palatino Linotype" w:hAnsi="Palatino Linotype" w:cs="Tahoma"/>
          <w:bCs/>
          <w:sz w:val="22"/>
          <w:szCs w:val="22"/>
        </w:rPr>
      </w:pPr>
    </w:p>
    <w:p w14:paraId="0BD85E81" w14:textId="77777777" w:rsidR="00501E1B" w:rsidRPr="00C0258A" w:rsidRDefault="00501E1B" w:rsidP="006B0B50">
      <w:pPr>
        <w:tabs>
          <w:tab w:val="left" w:pos="3969"/>
        </w:tabs>
        <w:spacing w:line="360" w:lineRule="auto"/>
        <w:contextualSpacing/>
        <w:jc w:val="both"/>
        <w:rPr>
          <w:rFonts w:ascii="Palatino Linotype" w:hAnsi="Palatino Linotype" w:cs="Tahoma"/>
          <w:bCs/>
          <w:sz w:val="22"/>
          <w:szCs w:val="22"/>
        </w:rPr>
      </w:pPr>
    </w:p>
    <w:p w14:paraId="06AE292C" w14:textId="77777777" w:rsidR="00342378" w:rsidRPr="00C0258A" w:rsidRDefault="00342378" w:rsidP="006B0B50">
      <w:pPr>
        <w:tabs>
          <w:tab w:val="left" w:pos="3969"/>
        </w:tabs>
        <w:spacing w:line="360" w:lineRule="auto"/>
        <w:contextualSpacing/>
        <w:jc w:val="both"/>
        <w:rPr>
          <w:rFonts w:ascii="Palatino Linotype" w:hAnsi="Palatino Linotype" w:cs="Tahoma"/>
          <w:bCs/>
          <w:sz w:val="22"/>
          <w:szCs w:val="22"/>
        </w:rPr>
      </w:pPr>
    </w:p>
    <w:p w14:paraId="626E3A33" w14:textId="77777777" w:rsidR="00342378" w:rsidRPr="00C0258A" w:rsidRDefault="00342378" w:rsidP="006B0B50">
      <w:pPr>
        <w:tabs>
          <w:tab w:val="left" w:pos="3969"/>
        </w:tabs>
        <w:spacing w:line="360" w:lineRule="auto"/>
        <w:contextualSpacing/>
        <w:jc w:val="both"/>
        <w:rPr>
          <w:rFonts w:ascii="Palatino Linotype" w:hAnsi="Palatino Linotype" w:cs="Tahoma"/>
          <w:bCs/>
          <w:sz w:val="22"/>
          <w:szCs w:val="22"/>
        </w:rPr>
      </w:pPr>
    </w:p>
    <w:p w14:paraId="39BB9FBA" w14:textId="77777777" w:rsidR="00342378" w:rsidRPr="00C0258A" w:rsidRDefault="00342378" w:rsidP="006B0B50">
      <w:pPr>
        <w:tabs>
          <w:tab w:val="left" w:pos="3969"/>
        </w:tabs>
        <w:spacing w:line="360" w:lineRule="auto"/>
        <w:contextualSpacing/>
        <w:jc w:val="both"/>
        <w:rPr>
          <w:rFonts w:ascii="Palatino Linotype" w:hAnsi="Palatino Linotype" w:cs="Tahoma"/>
          <w:bCs/>
          <w:sz w:val="22"/>
          <w:szCs w:val="22"/>
        </w:rPr>
      </w:pPr>
    </w:p>
    <w:p w14:paraId="6DEB7D4E" w14:textId="77777777" w:rsidR="00342378" w:rsidRPr="00C0258A" w:rsidRDefault="00342378" w:rsidP="006B0B50">
      <w:pPr>
        <w:tabs>
          <w:tab w:val="left" w:pos="3969"/>
        </w:tabs>
        <w:spacing w:line="360" w:lineRule="auto"/>
        <w:contextualSpacing/>
        <w:jc w:val="both"/>
        <w:rPr>
          <w:rFonts w:ascii="Palatino Linotype" w:hAnsi="Palatino Linotype" w:cs="Tahoma"/>
          <w:bCs/>
          <w:sz w:val="22"/>
          <w:szCs w:val="22"/>
        </w:rPr>
      </w:pPr>
    </w:p>
    <w:p w14:paraId="7E331843" w14:textId="77777777" w:rsidR="00342378" w:rsidRPr="00C0258A" w:rsidRDefault="00342378" w:rsidP="006B0B50">
      <w:pPr>
        <w:tabs>
          <w:tab w:val="left" w:pos="3969"/>
        </w:tabs>
        <w:spacing w:line="360" w:lineRule="auto"/>
        <w:contextualSpacing/>
        <w:jc w:val="both"/>
        <w:rPr>
          <w:rFonts w:ascii="Palatino Linotype" w:hAnsi="Palatino Linotype" w:cs="Tahoma"/>
          <w:bCs/>
          <w:sz w:val="22"/>
          <w:szCs w:val="22"/>
        </w:rPr>
      </w:pPr>
    </w:p>
    <w:p w14:paraId="0936B728" w14:textId="77777777" w:rsidR="00342378" w:rsidRPr="00C0258A" w:rsidRDefault="00342378" w:rsidP="006B0B50">
      <w:pPr>
        <w:tabs>
          <w:tab w:val="left" w:pos="3969"/>
        </w:tabs>
        <w:spacing w:line="360" w:lineRule="auto"/>
        <w:contextualSpacing/>
        <w:jc w:val="both"/>
        <w:rPr>
          <w:rFonts w:ascii="Palatino Linotype" w:hAnsi="Palatino Linotype" w:cs="Tahoma"/>
          <w:bCs/>
          <w:sz w:val="22"/>
          <w:szCs w:val="22"/>
        </w:rPr>
      </w:pPr>
    </w:p>
    <w:p w14:paraId="21C36B63" w14:textId="6DD8E506" w:rsidR="00E35DF9" w:rsidRPr="00C0258A" w:rsidRDefault="00E35DF9" w:rsidP="00FF426B">
      <w:pPr>
        <w:spacing w:line="360" w:lineRule="auto"/>
        <w:contextualSpacing/>
        <w:jc w:val="both"/>
        <w:rPr>
          <w:rFonts w:ascii="Palatino Linotype" w:hAnsi="Palatino Linotype" w:cs="Tahoma"/>
          <w:bCs/>
          <w:sz w:val="22"/>
          <w:szCs w:val="22"/>
        </w:rPr>
      </w:pPr>
      <w:r w:rsidRPr="00C0258A">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C0258A">
        <w:rPr>
          <w:rFonts w:ascii="Palatino Linotype" w:hAnsi="Palatino Linotype" w:cs="Tahoma"/>
          <w:bCs/>
          <w:sz w:val="22"/>
          <w:szCs w:val="22"/>
        </w:rPr>
        <w:t xml:space="preserve"> </w:t>
      </w:r>
      <w:r w:rsidR="004B5EEF" w:rsidRPr="00C0258A">
        <w:rPr>
          <w:rFonts w:ascii="Palatino Linotype" w:hAnsi="Palatino Linotype" w:cs="Tahoma"/>
          <w:bCs/>
          <w:sz w:val="22"/>
          <w:szCs w:val="22"/>
        </w:rPr>
        <w:t>treinta</w:t>
      </w:r>
      <w:r w:rsidR="001215F0" w:rsidRPr="00C0258A">
        <w:rPr>
          <w:rFonts w:ascii="Palatino Linotype" w:hAnsi="Palatino Linotype" w:cs="Tahoma"/>
          <w:bCs/>
          <w:sz w:val="22"/>
          <w:szCs w:val="22"/>
        </w:rPr>
        <w:t xml:space="preserve"> </w:t>
      </w:r>
      <w:r w:rsidR="00D6115B" w:rsidRPr="00C0258A">
        <w:rPr>
          <w:rFonts w:ascii="Palatino Linotype" w:hAnsi="Palatino Linotype" w:cs="Tahoma"/>
          <w:bCs/>
          <w:sz w:val="22"/>
          <w:szCs w:val="22"/>
        </w:rPr>
        <w:t xml:space="preserve">de </w:t>
      </w:r>
      <w:r w:rsidR="001215F0" w:rsidRPr="00C0258A">
        <w:rPr>
          <w:rFonts w:ascii="Palatino Linotype" w:hAnsi="Palatino Linotype" w:cs="Tahoma"/>
          <w:bCs/>
          <w:sz w:val="22"/>
          <w:szCs w:val="22"/>
        </w:rPr>
        <w:t xml:space="preserve">abril </w:t>
      </w:r>
      <w:r w:rsidR="008453FA" w:rsidRPr="00C0258A">
        <w:rPr>
          <w:rFonts w:ascii="Palatino Linotype" w:hAnsi="Palatino Linotype" w:cs="Tahoma"/>
          <w:bCs/>
          <w:sz w:val="22"/>
          <w:szCs w:val="22"/>
        </w:rPr>
        <w:t>de dos mil veinti</w:t>
      </w:r>
      <w:r w:rsidR="00F93A36" w:rsidRPr="00C0258A">
        <w:rPr>
          <w:rFonts w:ascii="Palatino Linotype" w:hAnsi="Palatino Linotype" w:cs="Tahoma"/>
          <w:bCs/>
          <w:sz w:val="22"/>
          <w:szCs w:val="22"/>
        </w:rPr>
        <w:t>c</w:t>
      </w:r>
      <w:r w:rsidR="009C323D" w:rsidRPr="00C0258A">
        <w:rPr>
          <w:rFonts w:ascii="Palatino Linotype" w:hAnsi="Palatino Linotype" w:cs="Tahoma"/>
          <w:bCs/>
          <w:sz w:val="22"/>
          <w:szCs w:val="22"/>
        </w:rPr>
        <w:t>inc</w:t>
      </w:r>
      <w:r w:rsidR="00F93A36" w:rsidRPr="00C0258A">
        <w:rPr>
          <w:rFonts w:ascii="Palatino Linotype" w:hAnsi="Palatino Linotype" w:cs="Tahoma"/>
          <w:bCs/>
          <w:sz w:val="22"/>
          <w:szCs w:val="22"/>
        </w:rPr>
        <w:t>o</w:t>
      </w:r>
      <w:r w:rsidRPr="00C0258A">
        <w:rPr>
          <w:rFonts w:ascii="Palatino Linotype" w:hAnsi="Palatino Linotype" w:cs="Tahoma"/>
          <w:bCs/>
          <w:sz w:val="22"/>
          <w:szCs w:val="22"/>
        </w:rPr>
        <w:t>.</w:t>
      </w:r>
    </w:p>
    <w:p w14:paraId="60FB7F4B" w14:textId="77777777" w:rsidR="00E35DF9" w:rsidRPr="00C0258A" w:rsidRDefault="00E35DF9" w:rsidP="00FF426B">
      <w:pPr>
        <w:spacing w:line="360" w:lineRule="auto"/>
        <w:contextualSpacing/>
        <w:jc w:val="both"/>
        <w:rPr>
          <w:rFonts w:ascii="Palatino Linotype" w:hAnsi="Palatino Linotype" w:cs="Tahoma"/>
          <w:bCs/>
          <w:sz w:val="22"/>
          <w:szCs w:val="22"/>
        </w:rPr>
      </w:pPr>
    </w:p>
    <w:p w14:paraId="2B4F4148" w14:textId="157A1F5A" w:rsidR="00E35DF9" w:rsidRPr="00C0258A" w:rsidRDefault="00E35DF9" w:rsidP="00FF426B">
      <w:pPr>
        <w:spacing w:line="360" w:lineRule="auto"/>
        <w:contextualSpacing/>
        <w:jc w:val="both"/>
        <w:rPr>
          <w:rFonts w:ascii="Palatino Linotype" w:hAnsi="Palatino Linotype" w:cs="Tahoma"/>
          <w:bCs/>
          <w:sz w:val="22"/>
          <w:szCs w:val="22"/>
        </w:rPr>
      </w:pPr>
      <w:r w:rsidRPr="00C0258A">
        <w:rPr>
          <w:rFonts w:ascii="Palatino Linotype" w:hAnsi="Palatino Linotype" w:cs="Tahoma"/>
          <w:b/>
          <w:bCs/>
          <w:color w:val="0D0D0D" w:themeColor="text1" w:themeTint="F2"/>
          <w:sz w:val="22"/>
          <w:szCs w:val="22"/>
        </w:rPr>
        <w:t xml:space="preserve">VISTO </w:t>
      </w:r>
      <w:r w:rsidR="00D0542E" w:rsidRPr="00C0258A">
        <w:rPr>
          <w:rFonts w:ascii="Palatino Linotype" w:hAnsi="Palatino Linotype" w:cs="Tahoma"/>
          <w:bCs/>
          <w:color w:val="0D0D0D" w:themeColor="text1" w:themeTint="F2"/>
          <w:sz w:val="22"/>
          <w:szCs w:val="22"/>
        </w:rPr>
        <w:t>el expediente</w:t>
      </w:r>
      <w:r w:rsidRPr="00C0258A">
        <w:rPr>
          <w:rFonts w:ascii="Palatino Linotype" w:hAnsi="Palatino Linotype" w:cs="Tahoma"/>
          <w:bCs/>
          <w:color w:val="0D0D0D" w:themeColor="text1" w:themeTint="F2"/>
          <w:sz w:val="22"/>
          <w:szCs w:val="22"/>
        </w:rPr>
        <w:t xml:space="preserve"> conformado con motivo de</w:t>
      </w:r>
      <w:r w:rsidR="00E30210" w:rsidRPr="00C0258A">
        <w:rPr>
          <w:rFonts w:ascii="Palatino Linotype" w:hAnsi="Palatino Linotype" w:cs="Tahoma"/>
          <w:bCs/>
          <w:color w:val="0D0D0D" w:themeColor="text1" w:themeTint="F2"/>
          <w:sz w:val="22"/>
          <w:szCs w:val="22"/>
        </w:rPr>
        <w:t>l</w:t>
      </w:r>
      <w:r w:rsidRPr="00C0258A">
        <w:rPr>
          <w:rFonts w:ascii="Palatino Linotype" w:hAnsi="Palatino Linotype" w:cs="Tahoma"/>
          <w:bCs/>
          <w:color w:val="0D0D0D" w:themeColor="text1" w:themeTint="F2"/>
          <w:sz w:val="22"/>
          <w:szCs w:val="22"/>
        </w:rPr>
        <w:t xml:space="preserve"> Recurso de Revisión</w:t>
      </w:r>
      <w:r w:rsidR="0089175F" w:rsidRPr="00C0258A">
        <w:rPr>
          <w:rFonts w:ascii="Palatino Linotype" w:hAnsi="Palatino Linotype" w:cs="Tahoma"/>
          <w:bCs/>
          <w:color w:val="0D0D0D" w:themeColor="text1" w:themeTint="F2"/>
          <w:sz w:val="22"/>
          <w:szCs w:val="22"/>
        </w:rPr>
        <w:t xml:space="preserve"> </w:t>
      </w:r>
      <w:r w:rsidR="001215F0" w:rsidRPr="00C0258A">
        <w:rPr>
          <w:rFonts w:ascii="Palatino Linotype" w:hAnsi="Palatino Linotype" w:cs="Tahoma"/>
          <w:b/>
          <w:bCs/>
          <w:color w:val="0D0D0D" w:themeColor="text1" w:themeTint="F2"/>
          <w:sz w:val="22"/>
          <w:szCs w:val="22"/>
        </w:rPr>
        <w:t>02</w:t>
      </w:r>
      <w:r w:rsidR="004B5EEF" w:rsidRPr="00C0258A">
        <w:rPr>
          <w:rFonts w:ascii="Palatino Linotype" w:hAnsi="Palatino Linotype" w:cs="Tahoma"/>
          <w:b/>
          <w:bCs/>
          <w:color w:val="0D0D0D" w:themeColor="text1" w:themeTint="F2"/>
          <w:sz w:val="22"/>
          <w:szCs w:val="22"/>
        </w:rPr>
        <w:t>381</w:t>
      </w:r>
      <w:r w:rsidR="0089175F" w:rsidRPr="00C0258A">
        <w:rPr>
          <w:rFonts w:ascii="Palatino Linotype" w:hAnsi="Palatino Linotype" w:cs="Tahoma"/>
          <w:b/>
          <w:bCs/>
          <w:color w:val="0D0D0D" w:themeColor="text1" w:themeTint="F2"/>
          <w:sz w:val="22"/>
          <w:szCs w:val="22"/>
        </w:rPr>
        <w:t>/INFOEM/IP/RR/202</w:t>
      </w:r>
      <w:r w:rsidR="00CD10BF" w:rsidRPr="00C0258A">
        <w:rPr>
          <w:rFonts w:ascii="Palatino Linotype" w:hAnsi="Palatino Linotype" w:cs="Tahoma"/>
          <w:b/>
          <w:bCs/>
          <w:color w:val="0D0D0D" w:themeColor="text1" w:themeTint="F2"/>
          <w:sz w:val="22"/>
          <w:szCs w:val="22"/>
        </w:rPr>
        <w:t>5</w:t>
      </w:r>
      <w:r w:rsidR="0089175F" w:rsidRPr="00C0258A">
        <w:rPr>
          <w:rFonts w:ascii="Palatino Linotype" w:hAnsi="Palatino Linotype" w:cs="Tahoma"/>
          <w:b/>
          <w:bCs/>
          <w:color w:val="0D0D0D" w:themeColor="text1" w:themeTint="F2"/>
          <w:sz w:val="22"/>
          <w:szCs w:val="22"/>
        </w:rPr>
        <w:t>,</w:t>
      </w:r>
      <w:r w:rsidRPr="00C0258A">
        <w:rPr>
          <w:rFonts w:ascii="Palatino Linotype" w:hAnsi="Palatino Linotype" w:cs="Tahoma"/>
          <w:bCs/>
          <w:color w:val="0D0D0D" w:themeColor="text1" w:themeTint="F2"/>
          <w:sz w:val="22"/>
          <w:szCs w:val="22"/>
        </w:rPr>
        <w:t xml:space="preserve"> interpuesto</w:t>
      </w:r>
      <w:r w:rsidR="00C74F5F" w:rsidRPr="00C0258A">
        <w:rPr>
          <w:rFonts w:ascii="Palatino Linotype" w:hAnsi="Palatino Linotype" w:cs="Tahoma"/>
          <w:color w:val="0D0D0D" w:themeColor="text1" w:themeTint="F2"/>
          <w:sz w:val="22"/>
          <w:szCs w:val="22"/>
        </w:rPr>
        <w:t xml:space="preserve"> </w:t>
      </w:r>
      <w:r w:rsidR="007E4927" w:rsidRPr="00C0258A">
        <w:rPr>
          <w:rFonts w:ascii="Palatino Linotype" w:hAnsi="Palatino Linotype" w:cs="Tahoma"/>
          <w:bCs/>
          <w:color w:val="0D0D0D" w:themeColor="text1" w:themeTint="F2"/>
          <w:sz w:val="22"/>
          <w:szCs w:val="22"/>
        </w:rPr>
        <w:t>por</w:t>
      </w:r>
      <w:r w:rsidR="00383BDB" w:rsidRPr="00C0258A">
        <w:rPr>
          <w:rFonts w:ascii="Palatino Linotype" w:hAnsi="Palatino Linotype" w:cs="Tahoma"/>
          <w:bCs/>
          <w:color w:val="0D0D0D" w:themeColor="text1" w:themeTint="F2"/>
          <w:sz w:val="22"/>
          <w:szCs w:val="22"/>
        </w:rPr>
        <w:t xml:space="preserve"> </w:t>
      </w:r>
      <w:r w:rsidR="00CD52E7" w:rsidRPr="00C0258A">
        <w:rPr>
          <w:rFonts w:ascii="Palatino Linotype" w:hAnsi="Palatino Linotype" w:cs="Tahoma"/>
          <w:color w:val="0D0D0D" w:themeColor="text1" w:themeTint="F2"/>
          <w:sz w:val="22"/>
          <w:szCs w:val="22"/>
        </w:rPr>
        <w:t>un</w:t>
      </w:r>
      <w:r w:rsidR="00F770EE" w:rsidRPr="00C0258A">
        <w:rPr>
          <w:rFonts w:ascii="Palatino Linotype" w:hAnsi="Palatino Linotype" w:cs="Tahoma"/>
          <w:color w:val="0D0D0D" w:themeColor="text1" w:themeTint="F2"/>
          <w:sz w:val="22"/>
          <w:szCs w:val="22"/>
        </w:rPr>
        <w:t xml:space="preserve"> </w:t>
      </w:r>
      <w:r w:rsidRPr="00C0258A">
        <w:rPr>
          <w:rFonts w:ascii="Palatino Linotype" w:hAnsi="Palatino Linotype" w:cs="Tahoma"/>
          <w:bCs/>
          <w:color w:val="0D0D0D" w:themeColor="text1" w:themeTint="F2"/>
          <w:sz w:val="22"/>
          <w:szCs w:val="22"/>
        </w:rPr>
        <w:t>Recurrente o Particular, en contra de la respuesta del Sujeto Obligado</w:t>
      </w:r>
      <w:r w:rsidRPr="00C0258A">
        <w:rPr>
          <w:rFonts w:ascii="Palatino Linotype" w:hAnsi="Palatino Linotype"/>
          <w:sz w:val="22"/>
          <w:szCs w:val="22"/>
        </w:rPr>
        <w:t xml:space="preserve"> </w:t>
      </w:r>
      <w:r w:rsidR="001215F0" w:rsidRPr="00C0258A">
        <w:rPr>
          <w:rFonts w:ascii="Palatino Linotype" w:eastAsia="Calibri" w:hAnsi="Palatino Linotype" w:cs="Tahoma"/>
          <w:b/>
          <w:bCs/>
          <w:sz w:val="22"/>
          <w:szCs w:val="22"/>
          <w:lang w:eastAsia="en-US"/>
        </w:rPr>
        <w:t>Ayuntamiento de Toluca</w:t>
      </w:r>
      <w:r w:rsidRPr="00C0258A">
        <w:rPr>
          <w:rFonts w:ascii="Palatino Linotype" w:hAnsi="Palatino Linotype" w:cs="Tahoma"/>
          <w:b/>
          <w:color w:val="0D0D0D" w:themeColor="text1" w:themeTint="F2"/>
          <w:sz w:val="22"/>
          <w:szCs w:val="22"/>
        </w:rPr>
        <w:t xml:space="preserve">, </w:t>
      </w:r>
      <w:r w:rsidRPr="00C0258A">
        <w:rPr>
          <w:rFonts w:ascii="Palatino Linotype" w:hAnsi="Palatino Linotype" w:cs="Tahoma"/>
          <w:bCs/>
          <w:color w:val="0D0D0D" w:themeColor="text1" w:themeTint="F2"/>
          <w:sz w:val="22"/>
          <w:szCs w:val="22"/>
        </w:rPr>
        <w:t>se emite la presente Resolución, con base en los Antecedentes y C</w:t>
      </w:r>
      <w:r w:rsidRPr="00C0258A">
        <w:rPr>
          <w:rFonts w:ascii="Palatino Linotype" w:hAnsi="Palatino Linotype" w:cs="Tahoma"/>
          <w:bCs/>
          <w:sz w:val="22"/>
          <w:szCs w:val="22"/>
        </w:rPr>
        <w:t>onsiderandos que a continuación se exponen:</w:t>
      </w:r>
    </w:p>
    <w:p w14:paraId="1A882340" w14:textId="77777777" w:rsidR="00BB1F81" w:rsidRPr="00C0258A" w:rsidRDefault="00BB1F81" w:rsidP="00FF426B">
      <w:pPr>
        <w:spacing w:line="360" w:lineRule="auto"/>
        <w:contextualSpacing/>
        <w:jc w:val="both"/>
        <w:rPr>
          <w:rFonts w:ascii="Palatino Linotype" w:hAnsi="Palatino Linotype" w:cs="Tahoma"/>
          <w:b/>
          <w:color w:val="0D0D0D" w:themeColor="text1" w:themeTint="F2"/>
          <w:sz w:val="18"/>
          <w:szCs w:val="22"/>
        </w:rPr>
      </w:pPr>
    </w:p>
    <w:p w14:paraId="73BD1BA6" w14:textId="77777777" w:rsidR="00E35DF9" w:rsidRPr="00C0258A" w:rsidRDefault="00E35DF9" w:rsidP="00342378">
      <w:pPr>
        <w:pStyle w:val="Ttulo1"/>
        <w:jc w:val="center"/>
        <w:rPr>
          <w:rFonts w:ascii="Palatino Linotype" w:hAnsi="Palatino Linotype"/>
          <w:b/>
          <w:sz w:val="22"/>
          <w:szCs w:val="22"/>
          <w:lang w:val="pt-BR"/>
        </w:rPr>
      </w:pPr>
      <w:bookmarkStart w:id="1" w:name="_Toc196923893"/>
      <w:r w:rsidRPr="00C0258A">
        <w:rPr>
          <w:rFonts w:ascii="Palatino Linotype" w:hAnsi="Palatino Linotype"/>
          <w:b/>
          <w:color w:val="auto"/>
          <w:sz w:val="22"/>
          <w:szCs w:val="22"/>
          <w:lang w:val="pt-BR"/>
        </w:rPr>
        <w:t>A N T E C E D E N T E S</w:t>
      </w:r>
      <w:bookmarkEnd w:id="1"/>
    </w:p>
    <w:p w14:paraId="38DAA17F" w14:textId="77777777" w:rsidR="001E7B8B" w:rsidRPr="00C0258A" w:rsidRDefault="001E7B8B" w:rsidP="00FF426B">
      <w:pPr>
        <w:pStyle w:val="Prrafodelista"/>
        <w:tabs>
          <w:tab w:val="left" w:pos="567"/>
        </w:tabs>
        <w:spacing w:line="360" w:lineRule="auto"/>
        <w:ind w:left="0"/>
        <w:jc w:val="both"/>
        <w:rPr>
          <w:rFonts w:ascii="Palatino Linotype" w:hAnsi="Palatino Linotype" w:cs="Tahoma"/>
          <w:b/>
          <w:szCs w:val="22"/>
          <w:lang w:val="pt-BR"/>
        </w:rPr>
      </w:pPr>
    </w:p>
    <w:p w14:paraId="36725815" w14:textId="77777777" w:rsidR="00E35DF9" w:rsidRPr="00C0258A" w:rsidRDefault="00E35DF9" w:rsidP="00342378">
      <w:pPr>
        <w:pStyle w:val="Ttulo2"/>
        <w:rPr>
          <w:rFonts w:ascii="Palatino Linotype" w:hAnsi="Palatino Linotype" w:cs="Tahoma"/>
          <w:b/>
          <w:color w:val="auto"/>
          <w:sz w:val="22"/>
          <w:szCs w:val="22"/>
        </w:rPr>
      </w:pPr>
      <w:bookmarkStart w:id="2" w:name="_Toc196923894"/>
      <w:r w:rsidRPr="00C0258A">
        <w:rPr>
          <w:rFonts w:ascii="Palatino Linotype" w:hAnsi="Palatino Linotype" w:cs="Tahoma"/>
          <w:b/>
          <w:color w:val="auto"/>
          <w:sz w:val="22"/>
          <w:szCs w:val="22"/>
        </w:rPr>
        <w:t>I. Presentación de la solicitud de información</w:t>
      </w:r>
      <w:bookmarkEnd w:id="2"/>
    </w:p>
    <w:p w14:paraId="5BA9FA64" w14:textId="77777777" w:rsidR="00E35DF9" w:rsidRPr="00C0258A"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22F7A339" w14:textId="7417399C" w:rsidR="00E35DF9" w:rsidRPr="00C0258A" w:rsidRDefault="00BB1F81" w:rsidP="00FF426B">
      <w:pPr>
        <w:tabs>
          <w:tab w:val="left" w:pos="567"/>
        </w:tabs>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El</w:t>
      </w:r>
      <w:r w:rsidR="00E35DF9" w:rsidRPr="00C0258A">
        <w:rPr>
          <w:rFonts w:ascii="Palatino Linotype" w:hAnsi="Palatino Linotype" w:cs="Tahoma"/>
          <w:sz w:val="22"/>
          <w:szCs w:val="22"/>
        </w:rPr>
        <w:t xml:space="preserve"> </w:t>
      </w:r>
      <w:r w:rsidR="004B5EEF" w:rsidRPr="00C0258A">
        <w:rPr>
          <w:rFonts w:ascii="Palatino Linotype" w:hAnsi="Palatino Linotype" w:cs="Tahoma"/>
          <w:sz w:val="22"/>
          <w:szCs w:val="22"/>
        </w:rPr>
        <w:t>veinte de enero</w:t>
      </w:r>
      <w:r w:rsidR="00D6115B" w:rsidRPr="00C0258A">
        <w:rPr>
          <w:rFonts w:ascii="Palatino Linotype" w:hAnsi="Palatino Linotype" w:cs="Tahoma"/>
          <w:sz w:val="22"/>
          <w:szCs w:val="22"/>
        </w:rPr>
        <w:t xml:space="preserve"> de dos mil veinticinco</w:t>
      </w:r>
      <w:r w:rsidR="00E35DF9" w:rsidRPr="00C0258A">
        <w:rPr>
          <w:rFonts w:ascii="Palatino Linotype" w:hAnsi="Palatino Linotype" w:cs="Tahoma"/>
          <w:sz w:val="22"/>
          <w:szCs w:val="22"/>
        </w:rPr>
        <w:t xml:space="preserve">, </w:t>
      </w:r>
      <w:r w:rsidR="00C247E5" w:rsidRPr="00C0258A">
        <w:rPr>
          <w:rFonts w:ascii="Palatino Linotype" w:hAnsi="Palatino Linotype" w:cs="Tahoma"/>
          <w:sz w:val="22"/>
          <w:szCs w:val="22"/>
        </w:rPr>
        <w:t>el</w:t>
      </w:r>
      <w:r w:rsidR="00E35DF9" w:rsidRPr="00C0258A">
        <w:rPr>
          <w:rFonts w:ascii="Palatino Linotype" w:hAnsi="Palatino Linotype" w:cs="Tahoma"/>
          <w:sz w:val="22"/>
          <w:szCs w:val="22"/>
        </w:rPr>
        <w:t xml:space="preserve"> Particular presentó solicitud de acceso a la i</w:t>
      </w:r>
      <w:r w:rsidR="009D6672" w:rsidRPr="00C0258A">
        <w:rPr>
          <w:rFonts w:ascii="Palatino Linotype" w:hAnsi="Palatino Linotype" w:cs="Tahoma"/>
          <w:sz w:val="22"/>
          <w:szCs w:val="22"/>
        </w:rPr>
        <w:t>nformación pública, a través de</w:t>
      </w:r>
      <w:r w:rsidR="00EA2594" w:rsidRPr="00C0258A">
        <w:rPr>
          <w:rFonts w:ascii="Palatino Linotype" w:hAnsi="Palatino Linotype" w:cs="Tahoma"/>
          <w:sz w:val="22"/>
          <w:szCs w:val="22"/>
        </w:rPr>
        <w:t xml:space="preserve">l </w:t>
      </w:r>
      <w:r w:rsidR="00062387" w:rsidRPr="00C0258A">
        <w:rPr>
          <w:rFonts w:ascii="Palatino Linotype" w:hAnsi="Palatino Linotype" w:cs="Tahoma"/>
          <w:sz w:val="22"/>
          <w:szCs w:val="22"/>
        </w:rPr>
        <w:t>Sistema de Acceso a la</w:t>
      </w:r>
      <w:r w:rsidR="000973B8" w:rsidRPr="00C0258A">
        <w:rPr>
          <w:rFonts w:ascii="Palatino Linotype" w:hAnsi="Palatino Linotype" w:cs="Tahoma"/>
          <w:sz w:val="22"/>
          <w:szCs w:val="22"/>
        </w:rPr>
        <w:t xml:space="preserve"> Información Mexiquense</w:t>
      </w:r>
      <w:r w:rsidRPr="00C0258A">
        <w:rPr>
          <w:rFonts w:ascii="Palatino Linotype" w:hAnsi="Palatino Linotype" w:cs="Tahoma"/>
          <w:sz w:val="22"/>
          <w:szCs w:val="22"/>
        </w:rPr>
        <w:t>, en lo sucesivo</w:t>
      </w:r>
      <w:r w:rsidR="000973B8" w:rsidRPr="00C0258A">
        <w:rPr>
          <w:rFonts w:ascii="Palatino Linotype" w:hAnsi="Palatino Linotype" w:cs="Tahoma"/>
          <w:sz w:val="22"/>
          <w:szCs w:val="22"/>
        </w:rPr>
        <w:t xml:space="preserve"> </w:t>
      </w:r>
      <w:r w:rsidRPr="00C0258A">
        <w:rPr>
          <w:rFonts w:ascii="Palatino Linotype" w:hAnsi="Palatino Linotype" w:cs="Tahoma"/>
          <w:sz w:val="22"/>
          <w:szCs w:val="22"/>
        </w:rPr>
        <w:t xml:space="preserve">el </w:t>
      </w:r>
      <w:r w:rsidR="000973B8" w:rsidRPr="00C0258A">
        <w:rPr>
          <w:rFonts w:ascii="Palatino Linotype" w:hAnsi="Palatino Linotype" w:cs="Tahoma"/>
          <w:sz w:val="22"/>
          <w:szCs w:val="22"/>
        </w:rPr>
        <w:t>SAIMEX</w:t>
      </w:r>
      <w:r w:rsidR="00E35DF9" w:rsidRPr="00C0258A">
        <w:rPr>
          <w:rFonts w:ascii="Palatino Linotype" w:hAnsi="Palatino Linotype" w:cs="Tahoma"/>
          <w:sz w:val="22"/>
          <w:szCs w:val="22"/>
        </w:rPr>
        <w:t xml:space="preserve">, ante </w:t>
      </w:r>
      <w:r w:rsidR="009C323D" w:rsidRPr="00C0258A">
        <w:rPr>
          <w:rFonts w:ascii="Palatino Linotype" w:hAnsi="Palatino Linotype" w:cs="Tahoma"/>
          <w:sz w:val="22"/>
          <w:szCs w:val="22"/>
        </w:rPr>
        <w:t>e</w:t>
      </w:r>
      <w:r w:rsidR="00212285" w:rsidRPr="00C0258A">
        <w:rPr>
          <w:rFonts w:ascii="Palatino Linotype" w:hAnsi="Palatino Linotype" w:cs="Tahoma"/>
          <w:sz w:val="22"/>
          <w:szCs w:val="22"/>
        </w:rPr>
        <w:t>l</w:t>
      </w:r>
      <w:r w:rsidR="00E35DF9" w:rsidRPr="00C0258A">
        <w:rPr>
          <w:rFonts w:ascii="Palatino Linotype" w:hAnsi="Palatino Linotype" w:cs="Tahoma"/>
          <w:sz w:val="22"/>
          <w:szCs w:val="22"/>
        </w:rPr>
        <w:t xml:space="preserve"> </w:t>
      </w:r>
      <w:r w:rsidR="001215F0" w:rsidRPr="00C0258A">
        <w:rPr>
          <w:rFonts w:ascii="Palatino Linotype" w:hAnsi="Palatino Linotype" w:cs="Tahoma"/>
          <w:b/>
          <w:bCs/>
          <w:sz w:val="22"/>
          <w:szCs w:val="22"/>
        </w:rPr>
        <w:t>Ayuntamiento de Toluca</w:t>
      </w:r>
      <w:r w:rsidR="00E35DF9" w:rsidRPr="00C0258A">
        <w:rPr>
          <w:rFonts w:ascii="Palatino Linotype" w:hAnsi="Palatino Linotype" w:cs="Tahoma"/>
          <w:sz w:val="22"/>
          <w:szCs w:val="22"/>
        </w:rPr>
        <w:t xml:space="preserve">, </w:t>
      </w:r>
      <w:r w:rsidR="003A12F1" w:rsidRPr="00C0258A">
        <w:rPr>
          <w:rFonts w:ascii="Palatino Linotype" w:hAnsi="Palatino Linotype" w:cs="Tahoma"/>
          <w:sz w:val="22"/>
          <w:szCs w:val="22"/>
        </w:rPr>
        <w:t xml:space="preserve">misma que fue registrada con el número de folio </w:t>
      </w:r>
      <w:r w:rsidR="001215F0" w:rsidRPr="00C0258A">
        <w:rPr>
          <w:rFonts w:ascii="Palatino Linotype" w:hAnsi="Palatino Linotype" w:cs="Tahoma"/>
          <w:b/>
          <w:bCs/>
          <w:sz w:val="22"/>
          <w:szCs w:val="22"/>
        </w:rPr>
        <w:t>003</w:t>
      </w:r>
      <w:r w:rsidR="004B5EEF" w:rsidRPr="00C0258A">
        <w:rPr>
          <w:rFonts w:ascii="Palatino Linotype" w:hAnsi="Palatino Linotype" w:cs="Tahoma"/>
          <w:b/>
          <w:bCs/>
          <w:sz w:val="22"/>
          <w:szCs w:val="22"/>
        </w:rPr>
        <w:t>8</w:t>
      </w:r>
      <w:r w:rsidR="001215F0" w:rsidRPr="00C0258A">
        <w:rPr>
          <w:rFonts w:ascii="Palatino Linotype" w:hAnsi="Palatino Linotype" w:cs="Tahoma"/>
          <w:b/>
          <w:bCs/>
          <w:sz w:val="22"/>
          <w:szCs w:val="22"/>
        </w:rPr>
        <w:t>2/TOLUCA/IP/2025</w:t>
      </w:r>
      <w:r w:rsidR="003A12F1" w:rsidRPr="00C0258A">
        <w:rPr>
          <w:rFonts w:ascii="Palatino Linotype" w:hAnsi="Palatino Linotype" w:cs="Tahoma"/>
          <w:b/>
          <w:bCs/>
          <w:sz w:val="22"/>
          <w:szCs w:val="22"/>
        </w:rPr>
        <w:t xml:space="preserve">, </w:t>
      </w:r>
      <w:r w:rsidR="00E35DF9" w:rsidRPr="00C0258A">
        <w:rPr>
          <w:rFonts w:ascii="Palatino Linotype" w:hAnsi="Palatino Linotype" w:cs="Tahoma"/>
          <w:sz w:val="22"/>
          <w:szCs w:val="22"/>
        </w:rPr>
        <w:t xml:space="preserve">mediante </w:t>
      </w:r>
      <w:r w:rsidR="0074594A" w:rsidRPr="00C0258A">
        <w:rPr>
          <w:rFonts w:ascii="Palatino Linotype" w:hAnsi="Palatino Linotype" w:cs="Tahoma"/>
          <w:sz w:val="22"/>
          <w:szCs w:val="22"/>
        </w:rPr>
        <w:t>l</w:t>
      </w:r>
      <w:r w:rsidR="00B50512" w:rsidRPr="00C0258A">
        <w:rPr>
          <w:rFonts w:ascii="Palatino Linotype" w:hAnsi="Palatino Linotype" w:cs="Tahoma"/>
          <w:sz w:val="22"/>
          <w:szCs w:val="22"/>
        </w:rPr>
        <w:t>a</w:t>
      </w:r>
      <w:r w:rsidR="00E35DF9" w:rsidRPr="00C0258A">
        <w:rPr>
          <w:rFonts w:ascii="Palatino Linotype" w:hAnsi="Palatino Linotype" w:cs="Tahoma"/>
          <w:sz w:val="22"/>
          <w:szCs w:val="22"/>
        </w:rPr>
        <w:t xml:space="preserve"> cual requirió lo siguiente: </w:t>
      </w:r>
    </w:p>
    <w:p w14:paraId="113D93D5" w14:textId="77777777" w:rsidR="00D807FB" w:rsidRPr="00C0258A" w:rsidRDefault="00D807FB" w:rsidP="00FF426B">
      <w:pPr>
        <w:tabs>
          <w:tab w:val="left" w:pos="567"/>
        </w:tabs>
        <w:spacing w:line="360" w:lineRule="auto"/>
        <w:contextualSpacing/>
        <w:jc w:val="both"/>
        <w:rPr>
          <w:rFonts w:ascii="Palatino Linotype" w:hAnsi="Palatino Linotype" w:cs="Tahoma"/>
          <w:sz w:val="22"/>
        </w:rPr>
      </w:pPr>
    </w:p>
    <w:p w14:paraId="025D08DB" w14:textId="77777777" w:rsidR="00D807FB" w:rsidRPr="00C0258A"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C0258A">
        <w:rPr>
          <w:rFonts w:ascii="Palatino Linotype" w:hAnsi="Palatino Linotype" w:cs="Tahoma"/>
          <w:b/>
          <w:bCs/>
        </w:rPr>
        <w:t>DESCRIPCIÓN CLARA Y PRECISA DE LA INFORMACIÓN SOLICITADA</w:t>
      </w:r>
    </w:p>
    <w:p w14:paraId="46296F0F" w14:textId="7ED863D0" w:rsidR="000F2B83" w:rsidRPr="00C0258A" w:rsidRDefault="009D6672" w:rsidP="00CD78C2">
      <w:pPr>
        <w:pStyle w:val="Prrafodelista"/>
        <w:tabs>
          <w:tab w:val="left" w:pos="567"/>
        </w:tabs>
        <w:spacing w:line="360" w:lineRule="auto"/>
        <w:ind w:left="567" w:right="539"/>
        <w:jc w:val="both"/>
        <w:rPr>
          <w:rFonts w:ascii="Palatino Linotype" w:hAnsi="Palatino Linotype"/>
          <w:i/>
          <w:iCs/>
          <w:color w:val="000000"/>
          <w:sz w:val="20"/>
          <w:szCs w:val="20"/>
        </w:rPr>
      </w:pPr>
      <w:r w:rsidRPr="00C0258A">
        <w:rPr>
          <w:rFonts w:ascii="Palatino Linotype" w:hAnsi="Palatino Linotype"/>
          <w:i/>
          <w:iCs/>
          <w:color w:val="000000"/>
          <w:sz w:val="20"/>
          <w:szCs w:val="20"/>
        </w:rPr>
        <w:t>“</w:t>
      </w:r>
      <w:r w:rsidR="004B5EEF" w:rsidRPr="00C0258A">
        <w:rPr>
          <w:rFonts w:ascii="Palatino Linotype" w:hAnsi="Palatino Linotype"/>
          <w:i/>
          <w:iCs/>
          <w:color w:val="000000"/>
          <w:sz w:val="20"/>
          <w:szCs w:val="20"/>
        </w:rPr>
        <w:t xml:space="preserve">Se solicita del Ayuntamiento de Toluca y con fundamento en los artículos 1, 2 fracciones XIII, XV y XX, 3, 5 fracción XI, 10, 11, 21 fracciones III y XIII, 84 fracción VIII, 85 fracciones I, IV y VIII, 87, 88, 179 y 181 de la Ley de Competitividad y Ordenamiento Comercial del Estado de México; 1, 5 último párrafo, 9 fracción V, 12, 14, 19, 20 fracciones I, II, IV, VIII y IX, 22, 45 y 62 Bis fracciones I y IV de la Ley que Regula el Régimen de Propiedad en Condominio en el Estado de México; 11 fracciones II, XI, XIX, XXII y XXIII, 48, 68, 74 y 108 de la Ley General de Asentamientos Humanos, Ordenamiento Territorial y Desarrollo Urbano; 62 y 101 último párrafo, del Reglamento de Tránsito del Estado de México;8.2 y 8.8, del Código Administrativo del Estado de México; 1, 3, 4, 5, 6, 8, 9, 120, 135, 136, 137, 138 del Reglamento del Libro Quinto del Código Administrativo </w:t>
      </w:r>
      <w:r w:rsidR="004B5EEF" w:rsidRPr="00C0258A">
        <w:rPr>
          <w:rFonts w:ascii="Palatino Linotype" w:hAnsi="Palatino Linotype"/>
          <w:i/>
          <w:iCs/>
          <w:color w:val="000000"/>
          <w:sz w:val="20"/>
          <w:szCs w:val="20"/>
        </w:rPr>
        <w:lastRenderedPageBreak/>
        <w:t xml:space="preserve">del Estado de México; 17 fracción II incisos a) y h), 84, 86, 87, 92, 100, 104 fracciones I, III, IV y XXXII, 108 fracción I del Bando Municipal de Toluca 2024, y; 1, 2, 3, 4, 5, 10 y 13 del Reglamento de Condominio y Administración del Conjunto Urbano Sauces y demás aplicables al caso, la siguiente información: 1.- Se solicita copia del Permiso y/o Licencia de Funcionamiento por la comercialización de servicios mecánicos, del negocio denominado “Talachera Sí Voy”, ubicado en Paseo Acacias manzana 2 lote 1 casa 102 del Conjunto Urbano Sauces, Delegación Sauces 48, Unidad Territorial Básica I, Clave Única Municipal 480A. 2.- Se solicita copia del documento de autorización del cambio de uso de suelo del predio donde se ubica el negocio denominado “Talachera Sí Voy”, ubicado en Paseo Acacias manzana 2 lote 1 casa 102 del Conjunto Urbano Sauces, Delegación Sauces 48, Unidad Territorial Básica I, Clave Única Municipal 480A., para pasar de uso habitacional al de uso comercial. Se anexa imagen. 3.- Se solicita copia de la Licencia de Construcción autorizada para la modificación de la casa habitación ubicada en el comercio denominado “Talachera Sí Voy”, establecido en Paseo Acacias manzana 2 lote 1 </w:t>
      </w:r>
      <w:bookmarkStart w:id="3" w:name="_GoBack"/>
      <w:bookmarkEnd w:id="3"/>
      <w:r w:rsidR="004B5EEF" w:rsidRPr="00C0258A">
        <w:rPr>
          <w:rFonts w:ascii="Palatino Linotype" w:hAnsi="Palatino Linotype"/>
          <w:i/>
          <w:iCs/>
          <w:color w:val="000000"/>
          <w:sz w:val="20"/>
          <w:szCs w:val="20"/>
        </w:rPr>
        <w:t>casa 102 del Conjunto Urbano Sauces, Delegación Sauces 48, Unidad Territorial Básica I, Clave Única Municipal 480A. 4.- Se solicita copia del documento en donde fue actualizado el valor catastral por la modificación realizada al predio ubicado en Paseo Acacias manzana 2 lote 1 casa 102 del Conjunto Urbano Sauces, Delegación Sauces 48, Unidad Territorial Básica I, Clave Única Municipal 480A al pasar de uso habitacional al de uso comercial. Así también, se solicita copia de la boleta predial, en su versión pública, en donde se verifique que dicho impuesto se encuentra al corriente y con la modificación de su valor catastral actual. 5.- Se solicita copia del documento en donde se da constancia de la clausura definitiva y permanente del comercio, por la violación a los artículos 1,2, 3 y 4, 5, 7 y 10 del Reglamento de Condominio y Administración del Conjunto Urbano Sauces integrado a cada una de las escrituras públicas del mismo y las demás disposiciones normativas jurídicas que le apliquen.</w:t>
      </w:r>
      <w:r w:rsidR="00B50512" w:rsidRPr="00C0258A">
        <w:rPr>
          <w:rFonts w:ascii="Palatino Linotype" w:hAnsi="Palatino Linotype"/>
          <w:i/>
          <w:iCs/>
          <w:color w:val="000000"/>
          <w:sz w:val="20"/>
          <w:szCs w:val="20"/>
        </w:rPr>
        <w:t>"</w:t>
      </w:r>
      <w:r w:rsidR="00A650C6" w:rsidRPr="00C0258A">
        <w:rPr>
          <w:rFonts w:ascii="Palatino Linotype" w:hAnsi="Palatino Linotype"/>
          <w:i/>
          <w:iCs/>
          <w:color w:val="000000"/>
          <w:sz w:val="20"/>
          <w:szCs w:val="20"/>
        </w:rPr>
        <w:t xml:space="preserve"> </w:t>
      </w:r>
      <w:r w:rsidR="00D74B06" w:rsidRPr="00C0258A">
        <w:rPr>
          <w:rFonts w:ascii="Palatino Linotype" w:hAnsi="Palatino Linotype"/>
          <w:i/>
          <w:iCs/>
          <w:color w:val="000000"/>
          <w:sz w:val="20"/>
          <w:szCs w:val="20"/>
        </w:rPr>
        <w:t>(Sic)</w:t>
      </w:r>
      <w:r w:rsidR="007A0F69" w:rsidRPr="00C0258A">
        <w:rPr>
          <w:rFonts w:ascii="Palatino Linotype" w:hAnsi="Palatino Linotype"/>
          <w:i/>
          <w:iCs/>
          <w:color w:val="000000"/>
          <w:sz w:val="20"/>
          <w:szCs w:val="20"/>
        </w:rPr>
        <w:t>.</w:t>
      </w:r>
    </w:p>
    <w:p w14:paraId="3E966074" w14:textId="77777777" w:rsidR="007E4927" w:rsidRPr="00C0258A"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29FF0FFE" w14:textId="77777777" w:rsidR="00E35DF9" w:rsidRPr="00C0258A"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C0258A">
        <w:rPr>
          <w:rFonts w:ascii="Palatino Linotype" w:hAnsi="Palatino Linotype" w:cs="Tahoma"/>
          <w:b/>
          <w:sz w:val="20"/>
          <w:szCs w:val="22"/>
        </w:rPr>
        <w:t>MODALIDAD DE ENTREGA</w:t>
      </w:r>
      <w:r w:rsidR="00007985" w:rsidRPr="00C0258A">
        <w:rPr>
          <w:rFonts w:ascii="Palatino Linotype" w:hAnsi="Palatino Linotype" w:cs="Tahoma"/>
          <w:b/>
          <w:sz w:val="20"/>
          <w:szCs w:val="22"/>
        </w:rPr>
        <w:t xml:space="preserve"> </w:t>
      </w:r>
      <w:r w:rsidR="007E4927" w:rsidRPr="00C0258A">
        <w:rPr>
          <w:rFonts w:ascii="Palatino Linotype" w:hAnsi="Palatino Linotype" w:cs="Tahoma"/>
          <w:i/>
          <w:sz w:val="20"/>
          <w:szCs w:val="22"/>
        </w:rPr>
        <w:t>“</w:t>
      </w:r>
      <w:r w:rsidR="00062387" w:rsidRPr="00C0258A">
        <w:rPr>
          <w:rFonts w:ascii="Palatino Linotype" w:hAnsi="Palatino Linotype" w:cs="Tahoma"/>
          <w:i/>
          <w:sz w:val="20"/>
          <w:szCs w:val="22"/>
        </w:rPr>
        <w:t>A través del SAIMEX</w:t>
      </w:r>
      <w:r w:rsidR="007E4927" w:rsidRPr="00C0258A">
        <w:rPr>
          <w:rFonts w:ascii="Palatino Linotype" w:hAnsi="Palatino Linotype" w:cs="Tahoma"/>
          <w:i/>
          <w:sz w:val="20"/>
          <w:szCs w:val="22"/>
        </w:rPr>
        <w:t>”</w:t>
      </w:r>
    </w:p>
    <w:p w14:paraId="1DD3CE21" w14:textId="77777777" w:rsidR="004B5EEF" w:rsidRPr="00C0258A" w:rsidRDefault="004B5EEF" w:rsidP="004B5EEF">
      <w:pPr>
        <w:tabs>
          <w:tab w:val="left" w:pos="567"/>
          <w:tab w:val="left" w:pos="8222"/>
        </w:tabs>
        <w:spacing w:line="360" w:lineRule="auto"/>
        <w:ind w:right="-28"/>
        <w:jc w:val="both"/>
        <w:rPr>
          <w:rFonts w:ascii="Palatino Linotype" w:hAnsi="Palatino Linotype" w:cs="Tahoma"/>
          <w:iCs/>
          <w:sz w:val="22"/>
          <w:szCs w:val="22"/>
        </w:rPr>
      </w:pPr>
    </w:p>
    <w:p w14:paraId="3915528C" w14:textId="61979C35" w:rsidR="00597BA0" w:rsidRPr="00C0258A" w:rsidRDefault="004B5EEF" w:rsidP="004B5EEF">
      <w:pPr>
        <w:tabs>
          <w:tab w:val="left" w:pos="567"/>
          <w:tab w:val="left" w:pos="8222"/>
        </w:tabs>
        <w:spacing w:line="360" w:lineRule="auto"/>
        <w:ind w:right="-28"/>
        <w:jc w:val="both"/>
        <w:rPr>
          <w:rFonts w:ascii="Palatino Linotype" w:hAnsi="Palatino Linotype" w:cs="Tahoma"/>
          <w:iCs/>
          <w:sz w:val="22"/>
          <w:szCs w:val="22"/>
        </w:rPr>
      </w:pPr>
      <w:r w:rsidRPr="00C0258A">
        <w:rPr>
          <w:rFonts w:ascii="Palatino Linotype" w:hAnsi="Palatino Linotype" w:cs="Tahoma"/>
          <w:iCs/>
          <w:sz w:val="22"/>
          <w:szCs w:val="22"/>
        </w:rPr>
        <w:t xml:space="preserve">El Particular adjunto el archivo </w:t>
      </w:r>
      <w:r w:rsidRPr="00C0258A">
        <w:rPr>
          <w:rFonts w:ascii="Palatino Linotype" w:hAnsi="Palatino Linotype" w:cs="Tahoma"/>
          <w:b/>
          <w:bCs/>
          <w:i/>
          <w:sz w:val="22"/>
          <w:szCs w:val="22"/>
        </w:rPr>
        <w:t>IMAGEN Talachera.docx</w:t>
      </w:r>
      <w:r w:rsidRPr="00C0258A">
        <w:rPr>
          <w:rFonts w:ascii="Palatino Linotype" w:hAnsi="Palatino Linotype" w:cs="Tahoma"/>
          <w:iCs/>
          <w:sz w:val="22"/>
          <w:szCs w:val="22"/>
        </w:rPr>
        <w:t xml:space="preserve"> que corresponde a una fotografía del inmueble mencionado en su solicitud.</w:t>
      </w:r>
    </w:p>
    <w:p w14:paraId="10507D64" w14:textId="77777777" w:rsidR="004B5EEF" w:rsidRPr="00C0258A" w:rsidRDefault="004B5EEF" w:rsidP="004B5EEF">
      <w:pPr>
        <w:tabs>
          <w:tab w:val="left" w:pos="567"/>
          <w:tab w:val="left" w:pos="8222"/>
        </w:tabs>
        <w:spacing w:line="360" w:lineRule="auto"/>
        <w:ind w:right="-28"/>
        <w:jc w:val="both"/>
        <w:rPr>
          <w:rFonts w:ascii="Palatino Linotype" w:hAnsi="Palatino Linotype" w:cs="Tahoma"/>
          <w:iCs/>
          <w:sz w:val="22"/>
          <w:szCs w:val="22"/>
        </w:rPr>
      </w:pPr>
    </w:p>
    <w:p w14:paraId="020CA572" w14:textId="5C9ED605" w:rsidR="00681D84" w:rsidRPr="00C0258A" w:rsidRDefault="00F86BFB" w:rsidP="00342378">
      <w:pPr>
        <w:pStyle w:val="Ttulo2"/>
      </w:pPr>
      <w:bookmarkStart w:id="4" w:name="_Toc196923895"/>
      <w:r w:rsidRPr="00C0258A">
        <w:rPr>
          <w:rFonts w:ascii="Palatino Linotype" w:hAnsi="Palatino Linotype" w:cs="Tahoma"/>
          <w:b/>
          <w:color w:val="auto"/>
          <w:sz w:val="22"/>
          <w:szCs w:val="22"/>
        </w:rPr>
        <w:t>I</w:t>
      </w:r>
      <w:r w:rsidR="00015415" w:rsidRPr="00C0258A">
        <w:rPr>
          <w:rFonts w:ascii="Palatino Linotype" w:hAnsi="Palatino Linotype" w:cs="Tahoma"/>
          <w:b/>
          <w:color w:val="auto"/>
          <w:sz w:val="22"/>
          <w:szCs w:val="22"/>
        </w:rPr>
        <w:t>I</w:t>
      </w:r>
      <w:r w:rsidRPr="00C0258A">
        <w:rPr>
          <w:rFonts w:ascii="Palatino Linotype" w:hAnsi="Palatino Linotype" w:cs="Tahoma"/>
          <w:b/>
          <w:color w:val="auto"/>
          <w:sz w:val="22"/>
          <w:szCs w:val="22"/>
        </w:rPr>
        <w:t xml:space="preserve">. </w:t>
      </w:r>
      <w:r w:rsidR="00681D84" w:rsidRPr="00C0258A">
        <w:rPr>
          <w:rFonts w:ascii="Palatino Linotype" w:hAnsi="Palatino Linotype" w:cs="Tahoma"/>
          <w:b/>
          <w:color w:val="auto"/>
          <w:sz w:val="22"/>
          <w:szCs w:val="22"/>
        </w:rPr>
        <w:t>Respuesta del Sujeto Obligado</w:t>
      </w:r>
      <w:bookmarkEnd w:id="4"/>
    </w:p>
    <w:p w14:paraId="3A33BF0F" w14:textId="77777777" w:rsidR="00E0128F" w:rsidRPr="00C0258A"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6E358894" w14:textId="55FE4EF9" w:rsidR="009C323D" w:rsidRPr="00C0258A"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El</w:t>
      </w:r>
      <w:r w:rsidR="00681D84" w:rsidRPr="00C0258A">
        <w:rPr>
          <w:rFonts w:ascii="Palatino Linotype" w:hAnsi="Palatino Linotype" w:cs="Tahoma"/>
          <w:sz w:val="22"/>
          <w:szCs w:val="22"/>
        </w:rPr>
        <w:t xml:space="preserve"> </w:t>
      </w:r>
      <w:r w:rsidR="004B5EEF" w:rsidRPr="00C0258A">
        <w:rPr>
          <w:rFonts w:ascii="Palatino Linotype" w:hAnsi="Palatino Linotype" w:cs="Tahoma"/>
          <w:sz w:val="22"/>
          <w:szCs w:val="22"/>
        </w:rPr>
        <w:t>once de febrero</w:t>
      </w:r>
      <w:r w:rsidR="00F86BFB" w:rsidRPr="00C0258A">
        <w:rPr>
          <w:rFonts w:ascii="Palatino Linotype" w:hAnsi="Palatino Linotype" w:cs="Tahoma"/>
          <w:sz w:val="22"/>
          <w:szCs w:val="22"/>
        </w:rPr>
        <w:t xml:space="preserve"> </w:t>
      </w:r>
      <w:r w:rsidR="00B71F2C" w:rsidRPr="00C0258A">
        <w:rPr>
          <w:rFonts w:ascii="Palatino Linotype" w:hAnsi="Palatino Linotype" w:cs="Tahoma"/>
          <w:sz w:val="22"/>
          <w:szCs w:val="22"/>
        </w:rPr>
        <w:t>de dos mil veinti</w:t>
      </w:r>
      <w:r w:rsidR="00F93A36" w:rsidRPr="00C0258A">
        <w:rPr>
          <w:rFonts w:ascii="Palatino Linotype" w:hAnsi="Palatino Linotype" w:cs="Tahoma"/>
          <w:sz w:val="22"/>
          <w:szCs w:val="22"/>
        </w:rPr>
        <w:t>c</w:t>
      </w:r>
      <w:r w:rsidR="00CD10BF" w:rsidRPr="00C0258A">
        <w:rPr>
          <w:rFonts w:ascii="Palatino Linotype" w:hAnsi="Palatino Linotype" w:cs="Tahoma"/>
          <w:sz w:val="22"/>
          <w:szCs w:val="22"/>
        </w:rPr>
        <w:t>inco</w:t>
      </w:r>
      <w:r w:rsidR="00681D84" w:rsidRPr="00C0258A">
        <w:rPr>
          <w:rFonts w:ascii="Palatino Linotype" w:hAnsi="Palatino Linotype" w:cs="Tahoma"/>
          <w:sz w:val="22"/>
          <w:szCs w:val="22"/>
        </w:rPr>
        <w:t xml:space="preserve">, </w:t>
      </w:r>
      <w:r w:rsidR="00D74B06" w:rsidRPr="00C0258A">
        <w:rPr>
          <w:rFonts w:ascii="Palatino Linotype" w:hAnsi="Palatino Linotype" w:cs="Tahoma"/>
          <w:sz w:val="22"/>
          <w:szCs w:val="22"/>
        </w:rPr>
        <w:t xml:space="preserve">el Sujeto Obligado </w:t>
      </w:r>
      <w:r w:rsidR="008453FA" w:rsidRPr="00C0258A">
        <w:rPr>
          <w:rFonts w:ascii="Palatino Linotype" w:hAnsi="Palatino Linotype" w:cs="Tahoma"/>
          <w:sz w:val="22"/>
          <w:szCs w:val="22"/>
        </w:rPr>
        <w:t xml:space="preserve">otorgó respuesta a través del </w:t>
      </w:r>
      <w:r w:rsidRPr="00C0258A">
        <w:rPr>
          <w:rFonts w:ascii="Palatino Linotype" w:hAnsi="Palatino Linotype" w:cs="Tahoma"/>
          <w:sz w:val="22"/>
          <w:szCs w:val="22"/>
        </w:rPr>
        <w:t>SAIMEX</w:t>
      </w:r>
      <w:r w:rsidR="008453FA" w:rsidRPr="00C0258A">
        <w:rPr>
          <w:rFonts w:ascii="Palatino Linotype" w:hAnsi="Palatino Linotype" w:cs="Tahoma"/>
          <w:sz w:val="22"/>
          <w:szCs w:val="22"/>
        </w:rPr>
        <w:t xml:space="preserve"> en </w:t>
      </w:r>
      <w:r w:rsidR="009C323D" w:rsidRPr="00C0258A">
        <w:rPr>
          <w:rFonts w:ascii="Palatino Linotype" w:hAnsi="Palatino Linotype" w:cs="Tahoma"/>
          <w:sz w:val="22"/>
          <w:szCs w:val="22"/>
        </w:rPr>
        <w:t>los siguientes términos:</w:t>
      </w:r>
    </w:p>
    <w:p w14:paraId="16C5765A" w14:textId="77777777" w:rsidR="00F86BFB" w:rsidRPr="00C0258A"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305A136B" w14:textId="77777777" w:rsidR="00996302" w:rsidRPr="00C0258A"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0258A">
        <w:rPr>
          <w:rFonts w:ascii="Palatino Linotype" w:hAnsi="Palatino Linotype" w:cs="Tahoma"/>
          <w:i/>
          <w:szCs w:val="22"/>
        </w:rPr>
        <w:t>“…</w:t>
      </w:r>
      <w:r w:rsidR="00F25E23" w:rsidRPr="00C0258A">
        <w:rPr>
          <w:rFonts w:ascii="Palatino Linotype" w:hAnsi="Palatino Linotype" w:cs="Tahoma"/>
          <w:i/>
          <w:szCs w:val="22"/>
        </w:rPr>
        <w:t xml:space="preserve"> </w:t>
      </w:r>
    </w:p>
    <w:p w14:paraId="74571FE7" w14:textId="77777777" w:rsidR="004B5EEF" w:rsidRPr="00C0258A" w:rsidRDefault="004B5EEF"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0258A">
        <w:rPr>
          <w:rFonts w:ascii="Palatino Linotype" w:hAnsi="Palatino Linotype" w:cs="Tahoma"/>
          <w:i/>
          <w:szCs w:val="22"/>
        </w:rPr>
        <w:t>En atención a la solicitud con folio 0382/TOLUCA/IP/2025, me permito adjuntar al presente la respuesta correspondiente. Sin más por el momento, reciba un saludo.</w:t>
      </w:r>
    </w:p>
    <w:p w14:paraId="4823D0A7" w14:textId="6885E961" w:rsidR="007401D6" w:rsidRPr="00C0258A" w:rsidRDefault="00785311"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0258A">
        <w:rPr>
          <w:rFonts w:ascii="Palatino Linotype" w:hAnsi="Palatino Linotype" w:cs="Tahoma"/>
          <w:i/>
          <w:szCs w:val="22"/>
        </w:rPr>
        <w:t>…”</w:t>
      </w:r>
    </w:p>
    <w:p w14:paraId="21087874" w14:textId="77777777" w:rsidR="007401D6" w:rsidRPr="00C0258A"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5D01AF30" w14:textId="7DF57731" w:rsidR="00CD78C2" w:rsidRPr="00C0258A" w:rsidRDefault="00007985" w:rsidP="004C707E">
      <w:pPr>
        <w:autoSpaceDE w:val="0"/>
        <w:autoSpaceDN w:val="0"/>
        <w:adjustRightInd w:val="0"/>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 xml:space="preserve">De igual forma adjuntó </w:t>
      </w:r>
      <w:r w:rsidR="001215F0" w:rsidRPr="00C0258A">
        <w:rPr>
          <w:rFonts w:ascii="Palatino Linotype" w:hAnsi="Palatino Linotype" w:cs="Tahoma"/>
          <w:sz w:val="22"/>
          <w:szCs w:val="22"/>
        </w:rPr>
        <w:t>el</w:t>
      </w:r>
      <w:r w:rsidR="00CD78C2" w:rsidRPr="00C0258A">
        <w:rPr>
          <w:rFonts w:ascii="Palatino Linotype" w:hAnsi="Palatino Linotype" w:cs="Tahoma"/>
          <w:sz w:val="22"/>
          <w:szCs w:val="22"/>
        </w:rPr>
        <w:t xml:space="preserve"> archivo</w:t>
      </w:r>
      <w:r w:rsidR="001215F0" w:rsidRPr="00C0258A">
        <w:t xml:space="preserve"> </w:t>
      </w:r>
      <w:r w:rsidR="004B5EEF" w:rsidRPr="00C0258A">
        <w:rPr>
          <w:rFonts w:ascii="Palatino Linotype" w:hAnsi="Palatino Linotype" w:cs="Tahoma"/>
          <w:b/>
          <w:bCs/>
          <w:i/>
          <w:iCs/>
          <w:sz w:val="22"/>
          <w:szCs w:val="22"/>
        </w:rPr>
        <w:t xml:space="preserve">RESPUESTA 382. 2025.pdf </w:t>
      </w:r>
      <w:r w:rsidR="001215F0" w:rsidRPr="00C0258A">
        <w:rPr>
          <w:rFonts w:ascii="Palatino Linotype" w:hAnsi="Palatino Linotype" w:cs="Tahoma"/>
          <w:sz w:val="22"/>
          <w:szCs w:val="22"/>
        </w:rPr>
        <w:t xml:space="preserve">en el que el Titular de la Unidad de Transparencia manifestó lo siguiente: </w:t>
      </w:r>
    </w:p>
    <w:p w14:paraId="24AAB55B" w14:textId="77777777" w:rsidR="001215F0" w:rsidRPr="00C0258A" w:rsidRDefault="001215F0" w:rsidP="004C707E">
      <w:pPr>
        <w:autoSpaceDE w:val="0"/>
        <w:autoSpaceDN w:val="0"/>
        <w:adjustRightInd w:val="0"/>
        <w:spacing w:line="360" w:lineRule="auto"/>
        <w:contextualSpacing/>
        <w:jc w:val="both"/>
        <w:rPr>
          <w:rFonts w:ascii="Palatino Linotype" w:hAnsi="Palatino Linotype" w:cs="Tahoma"/>
          <w:sz w:val="22"/>
          <w:szCs w:val="22"/>
        </w:rPr>
      </w:pPr>
    </w:p>
    <w:p w14:paraId="1AEB6056" w14:textId="67690C3C" w:rsidR="004B5EEF" w:rsidRPr="00C0258A" w:rsidRDefault="00CD78C2" w:rsidP="004B5EEF">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t>“…</w:t>
      </w:r>
      <w:r w:rsidR="004B5EEF" w:rsidRPr="00C0258A">
        <w:rPr>
          <w:rFonts w:ascii="Palatino Linotype" w:hAnsi="Palatino Linotype" w:cs="Tahoma"/>
          <w:i/>
          <w:szCs w:val="22"/>
        </w:rPr>
        <w:t xml:space="preserve">; hago de su conocimiento que la </w:t>
      </w:r>
      <w:r w:rsidR="004B5EEF" w:rsidRPr="00C0258A">
        <w:rPr>
          <w:rFonts w:ascii="Palatino Linotype" w:hAnsi="Palatino Linotype" w:cs="Tahoma"/>
          <w:b/>
          <w:bCs/>
          <w:i/>
          <w:szCs w:val="22"/>
        </w:rPr>
        <w:t>Dirección General de Desarrollo Económico y Servidora Pública Habilitada</w:t>
      </w:r>
      <w:r w:rsidR="004B5EEF" w:rsidRPr="00C0258A">
        <w:rPr>
          <w:rFonts w:ascii="Palatino Linotype" w:hAnsi="Palatino Linotype" w:cs="Tahoma"/>
          <w:i/>
          <w:szCs w:val="22"/>
        </w:rPr>
        <w:t>, informó que lo correspondiente a la competencia de la Dirección General es lo siguiente;</w:t>
      </w:r>
    </w:p>
    <w:p w14:paraId="44073596" w14:textId="77777777"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p>
    <w:p w14:paraId="4B997DA8" w14:textId="78250236"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t>Respecto a "</w:t>
      </w:r>
      <w:r w:rsidRPr="00C0258A">
        <w:rPr>
          <w:rFonts w:ascii="Palatino Linotype" w:hAnsi="Palatino Linotype" w:cs="Tahoma"/>
          <w:b/>
          <w:bCs/>
          <w:i/>
          <w:szCs w:val="22"/>
        </w:rPr>
        <w:t>Se solicita copia del Permiso y/o Licencia de Funcionamiento por la comercialización de servicios mecánicos, del negocio denominado "Talachera Sí Voy", ubicado en Paseo Acacias manzana 2 lote 1 casa 102 del Conjunto Urbano Sauces, Delegación Sauces 48, Unidad Territorial Básica I, Clave Única Municipal 480A</w:t>
      </w:r>
      <w:r w:rsidRPr="00C0258A">
        <w:rPr>
          <w:rFonts w:ascii="Palatino Linotype" w:hAnsi="Palatino Linotype" w:cs="Tahoma"/>
          <w:i/>
          <w:szCs w:val="22"/>
        </w:rPr>
        <w:t>." se informa que después de realizar una búsqueda exhaustiva física en los expedientes y electrónica en el Sistema de Registro Municipal de Unidades Económicas (RMUE) del Departamento de Licencias  Permisos dependiente de la Dirección de Atención al Comercio, NO SE LOCALIZC registro del domicilio o denominación de la Unidad Económica que señala en su petición, por lo que no es posible hacer entrega de lo solicitado.</w:t>
      </w:r>
    </w:p>
    <w:p w14:paraId="3ED2DAF6" w14:textId="77777777"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p>
    <w:p w14:paraId="5A767E2E" w14:textId="3A26E742"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lastRenderedPageBreak/>
        <w:t xml:space="preserve">Por parte de la </w:t>
      </w:r>
      <w:r w:rsidRPr="00C0258A">
        <w:rPr>
          <w:rFonts w:ascii="Palatino Linotype" w:hAnsi="Palatino Linotype" w:cs="Tahoma"/>
          <w:b/>
          <w:bCs/>
          <w:i/>
          <w:szCs w:val="22"/>
        </w:rPr>
        <w:t>Dirección General de Gobierno y Servidora Pública Habilitada</w:t>
      </w:r>
      <w:r w:rsidRPr="00C0258A">
        <w:rPr>
          <w:rFonts w:ascii="Palatino Linotype" w:hAnsi="Palatino Linotype" w:cs="Tahoma"/>
          <w:i/>
          <w:szCs w:val="22"/>
        </w:rPr>
        <w:t>, informó que respecto de lo que antecede en el numeral 1.2.3 y 4 la dirección no es la autoridad competente para atender lo solicitado de conformidad con el articulo 3.28 di Código Reglamentario Municipal vigente y en atención al numeral 5 de esta solicitud se informa que en esta Unidad Administrativa no se encuentra registro alguno en relación a la "</w:t>
      </w:r>
      <w:r w:rsidRPr="00C0258A">
        <w:rPr>
          <w:rFonts w:ascii="Palatino Linotype" w:hAnsi="Palatino Linotype" w:cs="Tahoma"/>
          <w:b/>
          <w:bCs/>
          <w:i/>
          <w:szCs w:val="22"/>
        </w:rPr>
        <w:t>clausura definitiva y permanente del comercio con denominación 'Talachera Sí Voy</w:t>
      </w:r>
      <w:r w:rsidRPr="00C0258A">
        <w:rPr>
          <w:rFonts w:ascii="Palatino Linotype" w:hAnsi="Palatino Linotype" w:cs="Tahoma"/>
          <w:i/>
          <w:szCs w:val="22"/>
        </w:rPr>
        <w:t>": así mismo se hace de su conocimiento que la Dirección no actúa, ni contempla dentro de sus actuaciones jurídicas el Reglamento de Condominio y Administración del Conjunto Urbano Sauces, por lo que no es competencia de la misma.</w:t>
      </w:r>
    </w:p>
    <w:p w14:paraId="0182AB4B" w14:textId="77777777"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p>
    <w:p w14:paraId="7FAA9090" w14:textId="24246A46"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t xml:space="preserve">Por lo que respecta de la </w:t>
      </w:r>
      <w:r w:rsidRPr="00C0258A">
        <w:rPr>
          <w:rFonts w:ascii="Palatino Linotype" w:hAnsi="Palatino Linotype" w:cs="Tahoma"/>
          <w:b/>
          <w:bCs/>
          <w:i/>
          <w:szCs w:val="22"/>
        </w:rPr>
        <w:t>Dirección General de Planeación, Innovación y Gestión Urbana y Servidor Público Habilitado</w:t>
      </w:r>
      <w:r w:rsidRPr="00C0258A">
        <w:rPr>
          <w:rFonts w:ascii="Palatino Linotype" w:hAnsi="Palatino Linotype" w:cs="Tahoma"/>
          <w:i/>
          <w:szCs w:val="22"/>
        </w:rPr>
        <w:t>, informó que se realizó una búsqueda exhaustiva y razonable de la información objeto de la solicitud en los archivos que se encuentra bajo resguardo y custodia de la Dirección General, búsqueda en la que no se localizó documento en el que conste lo solicitado por el peticionario.</w:t>
      </w:r>
    </w:p>
    <w:p w14:paraId="240DD72C" w14:textId="4204815C"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p>
    <w:p w14:paraId="41E3801C" w14:textId="6D3AB191"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t>Respecto de los numerales 1. 2 y 5 es preciso informar que, no es competencia, ni atribuciones de esta Dirección el generar, ni administrar documentos que den cuenta de la información solicitada por el peticionario.</w:t>
      </w:r>
    </w:p>
    <w:p w14:paraId="7FBAF165" w14:textId="41CBBB48"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p>
    <w:p w14:paraId="464788B4" w14:textId="60279AE9"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t xml:space="preserve">Así mismo la </w:t>
      </w:r>
      <w:r w:rsidRPr="00C0258A">
        <w:rPr>
          <w:rFonts w:ascii="Palatino Linotype" w:hAnsi="Palatino Linotype" w:cs="Tahoma"/>
          <w:b/>
          <w:bCs/>
          <w:i/>
          <w:szCs w:val="22"/>
        </w:rPr>
        <w:t>Tesorería Municipal y Servidor Público Habilitado</w:t>
      </w:r>
      <w:r w:rsidRPr="00C0258A">
        <w:rPr>
          <w:rFonts w:ascii="Palatino Linotype" w:hAnsi="Palatino Linotype" w:cs="Tahoma"/>
          <w:i/>
          <w:szCs w:val="22"/>
        </w:rPr>
        <w:t>, informó que a través del Sistema de Acceso a la Información Mexiquense (SAIMEX), no es posible proporcionar, difundir, distribuir o hacer publica información que contenga o se refiera a datos personales, en virtud de que se tiene la obligación de guardar secreta y sigilosamente a información que ponga en riesgo la estabilidad o afecte el derecho a la intimidad de las personas, en este sentido, para permitir el acceso a información confidencial se requiere obtener el consentimiento de los particulares titulares de a información y al no contar con los elementos suficientes que demuestren que él o la solicitante es la misma persona referente al trámite en cuestión, se debe asegurar la protección de los datos personales.</w:t>
      </w:r>
    </w:p>
    <w:p w14:paraId="6A6EBAE7" w14:textId="77777777"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p>
    <w:p w14:paraId="41542F17" w14:textId="77777777" w:rsidR="004B5EEF" w:rsidRPr="00C0258A" w:rsidRDefault="004B5EEF" w:rsidP="004B5EEF">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lastRenderedPageBreak/>
        <w:t>Asimismo, se comenta que los solicitado corresponde a información que es posible obtener mediante un trámite previamente establecido, por lo anterior, es necesario que asista de manera presencial a las oficinas de la Tesorería Municipal a fin de que sea orientado sobre el procedimiento correspondiente.</w:t>
      </w:r>
    </w:p>
    <w:p w14:paraId="3D55A3F2" w14:textId="4F235F87" w:rsidR="00CD78C2" w:rsidRPr="00C0258A" w:rsidRDefault="00CD78C2" w:rsidP="00CD78C2">
      <w:pPr>
        <w:autoSpaceDE w:val="0"/>
        <w:autoSpaceDN w:val="0"/>
        <w:adjustRightInd w:val="0"/>
        <w:spacing w:line="360" w:lineRule="auto"/>
        <w:ind w:left="567" w:right="539"/>
        <w:contextualSpacing/>
        <w:jc w:val="both"/>
        <w:rPr>
          <w:rFonts w:ascii="Palatino Linotype" w:hAnsi="Palatino Linotype" w:cs="Tahoma"/>
          <w:i/>
          <w:szCs w:val="22"/>
        </w:rPr>
      </w:pPr>
      <w:r w:rsidRPr="00C0258A">
        <w:rPr>
          <w:rFonts w:ascii="Palatino Linotype" w:hAnsi="Palatino Linotype" w:cs="Tahoma"/>
          <w:i/>
          <w:szCs w:val="22"/>
        </w:rPr>
        <w:t>…”</w:t>
      </w:r>
    </w:p>
    <w:p w14:paraId="197F4971" w14:textId="77777777" w:rsidR="00CD78C2" w:rsidRPr="00C0258A" w:rsidRDefault="00CD78C2" w:rsidP="004C707E">
      <w:pPr>
        <w:autoSpaceDE w:val="0"/>
        <w:autoSpaceDN w:val="0"/>
        <w:adjustRightInd w:val="0"/>
        <w:spacing w:line="360" w:lineRule="auto"/>
        <w:contextualSpacing/>
        <w:jc w:val="both"/>
        <w:rPr>
          <w:rFonts w:ascii="Palatino Linotype" w:hAnsi="Palatino Linotype" w:cs="Tahoma"/>
          <w:sz w:val="22"/>
          <w:szCs w:val="22"/>
        </w:rPr>
      </w:pPr>
    </w:p>
    <w:p w14:paraId="43313550" w14:textId="77777777" w:rsidR="001A412B" w:rsidRPr="00C0258A" w:rsidRDefault="007812D1" w:rsidP="00342378">
      <w:pPr>
        <w:pStyle w:val="Ttulo2"/>
        <w:rPr>
          <w:rFonts w:ascii="Palatino Linotype" w:hAnsi="Palatino Linotype" w:cs="Tahoma"/>
          <w:b/>
          <w:color w:val="auto"/>
          <w:sz w:val="22"/>
          <w:szCs w:val="22"/>
        </w:rPr>
      </w:pPr>
      <w:bookmarkStart w:id="5" w:name="_Toc196923896"/>
      <w:bookmarkEnd w:id="0"/>
      <w:r w:rsidRPr="00C0258A">
        <w:rPr>
          <w:rFonts w:ascii="Palatino Linotype" w:hAnsi="Palatino Linotype" w:cs="Tahoma"/>
          <w:b/>
          <w:color w:val="auto"/>
          <w:sz w:val="22"/>
          <w:szCs w:val="22"/>
        </w:rPr>
        <w:t>I</w:t>
      </w:r>
      <w:r w:rsidR="00BF4B55" w:rsidRPr="00C0258A">
        <w:rPr>
          <w:rFonts w:ascii="Palatino Linotype" w:hAnsi="Palatino Linotype" w:cs="Tahoma"/>
          <w:b/>
          <w:color w:val="auto"/>
          <w:sz w:val="22"/>
          <w:szCs w:val="22"/>
        </w:rPr>
        <w:t>II</w:t>
      </w:r>
      <w:r w:rsidR="009A7587" w:rsidRPr="00C0258A">
        <w:rPr>
          <w:rFonts w:ascii="Palatino Linotype" w:hAnsi="Palatino Linotype" w:cs="Tahoma"/>
          <w:b/>
          <w:color w:val="auto"/>
          <w:sz w:val="22"/>
          <w:szCs w:val="22"/>
        </w:rPr>
        <w:t>. Interposición del Recurso de Revisión</w:t>
      </w:r>
      <w:bookmarkEnd w:id="5"/>
    </w:p>
    <w:p w14:paraId="51D71FEB" w14:textId="77777777" w:rsidR="00F87649" w:rsidRPr="00C0258A"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4F05CC1" w14:textId="09DED751" w:rsidR="009A7587" w:rsidRPr="00C0258A" w:rsidRDefault="009A7587" w:rsidP="00FF426B">
      <w:pPr>
        <w:tabs>
          <w:tab w:val="left" w:pos="3122"/>
        </w:tabs>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Con fecha</w:t>
      </w:r>
      <w:r w:rsidR="00E13C8C" w:rsidRPr="00C0258A">
        <w:rPr>
          <w:rFonts w:ascii="Palatino Linotype" w:hAnsi="Palatino Linotype" w:cs="Tahoma"/>
          <w:sz w:val="22"/>
          <w:szCs w:val="22"/>
        </w:rPr>
        <w:t xml:space="preserve"> </w:t>
      </w:r>
      <w:r w:rsidR="004C69D5" w:rsidRPr="00C0258A">
        <w:rPr>
          <w:rFonts w:ascii="Palatino Linotype" w:hAnsi="Palatino Linotype" w:cs="Tahoma"/>
          <w:sz w:val="22"/>
          <w:szCs w:val="22"/>
        </w:rPr>
        <w:t>dos</w:t>
      </w:r>
      <w:r w:rsidR="004D2877" w:rsidRPr="00C0258A">
        <w:rPr>
          <w:rFonts w:ascii="Palatino Linotype" w:hAnsi="Palatino Linotype" w:cs="Tahoma"/>
          <w:sz w:val="22"/>
          <w:szCs w:val="22"/>
        </w:rPr>
        <w:t xml:space="preserve"> de marzo</w:t>
      </w:r>
      <w:r w:rsidR="009C323D" w:rsidRPr="00C0258A">
        <w:rPr>
          <w:rFonts w:ascii="Palatino Linotype" w:hAnsi="Palatino Linotype" w:cs="Tahoma"/>
          <w:sz w:val="22"/>
          <w:szCs w:val="22"/>
        </w:rPr>
        <w:t xml:space="preserve"> </w:t>
      </w:r>
      <w:r w:rsidR="00B267E1" w:rsidRPr="00C0258A">
        <w:rPr>
          <w:rFonts w:ascii="Palatino Linotype" w:hAnsi="Palatino Linotype" w:cs="Tahoma"/>
          <w:sz w:val="22"/>
          <w:szCs w:val="22"/>
        </w:rPr>
        <w:t>de dos mil veinti</w:t>
      </w:r>
      <w:r w:rsidR="00F93A36" w:rsidRPr="00C0258A">
        <w:rPr>
          <w:rFonts w:ascii="Palatino Linotype" w:hAnsi="Palatino Linotype" w:cs="Tahoma"/>
          <w:sz w:val="22"/>
          <w:szCs w:val="22"/>
        </w:rPr>
        <w:t>c</w:t>
      </w:r>
      <w:r w:rsidR="00BF4B55" w:rsidRPr="00C0258A">
        <w:rPr>
          <w:rFonts w:ascii="Palatino Linotype" w:hAnsi="Palatino Linotype" w:cs="Tahoma"/>
          <w:sz w:val="22"/>
          <w:szCs w:val="22"/>
        </w:rPr>
        <w:t>inco</w:t>
      </w:r>
      <w:r w:rsidRPr="00C0258A">
        <w:rPr>
          <w:rFonts w:ascii="Palatino Linotype" w:hAnsi="Palatino Linotype" w:cs="Tahoma"/>
          <w:sz w:val="22"/>
          <w:szCs w:val="22"/>
        </w:rPr>
        <w:t xml:space="preserve">, a través del </w:t>
      </w:r>
      <w:r w:rsidR="00BB1F81" w:rsidRPr="00C0258A">
        <w:rPr>
          <w:rFonts w:ascii="Palatino Linotype" w:hAnsi="Palatino Linotype" w:cs="Tahoma"/>
          <w:sz w:val="22"/>
          <w:szCs w:val="22"/>
          <w:lang w:val="es-ES"/>
        </w:rPr>
        <w:t>SAIMEX</w:t>
      </w:r>
      <w:r w:rsidR="00A048C7" w:rsidRPr="00C0258A">
        <w:rPr>
          <w:rFonts w:ascii="Palatino Linotype" w:hAnsi="Palatino Linotype" w:cs="Tahoma"/>
          <w:sz w:val="22"/>
          <w:szCs w:val="22"/>
        </w:rPr>
        <w:t>, se interpus</w:t>
      </w:r>
      <w:r w:rsidR="003C3E71" w:rsidRPr="00C0258A">
        <w:rPr>
          <w:rFonts w:ascii="Palatino Linotype" w:hAnsi="Palatino Linotype" w:cs="Tahoma"/>
          <w:sz w:val="22"/>
          <w:szCs w:val="22"/>
        </w:rPr>
        <w:t>o</w:t>
      </w:r>
      <w:r w:rsidR="00A048C7" w:rsidRPr="00C0258A">
        <w:rPr>
          <w:rFonts w:ascii="Palatino Linotype" w:hAnsi="Palatino Linotype" w:cs="Tahoma"/>
          <w:sz w:val="22"/>
          <w:szCs w:val="22"/>
        </w:rPr>
        <w:t xml:space="preserve"> </w:t>
      </w:r>
      <w:r w:rsidR="003C3E71" w:rsidRPr="00C0258A">
        <w:rPr>
          <w:rFonts w:ascii="Palatino Linotype" w:hAnsi="Palatino Linotype" w:cs="Tahoma"/>
          <w:sz w:val="22"/>
          <w:szCs w:val="22"/>
        </w:rPr>
        <w:t>el</w:t>
      </w:r>
      <w:r w:rsidRPr="00C0258A">
        <w:rPr>
          <w:rFonts w:ascii="Palatino Linotype" w:hAnsi="Palatino Linotype" w:cs="Tahoma"/>
          <w:sz w:val="22"/>
          <w:szCs w:val="22"/>
        </w:rPr>
        <w:t xml:space="preserve"> presente Recurso de Revisión por</w:t>
      </w:r>
      <w:r w:rsidR="008E6658" w:rsidRPr="00C0258A">
        <w:rPr>
          <w:rFonts w:ascii="Palatino Linotype" w:hAnsi="Palatino Linotype" w:cs="Tahoma"/>
          <w:sz w:val="22"/>
          <w:szCs w:val="22"/>
        </w:rPr>
        <w:t xml:space="preserve"> </w:t>
      </w:r>
      <w:r w:rsidR="0035716C" w:rsidRPr="00C0258A">
        <w:rPr>
          <w:rFonts w:ascii="Palatino Linotype" w:hAnsi="Palatino Linotype" w:cs="Tahoma"/>
          <w:sz w:val="22"/>
          <w:szCs w:val="22"/>
        </w:rPr>
        <w:t xml:space="preserve">el </w:t>
      </w:r>
      <w:r w:rsidRPr="00C0258A">
        <w:rPr>
          <w:rFonts w:ascii="Palatino Linotype" w:hAnsi="Palatino Linotype" w:cs="Tahoma"/>
          <w:sz w:val="22"/>
          <w:szCs w:val="22"/>
        </w:rPr>
        <w:t xml:space="preserve">Recurrente, en contra de </w:t>
      </w:r>
      <w:r w:rsidR="00655265" w:rsidRPr="00C0258A">
        <w:rPr>
          <w:rFonts w:ascii="Palatino Linotype" w:hAnsi="Palatino Linotype" w:cs="Tahoma"/>
          <w:sz w:val="22"/>
          <w:szCs w:val="22"/>
        </w:rPr>
        <w:t>la respuesta emitida</w:t>
      </w:r>
      <w:r w:rsidRPr="00C0258A">
        <w:rPr>
          <w:rFonts w:ascii="Palatino Linotype" w:hAnsi="Palatino Linotype" w:cs="Tahoma"/>
          <w:sz w:val="22"/>
          <w:szCs w:val="22"/>
        </w:rPr>
        <w:t xml:space="preserve"> por el Sujeto Obligado a </w:t>
      </w:r>
      <w:r w:rsidR="00655265" w:rsidRPr="00C0258A">
        <w:rPr>
          <w:rFonts w:ascii="Palatino Linotype" w:hAnsi="Palatino Linotype" w:cs="Tahoma"/>
          <w:sz w:val="22"/>
          <w:szCs w:val="22"/>
        </w:rPr>
        <w:t>la solicitud</w:t>
      </w:r>
      <w:r w:rsidRPr="00C0258A">
        <w:rPr>
          <w:rFonts w:ascii="Palatino Linotype" w:hAnsi="Palatino Linotype" w:cs="Tahoma"/>
          <w:sz w:val="22"/>
          <w:szCs w:val="22"/>
        </w:rPr>
        <w:t xml:space="preserve"> de información, en los siguientes términos:</w:t>
      </w:r>
    </w:p>
    <w:p w14:paraId="54231E8C" w14:textId="77777777" w:rsidR="00AB6595" w:rsidRPr="00C0258A" w:rsidRDefault="00AB6595" w:rsidP="00FF57AD">
      <w:pPr>
        <w:tabs>
          <w:tab w:val="left" w:pos="4995"/>
        </w:tabs>
        <w:spacing w:line="360" w:lineRule="auto"/>
        <w:contextualSpacing/>
        <w:jc w:val="both"/>
        <w:rPr>
          <w:rFonts w:ascii="Palatino Linotype" w:hAnsi="Palatino Linotype" w:cs="Tahoma"/>
          <w:sz w:val="22"/>
          <w:szCs w:val="22"/>
        </w:rPr>
      </w:pPr>
    </w:p>
    <w:p w14:paraId="6257B0CE" w14:textId="77777777" w:rsidR="00D5699B" w:rsidRPr="00C0258A" w:rsidRDefault="00D5699B" w:rsidP="00FF426B">
      <w:pPr>
        <w:spacing w:line="360" w:lineRule="auto"/>
        <w:ind w:left="567" w:right="539"/>
        <w:contextualSpacing/>
        <w:jc w:val="both"/>
        <w:rPr>
          <w:rFonts w:ascii="Palatino Linotype" w:hAnsi="Palatino Linotype" w:cs="Tahoma"/>
          <w:b/>
          <w:bCs/>
          <w:szCs w:val="22"/>
        </w:rPr>
      </w:pPr>
      <w:r w:rsidRPr="00C0258A">
        <w:rPr>
          <w:rFonts w:ascii="Palatino Linotype" w:hAnsi="Palatino Linotype" w:cs="Tahoma"/>
          <w:b/>
          <w:bCs/>
          <w:szCs w:val="22"/>
        </w:rPr>
        <w:t>ACTO IMPUGNADO</w:t>
      </w:r>
    </w:p>
    <w:p w14:paraId="5926C7C5" w14:textId="5D1AF27C" w:rsidR="003D1770" w:rsidRPr="00C0258A" w:rsidRDefault="007E4927" w:rsidP="00FF426B">
      <w:pPr>
        <w:spacing w:line="360" w:lineRule="auto"/>
        <w:ind w:left="567" w:right="539"/>
        <w:contextualSpacing/>
        <w:jc w:val="both"/>
        <w:rPr>
          <w:rFonts w:ascii="Palatino Linotype" w:hAnsi="Palatino Linotype" w:cs="Tahoma"/>
          <w:bCs/>
          <w:szCs w:val="22"/>
        </w:rPr>
      </w:pPr>
      <w:r w:rsidRPr="00C0258A">
        <w:rPr>
          <w:rFonts w:ascii="Palatino Linotype" w:hAnsi="Palatino Linotype" w:cs="Tahoma"/>
          <w:bCs/>
          <w:i/>
          <w:szCs w:val="22"/>
        </w:rPr>
        <w:t>“</w:t>
      </w:r>
      <w:r w:rsidR="004C69D5" w:rsidRPr="00C0258A">
        <w:rPr>
          <w:rFonts w:ascii="Palatino Linotype" w:hAnsi="Palatino Linotype" w:cs="Tahoma"/>
          <w:bCs/>
          <w:i/>
          <w:szCs w:val="22"/>
        </w:rPr>
        <w:t xml:space="preserve">Se IMPUGNA LA TOTALIDAD de la contestación que se </w:t>
      </w:r>
      <w:proofErr w:type="spellStart"/>
      <w:r w:rsidR="004C69D5" w:rsidRPr="00C0258A">
        <w:rPr>
          <w:rFonts w:ascii="Palatino Linotype" w:hAnsi="Palatino Linotype" w:cs="Tahoma"/>
          <w:bCs/>
          <w:i/>
          <w:szCs w:val="22"/>
        </w:rPr>
        <w:t>dió</w:t>
      </w:r>
      <w:proofErr w:type="spellEnd"/>
      <w:r w:rsidR="004C69D5" w:rsidRPr="00C0258A">
        <w:rPr>
          <w:rFonts w:ascii="Palatino Linotype" w:hAnsi="Palatino Linotype" w:cs="Tahoma"/>
          <w:bCs/>
          <w:i/>
          <w:szCs w:val="22"/>
        </w:rPr>
        <w:t xml:space="preserve"> a la petición de información solicitada</w:t>
      </w:r>
      <w:r w:rsidR="00E55401" w:rsidRPr="00C0258A">
        <w:rPr>
          <w:rFonts w:ascii="Palatino Linotype" w:hAnsi="Palatino Linotype" w:cs="Tahoma"/>
          <w:bCs/>
          <w:i/>
          <w:szCs w:val="22"/>
        </w:rPr>
        <w:t>"</w:t>
      </w:r>
    </w:p>
    <w:p w14:paraId="3FCAB0D9" w14:textId="77777777" w:rsidR="00CE2F19" w:rsidRPr="00C0258A" w:rsidRDefault="00CE2F19" w:rsidP="00CE2F19">
      <w:pPr>
        <w:spacing w:line="360" w:lineRule="auto"/>
        <w:ind w:left="567" w:right="539"/>
        <w:contextualSpacing/>
        <w:jc w:val="both"/>
        <w:rPr>
          <w:rFonts w:ascii="Palatino Linotype" w:hAnsi="Palatino Linotype" w:cs="Tahoma"/>
          <w:bCs/>
          <w:szCs w:val="22"/>
        </w:rPr>
      </w:pPr>
    </w:p>
    <w:p w14:paraId="5DEF5E54" w14:textId="77777777" w:rsidR="00CE2F19" w:rsidRPr="00C0258A" w:rsidRDefault="00CE2F19" w:rsidP="00CE2F19">
      <w:pPr>
        <w:spacing w:line="360" w:lineRule="auto"/>
        <w:ind w:left="567" w:right="539"/>
        <w:contextualSpacing/>
        <w:jc w:val="both"/>
        <w:rPr>
          <w:rFonts w:ascii="Palatino Linotype" w:hAnsi="Palatino Linotype" w:cs="Tahoma"/>
          <w:b/>
          <w:bCs/>
          <w:szCs w:val="22"/>
        </w:rPr>
      </w:pPr>
      <w:r w:rsidRPr="00C0258A">
        <w:rPr>
          <w:rFonts w:ascii="Palatino Linotype" w:hAnsi="Palatino Linotype" w:cs="Tahoma"/>
          <w:b/>
          <w:bCs/>
          <w:szCs w:val="22"/>
        </w:rPr>
        <w:t>RAZONES O MOTIVOS DE LA INCONFORMIDAD</w:t>
      </w:r>
    </w:p>
    <w:p w14:paraId="4302B321" w14:textId="76CAE719" w:rsidR="00CE2F19" w:rsidRPr="00C0258A" w:rsidRDefault="00CE2F19" w:rsidP="00CE2F19">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w:t>
      </w:r>
      <w:bookmarkStart w:id="6" w:name="_Hlk181699048"/>
      <w:r w:rsidR="004C69D5" w:rsidRPr="00C0258A">
        <w:rPr>
          <w:rFonts w:ascii="Palatino Linotype" w:hAnsi="Palatino Linotype" w:cs="Tahoma"/>
          <w:bCs/>
          <w:i/>
          <w:szCs w:val="24"/>
        </w:rPr>
        <w:t>Se exponen los motivos del Acto de Impugnación en el ANEXO B que se incorpora a esta inconformidad</w:t>
      </w:r>
      <w:r w:rsidRPr="00C0258A">
        <w:rPr>
          <w:rFonts w:ascii="Palatino Linotype" w:hAnsi="Palatino Linotype" w:cs="Tahoma"/>
          <w:bCs/>
          <w:i/>
          <w:szCs w:val="24"/>
        </w:rPr>
        <w:t>”</w:t>
      </w:r>
      <w:r w:rsidR="007E3047" w:rsidRPr="00C0258A">
        <w:rPr>
          <w:rFonts w:ascii="Palatino Linotype" w:hAnsi="Palatino Linotype" w:cs="Tahoma"/>
          <w:bCs/>
          <w:i/>
          <w:szCs w:val="24"/>
        </w:rPr>
        <w:t xml:space="preserve"> </w:t>
      </w:r>
      <w:r w:rsidR="007E3047" w:rsidRPr="00C0258A">
        <w:rPr>
          <w:rFonts w:ascii="Palatino Linotype" w:hAnsi="Palatino Linotype" w:cs="Tahoma"/>
          <w:bCs/>
          <w:i/>
          <w:szCs w:val="22"/>
        </w:rPr>
        <w:t>(Sic)</w:t>
      </w:r>
      <w:r w:rsidR="00D63A43" w:rsidRPr="00C0258A">
        <w:rPr>
          <w:rFonts w:ascii="Palatino Linotype" w:hAnsi="Palatino Linotype" w:cs="Tahoma"/>
          <w:bCs/>
          <w:i/>
          <w:szCs w:val="22"/>
        </w:rPr>
        <w:t>.</w:t>
      </w:r>
    </w:p>
    <w:p w14:paraId="599EC111" w14:textId="6110B094" w:rsidR="00342378" w:rsidRPr="00C0258A" w:rsidRDefault="00342378" w:rsidP="00342378">
      <w:pPr>
        <w:spacing w:line="360" w:lineRule="auto"/>
        <w:ind w:right="539"/>
        <w:contextualSpacing/>
        <w:jc w:val="both"/>
        <w:rPr>
          <w:rFonts w:ascii="Palatino Linotype" w:hAnsi="Palatino Linotype" w:cs="Tahoma"/>
          <w:bCs/>
          <w:i/>
          <w:szCs w:val="24"/>
        </w:rPr>
      </w:pPr>
    </w:p>
    <w:p w14:paraId="5852F967" w14:textId="35939D1D" w:rsidR="004C69D5" w:rsidRPr="00C0258A" w:rsidRDefault="004C69D5" w:rsidP="004C69D5">
      <w:pPr>
        <w:spacing w:line="360" w:lineRule="auto"/>
        <w:ind w:right="-28"/>
        <w:contextualSpacing/>
        <w:jc w:val="both"/>
        <w:rPr>
          <w:rFonts w:ascii="Palatino Linotype" w:hAnsi="Palatino Linotype" w:cs="Tahoma"/>
          <w:bCs/>
          <w:iCs/>
          <w:sz w:val="22"/>
          <w:szCs w:val="22"/>
        </w:rPr>
      </w:pPr>
      <w:r w:rsidRPr="00C0258A">
        <w:rPr>
          <w:rFonts w:ascii="Palatino Linotype" w:hAnsi="Palatino Linotype" w:cs="Tahoma"/>
          <w:bCs/>
          <w:iCs/>
          <w:sz w:val="22"/>
          <w:szCs w:val="22"/>
        </w:rPr>
        <w:t xml:space="preserve">El Particular adjunto el archivo </w:t>
      </w:r>
      <w:r w:rsidRPr="00C0258A">
        <w:rPr>
          <w:rFonts w:ascii="Palatino Linotype" w:hAnsi="Palatino Linotype" w:cs="Tahoma"/>
          <w:b/>
          <w:i/>
          <w:sz w:val="22"/>
          <w:szCs w:val="22"/>
        </w:rPr>
        <w:t xml:space="preserve">IMPUGNACIÓN ANEXO B Solicitud 0382.pdf </w:t>
      </w:r>
      <w:r w:rsidRPr="00C0258A">
        <w:rPr>
          <w:rFonts w:ascii="Palatino Linotype" w:hAnsi="Palatino Linotype" w:cs="Tahoma"/>
          <w:bCs/>
          <w:iCs/>
          <w:sz w:val="22"/>
          <w:szCs w:val="22"/>
        </w:rPr>
        <w:t>en el que señaló lo siguiente:</w:t>
      </w:r>
    </w:p>
    <w:p w14:paraId="5EDF3F7E" w14:textId="77777777" w:rsidR="004C69D5" w:rsidRPr="00C0258A" w:rsidRDefault="004C69D5" w:rsidP="00342378">
      <w:pPr>
        <w:spacing w:line="360" w:lineRule="auto"/>
        <w:ind w:right="539"/>
        <w:contextualSpacing/>
        <w:jc w:val="both"/>
        <w:rPr>
          <w:rFonts w:ascii="Palatino Linotype" w:hAnsi="Palatino Linotype" w:cs="Tahoma"/>
          <w:bCs/>
          <w:iCs/>
          <w:sz w:val="22"/>
          <w:szCs w:val="22"/>
        </w:rPr>
      </w:pPr>
    </w:p>
    <w:p w14:paraId="45E98963" w14:textId="18148E62"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En el plano original autorizado por la Secretaria de Desarrollo Urbano y Obras Públicas del Ayuntamiento de Toluca a la empresa Consorcio de Ingeniería Integral, S.A. de C.V. en junio de 1998 para la construcción del Conjunto Urbano de tipo de Interés Social denominado “Los Sauces”, la avenida que hoy nombran “Mariano Matamoros”</w:t>
      </w:r>
      <w:r w:rsidR="00400D1B" w:rsidRPr="00C0258A">
        <w:rPr>
          <w:rFonts w:ascii="Palatino Linotype" w:hAnsi="Palatino Linotype" w:cs="Tahoma"/>
          <w:bCs/>
          <w:i/>
          <w:szCs w:val="24"/>
        </w:rPr>
        <w:t xml:space="preserve"> </w:t>
      </w:r>
      <w:proofErr w:type="spellStart"/>
      <w:r w:rsidRPr="00C0258A">
        <w:rPr>
          <w:rFonts w:ascii="Palatino Linotype" w:hAnsi="Palatino Linotype" w:cs="Tahoma"/>
          <w:bCs/>
          <w:i/>
          <w:szCs w:val="24"/>
        </w:rPr>
        <w:t>esta</w:t>
      </w:r>
      <w:proofErr w:type="spellEnd"/>
      <w:r w:rsidRPr="00C0258A">
        <w:rPr>
          <w:rFonts w:ascii="Palatino Linotype" w:hAnsi="Palatino Linotype" w:cs="Tahoma"/>
          <w:bCs/>
          <w:i/>
          <w:szCs w:val="24"/>
        </w:rPr>
        <w:t xml:space="preserve"> autorizada con el nombre de Paseo de Acacias. </w:t>
      </w:r>
    </w:p>
    <w:p w14:paraId="78D392EF" w14:textId="5893C61B"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lastRenderedPageBreak/>
        <w:t xml:space="preserve">Hasta la fecha, NO EXISTE AUTORIZACIÓN POR PARTE DEL AYUNTAMIENTO DE TOLUCA para cambiarle el nombre al de Mariano Matamoros. Como evidencia, se presentan los datos que tiene el comercio denominado </w:t>
      </w:r>
      <w:proofErr w:type="spellStart"/>
      <w:r w:rsidRPr="00C0258A">
        <w:rPr>
          <w:rFonts w:ascii="Palatino Linotype" w:hAnsi="Palatino Linotype" w:cs="Tahoma"/>
          <w:bCs/>
          <w:i/>
          <w:szCs w:val="24"/>
        </w:rPr>
        <w:t>Burguer</w:t>
      </w:r>
      <w:proofErr w:type="spellEnd"/>
      <w:r w:rsidRPr="00C0258A">
        <w:rPr>
          <w:rFonts w:ascii="Palatino Linotype" w:hAnsi="Palatino Linotype" w:cs="Tahoma"/>
          <w:bCs/>
          <w:i/>
          <w:szCs w:val="24"/>
        </w:rPr>
        <w:t xml:space="preserve"> Grill </w:t>
      </w:r>
      <w:proofErr w:type="spellStart"/>
      <w:r w:rsidRPr="00C0258A">
        <w:rPr>
          <w:rFonts w:ascii="Palatino Linotype" w:hAnsi="Palatino Linotype" w:cs="Tahoma"/>
          <w:bCs/>
          <w:i/>
          <w:szCs w:val="24"/>
        </w:rPr>
        <w:t>Corner</w:t>
      </w:r>
      <w:proofErr w:type="spellEnd"/>
      <w:r w:rsidRPr="00C0258A">
        <w:rPr>
          <w:rFonts w:ascii="Palatino Linotype" w:hAnsi="Palatino Linotype" w:cs="Tahoma"/>
          <w:bCs/>
          <w:i/>
          <w:szCs w:val="24"/>
        </w:rPr>
        <w:t xml:space="preserve"> ubicado exactamente en la esquina contraria de la misma manzana en donde está ubicada la Talachera. Por lo tanto, se presume que las unidades administrativas del Ayuntamiento no muestran datos actualizados en sus registros.</w:t>
      </w:r>
    </w:p>
    <w:p w14:paraId="3823F00C" w14:textId="10BD5BC9"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w:t>
      </w:r>
    </w:p>
    <w:p w14:paraId="46500CC5" w14:textId="4B76F820"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Por lo anterior SE HACE DEL CONOCIMIENTO A LA DIRECCIÓN GENERAL DE DESARROLLO ECONÓMICO de la ubicación exacta del negocio “Talachera Si Voy” tal como se muestra en el mapa de la Imagen 1 con la finalidad de profundizar en la búsqueda de sus registros, INCLUYENDO LA DE SUS VISITAS DE VERIFICACIÓN, y determinar la existencia o no del Permiso y/o Licencia de Funcionamiento a fin de no incurrir en violaciones a las normas jurídicas correspondientes y dañar los derechos que por Ingresos deba de tener el Municipio.</w:t>
      </w:r>
    </w:p>
    <w:p w14:paraId="2E19AFC1" w14:textId="5D44DCAD"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w:t>
      </w:r>
    </w:p>
    <w:p w14:paraId="35D2B41C" w14:textId="04B4CCAE"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Con respecto a los numerales 1, 2, 3 y 4 en donde se indica como fundamento el artículo 3.28 del Código Reglamentario Municipal vigente como causa de incompetencia, se expone que no es obligación de la parte solicitante de la información determinar que instancia integrante del Ayuntamiento contestará las peticiones de información formuladas, por lo que solo puede conocer que la norma del artículo 3.28 del Código Reglamentario Municipal de Toluca promulgado en la Gaceta Oficial en su edición especial de fecha 7 de febrero de 2023, volumen tres año dos, por el Ayuntamiento de Toluca 2022-2024, que el Titular de la Dirección de Inspección y Control Comercial tendrá entre sus atribuciones lo que se indica en las fracciones a continuación mencionadas a la letra:</w:t>
      </w:r>
    </w:p>
    <w:p w14:paraId="271CD8CC" w14:textId="04911733"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w:t>
      </w:r>
    </w:p>
    <w:p w14:paraId="15E69631" w14:textId="77777777"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 xml:space="preserve">Adicionalmente, y no por ello las únicas, están las disposiciones normativas integradas al Bando Municipal de Toluca 2022-2024, mismas que son claras y precisas para este caso en particular y que se transcriben a continuación textualmente: </w:t>
      </w:r>
    </w:p>
    <w:p w14:paraId="47603136" w14:textId="53A8515F" w:rsidR="004C69D5" w:rsidRPr="00C0258A" w:rsidRDefault="004C69D5" w:rsidP="004C69D5">
      <w:pPr>
        <w:spacing w:line="360" w:lineRule="auto"/>
        <w:ind w:left="567" w:right="539"/>
        <w:contextualSpacing/>
        <w:jc w:val="center"/>
        <w:rPr>
          <w:rFonts w:ascii="Palatino Linotype" w:hAnsi="Palatino Linotype" w:cs="Tahoma"/>
          <w:bCs/>
          <w:i/>
          <w:szCs w:val="24"/>
        </w:rPr>
      </w:pPr>
      <w:r w:rsidRPr="00C0258A">
        <w:rPr>
          <w:rFonts w:ascii="Palatino Linotype" w:hAnsi="Palatino Linotype" w:cs="Tahoma"/>
          <w:bCs/>
          <w:i/>
          <w:szCs w:val="24"/>
        </w:rPr>
        <w:t>BANDO MUNICIPAL DE TOLUCA 2022-2024</w:t>
      </w:r>
    </w:p>
    <w:p w14:paraId="299852AC" w14:textId="7B468EE3" w:rsidR="004C69D5" w:rsidRPr="00C0258A" w:rsidRDefault="004C69D5" w:rsidP="004C69D5">
      <w:pPr>
        <w:spacing w:line="360" w:lineRule="auto"/>
        <w:ind w:left="567" w:right="539"/>
        <w:contextualSpacing/>
        <w:jc w:val="center"/>
        <w:rPr>
          <w:rFonts w:ascii="Palatino Linotype" w:hAnsi="Palatino Linotype" w:cs="Tahoma"/>
          <w:bCs/>
          <w:i/>
          <w:szCs w:val="24"/>
        </w:rPr>
      </w:pPr>
      <w:r w:rsidRPr="00C0258A">
        <w:rPr>
          <w:rFonts w:ascii="Palatino Linotype" w:hAnsi="Palatino Linotype" w:cs="Tahoma"/>
          <w:bCs/>
          <w:i/>
          <w:szCs w:val="24"/>
        </w:rPr>
        <w:t>CAPÍTULO SEGUNDO</w:t>
      </w:r>
    </w:p>
    <w:p w14:paraId="6D3C31DD" w14:textId="5CE49173" w:rsidR="004C69D5" w:rsidRPr="00C0258A" w:rsidRDefault="004C69D5" w:rsidP="004C69D5">
      <w:pPr>
        <w:spacing w:line="360" w:lineRule="auto"/>
        <w:ind w:left="567" w:right="539"/>
        <w:contextualSpacing/>
        <w:jc w:val="center"/>
        <w:rPr>
          <w:rFonts w:ascii="Palatino Linotype" w:hAnsi="Palatino Linotype" w:cs="Tahoma"/>
          <w:bCs/>
          <w:i/>
          <w:szCs w:val="24"/>
        </w:rPr>
      </w:pPr>
      <w:r w:rsidRPr="00C0258A">
        <w:rPr>
          <w:rFonts w:ascii="Palatino Linotype" w:hAnsi="Palatino Linotype" w:cs="Tahoma"/>
          <w:bCs/>
          <w:i/>
          <w:szCs w:val="24"/>
        </w:rPr>
        <w:t>DE LAS ACTIVIDADES COMERCIALES, INDUSTRIALES Y DE SERVICIO EN ESTABLECIMIENTOS</w:t>
      </w:r>
    </w:p>
    <w:p w14:paraId="4D33ABBC" w14:textId="00AC93D3"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lastRenderedPageBreak/>
        <w:t>Artículo 87…</w:t>
      </w:r>
    </w:p>
    <w:p w14:paraId="72DA1A0E" w14:textId="77777777" w:rsidR="004C69D5" w:rsidRPr="00C0258A" w:rsidRDefault="004C69D5" w:rsidP="004C69D5">
      <w:pPr>
        <w:spacing w:line="360" w:lineRule="auto"/>
        <w:ind w:left="567" w:right="539"/>
        <w:contextualSpacing/>
        <w:jc w:val="both"/>
        <w:rPr>
          <w:rFonts w:ascii="Palatino Linotype" w:hAnsi="Palatino Linotype" w:cs="Tahoma"/>
          <w:bCs/>
          <w:i/>
          <w:szCs w:val="24"/>
        </w:rPr>
      </w:pPr>
    </w:p>
    <w:p w14:paraId="4527CE26" w14:textId="77777777"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 xml:space="preserve">Por lo que respecta al punto N° 5 de esta petición de información en donde se hace del conocimiento que la Dirección General de Gobierno y Servidora Pública Habilitada, no actúa ni contempla dentro de sus actuaciones jurídicas el Reglamento de Condominio y Administración del Conjunto Urbano Sauces, por lo que no es competencia de la misma, al respecto se expone lo siguiente: </w:t>
      </w:r>
    </w:p>
    <w:p w14:paraId="1589C9B5" w14:textId="77777777" w:rsidR="004C69D5" w:rsidRPr="00C0258A" w:rsidRDefault="004C69D5" w:rsidP="004C69D5">
      <w:pPr>
        <w:spacing w:line="360" w:lineRule="auto"/>
        <w:ind w:left="567" w:right="539"/>
        <w:contextualSpacing/>
        <w:jc w:val="both"/>
        <w:rPr>
          <w:rFonts w:ascii="Palatino Linotype" w:hAnsi="Palatino Linotype" w:cs="Tahoma"/>
          <w:bCs/>
          <w:i/>
          <w:szCs w:val="24"/>
        </w:rPr>
      </w:pPr>
    </w:p>
    <w:p w14:paraId="77E45C35" w14:textId="65127A98"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El Código Reglamentario Municipal de Toluca, promulgado en la Gaceta Municipal Especial del Ayuntamiento de Toluca 2022-2024 de fecha 7 de febrero de 2023, Volumen Tres Año dos, indica textualmente lo siguiente:</w:t>
      </w:r>
    </w:p>
    <w:p w14:paraId="10F5FD8D" w14:textId="41D1F48E" w:rsidR="004C69D5" w:rsidRPr="00C0258A" w:rsidRDefault="004C69D5" w:rsidP="004C69D5">
      <w:pPr>
        <w:spacing w:line="360" w:lineRule="auto"/>
        <w:ind w:left="567" w:right="539"/>
        <w:contextualSpacing/>
        <w:jc w:val="both"/>
        <w:rPr>
          <w:rFonts w:ascii="Palatino Linotype" w:hAnsi="Palatino Linotype" w:cs="Tahoma"/>
          <w:bCs/>
          <w:i/>
          <w:szCs w:val="24"/>
        </w:rPr>
      </w:pPr>
      <w:r w:rsidRPr="00C0258A">
        <w:rPr>
          <w:rFonts w:ascii="Palatino Linotype" w:hAnsi="Palatino Linotype" w:cs="Tahoma"/>
          <w:bCs/>
          <w:i/>
          <w:szCs w:val="24"/>
        </w:rPr>
        <w:t>…”</w:t>
      </w:r>
    </w:p>
    <w:p w14:paraId="17B53C14" w14:textId="77777777" w:rsidR="004C69D5" w:rsidRPr="00C0258A" w:rsidRDefault="004C69D5" w:rsidP="00342378">
      <w:pPr>
        <w:spacing w:line="360" w:lineRule="auto"/>
        <w:ind w:right="539"/>
        <w:contextualSpacing/>
        <w:jc w:val="both"/>
        <w:rPr>
          <w:rFonts w:ascii="Palatino Linotype" w:hAnsi="Palatino Linotype" w:cs="Tahoma"/>
          <w:bCs/>
          <w:iCs/>
          <w:szCs w:val="24"/>
        </w:rPr>
      </w:pPr>
    </w:p>
    <w:p w14:paraId="3A619F57" w14:textId="77777777" w:rsidR="009A7587" w:rsidRPr="00C0258A" w:rsidRDefault="00BF4B55" w:rsidP="00342378">
      <w:pPr>
        <w:pStyle w:val="Ttulo2"/>
        <w:rPr>
          <w:rFonts w:ascii="Palatino Linotype" w:eastAsia="Batang" w:hAnsi="Palatino Linotype" w:cs="Tahoma"/>
          <w:b/>
          <w:bCs/>
          <w:color w:val="auto"/>
          <w:sz w:val="22"/>
          <w:szCs w:val="22"/>
        </w:rPr>
      </w:pPr>
      <w:bookmarkStart w:id="7" w:name="_Toc196923897"/>
      <w:bookmarkEnd w:id="6"/>
      <w:r w:rsidRPr="00C0258A">
        <w:rPr>
          <w:rStyle w:val="Ttulo2Car"/>
          <w:rFonts w:ascii="Palatino Linotype" w:hAnsi="Palatino Linotype"/>
          <w:b/>
          <w:color w:val="auto"/>
          <w:sz w:val="22"/>
          <w:szCs w:val="22"/>
        </w:rPr>
        <w:t>I</w:t>
      </w:r>
      <w:r w:rsidR="00FF1049" w:rsidRPr="00C0258A">
        <w:rPr>
          <w:rStyle w:val="Ttulo2Car"/>
          <w:rFonts w:ascii="Palatino Linotype" w:hAnsi="Palatino Linotype"/>
          <w:b/>
          <w:color w:val="auto"/>
          <w:sz w:val="22"/>
          <w:szCs w:val="22"/>
        </w:rPr>
        <w:t>V</w:t>
      </w:r>
      <w:r w:rsidR="009A7587" w:rsidRPr="00C0258A">
        <w:rPr>
          <w:rStyle w:val="Ttulo2Car"/>
          <w:rFonts w:ascii="Palatino Linotype" w:hAnsi="Palatino Linotype"/>
          <w:b/>
          <w:color w:val="auto"/>
          <w:sz w:val="22"/>
          <w:szCs w:val="22"/>
        </w:rPr>
        <w:t>. Trámite del Recurso de Revisión ante el Instituto</w:t>
      </w:r>
      <w:bookmarkEnd w:id="7"/>
    </w:p>
    <w:p w14:paraId="4E2A913D" w14:textId="77777777" w:rsidR="007E4927" w:rsidRPr="00C0258A" w:rsidRDefault="007E4927" w:rsidP="00FF426B">
      <w:pPr>
        <w:spacing w:line="360" w:lineRule="auto"/>
        <w:contextualSpacing/>
        <w:jc w:val="both"/>
        <w:rPr>
          <w:rFonts w:ascii="Palatino Linotype" w:eastAsia="Batang" w:hAnsi="Palatino Linotype" w:cs="Tahoma"/>
          <w:b/>
          <w:bCs/>
          <w:sz w:val="22"/>
          <w:szCs w:val="22"/>
        </w:rPr>
      </w:pPr>
    </w:p>
    <w:p w14:paraId="5212B9AF" w14:textId="6CA574D9" w:rsidR="00C950E3" w:rsidRPr="00C0258A" w:rsidRDefault="009A7587" w:rsidP="00FF426B">
      <w:pPr>
        <w:spacing w:line="360" w:lineRule="auto"/>
        <w:contextualSpacing/>
        <w:jc w:val="both"/>
        <w:rPr>
          <w:rFonts w:ascii="Palatino Linotype" w:eastAsia="Batang" w:hAnsi="Palatino Linotype" w:cs="Tahoma"/>
          <w:bCs/>
          <w:sz w:val="22"/>
          <w:szCs w:val="22"/>
        </w:rPr>
      </w:pPr>
      <w:bookmarkStart w:id="8" w:name="_Toc196923898"/>
      <w:r w:rsidRPr="00C0258A">
        <w:rPr>
          <w:rStyle w:val="Ttulo3Car"/>
          <w:rFonts w:ascii="Palatino Linotype" w:hAnsi="Palatino Linotype"/>
          <w:b/>
          <w:color w:val="auto"/>
          <w:sz w:val="22"/>
          <w:szCs w:val="22"/>
        </w:rPr>
        <w:t>a) Turno del Recurso de Revisión</w:t>
      </w:r>
      <w:r w:rsidRPr="00C0258A">
        <w:rPr>
          <w:rStyle w:val="Ttulo3Car"/>
          <w:rFonts w:ascii="Palatino Linotype" w:hAnsi="Palatino Linotype"/>
          <w:color w:val="auto"/>
          <w:sz w:val="22"/>
          <w:szCs w:val="22"/>
        </w:rPr>
        <w:t>.</w:t>
      </w:r>
      <w:bookmarkEnd w:id="8"/>
      <w:r w:rsidRPr="00C0258A">
        <w:rPr>
          <w:rFonts w:ascii="Palatino Linotype" w:eastAsia="Batang" w:hAnsi="Palatino Linotype" w:cs="Tahoma"/>
          <w:b/>
          <w:bCs/>
          <w:sz w:val="22"/>
          <w:szCs w:val="22"/>
        </w:rPr>
        <w:t xml:space="preserve"> </w:t>
      </w:r>
      <w:r w:rsidR="00A06844" w:rsidRPr="00C0258A">
        <w:rPr>
          <w:rFonts w:ascii="Palatino Linotype" w:eastAsia="Batang" w:hAnsi="Palatino Linotype" w:cs="Tahoma"/>
          <w:bCs/>
          <w:sz w:val="22"/>
          <w:szCs w:val="22"/>
        </w:rPr>
        <w:t xml:space="preserve">El </w:t>
      </w:r>
      <w:r w:rsidR="004C69D5" w:rsidRPr="00C0258A">
        <w:rPr>
          <w:rFonts w:ascii="Palatino Linotype" w:hAnsi="Palatino Linotype" w:cs="Tahoma"/>
          <w:sz w:val="22"/>
          <w:szCs w:val="22"/>
        </w:rPr>
        <w:t>dos</w:t>
      </w:r>
      <w:r w:rsidR="004D2877" w:rsidRPr="00C0258A">
        <w:rPr>
          <w:rFonts w:ascii="Palatino Linotype" w:hAnsi="Palatino Linotype" w:cs="Tahoma"/>
          <w:sz w:val="22"/>
          <w:szCs w:val="22"/>
        </w:rPr>
        <w:t xml:space="preserve"> de marzo</w:t>
      </w:r>
      <w:r w:rsidR="00805163" w:rsidRPr="00C0258A">
        <w:rPr>
          <w:rFonts w:ascii="Palatino Linotype" w:hAnsi="Palatino Linotype" w:cs="Tahoma"/>
          <w:sz w:val="22"/>
          <w:szCs w:val="22"/>
        </w:rPr>
        <w:t xml:space="preserve"> </w:t>
      </w:r>
      <w:r w:rsidR="00BF4B55" w:rsidRPr="00C0258A">
        <w:rPr>
          <w:rFonts w:ascii="Palatino Linotype" w:hAnsi="Palatino Linotype" w:cs="Tahoma"/>
          <w:sz w:val="22"/>
          <w:szCs w:val="22"/>
        </w:rPr>
        <w:t>de dos mil veinticinco</w:t>
      </w:r>
      <w:r w:rsidR="00A06844" w:rsidRPr="00C0258A">
        <w:rPr>
          <w:rFonts w:ascii="Palatino Linotype" w:eastAsia="Batang" w:hAnsi="Palatino Linotype" w:cs="Tahoma"/>
          <w:bCs/>
          <w:sz w:val="22"/>
          <w:szCs w:val="22"/>
        </w:rPr>
        <w:t xml:space="preserve">, </w:t>
      </w:r>
      <w:r w:rsidR="00D5699B" w:rsidRPr="00C0258A">
        <w:rPr>
          <w:rFonts w:ascii="Palatino Linotype" w:eastAsia="Batang" w:hAnsi="Palatino Linotype" w:cs="Tahoma"/>
          <w:bCs/>
          <w:sz w:val="22"/>
          <w:szCs w:val="22"/>
        </w:rPr>
        <w:t xml:space="preserve">el </w:t>
      </w:r>
      <w:r w:rsidR="00BB1F81" w:rsidRPr="00C0258A">
        <w:rPr>
          <w:rFonts w:ascii="Palatino Linotype" w:eastAsia="Batang" w:hAnsi="Palatino Linotype" w:cs="Tahoma"/>
          <w:bCs/>
          <w:sz w:val="22"/>
          <w:szCs w:val="22"/>
        </w:rPr>
        <w:t>SAIMEX</w:t>
      </w:r>
      <w:r w:rsidR="00D5699B" w:rsidRPr="00C0258A">
        <w:rPr>
          <w:rFonts w:ascii="Palatino Linotype" w:eastAsia="Batang" w:hAnsi="Palatino Linotype" w:cs="Tahoma"/>
          <w:bCs/>
          <w:sz w:val="22"/>
          <w:szCs w:val="22"/>
        </w:rPr>
        <w:t xml:space="preserve">, asignó el número de expediente </w:t>
      </w:r>
      <w:r w:rsidR="004C69D5" w:rsidRPr="00C0258A">
        <w:rPr>
          <w:rFonts w:ascii="Palatino Linotype" w:eastAsia="Batang" w:hAnsi="Palatino Linotype" w:cs="Tahoma"/>
          <w:b/>
          <w:bCs/>
          <w:sz w:val="22"/>
          <w:szCs w:val="22"/>
        </w:rPr>
        <w:t>02381</w:t>
      </w:r>
      <w:r w:rsidR="00D5699B" w:rsidRPr="00C0258A">
        <w:rPr>
          <w:rFonts w:ascii="Palatino Linotype" w:eastAsia="Batang" w:hAnsi="Palatino Linotype" w:cs="Tahoma"/>
          <w:b/>
          <w:bCs/>
          <w:sz w:val="22"/>
          <w:szCs w:val="22"/>
        </w:rPr>
        <w:t>/INFOEM/IP/RR/202</w:t>
      </w:r>
      <w:r w:rsidR="00BF4B55" w:rsidRPr="00C0258A">
        <w:rPr>
          <w:rFonts w:ascii="Palatino Linotype" w:eastAsia="Batang" w:hAnsi="Palatino Linotype" w:cs="Tahoma"/>
          <w:b/>
          <w:bCs/>
          <w:sz w:val="22"/>
          <w:szCs w:val="22"/>
        </w:rPr>
        <w:t>5</w:t>
      </w:r>
      <w:r w:rsidR="00D5699B" w:rsidRPr="00C0258A">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C0258A">
        <w:rPr>
          <w:rFonts w:ascii="Palatino Linotype" w:eastAsia="Batang" w:hAnsi="Palatino Linotype" w:cs="Tahoma"/>
          <w:b/>
          <w:bCs/>
          <w:sz w:val="22"/>
          <w:szCs w:val="22"/>
        </w:rPr>
        <w:t>Comisionado Ponente Luis Gustavo Parra Noriega</w:t>
      </w:r>
      <w:r w:rsidR="00D5699B" w:rsidRPr="00C0258A">
        <w:rPr>
          <w:rFonts w:ascii="Palatino Linotype" w:eastAsia="Batang" w:hAnsi="Palatino Linotype" w:cs="Tahoma"/>
          <w:bCs/>
          <w:sz w:val="22"/>
          <w:szCs w:val="22"/>
        </w:rPr>
        <w:t>, para los efectos del artículo 185, fracción I</w:t>
      </w:r>
      <w:r w:rsidR="00BB1F81" w:rsidRPr="00C0258A">
        <w:rPr>
          <w:rFonts w:ascii="Palatino Linotype" w:eastAsia="Batang" w:hAnsi="Palatino Linotype" w:cs="Tahoma"/>
          <w:bCs/>
          <w:sz w:val="22"/>
          <w:szCs w:val="22"/>
        </w:rPr>
        <w:t>,</w:t>
      </w:r>
      <w:r w:rsidR="00D5699B" w:rsidRPr="00C0258A">
        <w:rPr>
          <w:rFonts w:ascii="Palatino Linotype" w:eastAsia="Batang" w:hAnsi="Palatino Linotype" w:cs="Tahoma"/>
          <w:bCs/>
          <w:sz w:val="22"/>
          <w:szCs w:val="22"/>
        </w:rPr>
        <w:t xml:space="preserve"> de la Ley de Transparencia y Acceso a la Información Pública del Estado de México y Municipios.</w:t>
      </w:r>
    </w:p>
    <w:p w14:paraId="336A5753" w14:textId="77777777" w:rsidR="00D5699B" w:rsidRPr="00C0258A" w:rsidRDefault="00D5699B" w:rsidP="00FF426B">
      <w:pPr>
        <w:spacing w:line="360" w:lineRule="auto"/>
        <w:contextualSpacing/>
        <w:jc w:val="both"/>
        <w:rPr>
          <w:rFonts w:ascii="Palatino Linotype" w:eastAsia="Batang" w:hAnsi="Palatino Linotype" w:cs="Tahoma"/>
          <w:b/>
          <w:bCs/>
          <w:sz w:val="22"/>
          <w:szCs w:val="22"/>
        </w:rPr>
      </w:pPr>
    </w:p>
    <w:p w14:paraId="11A4E272" w14:textId="32639A42" w:rsidR="00253937" w:rsidRPr="00C0258A" w:rsidRDefault="009A7587" w:rsidP="00FF426B">
      <w:pPr>
        <w:spacing w:line="360" w:lineRule="auto"/>
        <w:contextualSpacing/>
        <w:jc w:val="both"/>
        <w:rPr>
          <w:rFonts w:ascii="Palatino Linotype" w:hAnsi="Palatino Linotype" w:cs="Tahoma"/>
          <w:bCs/>
          <w:sz w:val="22"/>
          <w:szCs w:val="22"/>
          <w:lang w:val="es-ES_tradnl"/>
        </w:rPr>
      </w:pPr>
      <w:bookmarkStart w:id="9" w:name="_Toc196923899"/>
      <w:r w:rsidRPr="00C0258A">
        <w:rPr>
          <w:rStyle w:val="Ttulo3Car"/>
          <w:rFonts w:ascii="Palatino Linotype" w:hAnsi="Palatino Linotype"/>
          <w:b/>
          <w:color w:val="auto"/>
          <w:sz w:val="22"/>
          <w:szCs w:val="22"/>
        </w:rPr>
        <w:t>b) Admisión del Recurso de Revisión</w:t>
      </w:r>
      <w:r w:rsidRPr="00C0258A">
        <w:rPr>
          <w:rStyle w:val="Ttulo3Car"/>
          <w:rFonts w:ascii="Palatino Linotype" w:hAnsi="Palatino Linotype"/>
          <w:color w:val="auto"/>
          <w:sz w:val="22"/>
          <w:szCs w:val="22"/>
        </w:rPr>
        <w:t>.</w:t>
      </w:r>
      <w:bookmarkEnd w:id="9"/>
      <w:r w:rsidRPr="00C0258A">
        <w:rPr>
          <w:rFonts w:ascii="Palatino Linotype" w:eastAsia="Batang" w:hAnsi="Palatino Linotype" w:cs="Tahoma"/>
          <w:b/>
          <w:bCs/>
          <w:sz w:val="22"/>
          <w:szCs w:val="22"/>
          <w:lang w:val="es-ES_tradnl"/>
        </w:rPr>
        <w:t xml:space="preserve"> </w:t>
      </w:r>
      <w:r w:rsidRPr="00C0258A">
        <w:rPr>
          <w:rFonts w:ascii="Palatino Linotype" w:hAnsi="Palatino Linotype" w:cs="Tahoma"/>
          <w:bCs/>
          <w:sz w:val="22"/>
          <w:szCs w:val="22"/>
        </w:rPr>
        <w:t>El</w:t>
      </w:r>
      <w:r w:rsidR="00EB3A2C" w:rsidRPr="00C0258A">
        <w:rPr>
          <w:rFonts w:ascii="Palatino Linotype" w:hAnsi="Palatino Linotype" w:cs="Tahoma"/>
          <w:bCs/>
          <w:sz w:val="22"/>
          <w:szCs w:val="22"/>
        </w:rPr>
        <w:t xml:space="preserve"> </w:t>
      </w:r>
      <w:r w:rsidR="004C69D5" w:rsidRPr="00C0258A">
        <w:rPr>
          <w:rFonts w:ascii="Palatino Linotype" w:hAnsi="Palatino Linotype" w:cs="Tahoma"/>
          <w:bCs/>
          <w:sz w:val="22"/>
          <w:szCs w:val="22"/>
        </w:rPr>
        <w:t>siete</w:t>
      </w:r>
      <w:r w:rsidR="004D2877" w:rsidRPr="00C0258A">
        <w:rPr>
          <w:rFonts w:ascii="Palatino Linotype" w:hAnsi="Palatino Linotype" w:cs="Tahoma"/>
          <w:bCs/>
          <w:sz w:val="22"/>
          <w:szCs w:val="22"/>
        </w:rPr>
        <w:t xml:space="preserve"> de marzo</w:t>
      </w:r>
      <w:r w:rsidR="00BF4B55" w:rsidRPr="00C0258A">
        <w:rPr>
          <w:rFonts w:ascii="Palatino Linotype" w:hAnsi="Palatino Linotype" w:cs="Tahoma"/>
          <w:bCs/>
          <w:sz w:val="22"/>
          <w:szCs w:val="22"/>
        </w:rPr>
        <w:t xml:space="preserve"> de dos mil veinticinco</w:t>
      </w:r>
      <w:r w:rsidRPr="00C0258A">
        <w:rPr>
          <w:rFonts w:ascii="Palatino Linotype" w:hAnsi="Palatino Linotype" w:cs="Tahoma"/>
          <w:bCs/>
          <w:sz w:val="22"/>
          <w:szCs w:val="22"/>
        </w:rPr>
        <w:t xml:space="preserve">, </w:t>
      </w:r>
      <w:r w:rsidR="001F787A" w:rsidRPr="00C0258A">
        <w:rPr>
          <w:rFonts w:ascii="Palatino Linotype" w:hAnsi="Palatino Linotype" w:cs="Tahoma"/>
          <w:bCs/>
          <w:sz w:val="22"/>
          <w:szCs w:val="22"/>
        </w:rPr>
        <w:t xml:space="preserve">se acordó la admisión del </w:t>
      </w:r>
      <w:r w:rsidR="001F787A" w:rsidRPr="00C0258A">
        <w:rPr>
          <w:rFonts w:ascii="Palatino Linotype" w:hAnsi="Palatino Linotype" w:cs="Tahoma"/>
          <w:bCs/>
          <w:sz w:val="22"/>
          <w:szCs w:val="22"/>
          <w:lang w:val="es-ES_tradnl"/>
        </w:rPr>
        <w:t xml:space="preserve">Recurso de Revisión interpuesto por el Recurrente en contra del </w:t>
      </w:r>
      <w:r w:rsidR="001F787A" w:rsidRPr="00C0258A">
        <w:rPr>
          <w:rFonts w:ascii="Palatino Linotype" w:hAnsi="Palatino Linotype" w:cs="Tahoma"/>
          <w:b/>
          <w:bCs/>
          <w:sz w:val="22"/>
          <w:szCs w:val="22"/>
          <w:lang w:val="es-ES_tradnl"/>
        </w:rPr>
        <w:t>Sujeto Obligado</w:t>
      </w:r>
      <w:r w:rsidR="001F787A" w:rsidRPr="00C0258A">
        <w:rPr>
          <w:rFonts w:ascii="Palatino Linotype" w:hAnsi="Palatino Linotype" w:cs="Tahoma"/>
          <w:bCs/>
          <w:sz w:val="22"/>
          <w:szCs w:val="22"/>
          <w:lang w:val="es-ES_tradnl"/>
        </w:rPr>
        <w:t>, en términos del artículo 185, fracciones I, II y IV</w:t>
      </w:r>
      <w:r w:rsidR="00BB1F81" w:rsidRPr="00C0258A">
        <w:rPr>
          <w:rFonts w:ascii="Palatino Linotype" w:hAnsi="Palatino Linotype" w:cs="Tahoma"/>
          <w:bCs/>
          <w:sz w:val="22"/>
          <w:szCs w:val="22"/>
          <w:lang w:val="es-ES_tradnl"/>
        </w:rPr>
        <w:t>,</w:t>
      </w:r>
      <w:r w:rsidR="001F787A" w:rsidRPr="00C0258A">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C0258A">
        <w:rPr>
          <w:rFonts w:ascii="Palatino Linotype" w:hAnsi="Palatino Linotype" w:cs="Tahoma"/>
          <w:bCs/>
          <w:sz w:val="22"/>
          <w:szCs w:val="22"/>
          <w:lang w:val="es-ES_tradnl"/>
        </w:rPr>
        <w:t>o a las partes el mismo día</w:t>
      </w:r>
      <w:r w:rsidR="001F787A" w:rsidRPr="00C0258A">
        <w:rPr>
          <w:rFonts w:ascii="Palatino Linotype" w:hAnsi="Palatino Linotype" w:cs="Tahoma"/>
          <w:bCs/>
          <w:sz w:val="22"/>
          <w:szCs w:val="22"/>
          <w:lang w:val="es-ES_tradnl"/>
        </w:rPr>
        <w:t xml:space="preserve"> a través del </w:t>
      </w:r>
      <w:r w:rsidR="00BB1F81" w:rsidRPr="00C0258A">
        <w:rPr>
          <w:rFonts w:ascii="Palatino Linotype" w:hAnsi="Palatino Linotype" w:cs="Tahoma"/>
          <w:bCs/>
          <w:sz w:val="22"/>
          <w:szCs w:val="22"/>
          <w:lang w:val="es-ES_tradnl"/>
        </w:rPr>
        <w:t>SAIMEX</w:t>
      </w:r>
      <w:r w:rsidR="001F787A" w:rsidRPr="00C0258A">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23AA9C13" w14:textId="77777777" w:rsidR="00015415" w:rsidRPr="00C0258A" w:rsidRDefault="00015415" w:rsidP="00FF426B">
      <w:pPr>
        <w:spacing w:line="360" w:lineRule="auto"/>
        <w:contextualSpacing/>
        <w:jc w:val="both"/>
        <w:rPr>
          <w:rFonts w:ascii="Palatino Linotype" w:hAnsi="Palatino Linotype" w:cs="Tahoma"/>
          <w:bCs/>
          <w:sz w:val="22"/>
          <w:szCs w:val="22"/>
          <w:lang w:val="es-ES_tradnl"/>
        </w:rPr>
      </w:pPr>
    </w:p>
    <w:p w14:paraId="1783CE06" w14:textId="488BC5F0" w:rsidR="00166805" w:rsidRPr="00C0258A"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6923900"/>
      <w:r w:rsidRPr="00C0258A">
        <w:rPr>
          <w:rStyle w:val="Ttulo3Car"/>
          <w:rFonts w:ascii="Palatino Linotype" w:hAnsi="Palatino Linotype"/>
          <w:b/>
          <w:color w:val="auto"/>
          <w:sz w:val="22"/>
          <w:szCs w:val="22"/>
        </w:rPr>
        <w:t>c) Informe Justificado.</w:t>
      </w:r>
      <w:bookmarkEnd w:id="10"/>
      <w:bookmarkEnd w:id="11"/>
      <w:r w:rsidRPr="00C0258A">
        <w:rPr>
          <w:rFonts w:ascii="Palatino Linotype" w:eastAsia="Batang" w:hAnsi="Palatino Linotype" w:cs="Tahoma"/>
          <w:b/>
          <w:bCs/>
          <w:sz w:val="22"/>
          <w:szCs w:val="22"/>
          <w:lang w:val="es-ES_tradnl"/>
        </w:rPr>
        <w:t xml:space="preserve"> </w:t>
      </w:r>
      <w:r w:rsidRPr="00C0258A">
        <w:rPr>
          <w:rFonts w:ascii="Palatino Linotype" w:eastAsia="Batang" w:hAnsi="Palatino Linotype" w:cs="Tahoma"/>
          <w:bCs/>
          <w:sz w:val="22"/>
          <w:szCs w:val="22"/>
          <w:lang w:val="es-ES_tradnl"/>
        </w:rPr>
        <w:t xml:space="preserve">El </w:t>
      </w:r>
      <w:r w:rsidR="004C69D5" w:rsidRPr="00C0258A">
        <w:rPr>
          <w:rFonts w:ascii="Palatino Linotype" w:eastAsia="Batang" w:hAnsi="Palatino Linotype" w:cs="Tahoma"/>
          <w:bCs/>
          <w:sz w:val="22"/>
          <w:szCs w:val="22"/>
          <w:lang w:val="es-ES_tradnl"/>
        </w:rPr>
        <w:t>dieciocho</w:t>
      </w:r>
      <w:r w:rsidR="00CD78C2" w:rsidRPr="00C0258A">
        <w:rPr>
          <w:rFonts w:ascii="Palatino Linotype" w:eastAsia="Batang" w:hAnsi="Palatino Linotype" w:cs="Tahoma"/>
          <w:bCs/>
          <w:sz w:val="22"/>
          <w:szCs w:val="22"/>
          <w:lang w:val="es-ES_tradnl"/>
        </w:rPr>
        <w:t xml:space="preserve"> de </w:t>
      </w:r>
      <w:r w:rsidR="004D2877" w:rsidRPr="00C0258A">
        <w:rPr>
          <w:rFonts w:ascii="Palatino Linotype" w:eastAsia="Batang" w:hAnsi="Palatino Linotype" w:cs="Tahoma"/>
          <w:bCs/>
          <w:sz w:val="22"/>
          <w:szCs w:val="22"/>
          <w:lang w:val="es-ES_tradnl"/>
        </w:rPr>
        <w:t>marzo</w:t>
      </w:r>
      <w:r w:rsidRPr="00C0258A">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545A32" w:rsidRPr="00C0258A">
        <w:rPr>
          <w:rFonts w:ascii="Palatino Linotype" w:eastAsia="Batang" w:hAnsi="Palatino Linotype" w:cs="Tahoma"/>
          <w:bCs/>
          <w:sz w:val="22"/>
          <w:szCs w:val="22"/>
          <w:lang w:val="es-ES_tradnl"/>
        </w:rPr>
        <w:t>ratifico su respuesta como se muestra a continuación</w:t>
      </w:r>
      <w:r w:rsidR="00166805" w:rsidRPr="00C0258A">
        <w:rPr>
          <w:rFonts w:ascii="Palatino Linotype" w:eastAsia="Batang" w:hAnsi="Palatino Linotype" w:cs="Tahoma"/>
          <w:bCs/>
          <w:sz w:val="22"/>
          <w:szCs w:val="22"/>
          <w:lang w:val="es-ES_tradnl"/>
        </w:rPr>
        <w:t>:</w:t>
      </w:r>
    </w:p>
    <w:p w14:paraId="36837DBE" w14:textId="77777777" w:rsidR="00166805" w:rsidRPr="00C0258A" w:rsidRDefault="00166805" w:rsidP="00007985">
      <w:pPr>
        <w:spacing w:line="360" w:lineRule="auto"/>
        <w:jc w:val="both"/>
        <w:rPr>
          <w:rFonts w:ascii="Palatino Linotype" w:eastAsia="Batang" w:hAnsi="Palatino Linotype" w:cs="Tahoma"/>
          <w:bCs/>
          <w:sz w:val="22"/>
          <w:szCs w:val="22"/>
          <w:lang w:val="es-ES_tradnl"/>
        </w:rPr>
      </w:pPr>
    </w:p>
    <w:p w14:paraId="6D7BB963" w14:textId="77777777" w:rsidR="00166805" w:rsidRPr="00C0258A" w:rsidRDefault="008C035F" w:rsidP="008C035F">
      <w:pPr>
        <w:spacing w:line="360" w:lineRule="auto"/>
        <w:ind w:left="567" w:right="539"/>
        <w:jc w:val="both"/>
        <w:rPr>
          <w:rFonts w:ascii="Palatino Linotype" w:eastAsia="Batang" w:hAnsi="Palatino Linotype" w:cs="Tahoma"/>
          <w:bCs/>
          <w:i/>
          <w:szCs w:val="22"/>
          <w:lang w:val="es-ES_tradnl"/>
        </w:rPr>
      </w:pPr>
      <w:r w:rsidRPr="00C0258A">
        <w:rPr>
          <w:rFonts w:ascii="Palatino Linotype" w:eastAsia="Batang" w:hAnsi="Palatino Linotype" w:cs="Tahoma"/>
          <w:bCs/>
          <w:i/>
          <w:szCs w:val="22"/>
          <w:lang w:val="es-ES_tradnl"/>
        </w:rPr>
        <w:t xml:space="preserve">“… </w:t>
      </w:r>
    </w:p>
    <w:p w14:paraId="697C9013" w14:textId="004386A4" w:rsidR="00545A32" w:rsidRPr="00C0258A" w:rsidRDefault="004C69D5" w:rsidP="008C035F">
      <w:pPr>
        <w:spacing w:line="360" w:lineRule="auto"/>
        <w:ind w:left="567" w:right="539"/>
        <w:jc w:val="both"/>
        <w:rPr>
          <w:rFonts w:ascii="Palatino Linotype" w:eastAsia="Batang" w:hAnsi="Palatino Linotype" w:cs="Tahoma"/>
          <w:bCs/>
          <w:i/>
          <w:szCs w:val="22"/>
          <w:lang w:val="es-ES_tradnl"/>
        </w:rPr>
      </w:pPr>
      <w:r w:rsidRPr="00C0258A">
        <w:rPr>
          <w:rFonts w:ascii="Palatino Linotype" w:eastAsia="Batang" w:hAnsi="Palatino Linotype" w:cs="Tahoma"/>
          <w:bCs/>
          <w:i/>
          <w:szCs w:val="22"/>
        </w:rPr>
        <w:t>Por lo antes expuesto se ratifica la respuesta a la solicitud de información de mérito</w:t>
      </w:r>
      <w:r w:rsidR="00471A95" w:rsidRPr="00C0258A">
        <w:rPr>
          <w:rFonts w:ascii="Palatino Linotype" w:eastAsia="Batang" w:hAnsi="Palatino Linotype" w:cs="Tahoma"/>
          <w:bCs/>
          <w:i/>
          <w:szCs w:val="22"/>
          <w:lang w:val="es-ES_tradnl"/>
        </w:rPr>
        <w:t>…</w:t>
      </w:r>
      <w:r w:rsidR="00545A32" w:rsidRPr="00C0258A">
        <w:rPr>
          <w:rFonts w:ascii="Palatino Linotype" w:eastAsia="Batang" w:hAnsi="Palatino Linotype" w:cs="Tahoma"/>
          <w:bCs/>
          <w:i/>
          <w:szCs w:val="22"/>
          <w:lang w:val="es-ES_tradnl"/>
        </w:rPr>
        <w:t>”</w:t>
      </w:r>
    </w:p>
    <w:p w14:paraId="6AB01818" w14:textId="77777777" w:rsidR="00166805" w:rsidRPr="00C0258A" w:rsidRDefault="00166805" w:rsidP="00007985">
      <w:pPr>
        <w:spacing w:line="360" w:lineRule="auto"/>
        <w:jc w:val="both"/>
        <w:rPr>
          <w:rFonts w:ascii="Palatino Linotype" w:eastAsia="Batang" w:hAnsi="Palatino Linotype" w:cs="Tahoma"/>
          <w:bCs/>
          <w:sz w:val="22"/>
          <w:szCs w:val="22"/>
          <w:lang w:val="es-ES_tradnl"/>
        </w:rPr>
      </w:pPr>
    </w:p>
    <w:p w14:paraId="00993FD7" w14:textId="42CCCAC9" w:rsidR="00007985" w:rsidRPr="00C0258A" w:rsidRDefault="00007985" w:rsidP="00007985">
      <w:pPr>
        <w:spacing w:line="360" w:lineRule="auto"/>
        <w:jc w:val="both"/>
        <w:rPr>
          <w:rFonts w:ascii="Palatino Linotype" w:hAnsi="Palatino Linotype" w:cs="Tahoma"/>
          <w:sz w:val="22"/>
          <w:szCs w:val="22"/>
        </w:rPr>
      </w:pPr>
      <w:bookmarkStart w:id="12" w:name="_Toc190261914"/>
      <w:bookmarkStart w:id="13" w:name="_Toc196923901"/>
      <w:r w:rsidRPr="00C0258A">
        <w:rPr>
          <w:rStyle w:val="Ttulo3Car"/>
          <w:rFonts w:ascii="Palatino Linotype" w:hAnsi="Palatino Linotype"/>
          <w:b/>
          <w:color w:val="auto"/>
          <w:sz w:val="22"/>
        </w:rPr>
        <w:t>d)</w:t>
      </w:r>
      <w:r w:rsidR="00A318BC" w:rsidRPr="00C0258A">
        <w:rPr>
          <w:rStyle w:val="Ttulo3Car"/>
          <w:rFonts w:ascii="Palatino Linotype" w:hAnsi="Palatino Linotype"/>
          <w:b/>
          <w:color w:val="auto"/>
          <w:sz w:val="22"/>
        </w:rPr>
        <w:t xml:space="preserve"> </w:t>
      </w:r>
      <w:r w:rsidRPr="00C0258A">
        <w:rPr>
          <w:rStyle w:val="Ttulo3Car"/>
          <w:rFonts w:ascii="Palatino Linotype" w:hAnsi="Palatino Linotype"/>
          <w:b/>
          <w:color w:val="auto"/>
          <w:sz w:val="22"/>
        </w:rPr>
        <w:t>Vista del Informe Justificado.</w:t>
      </w:r>
      <w:bookmarkEnd w:id="12"/>
      <w:bookmarkEnd w:id="13"/>
      <w:r w:rsidRPr="00C0258A">
        <w:rPr>
          <w:rFonts w:ascii="Palatino Linotype" w:hAnsi="Palatino Linotype" w:cs="Tahoma"/>
          <w:sz w:val="18"/>
          <w:szCs w:val="22"/>
        </w:rPr>
        <w:t xml:space="preserve"> </w:t>
      </w:r>
      <w:r w:rsidRPr="00C0258A">
        <w:rPr>
          <w:rFonts w:ascii="Palatino Linotype" w:hAnsi="Palatino Linotype" w:cs="Tahoma"/>
          <w:sz w:val="22"/>
          <w:szCs w:val="22"/>
        </w:rPr>
        <w:t xml:space="preserve">El </w:t>
      </w:r>
      <w:r w:rsidR="003D392D" w:rsidRPr="00C0258A">
        <w:rPr>
          <w:rFonts w:ascii="Palatino Linotype" w:hAnsi="Palatino Linotype" w:cs="Tahoma"/>
          <w:sz w:val="22"/>
          <w:szCs w:val="22"/>
        </w:rPr>
        <w:t>veintiuno</w:t>
      </w:r>
      <w:r w:rsidR="004D2877" w:rsidRPr="00C0258A">
        <w:rPr>
          <w:rFonts w:ascii="Palatino Linotype" w:hAnsi="Palatino Linotype" w:cs="Tahoma"/>
          <w:sz w:val="22"/>
          <w:szCs w:val="22"/>
        </w:rPr>
        <w:t xml:space="preserve"> de abril </w:t>
      </w:r>
      <w:r w:rsidRPr="00C0258A">
        <w:rPr>
          <w:rFonts w:ascii="Palatino Linotype" w:hAnsi="Palatino Linotype" w:cs="Tahoma"/>
          <w:sz w:val="22"/>
          <w:szCs w:val="22"/>
        </w:rPr>
        <w:t>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1232DCE5" w14:textId="77777777" w:rsidR="00EA2594" w:rsidRPr="00C0258A" w:rsidRDefault="00EA2594" w:rsidP="00EA2594">
      <w:pPr>
        <w:spacing w:line="360" w:lineRule="auto"/>
        <w:jc w:val="both"/>
        <w:rPr>
          <w:rFonts w:ascii="Palatino Linotype" w:hAnsi="Palatino Linotype" w:cs="Tahoma"/>
          <w:b/>
          <w:sz w:val="22"/>
          <w:szCs w:val="24"/>
        </w:rPr>
      </w:pPr>
    </w:p>
    <w:p w14:paraId="75D41ECC" w14:textId="44F2BCFB" w:rsidR="00015415" w:rsidRPr="00C0258A" w:rsidRDefault="00015415" w:rsidP="00C500C7">
      <w:pPr>
        <w:spacing w:line="360" w:lineRule="auto"/>
        <w:jc w:val="both"/>
        <w:rPr>
          <w:rFonts w:ascii="Palatino Linotype" w:eastAsia="Batang" w:hAnsi="Palatino Linotype" w:cs="Tahoma"/>
          <w:bCs/>
          <w:sz w:val="22"/>
          <w:szCs w:val="22"/>
          <w:lang w:val="es-ES_tradnl"/>
        </w:rPr>
      </w:pPr>
      <w:bookmarkStart w:id="14" w:name="_Toc196923902"/>
      <w:r w:rsidRPr="00C0258A">
        <w:rPr>
          <w:rStyle w:val="Ttulo3Car"/>
          <w:rFonts w:ascii="Palatino Linotype" w:hAnsi="Palatino Linotype"/>
          <w:b/>
          <w:color w:val="auto"/>
          <w:sz w:val="22"/>
        </w:rPr>
        <w:t>e) Manifestaciones del Recurrente</w:t>
      </w:r>
      <w:bookmarkEnd w:id="14"/>
      <w:r w:rsidRPr="00C0258A">
        <w:rPr>
          <w:rFonts w:ascii="Palatino Linotype" w:hAnsi="Palatino Linotype" w:cs="Tahoma"/>
          <w:b/>
          <w:bCs/>
          <w:sz w:val="22"/>
          <w:szCs w:val="22"/>
          <w:lang w:val="es-ES_tradnl"/>
        </w:rPr>
        <w:t xml:space="preserve">. </w:t>
      </w:r>
      <w:r w:rsidRPr="00C0258A">
        <w:rPr>
          <w:rFonts w:ascii="Palatino Linotype" w:eastAsia="Batang" w:hAnsi="Palatino Linotype" w:cs="Tahoma"/>
          <w:bCs/>
          <w:sz w:val="22"/>
          <w:szCs w:val="22"/>
          <w:lang w:val="es-ES_tradnl"/>
        </w:rPr>
        <w:t>El quince de abril de dos mil veinticinco, a través del SAIMEX, se recibió en este Instituto las manifestaciones realizadas por el Particular en</w:t>
      </w:r>
      <w:r w:rsidR="00C500C7" w:rsidRPr="00C0258A">
        <w:rPr>
          <w:rFonts w:ascii="Palatino Linotype" w:eastAsia="Batang" w:hAnsi="Palatino Linotype" w:cs="Tahoma"/>
          <w:bCs/>
          <w:sz w:val="22"/>
          <w:szCs w:val="22"/>
          <w:lang w:val="es-ES_tradnl"/>
        </w:rPr>
        <w:t xml:space="preserve"> las que adjuntó el mismo archivo ingresado al momento de interponer su Recurso de Revisión </w:t>
      </w:r>
      <w:r w:rsidR="00C500C7" w:rsidRPr="00C0258A">
        <w:rPr>
          <w:rFonts w:ascii="Palatino Linotype" w:eastAsia="Batang" w:hAnsi="Palatino Linotype" w:cs="Tahoma"/>
          <w:b/>
          <w:bCs/>
          <w:i/>
          <w:sz w:val="22"/>
          <w:szCs w:val="22"/>
          <w:lang w:val="es-ES_tradnl"/>
        </w:rPr>
        <w:t>IMPUGNACIÓN ANEXO B Solicitud 0382.pdf</w:t>
      </w:r>
      <w:r w:rsidR="00C500C7" w:rsidRPr="00C0258A">
        <w:rPr>
          <w:rFonts w:ascii="Palatino Linotype" w:eastAsia="Batang" w:hAnsi="Palatino Linotype" w:cs="Tahoma"/>
          <w:bCs/>
          <w:sz w:val="22"/>
          <w:szCs w:val="22"/>
          <w:lang w:val="es-ES_tradnl"/>
        </w:rPr>
        <w:t xml:space="preserve"> además de manifestar lo siguiente:</w:t>
      </w:r>
    </w:p>
    <w:p w14:paraId="2D894C93" w14:textId="77777777" w:rsidR="00C500C7" w:rsidRPr="00C0258A" w:rsidRDefault="00C500C7" w:rsidP="00C500C7">
      <w:pPr>
        <w:spacing w:line="360" w:lineRule="auto"/>
        <w:ind w:left="567" w:right="539"/>
        <w:jc w:val="both"/>
        <w:rPr>
          <w:rFonts w:ascii="Palatino Linotype" w:eastAsia="Batang" w:hAnsi="Palatino Linotype" w:cs="Tahoma"/>
          <w:bCs/>
          <w:i/>
          <w:szCs w:val="22"/>
          <w:lang w:val="es-ES_tradnl"/>
        </w:rPr>
      </w:pPr>
    </w:p>
    <w:p w14:paraId="426057E8" w14:textId="566D5230" w:rsidR="00C500C7" w:rsidRPr="00C0258A" w:rsidRDefault="00C500C7" w:rsidP="00C500C7">
      <w:pPr>
        <w:spacing w:line="360" w:lineRule="auto"/>
        <w:ind w:left="567" w:right="539"/>
        <w:jc w:val="both"/>
        <w:rPr>
          <w:rFonts w:ascii="Palatino Linotype" w:eastAsia="Batang" w:hAnsi="Palatino Linotype" w:cs="Tahoma"/>
          <w:bCs/>
          <w:i/>
          <w:szCs w:val="22"/>
          <w:lang w:val="es-ES_tradnl"/>
        </w:rPr>
      </w:pPr>
      <w:r w:rsidRPr="00C0258A">
        <w:rPr>
          <w:rFonts w:ascii="Palatino Linotype" w:eastAsia="Batang" w:hAnsi="Palatino Linotype" w:cs="Tahoma"/>
          <w:bCs/>
          <w:i/>
          <w:szCs w:val="22"/>
          <w:lang w:val="es-ES_tradnl"/>
        </w:rPr>
        <w:t xml:space="preserve">“Se RATIFICA en cada uno de sus puntos tanto el fundamento normativo como en el enunciado en el ANEXO B IMPUGNACIÓN, que sirve </w:t>
      </w:r>
      <w:proofErr w:type="spellStart"/>
      <w:r w:rsidRPr="00C0258A">
        <w:rPr>
          <w:rFonts w:ascii="Palatino Linotype" w:eastAsia="Batang" w:hAnsi="Palatino Linotype" w:cs="Tahoma"/>
          <w:bCs/>
          <w:i/>
          <w:szCs w:val="22"/>
          <w:lang w:val="es-ES_tradnl"/>
        </w:rPr>
        <w:t>comno</w:t>
      </w:r>
      <w:proofErr w:type="spellEnd"/>
      <w:r w:rsidRPr="00C0258A">
        <w:rPr>
          <w:rFonts w:ascii="Palatino Linotype" w:eastAsia="Batang" w:hAnsi="Palatino Linotype" w:cs="Tahoma"/>
          <w:bCs/>
          <w:i/>
          <w:szCs w:val="22"/>
          <w:lang w:val="es-ES_tradnl"/>
        </w:rPr>
        <w:t xml:space="preserve"> evidencia de las peticiones de </w:t>
      </w:r>
      <w:proofErr w:type="spellStart"/>
      <w:r w:rsidRPr="00C0258A">
        <w:rPr>
          <w:rFonts w:ascii="Palatino Linotype" w:eastAsia="Batang" w:hAnsi="Palatino Linotype" w:cs="Tahoma"/>
          <w:bCs/>
          <w:i/>
          <w:szCs w:val="22"/>
          <w:lang w:val="es-ES_tradnl"/>
        </w:rPr>
        <w:t>informacion</w:t>
      </w:r>
      <w:proofErr w:type="spellEnd"/>
      <w:r w:rsidRPr="00C0258A">
        <w:rPr>
          <w:rFonts w:ascii="Palatino Linotype" w:eastAsia="Batang" w:hAnsi="Palatino Linotype" w:cs="Tahoma"/>
          <w:bCs/>
          <w:i/>
          <w:szCs w:val="22"/>
          <w:lang w:val="es-ES_tradnl"/>
        </w:rPr>
        <w:t xml:space="preserve"> solicitadas” (Sic)</w:t>
      </w:r>
    </w:p>
    <w:p w14:paraId="65AE7E3B" w14:textId="77777777" w:rsidR="00015415" w:rsidRPr="00C0258A" w:rsidRDefault="00015415" w:rsidP="00015415">
      <w:pPr>
        <w:spacing w:line="360" w:lineRule="auto"/>
        <w:contextualSpacing/>
        <w:jc w:val="both"/>
        <w:rPr>
          <w:rFonts w:ascii="Palatino Linotype" w:hAnsi="Palatino Linotype" w:cs="Tahoma"/>
          <w:b/>
          <w:bCs/>
          <w:sz w:val="22"/>
          <w:szCs w:val="22"/>
          <w:lang w:val="es-ES_tradnl"/>
        </w:rPr>
      </w:pPr>
    </w:p>
    <w:p w14:paraId="4451031A" w14:textId="458C68A5" w:rsidR="00ED5DF5" w:rsidRPr="00C0258A" w:rsidRDefault="00015415" w:rsidP="00FF426B">
      <w:pPr>
        <w:spacing w:line="360" w:lineRule="auto"/>
        <w:jc w:val="both"/>
        <w:rPr>
          <w:rFonts w:ascii="Palatino Linotype" w:hAnsi="Palatino Linotype" w:cs="Tahoma"/>
          <w:sz w:val="22"/>
          <w:szCs w:val="22"/>
        </w:rPr>
      </w:pPr>
      <w:bookmarkStart w:id="15" w:name="_Toc196923903"/>
      <w:r w:rsidRPr="00C0258A">
        <w:rPr>
          <w:rStyle w:val="Ttulo3Car"/>
          <w:rFonts w:ascii="Palatino Linotype" w:hAnsi="Palatino Linotype"/>
          <w:b/>
          <w:color w:val="auto"/>
          <w:sz w:val="22"/>
          <w:szCs w:val="22"/>
        </w:rPr>
        <w:t>f</w:t>
      </w:r>
      <w:r w:rsidR="003B0501" w:rsidRPr="00C0258A">
        <w:rPr>
          <w:rStyle w:val="Ttulo3Car"/>
          <w:rFonts w:ascii="Palatino Linotype" w:hAnsi="Palatino Linotype"/>
          <w:b/>
          <w:color w:val="auto"/>
          <w:sz w:val="22"/>
          <w:szCs w:val="22"/>
        </w:rPr>
        <w:t>)</w:t>
      </w:r>
      <w:r w:rsidR="00C3485C" w:rsidRPr="00C0258A">
        <w:rPr>
          <w:rStyle w:val="Ttulo3Car"/>
          <w:rFonts w:ascii="Palatino Linotype" w:hAnsi="Palatino Linotype"/>
          <w:b/>
          <w:color w:val="auto"/>
          <w:sz w:val="22"/>
          <w:szCs w:val="22"/>
        </w:rPr>
        <w:t xml:space="preserve"> </w:t>
      </w:r>
      <w:r w:rsidR="00ED5DF5" w:rsidRPr="00C0258A">
        <w:rPr>
          <w:rStyle w:val="Ttulo3Car"/>
          <w:rFonts w:ascii="Palatino Linotype" w:hAnsi="Palatino Linotype"/>
          <w:b/>
          <w:color w:val="auto"/>
          <w:sz w:val="22"/>
          <w:szCs w:val="22"/>
        </w:rPr>
        <w:t>Cierre de instrucción</w:t>
      </w:r>
      <w:bookmarkEnd w:id="15"/>
      <w:r w:rsidR="00ED5DF5" w:rsidRPr="00C0258A">
        <w:rPr>
          <w:rFonts w:ascii="Palatino Linotype" w:hAnsi="Palatino Linotype" w:cs="Tahoma"/>
          <w:b/>
          <w:bCs/>
          <w:sz w:val="22"/>
          <w:szCs w:val="22"/>
        </w:rPr>
        <w:t xml:space="preserve">. </w:t>
      </w:r>
      <w:r w:rsidR="00ED5DF5" w:rsidRPr="00C0258A">
        <w:rPr>
          <w:rFonts w:ascii="Palatino Linotype" w:hAnsi="Palatino Linotype" w:cs="Tahoma"/>
          <w:sz w:val="22"/>
          <w:szCs w:val="22"/>
        </w:rPr>
        <w:t>El</w:t>
      </w:r>
      <w:r w:rsidR="000F437A" w:rsidRPr="00C0258A">
        <w:rPr>
          <w:rFonts w:ascii="Palatino Linotype" w:hAnsi="Palatino Linotype" w:cs="Tahoma"/>
          <w:sz w:val="22"/>
          <w:szCs w:val="22"/>
        </w:rPr>
        <w:t xml:space="preserve"> </w:t>
      </w:r>
      <w:r w:rsidR="004C69D5" w:rsidRPr="00C0258A">
        <w:rPr>
          <w:rFonts w:ascii="Palatino Linotype" w:hAnsi="Palatino Linotype" w:cs="Tahoma"/>
          <w:sz w:val="22"/>
          <w:szCs w:val="22"/>
        </w:rPr>
        <w:t>veinti</w:t>
      </w:r>
      <w:r w:rsidR="003D392D" w:rsidRPr="00C0258A">
        <w:rPr>
          <w:rFonts w:ascii="Palatino Linotype" w:hAnsi="Palatino Linotype" w:cs="Tahoma"/>
          <w:sz w:val="22"/>
          <w:szCs w:val="22"/>
        </w:rPr>
        <w:t xml:space="preserve">ocho </w:t>
      </w:r>
      <w:r w:rsidR="004D2877" w:rsidRPr="00C0258A">
        <w:rPr>
          <w:rFonts w:ascii="Palatino Linotype" w:hAnsi="Palatino Linotype" w:cs="Tahoma"/>
          <w:sz w:val="22"/>
          <w:szCs w:val="22"/>
        </w:rPr>
        <w:t xml:space="preserve">de abril </w:t>
      </w:r>
      <w:r w:rsidR="00E95147" w:rsidRPr="00C0258A">
        <w:rPr>
          <w:rFonts w:ascii="Palatino Linotype" w:hAnsi="Palatino Linotype" w:cs="Tahoma"/>
          <w:sz w:val="22"/>
          <w:szCs w:val="22"/>
        </w:rPr>
        <w:t>de dos mil veinti</w:t>
      </w:r>
      <w:r w:rsidR="00F93A36" w:rsidRPr="00C0258A">
        <w:rPr>
          <w:rFonts w:ascii="Palatino Linotype" w:hAnsi="Palatino Linotype" w:cs="Tahoma"/>
          <w:sz w:val="22"/>
          <w:szCs w:val="22"/>
        </w:rPr>
        <w:t>c</w:t>
      </w:r>
      <w:r w:rsidR="009C323D" w:rsidRPr="00C0258A">
        <w:rPr>
          <w:rFonts w:ascii="Palatino Linotype" w:hAnsi="Palatino Linotype" w:cs="Tahoma"/>
          <w:sz w:val="22"/>
          <w:szCs w:val="22"/>
        </w:rPr>
        <w:t>inco</w:t>
      </w:r>
      <w:r w:rsidR="00ED5DF5" w:rsidRPr="00C0258A">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w:t>
      </w:r>
      <w:r w:rsidR="00ED5DF5" w:rsidRPr="00C0258A">
        <w:rPr>
          <w:rFonts w:ascii="Palatino Linotype" w:hAnsi="Palatino Linotype" w:cs="Tahoma"/>
          <w:sz w:val="22"/>
          <w:szCs w:val="22"/>
        </w:rPr>
        <w:lastRenderedPageBreak/>
        <w:t xml:space="preserve">Pública del Estado de México y Municipios, mismo que fue notificado a las partes </w:t>
      </w:r>
      <w:r w:rsidR="000F437A" w:rsidRPr="00C0258A">
        <w:rPr>
          <w:rFonts w:ascii="Palatino Linotype" w:hAnsi="Palatino Linotype" w:cs="Tahoma"/>
          <w:sz w:val="22"/>
          <w:szCs w:val="22"/>
        </w:rPr>
        <w:t>el mismo día</w:t>
      </w:r>
      <w:r w:rsidR="00ED5DF5" w:rsidRPr="00C0258A">
        <w:rPr>
          <w:rFonts w:ascii="Palatino Linotype" w:hAnsi="Palatino Linotype" w:cs="Tahoma"/>
          <w:sz w:val="22"/>
          <w:szCs w:val="22"/>
        </w:rPr>
        <w:t xml:space="preserve">, a través del </w:t>
      </w:r>
      <w:r w:rsidR="00BB1F81" w:rsidRPr="00C0258A">
        <w:rPr>
          <w:rFonts w:ascii="Palatino Linotype" w:hAnsi="Palatino Linotype" w:cs="Tahoma"/>
          <w:sz w:val="22"/>
          <w:szCs w:val="22"/>
          <w:lang w:val="es-ES"/>
        </w:rPr>
        <w:t>SAIMEX</w:t>
      </w:r>
      <w:r w:rsidR="00ED5DF5" w:rsidRPr="00C0258A">
        <w:rPr>
          <w:rFonts w:ascii="Palatino Linotype" w:hAnsi="Palatino Linotype" w:cs="Tahoma"/>
          <w:sz w:val="22"/>
          <w:szCs w:val="22"/>
        </w:rPr>
        <w:t>.</w:t>
      </w:r>
    </w:p>
    <w:p w14:paraId="72F0CD7A" w14:textId="77777777" w:rsidR="0079675C" w:rsidRPr="00C0258A" w:rsidRDefault="0079675C" w:rsidP="00FF426B">
      <w:pPr>
        <w:spacing w:line="360" w:lineRule="auto"/>
        <w:jc w:val="both"/>
        <w:rPr>
          <w:rFonts w:ascii="Palatino Linotype" w:hAnsi="Palatino Linotype" w:cs="Tahoma"/>
          <w:sz w:val="22"/>
          <w:szCs w:val="22"/>
        </w:rPr>
      </w:pPr>
    </w:p>
    <w:p w14:paraId="1B07BF5A" w14:textId="77777777" w:rsidR="004F2D88" w:rsidRPr="00C0258A" w:rsidRDefault="004F2D88" w:rsidP="00FF426B">
      <w:pPr>
        <w:spacing w:line="360" w:lineRule="auto"/>
        <w:contextualSpacing/>
        <w:jc w:val="both"/>
        <w:rPr>
          <w:rFonts w:ascii="Palatino Linotype" w:hAnsi="Palatino Linotype" w:cs="Tahoma"/>
          <w:color w:val="000000"/>
          <w:sz w:val="22"/>
          <w:szCs w:val="22"/>
        </w:rPr>
      </w:pPr>
      <w:r w:rsidRPr="00C0258A">
        <w:rPr>
          <w:rFonts w:ascii="Palatino Linotype" w:hAnsi="Palatino Linotype" w:cs="Tahoma"/>
          <w:color w:val="000000"/>
          <w:sz w:val="22"/>
          <w:szCs w:val="22"/>
        </w:rPr>
        <w:t xml:space="preserve">En </w:t>
      </w:r>
      <w:r w:rsidR="00367F82" w:rsidRPr="00C0258A">
        <w:rPr>
          <w:rFonts w:ascii="Palatino Linotype" w:hAnsi="Palatino Linotype" w:cs="Tahoma"/>
          <w:color w:val="000000"/>
          <w:sz w:val="22"/>
          <w:szCs w:val="22"/>
        </w:rPr>
        <w:t>razón de que fue debidamente su</w:t>
      </w:r>
      <w:r w:rsidRPr="00C0258A">
        <w:rPr>
          <w:rFonts w:ascii="Palatino Linotype" w:hAnsi="Palatino Linotype" w:cs="Tahoma"/>
          <w:color w:val="000000"/>
          <w:sz w:val="22"/>
          <w:szCs w:val="22"/>
        </w:rPr>
        <w:t xml:space="preserve">stanciado el expediente </w:t>
      </w:r>
      <w:r w:rsidR="00367F82" w:rsidRPr="00C0258A">
        <w:rPr>
          <w:rFonts w:ascii="Palatino Linotype" w:hAnsi="Palatino Linotype" w:cs="Tahoma"/>
          <w:color w:val="000000"/>
          <w:sz w:val="22"/>
          <w:szCs w:val="22"/>
        </w:rPr>
        <w:t xml:space="preserve">electrónico </w:t>
      </w:r>
      <w:r w:rsidRPr="00C0258A">
        <w:rPr>
          <w:rFonts w:ascii="Palatino Linotype" w:hAnsi="Palatino Linotype" w:cs="Tahoma"/>
          <w:color w:val="000000"/>
          <w:sz w:val="22"/>
          <w:szCs w:val="22"/>
        </w:rPr>
        <w:t>y no exist</w:t>
      </w:r>
      <w:r w:rsidR="00367F82" w:rsidRPr="00C0258A">
        <w:rPr>
          <w:rFonts w:ascii="Palatino Linotype" w:hAnsi="Palatino Linotype" w:cs="Tahoma"/>
          <w:color w:val="000000"/>
          <w:sz w:val="22"/>
          <w:szCs w:val="22"/>
        </w:rPr>
        <w:t>e</w:t>
      </w:r>
      <w:r w:rsidRPr="00C0258A">
        <w:rPr>
          <w:rFonts w:ascii="Palatino Linotype" w:hAnsi="Palatino Linotype" w:cs="Tahoma"/>
          <w:color w:val="000000"/>
          <w:sz w:val="22"/>
          <w:szCs w:val="22"/>
        </w:rPr>
        <w:t xml:space="preserve"> dilige</w:t>
      </w:r>
      <w:r w:rsidR="00367F82" w:rsidRPr="00C0258A">
        <w:rPr>
          <w:rFonts w:ascii="Palatino Linotype" w:hAnsi="Palatino Linotype" w:cs="Tahoma"/>
          <w:color w:val="000000"/>
          <w:sz w:val="22"/>
          <w:szCs w:val="22"/>
        </w:rPr>
        <w:t xml:space="preserve">ncia pendiente de desahogo, se </w:t>
      </w:r>
      <w:r w:rsidRPr="00C0258A">
        <w:rPr>
          <w:rFonts w:ascii="Palatino Linotype" w:hAnsi="Palatino Linotype" w:cs="Tahoma"/>
          <w:color w:val="000000"/>
          <w:sz w:val="22"/>
          <w:szCs w:val="22"/>
        </w:rPr>
        <w:t>emit</w:t>
      </w:r>
      <w:r w:rsidR="00367F82" w:rsidRPr="00C0258A">
        <w:rPr>
          <w:rFonts w:ascii="Palatino Linotype" w:hAnsi="Palatino Linotype" w:cs="Tahoma"/>
          <w:color w:val="000000"/>
          <w:sz w:val="22"/>
          <w:szCs w:val="22"/>
        </w:rPr>
        <w:t>e</w:t>
      </w:r>
      <w:r w:rsidRPr="00C0258A">
        <w:rPr>
          <w:rFonts w:ascii="Palatino Linotype" w:hAnsi="Palatino Linotype" w:cs="Tahoma"/>
          <w:color w:val="000000"/>
          <w:sz w:val="22"/>
          <w:szCs w:val="22"/>
        </w:rPr>
        <w:t xml:space="preserve"> la resolución que conforme a Derecho proceda, de acuerdo a l</w:t>
      </w:r>
      <w:r w:rsidR="009A620E" w:rsidRPr="00C0258A">
        <w:rPr>
          <w:rFonts w:ascii="Palatino Linotype" w:hAnsi="Palatino Linotype" w:cs="Tahoma"/>
          <w:color w:val="000000"/>
          <w:sz w:val="22"/>
          <w:szCs w:val="22"/>
        </w:rPr>
        <w:t>o</w:t>
      </w:r>
      <w:r w:rsidRPr="00C0258A">
        <w:rPr>
          <w:rFonts w:ascii="Palatino Linotype" w:hAnsi="Palatino Linotype" w:cs="Tahoma"/>
          <w:color w:val="000000"/>
          <w:sz w:val="22"/>
          <w:szCs w:val="22"/>
        </w:rPr>
        <w:t xml:space="preserve">s siguientes: </w:t>
      </w:r>
    </w:p>
    <w:p w14:paraId="1344A741" w14:textId="77777777" w:rsidR="001C0C73" w:rsidRPr="00C0258A" w:rsidRDefault="001C0C73" w:rsidP="00FF426B">
      <w:pPr>
        <w:spacing w:line="360" w:lineRule="auto"/>
        <w:contextualSpacing/>
        <w:jc w:val="both"/>
        <w:rPr>
          <w:rFonts w:ascii="Palatino Linotype" w:hAnsi="Palatino Linotype" w:cs="Tahoma"/>
          <w:color w:val="000000"/>
          <w:sz w:val="22"/>
          <w:szCs w:val="22"/>
        </w:rPr>
      </w:pPr>
    </w:p>
    <w:p w14:paraId="4BD12DFF" w14:textId="77777777" w:rsidR="00EA4E4A" w:rsidRPr="00C0258A" w:rsidRDefault="00EA4E4A" w:rsidP="00342378">
      <w:pPr>
        <w:pStyle w:val="Ttulo1"/>
        <w:jc w:val="center"/>
        <w:rPr>
          <w:rFonts w:ascii="Palatino Linotype" w:hAnsi="Palatino Linotype"/>
          <w:b/>
          <w:color w:val="auto"/>
          <w:sz w:val="22"/>
          <w:szCs w:val="22"/>
          <w:lang w:val="pt-BR"/>
        </w:rPr>
      </w:pPr>
      <w:bookmarkStart w:id="16" w:name="_Toc196923904"/>
      <w:r w:rsidRPr="00C0258A">
        <w:rPr>
          <w:rFonts w:ascii="Palatino Linotype" w:hAnsi="Palatino Linotype"/>
          <w:b/>
          <w:color w:val="auto"/>
          <w:sz w:val="22"/>
          <w:szCs w:val="22"/>
          <w:lang w:val="pt-BR"/>
        </w:rPr>
        <w:t>C O N S I D E R A N D O S</w:t>
      </w:r>
      <w:bookmarkEnd w:id="16"/>
    </w:p>
    <w:p w14:paraId="32DE711F" w14:textId="77777777" w:rsidR="00EA4E4A" w:rsidRPr="00C0258A" w:rsidRDefault="00EA4E4A" w:rsidP="00FF426B">
      <w:pPr>
        <w:spacing w:line="360" w:lineRule="auto"/>
        <w:contextualSpacing/>
        <w:jc w:val="both"/>
        <w:rPr>
          <w:rFonts w:ascii="Palatino Linotype" w:hAnsi="Palatino Linotype" w:cs="Tahoma"/>
          <w:b/>
          <w:sz w:val="22"/>
          <w:szCs w:val="22"/>
          <w:lang w:val="pt-BR"/>
        </w:rPr>
      </w:pPr>
    </w:p>
    <w:p w14:paraId="1AA671CE" w14:textId="77777777" w:rsidR="00EA4E4A" w:rsidRPr="00C0258A" w:rsidRDefault="00EA4E4A" w:rsidP="00342378">
      <w:pPr>
        <w:pStyle w:val="Ttulo2"/>
        <w:rPr>
          <w:rFonts w:ascii="Palatino Linotype" w:hAnsi="Palatino Linotype"/>
          <w:b/>
          <w:sz w:val="22"/>
          <w:szCs w:val="22"/>
        </w:rPr>
      </w:pPr>
      <w:bookmarkStart w:id="17" w:name="_Toc196923905"/>
      <w:r w:rsidRPr="00C0258A">
        <w:rPr>
          <w:rFonts w:ascii="Palatino Linotype" w:eastAsia="Calibri" w:hAnsi="Palatino Linotype"/>
          <w:b/>
          <w:color w:val="auto"/>
          <w:sz w:val="22"/>
          <w:szCs w:val="22"/>
          <w:lang w:eastAsia="es-MX"/>
        </w:rPr>
        <w:t xml:space="preserve">PRIMERO. </w:t>
      </w:r>
      <w:r w:rsidRPr="00C0258A">
        <w:rPr>
          <w:rFonts w:ascii="Palatino Linotype" w:hAnsi="Palatino Linotype"/>
          <w:b/>
          <w:color w:val="auto"/>
          <w:sz w:val="22"/>
          <w:szCs w:val="22"/>
        </w:rPr>
        <w:t>Competencia</w:t>
      </w:r>
      <w:bookmarkEnd w:id="17"/>
    </w:p>
    <w:p w14:paraId="7E68A082" w14:textId="77777777" w:rsidR="00EA4E4A" w:rsidRPr="00C0258A"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0EE28FAB" w14:textId="77777777" w:rsidR="005C0E48" w:rsidRPr="00C0258A" w:rsidRDefault="005C0E48" w:rsidP="005C0E48">
      <w:pPr>
        <w:spacing w:line="360" w:lineRule="auto"/>
        <w:jc w:val="both"/>
        <w:rPr>
          <w:rFonts w:ascii="Palatino Linotype" w:eastAsia="Calibri" w:hAnsi="Palatino Linotype" w:cs="Tahoma"/>
          <w:color w:val="000000"/>
          <w:sz w:val="22"/>
          <w:szCs w:val="22"/>
          <w:lang w:eastAsia="es-MX"/>
        </w:rPr>
      </w:pPr>
      <w:r w:rsidRPr="00C0258A">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4AE5117" w14:textId="77777777" w:rsidR="00F66601" w:rsidRPr="00C0258A" w:rsidRDefault="00F66601" w:rsidP="00FF426B">
      <w:pPr>
        <w:spacing w:line="360" w:lineRule="auto"/>
        <w:jc w:val="both"/>
        <w:rPr>
          <w:rFonts w:ascii="Palatino Linotype" w:hAnsi="Palatino Linotype" w:cs="Tahoma"/>
          <w:sz w:val="22"/>
          <w:szCs w:val="22"/>
          <w:shd w:val="clear" w:color="auto" w:fill="FFFFFF"/>
        </w:rPr>
      </w:pPr>
    </w:p>
    <w:p w14:paraId="4E699B26" w14:textId="77777777" w:rsidR="00CE0B4C" w:rsidRPr="00C0258A" w:rsidRDefault="00CE0B4C" w:rsidP="00342378">
      <w:pPr>
        <w:pStyle w:val="Ttulo2"/>
        <w:rPr>
          <w:rFonts w:ascii="Palatino Linotype" w:eastAsia="Calibri" w:hAnsi="Palatino Linotype"/>
          <w:b/>
          <w:color w:val="auto"/>
          <w:sz w:val="22"/>
          <w:szCs w:val="22"/>
          <w:lang w:eastAsia="es-MX"/>
        </w:rPr>
      </w:pPr>
      <w:bookmarkStart w:id="18" w:name="_Toc196923906"/>
      <w:r w:rsidRPr="00C0258A">
        <w:rPr>
          <w:rFonts w:ascii="Palatino Linotype" w:eastAsia="Calibri" w:hAnsi="Palatino Linotype"/>
          <w:b/>
          <w:color w:val="auto"/>
          <w:sz w:val="22"/>
          <w:szCs w:val="22"/>
          <w:lang w:eastAsia="es-MX"/>
        </w:rPr>
        <w:t>SEGUNDO. Causales de improcedencia y sobreseimiento</w:t>
      </w:r>
      <w:bookmarkEnd w:id="18"/>
    </w:p>
    <w:p w14:paraId="4471D8B2" w14:textId="77777777" w:rsidR="00566562" w:rsidRPr="00C0258A"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E9300F9" w14:textId="77777777" w:rsidR="00CE0B4C" w:rsidRPr="00C0258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0258A">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w:t>
      </w:r>
      <w:r w:rsidRPr="00C0258A">
        <w:rPr>
          <w:rFonts w:ascii="Palatino Linotype" w:eastAsia="Calibri" w:hAnsi="Palatino Linotype" w:cs="Tahoma"/>
          <w:color w:val="000000"/>
          <w:sz w:val="22"/>
          <w:szCs w:val="22"/>
          <w:lang w:eastAsia="es-MX"/>
        </w:rPr>
        <w:lastRenderedPageBreak/>
        <w:t>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8994844" w14:textId="77777777" w:rsidR="00CE0B4C" w:rsidRPr="00C0258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B76438D" w14:textId="77777777" w:rsidR="00CE0B4C" w:rsidRPr="00C0258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0258A">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30A52D0" w14:textId="77777777" w:rsidR="00BF4B55" w:rsidRPr="00C0258A"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E17C030" w14:textId="77777777" w:rsidR="00CE0B4C" w:rsidRPr="00C0258A" w:rsidRDefault="00CE0B4C" w:rsidP="00342378">
      <w:pPr>
        <w:pStyle w:val="Ttulo3"/>
        <w:rPr>
          <w:rFonts w:ascii="Palatino Linotype" w:eastAsia="Calibri" w:hAnsi="Palatino Linotype" w:cs="Arial"/>
          <w:b/>
          <w:color w:val="auto"/>
          <w:sz w:val="22"/>
          <w:szCs w:val="22"/>
          <w:lang w:eastAsia="es-ES_tradnl"/>
        </w:rPr>
      </w:pPr>
      <w:bookmarkStart w:id="19" w:name="_Toc196923907"/>
      <w:r w:rsidRPr="00C0258A">
        <w:rPr>
          <w:rFonts w:ascii="Palatino Linotype" w:eastAsia="Calibri" w:hAnsi="Palatino Linotype" w:cs="Arial"/>
          <w:b/>
          <w:color w:val="auto"/>
          <w:sz w:val="22"/>
          <w:szCs w:val="22"/>
          <w:lang w:eastAsia="es-ES_tradnl"/>
        </w:rPr>
        <w:t>Causales de sobreseimiento</w:t>
      </w:r>
      <w:bookmarkEnd w:id="19"/>
    </w:p>
    <w:p w14:paraId="7034EE57" w14:textId="77777777" w:rsidR="00CE0B4C" w:rsidRPr="00C0258A" w:rsidRDefault="00CE0B4C" w:rsidP="00FF426B">
      <w:pPr>
        <w:spacing w:line="360" w:lineRule="auto"/>
        <w:jc w:val="both"/>
        <w:rPr>
          <w:rFonts w:ascii="Palatino Linotype" w:eastAsia="Calibri" w:hAnsi="Palatino Linotype" w:cs="Tahoma"/>
          <w:sz w:val="22"/>
          <w:szCs w:val="22"/>
          <w:lang w:eastAsia="es-ES_tradnl"/>
        </w:rPr>
      </w:pPr>
    </w:p>
    <w:p w14:paraId="39A87804" w14:textId="77777777" w:rsidR="00CE0B4C" w:rsidRPr="00C0258A" w:rsidRDefault="00CE0B4C" w:rsidP="00FF426B">
      <w:pPr>
        <w:spacing w:line="360" w:lineRule="auto"/>
        <w:jc w:val="both"/>
        <w:rPr>
          <w:rFonts w:ascii="Palatino Linotype" w:eastAsia="Calibri" w:hAnsi="Palatino Linotype" w:cs="Tahoma"/>
          <w:sz w:val="22"/>
          <w:szCs w:val="22"/>
          <w:lang w:eastAsia="es-ES_tradnl"/>
        </w:rPr>
      </w:pPr>
      <w:r w:rsidRPr="00C0258A">
        <w:rPr>
          <w:rFonts w:ascii="Palatino Linotype" w:eastAsia="Calibri" w:hAnsi="Palatino Linotype" w:cs="Tahoma"/>
          <w:sz w:val="22"/>
          <w:szCs w:val="22"/>
          <w:lang w:eastAsia="es-ES_tradnl"/>
        </w:rPr>
        <w:t>Por lo que hace a las causales de sobreseimiento, del análisis realizado por este Instituto, se advierte que</w:t>
      </w:r>
      <w:r w:rsidRPr="00C0258A">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C0258A">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C0258A">
        <w:rPr>
          <w:rFonts w:ascii="Palatino Linotype" w:eastAsia="Calibri" w:hAnsi="Palatino Linotype" w:cs="Tahoma"/>
          <w:bCs/>
          <w:sz w:val="22"/>
          <w:szCs w:val="22"/>
          <w:lang w:eastAsia="es-ES_tradnl"/>
        </w:rPr>
        <w:t xml:space="preserve">Por tales motivos, </w:t>
      </w:r>
      <w:r w:rsidRPr="00C0258A">
        <w:rPr>
          <w:rFonts w:ascii="Palatino Linotype" w:eastAsia="Calibri" w:hAnsi="Palatino Linotype" w:cs="Tahoma"/>
          <w:sz w:val="22"/>
          <w:szCs w:val="22"/>
          <w:lang w:eastAsia="es-ES_tradnl"/>
        </w:rPr>
        <w:t xml:space="preserve">se considera procedente entrar al fondo del presente asunto. </w:t>
      </w:r>
    </w:p>
    <w:p w14:paraId="0F110766" w14:textId="77777777" w:rsidR="00472490" w:rsidRPr="00C0258A" w:rsidRDefault="00472490" w:rsidP="00FF426B">
      <w:pPr>
        <w:spacing w:line="360" w:lineRule="auto"/>
        <w:jc w:val="both"/>
        <w:rPr>
          <w:rFonts w:ascii="Palatino Linotype" w:eastAsia="Calibri" w:hAnsi="Palatino Linotype" w:cs="Tahoma"/>
          <w:sz w:val="22"/>
          <w:szCs w:val="22"/>
          <w:lang w:eastAsia="es-ES_tradnl"/>
        </w:rPr>
      </w:pPr>
    </w:p>
    <w:p w14:paraId="1B5594A5" w14:textId="77777777" w:rsidR="00CE0B4C" w:rsidRPr="00C0258A" w:rsidRDefault="00CE0B4C" w:rsidP="00FF5303">
      <w:pPr>
        <w:pStyle w:val="Ttulo2"/>
        <w:rPr>
          <w:rFonts w:ascii="Palatino Linotype" w:eastAsia="Calibri" w:hAnsi="Palatino Linotype"/>
          <w:b/>
          <w:color w:val="auto"/>
          <w:sz w:val="22"/>
          <w:lang w:val="es-ES" w:eastAsia="es-ES_tradnl"/>
        </w:rPr>
      </w:pPr>
      <w:bookmarkStart w:id="20" w:name="_Toc196923908"/>
      <w:r w:rsidRPr="00C0258A">
        <w:rPr>
          <w:rFonts w:ascii="Palatino Linotype" w:eastAsia="Calibri" w:hAnsi="Palatino Linotype"/>
          <w:b/>
          <w:color w:val="auto"/>
          <w:sz w:val="22"/>
          <w:lang w:eastAsia="es-ES_tradnl"/>
        </w:rPr>
        <w:t>TERCERO. Determinación de la Controversia</w:t>
      </w:r>
      <w:bookmarkEnd w:id="20"/>
    </w:p>
    <w:p w14:paraId="3D344772" w14:textId="77777777" w:rsidR="00CE0B4C" w:rsidRPr="00C0258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B7E64DD" w14:textId="08B0E311" w:rsidR="000E4DD0" w:rsidRPr="00C0258A" w:rsidRDefault="00CE0B4C" w:rsidP="00556012">
      <w:pPr>
        <w:tabs>
          <w:tab w:val="left" w:pos="4962"/>
        </w:tabs>
        <w:spacing w:line="360" w:lineRule="auto"/>
        <w:jc w:val="both"/>
        <w:rPr>
          <w:rFonts w:ascii="Palatino Linotype" w:eastAsia="Calibri" w:hAnsi="Palatino Linotype" w:cs="Tahoma"/>
          <w:iCs/>
          <w:sz w:val="22"/>
          <w:szCs w:val="22"/>
          <w:lang w:val="es-ES" w:eastAsia="es-ES_tradnl"/>
        </w:rPr>
      </w:pPr>
      <w:r w:rsidRPr="00C0258A">
        <w:rPr>
          <w:rFonts w:ascii="Palatino Linotype" w:eastAsia="Calibri" w:hAnsi="Palatino Linotype" w:cs="Tahoma"/>
          <w:iCs/>
          <w:sz w:val="22"/>
          <w:szCs w:val="22"/>
          <w:lang w:val="es-ES" w:eastAsia="es-ES_tradnl"/>
        </w:rPr>
        <w:lastRenderedPageBreak/>
        <w:t xml:space="preserve">Una vez realizado el estudio de las constancias que integran el expediente en que se actúa, se desprende que el </w:t>
      </w:r>
      <w:r w:rsidR="00F805F6" w:rsidRPr="00C0258A">
        <w:rPr>
          <w:rFonts w:ascii="Palatino Linotype" w:eastAsia="Calibri" w:hAnsi="Palatino Linotype" w:cs="Tahoma"/>
          <w:iCs/>
          <w:sz w:val="22"/>
          <w:szCs w:val="22"/>
          <w:lang w:val="es-ES" w:eastAsia="es-ES_tradnl"/>
        </w:rPr>
        <w:t xml:space="preserve">Particular </w:t>
      </w:r>
      <w:r w:rsidRPr="00C0258A">
        <w:rPr>
          <w:rFonts w:ascii="Palatino Linotype" w:eastAsia="Calibri" w:hAnsi="Palatino Linotype" w:cs="Tahoma"/>
          <w:iCs/>
          <w:sz w:val="22"/>
          <w:szCs w:val="22"/>
          <w:lang w:val="es-ES" w:eastAsia="es-ES_tradnl"/>
        </w:rPr>
        <w:t>solicitó a</w:t>
      </w:r>
      <w:r w:rsidR="00212285" w:rsidRPr="00C0258A">
        <w:rPr>
          <w:rFonts w:ascii="Palatino Linotype" w:eastAsia="Calibri" w:hAnsi="Palatino Linotype" w:cs="Tahoma"/>
          <w:iCs/>
          <w:sz w:val="22"/>
          <w:szCs w:val="22"/>
          <w:lang w:val="es-ES" w:eastAsia="es-ES_tradnl"/>
        </w:rPr>
        <w:t>l</w:t>
      </w:r>
      <w:r w:rsidR="0003473A" w:rsidRPr="00C0258A">
        <w:rPr>
          <w:rFonts w:ascii="Palatino Linotype" w:eastAsia="Calibri" w:hAnsi="Palatino Linotype" w:cs="Tahoma"/>
          <w:iCs/>
          <w:sz w:val="22"/>
          <w:szCs w:val="22"/>
          <w:lang w:val="es-ES" w:eastAsia="es-ES_tradnl"/>
        </w:rPr>
        <w:t xml:space="preserve"> </w:t>
      </w:r>
      <w:r w:rsidR="001215F0" w:rsidRPr="00C0258A">
        <w:rPr>
          <w:rFonts w:ascii="Palatino Linotype" w:eastAsia="Calibri" w:hAnsi="Palatino Linotype" w:cs="Tahoma"/>
          <w:iCs/>
          <w:sz w:val="22"/>
          <w:szCs w:val="22"/>
          <w:lang w:val="es-ES" w:eastAsia="es-ES_tradnl"/>
        </w:rPr>
        <w:t>Ayuntamiento de Toluca</w:t>
      </w:r>
      <w:r w:rsidRPr="00C0258A">
        <w:rPr>
          <w:rFonts w:ascii="Palatino Linotype" w:eastAsia="Calibri" w:hAnsi="Palatino Linotype" w:cs="Tahoma"/>
          <w:iCs/>
          <w:sz w:val="22"/>
          <w:szCs w:val="22"/>
          <w:lang w:val="es-ES" w:eastAsia="es-ES_tradnl"/>
        </w:rPr>
        <w:t>,</w:t>
      </w:r>
      <w:r w:rsidR="000E4DD0" w:rsidRPr="00C0258A">
        <w:rPr>
          <w:rFonts w:ascii="Palatino Linotype" w:eastAsia="Calibri" w:hAnsi="Palatino Linotype" w:cs="Tahoma"/>
          <w:iCs/>
          <w:sz w:val="22"/>
          <w:szCs w:val="22"/>
          <w:lang w:val="es-ES" w:eastAsia="es-ES_tradnl"/>
        </w:rPr>
        <w:t xml:space="preserve"> del negocio denominado “Talachera Sí Voy”, ubicado en Paseo Acacias manzana 2 lote 1 casa 102 del Conjunto Urbano Sauces, Delegación Sauces 48, Unidad Territorial Básica I, Clave Única Municipal 480A.  </w:t>
      </w:r>
      <w:r w:rsidR="000A682D" w:rsidRPr="00C0258A">
        <w:rPr>
          <w:rFonts w:ascii="Palatino Linotype" w:eastAsia="Calibri" w:hAnsi="Palatino Linotype" w:cs="Tahoma"/>
          <w:iCs/>
          <w:sz w:val="22"/>
          <w:szCs w:val="22"/>
          <w:lang w:val="es-ES" w:eastAsia="es-ES_tradnl"/>
        </w:rPr>
        <w:t xml:space="preserve"> </w:t>
      </w:r>
      <w:r w:rsidR="000E4DD0" w:rsidRPr="00C0258A">
        <w:rPr>
          <w:rFonts w:ascii="Palatino Linotype" w:eastAsia="Calibri" w:hAnsi="Palatino Linotype" w:cs="Tahoma"/>
          <w:iCs/>
          <w:sz w:val="22"/>
          <w:szCs w:val="22"/>
          <w:lang w:val="es-ES" w:eastAsia="es-ES_tradnl"/>
        </w:rPr>
        <w:t>lo siguiente:</w:t>
      </w:r>
    </w:p>
    <w:p w14:paraId="3B4FAB38" w14:textId="77777777" w:rsidR="000E4DD0" w:rsidRPr="00C0258A" w:rsidRDefault="000E4DD0" w:rsidP="00556012">
      <w:pPr>
        <w:tabs>
          <w:tab w:val="left" w:pos="4962"/>
        </w:tabs>
        <w:spacing w:line="360" w:lineRule="auto"/>
        <w:jc w:val="both"/>
        <w:rPr>
          <w:rFonts w:ascii="Palatino Linotype" w:eastAsia="Calibri" w:hAnsi="Palatino Linotype" w:cs="Tahoma"/>
          <w:iCs/>
          <w:sz w:val="22"/>
          <w:szCs w:val="22"/>
          <w:lang w:val="es-ES" w:eastAsia="es-ES_tradnl"/>
        </w:rPr>
      </w:pPr>
    </w:p>
    <w:p w14:paraId="061C2332" w14:textId="6BBAF277" w:rsidR="000E4DD0" w:rsidRPr="00C0258A" w:rsidRDefault="00537DC5" w:rsidP="000E4DD0">
      <w:pPr>
        <w:pStyle w:val="Prrafodelista"/>
        <w:numPr>
          <w:ilvl w:val="0"/>
          <w:numId w:val="44"/>
        </w:numPr>
        <w:tabs>
          <w:tab w:val="left" w:pos="4962"/>
        </w:tabs>
        <w:spacing w:line="360" w:lineRule="auto"/>
        <w:jc w:val="both"/>
        <w:rPr>
          <w:rFonts w:ascii="Palatino Linotype" w:eastAsia="Calibri" w:hAnsi="Palatino Linotype" w:cs="Tahoma"/>
          <w:iCs/>
          <w:szCs w:val="22"/>
          <w:lang w:val="es-ES" w:eastAsia="es-ES_tradnl"/>
        </w:rPr>
      </w:pPr>
      <w:r w:rsidRPr="00C0258A">
        <w:rPr>
          <w:rFonts w:ascii="Palatino Linotype" w:eastAsia="Calibri" w:hAnsi="Palatino Linotype" w:cs="Tahoma"/>
          <w:iCs/>
          <w:szCs w:val="22"/>
          <w:lang w:val="es-ES" w:eastAsia="es-ES_tradnl"/>
        </w:rPr>
        <w:t>C</w:t>
      </w:r>
      <w:r w:rsidR="000E4DD0" w:rsidRPr="00C0258A">
        <w:rPr>
          <w:rFonts w:ascii="Palatino Linotype" w:eastAsia="Calibri" w:hAnsi="Palatino Linotype" w:cs="Tahoma"/>
          <w:iCs/>
          <w:szCs w:val="22"/>
          <w:lang w:val="es-ES" w:eastAsia="es-ES_tradnl"/>
        </w:rPr>
        <w:t xml:space="preserve">opia del Permiso y/o Licencia de Funcionamiento </w:t>
      </w:r>
    </w:p>
    <w:p w14:paraId="25E93472" w14:textId="2628399A" w:rsidR="000E4DD0" w:rsidRPr="00C0258A" w:rsidRDefault="00537DC5" w:rsidP="000E4DD0">
      <w:pPr>
        <w:pStyle w:val="Prrafodelista"/>
        <w:numPr>
          <w:ilvl w:val="0"/>
          <w:numId w:val="44"/>
        </w:numPr>
        <w:tabs>
          <w:tab w:val="left" w:pos="4962"/>
        </w:tabs>
        <w:spacing w:line="360" w:lineRule="auto"/>
        <w:jc w:val="both"/>
        <w:rPr>
          <w:rFonts w:ascii="Palatino Linotype" w:eastAsia="Calibri" w:hAnsi="Palatino Linotype" w:cs="Tahoma"/>
          <w:iCs/>
          <w:szCs w:val="22"/>
          <w:lang w:val="es-ES" w:eastAsia="es-ES_tradnl"/>
        </w:rPr>
      </w:pPr>
      <w:r w:rsidRPr="00C0258A">
        <w:rPr>
          <w:rFonts w:ascii="Palatino Linotype" w:eastAsia="Calibri" w:hAnsi="Palatino Linotype" w:cs="Tahoma"/>
          <w:iCs/>
          <w:szCs w:val="22"/>
          <w:lang w:val="es-ES" w:eastAsia="es-ES_tradnl"/>
        </w:rPr>
        <w:t>C</w:t>
      </w:r>
      <w:r w:rsidR="000E4DD0" w:rsidRPr="00C0258A">
        <w:rPr>
          <w:rFonts w:ascii="Palatino Linotype" w:eastAsia="Calibri" w:hAnsi="Palatino Linotype" w:cs="Tahoma"/>
          <w:iCs/>
          <w:szCs w:val="22"/>
          <w:lang w:val="es-ES" w:eastAsia="es-ES_tradnl"/>
        </w:rPr>
        <w:t xml:space="preserve">opia del documento de autorización del cambio de uso de suelo, para pasar de uso habitacional al de uso comercial. </w:t>
      </w:r>
    </w:p>
    <w:p w14:paraId="47FED222" w14:textId="694F1C99" w:rsidR="000E4DD0" w:rsidRPr="00C0258A" w:rsidRDefault="009C0AB7" w:rsidP="000E4DD0">
      <w:pPr>
        <w:pStyle w:val="Prrafodelista"/>
        <w:numPr>
          <w:ilvl w:val="0"/>
          <w:numId w:val="44"/>
        </w:numPr>
        <w:tabs>
          <w:tab w:val="left" w:pos="4962"/>
        </w:tabs>
        <w:spacing w:line="360" w:lineRule="auto"/>
        <w:jc w:val="both"/>
        <w:rPr>
          <w:rFonts w:ascii="Palatino Linotype" w:eastAsia="Calibri" w:hAnsi="Palatino Linotype" w:cs="Tahoma"/>
          <w:iCs/>
          <w:szCs w:val="22"/>
          <w:lang w:val="es-ES" w:eastAsia="es-ES_tradnl"/>
        </w:rPr>
      </w:pPr>
      <w:r w:rsidRPr="00C0258A">
        <w:rPr>
          <w:rFonts w:ascii="Palatino Linotype" w:eastAsia="Calibri" w:hAnsi="Palatino Linotype" w:cs="Tahoma"/>
          <w:iCs/>
          <w:szCs w:val="22"/>
          <w:lang w:val="es-ES" w:eastAsia="es-ES_tradnl"/>
        </w:rPr>
        <w:t>C</w:t>
      </w:r>
      <w:r w:rsidR="000E4DD0" w:rsidRPr="00C0258A">
        <w:rPr>
          <w:rFonts w:ascii="Palatino Linotype" w:eastAsia="Calibri" w:hAnsi="Palatino Linotype" w:cs="Tahoma"/>
          <w:iCs/>
          <w:szCs w:val="22"/>
          <w:lang w:val="es-ES" w:eastAsia="es-ES_tradnl"/>
        </w:rPr>
        <w:t xml:space="preserve">opia de la Licencia de Construcción autorizada para la modificación de la casa habitación </w:t>
      </w:r>
    </w:p>
    <w:p w14:paraId="30531821" w14:textId="2B0DF5DF" w:rsidR="000E4DD0" w:rsidRPr="00C0258A" w:rsidRDefault="009C0AB7" w:rsidP="000E4DD0">
      <w:pPr>
        <w:pStyle w:val="Prrafodelista"/>
        <w:numPr>
          <w:ilvl w:val="0"/>
          <w:numId w:val="44"/>
        </w:numPr>
        <w:tabs>
          <w:tab w:val="left" w:pos="4962"/>
        </w:tabs>
        <w:spacing w:line="360" w:lineRule="auto"/>
        <w:jc w:val="both"/>
        <w:rPr>
          <w:rFonts w:ascii="Palatino Linotype" w:eastAsia="Calibri" w:hAnsi="Palatino Linotype" w:cs="Tahoma"/>
          <w:iCs/>
          <w:szCs w:val="22"/>
          <w:lang w:val="es-ES" w:eastAsia="es-ES_tradnl"/>
        </w:rPr>
      </w:pPr>
      <w:r w:rsidRPr="00C0258A">
        <w:rPr>
          <w:rFonts w:ascii="Palatino Linotype" w:eastAsia="Calibri" w:hAnsi="Palatino Linotype" w:cs="Tahoma"/>
          <w:iCs/>
          <w:szCs w:val="22"/>
          <w:lang w:val="es-ES" w:eastAsia="es-ES_tradnl"/>
        </w:rPr>
        <w:t>C</w:t>
      </w:r>
      <w:r w:rsidR="000E4DD0" w:rsidRPr="00C0258A">
        <w:rPr>
          <w:rFonts w:ascii="Palatino Linotype" w:eastAsia="Calibri" w:hAnsi="Palatino Linotype" w:cs="Tahoma"/>
          <w:iCs/>
          <w:szCs w:val="22"/>
          <w:lang w:val="es-ES" w:eastAsia="es-ES_tradnl"/>
        </w:rPr>
        <w:t xml:space="preserve">opia del documento en donde fue actualizado el valor catastral por la modificación realizada al pasar de uso habitacional al de uso comercial. Así también, se solicita copia de la boleta predial, en su versión pública, en donde se verifique que dicho impuesto se encuentra al corriente y con la modificación de su valor catastral actual. </w:t>
      </w:r>
    </w:p>
    <w:p w14:paraId="06FDF4BF" w14:textId="360AED26" w:rsidR="000A682D" w:rsidRPr="00C0258A" w:rsidRDefault="009C0AB7" w:rsidP="000E4DD0">
      <w:pPr>
        <w:pStyle w:val="Prrafodelista"/>
        <w:numPr>
          <w:ilvl w:val="0"/>
          <w:numId w:val="44"/>
        </w:numPr>
        <w:tabs>
          <w:tab w:val="left" w:pos="4962"/>
        </w:tabs>
        <w:spacing w:line="360" w:lineRule="auto"/>
        <w:jc w:val="both"/>
        <w:rPr>
          <w:rFonts w:ascii="Palatino Linotype" w:eastAsia="Calibri" w:hAnsi="Palatino Linotype" w:cs="Tahoma"/>
          <w:iCs/>
          <w:szCs w:val="22"/>
          <w:lang w:val="es-ES" w:eastAsia="es-ES_tradnl"/>
        </w:rPr>
      </w:pPr>
      <w:bookmarkStart w:id="21" w:name="_Hlk195201373"/>
      <w:r w:rsidRPr="00C0258A">
        <w:rPr>
          <w:rFonts w:ascii="Palatino Linotype" w:eastAsia="Calibri" w:hAnsi="Palatino Linotype" w:cs="Tahoma"/>
          <w:iCs/>
          <w:szCs w:val="22"/>
          <w:lang w:val="es-ES" w:eastAsia="es-ES_tradnl"/>
        </w:rPr>
        <w:t>C</w:t>
      </w:r>
      <w:r w:rsidR="000E4DD0" w:rsidRPr="00C0258A">
        <w:rPr>
          <w:rFonts w:ascii="Palatino Linotype" w:eastAsia="Calibri" w:hAnsi="Palatino Linotype" w:cs="Tahoma"/>
          <w:iCs/>
          <w:szCs w:val="22"/>
          <w:lang w:val="es-ES" w:eastAsia="es-ES_tradnl"/>
        </w:rPr>
        <w:t>opia del documento en donde se da constancia de la clausura definitiva y permanente del comercio, por la violación a los artículos 1,2, 3 y 4, 5, 7 y 10 del Reglamento de Condominio y Administración del Conjunto Urbano Sauces integrado a cada una de las escrituras públicas del mismo y las demás disposiciones normativas jurídicas que le apliquen.</w:t>
      </w:r>
    </w:p>
    <w:bookmarkEnd w:id="21"/>
    <w:p w14:paraId="5C30FBCB" w14:textId="77777777" w:rsidR="000E4DD0" w:rsidRPr="00C0258A" w:rsidRDefault="000E4DD0" w:rsidP="00FF426B">
      <w:pPr>
        <w:tabs>
          <w:tab w:val="left" w:pos="4962"/>
        </w:tabs>
        <w:spacing w:line="360" w:lineRule="auto"/>
        <w:jc w:val="both"/>
        <w:rPr>
          <w:rFonts w:ascii="Palatino Linotype" w:eastAsia="Calibri" w:hAnsi="Palatino Linotype" w:cs="Tahoma"/>
          <w:iCs/>
          <w:sz w:val="22"/>
          <w:szCs w:val="22"/>
          <w:lang w:val="es-ES" w:eastAsia="es-ES_tradnl"/>
        </w:rPr>
      </w:pPr>
    </w:p>
    <w:p w14:paraId="57A2E64D" w14:textId="7D2731F4" w:rsidR="00A511BB" w:rsidRPr="00C0258A"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C0258A">
        <w:rPr>
          <w:rFonts w:ascii="Palatino Linotype" w:eastAsia="Calibri" w:hAnsi="Palatino Linotype" w:cs="Tahoma"/>
          <w:iCs/>
          <w:sz w:val="22"/>
          <w:szCs w:val="22"/>
          <w:lang w:val="es-ES" w:eastAsia="es-ES_tradnl"/>
        </w:rPr>
        <w:t>E</w:t>
      </w:r>
      <w:r w:rsidR="0044640B" w:rsidRPr="00C0258A">
        <w:rPr>
          <w:rFonts w:ascii="Palatino Linotype" w:eastAsia="Calibri" w:hAnsi="Palatino Linotype" w:cs="Tahoma"/>
          <w:iCs/>
          <w:sz w:val="22"/>
          <w:szCs w:val="22"/>
          <w:lang w:val="es-ES" w:eastAsia="es-ES_tradnl"/>
        </w:rPr>
        <w:t>n respuesta</w:t>
      </w:r>
      <w:r w:rsidR="007F34CB" w:rsidRPr="00C0258A">
        <w:rPr>
          <w:rFonts w:ascii="Palatino Linotype" w:eastAsia="Calibri" w:hAnsi="Palatino Linotype" w:cs="Tahoma"/>
          <w:iCs/>
          <w:sz w:val="22"/>
          <w:szCs w:val="22"/>
          <w:lang w:val="es-ES" w:eastAsia="es-ES_tradnl"/>
        </w:rPr>
        <w:t>,</w:t>
      </w:r>
      <w:r w:rsidR="0044640B" w:rsidRPr="00C0258A">
        <w:rPr>
          <w:rFonts w:ascii="Palatino Linotype" w:eastAsia="Calibri" w:hAnsi="Palatino Linotype" w:cs="Tahoma"/>
          <w:iCs/>
          <w:sz w:val="22"/>
          <w:szCs w:val="22"/>
          <w:lang w:val="es-ES" w:eastAsia="es-ES_tradnl"/>
        </w:rPr>
        <w:t xml:space="preserve"> el Sujeto Obligado</w:t>
      </w:r>
      <w:r w:rsidR="009C0AB7" w:rsidRPr="00C0258A">
        <w:rPr>
          <w:rFonts w:ascii="Palatino Linotype" w:eastAsia="Calibri" w:hAnsi="Palatino Linotype" w:cs="Tahoma"/>
          <w:iCs/>
          <w:sz w:val="22"/>
          <w:szCs w:val="22"/>
          <w:lang w:val="es-ES" w:eastAsia="es-ES_tradnl"/>
        </w:rPr>
        <w:t xml:space="preserve"> señaló no contar con la información solicitada</w:t>
      </w:r>
      <w:r w:rsidR="0018547D" w:rsidRPr="00C0258A">
        <w:rPr>
          <w:rFonts w:ascii="Palatino Linotype" w:eastAsia="Calibri" w:hAnsi="Palatino Linotype" w:cs="Tahoma"/>
          <w:iCs/>
          <w:sz w:val="22"/>
          <w:szCs w:val="22"/>
          <w:lang w:val="es-ES" w:eastAsia="es-ES_tradnl"/>
        </w:rPr>
        <w:t xml:space="preserve">, </w:t>
      </w:r>
      <w:r w:rsidR="0004574F" w:rsidRPr="00C0258A">
        <w:rPr>
          <w:rFonts w:ascii="Palatino Linotype" w:eastAsia="Calibri" w:hAnsi="Palatino Linotype" w:cs="Tahoma"/>
          <w:iCs/>
          <w:sz w:val="22"/>
          <w:szCs w:val="22"/>
          <w:lang w:val="es-ES" w:eastAsia="es-ES_tradnl"/>
        </w:rPr>
        <w:t xml:space="preserve">derivado de ello </w:t>
      </w:r>
      <w:r w:rsidR="00556012" w:rsidRPr="00C0258A">
        <w:rPr>
          <w:rFonts w:ascii="Palatino Linotype" w:eastAsia="Calibri" w:hAnsi="Palatino Linotype" w:cs="Tahoma"/>
          <w:iCs/>
          <w:sz w:val="22"/>
          <w:szCs w:val="22"/>
          <w:lang w:val="es-ES" w:eastAsia="es-ES_tradnl"/>
        </w:rPr>
        <w:t xml:space="preserve">el Particular se inconformó por </w:t>
      </w:r>
      <w:r w:rsidR="00DA199E" w:rsidRPr="00C0258A">
        <w:rPr>
          <w:rFonts w:ascii="Palatino Linotype" w:eastAsia="Calibri" w:hAnsi="Palatino Linotype" w:cs="Tahoma"/>
          <w:iCs/>
          <w:sz w:val="22"/>
          <w:szCs w:val="22"/>
          <w:lang w:val="es-ES" w:eastAsia="es-ES_tradnl"/>
        </w:rPr>
        <w:t>negarle la información solicitada</w:t>
      </w:r>
      <w:r w:rsidR="00556012" w:rsidRPr="00C0258A">
        <w:rPr>
          <w:rFonts w:ascii="Palatino Linotype" w:eastAsia="Calibri" w:hAnsi="Palatino Linotype" w:cs="Tahoma"/>
          <w:iCs/>
          <w:sz w:val="22"/>
          <w:szCs w:val="22"/>
          <w:lang w:val="es-ES" w:eastAsia="es-ES_tradnl"/>
        </w:rPr>
        <w:t xml:space="preserve">, </w:t>
      </w:r>
      <w:r w:rsidR="00120425" w:rsidRPr="00C0258A">
        <w:rPr>
          <w:rFonts w:ascii="Palatino Linotype" w:eastAsia="Calibri" w:hAnsi="Palatino Linotype" w:cs="Tahoma"/>
          <w:bCs/>
          <w:sz w:val="22"/>
          <w:szCs w:val="22"/>
          <w:lang w:val="es-ES_tradnl" w:eastAsia="en-US"/>
        </w:rPr>
        <w:t xml:space="preserve">así </w:t>
      </w:r>
      <w:r w:rsidR="00A511BB" w:rsidRPr="00C0258A">
        <w:rPr>
          <w:rFonts w:ascii="Palatino Linotype" w:eastAsia="Calibri" w:hAnsi="Palatino Linotype" w:cs="Tahoma"/>
          <w:color w:val="000000"/>
          <w:sz w:val="22"/>
          <w:szCs w:val="22"/>
        </w:rPr>
        <w:t xml:space="preserve">en el asunto que nos ocupa se actualiza la causal de procedencia señalada en el </w:t>
      </w:r>
      <w:r w:rsidR="00A511BB" w:rsidRPr="00C0258A">
        <w:rPr>
          <w:rFonts w:ascii="Palatino Linotype" w:eastAsia="Calibri" w:hAnsi="Palatino Linotype" w:cs="Tahoma"/>
          <w:sz w:val="22"/>
          <w:szCs w:val="22"/>
        </w:rPr>
        <w:t xml:space="preserve">artículo 179, </w:t>
      </w:r>
      <w:r w:rsidR="005638D9" w:rsidRPr="00C0258A">
        <w:rPr>
          <w:rFonts w:ascii="Palatino Linotype" w:eastAsia="Calibri" w:hAnsi="Palatino Linotype" w:cs="Tahoma"/>
          <w:sz w:val="22"/>
          <w:szCs w:val="22"/>
        </w:rPr>
        <w:t xml:space="preserve">fracción </w:t>
      </w:r>
      <w:r w:rsidR="000A682D" w:rsidRPr="00C0258A">
        <w:rPr>
          <w:rFonts w:ascii="Palatino Linotype" w:eastAsia="Calibri" w:hAnsi="Palatino Linotype" w:cs="Tahoma"/>
          <w:sz w:val="22"/>
          <w:szCs w:val="22"/>
        </w:rPr>
        <w:t>I</w:t>
      </w:r>
      <w:r w:rsidR="00E52703" w:rsidRPr="00C0258A">
        <w:rPr>
          <w:rFonts w:ascii="Palatino Linotype" w:eastAsia="Calibri" w:hAnsi="Palatino Linotype" w:cs="Tahoma"/>
          <w:sz w:val="22"/>
          <w:szCs w:val="22"/>
        </w:rPr>
        <w:t>,</w:t>
      </w:r>
      <w:r w:rsidR="00A511BB" w:rsidRPr="00C0258A">
        <w:rPr>
          <w:rFonts w:ascii="Palatino Linotype" w:eastAsia="Calibri" w:hAnsi="Palatino Linotype" w:cs="Tahoma"/>
          <w:sz w:val="22"/>
          <w:szCs w:val="22"/>
        </w:rPr>
        <w:t xml:space="preserve"> de la Ley de la materia</w:t>
      </w:r>
      <w:r w:rsidR="00A511BB" w:rsidRPr="00C0258A">
        <w:rPr>
          <w:rFonts w:ascii="Palatino Linotype" w:eastAsia="Calibri" w:hAnsi="Palatino Linotype" w:cs="Tahoma"/>
          <w:bCs/>
          <w:sz w:val="22"/>
          <w:szCs w:val="22"/>
        </w:rPr>
        <w:t>.</w:t>
      </w:r>
    </w:p>
    <w:p w14:paraId="1F6A0A8A" w14:textId="77777777" w:rsidR="00CE0B4C" w:rsidRPr="00C0258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2231F8F" w14:textId="77777777" w:rsidR="00571944" w:rsidRPr="00C0258A"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C0258A">
        <w:rPr>
          <w:rFonts w:ascii="Palatino Linotype" w:eastAsia="Calibri" w:hAnsi="Palatino Linotype" w:cs="Tahoma"/>
          <w:iCs/>
          <w:sz w:val="22"/>
          <w:szCs w:val="22"/>
          <w:lang w:eastAsia="es-ES_tradnl"/>
        </w:rP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87E791B" w14:textId="77777777" w:rsidR="00FF5303" w:rsidRPr="00C0258A"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06F8D794" w14:textId="77777777" w:rsidR="00CE0B4C" w:rsidRPr="00C0258A" w:rsidRDefault="00CE0B4C" w:rsidP="00FF5303">
      <w:pPr>
        <w:pStyle w:val="Ttulo2"/>
        <w:jc w:val="both"/>
        <w:rPr>
          <w:rFonts w:ascii="Palatino Linotype" w:eastAsia="Calibri" w:hAnsi="Palatino Linotype" w:cs="Arial"/>
          <w:b/>
          <w:color w:val="auto"/>
          <w:sz w:val="22"/>
          <w:lang w:eastAsia="es-ES_tradnl"/>
        </w:rPr>
      </w:pPr>
      <w:bookmarkStart w:id="22" w:name="_Toc196923909"/>
      <w:r w:rsidRPr="00C0258A">
        <w:rPr>
          <w:rFonts w:ascii="Palatino Linotype" w:eastAsia="Calibri" w:hAnsi="Palatino Linotype" w:cs="Arial"/>
          <w:b/>
          <w:color w:val="auto"/>
          <w:sz w:val="22"/>
          <w:lang w:eastAsia="es-ES_tradnl"/>
        </w:rPr>
        <w:t>CUARTO. Marco normativo aplicable en materia de transparencia y acceso a la información pública</w:t>
      </w:r>
      <w:bookmarkEnd w:id="22"/>
    </w:p>
    <w:p w14:paraId="13730948" w14:textId="77777777" w:rsidR="00CE0B4C" w:rsidRPr="00C0258A" w:rsidRDefault="00CE0B4C" w:rsidP="00FF426B">
      <w:pPr>
        <w:spacing w:line="360" w:lineRule="auto"/>
        <w:contextualSpacing/>
        <w:jc w:val="both"/>
        <w:rPr>
          <w:rFonts w:ascii="Palatino Linotype" w:hAnsi="Palatino Linotype" w:cs="Tahoma"/>
          <w:sz w:val="22"/>
          <w:szCs w:val="22"/>
        </w:rPr>
      </w:pPr>
    </w:p>
    <w:p w14:paraId="3F37D1B1" w14:textId="77777777" w:rsidR="00CE0B4C" w:rsidRPr="00C0258A" w:rsidRDefault="00CE0B4C" w:rsidP="00FF426B">
      <w:pPr>
        <w:widowControl w:val="0"/>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El artículo 6°, Apartado A), fracción I</w:t>
      </w:r>
      <w:r w:rsidR="00D63A43" w:rsidRPr="00C0258A">
        <w:rPr>
          <w:rFonts w:ascii="Palatino Linotype" w:hAnsi="Palatino Linotype" w:cs="Tahoma"/>
          <w:sz w:val="22"/>
          <w:szCs w:val="22"/>
        </w:rPr>
        <w:t>,</w:t>
      </w:r>
      <w:r w:rsidRPr="00C0258A">
        <w:rPr>
          <w:rFonts w:ascii="Palatino Linotype" w:hAnsi="Palatino Linotype" w:cs="Tahoma"/>
          <w:sz w:val="22"/>
          <w:szCs w:val="22"/>
        </w:rPr>
        <w:t xml:space="preserve"> de la Constitución Política de los Estados Unidos Mexicanos, establece que toda la información en posesión de cualquier </w:t>
      </w:r>
      <w:r w:rsidR="005A1884" w:rsidRPr="00C0258A">
        <w:rPr>
          <w:rFonts w:ascii="Palatino Linotype" w:hAnsi="Palatino Linotype" w:cs="Tahoma"/>
          <w:sz w:val="22"/>
          <w:szCs w:val="22"/>
        </w:rPr>
        <w:t>autoridad</w:t>
      </w:r>
      <w:r w:rsidRPr="00C0258A">
        <w:rPr>
          <w:rFonts w:ascii="Palatino Linotype" w:hAnsi="Palatino Linotype" w:cs="Tahoma"/>
          <w:sz w:val="22"/>
          <w:szCs w:val="22"/>
        </w:rPr>
        <w:t xml:space="preserve"> es pública y sólo podrá ser reservada temporalmente por razones de interés público.</w:t>
      </w:r>
    </w:p>
    <w:p w14:paraId="5B745887" w14:textId="77777777" w:rsidR="00CE0B4C" w:rsidRPr="00C0258A" w:rsidRDefault="00CE0B4C" w:rsidP="00FF426B">
      <w:pPr>
        <w:spacing w:line="360" w:lineRule="auto"/>
        <w:contextualSpacing/>
        <w:jc w:val="both"/>
        <w:rPr>
          <w:rFonts w:ascii="Palatino Linotype" w:hAnsi="Palatino Linotype" w:cs="Tahoma"/>
          <w:sz w:val="22"/>
          <w:szCs w:val="22"/>
        </w:rPr>
      </w:pPr>
    </w:p>
    <w:p w14:paraId="19751C18" w14:textId="77777777" w:rsidR="00CE0B4C" w:rsidRPr="00C0258A" w:rsidRDefault="00CE0B4C" w:rsidP="00FF426B">
      <w:pPr>
        <w:spacing w:line="360" w:lineRule="auto"/>
        <w:jc w:val="both"/>
        <w:rPr>
          <w:rFonts w:ascii="Palatino Linotype" w:hAnsi="Palatino Linotype" w:cs="Tahoma"/>
          <w:sz w:val="22"/>
          <w:szCs w:val="22"/>
        </w:rPr>
      </w:pPr>
      <w:r w:rsidRPr="00C0258A">
        <w:rPr>
          <w:rFonts w:ascii="Palatino Linotype" w:hAnsi="Palatino Linotype" w:cs="Tahoma"/>
          <w:sz w:val="22"/>
          <w:szCs w:val="22"/>
        </w:rPr>
        <w:t>En materia local, el artículo 5°, fracción I</w:t>
      </w:r>
      <w:r w:rsidR="00002CF8" w:rsidRPr="00C0258A">
        <w:rPr>
          <w:rFonts w:ascii="Palatino Linotype" w:hAnsi="Palatino Linotype" w:cs="Tahoma"/>
          <w:sz w:val="22"/>
          <w:szCs w:val="22"/>
        </w:rPr>
        <w:t>,</w:t>
      </w:r>
      <w:r w:rsidRPr="00C0258A">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CC39185" w14:textId="77777777" w:rsidR="00CE0B4C" w:rsidRPr="00C0258A" w:rsidRDefault="00CE0B4C" w:rsidP="00FF426B">
      <w:pPr>
        <w:spacing w:line="360" w:lineRule="auto"/>
        <w:jc w:val="both"/>
        <w:rPr>
          <w:rFonts w:ascii="Palatino Linotype" w:hAnsi="Palatino Linotype" w:cs="Tahoma"/>
          <w:sz w:val="22"/>
          <w:szCs w:val="22"/>
        </w:rPr>
      </w:pPr>
    </w:p>
    <w:p w14:paraId="35B27C20" w14:textId="77777777" w:rsidR="00CE0B4C" w:rsidRPr="00C0258A" w:rsidRDefault="00CE0B4C" w:rsidP="00FF426B">
      <w:pPr>
        <w:spacing w:line="360" w:lineRule="auto"/>
        <w:jc w:val="both"/>
        <w:rPr>
          <w:rFonts w:ascii="Palatino Linotype" w:hAnsi="Palatino Linotype" w:cs="Tahoma"/>
          <w:sz w:val="22"/>
          <w:szCs w:val="22"/>
        </w:rPr>
      </w:pPr>
      <w:r w:rsidRPr="00C0258A">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B50A52E" w14:textId="77777777" w:rsidR="00CE0B4C" w:rsidRPr="00C0258A" w:rsidRDefault="00CE0B4C" w:rsidP="00FF426B">
      <w:pPr>
        <w:spacing w:line="360" w:lineRule="auto"/>
        <w:jc w:val="both"/>
        <w:rPr>
          <w:rFonts w:ascii="Palatino Linotype" w:hAnsi="Palatino Linotype" w:cs="Tahoma"/>
          <w:sz w:val="22"/>
          <w:szCs w:val="22"/>
        </w:rPr>
      </w:pPr>
    </w:p>
    <w:p w14:paraId="7FDD891C" w14:textId="77777777" w:rsidR="00CE0B4C" w:rsidRPr="00C0258A" w:rsidRDefault="00CE0B4C" w:rsidP="00FF426B">
      <w:pPr>
        <w:spacing w:line="360" w:lineRule="auto"/>
        <w:jc w:val="both"/>
        <w:rPr>
          <w:rFonts w:ascii="Palatino Linotype" w:hAnsi="Palatino Linotype" w:cs="Tahoma"/>
          <w:sz w:val="22"/>
          <w:szCs w:val="22"/>
        </w:rPr>
      </w:pPr>
      <w:r w:rsidRPr="00C0258A">
        <w:rPr>
          <w:rFonts w:ascii="Palatino Linotype" w:hAnsi="Palatino Linotype" w:cs="Tahoma"/>
          <w:sz w:val="22"/>
          <w:szCs w:val="22"/>
        </w:rPr>
        <w:t>El artículo 12, que, quienes generen, recopilen, administren, manejen, procesen, archiven o conserven información pública serán responsables de la misma.</w:t>
      </w:r>
    </w:p>
    <w:p w14:paraId="70E1E83C" w14:textId="77777777" w:rsidR="00EF5683" w:rsidRPr="00C0258A" w:rsidRDefault="00EF5683" w:rsidP="00FF426B">
      <w:pPr>
        <w:spacing w:line="360" w:lineRule="auto"/>
        <w:jc w:val="both"/>
        <w:rPr>
          <w:rFonts w:ascii="Palatino Linotype" w:hAnsi="Palatino Linotype" w:cs="Tahoma"/>
          <w:sz w:val="22"/>
          <w:szCs w:val="22"/>
        </w:rPr>
      </w:pPr>
    </w:p>
    <w:p w14:paraId="259749BF" w14:textId="77777777" w:rsidR="00CE0B4C" w:rsidRPr="00C0258A" w:rsidRDefault="00CE0B4C" w:rsidP="00FF426B">
      <w:pPr>
        <w:spacing w:line="360" w:lineRule="auto"/>
        <w:jc w:val="both"/>
        <w:rPr>
          <w:rFonts w:ascii="Palatino Linotype" w:hAnsi="Palatino Linotype" w:cs="Tahoma"/>
          <w:sz w:val="22"/>
          <w:szCs w:val="22"/>
        </w:rPr>
      </w:pPr>
      <w:r w:rsidRPr="00C0258A">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7F4F948" w14:textId="77777777" w:rsidR="005C0E48" w:rsidRPr="00C0258A" w:rsidRDefault="005C0E48" w:rsidP="00FF426B">
      <w:pPr>
        <w:spacing w:line="360" w:lineRule="auto"/>
        <w:jc w:val="both"/>
        <w:rPr>
          <w:rFonts w:ascii="Palatino Linotype" w:hAnsi="Palatino Linotype" w:cs="Tahoma"/>
          <w:sz w:val="22"/>
          <w:szCs w:val="22"/>
        </w:rPr>
      </w:pPr>
    </w:p>
    <w:p w14:paraId="4C0C1147" w14:textId="77777777" w:rsidR="00CE0B4C" w:rsidRPr="00C0258A" w:rsidRDefault="00CE0B4C" w:rsidP="00FF426B">
      <w:pPr>
        <w:spacing w:line="360" w:lineRule="auto"/>
        <w:jc w:val="both"/>
        <w:rPr>
          <w:rFonts w:ascii="Palatino Linotype" w:hAnsi="Palatino Linotype" w:cs="Tahoma"/>
          <w:sz w:val="22"/>
          <w:szCs w:val="22"/>
        </w:rPr>
      </w:pPr>
      <w:r w:rsidRPr="00C0258A">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5FFADA2" w14:textId="77777777" w:rsidR="00EA1A4A" w:rsidRPr="00C0258A" w:rsidRDefault="00EA1A4A" w:rsidP="00FF426B">
      <w:pPr>
        <w:spacing w:line="360" w:lineRule="auto"/>
        <w:jc w:val="both"/>
        <w:rPr>
          <w:rFonts w:ascii="Palatino Linotype" w:hAnsi="Palatino Linotype" w:cs="Tahoma"/>
          <w:sz w:val="22"/>
          <w:szCs w:val="22"/>
        </w:rPr>
      </w:pPr>
    </w:p>
    <w:p w14:paraId="3CB4D55A" w14:textId="77777777" w:rsidR="00CE0B4C" w:rsidRPr="00C0258A" w:rsidRDefault="00CE0B4C" w:rsidP="00FF5303">
      <w:pPr>
        <w:pStyle w:val="Ttulo2"/>
        <w:rPr>
          <w:rFonts w:ascii="Palatino Linotype" w:hAnsi="Palatino Linotype"/>
          <w:b/>
          <w:color w:val="auto"/>
          <w:sz w:val="22"/>
          <w:lang w:val="es-ES"/>
        </w:rPr>
      </w:pPr>
      <w:bookmarkStart w:id="23" w:name="_Toc196923910"/>
      <w:r w:rsidRPr="00C0258A">
        <w:rPr>
          <w:rFonts w:ascii="Palatino Linotype" w:eastAsia="Calibri" w:hAnsi="Palatino Linotype"/>
          <w:b/>
          <w:color w:val="auto"/>
          <w:sz w:val="22"/>
          <w:lang w:eastAsia="es-ES_tradnl"/>
        </w:rPr>
        <w:t>QUINTO. Estudio de Fondo</w:t>
      </w:r>
      <w:bookmarkEnd w:id="23"/>
    </w:p>
    <w:p w14:paraId="0069ABB3" w14:textId="77777777" w:rsidR="00040101" w:rsidRPr="00C0258A" w:rsidRDefault="00040101" w:rsidP="00FF426B">
      <w:pPr>
        <w:spacing w:line="360" w:lineRule="auto"/>
        <w:ind w:right="-93"/>
        <w:jc w:val="both"/>
        <w:rPr>
          <w:rFonts w:ascii="Palatino Linotype" w:hAnsi="Palatino Linotype" w:cs="Tahoma"/>
          <w:b/>
          <w:sz w:val="22"/>
          <w:szCs w:val="22"/>
          <w:lang w:val="es-ES"/>
        </w:rPr>
      </w:pPr>
    </w:p>
    <w:p w14:paraId="70ECA8DF" w14:textId="77777777" w:rsidR="00696DF3" w:rsidRPr="00C0258A" w:rsidRDefault="00696DF3" w:rsidP="00696DF3">
      <w:pPr>
        <w:spacing w:line="360" w:lineRule="auto"/>
        <w:jc w:val="both"/>
        <w:rPr>
          <w:rFonts w:ascii="Palatino Linotype" w:hAnsi="Palatino Linotype" w:cs="Tahoma"/>
          <w:iCs/>
          <w:sz w:val="22"/>
          <w:szCs w:val="22"/>
          <w:lang w:val="es-ES"/>
        </w:rPr>
      </w:pPr>
      <w:r w:rsidRPr="00C0258A">
        <w:rPr>
          <w:rFonts w:ascii="Palatino Linotype" w:hAnsi="Palatino Linotype" w:cs="Tahoma"/>
          <w:sz w:val="22"/>
          <w:szCs w:val="22"/>
        </w:rPr>
        <w:t>Expuestas las posturas de las partes, se procede al análisis de los agravios hechos valer por la persona Recurrente, concerniente a la clasificación de la información, para lo cual, es necesario señalar</w:t>
      </w:r>
      <w:r w:rsidRPr="00C0258A">
        <w:rPr>
          <w:rFonts w:ascii="Palatino Linotype" w:hAnsi="Palatino Linotype" w:cs="Tahoma"/>
          <w:iCs/>
          <w:sz w:val="22"/>
          <w:szCs w:val="22"/>
          <w:lang w:val="es-ES"/>
        </w:rPr>
        <w:t xml:space="preserve">, sobre la información solicitada, que todos los actos que realicen los sujetos obligados deben estar documentados y, bajo el más alto estándar de transparencia deberán poner toda la información que se encuentre en su posesión, a disposición de los particulares que la soliciten, resulta necesario referir que, el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 </w:t>
      </w:r>
    </w:p>
    <w:p w14:paraId="421771B8" w14:textId="77777777" w:rsidR="00C561E0" w:rsidRPr="00C0258A" w:rsidRDefault="00C561E0" w:rsidP="00696DF3">
      <w:pPr>
        <w:spacing w:line="360" w:lineRule="auto"/>
        <w:jc w:val="both"/>
        <w:rPr>
          <w:rFonts w:ascii="Palatino Linotype" w:hAnsi="Palatino Linotype" w:cs="Tahoma"/>
          <w:iCs/>
          <w:sz w:val="22"/>
          <w:szCs w:val="22"/>
          <w:lang w:val="es-ES"/>
        </w:rPr>
      </w:pPr>
    </w:p>
    <w:p w14:paraId="5F3563AB" w14:textId="77777777" w:rsidR="009C0AB7" w:rsidRPr="00C0258A" w:rsidRDefault="00696DF3" w:rsidP="00673A3B">
      <w:pPr>
        <w:tabs>
          <w:tab w:val="left" w:pos="4962"/>
        </w:tabs>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 xml:space="preserve">Establecido lo anterior, es de recordar que el Particular solicitó </w:t>
      </w:r>
      <w:r w:rsidR="009C0AB7" w:rsidRPr="00C0258A">
        <w:rPr>
          <w:rFonts w:ascii="Palatino Linotype" w:hAnsi="Palatino Linotype" w:cs="Tahoma"/>
          <w:sz w:val="22"/>
          <w:szCs w:val="22"/>
        </w:rPr>
        <w:t>cinco puntos por lo que se proceden a analizar cada uno de ellos</w:t>
      </w:r>
    </w:p>
    <w:p w14:paraId="397ED85F" w14:textId="77777777" w:rsidR="009C0AB7" w:rsidRPr="00C0258A" w:rsidRDefault="009C0AB7" w:rsidP="00673A3B">
      <w:pPr>
        <w:tabs>
          <w:tab w:val="left" w:pos="4962"/>
        </w:tabs>
        <w:spacing w:line="360" w:lineRule="auto"/>
        <w:contextualSpacing/>
        <w:jc w:val="both"/>
        <w:rPr>
          <w:rFonts w:ascii="Palatino Linotype" w:hAnsi="Palatino Linotype" w:cs="Tahoma"/>
          <w:sz w:val="22"/>
          <w:szCs w:val="22"/>
        </w:rPr>
      </w:pPr>
    </w:p>
    <w:p w14:paraId="64EA05AC" w14:textId="5BE04EAB" w:rsidR="009C0AB7" w:rsidRPr="00C0258A" w:rsidRDefault="00537DC5" w:rsidP="009C0AB7">
      <w:pPr>
        <w:pStyle w:val="Prrafodelista"/>
        <w:numPr>
          <w:ilvl w:val="0"/>
          <w:numId w:val="45"/>
        </w:numPr>
        <w:tabs>
          <w:tab w:val="left" w:pos="4962"/>
        </w:tabs>
        <w:spacing w:line="360" w:lineRule="auto"/>
        <w:jc w:val="both"/>
        <w:rPr>
          <w:rFonts w:ascii="Palatino Linotype" w:eastAsia="Calibri" w:hAnsi="Palatino Linotype" w:cs="Tahoma"/>
          <w:b/>
          <w:bCs/>
          <w:iCs/>
          <w:szCs w:val="22"/>
          <w:lang w:val="es-ES" w:eastAsia="es-ES_tradnl"/>
        </w:rPr>
      </w:pPr>
      <w:r w:rsidRPr="00C0258A">
        <w:rPr>
          <w:rFonts w:ascii="Palatino Linotype" w:eastAsia="Calibri" w:hAnsi="Palatino Linotype" w:cs="Tahoma"/>
          <w:b/>
          <w:bCs/>
          <w:iCs/>
          <w:szCs w:val="22"/>
          <w:lang w:val="es-ES" w:eastAsia="es-ES_tradnl"/>
        </w:rPr>
        <w:t>C</w:t>
      </w:r>
      <w:r w:rsidR="009C0AB7" w:rsidRPr="00C0258A">
        <w:rPr>
          <w:rFonts w:ascii="Palatino Linotype" w:eastAsia="Calibri" w:hAnsi="Palatino Linotype" w:cs="Tahoma"/>
          <w:b/>
          <w:bCs/>
          <w:iCs/>
          <w:szCs w:val="22"/>
          <w:lang w:val="es-ES" w:eastAsia="es-ES_tradnl"/>
        </w:rPr>
        <w:t xml:space="preserve">opia del Permiso y/o Licencia de Funcionamiento </w:t>
      </w:r>
    </w:p>
    <w:p w14:paraId="6A844D08" w14:textId="77777777" w:rsidR="009C0AB7" w:rsidRPr="00C0258A" w:rsidRDefault="009C0AB7" w:rsidP="00673A3B">
      <w:pPr>
        <w:tabs>
          <w:tab w:val="left" w:pos="4962"/>
        </w:tabs>
        <w:spacing w:line="360" w:lineRule="auto"/>
        <w:contextualSpacing/>
        <w:jc w:val="both"/>
        <w:rPr>
          <w:rFonts w:ascii="Palatino Linotype" w:hAnsi="Palatino Linotype" w:cs="Tahoma"/>
          <w:sz w:val="22"/>
          <w:szCs w:val="22"/>
        </w:rPr>
      </w:pPr>
    </w:p>
    <w:p w14:paraId="47D655C6" w14:textId="29A42E6A" w:rsidR="009C0AB7" w:rsidRPr="00C0258A" w:rsidRDefault="00400D1B" w:rsidP="00673A3B">
      <w:pPr>
        <w:tabs>
          <w:tab w:val="left" w:pos="4962"/>
        </w:tabs>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lastRenderedPageBreak/>
        <w:t>Con relación al</w:t>
      </w:r>
      <w:r w:rsidR="009C0AB7" w:rsidRPr="00C0258A">
        <w:rPr>
          <w:rFonts w:ascii="Palatino Linotype" w:hAnsi="Palatino Linotype" w:cs="Tahoma"/>
          <w:sz w:val="22"/>
          <w:szCs w:val="22"/>
        </w:rPr>
        <w:t xml:space="preserve"> presente punto, a través de la Dirección General de Desarrollo Económico manifestó que después de realizar una búsqueda exhaustiva física en los expedientes y electrónica en el Sistema de Registro Municipal de Unidades Económicas (RMUE) del Departamento de Licencias</w:t>
      </w:r>
      <w:r w:rsidRPr="00C0258A">
        <w:rPr>
          <w:rFonts w:ascii="Palatino Linotype" w:hAnsi="Palatino Linotype" w:cs="Tahoma"/>
          <w:sz w:val="22"/>
          <w:szCs w:val="22"/>
        </w:rPr>
        <w:t xml:space="preserve"> y</w:t>
      </w:r>
      <w:r w:rsidR="009C0AB7" w:rsidRPr="00C0258A">
        <w:rPr>
          <w:rFonts w:ascii="Palatino Linotype" w:hAnsi="Palatino Linotype" w:cs="Tahoma"/>
          <w:sz w:val="22"/>
          <w:szCs w:val="22"/>
        </w:rPr>
        <w:t xml:space="preserve">  Permisos dependiente de la Dirección de Atención al Comercio, no localizó registro del domicilio o denominación de la Unidad Económica que señala el Particular.</w:t>
      </w:r>
    </w:p>
    <w:p w14:paraId="0A3945C3" w14:textId="523600C3" w:rsidR="009C0AB7" w:rsidRPr="00C0258A" w:rsidRDefault="009C0AB7" w:rsidP="00673A3B">
      <w:pPr>
        <w:tabs>
          <w:tab w:val="left" w:pos="4962"/>
        </w:tabs>
        <w:spacing w:line="360" w:lineRule="auto"/>
        <w:contextualSpacing/>
        <w:jc w:val="both"/>
        <w:rPr>
          <w:rFonts w:ascii="Palatino Linotype" w:hAnsi="Palatino Linotype" w:cs="Tahoma"/>
          <w:sz w:val="22"/>
          <w:szCs w:val="22"/>
        </w:rPr>
      </w:pPr>
    </w:p>
    <w:p w14:paraId="143375D7" w14:textId="51214230" w:rsidR="009C0AB7" w:rsidRPr="00C0258A" w:rsidRDefault="009C0AB7" w:rsidP="009C0AB7">
      <w:pPr>
        <w:spacing w:line="360" w:lineRule="auto"/>
        <w:jc w:val="both"/>
        <w:rPr>
          <w:rFonts w:ascii="Palatino Linotype" w:eastAsia="Calibri" w:hAnsi="Palatino Linotype" w:cs="Tahoma"/>
          <w:iCs/>
          <w:sz w:val="22"/>
          <w:szCs w:val="22"/>
          <w:lang w:val="es-ES" w:eastAsia="es-ES_tradnl"/>
        </w:rPr>
      </w:pPr>
      <w:r w:rsidRPr="00C0258A">
        <w:rPr>
          <w:rFonts w:ascii="Palatino Linotype" w:hAnsi="Palatino Linotype" w:cs="Tahoma"/>
          <w:sz w:val="22"/>
          <w:szCs w:val="22"/>
        </w:rPr>
        <w:t xml:space="preserve">Derivado de lo anterior, conviene señalar que </w:t>
      </w:r>
      <w:r w:rsidRPr="00C0258A">
        <w:rPr>
          <w:rFonts w:ascii="Palatino Linotype" w:eastAsia="Calibri" w:hAnsi="Palatino Linotype" w:cs="Tahoma"/>
          <w:iCs/>
          <w:sz w:val="22"/>
          <w:szCs w:val="22"/>
          <w:lang w:val="es-ES" w:eastAsia="es-ES_tradnl"/>
        </w:rPr>
        <w:t xml:space="preserve">la Ley Orgánica Municipal del Estado de México en su artículo 31, fracción </w:t>
      </w:r>
      <w:r w:rsidR="001B6ED0" w:rsidRPr="00C0258A">
        <w:rPr>
          <w:rFonts w:ascii="Palatino Linotype" w:eastAsia="Calibri" w:hAnsi="Palatino Linotype" w:cs="Tahoma"/>
          <w:iCs/>
          <w:sz w:val="22"/>
          <w:szCs w:val="22"/>
          <w:lang w:val="es-ES" w:eastAsia="es-ES_tradnl"/>
        </w:rPr>
        <w:t>XLIV</w:t>
      </w:r>
      <w:r w:rsidRPr="00C0258A">
        <w:rPr>
          <w:rFonts w:ascii="Palatino Linotype" w:eastAsia="Calibri" w:hAnsi="Palatino Linotype" w:cs="Tahoma"/>
          <w:iCs/>
          <w:sz w:val="22"/>
          <w:szCs w:val="22"/>
          <w:lang w:val="es-ES" w:eastAsia="es-ES_tradnl"/>
        </w:rPr>
        <w:t xml:space="preserve">, establece las funciones de los ayuntamientos, dentro de las que se encuentra la de </w:t>
      </w:r>
      <w:r w:rsidR="001B6ED0" w:rsidRPr="00C0258A">
        <w:rPr>
          <w:rFonts w:ascii="Palatino Linotype" w:eastAsia="Calibri" w:hAnsi="Palatino Linotype" w:cs="Tahoma"/>
          <w:iCs/>
          <w:sz w:val="22"/>
          <w:szCs w:val="22"/>
          <w:lang w:val="es-ES" w:eastAsia="es-ES_tradnl"/>
        </w:rPr>
        <w:t>Crear el Registro Municipal de Unidades Económicas, donde se especifique la licencia de funcionamiento con la actividad de la unidad económica e impacto que generen, así como las demás características que se determinen;</w:t>
      </w:r>
    </w:p>
    <w:p w14:paraId="7CC81825" w14:textId="153C79C6" w:rsidR="009C0AB7" w:rsidRPr="00C0258A" w:rsidRDefault="009C0AB7" w:rsidP="00673A3B">
      <w:pPr>
        <w:tabs>
          <w:tab w:val="left" w:pos="4962"/>
        </w:tabs>
        <w:spacing w:line="360" w:lineRule="auto"/>
        <w:contextualSpacing/>
        <w:jc w:val="both"/>
        <w:rPr>
          <w:rFonts w:ascii="Palatino Linotype" w:hAnsi="Palatino Linotype" w:cs="Tahoma"/>
          <w:sz w:val="22"/>
          <w:szCs w:val="22"/>
        </w:rPr>
      </w:pPr>
    </w:p>
    <w:p w14:paraId="57283377" w14:textId="3D9183E1" w:rsidR="009C0AB7" w:rsidRPr="00C0258A" w:rsidRDefault="001B6ED0" w:rsidP="00673A3B">
      <w:pPr>
        <w:tabs>
          <w:tab w:val="left" w:pos="4962"/>
        </w:tabs>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 xml:space="preserve">Aunado a lo anterior, se consultó el </w:t>
      </w:r>
      <w:r w:rsidR="00282B0C" w:rsidRPr="00C0258A">
        <w:rPr>
          <w:rFonts w:ascii="Palatino Linotype" w:hAnsi="Palatino Linotype" w:cs="Tahoma"/>
          <w:sz w:val="22"/>
          <w:szCs w:val="22"/>
        </w:rPr>
        <w:t>Bando Municipal de Toluca 2025 el cual en su artículo 92 señala en su fracción XI que la persona titular de la Dirección General de Desarrollo Económico tiene como atribuciones entre otras la de expedir las licencias y permisos de funcionamiento, así como de celebrar convenios con autoridades y el sector privado para atraer inversiones. Regulará actividades comerciales verificando el cumplimiento de normas sanitarias, así como la supervisión de mercados y tianguis públicos.</w:t>
      </w:r>
    </w:p>
    <w:p w14:paraId="127D2AFA" w14:textId="66E6834C" w:rsidR="00282B0C" w:rsidRPr="00C0258A" w:rsidRDefault="00282B0C" w:rsidP="00673A3B">
      <w:pPr>
        <w:tabs>
          <w:tab w:val="left" w:pos="4962"/>
        </w:tabs>
        <w:spacing w:line="360" w:lineRule="auto"/>
        <w:contextualSpacing/>
        <w:jc w:val="both"/>
        <w:rPr>
          <w:rFonts w:ascii="Palatino Linotype" w:hAnsi="Palatino Linotype" w:cs="Tahoma"/>
          <w:sz w:val="22"/>
          <w:szCs w:val="22"/>
        </w:rPr>
      </w:pPr>
    </w:p>
    <w:p w14:paraId="28454030" w14:textId="26D8A71B" w:rsidR="003A6BEB" w:rsidRPr="00C0258A" w:rsidRDefault="003A6BEB" w:rsidP="00673A3B">
      <w:pPr>
        <w:tabs>
          <w:tab w:val="left" w:pos="4962"/>
        </w:tabs>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rPr>
        <w:t xml:space="preserve">Además, la Ley de Competitividad y Ordenamiento Comercial del Estado de México , señala en su artículo 2, fracción XV lo que se entiende por Licencia de funcionamiento al acto administrativo que emite la autoridad, por el cual autoriza a una persona física o jurídica colectiva a desarrollar actividades económicas, y para poder autorizarla debe cumplir con ciertos requisitos dependiendo del giro que tenga el negocio que cumpla con los requisitos para solicitar dicha licencia, por lo que se deduce que la autoridad municipal no emite las licencias si no es a petición de parte, por lo que al haberse pronunciado la unidad </w:t>
      </w:r>
      <w:r w:rsidRPr="00C0258A">
        <w:rPr>
          <w:rFonts w:ascii="Palatino Linotype" w:hAnsi="Palatino Linotype" w:cs="Tahoma"/>
          <w:sz w:val="22"/>
          <w:szCs w:val="22"/>
        </w:rPr>
        <w:lastRenderedPageBreak/>
        <w:t xml:space="preserve">administrativa que pudiera contar con lo solicitado se </w:t>
      </w:r>
      <w:r w:rsidR="00E10F13" w:rsidRPr="00C0258A">
        <w:rPr>
          <w:rFonts w:ascii="Palatino Linotype" w:hAnsi="Palatino Linotype" w:cs="Tahoma"/>
          <w:sz w:val="22"/>
          <w:szCs w:val="22"/>
        </w:rPr>
        <w:t>entiende que no cuenta con la licencia, ya que el negocio mencionado en la solicitud no la ha solicitado, en ese sentido se tiene por atendido el presente punto.</w:t>
      </w:r>
    </w:p>
    <w:p w14:paraId="608F85C8" w14:textId="7D0C34BA" w:rsidR="00E10F13" w:rsidRPr="00C0258A" w:rsidRDefault="00E10F13" w:rsidP="00673A3B">
      <w:pPr>
        <w:tabs>
          <w:tab w:val="left" w:pos="4962"/>
        </w:tabs>
        <w:spacing w:line="360" w:lineRule="auto"/>
        <w:contextualSpacing/>
        <w:jc w:val="both"/>
        <w:rPr>
          <w:rFonts w:ascii="Palatino Linotype" w:hAnsi="Palatino Linotype" w:cs="Tahoma"/>
          <w:sz w:val="22"/>
          <w:szCs w:val="22"/>
        </w:rPr>
      </w:pPr>
    </w:p>
    <w:p w14:paraId="6F6233B7" w14:textId="77976B75" w:rsidR="00E10F13" w:rsidRPr="00C0258A" w:rsidRDefault="00EA02AA" w:rsidP="00E10F13">
      <w:pPr>
        <w:pStyle w:val="Prrafodelista"/>
        <w:numPr>
          <w:ilvl w:val="0"/>
          <w:numId w:val="45"/>
        </w:numPr>
        <w:tabs>
          <w:tab w:val="left" w:pos="4962"/>
        </w:tabs>
        <w:spacing w:line="360" w:lineRule="auto"/>
        <w:jc w:val="both"/>
        <w:rPr>
          <w:rFonts w:ascii="Palatino Linotype" w:eastAsia="Calibri" w:hAnsi="Palatino Linotype" w:cs="Tahoma"/>
          <w:b/>
          <w:bCs/>
          <w:iCs/>
          <w:szCs w:val="22"/>
          <w:lang w:val="es-ES" w:eastAsia="es-ES_tradnl"/>
        </w:rPr>
      </w:pPr>
      <w:r w:rsidRPr="00C0258A">
        <w:rPr>
          <w:rFonts w:ascii="Palatino Linotype" w:eastAsia="Calibri" w:hAnsi="Palatino Linotype" w:cs="Tahoma"/>
          <w:b/>
          <w:bCs/>
          <w:iCs/>
          <w:szCs w:val="22"/>
          <w:lang w:val="es-ES" w:eastAsia="es-ES_tradnl"/>
        </w:rPr>
        <w:t>C</w:t>
      </w:r>
      <w:r w:rsidR="00E10F13" w:rsidRPr="00C0258A">
        <w:rPr>
          <w:rFonts w:ascii="Palatino Linotype" w:eastAsia="Calibri" w:hAnsi="Palatino Linotype" w:cs="Tahoma"/>
          <w:b/>
          <w:bCs/>
          <w:iCs/>
          <w:szCs w:val="22"/>
          <w:lang w:val="es-ES" w:eastAsia="es-ES_tradnl"/>
        </w:rPr>
        <w:t xml:space="preserve">opia del documento de autorización del cambio de uso de suelo, para pasar de uso habitacional al de uso comercial. </w:t>
      </w:r>
    </w:p>
    <w:p w14:paraId="7E7052B3" w14:textId="77777777" w:rsidR="00413278" w:rsidRPr="00C0258A" w:rsidRDefault="00413278" w:rsidP="00413278">
      <w:pPr>
        <w:pStyle w:val="Prrafodelista"/>
        <w:numPr>
          <w:ilvl w:val="0"/>
          <w:numId w:val="45"/>
        </w:numPr>
        <w:tabs>
          <w:tab w:val="left" w:pos="4962"/>
        </w:tabs>
        <w:spacing w:line="360" w:lineRule="auto"/>
        <w:jc w:val="both"/>
        <w:rPr>
          <w:rFonts w:ascii="Palatino Linotype" w:eastAsia="Calibri" w:hAnsi="Palatino Linotype" w:cs="Tahoma"/>
          <w:b/>
          <w:bCs/>
          <w:iCs/>
          <w:szCs w:val="22"/>
          <w:lang w:val="es-ES" w:eastAsia="es-ES_tradnl"/>
        </w:rPr>
      </w:pPr>
      <w:r w:rsidRPr="00C0258A">
        <w:rPr>
          <w:rFonts w:ascii="Palatino Linotype" w:eastAsia="Calibri" w:hAnsi="Palatino Linotype" w:cs="Tahoma"/>
          <w:b/>
          <w:bCs/>
          <w:iCs/>
          <w:szCs w:val="22"/>
          <w:lang w:val="es-ES" w:eastAsia="es-ES_tradnl"/>
        </w:rPr>
        <w:t xml:space="preserve">Copia de la Licencia de Construcción autorizada para la modificación de la casa habitación </w:t>
      </w:r>
    </w:p>
    <w:p w14:paraId="584FB310" w14:textId="3A5D605C" w:rsidR="00E10F13" w:rsidRPr="00C0258A" w:rsidRDefault="00E10F13" w:rsidP="00673A3B">
      <w:pPr>
        <w:tabs>
          <w:tab w:val="left" w:pos="4962"/>
        </w:tabs>
        <w:spacing w:line="360" w:lineRule="auto"/>
        <w:contextualSpacing/>
        <w:jc w:val="both"/>
        <w:rPr>
          <w:rFonts w:ascii="Palatino Linotype" w:hAnsi="Palatino Linotype" w:cs="Tahoma"/>
          <w:sz w:val="22"/>
          <w:szCs w:val="22"/>
        </w:rPr>
      </w:pPr>
    </w:p>
    <w:p w14:paraId="7AB1E994" w14:textId="3007DD97" w:rsidR="00E10F13" w:rsidRPr="00C0258A" w:rsidRDefault="00400D1B" w:rsidP="00E10F13">
      <w:pPr>
        <w:spacing w:line="360" w:lineRule="auto"/>
        <w:jc w:val="both"/>
        <w:rPr>
          <w:rFonts w:ascii="Palatino Linotype" w:eastAsia="Calibri" w:hAnsi="Palatino Linotype" w:cs="Tahoma"/>
          <w:iCs/>
          <w:sz w:val="22"/>
          <w:szCs w:val="22"/>
          <w:lang w:eastAsia="es-ES_tradnl"/>
        </w:rPr>
      </w:pPr>
      <w:r w:rsidRPr="00C0258A">
        <w:rPr>
          <w:rFonts w:ascii="Palatino Linotype" w:hAnsi="Palatino Linotype" w:cs="Tahoma"/>
          <w:sz w:val="22"/>
          <w:szCs w:val="22"/>
        </w:rPr>
        <w:t>Con relación al</w:t>
      </w:r>
      <w:r w:rsidR="00E10F13" w:rsidRPr="00C0258A">
        <w:rPr>
          <w:rFonts w:ascii="Palatino Linotype" w:hAnsi="Palatino Linotype" w:cs="Tahoma"/>
          <w:sz w:val="22"/>
          <w:szCs w:val="22"/>
        </w:rPr>
        <w:t xml:space="preserve"> punto</w:t>
      </w:r>
      <w:r w:rsidR="00413278" w:rsidRPr="00C0258A">
        <w:rPr>
          <w:rFonts w:ascii="Palatino Linotype" w:hAnsi="Palatino Linotype" w:cs="Tahoma"/>
          <w:sz w:val="22"/>
          <w:szCs w:val="22"/>
        </w:rPr>
        <w:t xml:space="preserve"> 2</w:t>
      </w:r>
      <w:r w:rsidR="00E10F13" w:rsidRPr="00C0258A">
        <w:rPr>
          <w:rFonts w:ascii="Palatino Linotype" w:hAnsi="Palatino Linotype" w:cs="Tahoma"/>
          <w:sz w:val="22"/>
          <w:szCs w:val="22"/>
        </w:rPr>
        <w:t xml:space="preserve">, </w:t>
      </w:r>
      <w:r w:rsidR="00E10F13" w:rsidRPr="00C0258A">
        <w:rPr>
          <w:rFonts w:ascii="Palatino Linotype" w:hAnsi="Palatino Linotype"/>
          <w:noProof/>
          <w:sz w:val="22"/>
          <w:szCs w:val="22"/>
          <w:lang w:eastAsia="es-MX"/>
        </w:rPr>
        <w:t xml:space="preserve">conviene realizar las siguientes consideraciones, al respecto </w:t>
      </w:r>
      <w:r w:rsidR="00E10F13" w:rsidRPr="00C0258A">
        <w:rPr>
          <w:rFonts w:ascii="Palatino Linotype" w:eastAsia="Calibri" w:hAnsi="Palatino Linotype" w:cs="Tahoma"/>
          <w:iCs/>
          <w:sz w:val="22"/>
          <w:szCs w:val="22"/>
          <w:lang w:eastAsia="es-ES_tradnl"/>
        </w:rPr>
        <w:t>la Ley Orgánica Municipal del Estado de México en su artículo 114 señala que cada Ayuntamiento elaborará su plan de desarrollo municipal y los programas de trabajo necesarios para su ejecución en forma democrática y participativa. Aunado a lo anterior, respecto el Plan de Desarrollo Municipal, la Ley Orgánica Municipal del Estado de México, establece lo siguiente:</w:t>
      </w:r>
    </w:p>
    <w:p w14:paraId="165AD345" w14:textId="77777777" w:rsidR="00E10F13" w:rsidRPr="00C0258A" w:rsidRDefault="00E10F13" w:rsidP="00E10F13">
      <w:pPr>
        <w:spacing w:line="360" w:lineRule="auto"/>
        <w:jc w:val="both"/>
        <w:rPr>
          <w:rFonts w:ascii="Palatino Linotype" w:eastAsia="Calibri" w:hAnsi="Palatino Linotype" w:cs="Tahoma"/>
          <w:iCs/>
          <w:sz w:val="22"/>
          <w:szCs w:val="22"/>
          <w:lang w:eastAsia="es-ES_tradnl"/>
        </w:rPr>
      </w:pPr>
    </w:p>
    <w:p w14:paraId="3567C553"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b/>
          <w:i/>
          <w:iCs/>
          <w:szCs w:val="22"/>
          <w:lang w:eastAsia="es-ES_tradnl"/>
        </w:rPr>
        <w:t>Artículo 116.-</w:t>
      </w:r>
      <w:r w:rsidRPr="00C0258A">
        <w:rPr>
          <w:rFonts w:ascii="Palatino Linotype" w:eastAsia="Calibri" w:hAnsi="Palatino Linotype" w:cs="Tahoma"/>
          <w:i/>
          <w:iCs/>
          <w:szCs w:val="22"/>
          <w:lang w:eastAsia="es-ES_tradnl"/>
        </w:rPr>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6909D106"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p>
    <w:p w14:paraId="38A4C525"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b/>
          <w:i/>
          <w:iCs/>
          <w:szCs w:val="22"/>
          <w:lang w:eastAsia="es-ES_tradnl"/>
        </w:rPr>
        <w:t>Artículo 117</w:t>
      </w:r>
      <w:r w:rsidRPr="00C0258A">
        <w:rPr>
          <w:rFonts w:ascii="Palatino Linotype" w:eastAsia="Calibri" w:hAnsi="Palatino Linotype" w:cs="Tahoma"/>
          <w:i/>
          <w:iCs/>
          <w:szCs w:val="22"/>
          <w:lang w:eastAsia="es-ES_tradnl"/>
        </w:rPr>
        <w:t>.- El Plan de Desarrollo Municipal tendrá los objetivos siguientes:</w:t>
      </w:r>
    </w:p>
    <w:p w14:paraId="242C00D9"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i/>
          <w:iCs/>
          <w:szCs w:val="22"/>
          <w:lang w:eastAsia="es-ES_tradnl"/>
        </w:rPr>
        <w:t>I. Atender las demandas prioritarias de la población;</w:t>
      </w:r>
    </w:p>
    <w:p w14:paraId="47294798"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i/>
          <w:iCs/>
          <w:szCs w:val="22"/>
          <w:lang w:eastAsia="es-ES_tradnl"/>
        </w:rPr>
        <w:t>II. Propiciar el desarrollo armónico del municipio;</w:t>
      </w:r>
    </w:p>
    <w:p w14:paraId="15AC65FE"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i/>
          <w:iCs/>
          <w:szCs w:val="22"/>
          <w:lang w:eastAsia="es-ES_tradnl"/>
        </w:rPr>
        <w:t>III. Asegurar la participación de la sociedad en las acciones del gobierno municipal;</w:t>
      </w:r>
    </w:p>
    <w:p w14:paraId="11D17799"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i/>
          <w:iCs/>
          <w:szCs w:val="22"/>
          <w:lang w:eastAsia="es-ES_tradnl"/>
        </w:rPr>
        <w:t>IV. Vincular el Plan de Desarrollo Municipal con los planes de desarrollo federal y estatal;</w:t>
      </w:r>
    </w:p>
    <w:p w14:paraId="2BE5F682"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i/>
          <w:iCs/>
          <w:szCs w:val="22"/>
          <w:lang w:eastAsia="es-ES_tradnl"/>
        </w:rPr>
        <w:t>V. Aplicar de manera racional los recursos financieros para el cumplimiento del plan y los programas de desarrollo.</w:t>
      </w:r>
    </w:p>
    <w:p w14:paraId="302EAF78"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p>
    <w:p w14:paraId="0A0E6B0F"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b/>
          <w:i/>
          <w:iCs/>
          <w:szCs w:val="22"/>
          <w:lang w:eastAsia="es-ES_tradnl"/>
        </w:rPr>
        <w:lastRenderedPageBreak/>
        <w:t>Artículo 118.-</w:t>
      </w:r>
      <w:r w:rsidRPr="00C0258A">
        <w:rPr>
          <w:rFonts w:ascii="Palatino Linotype" w:eastAsia="Calibri" w:hAnsi="Palatino Linotype" w:cs="Tahoma"/>
          <w:i/>
          <w:iCs/>
          <w:szCs w:val="22"/>
          <w:lang w:eastAsia="es-ES_tradnl"/>
        </w:rPr>
        <w:t xml:space="preserve"> 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662DD778"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p>
    <w:p w14:paraId="07AFF934"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r w:rsidRPr="00C0258A">
        <w:rPr>
          <w:rFonts w:ascii="Palatino Linotype" w:eastAsia="Calibri" w:hAnsi="Palatino Linotype" w:cs="Tahoma"/>
          <w:b/>
          <w:i/>
          <w:iCs/>
          <w:szCs w:val="22"/>
          <w:lang w:eastAsia="es-ES_tradnl"/>
        </w:rPr>
        <w:t>Artículo 121</w:t>
      </w:r>
      <w:r w:rsidRPr="00C0258A">
        <w:rPr>
          <w:rFonts w:ascii="Palatino Linotype" w:eastAsia="Calibri" w:hAnsi="Palatino Linotype" w:cs="Tahoma"/>
          <w:i/>
          <w:iCs/>
          <w:szCs w:val="22"/>
          <w:lang w:eastAsia="es-ES_tradnl"/>
        </w:rPr>
        <w:t>.- Los ayuntamientos publicarán su Plan de Desarrollo Municipal a través de la Gaceta Municipal y de los estrados de los Ayuntamientos durante el primer año de gestión y lo difundirán en forma extensa.</w:t>
      </w:r>
    </w:p>
    <w:p w14:paraId="04F7F4DE" w14:textId="77777777" w:rsidR="00E10F13" w:rsidRPr="00C0258A" w:rsidRDefault="00E10F13" w:rsidP="00E10F13">
      <w:pPr>
        <w:spacing w:line="360" w:lineRule="auto"/>
        <w:ind w:left="567" w:right="539"/>
        <w:jc w:val="both"/>
        <w:rPr>
          <w:rFonts w:ascii="Palatino Linotype" w:eastAsia="Calibri" w:hAnsi="Palatino Linotype" w:cs="Tahoma"/>
          <w:i/>
          <w:iCs/>
          <w:szCs w:val="22"/>
          <w:lang w:eastAsia="es-ES_tradnl"/>
        </w:rPr>
      </w:pPr>
    </w:p>
    <w:p w14:paraId="3779AC3C" w14:textId="77777777" w:rsidR="00E10F13" w:rsidRPr="00C0258A" w:rsidRDefault="00E10F13" w:rsidP="00E10F13">
      <w:pPr>
        <w:tabs>
          <w:tab w:val="left" w:pos="4962"/>
        </w:tabs>
        <w:spacing w:line="360" w:lineRule="auto"/>
        <w:jc w:val="both"/>
        <w:rPr>
          <w:rFonts w:ascii="Palatino Linotype" w:eastAsia="Calibri" w:hAnsi="Palatino Linotype" w:cs="Tahoma"/>
          <w:iCs/>
          <w:sz w:val="22"/>
          <w:szCs w:val="22"/>
          <w:lang w:val="es-ES" w:eastAsia="es-ES_tradnl"/>
        </w:rPr>
      </w:pPr>
      <w:r w:rsidRPr="00C0258A">
        <w:rPr>
          <w:rFonts w:ascii="Palatino Linotype" w:eastAsia="Calibri" w:hAnsi="Palatino Linotype" w:cs="Tahoma"/>
          <w:iCs/>
          <w:sz w:val="22"/>
          <w:szCs w:val="22"/>
          <w:lang w:eastAsia="es-ES_tradnl"/>
        </w:rPr>
        <w:t xml:space="preserve">Así de lo anterior, se advierte que el Plan de Desarrollo Municipal es el instrumento de planeación que tiene la capacidad de asignar recursos para la ejecución y el </w:t>
      </w:r>
      <w:r w:rsidRPr="00C0258A">
        <w:rPr>
          <w:rFonts w:ascii="Palatino Linotype" w:eastAsia="Calibri" w:hAnsi="Palatino Linotype" w:cs="Tahoma"/>
          <w:bCs/>
          <w:iCs/>
          <w:sz w:val="22"/>
          <w:szCs w:val="22"/>
          <w:lang w:eastAsia="es-ES_tradnl"/>
        </w:rPr>
        <w:t xml:space="preserve">desarrollo </w:t>
      </w:r>
      <w:r w:rsidRPr="00C0258A">
        <w:rPr>
          <w:rFonts w:ascii="Palatino Linotype" w:eastAsia="Calibri" w:hAnsi="Palatino Linotype" w:cs="Tahoma"/>
          <w:iCs/>
          <w:sz w:val="22"/>
          <w:szCs w:val="22"/>
          <w:lang w:eastAsia="es-ES_tradnl"/>
        </w:rPr>
        <w:t xml:space="preserve">de los proyectos relacionados con el </w:t>
      </w:r>
      <w:r w:rsidRPr="00C0258A">
        <w:rPr>
          <w:rFonts w:ascii="Palatino Linotype" w:eastAsia="Calibri" w:hAnsi="Palatino Linotype" w:cs="Tahoma"/>
          <w:bCs/>
          <w:iCs/>
          <w:sz w:val="22"/>
          <w:szCs w:val="22"/>
          <w:lang w:eastAsia="es-ES_tradnl"/>
        </w:rPr>
        <w:t>objetivo</w:t>
      </w:r>
      <w:r w:rsidRPr="00C0258A">
        <w:rPr>
          <w:rFonts w:ascii="Palatino Linotype" w:eastAsia="Calibri" w:hAnsi="Palatino Linotype" w:cs="Tahoma"/>
          <w:b/>
          <w:bCs/>
          <w:iCs/>
          <w:sz w:val="22"/>
          <w:szCs w:val="22"/>
          <w:lang w:eastAsia="es-ES_tradnl"/>
        </w:rPr>
        <w:t xml:space="preserve"> </w:t>
      </w:r>
      <w:r w:rsidRPr="00C0258A">
        <w:rPr>
          <w:rFonts w:ascii="Palatino Linotype" w:eastAsia="Calibri" w:hAnsi="Palatino Linotype" w:cs="Tahoma"/>
          <w:iCs/>
          <w:sz w:val="22"/>
          <w:szCs w:val="22"/>
          <w:lang w:eastAsia="es-ES_tradnl"/>
        </w:rPr>
        <w:t xml:space="preserve">de </w:t>
      </w:r>
      <w:r w:rsidRPr="00C0258A">
        <w:rPr>
          <w:rFonts w:ascii="Palatino Linotype" w:eastAsia="Calibri" w:hAnsi="Palatino Linotype" w:cs="Tahoma"/>
          <w:bCs/>
          <w:iCs/>
          <w:sz w:val="22"/>
          <w:szCs w:val="22"/>
          <w:lang w:eastAsia="es-ES_tradnl"/>
        </w:rPr>
        <w:t xml:space="preserve">desarrollo </w:t>
      </w:r>
      <w:r w:rsidRPr="00C0258A">
        <w:rPr>
          <w:rFonts w:ascii="Palatino Linotype" w:eastAsia="Calibri" w:hAnsi="Palatino Linotype" w:cs="Tahoma"/>
          <w:iCs/>
          <w:sz w:val="22"/>
          <w:szCs w:val="22"/>
          <w:lang w:eastAsia="es-ES_tradnl"/>
        </w:rPr>
        <w:t xml:space="preserve">territorial durante la vigencia de un periodo de gobierno, dentro del cual se encuentra el uso de suelo, por su parte </w:t>
      </w:r>
      <w:r w:rsidRPr="00C0258A">
        <w:rPr>
          <w:rFonts w:ascii="Palatino Linotype" w:eastAsia="Calibri" w:hAnsi="Palatino Linotype" w:cs="Tahoma"/>
          <w:iCs/>
          <w:sz w:val="22"/>
          <w:szCs w:val="22"/>
          <w:lang w:val="es-ES" w:eastAsia="es-ES_tradnl"/>
        </w:rPr>
        <w:t>el Código Administrativo del Estado de México en su artículo 5.10, fracción VII señala que los municipios tendrán la atribución de autorizar cambios de uso del suelo, del coeficiente de ocupación, del coeficiente de utilización, densidad y altura de edificaciones. De igual forma el mismo Código señala lo siguiente:</w:t>
      </w:r>
    </w:p>
    <w:p w14:paraId="51D14D7E" w14:textId="77777777" w:rsidR="00E10F13" w:rsidRPr="00C0258A" w:rsidRDefault="00E10F13" w:rsidP="00E10F13">
      <w:pPr>
        <w:tabs>
          <w:tab w:val="left" w:pos="4962"/>
        </w:tabs>
        <w:spacing w:line="360" w:lineRule="auto"/>
        <w:jc w:val="both"/>
        <w:rPr>
          <w:rFonts w:ascii="Palatino Linotype" w:eastAsia="Calibri" w:hAnsi="Palatino Linotype" w:cs="Tahoma"/>
          <w:iCs/>
          <w:sz w:val="22"/>
          <w:szCs w:val="22"/>
          <w:lang w:val="es-ES" w:eastAsia="es-ES_tradnl"/>
        </w:rPr>
      </w:pPr>
    </w:p>
    <w:p w14:paraId="45AD2003" w14:textId="77777777" w:rsidR="00E10F13" w:rsidRPr="00C0258A" w:rsidRDefault="00E10F13" w:rsidP="00E10F13">
      <w:pPr>
        <w:tabs>
          <w:tab w:val="left" w:pos="4962"/>
        </w:tabs>
        <w:spacing w:line="360" w:lineRule="auto"/>
        <w:ind w:left="567" w:right="539"/>
        <w:jc w:val="both"/>
        <w:rPr>
          <w:rFonts w:ascii="Palatino Linotype" w:eastAsia="Calibri" w:hAnsi="Palatino Linotype" w:cs="Tahoma"/>
          <w:i/>
          <w:iCs/>
          <w:szCs w:val="22"/>
          <w:lang w:val="es-ES" w:eastAsia="es-ES_tradnl"/>
        </w:rPr>
      </w:pPr>
      <w:r w:rsidRPr="00C0258A">
        <w:rPr>
          <w:rFonts w:ascii="Palatino Linotype" w:eastAsia="Calibri" w:hAnsi="Palatino Linotype" w:cs="Tahoma"/>
          <w:b/>
          <w:bCs/>
          <w:i/>
          <w:iCs/>
          <w:szCs w:val="22"/>
          <w:lang w:val="es-ES" w:eastAsia="es-ES_tradnl"/>
        </w:rPr>
        <w:t xml:space="preserve">Artículo 5.57. </w:t>
      </w:r>
      <w:r w:rsidRPr="00C0258A">
        <w:rPr>
          <w:rFonts w:ascii="Palatino Linotype" w:eastAsia="Calibri" w:hAnsi="Palatino Linotype" w:cs="Tahoma"/>
          <w:i/>
          <w:iCs/>
          <w:szCs w:val="22"/>
          <w:lang w:val="es-ES" w:eastAsia="es-ES_tradnl"/>
        </w:rPr>
        <w:t xml:space="preserve">El cambio de uso del suelo, de densidad, del coeficiente de ocupación, del coeficiente de utilización y de altura de edificaciones de un lote o predio, no constituirá modificación al respectivo plan municipal de desarrollo urbano. Solo se autorizará el cambio pretendido cuando concurran los supuestos siguientes: </w:t>
      </w:r>
    </w:p>
    <w:p w14:paraId="4D2BE005" w14:textId="77777777" w:rsidR="00E10F13" w:rsidRPr="00C0258A" w:rsidRDefault="00E10F13" w:rsidP="00E10F13">
      <w:pPr>
        <w:tabs>
          <w:tab w:val="left" w:pos="4962"/>
        </w:tabs>
        <w:spacing w:line="360" w:lineRule="auto"/>
        <w:ind w:left="567" w:right="539"/>
        <w:jc w:val="both"/>
        <w:rPr>
          <w:rFonts w:ascii="Palatino Linotype" w:eastAsia="Calibri" w:hAnsi="Palatino Linotype" w:cs="Tahoma"/>
          <w:i/>
          <w:iCs/>
          <w:szCs w:val="22"/>
          <w:lang w:val="es-ES" w:eastAsia="es-ES_tradnl"/>
        </w:rPr>
      </w:pPr>
      <w:r w:rsidRPr="00C0258A">
        <w:rPr>
          <w:rFonts w:ascii="Palatino Linotype" w:eastAsia="Calibri" w:hAnsi="Palatino Linotype" w:cs="Tahoma"/>
          <w:i/>
          <w:iCs/>
          <w:szCs w:val="22"/>
          <w:lang w:val="es-ES" w:eastAsia="es-ES_tradnl"/>
        </w:rPr>
        <w:t xml:space="preserve">I. El predio o lote se ubique en un área urbana o urbanizable;  </w:t>
      </w:r>
    </w:p>
    <w:p w14:paraId="1129AEB5" w14:textId="77777777" w:rsidR="00E10F13" w:rsidRPr="00C0258A" w:rsidRDefault="00E10F13" w:rsidP="00E10F13">
      <w:pPr>
        <w:tabs>
          <w:tab w:val="left" w:pos="4962"/>
        </w:tabs>
        <w:spacing w:line="360" w:lineRule="auto"/>
        <w:ind w:left="567" w:right="539"/>
        <w:jc w:val="both"/>
        <w:rPr>
          <w:rFonts w:ascii="Palatino Linotype" w:eastAsia="Calibri" w:hAnsi="Palatino Linotype" w:cs="Tahoma"/>
          <w:i/>
          <w:iCs/>
          <w:szCs w:val="22"/>
          <w:lang w:val="es-ES" w:eastAsia="es-ES_tradnl"/>
        </w:rPr>
      </w:pPr>
      <w:r w:rsidRPr="00C0258A">
        <w:rPr>
          <w:rFonts w:ascii="Palatino Linotype" w:eastAsia="Calibri" w:hAnsi="Palatino Linotype" w:cs="Tahoma"/>
          <w:i/>
          <w:iCs/>
          <w:szCs w:val="22"/>
          <w:lang w:val="es-ES" w:eastAsia="es-ES_tradnl"/>
        </w:rPr>
        <w:t xml:space="preserve">II. El uso o aprovechamiento solicitado sea compatible con los usos o aprovechamientos previstos en la zona y no altere las características de la estructura urbana y de su imagen; </w:t>
      </w:r>
    </w:p>
    <w:p w14:paraId="301EEC88" w14:textId="2D64DAC6" w:rsidR="00E10F13" w:rsidRPr="00C0258A" w:rsidRDefault="00E10F13" w:rsidP="00E10F13">
      <w:pPr>
        <w:tabs>
          <w:tab w:val="left" w:pos="4962"/>
        </w:tabs>
        <w:spacing w:line="360" w:lineRule="auto"/>
        <w:ind w:left="567" w:right="539"/>
        <w:jc w:val="both"/>
        <w:rPr>
          <w:rFonts w:ascii="Palatino Linotype" w:eastAsia="Calibri" w:hAnsi="Palatino Linotype" w:cs="Tahoma"/>
          <w:i/>
          <w:iCs/>
          <w:szCs w:val="22"/>
          <w:lang w:val="es-ES" w:eastAsia="es-ES_tradnl"/>
        </w:rPr>
      </w:pPr>
      <w:r w:rsidRPr="00C0258A">
        <w:rPr>
          <w:rFonts w:ascii="Palatino Linotype" w:eastAsia="Calibri" w:hAnsi="Palatino Linotype" w:cs="Tahoma"/>
          <w:i/>
          <w:iCs/>
          <w:szCs w:val="22"/>
          <w:lang w:val="es-ES" w:eastAsia="es-ES_tradnl"/>
        </w:rPr>
        <w:t xml:space="preserve">III. Se recabe previamente la opinión favorable de la Comisión de Planeación para el Desarrollo Municipal. En caso de no estar instalada tal Comisión, la autoridad encargada del desarrollo urbano municipal y previo dictamen técnico que elabore, emitirá su opinión; y </w:t>
      </w:r>
    </w:p>
    <w:p w14:paraId="60FDA3D1" w14:textId="072001E4" w:rsidR="00E10F13" w:rsidRPr="00C0258A" w:rsidRDefault="00E10F13" w:rsidP="00E10F13">
      <w:pPr>
        <w:tabs>
          <w:tab w:val="left" w:pos="4962"/>
        </w:tabs>
        <w:spacing w:line="360" w:lineRule="auto"/>
        <w:ind w:left="567" w:right="539"/>
        <w:jc w:val="both"/>
        <w:rPr>
          <w:rFonts w:ascii="Palatino Linotype" w:eastAsia="Calibri" w:hAnsi="Palatino Linotype" w:cs="Tahoma"/>
          <w:i/>
          <w:iCs/>
          <w:szCs w:val="22"/>
          <w:lang w:val="es-ES" w:eastAsia="es-ES_tradnl"/>
        </w:rPr>
      </w:pPr>
      <w:r w:rsidRPr="00C0258A">
        <w:rPr>
          <w:rFonts w:ascii="Palatino Linotype" w:eastAsia="Calibri" w:hAnsi="Palatino Linotype" w:cs="Tahoma"/>
          <w:i/>
          <w:iCs/>
          <w:szCs w:val="22"/>
          <w:lang w:val="es-ES" w:eastAsia="es-ES_tradnl"/>
        </w:rPr>
        <w:lastRenderedPageBreak/>
        <w:t>IV. Tratándose de cambios a usos del suelo de impacto urbano, se requerirá de la Evaluación de Impacto Estatal</w:t>
      </w:r>
    </w:p>
    <w:p w14:paraId="71F53AC7" w14:textId="1A75A013" w:rsidR="00E10F13" w:rsidRPr="00C0258A" w:rsidRDefault="00E10F13" w:rsidP="00E10F13">
      <w:pPr>
        <w:tabs>
          <w:tab w:val="left" w:pos="4962"/>
        </w:tabs>
        <w:spacing w:line="360" w:lineRule="auto"/>
        <w:ind w:left="567" w:right="539"/>
        <w:jc w:val="both"/>
        <w:rPr>
          <w:rFonts w:ascii="Palatino Linotype" w:eastAsia="Calibri" w:hAnsi="Palatino Linotype" w:cs="Tahoma"/>
          <w:iCs/>
          <w:sz w:val="22"/>
          <w:szCs w:val="22"/>
          <w:lang w:val="es-ES" w:eastAsia="es-ES_tradnl"/>
        </w:rPr>
      </w:pPr>
      <w:r w:rsidRPr="00C0258A">
        <w:rPr>
          <w:rFonts w:ascii="Palatino Linotype" w:eastAsia="Calibri" w:hAnsi="Palatino Linotype" w:cs="Tahoma"/>
          <w:i/>
          <w:iCs/>
          <w:szCs w:val="22"/>
          <w:lang w:val="es-ES" w:eastAsia="es-ES_tradnl"/>
        </w:rPr>
        <w:t>…</w:t>
      </w:r>
    </w:p>
    <w:p w14:paraId="4053A540" w14:textId="77777777" w:rsidR="00E10F13" w:rsidRPr="00C0258A" w:rsidRDefault="00E10F13" w:rsidP="00E10F13">
      <w:pPr>
        <w:tabs>
          <w:tab w:val="left" w:pos="4962"/>
        </w:tabs>
        <w:spacing w:line="360" w:lineRule="auto"/>
        <w:jc w:val="both"/>
        <w:rPr>
          <w:rFonts w:ascii="Palatino Linotype" w:eastAsia="Calibri" w:hAnsi="Palatino Linotype" w:cs="Tahoma"/>
          <w:iCs/>
          <w:sz w:val="22"/>
          <w:szCs w:val="22"/>
          <w:lang w:val="es-ES" w:eastAsia="es-ES_tradnl"/>
        </w:rPr>
      </w:pPr>
    </w:p>
    <w:p w14:paraId="7D828527" w14:textId="2D8AC927" w:rsidR="00E10F13" w:rsidRPr="00C0258A" w:rsidRDefault="00E10F13" w:rsidP="00E10F13">
      <w:pPr>
        <w:tabs>
          <w:tab w:val="left" w:pos="4962"/>
        </w:tabs>
        <w:spacing w:line="360" w:lineRule="auto"/>
        <w:jc w:val="both"/>
        <w:rPr>
          <w:rFonts w:ascii="Palatino Linotype" w:eastAsia="Calibri" w:hAnsi="Palatino Linotype" w:cs="Tahoma"/>
          <w:iCs/>
          <w:sz w:val="22"/>
          <w:szCs w:val="22"/>
          <w:lang w:val="es-ES" w:eastAsia="es-ES_tradnl"/>
        </w:rPr>
      </w:pPr>
      <w:r w:rsidRPr="00C0258A">
        <w:rPr>
          <w:rFonts w:ascii="Palatino Linotype" w:eastAsia="Calibri" w:hAnsi="Palatino Linotype" w:cs="Tahoma"/>
          <w:iCs/>
          <w:sz w:val="22"/>
          <w:szCs w:val="22"/>
          <w:lang w:val="es-ES" w:eastAsia="es-ES_tradnl"/>
        </w:rPr>
        <w:t>Por su parte el Reglamento del Libro Quinto del Código Administrativo del Estado de México, sobre las licencias de uso de suelo señala lo siguiente:</w:t>
      </w:r>
    </w:p>
    <w:p w14:paraId="133B2F84" w14:textId="77777777" w:rsidR="00E10F13" w:rsidRPr="00C0258A" w:rsidRDefault="00E10F13" w:rsidP="00E10F13">
      <w:pPr>
        <w:tabs>
          <w:tab w:val="left" w:pos="4962"/>
        </w:tabs>
        <w:spacing w:line="360" w:lineRule="auto"/>
        <w:jc w:val="both"/>
        <w:rPr>
          <w:rFonts w:ascii="Palatino Linotype" w:eastAsia="Calibri" w:hAnsi="Palatino Linotype" w:cs="Tahoma"/>
          <w:iCs/>
          <w:sz w:val="22"/>
          <w:szCs w:val="22"/>
          <w:lang w:val="es-ES" w:eastAsia="es-ES_tradnl"/>
        </w:rPr>
      </w:pPr>
    </w:p>
    <w:p w14:paraId="609AA8A7" w14:textId="77777777" w:rsidR="00E10F13" w:rsidRPr="00C0258A" w:rsidRDefault="00E10F13" w:rsidP="00E10F13">
      <w:pPr>
        <w:tabs>
          <w:tab w:val="left" w:pos="4962"/>
        </w:tabs>
        <w:spacing w:line="360" w:lineRule="auto"/>
        <w:ind w:left="567" w:right="539"/>
        <w:jc w:val="both"/>
        <w:rPr>
          <w:rFonts w:ascii="Palatino Linotype" w:eastAsia="Calibri" w:hAnsi="Palatino Linotype" w:cs="Tahoma"/>
          <w:b/>
          <w:i/>
          <w:iCs/>
          <w:szCs w:val="22"/>
          <w:lang w:eastAsia="es-ES_tradnl"/>
        </w:rPr>
      </w:pPr>
      <w:r w:rsidRPr="00C0258A">
        <w:rPr>
          <w:rFonts w:ascii="Palatino Linotype" w:eastAsia="Calibri" w:hAnsi="Palatino Linotype" w:cs="Tahoma"/>
          <w:b/>
          <w:i/>
          <w:iCs/>
          <w:szCs w:val="22"/>
          <w:lang w:eastAsia="es-ES_tradnl"/>
        </w:rPr>
        <w:t xml:space="preserve">DE LOS CAMBIOS DE USO DEL SUELO, DEL COEFICIENTE DE OCUPACIÓN DEL SUELO, DEL COEFICIENTE DE UTILIZACIÓN DEL SUELO Y DEL CAMBIO DE ALTURA DE EDIFICACIONES  DEL OBJETO DE LA LICENCIA DE USO DEL SUELO </w:t>
      </w:r>
    </w:p>
    <w:p w14:paraId="2844F65F" w14:textId="77777777" w:rsidR="00E10F13" w:rsidRPr="00C0258A" w:rsidRDefault="00E10F13" w:rsidP="00E10F13">
      <w:pPr>
        <w:spacing w:line="360" w:lineRule="auto"/>
        <w:ind w:left="567" w:right="539"/>
        <w:jc w:val="both"/>
        <w:rPr>
          <w:rFonts w:ascii="Palatino Linotype" w:eastAsia="Calibri" w:hAnsi="Palatino Linotype" w:cs="Tahoma"/>
          <w:bCs/>
          <w:i/>
          <w:iCs/>
          <w:szCs w:val="22"/>
          <w:lang w:eastAsia="es-ES_tradnl"/>
        </w:rPr>
      </w:pPr>
      <w:r w:rsidRPr="00C0258A">
        <w:rPr>
          <w:rFonts w:ascii="Palatino Linotype" w:eastAsia="Calibri" w:hAnsi="Palatino Linotype" w:cs="Tahoma"/>
          <w:b/>
          <w:i/>
          <w:iCs/>
          <w:szCs w:val="22"/>
          <w:lang w:eastAsia="es-ES_tradnl"/>
        </w:rPr>
        <w:t xml:space="preserve">Artículo 135. </w:t>
      </w:r>
      <w:r w:rsidRPr="00C0258A">
        <w:rPr>
          <w:rFonts w:ascii="Palatino Linotype" w:eastAsia="Calibri" w:hAnsi="Palatino Linotype" w:cs="Tahoma"/>
          <w:bCs/>
          <w:i/>
          <w:iCs/>
          <w:szCs w:val="22"/>
          <w:lang w:eastAsia="es-ES_tradnl"/>
        </w:rPr>
        <w:t xml:space="preserve">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w:t>
      </w:r>
    </w:p>
    <w:p w14:paraId="78AC5CF8" w14:textId="63F7580C" w:rsidR="00E10F13" w:rsidRPr="00C0258A" w:rsidRDefault="00E10F13" w:rsidP="00E10F13">
      <w:pPr>
        <w:spacing w:line="360" w:lineRule="auto"/>
        <w:ind w:left="567" w:right="539"/>
        <w:jc w:val="both"/>
        <w:rPr>
          <w:rFonts w:ascii="Palatino Linotype" w:eastAsia="Calibri" w:hAnsi="Palatino Linotype" w:cs="Tahoma"/>
          <w:bCs/>
          <w:i/>
          <w:iCs/>
          <w:szCs w:val="22"/>
          <w:lang w:eastAsia="es-ES_tradnl"/>
        </w:rPr>
      </w:pPr>
      <w:r w:rsidRPr="00C0258A">
        <w:rPr>
          <w:rFonts w:ascii="Palatino Linotype" w:eastAsia="Calibri" w:hAnsi="Palatino Linotype" w:cs="Tahoma"/>
          <w:bCs/>
          <w:i/>
          <w:iCs/>
          <w:szCs w:val="22"/>
          <w:lang w:eastAsia="es-ES_tradnl"/>
        </w:rPr>
        <w:t>A solicitud del interesado la licencia de uso del suelo podrá contener también el alineamiento y número oficial.</w:t>
      </w:r>
    </w:p>
    <w:p w14:paraId="01BB8C14" w14:textId="77777777" w:rsidR="00E10F13" w:rsidRPr="00C0258A" w:rsidRDefault="00E10F13" w:rsidP="00E10F13">
      <w:pPr>
        <w:spacing w:line="360" w:lineRule="auto"/>
        <w:ind w:left="567" w:right="539"/>
        <w:jc w:val="both"/>
        <w:rPr>
          <w:rFonts w:ascii="Palatino Linotype" w:eastAsia="Calibri" w:hAnsi="Palatino Linotype" w:cs="Tahoma"/>
          <w:bCs/>
          <w:i/>
          <w:iCs/>
          <w:szCs w:val="22"/>
          <w:lang w:eastAsia="es-ES_tradnl"/>
        </w:rPr>
      </w:pPr>
    </w:p>
    <w:p w14:paraId="0B337D36" w14:textId="77777777" w:rsidR="00E10F13" w:rsidRPr="00C0258A" w:rsidRDefault="00E10F13" w:rsidP="00E10F13">
      <w:pPr>
        <w:spacing w:line="360" w:lineRule="auto"/>
        <w:ind w:left="567" w:right="539"/>
        <w:jc w:val="both"/>
        <w:rPr>
          <w:rFonts w:ascii="Palatino Linotype" w:eastAsia="Calibri" w:hAnsi="Palatino Linotype" w:cs="Tahoma"/>
          <w:b/>
          <w:i/>
          <w:iCs/>
          <w:szCs w:val="22"/>
          <w:lang w:eastAsia="es-ES_tradnl"/>
        </w:rPr>
      </w:pPr>
      <w:r w:rsidRPr="00C0258A">
        <w:rPr>
          <w:rFonts w:ascii="Palatino Linotype" w:eastAsia="Calibri" w:hAnsi="Palatino Linotype" w:cs="Tahoma"/>
          <w:b/>
          <w:i/>
          <w:iCs/>
          <w:szCs w:val="22"/>
          <w:lang w:eastAsia="es-ES_tradnl"/>
        </w:rPr>
        <w:t xml:space="preserve">DEL PROCEDIMIENTO PARA OBTENER LICENCIA DE USO DEL SUELO </w:t>
      </w:r>
    </w:p>
    <w:p w14:paraId="17AA6316" w14:textId="77777777" w:rsidR="00E10F13" w:rsidRPr="00C0258A" w:rsidRDefault="00E10F13" w:rsidP="00E10F13">
      <w:pPr>
        <w:spacing w:line="360" w:lineRule="auto"/>
        <w:ind w:left="567" w:right="539"/>
        <w:jc w:val="both"/>
        <w:rPr>
          <w:rFonts w:ascii="Palatino Linotype" w:eastAsia="Calibri" w:hAnsi="Palatino Linotype" w:cs="Tahoma"/>
          <w:bCs/>
          <w:i/>
          <w:iCs/>
          <w:szCs w:val="22"/>
          <w:lang w:eastAsia="es-ES_tradnl"/>
        </w:rPr>
      </w:pPr>
      <w:r w:rsidRPr="00C0258A">
        <w:rPr>
          <w:rFonts w:ascii="Palatino Linotype" w:eastAsia="Calibri" w:hAnsi="Palatino Linotype" w:cs="Tahoma"/>
          <w:b/>
          <w:i/>
          <w:iCs/>
          <w:szCs w:val="22"/>
          <w:lang w:eastAsia="es-ES_tradnl"/>
        </w:rPr>
        <w:t>Artículo 136.</w:t>
      </w:r>
      <w:r w:rsidRPr="00C0258A">
        <w:rPr>
          <w:rFonts w:ascii="Palatino Linotype" w:eastAsia="Calibri" w:hAnsi="Palatino Linotype" w:cs="Tahoma"/>
          <w:bCs/>
          <w:i/>
          <w:iCs/>
          <w:szCs w:val="22"/>
          <w:lang w:eastAsia="es-ES_tradnl"/>
        </w:rPr>
        <w:t xml:space="preserve"> El procedimiento para obtener licencia de uso del suelo se sujetará a lo siguiente:</w:t>
      </w:r>
    </w:p>
    <w:p w14:paraId="48F4E341" w14:textId="6B91196F" w:rsidR="00E10F13" w:rsidRPr="00C0258A" w:rsidRDefault="00E10F13" w:rsidP="00E10F13">
      <w:pPr>
        <w:spacing w:line="360" w:lineRule="auto"/>
        <w:ind w:left="567" w:right="539"/>
        <w:jc w:val="both"/>
        <w:rPr>
          <w:rFonts w:ascii="Palatino Linotype" w:eastAsia="Calibri" w:hAnsi="Palatino Linotype" w:cs="Tahoma"/>
          <w:bCs/>
          <w:i/>
          <w:iCs/>
          <w:szCs w:val="22"/>
          <w:lang w:eastAsia="es-ES_tradnl"/>
        </w:rPr>
      </w:pPr>
      <w:r w:rsidRPr="00C0258A">
        <w:rPr>
          <w:rFonts w:ascii="Palatino Linotype" w:eastAsia="Calibri" w:hAnsi="Palatino Linotype" w:cs="Tahoma"/>
          <w:bCs/>
          <w:i/>
          <w:iCs/>
          <w:szCs w:val="22"/>
          <w:lang w:eastAsia="es-ES_tradnl"/>
        </w:rPr>
        <w:t>I</w:t>
      </w:r>
      <w:r w:rsidRPr="00C0258A">
        <w:rPr>
          <w:rFonts w:ascii="Palatino Linotype" w:eastAsia="Calibri" w:hAnsi="Palatino Linotype" w:cs="Tahoma"/>
          <w:b/>
          <w:i/>
          <w:iCs/>
          <w:szCs w:val="22"/>
          <w:lang w:eastAsia="es-ES_tradnl"/>
        </w:rPr>
        <w:t>. El interesado presentará solicitud a</w:t>
      </w:r>
      <w:r w:rsidRPr="00C0258A">
        <w:rPr>
          <w:rFonts w:ascii="Palatino Linotype" w:eastAsia="Calibri" w:hAnsi="Palatino Linotype" w:cs="Tahoma"/>
          <w:bCs/>
          <w:i/>
          <w:iCs/>
          <w:szCs w:val="22"/>
          <w:lang w:eastAsia="es-ES_tradnl"/>
        </w:rPr>
        <w:t>nte la autoridad competente, en la que señalará lo siguiente…</w:t>
      </w:r>
    </w:p>
    <w:p w14:paraId="3889B728" w14:textId="7D07B36F" w:rsidR="00E10F13" w:rsidRPr="00C0258A" w:rsidRDefault="00E10F13" w:rsidP="00E10F13">
      <w:pPr>
        <w:spacing w:line="360" w:lineRule="auto"/>
        <w:ind w:left="567" w:right="539"/>
        <w:jc w:val="both"/>
        <w:rPr>
          <w:rFonts w:ascii="Palatino Linotype" w:eastAsia="Calibri" w:hAnsi="Palatino Linotype" w:cs="Tahoma"/>
          <w:bCs/>
          <w:i/>
          <w:iCs/>
          <w:szCs w:val="22"/>
          <w:lang w:eastAsia="es-ES_tradnl"/>
        </w:rPr>
      </w:pPr>
      <w:r w:rsidRPr="00C0258A">
        <w:rPr>
          <w:rFonts w:ascii="Palatino Linotype" w:eastAsia="Calibri" w:hAnsi="Palatino Linotype" w:cs="Tahoma"/>
          <w:bCs/>
          <w:i/>
          <w:iCs/>
          <w:szCs w:val="22"/>
          <w:lang w:eastAsia="es-ES_tradnl"/>
        </w:rPr>
        <w:t>II…</w:t>
      </w:r>
    </w:p>
    <w:p w14:paraId="07779AB8" w14:textId="77777777" w:rsidR="00E10F13" w:rsidRPr="00C0258A" w:rsidRDefault="00E10F13" w:rsidP="00E10F13">
      <w:pPr>
        <w:spacing w:line="360" w:lineRule="auto"/>
        <w:ind w:right="-93"/>
        <w:jc w:val="both"/>
        <w:rPr>
          <w:rFonts w:ascii="Palatino Linotype" w:eastAsia="Calibri" w:hAnsi="Palatino Linotype" w:cs="Tahoma"/>
          <w:iCs/>
          <w:sz w:val="22"/>
          <w:szCs w:val="22"/>
          <w:lang w:eastAsia="es-ES_tradnl"/>
        </w:rPr>
      </w:pPr>
    </w:p>
    <w:p w14:paraId="559DA803" w14:textId="77777777" w:rsidR="00413278" w:rsidRPr="00C0258A" w:rsidRDefault="00E10F13" w:rsidP="00413278">
      <w:pPr>
        <w:spacing w:line="360" w:lineRule="auto"/>
        <w:jc w:val="both"/>
        <w:rPr>
          <w:rFonts w:ascii="Palatino Linotype" w:eastAsia="Palatino Linotype" w:hAnsi="Palatino Linotype" w:cs="Palatino Linotype"/>
          <w:sz w:val="22"/>
          <w:szCs w:val="22"/>
        </w:rPr>
      </w:pPr>
      <w:r w:rsidRPr="00C0258A">
        <w:rPr>
          <w:rFonts w:ascii="Palatino Linotype" w:eastAsia="Calibri" w:hAnsi="Palatino Linotype" w:cs="Tahoma"/>
          <w:iCs/>
          <w:sz w:val="22"/>
          <w:szCs w:val="22"/>
          <w:lang w:eastAsia="es-ES_tradnl"/>
        </w:rPr>
        <w:t xml:space="preserve">De la normatividad anteriormente mencionada se advierte que es requisito contar con la licencia de uso de suelo a efecto de autorizar el aprovechamiento de un determinado predio y para el cambio también es a petición del interesado, </w:t>
      </w:r>
      <w:r w:rsidR="00413278" w:rsidRPr="00C0258A">
        <w:rPr>
          <w:rFonts w:ascii="Palatino Linotype" w:eastAsia="Calibri" w:hAnsi="Palatino Linotype" w:cs="Tahoma"/>
          <w:iCs/>
          <w:sz w:val="22"/>
          <w:szCs w:val="22"/>
          <w:lang w:eastAsia="es-ES_tradnl"/>
        </w:rPr>
        <w:t xml:space="preserve">ahora por lo que hace a </w:t>
      </w:r>
      <w:r w:rsidR="00413278" w:rsidRPr="00C0258A">
        <w:rPr>
          <w:rFonts w:ascii="Palatino Linotype" w:eastAsia="Palatino Linotype" w:hAnsi="Palatino Linotype" w:cs="Palatino Linotype"/>
          <w:sz w:val="22"/>
          <w:szCs w:val="22"/>
        </w:rPr>
        <w:t>licencias de construcción es de referir que sobre estas, se trae a colación lo establecido por el Código Administrativo del Estado de México el cual establece lo siguiente:</w:t>
      </w:r>
    </w:p>
    <w:p w14:paraId="1C4357B4" w14:textId="77777777" w:rsidR="00413278" w:rsidRPr="00C0258A" w:rsidRDefault="00413278" w:rsidP="00413278">
      <w:pPr>
        <w:spacing w:line="360" w:lineRule="auto"/>
        <w:jc w:val="both"/>
        <w:rPr>
          <w:rFonts w:ascii="Palatino Linotype" w:eastAsia="Palatino Linotype" w:hAnsi="Palatino Linotype" w:cs="Palatino Linotype"/>
          <w:sz w:val="22"/>
          <w:szCs w:val="22"/>
        </w:rPr>
      </w:pPr>
    </w:p>
    <w:p w14:paraId="5E885B59"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b/>
          <w:i/>
        </w:rPr>
        <w:t>Artículo 18.20.-</w:t>
      </w:r>
      <w:r w:rsidRPr="00C0258A">
        <w:rPr>
          <w:rFonts w:ascii="Palatino Linotype" w:eastAsia="Palatino Linotype" w:hAnsi="Palatino Linotype" w:cs="Palatino Linotype"/>
          <w:i/>
        </w:rPr>
        <w:t xml:space="preserve"> La licencia de construcción tiene por objeto autorizar:</w:t>
      </w:r>
    </w:p>
    <w:p w14:paraId="30253FB2"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I. Obra nueva;</w:t>
      </w:r>
    </w:p>
    <w:p w14:paraId="20096BC1"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II. Ampliación, modificación o reparación que afecte elementos estructurales de la obra existente;</w:t>
      </w:r>
    </w:p>
    <w:p w14:paraId="247787A8"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III. Demolición parcial o total;</w:t>
      </w:r>
    </w:p>
    <w:p w14:paraId="189C08E2"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IV. Excavación o relleno;</w:t>
      </w:r>
    </w:p>
    <w:p w14:paraId="350D7934"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V. Construcción de bardas;</w:t>
      </w:r>
    </w:p>
    <w:p w14:paraId="60EF9515"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VI. Obras de conexión a las redes de agua potable y drenaje;</w:t>
      </w:r>
    </w:p>
    <w:p w14:paraId="6237349F"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VII. Modificación del proyecto de una obra autorizada;</w:t>
      </w:r>
    </w:p>
    <w:p w14:paraId="7AEAAA79"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VIII. Construcción e instalación de estaciones repetidoras y antenas para radiotelecomunicaciones;</w:t>
      </w:r>
    </w:p>
    <w:p w14:paraId="179AE7AF"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IX. Anuncios publicitarios que requieran de elementos estructurales; y</w:t>
      </w:r>
    </w:p>
    <w:p w14:paraId="2CB6E4A4"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X. Instalaciones o modificaciones de ascensores para personas, montacargas, escaleras mecánicas o cualquier otro mecanismo de transporte electromecánico.</w:t>
      </w:r>
    </w:p>
    <w:p w14:paraId="7F6E26AA"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La licencia de construcción tendrá vigencia de un año y podrá autorizar, además del uso de la vía pública, uno o más de los rubros señalados, conforme a la solicitud que se presente.</w:t>
      </w:r>
    </w:p>
    <w:p w14:paraId="3FCE45B6"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p>
    <w:p w14:paraId="67553DFE"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w:t>
      </w:r>
    </w:p>
    <w:p w14:paraId="4C38222C"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p>
    <w:p w14:paraId="2083D737"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b/>
          <w:i/>
        </w:rPr>
        <w:t>Artículo 18.21.</w:t>
      </w:r>
      <w:r w:rsidRPr="00C0258A">
        <w:rPr>
          <w:rFonts w:ascii="Palatino Linotype" w:eastAsia="Palatino Linotype" w:hAnsi="Palatino Linotype" w:cs="Palatino Linotype"/>
          <w:i/>
        </w:rPr>
        <w:t xml:space="preserve"> A la solicitud de licencia de construcción se acompañará como mínimo:</w:t>
      </w:r>
    </w:p>
    <w:p w14:paraId="7CE41BAA" w14:textId="77777777" w:rsidR="00413278" w:rsidRPr="00C0258A" w:rsidRDefault="00413278" w:rsidP="00413278">
      <w:pPr>
        <w:spacing w:line="360" w:lineRule="auto"/>
        <w:ind w:left="567" w:right="539"/>
        <w:jc w:val="both"/>
        <w:rPr>
          <w:rFonts w:ascii="Palatino Linotype" w:eastAsia="Palatino Linotype" w:hAnsi="Palatino Linotype" w:cs="Palatino Linotype"/>
          <w:b/>
          <w:i/>
          <w:u w:val="single"/>
        </w:rPr>
      </w:pPr>
      <w:r w:rsidRPr="00C0258A">
        <w:rPr>
          <w:rFonts w:ascii="Palatino Linotype" w:eastAsia="Palatino Linotype" w:hAnsi="Palatino Linotype" w:cs="Palatino Linotype"/>
          <w:b/>
          <w:i/>
          <w:u w:val="single"/>
        </w:rPr>
        <w:t>I. Documento que acredite la personalidad del solicitante;</w:t>
      </w:r>
    </w:p>
    <w:p w14:paraId="56063BEC" w14:textId="77777777" w:rsidR="00413278" w:rsidRPr="00C0258A" w:rsidRDefault="00413278" w:rsidP="00413278">
      <w:pPr>
        <w:spacing w:line="360" w:lineRule="auto"/>
        <w:ind w:left="567" w:right="539"/>
        <w:jc w:val="both"/>
        <w:rPr>
          <w:rFonts w:ascii="Palatino Linotype" w:eastAsia="Palatino Linotype" w:hAnsi="Palatino Linotype" w:cs="Palatino Linotype"/>
          <w:b/>
          <w:i/>
          <w:u w:val="single"/>
        </w:rPr>
      </w:pPr>
      <w:r w:rsidRPr="00C0258A">
        <w:rPr>
          <w:rFonts w:ascii="Palatino Linotype" w:eastAsia="Palatino Linotype" w:hAnsi="Palatino Linotype" w:cs="Palatino Linotype"/>
          <w:b/>
          <w:i/>
          <w:u w:val="single"/>
        </w:rPr>
        <w:t>II. Documento que acredite la propiedad o la posesión en concepto de propietario del inmueble;</w:t>
      </w:r>
    </w:p>
    <w:p w14:paraId="3F7A25A4" w14:textId="01925860" w:rsidR="00413278" w:rsidRPr="00C0258A" w:rsidRDefault="00413278" w:rsidP="00413278">
      <w:pPr>
        <w:spacing w:line="360" w:lineRule="auto"/>
        <w:ind w:left="567" w:right="539"/>
        <w:jc w:val="both"/>
        <w:rPr>
          <w:rFonts w:ascii="Palatino Linotype" w:eastAsia="Palatino Linotype" w:hAnsi="Palatino Linotype" w:cs="Palatino Linotype"/>
          <w:i/>
        </w:rPr>
      </w:pPr>
      <w:r w:rsidRPr="00C0258A">
        <w:rPr>
          <w:rFonts w:ascii="Palatino Linotype" w:eastAsia="Palatino Linotype" w:hAnsi="Palatino Linotype" w:cs="Palatino Linotype"/>
          <w:i/>
        </w:rPr>
        <w:t>III…</w:t>
      </w:r>
    </w:p>
    <w:p w14:paraId="4C02E263" w14:textId="77777777" w:rsidR="00413278" w:rsidRPr="00C0258A" w:rsidRDefault="00413278" w:rsidP="00413278">
      <w:pPr>
        <w:spacing w:line="360" w:lineRule="auto"/>
        <w:ind w:left="567" w:right="539"/>
        <w:jc w:val="both"/>
        <w:rPr>
          <w:rFonts w:ascii="Palatino Linotype" w:eastAsia="Palatino Linotype" w:hAnsi="Palatino Linotype" w:cs="Palatino Linotype"/>
          <w:i/>
        </w:rPr>
      </w:pPr>
    </w:p>
    <w:p w14:paraId="3447E994" w14:textId="2EBC2FC0" w:rsidR="00282B0C" w:rsidRPr="00C0258A" w:rsidRDefault="00413278" w:rsidP="00413278">
      <w:pPr>
        <w:tabs>
          <w:tab w:val="left" w:pos="4962"/>
        </w:tabs>
        <w:spacing w:line="360" w:lineRule="auto"/>
        <w:jc w:val="both"/>
        <w:rPr>
          <w:rFonts w:ascii="Palatino Linotype" w:hAnsi="Palatino Linotype" w:cs="Tahoma"/>
          <w:sz w:val="22"/>
          <w:szCs w:val="22"/>
        </w:rPr>
      </w:pPr>
      <w:r w:rsidRPr="00C0258A">
        <w:rPr>
          <w:rFonts w:ascii="Palatino Linotype" w:eastAsia="Palatino Linotype" w:hAnsi="Palatino Linotype" w:cs="Palatino Linotype"/>
          <w:sz w:val="22"/>
          <w:szCs w:val="22"/>
        </w:rPr>
        <w:lastRenderedPageBreak/>
        <w:t xml:space="preserve">Con la normatividad transcrita, se concluye que el Sujeto Obligado tiene la facultad para emitir licencias de construcción, </w:t>
      </w:r>
      <w:r w:rsidR="00E10F13" w:rsidRPr="00C0258A">
        <w:rPr>
          <w:rFonts w:ascii="Palatino Linotype" w:eastAsia="Calibri" w:hAnsi="Palatino Linotype" w:cs="Tahoma"/>
          <w:iCs/>
          <w:sz w:val="22"/>
          <w:szCs w:val="22"/>
          <w:lang w:eastAsia="es-ES_tradnl"/>
        </w:rPr>
        <w:t xml:space="preserve">en ese sentido sobre </w:t>
      </w:r>
      <w:r w:rsidRPr="00C0258A">
        <w:rPr>
          <w:rFonts w:ascii="Palatino Linotype" w:eastAsia="Calibri" w:hAnsi="Palatino Linotype" w:cs="Tahoma"/>
          <w:iCs/>
          <w:sz w:val="22"/>
          <w:szCs w:val="22"/>
          <w:lang w:eastAsia="es-ES_tradnl"/>
        </w:rPr>
        <w:t>los presentes puntos</w:t>
      </w:r>
      <w:r w:rsidR="00E10F13" w:rsidRPr="00C0258A">
        <w:rPr>
          <w:rFonts w:ascii="Palatino Linotype" w:eastAsia="Calibri" w:hAnsi="Palatino Linotype" w:cs="Tahoma"/>
          <w:iCs/>
          <w:sz w:val="22"/>
          <w:szCs w:val="22"/>
          <w:lang w:eastAsia="es-ES_tradnl"/>
        </w:rPr>
        <w:t xml:space="preserve"> se pronunció la Dirección General de Planeación, Innovación y Gestión Urbana</w:t>
      </w:r>
      <w:r w:rsidRPr="00C0258A">
        <w:rPr>
          <w:rFonts w:ascii="Palatino Linotype" w:eastAsia="Calibri" w:hAnsi="Palatino Linotype" w:cs="Tahoma"/>
          <w:iCs/>
          <w:sz w:val="22"/>
          <w:szCs w:val="22"/>
          <w:lang w:eastAsia="es-ES_tradnl"/>
        </w:rPr>
        <w:t xml:space="preserve"> que tiene dentro de sus atribuciones las señaladas en el artículo 92 del Bando municipal 2025 del </w:t>
      </w:r>
      <w:r w:rsidR="00C500C7" w:rsidRPr="00C0258A">
        <w:rPr>
          <w:rFonts w:ascii="Palatino Linotype" w:eastAsia="Calibri" w:hAnsi="Palatino Linotype" w:cs="Tahoma"/>
          <w:iCs/>
          <w:sz w:val="22"/>
          <w:szCs w:val="22"/>
          <w:lang w:eastAsia="es-ES_tradnl"/>
        </w:rPr>
        <w:t xml:space="preserve">Sujeto </w:t>
      </w:r>
      <w:r w:rsidRPr="00C0258A">
        <w:rPr>
          <w:rFonts w:ascii="Palatino Linotype" w:eastAsia="Calibri" w:hAnsi="Palatino Linotype" w:cs="Tahoma"/>
          <w:iCs/>
          <w:sz w:val="22"/>
          <w:szCs w:val="22"/>
          <w:lang w:eastAsia="es-ES_tradnl"/>
        </w:rPr>
        <w:t>Obligado fracción IX l</w:t>
      </w:r>
      <w:r w:rsidRPr="00C0258A">
        <w:rPr>
          <w:rFonts w:ascii="Palatino Linotype" w:hAnsi="Palatino Linotype" w:cs="Tahoma"/>
          <w:sz w:val="22"/>
          <w:szCs w:val="22"/>
        </w:rPr>
        <w:t>a persona titular de la Dirección General de Innovación, Planeación y Gestión Urbana tendrá la facultad de organizar, dirigir y supervisar la emisión de licencias y permisos relacionados con la construcción y obra pública; además, formulará y actualizará planes de desarrollo urbano, ordenamiento territorial y gestión del suelo, así como el financiamiento para su ejecución; promoverá la regularización de la tenencia de la tierra e implementará estrategias de ciudad inteligente, optimizando la gestión urbana mediante el uso de tecnología, por lo que al ser un trámite que deben realizar los Particulares, se advierte que no ha sido realizado ante el Ayuntamiento, por lo que de la respuesta proporcionada por el Sujeto Obligado se tienen por atendidos los presentes puntos.</w:t>
      </w:r>
    </w:p>
    <w:p w14:paraId="2B46AF25" w14:textId="16A9EB87" w:rsidR="009C0AB7" w:rsidRPr="00C0258A" w:rsidRDefault="009C0AB7" w:rsidP="00673A3B">
      <w:pPr>
        <w:tabs>
          <w:tab w:val="left" w:pos="4962"/>
        </w:tabs>
        <w:spacing w:line="360" w:lineRule="auto"/>
        <w:contextualSpacing/>
        <w:jc w:val="both"/>
        <w:rPr>
          <w:rFonts w:ascii="Palatino Linotype" w:hAnsi="Palatino Linotype" w:cs="Tahoma"/>
          <w:sz w:val="22"/>
          <w:szCs w:val="22"/>
        </w:rPr>
      </w:pPr>
    </w:p>
    <w:p w14:paraId="49B0FA70" w14:textId="77777777" w:rsidR="00413278" w:rsidRPr="00C0258A" w:rsidRDefault="00413278" w:rsidP="00413278">
      <w:pPr>
        <w:pStyle w:val="Prrafodelista"/>
        <w:numPr>
          <w:ilvl w:val="0"/>
          <w:numId w:val="48"/>
        </w:numPr>
        <w:tabs>
          <w:tab w:val="left" w:pos="4962"/>
        </w:tabs>
        <w:spacing w:line="360" w:lineRule="auto"/>
        <w:jc w:val="both"/>
        <w:rPr>
          <w:rFonts w:ascii="Palatino Linotype" w:eastAsia="Calibri" w:hAnsi="Palatino Linotype" w:cs="Tahoma"/>
          <w:b/>
          <w:bCs/>
          <w:iCs/>
          <w:szCs w:val="22"/>
          <w:lang w:val="es-ES" w:eastAsia="es-ES_tradnl"/>
        </w:rPr>
      </w:pPr>
      <w:r w:rsidRPr="00C0258A">
        <w:rPr>
          <w:rFonts w:ascii="Palatino Linotype" w:eastAsia="Calibri" w:hAnsi="Palatino Linotype" w:cs="Tahoma"/>
          <w:b/>
          <w:bCs/>
          <w:iCs/>
          <w:szCs w:val="22"/>
          <w:lang w:val="es-ES" w:eastAsia="es-ES_tradnl"/>
        </w:rPr>
        <w:t xml:space="preserve">Copia del documento en donde fue actualizado el valor catastral por la modificación realizada al pasar de uso habitacional al de uso comercial. Así también, se solicita copia de la boleta predial, en su versión pública, en donde se verifique que dicho impuesto se encuentra al corriente y con la modificación de su valor catastral actual. </w:t>
      </w:r>
    </w:p>
    <w:p w14:paraId="0FBD4D86" w14:textId="77777777" w:rsidR="00413278" w:rsidRPr="00C0258A" w:rsidRDefault="00413278" w:rsidP="00673A3B">
      <w:pPr>
        <w:tabs>
          <w:tab w:val="left" w:pos="4962"/>
        </w:tabs>
        <w:spacing w:line="360" w:lineRule="auto"/>
        <w:contextualSpacing/>
        <w:jc w:val="both"/>
        <w:rPr>
          <w:rFonts w:ascii="Palatino Linotype" w:hAnsi="Palatino Linotype" w:cs="Tahoma"/>
          <w:sz w:val="22"/>
          <w:szCs w:val="22"/>
        </w:rPr>
      </w:pPr>
    </w:p>
    <w:p w14:paraId="2BE2AF7B" w14:textId="11BE5C71" w:rsidR="006976AD" w:rsidRPr="00C0258A" w:rsidRDefault="006976AD" w:rsidP="003E6C84">
      <w:pPr>
        <w:spacing w:line="360" w:lineRule="auto"/>
        <w:jc w:val="both"/>
        <w:rPr>
          <w:rFonts w:ascii="Palatino Linotype" w:hAnsi="Palatino Linotype" w:cs="Tahoma"/>
          <w:bCs/>
          <w:sz w:val="22"/>
          <w:szCs w:val="24"/>
          <w:lang w:val="es-ES_tradnl"/>
        </w:rPr>
      </w:pPr>
      <w:r w:rsidRPr="00C0258A">
        <w:rPr>
          <w:rFonts w:ascii="Palatino Linotype" w:hAnsi="Palatino Linotype" w:cs="Tahoma"/>
          <w:sz w:val="22"/>
          <w:szCs w:val="22"/>
        </w:rPr>
        <w:t xml:space="preserve">Sobre el presente punto, </w:t>
      </w:r>
      <w:r w:rsidR="00811BF5" w:rsidRPr="00C0258A">
        <w:rPr>
          <w:rFonts w:ascii="Palatino Linotype" w:hAnsi="Palatino Linotype" w:cs="Tahoma"/>
          <w:sz w:val="22"/>
          <w:szCs w:val="22"/>
        </w:rPr>
        <w:t>es de hacer notar que consta de dos requerimientos, el primero en el que el Particular quiere conocer el documento en donde fue actualizado el valor catastral por la modificación realizada al pasar de uso habitacional al de uso comercial</w:t>
      </w:r>
      <w:r w:rsidR="003E6C84" w:rsidRPr="00C0258A">
        <w:rPr>
          <w:rFonts w:ascii="Palatino Linotype" w:hAnsi="Palatino Linotype" w:cs="Tahoma"/>
          <w:sz w:val="22"/>
          <w:szCs w:val="22"/>
        </w:rPr>
        <w:t xml:space="preserve"> y con la modificación de su valor catastral actual</w:t>
      </w:r>
      <w:r w:rsidR="00811BF5" w:rsidRPr="00C0258A">
        <w:rPr>
          <w:rFonts w:ascii="Palatino Linotype" w:hAnsi="Palatino Linotype" w:cs="Tahoma"/>
          <w:sz w:val="22"/>
          <w:szCs w:val="22"/>
        </w:rPr>
        <w:t xml:space="preserve">, sin embargo, como se ha analizado no se cuenta con la licencia de cambio de uso de suelo, por lo que el ciudadano no realizó el trámite correspondiente para realizar el cambio, por lo que es notorio que el Sujeto Obligado tampoco cuenta con esta información </w:t>
      </w:r>
      <w:r w:rsidR="003E6C84" w:rsidRPr="00C0258A">
        <w:rPr>
          <w:rFonts w:ascii="Palatino Linotype" w:hAnsi="Palatino Linotype" w:cs="Tahoma"/>
          <w:sz w:val="22"/>
          <w:szCs w:val="24"/>
          <w:lang w:val="es-ES"/>
        </w:rPr>
        <w:t xml:space="preserve">al no haber sido generada. Ahora por lo que hace a la boleta predial, en su versión pública, en donde se verifique que dicho impuesto se encuentra al </w:t>
      </w:r>
      <w:r w:rsidR="003E6C84" w:rsidRPr="00C0258A">
        <w:rPr>
          <w:rFonts w:ascii="Palatino Linotype" w:hAnsi="Palatino Linotype" w:cs="Tahoma"/>
          <w:sz w:val="22"/>
          <w:szCs w:val="24"/>
          <w:lang w:val="es-ES"/>
        </w:rPr>
        <w:lastRenderedPageBreak/>
        <w:t xml:space="preserve">corriente </w:t>
      </w:r>
      <w:r w:rsidR="00400D1B" w:rsidRPr="00C0258A">
        <w:rPr>
          <w:rFonts w:ascii="Palatino Linotype" w:hAnsi="Palatino Linotype" w:cs="Tahoma"/>
          <w:sz w:val="22"/>
          <w:szCs w:val="24"/>
          <w:lang w:val="es-ES"/>
        </w:rPr>
        <w:t xml:space="preserve">o no, </w:t>
      </w:r>
      <w:r w:rsidRPr="00C0258A">
        <w:rPr>
          <w:rFonts w:ascii="Palatino Linotype" w:hAnsi="Palatino Linotype" w:cs="Tahoma"/>
          <w:sz w:val="22"/>
          <w:szCs w:val="22"/>
        </w:rPr>
        <w:t xml:space="preserve">es de recordar que el Sujeto Obligado a través del Tesorero Municipal señalo que no era posible proporcionar, difundir, distribuir o hacer publica información que contenga o se refiera a datos personales, sin embargo, no proporcionó ninguna acuerdo que validar la negativa de la información </w:t>
      </w:r>
      <w:r w:rsidRPr="00C0258A">
        <w:rPr>
          <w:rFonts w:ascii="Palatino Linotype" w:hAnsi="Palatino Linotype" w:cs="Tahoma"/>
          <w:bCs/>
          <w:iCs/>
          <w:sz w:val="22"/>
          <w:szCs w:val="24"/>
          <w:lang w:val="es-ES"/>
        </w:rPr>
        <w:t xml:space="preserve">por ello se realizan las siguientes consideraciones: </w:t>
      </w:r>
      <w:r w:rsidRPr="00C0258A">
        <w:rPr>
          <w:rFonts w:ascii="Palatino Linotype" w:hAnsi="Palatino Linotype" w:cs="Tahoma"/>
          <w:bCs/>
          <w:sz w:val="22"/>
          <w:szCs w:val="24"/>
          <w:lang w:val="es-ES_tradnl"/>
        </w:rPr>
        <w:t xml:space="preserve">según Trujillo, Humberto (2019), en el “Diccionario de Transparencia y Acceso a la Información Pública” (p. 201), </w:t>
      </w:r>
      <w:r w:rsidRPr="00C0258A">
        <w:rPr>
          <w:rFonts w:ascii="Palatino Linotype" w:hAnsi="Palatino Linotype" w:cs="Tahoma"/>
          <w:b/>
          <w:bCs/>
          <w:sz w:val="22"/>
          <w:szCs w:val="24"/>
          <w:lang w:val="es-ES_tradnl"/>
        </w:rPr>
        <w:t xml:space="preserve">la negativa de acceso a la información </w:t>
      </w:r>
      <w:r w:rsidRPr="00C0258A">
        <w:rPr>
          <w:rFonts w:ascii="Palatino Linotype" w:hAnsi="Palatino Linotype" w:cs="Tahoma"/>
          <w:bCs/>
          <w:sz w:val="22"/>
          <w:szCs w:val="24"/>
          <w:lang w:val="es-ES_tradnl"/>
        </w:rPr>
        <w:t xml:space="preserve">ocurre cuanto de manera fundada y motivada, una autoridad la niega o la limita, por alguna de las siguientes razones: </w:t>
      </w:r>
    </w:p>
    <w:p w14:paraId="3272C545" w14:textId="77777777" w:rsidR="006976AD" w:rsidRPr="00C0258A" w:rsidRDefault="006976AD" w:rsidP="006976AD">
      <w:pPr>
        <w:spacing w:line="360" w:lineRule="auto"/>
        <w:ind w:right="-93"/>
        <w:contextualSpacing/>
        <w:jc w:val="both"/>
        <w:rPr>
          <w:rFonts w:ascii="Palatino Linotype" w:hAnsi="Palatino Linotype" w:cs="Tahoma"/>
          <w:bCs/>
          <w:sz w:val="22"/>
          <w:szCs w:val="24"/>
          <w:lang w:val="es-ES_tradnl"/>
        </w:rPr>
      </w:pPr>
    </w:p>
    <w:p w14:paraId="7806BBC2" w14:textId="77777777" w:rsidR="006976AD" w:rsidRPr="00C0258A" w:rsidRDefault="006976AD" w:rsidP="006976AD">
      <w:pPr>
        <w:numPr>
          <w:ilvl w:val="0"/>
          <w:numId w:val="14"/>
        </w:numPr>
        <w:spacing w:line="360" w:lineRule="auto"/>
        <w:ind w:right="-93"/>
        <w:contextualSpacing/>
        <w:jc w:val="both"/>
        <w:rPr>
          <w:rFonts w:ascii="Palatino Linotype" w:hAnsi="Palatino Linotype" w:cs="Tahoma"/>
          <w:b/>
          <w:bCs/>
          <w:sz w:val="22"/>
          <w:szCs w:val="24"/>
          <w:lang w:val="es-ES_tradnl"/>
        </w:rPr>
      </w:pPr>
      <w:r w:rsidRPr="00C0258A">
        <w:rPr>
          <w:rFonts w:ascii="Palatino Linotype" w:hAnsi="Palatino Linotype" w:cs="Tahoma"/>
          <w:b/>
          <w:bCs/>
          <w:sz w:val="22"/>
          <w:szCs w:val="24"/>
          <w:lang w:val="es-ES_tradnl"/>
        </w:rPr>
        <w:t xml:space="preserve">La inexistencia de la información (p. 171): </w:t>
      </w:r>
      <w:r w:rsidRPr="00C0258A">
        <w:rPr>
          <w:rFonts w:ascii="Palatino Linotype" w:hAnsi="Palatino Linotype" w:cs="Tahoma"/>
          <w:bCs/>
          <w:sz w:val="22"/>
          <w:szCs w:val="24"/>
          <w:lang w:val="es-ES_tradnl"/>
        </w:rPr>
        <w:t>Sucede cuando la información solicitada no se encuentra en los archivos públicos o clasificados de los entes sujetos a las Leyes de Transparencia.</w:t>
      </w:r>
    </w:p>
    <w:p w14:paraId="355DFD8F" w14:textId="77777777" w:rsidR="006976AD" w:rsidRPr="00C0258A" w:rsidRDefault="006976AD" w:rsidP="006976AD">
      <w:pPr>
        <w:spacing w:line="360" w:lineRule="auto"/>
        <w:ind w:right="-93"/>
        <w:contextualSpacing/>
        <w:jc w:val="both"/>
        <w:rPr>
          <w:rFonts w:ascii="Palatino Linotype" w:hAnsi="Palatino Linotype" w:cs="Tahoma"/>
          <w:b/>
          <w:bCs/>
          <w:sz w:val="22"/>
          <w:szCs w:val="24"/>
          <w:lang w:val="es-ES_tradnl"/>
        </w:rPr>
      </w:pPr>
    </w:p>
    <w:p w14:paraId="71D528FE" w14:textId="77777777" w:rsidR="006976AD" w:rsidRPr="00C0258A" w:rsidRDefault="006976AD" w:rsidP="006976AD">
      <w:pPr>
        <w:numPr>
          <w:ilvl w:val="0"/>
          <w:numId w:val="14"/>
        </w:numPr>
        <w:spacing w:line="360" w:lineRule="auto"/>
        <w:ind w:right="-93"/>
        <w:contextualSpacing/>
        <w:jc w:val="both"/>
        <w:rPr>
          <w:rFonts w:ascii="Palatino Linotype" w:hAnsi="Palatino Linotype" w:cs="Tahoma"/>
          <w:b/>
          <w:bCs/>
          <w:sz w:val="22"/>
          <w:szCs w:val="24"/>
          <w:lang w:val="es-ES_tradnl"/>
        </w:rPr>
      </w:pPr>
      <w:r w:rsidRPr="00C0258A">
        <w:rPr>
          <w:rFonts w:ascii="Palatino Linotype" w:hAnsi="Palatino Linotype" w:cs="Tahoma"/>
          <w:b/>
          <w:bCs/>
          <w:sz w:val="22"/>
          <w:szCs w:val="24"/>
          <w:lang w:val="es-ES_tradnl"/>
        </w:rPr>
        <w:t xml:space="preserve">La incompetencia del Sujeto Obligado (p. 171): </w:t>
      </w:r>
      <w:r w:rsidRPr="00C0258A">
        <w:rPr>
          <w:rFonts w:ascii="Palatino Linotype" w:hAnsi="Palatino Linotype" w:cs="Tahoma"/>
          <w:bCs/>
          <w:sz w:val="22"/>
          <w:szCs w:val="24"/>
          <w:lang w:val="es-ES_tradnl"/>
        </w:rPr>
        <w:t>Ocurre cuando el Sujeto Obligado carece de atribuciones para poseer la información peticionada.</w:t>
      </w:r>
    </w:p>
    <w:p w14:paraId="19929482" w14:textId="77777777" w:rsidR="006976AD" w:rsidRPr="00C0258A" w:rsidRDefault="006976AD" w:rsidP="006976AD">
      <w:pPr>
        <w:spacing w:line="360" w:lineRule="auto"/>
        <w:ind w:right="-93"/>
        <w:contextualSpacing/>
        <w:jc w:val="both"/>
        <w:rPr>
          <w:rFonts w:ascii="Palatino Linotype" w:hAnsi="Palatino Linotype" w:cs="Tahoma"/>
          <w:b/>
          <w:bCs/>
          <w:sz w:val="22"/>
          <w:szCs w:val="24"/>
          <w:lang w:val="es-ES_tradnl"/>
        </w:rPr>
      </w:pPr>
    </w:p>
    <w:p w14:paraId="2757F900" w14:textId="77777777" w:rsidR="006976AD" w:rsidRPr="00C0258A" w:rsidRDefault="006976AD" w:rsidP="006976AD">
      <w:pPr>
        <w:numPr>
          <w:ilvl w:val="0"/>
          <w:numId w:val="14"/>
        </w:numPr>
        <w:spacing w:line="360" w:lineRule="auto"/>
        <w:ind w:right="-93"/>
        <w:contextualSpacing/>
        <w:jc w:val="both"/>
        <w:rPr>
          <w:rFonts w:ascii="Palatino Linotype" w:hAnsi="Palatino Linotype" w:cs="Tahoma"/>
          <w:b/>
          <w:bCs/>
          <w:sz w:val="22"/>
          <w:szCs w:val="24"/>
          <w:lang w:val="es-ES_tradnl"/>
        </w:rPr>
      </w:pPr>
      <w:r w:rsidRPr="00C0258A">
        <w:rPr>
          <w:rFonts w:ascii="Palatino Linotype" w:hAnsi="Palatino Linotype" w:cs="Tahoma"/>
          <w:b/>
          <w:bCs/>
          <w:sz w:val="22"/>
          <w:szCs w:val="24"/>
          <w:lang w:val="es-ES_tradnl"/>
        </w:rPr>
        <w:t xml:space="preserve">La clasificación de la información (p. 70): </w:t>
      </w:r>
      <w:r w:rsidRPr="00C0258A">
        <w:rPr>
          <w:rFonts w:ascii="Palatino Linotype" w:hAnsi="Palatino Linotype" w:cs="Tahoma"/>
          <w:bCs/>
          <w:sz w:val="22"/>
          <w:szCs w:val="24"/>
          <w:lang w:val="es-ES_tradnl"/>
        </w:rPr>
        <w:t>Es el proceso o conjunto de acciones que realizan los sujetos obligados para establecer que determinada información se encuentra en alguno de los supuestos de reserva o confidencialidad establecidos en la legislación en materia de transparencia.</w:t>
      </w:r>
    </w:p>
    <w:p w14:paraId="74F82A32" w14:textId="77777777" w:rsidR="006976AD" w:rsidRPr="00C0258A" w:rsidRDefault="006976AD" w:rsidP="006976AD">
      <w:pPr>
        <w:spacing w:line="360" w:lineRule="auto"/>
        <w:ind w:right="-93"/>
        <w:contextualSpacing/>
        <w:jc w:val="both"/>
        <w:rPr>
          <w:rFonts w:ascii="Palatino Linotype" w:hAnsi="Palatino Linotype" w:cs="Tahoma"/>
          <w:sz w:val="22"/>
          <w:szCs w:val="24"/>
          <w:lang w:val="es-ES_tradnl"/>
        </w:rPr>
      </w:pPr>
    </w:p>
    <w:p w14:paraId="6F77BF04" w14:textId="77777777" w:rsidR="006976AD" w:rsidRPr="00C0258A" w:rsidRDefault="006976AD" w:rsidP="006976AD">
      <w:pPr>
        <w:spacing w:line="360" w:lineRule="auto"/>
        <w:ind w:right="-93"/>
        <w:contextualSpacing/>
        <w:jc w:val="both"/>
        <w:rPr>
          <w:rFonts w:ascii="Palatino Linotype" w:hAnsi="Palatino Linotype" w:cs="Tahoma"/>
          <w:b/>
          <w:bCs/>
          <w:iCs/>
          <w:sz w:val="22"/>
          <w:szCs w:val="24"/>
          <w:lang w:val="es-ES"/>
        </w:rPr>
      </w:pPr>
      <w:r w:rsidRPr="00C0258A">
        <w:rPr>
          <w:rFonts w:ascii="Palatino Linotype" w:hAnsi="Palatino Linotype" w:cs="Tahoma"/>
          <w:sz w:val="22"/>
          <w:szCs w:val="24"/>
          <w:lang w:val="es-ES_tradnl"/>
        </w:rPr>
        <w:t>En ese orden de ideas y en atención a lo anterior, es de señalar que l</w:t>
      </w:r>
      <w:r w:rsidRPr="00C0258A">
        <w:rPr>
          <w:rFonts w:ascii="Palatino Linotype" w:hAnsi="Palatino Linotype" w:cs="Tahoma"/>
          <w:sz w:val="22"/>
          <w:szCs w:val="24"/>
          <w:lang w:val="es-ES"/>
        </w:rPr>
        <w:t xml:space="preserve">as </w:t>
      </w:r>
      <w:r w:rsidRPr="00C0258A">
        <w:rPr>
          <w:rFonts w:ascii="Palatino Linotype" w:hAnsi="Palatino Linotype" w:cs="Tahoma"/>
          <w:bCs/>
          <w:iCs/>
          <w:sz w:val="22"/>
          <w:szCs w:val="24"/>
          <w:lang w:val="es-ES"/>
        </w:rPr>
        <w:t xml:space="preserve">excepciones al derecho de acceso a la información, consisten en que la documentación sea inexistente, </w:t>
      </w:r>
      <w:r w:rsidRPr="00C0258A">
        <w:rPr>
          <w:rFonts w:ascii="Palatino Linotype" w:hAnsi="Palatino Linotype" w:cs="Tahoma"/>
          <w:b/>
          <w:bCs/>
          <w:iCs/>
          <w:sz w:val="22"/>
          <w:szCs w:val="24"/>
          <w:lang w:val="es-ES"/>
        </w:rPr>
        <w:t>se encuentre clasificada</w:t>
      </w:r>
      <w:r w:rsidRPr="00C0258A">
        <w:rPr>
          <w:rFonts w:ascii="Palatino Linotype" w:hAnsi="Palatino Linotype" w:cs="Tahoma"/>
          <w:bCs/>
          <w:iCs/>
          <w:sz w:val="22"/>
          <w:szCs w:val="24"/>
          <w:lang w:val="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C0258A">
        <w:rPr>
          <w:rFonts w:ascii="Palatino Linotype" w:hAnsi="Palatino Linotype" w:cs="Tahoma"/>
          <w:b/>
          <w:bCs/>
          <w:iCs/>
          <w:sz w:val="22"/>
          <w:szCs w:val="24"/>
          <w:lang w:val="es-ES"/>
        </w:rPr>
        <w:t>confidenciales o reservados.</w:t>
      </w:r>
    </w:p>
    <w:p w14:paraId="5FE7EA39" w14:textId="77777777" w:rsidR="006976AD" w:rsidRPr="00C0258A" w:rsidRDefault="006976AD" w:rsidP="006976AD">
      <w:pPr>
        <w:spacing w:line="360" w:lineRule="auto"/>
        <w:ind w:right="-93"/>
        <w:jc w:val="both"/>
        <w:rPr>
          <w:rFonts w:ascii="Palatino Linotype" w:hAnsi="Palatino Linotype" w:cs="Tahoma"/>
          <w:b/>
          <w:bCs/>
          <w:iCs/>
          <w:sz w:val="22"/>
          <w:szCs w:val="24"/>
          <w:lang w:val="es-ES"/>
        </w:rPr>
      </w:pPr>
    </w:p>
    <w:p w14:paraId="5F116A97" w14:textId="76EE873D" w:rsidR="006976AD" w:rsidRPr="00C0258A" w:rsidRDefault="006976AD" w:rsidP="006976AD">
      <w:pPr>
        <w:spacing w:line="360" w:lineRule="auto"/>
        <w:ind w:right="-93"/>
        <w:jc w:val="both"/>
        <w:rPr>
          <w:rFonts w:ascii="Palatino Linotype" w:hAnsi="Palatino Linotype" w:cs="Tahoma"/>
          <w:sz w:val="22"/>
          <w:szCs w:val="24"/>
          <w:lang w:val="es-ES"/>
        </w:rPr>
      </w:pPr>
      <w:r w:rsidRPr="00C0258A">
        <w:rPr>
          <w:rFonts w:ascii="Palatino Linotype" w:hAnsi="Palatino Linotype" w:cs="Tahoma"/>
          <w:sz w:val="22"/>
          <w:szCs w:val="24"/>
          <w:lang w:val="es-ES_tradnl"/>
        </w:rPr>
        <w:lastRenderedPageBreak/>
        <w:t xml:space="preserve">Así, en los artículos 122, 128 y 130 de la Ley Transparencia y Acceso a la Información Pública del Estado de México y Municipios, se prevé que </w:t>
      </w:r>
      <w:r w:rsidRPr="00C0258A">
        <w:rPr>
          <w:rFonts w:ascii="Palatino Linotype" w:hAnsi="Palatino Linotype" w:cs="Tahoma"/>
          <w:b/>
          <w:sz w:val="22"/>
          <w:szCs w:val="24"/>
          <w:lang w:val="es-ES_tradnl"/>
        </w:rPr>
        <w:t xml:space="preserve">la clasificación </w:t>
      </w:r>
      <w:r w:rsidRPr="00C0258A">
        <w:rPr>
          <w:rFonts w:ascii="Palatino Linotype" w:hAnsi="Palatino Linotype" w:cs="Tahoma"/>
          <w:sz w:val="22"/>
          <w:szCs w:val="24"/>
          <w:lang w:val="es-ES_tradnl"/>
        </w:rPr>
        <w:t xml:space="preserve">es el proceso mediante el cual los sujetos obligados determinan que la información en su </w:t>
      </w:r>
      <w:r w:rsidR="00400D1B" w:rsidRPr="00C0258A">
        <w:rPr>
          <w:rFonts w:ascii="Palatino Linotype" w:hAnsi="Palatino Linotype" w:cs="Tahoma"/>
          <w:sz w:val="22"/>
          <w:szCs w:val="24"/>
          <w:lang w:val="es-ES_tradnl"/>
        </w:rPr>
        <w:t>poder</w:t>
      </w:r>
      <w:r w:rsidRPr="00C0258A">
        <w:rPr>
          <w:rFonts w:ascii="Palatino Linotype" w:hAnsi="Palatino Linotype" w:cs="Tahoma"/>
          <w:sz w:val="22"/>
          <w:szCs w:val="24"/>
          <w:lang w:val="es-ES_tradnl"/>
        </w:rPr>
        <w:t xml:space="preserve"> </w:t>
      </w:r>
      <w:proofErr w:type="spellStart"/>
      <w:r w:rsidRPr="00C0258A">
        <w:rPr>
          <w:rFonts w:ascii="Palatino Linotype" w:hAnsi="Palatino Linotype" w:cs="Tahoma"/>
          <w:sz w:val="22"/>
          <w:szCs w:val="24"/>
          <w:lang w:val="es-ES_tradnl"/>
        </w:rPr>
        <w:t>actualiza</w:t>
      </w:r>
      <w:proofErr w:type="spellEnd"/>
      <w:r w:rsidRPr="00C0258A">
        <w:rPr>
          <w:rFonts w:ascii="Palatino Linotype" w:hAnsi="Palatino Linotype" w:cs="Tahoma"/>
          <w:sz w:val="22"/>
          <w:szCs w:val="24"/>
          <w:lang w:val="es-ES_tradnl"/>
        </w:rPr>
        <w:t xml:space="preserve"> alguno de los supuestos de reserva o confidencialidad. </w:t>
      </w:r>
      <w:r w:rsidRPr="00C0258A">
        <w:rPr>
          <w:rFonts w:ascii="Palatino Linotype" w:hAnsi="Palatino Linotype" w:cs="Tahoma"/>
          <w:sz w:val="22"/>
          <w:szCs w:val="24"/>
          <w:lang w:val="es-ES"/>
        </w:rPr>
        <w:t>Además, que dichos entes deberán aplicar de manera restrictiva y limitada, las excepciones al derecho de acceso a la información, por lo que, tendrán que acreditar la procedencia.</w:t>
      </w:r>
    </w:p>
    <w:p w14:paraId="3A33138C"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p>
    <w:p w14:paraId="5481C2E4" w14:textId="77777777" w:rsidR="006976AD" w:rsidRPr="00C0258A" w:rsidRDefault="006976AD" w:rsidP="006976AD">
      <w:pPr>
        <w:spacing w:line="360" w:lineRule="auto"/>
        <w:ind w:right="-93"/>
        <w:jc w:val="both"/>
        <w:rPr>
          <w:rFonts w:ascii="Palatino Linotype" w:hAnsi="Palatino Linotype" w:cs="Tahoma"/>
          <w:sz w:val="22"/>
          <w:szCs w:val="24"/>
          <w:lang w:val="es-ES"/>
        </w:rPr>
      </w:pPr>
      <w:r w:rsidRPr="00C0258A">
        <w:rPr>
          <w:rFonts w:ascii="Palatino Linotype" w:hAnsi="Palatino Linotype" w:cs="Tahoma"/>
          <w:sz w:val="22"/>
          <w:szCs w:val="24"/>
          <w:lang w:val="es-ES"/>
        </w:rPr>
        <w:t xml:space="preserve">Por lo cual, en los casos en que se niegue el acceso a la información, por actualizarse alguno de los supuestos de clasificación, </w:t>
      </w:r>
      <w:r w:rsidRPr="00C0258A">
        <w:rPr>
          <w:rFonts w:ascii="Palatino Linotype" w:hAnsi="Palatino Linotype" w:cs="Tahoma"/>
          <w:b/>
          <w:sz w:val="22"/>
          <w:szCs w:val="24"/>
          <w:lang w:val="es-ES"/>
        </w:rPr>
        <w:t xml:space="preserve">el Comité de Transparencia deberá confirmar, modificar o revocar la decisión; </w:t>
      </w:r>
      <w:r w:rsidRPr="00C0258A">
        <w:rPr>
          <w:rFonts w:ascii="Palatino Linotype" w:hAnsi="Palatino Linotype" w:cs="Tahoma"/>
          <w:sz w:val="22"/>
          <w:szCs w:val="24"/>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111E8749" w14:textId="77777777" w:rsidR="006976AD" w:rsidRPr="00C0258A" w:rsidRDefault="006976AD" w:rsidP="006976AD">
      <w:pPr>
        <w:spacing w:line="360" w:lineRule="auto"/>
        <w:ind w:right="-93"/>
        <w:jc w:val="both"/>
        <w:rPr>
          <w:rFonts w:ascii="Palatino Linotype" w:hAnsi="Palatino Linotype" w:cs="Tahoma"/>
          <w:sz w:val="22"/>
          <w:szCs w:val="24"/>
          <w:lang w:val="es-ES"/>
        </w:rPr>
      </w:pPr>
    </w:p>
    <w:p w14:paraId="5B38C8EB" w14:textId="6DFE054A" w:rsidR="006976AD" w:rsidRPr="00C0258A" w:rsidRDefault="006976AD" w:rsidP="006976AD">
      <w:pPr>
        <w:spacing w:line="360" w:lineRule="auto"/>
        <w:ind w:right="-93"/>
        <w:jc w:val="both"/>
        <w:rPr>
          <w:rFonts w:ascii="Palatino Linotype" w:hAnsi="Palatino Linotype" w:cs="Tahoma"/>
          <w:b/>
          <w:bCs/>
          <w:sz w:val="22"/>
          <w:szCs w:val="24"/>
          <w:lang w:val="es-ES_tradnl"/>
        </w:rPr>
      </w:pPr>
      <w:r w:rsidRPr="00C0258A">
        <w:rPr>
          <w:rFonts w:ascii="Palatino Linotype" w:hAnsi="Palatino Linotype" w:cs="Tahoma"/>
          <w:sz w:val="22"/>
          <w:szCs w:val="24"/>
          <w:lang w:val="es-ES"/>
        </w:rPr>
        <w:t xml:space="preserve">Por su parte, </w:t>
      </w:r>
      <w:r w:rsidRPr="00C0258A">
        <w:rPr>
          <w:rFonts w:ascii="Palatino Linotype" w:hAnsi="Palatino Linotype" w:cs="Tahoma"/>
          <w:bCs/>
          <w:sz w:val="22"/>
          <w:szCs w:val="24"/>
          <w:lang w:val="es-ES_tradnl"/>
        </w:rPr>
        <w:t xml:space="preserve">según Bonifaz, Leticia (2016), en la “Ley General de Transparencia y Acceso a la Información Pública Comentada” (p. 342), la </w:t>
      </w:r>
      <w:r w:rsidRPr="00C0258A">
        <w:rPr>
          <w:rFonts w:ascii="Palatino Linotype" w:hAnsi="Palatino Linotype" w:cs="Tahoma"/>
          <w:b/>
          <w:bCs/>
          <w:sz w:val="22"/>
          <w:szCs w:val="24"/>
          <w:lang w:val="es-ES_tradnl"/>
        </w:rPr>
        <w:t xml:space="preserve">clasificación de la </w:t>
      </w:r>
      <w:r w:rsidR="00400D1B" w:rsidRPr="00C0258A">
        <w:rPr>
          <w:rFonts w:ascii="Palatino Linotype" w:hAnsi="Palatino Linotype" w:cs="Tahoma"/>
          <w:b/>
          <w:bCs/>
          <w:sz w:val="22"/>
          <w:szCs w:val="24"/>
          <w:lang w:val="es-ES_tradnl"/>
        </w:rPr>
        <w:t>información</w:t>
      </w:r>
      <w:r w:rsidRPr="00C0258A">
        <w:rPr>
          <w:rFonts w:ascii="Palatino Linotype" w:hAnsi="Palatino Linotype" w:cs="Tahoma"/>
          <w:bCs/>
          <w:sz w:val="22"/>
          <w:szCs w:val="24"/>
          <w:lang w:val="es-ES_tradnl"/>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C0258A">
        <w:rPr>
          <w:rFonts w:ascii="Palatino Linotype" w:hAnsi="Palatino Linotype" w:cs="Tahoma"/>
          <w:b/>
          <w:bCs/>
          <w:sz w:val="22"/>
          <w:szCs w:val="24"/>
          <w:lang w:val="es-ES_tradnl"/>
        </w:rPr>
        <w:t>de manera adecuada la negativa de información.</w:t>
      </w:r>
    </w:p>
    <w:p w14:paraId="2C80D190" w14:textId="77777777" w:rsidR="006976AD" w:rsidRPr="00C0258A" w:rsidRDefault="006976AD" w:rsidP="006976AD">
      <w:pPr>
        <w:spacing w:line="360" w:lineRule="auto"/>
        <w:ind w:right="-93"/>
        <w:jc w:val="both"/>
        <w:rPr>
          <w:rFonts w:ascii="Palatino Linotype" w:hAnsi="Palatino Linotype" w:cs="Tahoma"/>
          <w:sz w:val="22"/>
          <w:szCs w:val="24"/>
        </w:rPr>
      </w:pPr>
    </w:p>
    <w:p w14:paraId="64F45442"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r w:rsidRPr="00C0258A">
        <w:rPr>
          <w:rFonts w:ascii="Palatino Linotype" w:hAnsi="Palatino Linotype" w:cs="Tahoma"/>
          <w:sz w:val="22"/>
          <w:szCs w:val="24"/>
          <w:lang w:val="es-ES_tradnl"/>
        </w:rPr>
        <w:t xml:space="preserve">Además, el artículo 131 de la Ley referida, así como el Quinto de los Lineamientos Generales en Materia de Clasificación y Desclasificación de la Información, así como para la Elaboración de Versiones Públicas –Lineamientos Generales-, vigentes a la fecha de la solicitud, establecen que los sujetos obligados </w:t>
      </w:r>
      <w:r w:rsidRPr="00C0258A">
        <w:rPr>
          <w:rFonts w:ascii="Palatino Linotype" w:hAnsi="Palatino Linotype" w:cs="Tahoma"/>
          <w:b/>
          <w:sz w:val="22"/>
          <w:szCs w:val="24"/>
          <w:lang w:val="es-ES_tradnl"/>
        </w:rPr>
        <w:t>deberán fundar y motivar</w:t>
      </w:r>
      <w:r w:rsidRPr="00C0258A">
        <w:rPr>
          <w:rFonts w:ascii="Palatino Linotype" w:hAnsi="Palatino Linotype" w:cs="Tahoma"/>
          <w:sz w:val="22"/>
          <w:szCs w:val="24"/>
          <w:lang w:val="es-ES_tradnl"/>
        </w:rPr>
        <w:t xml:space="preserve"> debidamente la clasificación de la información.</w:t>
      </w:r>
    </w:p>
    <w:p w14:paraId="0C5144BE" w14:textId="77777777" w:rsidR="006976AD" w:rsidRPr="00C0258A" w:rsidRDefault="006976AD" w:rsidP="006976AD">
      <w:pPr>
        <w:spacing w:line="360" w:lineRule="auto"/>
        <w:ind w:right="-93"/>
        <w:jc w:val="both"/>
        <w:rPr>
          <w:rFonts w:ascii="Palatino Linotype" w:hAnsi="Palatino Linotype" w:cs="Tahoma"/>
          <w:b/>
          <w:sz w:val="22"/>
          <w:szCs w:val="24"/>
          <w:lang w:val="es-ES_tradnl"/>
        </w:rPr>
      </w:pPr>
    </w:p>
    <w:p w14:paraId="24C6DB8E" w14:textId="77777777" w:rsidR="006976AD" w:rsidRPr="00C0258A" w:rsidRDefault="006976AD" w:rsidP="006976AD">
      <w:pPr>
        <w:spacing w:line="360" w:lineRule="auto"/>
        <w:ind w:right="-93"/>
        <w:jc w:val="both"/>
        <w:rPr>
          <w:rFonts w:ascii="Palatino Linotype" w:hAnsi="Palatino Linotype" w:cs="Tahoma"/>
          <w:bCs/>
          <w:iCs/>
          <w:sz w:val="22"/>
          <w:szCs w:val="24"/>
          <w:lang w:val="es-ES_tradnl"/>
        </w:rPr>
      </w:pPr>
      <w:r w:rsidRPr="00C0258A">
        <w:rPr>
          <w:rFonts w:ascii="Palatino Linotype" w:hAnsi="Palatino Linotype" w:cs="Tahoma"/>
          <w:sz w:val="22"/>
          <w:szCs w:val="24"/>
          <w:lang w:val="es-ES_tradnl"/>
        </w:rPr>
        <w:t>Al respecto, e</w:t>
      </w:r>
      <w:r w:rsidRPr="00C0258A">
        <w:rPr>
          <w:rFonts w:ascii="Palatino Linotype" w:hAnsi="Palatino Linotype" w:cs="Tahoma"/>
          <w:bCs/>
          <w:iCs/>
          <w:sz w:val="22"/>
          <w:szCs w:val="24"/>
          <w:lang w:val="es-ES_tradnl"/>
        </w:rPr>
        <w:t>l Octavo de los Lineamientos Generales, precisa lo siguiente:</w:t>
      </w:r>
    </w:p>
    <w:p w14:paraId="7BE1A8B4" w14:textId="77777777" w:rsidR="006976AD" w:rsidRPr="00C0258A" w:rsidRDefault="006976AD" w:rsidP="006976AD">
      <w:pPr>
        <w:spacing w:line="360" w:lineRule="auto"/>
        <w:ind w:right="-93"/>
        <w:jc w:val="both"/>
        <w:rPr>
          <w:rFonts w:ascii="Palatino Linotype" w:hAnsi="Palatino Linotype" w:cs="Tahoma"/>
          <w:bCs/>
          <w:iCs/>
          <w:sz w:val="22"/>
          <w:szCs w:val="24"/>
          <w:lang w:val="es-ES_tradnl"/>
        </w:rPr>
      </w:pPr>
    </w:p>
    <w:p w14:paraId="1B120498" w14:textId="77777777" w:rsidR="006976AD" w:rsidRPr="00C0258A" w:rsidRDefault="006976AD" w:rsidP="006976AD">
      <w:pPr>
        <w:numPr>
          <w:ilvl w:val="0"/>
          <w:numId w:val="13"/>
        </w:numPr>
        <w:spacing w:line="360" w:lineRule="auto"/>
        <w:ind w:right="-93"/>
        <w:jc w:val="both"/>
        <w:rPr>
          <w:rFonts w:ascii="Palatino Linotype" w:hAnsi="Palatino Linotype" w:cs="Tahoma"/>
          <w:bCs/>
          <w:sz w:val="22"/>
          <w:szCs w:val="24"/>
          <w:lang w:val="es-ES_tradnl"/>
        </w:rPr>
      </w:pPr>
      <w:r w:rsidRPr="00C0258A">
        <w:rPr>
          <w:rFonts w:ascii="Palatino Linotype" w:hAnsi="Palatino Linotype" w:cs="Tahoma"/>
          <w:b/>
          <w:bCs/>
          <w:sz w:val="22"/>
          <w:szCs w:val="24"/>
          <w:lang w:val="es-ES_tradnl"/>
        </w:rPr>
        <w:t>Para fundar la clasificación</w:t>
      </w:r>
      <w:r w:rsidRPr="00C0258A">
        <w:rPr>
          <w:rFonts w:ascii="Palatino Linotype" w:hAnsi="Palatino Linotype" w:cs="Tahoma"/>
          <w:bCs/>
          <w:sz w:val="22"/>
          <w:szCs w:val="24"/>
          <w:lang w:val="es-ES_tradnl"/>
        </w:rPr>
        <w:t xml:space="preserve"> de la información se deberán señalar el artículo, fracción, inciso, párrafo o numeral de la Ley aplicable;</w:t>
      </w:r>
    </w:p>
    <w:p w14:paraId="1D46F0CC" w14:textId="77777777" w:rsidR="006976AD" w:rsidRPr="00C0258A" w:rsidRDefault="006976AD" w:rsidP="006976AD">
      <w:pPr>
        <w:numPr>
          <w:ilvl w:val="0"/>
          <w:numId w:val="13"/>
        </w:numPr>
        <w:spacing w:line="360" w:lineRule="auto"/>
        <w:ind w:right="-93"/>
        <w:jc w:val="both"/>
        <w:rPr>
          <w:rFonts w:ascii="Palatino Linotype" w:hAnsi="Palatino Linotype" w:cs="Tahoma"/>
          <w:bCs/>
          <w:sz w:val="22"/>
          <w:szCs w:val="24"/>
          <w:lang w:val="es-ES_tradnl"/>
        </w:rPr>
      </w:pPr>
      <w:r w:rsidRPr="00C0258A">
        <w:rPr>
          <w:rFonts w:ascii="Palatino Linotype" w:hAnsi="Palatino Linotype" w:cs="Tahoma"/>
          <w:b/>
          <w:bCs/>
          <w:sz w:val="22"/>
          <w:szCs w:val="24"/>
          <w:lang w:val="es-ES_tradnl"/>
        </w:rPr>
        <w:t>Para motivar la clasificación</w:t>
      </w:r>
      <w:r w:rsidRPr="00C0258A">
        <w:rPr>
          <w:rFonts w:ascii="Palatino Linotype" w:hAnsi="Palatino Linotype" w:cs="Tahoma"/>
          <w:bCs/>
          <w:sz w:val="22"/>
          <w:szCs w:val="24"/>
          <w:lang w:val="es-ES_tradnl"/>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459070B7" w14:textId="77777777" w:rsidR="006976AD" w:rsidRPr="00C0258A" w:rsidRDefault="006976AD" w:rsidP="006976AD">
      <w:pPr>
        <w:spacing w:line="360" w:lineRule="auto"/>
        <w:ind w:right="-93"/>
        <w:jc w:val="both"/>
        <w:rPr>
          <w:rFonts w:ascii="Palatino Linotype" w:hAnsi="Palatino Linotype" w:cs="Tahoma"/>
          <w:bCs/>
          <w:sz w:val="22"/>
          <w:szCs w:val="24"/>
          <w:lang w:val="es-ES_tradnl"/>
        </w:rPr>
      </w:pPr>
    </w:p>
    <w:p w14:paraId="5140F592"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r w:rsidRPr="00C0258A">
        <w:rPr>
          <w:rFonts w:ascii="Palatino Linotype" w:hAnsi="Palatino Linotype" w:cs="Tahoma"/>
          <w:sz w:val="22"/>
          <w:szCs w:val="24"/>
          <w:lang w:val="es-ES_tradnl"/>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419BAC1"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p>
    <w:p w14:paraId="2A1E5A5A" w14:textId="77777777" w:rsidR="006976AD" w:rsidRPr="00C0258A" w:rsidRDefault="006976AD" w:rsidP="006976AD">
      <w:pPr>
        <w:spacing w:line="360" w:lineRule="auto"/>
        <w:ind w:left="567" w:right="539"/>
        <w:jc w:val="both"/>
        <w:rPr>
          <w:rFonts w:ascii="Palatino Linotype" w:hAnsi="Palatino Linotype" w:cs="Tahoma"/>
          <w:i/>
          <w:szCs w:val="24"/>
          <w:lang w:val="es-ES_tradnl"/>
        </w:rPr>
      </w:pPr>
      <w:r w:rsidRPr="00C0258A">
        <w:rPr>
          <w:rFonts w:ascii="Palatino Linotype" w:hAnsi="Palatino Linotype" w:cs="Tahoma"/>
          <w:b/>
          <w:i/>
          <w:szCs w:val="24"/>
          <w:lang w:val="es-ES_tradnl"/>
        </w:rPr>
        <w:t xml:space="preserve">“FUNDAMENTACION Y MOTIVACION, CONCEPTO DE. </w:t>
      </w:r>
      <w:r w:rsidRPr="00C0258A">
        <w:rPr>
          <w:rFonts w:ascii="Palatino Linotype" w:hAnsi="Palatino Linotype" w:cs="Tahoma"/>
          <w:i/>
          <w:szCs w:val="24"/>
          <w:lang w:val="es-ES_tradnl"/>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697CF92C"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p>
    <w:p w14:paraId="7A6FFBF3"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r w:rsidRPr="00C0258A">
        <w:rPr>
          <w:rFonts w:ascii="Palatino Linotype" w:hAnsi="Palatino Linotype" w:cs="Tahoma"/>
          <w:sz w:val="22"/>
          <w:szCs w:val="24"/>
          <w:lang w:val="es-ES_tradnl"/>
        </w:rPr>
        <w:t>Conforme a lo anterior, se advierte lo siguiente:</w:t>
      </w:r>
    </w:p>
    <w:p w14:paraId="352199DB"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p>
    <w:p w14:paraId="651834B5" w14:textId="77777777" w:rsidR="006976AD" w:rsidRPr="00C0258A" w:rsidRDefault="006976AD" w:rsidP="006976AD">
      <w:pPr>
        <w:numPr>
          <w:ilvl w:val="0"/>
          <w:numId w:val="15"/>
        </w:numPr>
        <w:spacing w:line="360" w:lineRule="auto"/>
        <w:ind w:right="-93"/>
        <w:jc w:val="both"/>
        <w:rPr>
          <w:rFonts w:ascii="Palatino Linotype" w:hAnsi="Palatino Linotype" w:cs="Tahoma"/>
          <w:b/>
          <w:sz w:val="22"/>
          <w:szCs w:val="24"/>
          <w:lang w:val="es-ES_tradnl"/>
        </w:rPr>
      </w:pPr>
      <w:r w:rsidRPr="00C0258A">
        <w:rPr>
          <w:rFonts w:ascii="Palatino Linotype" w:hAnsi="Palatino Linotype" w:cs="Tahoma"/>
          <w:b/>
          <w:sz w:val="22"/>
          <w:szCs w:val="24"/>
          <w:lang w:val="es-ES_tradnl"/>
        </w:rPr>
        <w:lastRenderedPageBreak/>
        <w:t xml:space="preserve">Fundamentación: </w:t>
      </w:r>
      <w:r w:rsidRPr="00C0258A">
        <w:rPr>
          <w:rFonts w:ascii="Palatino Linotype" w:hAnsi="Palatino Linotype" w:cs="Tahoma"/>
          <w:sz w:val="22"/>
          <w:szCs w:val="24"/>
          <w:lang w:val="es-ES_tradnl"/>
        </w:rPr>
        <w:t>Obligación de la autoridad que emite un acto, para citar los preceptos legales, sustantivos y adjetivos, en que se apoye para la determinación tomada.</w:t>
      </w:r>
    </w:p>
    <w:p w14:paraId="6CAAEEE6" w14:textId="77777777" w:rsidR="006976AD" w:rsidRPr="00C0258A" w:rsidRDefault="006976AD" w:rsidP="006976AD">
      <w:pPr>
        <w:numPr>
          <w:ilvl w:val="0"/>
          <w:numId w:val="15"/>
        </w:numPr>
        <w:spacing w:line="360" w:lineRule="auto"/>
        <w:ind w:right="-93"/>
        <w:jc w:val="both"/>
        <w:rPr>
          <w:rFonts w:ascii="Palatino Linotype" w:hAnsi="Palatino Linotype" w:cs="Tahoma"/>
          <w:b/>
          <w:sz w:val="22"/>
          <w:szCs w:val="24"/>
          <w:lang w:val="es-ES_tradnl"/>
        </w:rPr>
      </w:pPr>
      <w:r w:rsidRPr="00C0258A">
        <w:rPr>
          <w:rFonts w:ascii="Palatino Linotype" w:hAnsi="Palatino Linotype" w:cs="Tahoma"/>
          <w:b/>
          <w:sz w:val="22"/>
          <w:szCs w:val="24"/>
          <w:lang w:val="es-ES_tradnl"/>
        </w:rPr>
        <w:t xml:space="preserve">Motivación: </w:t>
      </w:r>
      <w:r w:rsidRPr="00C0258A">
        <w:rPr>
          <w:rFonts w:ascii="Palatino Linotype" w:hAnsi="Palatino Linotype" w:cs="Tahoma"/>
          <w:sz w:val="22"/>
          <w:szCs w:val="24"/>
          <w:lang w:val="es-ES_tradnl"/>
        </w:rPr>
        <w:t>Razonamientos lógico-jurídicos sobre porque se consideró en el caso en concreto, que se ajusta a la hipótesis normativa.</w:t>
      </w:r>
    </w:p>
    <w:p w14:paraId="749BE403" w14:textId="77777777" w:rsidR="006976AD" w:rsidRPr="00C0258A" w:rsidRDefault="006976AD" w:rsidP="006976AD">
      <w:pPr>
        <w:spacing w:line="360" w:lineRule="auto"/>
        <w:ind w:right="-93"/>
        <w:jc w:val="both"/>
        <w:rPr>
          <w:rFonts w:ascii="Palatino Linotype" w:hAnsi="Palatino Linotype" w:cs="Tahoma"/>
          <w:sz w:val="22"/>
          <w:szCs w:val="24"/>
          <w:lang w:val="es-ES_tradnl"/>
        </w:rPr>
      </w:pPr>
    </w:p>
    <w:p w14:paraId="1B874E0A" w14:textId="25ECF555" w:rsidR="006976AD" w:rsidRPr="00C0258A" w:rsidRDefault="006976AD" w:rsidP="006976AD">
      <w:pPr>
        <w:spacing w:line="360" w:lineRule="auto"/>
        <w:ind w:right="-91"/>
        <w:contextualSpacing/>
        <w:jc w:val="both"/>
        <w:rPr>
          <w:rFonts w:ascii="Palatino Linotype" w:hAnsi="Palatino Linotype" w:cs="Tahoma"/>
          <w:sz w:val="22"/>
          <w:szCs w:val="24"/>
          <w:lang w:val="es-ES"/>
        </w:rPr>
      </w:pPr>
      <w:r w:rsidRPr="00C0258A">
        <w:rPr>
          <w:rFonts w:ascii="Palatino Linotype" w:hAnsi="Palatino Linotype" w:cs="Tahoma"/>
          <w:sz w:val="22"/>
          <w:szCs w:val="24"/>
          <w:lang w:val="es-ES"/>
        </w:rPr>
        <w:t>En ese orden de ideas, el Trigésimo tercero de los Lineamientos Generales mencionados, establece la forma en que se debe fundamentar y motivar la reserva de la información, es decir, a través de los siguientes pasos:</w:t>
      </w:r>
    </w:p>
    <w:p w14:paraId="30C98E5B" w14:textId="77777777" w:rsidR="006976AD" w:rsidRPr="00C0258A" w:rsidRDefault="006976AD" w:rsidP="006976AD">
      <w:pPr>
        <w:spacing w:line="360" w:lineRule="auto"/>
        <w:ind w:right="-91"/>
        <w:contextualSpacing/>
        <w:jc w:val="both"/>
        <w:rPr>
          <w:rFonts w:ascii="Palatino Linotype" w:hAnsi="Palatino Linotype" w:cs="Tahoma"/>
          <w:sz w:val="22"/>
          <w:szCs w:val="24"/>
          <w:lang w:val="es-ES_tradnl"/>
        </w:rPr>
      </w:pPr>
    </w:p>
    <w:p w14:paraId="3F66FFCB" w14:textId="77777777" w:rsidR="006976AD" w:rsidRPr="00C0258A" w:rsidRDefault="006976AD" w:rsidP="006976AD">
      <w:pPr>
        <w:numPr>
          <w:ilvl w:val="0"/>
          <w:numId w:val="17"/>
        </w:numPr>
        <w:spacing w:line="360" w:lineRule="auto"/>
        <w:ind w:right="-91"/>
        <w:contextualSpacing/>
        <w:jc w:val="both"/>
        <w:rPr>
          <w:rFonts w:ascii="Palatino Linotype" w:hAnsi="Palatino Linotype" w:cs="Tahoma"/>
          <w:sz w:val="22"/>
          <w:szCs w:val="24"/>
          <w:lang w:val="es-ES_tradnl"/>
        </w:rPr>
      </w:pPr>
      <w:r w:rsidRPr="00C0258A">
        <w:rPr>
          <w:rFonts w:ascii="Palatino Linotype" w:hAnsi="Palatino Linotype" w:cs="Tahoma"/>
          <w:sz w:val="22"/>
          <w:szCs w:val="24"/>
          <w:lang w:val="es-ES_tradnl"/>
        </w:rPr>
        <w:t xml:space="preserve">Se deberá fundar la clasificación, al citar la fracción y, en su caso, la causal aplicable de la Ley General de Transparencia y Acceso a la Información Pública </w:t>
      </w:r>
      <w:r w:rsidRPr="00C0258A">
        <w:rPr>
          <w:rFonts w:ascii="Palatino Linotype" w:hAnsi="Palatino Linotype" w:cs="Tahoma"/>
          <w:bCs/>
          <w:iCs/>
          <w:sz w:val="22"/>
          <w:szCs w:val="22"/>
        </w:rPr>
        <w:t>vigente al momento de ingresar la solicitud de acceso a la información</w:t>
      </w:r>
      <w:r w:rsidRPr="00C0258A">
        <w:rPr>
          <w:rFonts w:ascii="Palatino Linotype" w:hAnsi="Palatino Linotype" w:cs="Tahoma"/>
          <w:sz w:val="22"/>
          <w:szCs w:val="24"/>
          <w:lang w:val="es-ES_tradnl"/>
        </w:rPr>
        <w:t xml:space="preserve"> o, en el presente caso, de la Ley de Transparencia y Acceso a la Información Pública del Estado de México y Municipios, vinculándola con el Lineamiento específico; </w:t>
      </w:r>
    </w:p>
    <w:p w14:paraId="6D6FD434" w14:textId="77777777" w:rsidR="006976AD" w:rsidRPr="00C0258A" w:rsidRDefault="006976AD" w:rsidP="006976AD">
      <w:pPr>
        <w:numPr>
          <w:ilvl w:val="0"/>
          <w:numId w:val="17"/>
        </w:numPr>
        <w:spacing w:line="360" w:lineRule="auto"/>
        <w:ind w:right="-91"/>
        <w:contextualSpacing/>
        <w:jc w:val="both"/>
        <w:rPr>
          <w:rFonts w:ascii="Palatino Linotype" w:hAnsi="Palatino Linotype" w:cs="Tahoma"/>
          <w:sz w:val="22"/>
          <w:szCs w:val="24"/>
          <w:lang w:val="es-ES"/>
        </w:rPr>
      </w:pPr>
      <w:r w:rsidRPr="00C0258A">
        <w:rPr>
          <w:rFonts w:ascii="Palatino Linotype" w:hAnsi="Palatino Linotype" w:cs="Tahoma"/>
          <w:sz w:val="22"/>
          <w:szCs w:val="24"/>
          <w:lang w:val="es-ES"/>
        </w:rPr>
        <w:t>Se deberá motivar la clasificación, al señalar las circunstancias de modo, tiempo y lugar del daño</w:t>
      </w:r>
      <w:r w:rsidRPr="00C0258A">
        <w:rPr>
          <w:rFonts w:ascii="Palatino Linotype" w:hAnsi="Palatino Linotype" w:cs="Tahoma"/>
          <w:sz w:val="22"/>
          <w:szCs w:val="24"/>
          <w:lang w:val="es-ES_tradnl"/>
        </w:rPr>
        <w:t xml:space="preserve"> </w:t>
      </w:r>
      <w:r w:rsidRPr="00C0258A">
        <w:rPr>
          <w:rFonts w:ascii="Palatino Linotype" w:hAnsi="Palatino Linotype" w:cs="Tahoma"/>
          <w:sz w:val="22"/>
          <w:szCs w:val="24"/>
          <w:lang w:val="es-ES"/>
        </w:rPr>
        <w:t>que acrediten el vínculo entre la difusión de la información y la afectación al interés público.</w:t>
      </w:r>
    </w:p>
    <w:p w14:paraId="762CB756" w14:textId="77777777" w:rsidR="006976AD" w:rsidRPr="00C0258A" w:rsidRDefault="006976AD" w:rsidP="006976AD">
      <w:pPr>
        <w:numPr>
          <w:ilvl w:val="0"/>
          <w:numId w:val="17"/>
        </w:numPr>
        <w:spacing w:line="360" w:lineRule="auto"/>
        <w:ind w:right="-91"/>
        <w:contextualSpacing/>
        <w:jc w:val="both"/>
        <w:rPr>
          <w:rFonts w:ascii="Palatino Linotype" w:hAnsi="Palatino Linotype" w:cs="Tahoma"/>
          <w:sz w:val="22"/>
          <w:szCs w:val="24"/>
          <w:lang w:val="es-ES"/>
        </w:rPr>
      </w:pPr>
      <w:r w:rsidRPr="00C0258A">
        <w:rPr>
          <w:rFonts w:ascii="Palatino Linotype" w:hAnsi="Palatino Linotype" w:cs="Tahoma"/>
          <w:sz w:val="22"/>
          <w:szCs w:val="24"/>
          <w:lang w:val="es-ES"/>
        </w:rPr>
        <w:t>Se tendrán que indicar las razones objetivas por las que la apertura de la información generaría una afectación, por medio del riesgo real, demostrable e identificable;</w:t>
      </w:r>
    </w:p>
    <w:p w14:paraId="2C82668A" w14:textId="2003F1CA" w:rsidR="006976AD" w:rsidRPr="00C0258A" w:rsidRDefault="006976AD" w:rsidP="006976AD">
      <w:pPr>
        <w:numPr>
          <w:ilvl w:val="0"/>
          <w:numId w:val="17"/>
        </w:numPr>
        <w:spacing w:line="360" w:lineRule="auto"/>
        <w:ind w:right="-91"/>
        <w:contextualSpacing/>
        <w:jc w:val="both"/>
        <w:rPr>
          <w:rFonts w:ascii="Palatino Linotype" w:hAnsi="Palatino Linotype" w:cs="Tahoma"/>
          <w:sz w:val="22"/>
          <w:szCs w:val="24"/>
          <w:lang w:val="es-ES"/>
        </w:rPr>
      </w:pPr>
      <w:r w:rsidRPr="00C0258A">
        <w:rPr>
          <w:rFonts w:ascii="Palatino Linotype" w:hAnsi="Palatino Linotype" w:cs="Tahoma"/>
          <w:sz w:val="22"/>
          <w:szCs w:val="24"/>
          <w:lang w:val="es-ES"/>
        </w:rPr>
        <w:t xml:space="preserve">Mediante un ejercicio de ponderación, se tendrá que acreditar que la publicidad de la </w:t>
      </w:r>
      <w:r w:rsidR="00400D1B" w:rsidRPr="00C0258A">
        <w:rPr>
          <w:rFonts w:ascii="Palatino Linotype" w:hAnsi="Palatino Linotype" w:cs="Tahoma"/>
          <w:sz w:val="22"/>
          <w:szCs w:val="24"/>
          <w:lang w:val="es-ES"/>
        </w:rPr>
        <w:t>información</w:t>
      </w:r>
      <w:r w:rsidRPr="00C0258A">
        <w:rPr>
          <w:rFonts w:ascii="Palatino Linotype" w:hAnsi="Palatino Linotype" w:cs="Tahoma"/>
          <w:sz w:val="22"/>
          <w:szCs w:val="24"/>
          <w:lang w:val="es-ES"/>
        </w:rPr>
        <w:t xml:space="preserve"> generaría un riesgo de perjuicio que supera el interés público;</w:t>
      </w:r>
    </w:p>
    <w:p w14:paraId="21A47F32" w14:textId="77777777" w:rsidR="006976AD" w:rsidRPr="00C0258A" w:rsidRDefault="006976AD" w:rsidP="006976AD">
      <w:pPr>
        <w:numPr>
          <w:ilvl w:val="0"/>
          <w:numId w:val="17"/>
        </w:numPr>
        <w:spacing w:line="360" w:lineRule="auto"/>
        <w:ind w:right="-91"/>
        <w:contextualSpacing/>
        <w:jc w:val="both"/>
        <w:rPr>
          <w:rFonts w:ascii="Palatino Linotype" w:hAnsi="Palatino Linotype" w:cs="Tahoma"/>
          <w:sz w:val="22"/>
          <w:szCs w:val="24"/>
          <w:lang w:val="es-ES"/>
        </w:rPr>
      </w:pPr>
      <w:r w:rsidRPr="00C0258A">
        <w:rPr>
          <w:rFonts w:ascii="Palatino Linotype" w:hAnsi="Palatino Linotype" w:cs="Tahoma"/>
          <w:sz w:val="22"/>
          <w:szCs w:val="24"/>
          <w:lang w:val="es-ES"/>
        </w:rPr>
        <w:t>Se elegirá la opción de excepción al acceso a la información que menos restrinja, la cual será adecuada y proporcional para la protección del interés público, y</w:t>
      </w:r>
    </w:p>
    <w:p w14:paraId="3EB06A72" w14:textId="77777777" w:rsidR="006976AD" w:rsidRPr="00C0258A" w:rsidRDefault="006976AD" w:rsidP="006976AD">
      <w:pPr>
        <w:numPr>
          <w:ilvl w:val="0"/>
          <w:numId w:val="17"/>
        </w:numPr>
        <w:spacing w:line="360" w:lineRule="auto"/>
        <w:ind w:right="-91"/>
        <w:contextualSpacing/>
        <w:jc w:val="both"/>
        <w:rPr>
          <w:rFonts w:ascii="Palatino Linotype" w:hAnsi="Palatino Linotype" w:cs="Tahoma"/>
          <w:sz w:val="22"/>
          <w:szCs w:val="24"/>
          <w:lang w:val="es-ES"/>
        </w:rPr>
      </w:pPr>
      <w:r w:rsidRPr="00C0258A">
        <w:rPr>
          <w:rFonts w:ascii="Palatino Linotype" w:hAnsi="Palatino Linotype" w:cs="Tahoma"/>
          <w:sz w:val="22"/>
          <w:szCs w:val="24"/>
          <w:lang w:val="es-ES"/>
        </w:rPr>
        <w:t>Se deberá desarrollar la prueba de daño con la mayor claridad y precisión posible.</w:t>
      </w:r>
    </w:p>
    <w:p w14:paraId="10F0639F" w14:textId="77777777" w:rsidR="006976AD" w:rsidRPr="00C0258A" w:rsidRDefault="006976AD" w:rsidP="006976AD">
      <w:pPr>
        <w:spacing w:line="360" w:lineRule="auto"/>
        <w:ind w:right="-91"/>
        <w:contextualSpacing/>
        <w:jc w:val="both"/>
        <w:rPr>
          <w:rFonts w:ascii="Palatino Linotype" w:hAnsi="Palatino Linotype" w:cs="Tahoma"/>
          <w:b/>
          <w:sz w:val="22"/>
          <w:szCs w:val="24"/>
          <w:lang w:val="es-ES_tradnl"/>
        </w:rPr>
      </w:pPr>
    </w:p>
    <w:p w14:paraId="53BA13FF" w14:textId="253AACF1" w:rsidR="006976AD" w:rsidRPr="00C0258A" w:rsidRDefault="006976AD" w:rsidP="006976AD">
      <w:pPr>
        <w:tabs>
          <w:tab w:val="left" w:pos="4962"/>
        </w:tabs>
        <w:spacing w:line="360" w:lineRule="auto"/>
        <w:contextualSpacing/>
        <w:jc w:val="both"/>
        <w:rPr>
          <w:rFonts w:ascii="Palatino Linotype" w:hAnsi="Palatino Linotype" w:cs="Tahoma"/>
          <w:sz w:val="22"/>
          <w:szCs w:val="24"/>
        </w:rPr>
      </w:pPr>
      <w:r w:rsidRPr="00C0258A">
        <w:rPr>
          <w:rFonts w:ascii="Palatino Linotype" w:hAnsi="Palatino Linotype" w:cs="Tahoma"/>
          <w:sz w:val="22"/>
          <w:szCs w:val="24"/>
        </w:rPr>
        <w:lastRenderedPageBreak/>
        <w:t>Ahora bien, del análisis de la respuesta se observa que el Sujeto Obligado únicamente señaló estar imposibilitado para proporcionar la información sin fundamentar ni motivar d</w:t>
      </w:r>
      <w:r w:rsidR="003E6C84" w:rsidRPr="00C0258A">
        <w:rPr>
          <w:rFonts w:ascii="Palatino Linotype" w:hAnsi="Palatino Linotype" w:cs="Tahoma"/>
          <w:sz w:val="22"/>
          <w:szCs w:val="24"/>
        </w:rPr>
        <w:t>e manera adecuada su respuesta.</w:t>
      </w:r>
    </w:p>
    <w:p w14:paraId="5EC96B59" w14:textId="77777777" w:rsidR="006976AD" w:rsidRPr="00C0258A" w:rsidRDefault="006976AD" w:rsidP="006976AD">
      <w:pPr>
        <w:tabs>
          <w:tab w:val="left" w:pos="4962"/>
        </w:tabs>
        <w:spacing w:line="360" w:lineRule="auto"/>
        <w:contextualSpacing/>
        <w:jc w:val="both"/>
        <w:rPr>
          <w:rFonts w:ascii="Palatino Linotype" w:hAnsi="Palatino Linotype" w:cs="Tahoma"/>
          <w:sz w:val="22"/>
          <w:szCs w:val="24"/>
        </w:rPr>
      </w:pPr>
    </w:p>
    <w:p w14:paraId="363BB5AB" w14:textId="5FA74307" w:rsidR="008B22B3" w:rsidRPr="00C0258A" w:rsidRDefault="003E6C84" w:rsidP="00673A3B">
      <w:pPr>
        <w:tabs>
          <w:tab w:val="left" w:pos="4962"/>
        </w:tabs>
        <w:spacing w:line="360" w:lineRule="auto"/>
        <w:contextualSpacing/>
        <w:jc w:val="both"/>
        <w:rPr>
          <w:rFonts w:ascii="Palatino Linotype" w:hAnsi="Palatino Linotype" w:cs="Tahoma"/>
          <w:bCs/>
          <w:sz w:val="22"/>
          <w:szCs w:val="22"/>
        </w:rPr>
      </w:pPr>
      <w:r w:rsidRPr="00C0258A">
        <w:rPr>
          <w:rFonts w:ascii="Palatino Linotype" w:hAnsi="Palatino Linotype" w:cs="Tahoma"/>
          <w:bCs/>
          <w:sz w:val="22"/>
          <w:szCs w:val="22"/>
        </w:rPr>
        <w:t>Establecido lo anterior</w:t>
      </w:r>
      <w:r w:rsidR="006976AD" w:rsidRPr="00C0258A">
        <w:rPr>
          <w:rFonts w:ascii="Palatino Linotype" w:hAnsi="Palatino Linotype" w:cs="Tahoma"/>
          <w:bCs/>
          <w:sz w:val="22"/>
          <w:szCs w:val="22"/>
        </w:rPr>
        <w:t xml:space="preserve">, y de lo requerido relacionado con la recaudación del impuesto predial, el artículo 115 fracción IV de la Constitución Política de los Estados Unidos Mexicanos, faculta a los municipios para administrar libremente su hacienda, la cual se formará de los rendimientos de los bienes que les pertenezcan, así como de las contribuciones y otros ingresos que las legislaturas establezcan a su favor, entre los que se encuentran, los relacionados con la propiedad inmobiliaria; asimismo, dicha fracción en su inciso a), párrafo segundo, faculta a los municipios para celebrar convenios con el Estado para que éste se haga cargo de algunas de las funciones relacionadas con la administración de las contribuciones.  </w:t>
      </w:r>
    </w:p>
    <w:p w14:paraId="61C94ADE" w14:textId="77777777"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p>
    <w:p w14:paraId="62EC9B4C" w14:textId="2BB53544" w:rsidR="00413278" w:rsidRPr="00C0258A" w:rsidRDefault="006976AD" w:rsidP="00673A3B">
      <w:pPr>
        <w:tabs>
          <w:tab w:val="left" w:pos="4962"/>
        </w:tabs>
        <w:spacing w:line="360" w:lineRule="auto"/>
        <w:contextualSpacing/>
        <w:jc w:val="both"/>
        <w:rPr>
          <w:rFonts w:ascii="Palatino Linotype" w:hAnsi="Palatino Linotype" w:cs="Tahoma"/>
          <w:bCs/>
          <w:sz w:val="22"/>
          <w:szCs w:val="22"/>
        </w:rPr>
      </w:pPr>
      <w:r w:rsidRPr="00C0258A">
        <w:rPr>
          <w:rFonts w:ascii="Palatino Linotype" w:hAnsi="Palatino Linotype" w:cs="Tahoma"/>
          <w:bCs/>
          <w:sz w:val="22"/>
          <w:szCs w:val="22"/>
        </w:rPr>
        <w:t>En esa tesitura, el artículo 125, fracción I, de la Constitución Política del Estado Libre y Soberano de México, establece que, la administración de la hacienda municipal, se formara de los rendimientos de los bienes que les pertenezcan, así como de las contribuciones y otros ingresos, los cuales percibirán las contribuciones, incluyendo tasas adicionales sobre la propiedad inmobiliaria, de su fraccionamiento, división, consolidación, traslación y mejora, así como las que tengan como base el cambio del valor de los inmuebles</w:t>
      </w:r>
    </w:p>
    <w:p w14:paraId="78985845" w14:textId="77777777" w:rsidR="006976AD" w:rsidRPr="00C0258A" w:rsidRDefault="006976AD" w:rsidP="00673A3B">
      <w:pPr>
        <w:tabs>
          <w:tab w:val="left" w:pos="4962"/>
        </w:tabs>
        <w:spacing w:line="360" w:lineRule="auto"/>
        <w:contextualSpacing/>
        <w:jc w:val="both"/>
        <w:rPr>
          <w:rFonts w:ascii="Palatino Linotype" w:hAnsi="Palatino Linotype" w:cs="Tahoma"/>
          <w:bCs/>
          <w:sz w:val="22"/>
          <w:szCs w:val="22"/>
        </w:rPr>
      </w:pPr>
    </w:p>
    <w:p w14:paraId="220E5157" w14:textId="77777777"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r w:rsidRPr="00C0258A">
        <w:rPr>
          <w:rFonts w:ascii="Palatino Linotype" w:hAnsi="Palatino Linotype" w:cs="Tahoma"/>
          <w:bCs/>
          <w:sz w:val="22"/>
          <w:szCs w:val="22"/>
        </w:rPr>
        <w:t xml:space="preserve">En ese sentido, los artículos 107 y 108, del Código Financiero del Estado de México y Municipios, disponen que están obligadas al pago del Impuesto Predial las personas físicas y jurídicas colectivas que sean propietarias o poseedoras, según se trate, de inmuebles en el Estado, los cuales, deberán calcular anualmente el impuesto predial a su cargo y manifestarlo, en el mismo formato utilizado para determinar y declarar el valor catastral de sus inmuebles. </w:t>
      </w:r>
    </w:p>
    <w:p w14:paraId="08EBBAF8" w14:textId="77777777"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p>
    <w:p w14:paraId="160EB982" w14:textId="4182133D" w:rsidR="008B22B3" w:rsidRPr="00C0258A" w:rsidRDefault="00400D1B" w:rsidP="00673A3B">
      <w:pPr>
        <w:tabs>
          <w:tab w:val="left" w:pos="4962"/>
        </w:tabs>
        <w:spacing w:line="360" w:lineRule="auto"/>
        <w:contextualSpacing/>
        <w:jc w:val="both"/>
        <w:rPr>
          <w:rFonts w:ascii="Palatino Linotype" w:hAnsi="Palatino Linotype" w:cs="Tahoma"/>
          <w:bCs/>
          <w:sz w:val="22"/>
          <w:szCs w:val="22"/>
        </w:rPr>
      </w:pPr>
      <w:r w:rsidRPr="00C0258A">
        <w:rPr>
          <w:rFonts w:ascii="Palatino Linotype" w:hAnsi="Palatino Linotype" w:cs="Tahoma"/>
          <w:bCs/>
          <w:sz w:val="22"/>
          <w:szCs w:val="22"/>
        </w:rPr>
        <w:lastRenderedPageBreak/>
        <w:t>Debido a</w:t>
      </w:r>
      <w:r w:rsidR="008B22B3" w:rsidRPr="00C0258A">
        <w:rPr>
          <w:rFonts w:ascii="Palatino Linotype" w:hAnsi="Palatino Linotype" w:cs="Tahoma"/>
          <w:bCs/>
          <w:sz w:val="22"/>
          <w:szCs w:val="22"/>
        </w:rPr>
        <w:t xml:space="preserve"> lo anterior, se advierte que la pretensión del hoy Recurrente es obtener los recibos de pago de predial en los que se observe </w:t>
      </w:r>
      <w:r w:rsidRPr="00C0258A">
        <w:rPr>
          <w:rFonts w:ascii="Palatino Linotype" w:hAnsi="Palatino Linotype" w:cs="Tahoma"/>
          <w:bCs/>
          <w:sz w:val="22"/>
          <w:szCs w:val="22"/>
        </w:rPr>
        <w:t>el estatus o situación del pago</w:t>
      </w:r>
      <w:r w:rsidR="008B22B3" w:rsidRPr="00C0258A">
        <w:rPr>
          <w:rFonts w:ascii="Palatino Linotype" w:hAnsi="Palatino Linotype" w:cs="Tahoma"/>
          <w:bCs/>
          <w:sz w:val="22"/>
          <w:szCs w:val="22"/>
        </w:rPr>
        <w:t>.</w:t>
      </w:r>
      <w:r w:rsidRPr="00C0258A">
        <w:rPr>
          <w:rFonts w:ascii="Palatino Linotype" w:hAnsi="Palatino Linotype" w:cs="Tahoma"/>
          <w:bCs/>
          <w:sz w:val="22"/>
          <w:szCs w:val="22"/>
        </w:rPr>
        <w:t xml:space="preserve"> </w:t>
      </w:r>
      <w:r w:rsidR="008B22B3" w:rsidRPr="00C0258A">
        <w:rPr>
          <w:rFonts w:ascii="Palatino Linotype" w:hAnsi="Palatino Linotype" w:cs="Tahoma"/>
          <w:bCs/>
          <w:sz w:val="22"/>
          <w:szCs w:val="22"/>
        </w:rPr>
        <w:t xml:space="preserve">Al respecto, el pago del impuesto predial da cuenta del valor de un bien inmueble propiedad de personas físicas y jurídicas colectivas que están obligadas a cumplir con dicha contribución y pagar al Municipio la cuota correspondiente, por lo que se procede a analizar la naturaleza de la información, por lo cual es necesario analizar si se actualiza alguna causal de clasificación.  </w:t>
      </w:r>
    </w:p>
    <w:p w14:paraId="732729B1" w14:textId="77777777"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p>
    <w:p w14:paraId="429AAB3A" w14:textId="4DEF5F48"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r w:rsidRPr="00C0258A">
        <w:rPr>
          <w:rFonts w:ascii="Palatino Linotype" w:hAnsi="Palatino Linotype" w:cs="Tahoma"/>
          <w:bCs/>
          <w:sz w:val="22"/>
          <w:szCs w:val="22"/>
        </w:rPr>
        <w:t>En ese contexto, se advierte que la documentación comprobatoria del pago del impuesto predial, en poder del Ayuntamiento, corresponde a información fiscal, que debe ser clasificada como confidencial por secreto fiscal, en términos del artículo 143, fracción II de la Ley de Transparencia y Acceso a la Información Pública del Estado de México y Municipios, de acuerdo a los fundamentos que a continuación se analizan.</w:t>
      </w:r>
    </w:p>
    <w:p w14:paraId="42A7B9A5" w14:textId="77777777"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p>
    <w:p w14:paraId="5E03F88F" w14:textId="77777777"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r w:rsidRPr="00C0258A">
        <w:rPr>
          <w:rFonts w:ascii="Palatino Linotype" w:hAnsi="Palatino Linotype" w:cs="Tahoma"/>
          <w:bCs/>
          <w:sz w:val="22"/>
          <w:szCs w:val="22"/>
        </w:rPr>
        <w:t xml:space="preserve">El Código Financiero del Estado de México y Municipios, dispone lo siguiente: </w:t>
      </w:r>
    </w:p>
    <w:p w14:paraId="55CE8980" w14:textId="77777777" w:rsidR="008B22B3" w:rsidRPr="00C0258A" w:rsidRDefault="008B22B3" w:rsidP="00673A3B">
      <w:pPr>
        <w:tabs>
          <w:tab w:val="left" w:pos="4962"/>
        </w:tabs>
        <w:spacing w:line="360" w:lineRule="auto"/>
        <w:contextualSpacing/>
        <w:jc w:val="both"/>
        <w:rPr>
          <w:rFonts w:ascii="Palatino Linotype" w:hAnsi="Palatino Linotype" w:cs="Tahoma"/>
          <w:bCs/>
          <w:sz w:val="22"/>
          <w:szCs w:val="22"/>
        </w:rPr>
      </w:pPr>
    </w:p>
    <w:p w14:paraId="27C67BA8" w14:textId="59636961" w:rsidR="008B22B3" w:rsidRPr="00C0258A" w:rsidRDefault="008B22B3" w:rsidP="008B22B3">
      <w:pPr>
        <w:tabs>
          <w:tab w:val="left" w:pos="4962"/>
        </w:tabs>
        <w:spacing w:line="360" w:lineRule="auto"/>
        <w:ind w:left="567" w:right="539"/>
        <w:contextualSpacing/>
        <w:jc w:val="both"/>
        <w:rPr>
          <w:rFonts w:ascii="Palatino Linotype" w:hAnsi="Palatino Linotype" w:cs="Tahoma"/>
          <w:bCs/>
          <w:i/>
          <w:szCs w:val="22"/>
        </w:rPr>
      </w:pPr>
      <w:r w:rsidRPr="00C0258A">
        <w:rPr>
          <w:rFonts w:ascii="Palatino Linotype" w:hAnsi="Palatino Linotype" w:cs="Tahoma"/>
          <w:b/>
          <w:bCs/>
          <w:i/>
          <w:szCs w:val="22"/>
        </w:rPr>
        <w:t>Artículo 16.-</w:t>
      </w:r>
      <w:r w:rsidRPr="00C0258A">
        <w:rPr>
          <w:rFonts w:ascii="Palatino Linotype" w:hAnsi="Palatino Linotype" w:cs="Tahoma"/>
          <w:bCs/>
          <w:i/>
          <w:szCs w:val="22"/>
        </w:rPr>
        <w:t xml:space="preserve"> Son autoridades fiscales, el Gobernador, los ayuntamientos, los presidentes, síndicos y tesoreros municipales, así como los servidores públicos de las dependencias o unidades administrativas, y de los organismos públicos descentralizados, que en términos de las disposiciones legales y reglamentarias tengan atribuciones de esta naturaleza. </w:t>
      </w:r>
    </w:p>
    <w:p w14:paraId="21914B56" w14:textId="77777777" w:rsidR="008B22B3" w:rsidRPr="00C0258A" w:rsidRDefault="008B22B3" w:rsidP="008B22B3">
      <w:pPr>
        <w:tabs>
          <w:tab w:val="left" w:pos="4962"/>
        </w:tabs>
        <w:spacing w:line="360" w:lineRule="auto"/>
        <w:ind w:left="567" w:right="539"/>
        <w:contextualSpacing/>
        <w:jc w:val="both"/>
        <w:rPr>
          <w:rFonts w:ascii="Palatino Linotype" w:hAnsi="Palatino Linotype" w:cs="Tahoma"/>
          <w:bCs/>
          <w:i/>
          <w:szCs w:val="22"/>
        </w:rPr>
      </w:pPr>
    </w:p>
    <w:p w14:paraId="3789C629" w14:textId="066EFA67" w:rsidR="008B22B3" w:rsidRPr="00C0258A" w:rsidRDefault="008B22B3" w:rsidP="008B22B3">
      <w:pPr>
        <w:tabs>
          <w:tab w:val="left" w:pos="4962"/>
        </w:tabs>
        <w:spacing w:line="360" w:lineRule="auto"/>
        <w:ind w:left="567" w:right="539"/>
        <w:contextualSpacing/>
        <w:jc w:val="both"/>
        <w:rPr>
          <w:rFonts w:ascii="Palatino Linotype" w:hAnsi="Palatino Linotype" w:cs="Tahoma"/>
          <w:bCs/>
          <w:i/>
          <w:szCs w:val="22"/>
        </w:rPr>
      </w:pPr>
      <w:r w:rsidRPr="00C0258A">
        <w:rPr>
          <w:rFonts w:ascii="Palatino Linotype" w:hAnsi="Palatino Linotype" w:cs="Tahoma"/>
          <w:b/>
          <w:bCs/>
          <w:i/>
          <w:szCs w:val="22"/>
        </w:rPr>
        <w:t>Artículo 55.-</w:t>
      </w:r>
      <w:r w:rsidRPr="00C0258A">
        <w:rPr>
          <w:rFonts w:ascii="Palatino Linotype" w:hAnsi="Palatino Linotype" w:cs="Tahoma"/>
          <w:bCs/>
          <w:i/>
          <w:szCs w:val="22"/>
        </w:rPr>
        <w:t xml:space="preserve"> Los servidores públicos que intervengan en trámites relativos a la aplicación de este Código, están obligados a guardar en absoluta reserva o confidencialidad, según sea el caso, lo concerniente a las declaraciones y datos que proporcionen los particulares o terceros relacionados con ellos, así como los obtenidos en el ejercicio de las facultades de comprobación.</w:t>
      </w:r>
    </w:p>
    <w:p w14:paraId="024A0656" w14:textId="77777777" w:rsidR="008B22B3" w:rsidRPr="00C0258A" w:rsidRDefault="008B22B3" w:rsidP="008B22B3">
      <w:pPr>
        <w:tabs>
          <w:tab w:val="left" w:pos="4962"/>
        </w:tabs>
        <w:spacing w:line="360" w:lineRule="auto"/>
        <w:jc w:val="both"/>
        <w:rPr>
          <w:rFonts w:ascii="Palatino Linotype" w:eastAsia="Calibri" w:hAnsi="Palatino Linotype" w:cs="Tahoma"/>
          <w:b/>
          <w:bCs/>
          <w:iCs/>
          <w:szCs w:val="22"/>
          <w:lang w:val="es-ES" w:eastAsia="es-ES_tradnl"/>
        </w:rPr>
      </w:pPr>
    </w:p>
    <w:p w14:paraId="6A88FC4F" w14:textId="2B0C9DF3" w:rsidR="008B22B3" w:rsidRPr="00C0258A" w:rsidRDefault="008B22B3" w:rsidP="008B22B3">
      <w:pPr>
        <w:tabs>
          <w:tab w:val="left" w:pos="4962"/>
        </w:tabs>
        <w:spacing w:line="360" w:lineRule="auto"/>
        <w:jc w:val="both"/>
        <w:rPr>
          <w:rFonts w:ascii="Palatino Linotype" w:eastAsia="Calibri" w:hAnsi="Palatino Linotype" w:cs="Tahoma"/>
          <w:bCs/>
          <w:iCs/>
          <w:sz w:val="22"/>
          <w:szCs w:val="22"/>
          <w:lang w:val="es-ES" w:eastAsia="es-ES_tradnl"/>
        </w:rPr>
      </w:pPr>
      <w:r w:rsidRPr="00C0258A">
        <w:rPr>
          <w:rFonts w:ascii="Palatino Linotype" w:eastAsia="Calibri" w:hAnsi="Palatino Linotype" w:cs="Tahoma"/>
          <w:bCs/>
          <w:iCs/>
          <w:sz w:val="22"/>
          <w:szCs w:val="22"/>
          <w:lang w:val="es-ES" w:eastAsia="es-ES_tradnl"/>
        </w:rPr>
        <w:t xml:space="preserve">De los preceptos normativos referidos, es posible advertir que Código Financiero del Estado de México y Municipios otorga el carácter de autoridad fiscal a los tesoreros municipales, así como los servidores públicos de las dependencias o unidades administrativas que tengan </w:t>
      </w:r>
      <w:r w:rsidRPr="00C0258A">
        <w:rPr>
          <w:rFonts w:ascii="Palatino Linotype" w:eastAsia="Calibri" w:hAnsi="Palatino Linotype" w:cs="Tahoma"/>
          <w:bCs/>
          <w:iCs/>
          <w:sz w:val="22"/>
          <w:szCs w:val="22"/>
          <w:lang w:val="es-ES" w:eastAsia="es-ES_tradnl"/>
        </w:rPr>
        <w:lastRenderedPageBreak/>
        <w:t>atribuciones de esta naturaleza, los cuales tienen la obligación de guardar reserva y confidencialidad en relación con los trámites regulados por el Código en cita, en cuanto a los datos y documentos que proporcionen los particulares o terceros relacionados con ellos, siendo que dentro de las causales de excepción de la clasificación se prevé cuando autoridad competente o judicial lo requiera, créditos fiscales, auxilien a las autoridades fiscales en la búsqueda y localización de contribuyentes.</w:t>
      </w:r>
    </w:p>
    <w:p w14:paraId="1E143717" w14:textId="77777777" w:rsidR="008B22B3" w:rsidRPr="00C0258A" w:rsidRDefault="008B22B3" w:rsidP="008B22B3">
      <w:pPr>
        <w:tabs>
          <w:tab w:val="left" w:pos="4962"/>
        </w:tabs>
        <w:spacing w:line="360" w:lineRule="auto"/>
        <w:jc w:val="both"/>
        <w:rPr>
          <w:rFonts w:ascii="Palatino Linotype" w:eastAsia="Calibri" w:hAnsi="Palatino Linotype" w:cs="Tahoma"/>
          <w:bCs/>
          <w:iCs/>
          <w:sz w:val="22"/>
          <w:szCs w:val="22"/>
          <w:lang w:val="es-ES" w:eastAsia="es-ES_tradnl"/>
        </w:rPr>
      </w:pPr>
    </w:p>
    <w:p w14:paraId="58BD5DF6" w14:textId="77777777" w:rsidR="008B22B3" w:rsidRPr="00C0258A" w:rsidRDefault="008B22B3" w:rsidP="008B22B3">
      <w:pPr>
        <w:tabs>
          <w:tab w:val="left" w:pos="4962"/>
        </w:tabs>
        <w:spacing w:line="360" w:lineRule="auto"/>
        <w:jc w:val="both"/>
        <w:rPr>
          <w:rFonts w:ascii="Palatino Linotype" w:eastAsia="Calibri" w:hAnsi="Palatino Linotype" w:cs="Tahoma"/>
          <w:bCs/>
          <w:iCs/>
          <w:sz w:val="22"/>
          <w:szCs w:val="22"/>
          <w:lang w:val="es-ES" w:eastAsia="es-ES_tradnl"/>
        </w:rPr>
      </w:pPr>
      <w:r w:rsidRPr="00C0258A">
        <w:rPr>
          <w:rFonts w:ascii="Palatino Linotype" w:eastAsia="Calibri" w:hAnsi="Palatino Linotype" w:cs="Tahoma"/>
          <w:bCs/>
          <w:iCs/>
          <w:sz w:val="22"/>
          <w:szCs w:val="22"/>
          <w:lang w:val="es-ES" w:eastAsia="es-ES_tradnl"/>
        </w:rPr>
        <w:t xml:space="preserve">Asimismo, Código Financiero del Estado de México y Municipios dentro de los ingresos de los municipios que regula, se encuentra el impuesto predial, el cual es el gravamen que efectúan las personas físicas y jurídicas colectivas que sean propietarias o poseedoras, de inmuebles el cual se debe calcular con base en el valor catastral mediante formato presentado ante el catastro municipal.  </w:t>
      </w:r>
    </w:p>
    <w:p w14:paraId="3CBA7AF9" w14:textId="77777777" w:rsidR="008B22B3" w:rsidRPr="00C0258A" w:rsidRDefault="008B22B3" w:rsidP="008B22B3">
      <w:pPr>
        <w:tabs>
          <w:tab w:val="left" w:pos="4962"/>
        </w:tabs>
        <w:spacing w:line="360" w:lineRule="auto"/>
        <w:jc w:val="both"/>
        <w:rPr>
          <w:rFonts w:ascii="Palatino Linotype" w:eastAsia="Calibri" w:hAnsi="Palatino Linotype" w:cs="Tahoma"/>
          <w:bCs/>
          <w:iCs/>
          <w:sz w:val="22"/>
          <w:szCs w:val="22"/>
          <w:lang w:val="es-ES" w:eastAsia="es-ES_tradnl"/>
        </w:rPr>
      </w:pPr>
    </w:p>
    <w:p w14:paraId="08922F99" w14:textId="1DEA3AA7" w:rsidR="008B22B3" w:rsidRPr="00C0258A" w:rsidRDefault="008B22B3" w:rsidP="008B22B3">
      <w:pPr>
        <w:tabs>
          <w:tab w:val="left" w:pos="4962"/>
        </w:tabs>
        <w:spacing w:line="360" w:lineRule="auto"/>
        <w:jc w:val="both"/>
        <w:rPr>
          <w:rFonts w:ascii="Palatino Linotype" w:eastAsia="Calibri" w:hAnsi="Palatino Linotype" w:cs="Tahoma"/>
          <w:bCs/>
          <w:iCs/>
          <w:sz w:val="22"/>
          <w:szCs w:val="22"/>
          <w:lang w:val="es-ES" w:eastAsia="es-ES_tradnl"/>
        </w:rPr>
      </w:pPr>
      <w:r w:rsidRPr="00C0258A">
        <w:rPr>
          <w:rFonts w:ascii="Palatino Linotype" w:eastAsia="Calibri" w:hAnsi="Palatino Linotype" w:cs="Tahoma"/>
          <w:bCs/>
          <w:iCs/>
          <w:sz w:val="22"/>
          <w:szCs w:val="22"/>
          <w:lang w:val="es-ES" w:eastAsia="es-ES_tradnl"/>
        </w:rPr>
        <w:t>Luego entonces, es posible advertir que la información relacionada con el pago del impuesto predial se generó en el área de catastro adscrita a la Tesorería Municipal, derivado de sus funciones como órgano recaudador, es decir, no se trata de información que obre en algún expediente de carácter administrativo sino por el contrario es información generada en el ámbito de sus atribuciones como autoridad fiscal, por lo que cuenta con la facultad de clasificar la información obtenida en virtud de los diversos trámites relativos a la aplicación de las disposiciones tributarias. Consecuentemente, resulta procedente la clasificación como confidencial, ello, con fundamento en el artículo 143, fracción II, de la Ley de Transparencia y Acceso a la Información Pública del Estado de México y Municipios.</w:t>
      </w:r>
    </w:p>
    <w:p w14:paraId="487492E8" w14:textId="77777777" w:rsidR="00811BF5" w:rsidRPr="00C0258A" w:rsidRDefault="00811BF5" w:rsidP="008B22B3">
      <w:pPr>
        <w:tabs>
          <w:tab w:val="left" w:pos="4962"/>
        </w:tabs>
        <w:spacing w:line="360" w:lineRule="auto"/>
        <w:jc w:val="both"/>
        <w:rPr>
          <w:rFonts w:ascii="Palatino Linotype" w:eastAsia="Calibri" w:hAnsi="Palatino Linotype" w:cs="Tahoma"/>
          <w:bCs/>
          <w:iCs/>
          <w:sz w:val="22"/>
          <w:szCs w:val="22"/>
          <w:lang w:val="es-ES" w:eastAsia="es-ES_tradnl"/>
        </w:rPr>
      </w:pPr>
    </w:p>
    <w:p w14:paraId="5180CD87" w14:textId="77777777" w:rsidR="00811BF5" w:rsidRPr="00C0258A" w:rsidRDefault="00811BF5" w:rsidP="00811BF5">
      <w:pPr>
        <w:spacing w:line="360" w:lineRule="auto"/>
        <w:jc w:val="both"/>
        <w:rPr>
          <w:rFonts w:ascii="Palatino Linotype" w:eastAsia="Calibri" w:hAnsi="Palatino Linotype" w:cs="Tahoma"/>
          <w:b/>
          <w:bCs/>
          <w:sz w:val="22"/>
          <w:szCs w:val="22"/>
          <w:lang w:val="es-ES" w:eastAsia="en-US"/>
        </w:rPr>
      </w:pPr>
      <w:r w:rsidRPr="00C0258A">
        <w:rPr>
          <w:rFonts w:ascii="Palatino Linotype" w:eastAsia="Calibri" w:hAnsi="Palatino Linotype" w:cs="Tahoma"/>
          <w:bCs/>
          <w:sz w:val="22"/>
          <w:szCs w:val="22"/>
          <w:lang w:val="es-ES" w:eastAsia="en-US"/>
        </w:rPr>
        <w:t xml:space="preserve">Así, el artículo 143, fracción II, de la Ley de Transparencia y Acceso a la Información Pública del Estado de México y Municipios, dispone que se considera información confidencial, los secretos bancario, fiduciario, industrial, comercial, </w:t>
      </w:r>
      <w:r w:rsidRPr="00C0258A">
        <w:rPr>
          <w:rFonts w:ascii="Palatino Linotype" w:eastAsia="Calibri" w:hAnsi="Palatino Linotype" w:cs="Tahoma"/>
          <w:b/>
          <w:bCs/>
          <w:sz w:val="22"/>
          <w:szCs w:val="22"/>
          <w:lang w:val="es-ES" w:eastAsia="en-US"/>
        </w:rPr>
        <w:t>fiscal</w:t>
      </w:r>
      <w:r w:rsidRPr="00C0258A">
        <w:rPr>
          <w:rFonts w:ascii="Palatino Linotype" w:eastAsia="Calibri" w:hAnsi="Palatino Linotype" w:cs="Tahoma"/>
          <w:bCs/>
          <w:sz w:val="22"/>
          <w:szCs w:val="22"/>
          <w:lang w:val="es-ES" w:eastAsia="en-US"/>
        </w:rPr>
        <w:t xml:space="preserve">, bursátil y postal, </w:t>
      </w:r>
      <w:r w:rsidRPr="00C0258A">
        <w:rPr>
          <w:rFonts w:ascii="Palatino Linotype" w:eastAsia="Calibri" w:hAnsi="Palatino Linotype" w:cs="Tahoma"/>
          <w:b/>
          <w:bCs/>
          <w:sz w:val="22"/>
          <w:szCs w:val="22"/>
          <w:lang w:val="es-ES" w:eastAsia="en-US"/>
        </w:rPr>
        <w:t xml:space="preserve">cuya titularidad </w:t>
      </w:r>
      <w:r w:rsidRPr="00C0258A">
        <w:rPr>
          <w:rFonts w:ascii="Palatino Linotype" w:eastAsia="Calibri" w:hAnsi="Palatino Linotype" w:cs="Tahoma"/>
          <w:b/>
          <w:bCs/>
          <w:sz w:val="22"/>
          <w:szCs w:val="22"/>
          <w:lang w:val="es-ES" w:eastAsia="en-US"/>
        </w:rPr>
        <w:lastRenderedPageBreak/>
        <w:t>corresponda a particulares</w:t>
      </w:r>
      <w:r w:rsidRPr="00C0258A">
        <w:rPr>
          <w:rFonts w:ascii="Palatino Linotype" w:eastAsia="Calibri" w:hAnsi="Palatino Linotype" w:cs="Tahoma"/>
          <w:bCs/>
          <w:sz w:val="22"/>
          <w:szCs w:val="22"/>
          <w:lang w:val="es-ES" w:eastAsia="en-US"/>
        </w:rPr>
        <w:t xml:space="preserve">, sujetos de derecho internacional o a sujetos obligados </w:t>
      </w:r>
      <w:r w:rsidRPr="00C0258A">
        <w:rPr>
          <w:rFonts w:ascii="Palatino Linotype" w:eastAsia="Calibri" w:hAnsi="Palatino Linotype" w:cs="Tahoma"/>
          <w:b/>
          <w:bCs/>
          <w:sz w:val="22"/>
          <w:szCs w:val="22"/>
          <w:lang w:val="es-ES" w:eastAsia="en-US"/>
        </w:rPr>
        <w:t>cuando no involucren el ejercicio de recursos públicos.</w:t>
      </w:r>
    </w:p>
    <w:p w14:paraId="5559A7F5" w14:textId="77777777" w:rsidR="00811BF5" w:rsidRPr="00C0258A" w:rsidRDefault="00811BF5" w:rsidP="00811BF5">
      <w:pPr>
        <w:spacing w:line="360" w:lineRule="auto"/>
        <w:jc w:val="both"/>
        <w:rPr>
          <w:rFonts w:ascii="Palatino Linotype" w:eastAsia="Calibri" w:hAnsi="Palatino Linotype" w:cs="Tahoma"/>
          <w:bCs/>
          <w:sz w:val="22"/>
          <w:szCs w:val="22"/>
          <w:lang w:val="es-ES" w:eastAsia="en-US"/>
        </w:rPr>
      </w:pPr>
    </w:p>
    <w:p w14:paraId="6B8D3BC4" w14:textId="048292B8" w:rsidR="00811BF5" w:rsidRPr="00C0258A" w:rsidRDefault="00811BF5" w:rsidP="00811BF5">
      <w:pPr>
        <w:spacing w:line="360" w:lineRule="auto"/>
        <w:jc w:val="both"/>
        <w:rPr>
          <w:rFonts w:ascii="Palatino Linotype" w:eastAsia="Calibri" w:hAnsi="Palatino Linotype" w:cs="Tahoma"/>
          <w:bCs/>
          <w:sz w:val="22"/>
          <w:szCs w:val="22"/>
          <w:lang w:val="es-ES" w:eastAsia="en-US"/>
        </w:rPr>
      </w:pPr>
      <w:r w:rsidRPr="00C0258A">
        <w:rPr>
          <w:rFonts w:ascii="Palatino Linotype" w:eastAsia="Calibri" w:hAnsi="Palatino Linotype" w:cs="Tahoma"/>
          <w:bCs/>
          <w:sz w:val="22"/>
          <w:szCs w:val="22"/>
          <w:lang w:val="es-ES" w:eastAsia="en-US"/>
        </w:rPr>
        <w:t xml:space="preserve">En este orden de ideas, en términos del Cuadragésimo quinto de los </w:t>
      </w:r>
      <w:r w:rsidRPr="00C0258A">
        <w:rPr>
          <w:rFonts w:ascii="Palatino Linotype" w:eastAsia="Calibri" w:hAnsi="Palatino Linotype" w:cs="Tahoma"/>
          <w:bCs/>
          <w:sz w:val="22"/>
          <w:szCs w:val="22"/>
          <w:lang w:eastAsia="en-US"/>
        </w:rPr>
        <w:t xml:space="preserve">Lineamientos Generales en Materia de Clasificación y Desclasificación de la Información, así como para la Elaboración de Versiones Públicas vigentes al momento de interponer la solicitud de información, </w:t>
      </w:r>
      <w:r w:rsidRPr="00C0258A">
        <w:rPr>
          <w:rFonts w:ascii="Palatino Linotype" w:eastAsia="Calibri" w:hAnsi="Palatino Linotype" w:cs="Tahoma"/>
          <w:bCs/>
          <w:sz w:val="22"/>
          <w:szCs w:val="22"/>
          <w:lang w:val="es-ES" w:eastAsia="en-US"/>
        </w:rPr>
        <w:t>para clasificar la información por secreto fiscal, se deberá acreditar que se trata de información tributaria, declaraciones y/o datos suministrados por los contribuyentes o aquellos obtenidos por la autoridad fiscal en el ejercicio de sus facultades de comprobación. Así, las autoridades municipales, en su carácter de autoridad fiscal, tienen la facultad de clasificar la información obtenida en virtud de los diversos trámites relativos al cobro de contribuciones, como es el caso del impuesto predial, así como de aquella relacionada con el ejercicio de sus atribuciones de comprobación.</w:t>
      </w:r>
    </w:p>
    <w:p w14:paraId="243ABF46" w14:textId="77777777" w:rsidR="00811BF5" w:rsidRPr="00C0258A" w:rsidRDefault="00811BF5" w:rsidP="00811BF5">
      <w:pPr>
        <w:spacing w:line="360" w:lineRule="auto"/>
        <w:jc w:val="both"/>
        <w:rPr>
          <w:rFonts w:ascii="Palatino Linotype" w:eastAsia="Calibri" w:hAnsi="Palatino Linotype" w:cs="Tahoma"/>
          <w:bCs/>
          <w:sz w:val="22"/>
          <w:szCs w:val="22"/>
          <w:lang w:val="es-ES" w:eastAsia="en-US"/>
        </w:rPr>
      </w:pPr>
    </w:p>
    <w:p w14:paraId="7CC897A6" w14:textId="77777777" w:rsidR="00811BF5" w:rsidRPr="00C0258A" w:rsidRDefault="00811BF5" w:rsidP="00811BF5">
      <w:pPr>
        <w:spacing w:line="360" w:lineRule="auto"/>
        <w:jc w:val="both"/>
        <w:rPr>
          <w:rFonts w:ascii="Palatino Linotype" w:eastAsia="Calibri" w:hAnsi="Palatino Linotype" w:cs="Tahoma"/>
          <w:bCs/>
          <w:sz w:val="22"/>
          <w:szCs w:val="22"/>
          <w:lang w:val="es-ES" w:eastAsia="en-US"/>
        </w:rPr>
      </w:pPr>
      <w:r w:rsidRPr="00C0258A">
        <w:rPr>
          <w:rFonts w:ascii="Palatino Linotype" w:eastAsia="Calibri" w:hAnsi="Palatino Linotype" w:cs="Tahoma"/>
          <w:bCs/>
          <w:sz w:val="22"/>
          <w:szCs w:val="22"/>
          <w:lang w:val="es-ES" w:eastAsia="en-US"/>
        </w:rPr>
        <w:t>Dada la naturaleza de la información relacionada con el pago de contribuciones, esta no está sujeta a temporalidad alguna de clasificación y únicamente pueden tener acceso a ella los titulares de la misma, sus representantes legales y los servidores públicos facultados para ello, por lo que no procede su entrega vía una solicitud de acceso a información pública, ya que al no existir ejercicio de recursos públicos, este tipo de información no reviste un interés público, por el contrario entra dentro del aspecto privado de las personas físicas o jurídico-colectivas, pues la clasificación de la misma no se da en función del tipo de propietario sino de la naturaleza fiscal de la información.</w:t>
      </w:r>
    </w:p>
    <w:p w14:paraId="366EB67D" w14:textId="77777777" w:rsidR="00811BF5" w:rsidRPr="00C0258A" w:rsidRDefault="00811BF5" w:rsidP="00811BF5">
      <w:pPr>
        <w:spacing w:line="360" w:lineRule="auto"/>
        <w:jc w:val="both"/>
        <w:rPr>
          <w:rFonts w:ascii="Palatino Linotype" w:eastAsia="Calibri" w:hAnsi="Palatino Linotype" w:cs="Tahoma"/>
          <w:bCs/>
          <w:sz w:val="22"/>
          <w:szCs w:val="22"/>
          <w:lang w:val="es-ES" w:eastAsia="en-US"/>
        </w:rPr>
      </w:pPr>
    </w:p>
    <w:p w14:paraId="505BA490" w14:textId="77777777" w:rsidR="00811BF5" w:rsidRPr="00C0258A" w:rsidRDefault="00811BF5" w:rsidP="00811BF5">
      <w:pPr>
        <w:spacing w:line="360" w:lineRule="auto"/>
        <w:jc w:val="both"/>
        <w:rPr>
          <w:rFonts w:ascii="Palatino Linotype" w:eastAsia="Calibri" w:hAnsi="Palatino Linotype" w:cs="Tahoma"/>
          <w:bCs/>
          <w:sz w:val="22"/>
          <w:szCs w:val="22"/>
          <w:lang w:val="es-ES" w:eastAsia="en-US"/>
        </w:rPr>
      </w:pPr>
      <w:r w:rsidRPr="00C0258A">
        <w:rPr>
          <w:rFonts w:ascii="Palatino Linotype" w:eastAsia="Calibri" w:hAnsi="Palatino Linotype" w:cs="Tahoma"/>
          <w:bCs/>
          <w:sz w:val="22"/>
          <w:szCs w:val="22"/>
          <w:lang w:val="es-ES" w:eastAsia="en-US"/>
        </w:rPr>
        <w:t xml:space="preserve">De igual forma, los sujetos obligados que se constituyan como contribuyentes o como autoridades en materia tributaria no podrán clasificar la información relativa al cumplimiento de sus obligaciones fiscales en ejercicio de recursos públicos como secreto fiscal, tal y como lo </w:t>
      </w:r>
      <w:r w:rsidRPr="00C0258A">
        <w:rPr>
          <w:rFonts w:ascii="Palatino Linotype" w:eastAsia="Calibri" w:hAnsi="Palatino Linotype" w:cs="Tahoma"/>
          <w:bCs/>
          <w:sz w:val="22"/>
          <w:szCs w:val="22"/>
          <w:lang w:val="es-ES" w:eastAsia="en-US"/>
        </w:rPr>
        <w:lastRenderedPageBreak/>
        <w:t xml:space="preserve">prevé la Ley de la materia, al excluir de manera clara la posibilidad de clasificar la información fiscal cuanto está relacionada con el ejercicio de recursos públicos. </w:t>
      </w:r>
    </w:p>
    <w:p w14:paraId="66C50945" w14:textId="77777777" w:rsidR="00811BF5" w:rsidRPr="00C0258A" w:rsidRDefault="00811BF5" w:rsidP="00811BF5">
      <w:pPr>
        <w:spacing w:line="360" w:lineRule="auto"/>
        <w:jc w:val="both"/>
        <w:rPr>
          <w:rFonts w:ascii="Palatino Linotype" w:eastAsia="Calibri" w:hAnsi="Palatino Linotype" w:cs="Tahoma"/>
          <w:bCs/>
          <w:sz w:val="22"/>
          <w:szCs w:val="22"/>
          <w:lang w:val="es-ES" w:eastAsia="en-US"/>
        </w:rPr>
      </w:pPr>
    </w:p>
    <w:p w14:paraId="3001778E" w14:textId="77777777" w:rsidR="00811BF5" w:rsidRPr="00C0258A" w:rsidRDefault="00811BF5" w:rsidP="00811BF5">
      <w:pPr>
        <w:spacing w:line="360" w:lineRule="auto"/>
        <w:jc w:val="both"/>
        <w:rPr>
          <w:rFonts w:ascii="Palatino Linotype" w:eastAsia="Calibri" w:hAnsi="Palatino Linotype" w:cs="Tahoma"/>
          <w:bCs/>
          <w:iCs/>
          <w:sz w:val="22"/>
          <w:szCs w:val="22"/>
          <w:lang w:val="es-ES" w:eastAsia="en-US"/>
        </w:rPr>
      </w:pPr>
      <w:r w:rsidRPr="00C0258A">
        <w:rPr>
          <w:rFonts w:ascii="Palatino Linotype" w:eastAsia="Calibri" w:hAnsi="Palatino Linotype" w:cs="Tahoma"/>
          <w:bCs/>
          <w:sz w:val="22"/>
          <w:szCs w:val="22"/>
          <w:lang w:val="es-ES" w:eastAsia="en-US"/>
        </w:rPr>
        <w:t>Sobre el particular, resulta aplicable la tesis aislada con número 1a.</w:t>
      </w:r>
      <w:r w:rsidRPr="00C0258A">
        <w:rPr>
          <w:rFonts w:ascii="Palatino Linotype" w:eastAsia="Calibri" w:hAnsi="Palatino Linotype" w:cs="Tahoma"/>
          <w:bCs/>
          <w:iCs/>
          <w:sz w:val="22"/>
          <w:szCs w:val="22"/>
          <w:lang w:val="es-ES" w:eastAsia="en-US"/>
        </w:rPr>
        <w:t xml:space="preserve"> CVII/2013 (10a.), emitida por la Primera Sala de la Suprema Corte de Justicia de la Nación, publicada en el Semanario Judicial de la Federación y su Gaceta, Libro XIX, Tomo 1, página 970, de abril de 2013, Décima Época, materia administrativa, de rubro y texto siguiente:</w:t>
      </w:r>
    </w:p>
    <w:p w14:paraId="4354541C" w14:textId="77777777" w:rsidR="00811BF5" w:rsidRPr="00C0258A" w:rsidRDefault="00811BF5" w:rsidP="00811BF5">
      <w:pPr>
        <w:spacing w:line="360" w:lineRule="auto"/>
        <w:jc w:val="both"/>
        <w:rPr>
          <w:rFonts w:ascii="Palatino Linotype" w:eastAsia="Calibri" w:hAnsi="Palatino Linotype" w:cs="Tahoma"/>
          <w:bCs/>
          <w:iCs/>
          <w:sz w:val="22"/>
          <w:szCs w:val="22"/>
          <w:lang w:val="es-ES" w:eastAsia="en-US"/>
        </w:rPr>
      </w:pPr>
    </w:p>
    <w:p w14:paraId="152B81A1" w14:textId="77777777" w:rsidR="00811BF5" w:rsidRPr="00C0258A" w:rsidRDefault="00811BF5" w:rsidP="00811BF5">
      <w:pPr>
        <w:spacing w:line="360" w:lineRule="auto"/>
        <w:ind w:left="567" w:right="567"/>
        <w:jc w:val="both"/>
        <w:rPr>
          <w:rFonts w:ascii="Palatino Linotype" w:eastAsia="Calibri" w:hAnsi="Palatino Linotype" w:cs="Tahoma"/>
          <w:bCs/>
          <w:i/>
          <w:iCs/>
          <w:szCs w:val="22"/>
          <w:lang w:val="es-ES" w:eastAsia="en-US"/>
        </w:rPr>
      </w:pPr>
      <w:r w:rsidRPr="00C0258A">
        <w:rPr>
          <w:rFonts w:ascii="Palatino Linotype" w:eastAsia="Calibri" w:hAnsi="Palatino Linotype" w:cs="Tahoma"/>
          <w:b/>
          <w:bCs/>
          <w:i/>
          <w:iCs/>
          <w:szCs w:val="22"/>
          <w:lang w:val="es-ES" w:eastAsia="en-US"/>
        </w:rPr>
        <w:t xml:space="preserve">SECRETO FISCAL. CONCEPTO DE. </w:t>
      </w:r>
      <w:r w:rsidRPr="00C0258A">
        <w:rPr>
          <w:rFonts w:ascii="Palatino Linotype" w:eastAsia="Calibri" w:hAnsi="Palatino Linotype" w:cs="Tahoma"/>
          <w:bCs/>
          <w:i/>
          <w:iCs/>
          <w:szCs w:val="22"/>
          <w:lang w:val="es-ES" w:eastAsia="en-US"/>
        </w:rPr>
        <w:t>El artículo 69 del Código Fiscal de la Federación establece la obligación de reserva absoluta en lo concerniente a la información tributaria del contribuyente (declaraciones y datos suministrados por los contribuyentes o por terceros con ellos relacionados, así como los obtenidos en el ejercicio de las facultades de comprobación), a cargo del personal de la autoridad fiscal que intervenga en los trámites relativos a la aplicación de disposiciones fiscales. Así, en principio, dicha medida legislativa establece una concreta carga -de no hacer- impuesta al personal -servidores públicos- de la autoridad fiscal, consistente en que al aplicar las disposiciones fiscales no deben revelar de ninguna forma información tributaria de los contribuyentes. En esto precisamente, desde la perspectiva del derecho positivo, consiste el `secreto fiscal´. Por ende, la intervención legislativa por la cual se estableció el secreto fiscal no se encuentra diseñada normativamente como un principio o derecho fundamental, sino más bien como una regla-fin en los términos señalados. Pero la reserva del secreto fiscal no es absoluta, tal y como lo dispone el mismo artículo 69, con independencia de que en principio así se encuentre establecido textualmente, sino relativa al establecer dicho precepto distintas excepciones al respecto.”</w:t>
      </w:r>
    </w:p>
    <w:p w14:paraId="4118AD98" w14:textId="77777777" w:rsidR="00811BF5" w:rsidRPr="00C0258A" w:rsidRDefault="00811BF5" w:rsidP="00811BF5">
      <w:pPr>
        <w:spacing w:line="360" w:lineRule="auto"/>
        <w:jc w:val="both"/>
        <w:rPr>
          <w:rFonts w:ascii="Palatino Linotype" w:eastAsia="Calibri" w:hAnsi="Palatino Linotype" w:cs="Tahoma"/>
          <w:bCs/>
          <w:iCs/>
          <w:sz w:val="22"/>
          <w:szCs w:val="22"/>
          <w:lang w:val="es-ES" w:eastAsia="en-US"/>
        </w:rPr>
      </w:pPr>
    </w:p>
    <w:p w14:paraId="6AC86B38" w14:textId="77777777" w:rsidR="00811BF5" w:rsidRPr="00C0258A" w:rsidRDefault="00811BF5" w:rsidP="00811BF5">
      <w:pPr>
        <w:spacing w:line="360" w:lineRule="auto"/>
        <w:jc w:val="both"/>
        <w:rPr>
          <w:rFonts w:ascii="Palatino Linotype" w:eastAsia="Calibri" w:hAnsi="Palatino Linotype" w:cs="Tahoma"/>
          <w:bCs/>
          <w:iCs/>
          <w:sz w:val="22"/>
          <w:szCs w:val="22"/>
          <w:lang w:val="es-ES" w:eastAsia="en-US"/>
        </w:rPr>
      </w:pPr>
      <w:r w:rsidRPr="00C0258A">
        <w:rPr>
          <w:rFonts w:ascii="Palatino Linotype" w:eastAsia="Calibri" w:hAnsi="Palatino Linotype" w:cs="Tahoma"/>
          <w:bCs/>
          <w:iCs/>
          <w:sz w:val="22"/>
          <w:szCs w:val="22"/>
          <w:lang w:val="es-ES" w:eastAsia="en-US"/>
        </w:rPr>
        <w:t xml:space="preserve">Como se aprecia, el </w:t>
      </w:r>
      <w:r w:rsidRPr="00C0258A">
        <w:rPr>
          <w:rFonts w:ascii="Palatino Linotype" w:eastAsia="Calibri" w:hAnsi="Palatino Linotype" w:cs="Tahoma"/>
          <w:b/>
          <w:bCs/>
          <w:iCs/>
          <w:sz w:val="22"/>
          <w:szCs w:val="22"/>
          <w:lang w:val="es-ES" w:eastAsia="en-US"/>
        </w:rPr>
        <w:t>secreto fiscal</w:t>
      </w:r>
      <w:r w:rsidRPr="00C0258A">
        <w:rPr>
          <w:rFonts w:ascii="Palatino Linotype" w:eastAsia="Calibri" w:hAnsi="Palatino Linotype" w:cs="Tahoma"/>
          <w:bCs/>
          <w:iCs/>
          <w:sz w:val="22"/>
          <w:szCs w:val="22"/>
          <w:lang w:val="es-ES" w:eastAsia="en-US"/>
        </w:rPr>
        <w:t xml:space="preserve"> consiste en la </w:t>
      </w:r>
      <w:r w:rsidRPr="00C0258A">
        <w:rPr>
          <w:rFonts w:ascii="Palatino Linotype" w:eastAsia="Calibri" w:hAnsi="Palatino Linotype" w:cs="Tahoma"/>
          <w:b/>
          <w:bCs/>
          <w:iCs/>
          <w:sz w:val="22"/>
          <w:szCs w:val="22"/>
          <w:lang w:val="es-ES" w:eastAsia="en-US"/>
        </w:rPr>
        <w:t>obligación de protección absoluta</w:t>
      </w:r>
      <w:r w:rsidRPr="00C0258A">
        <w:rPr>
          <w:rFonts w:ascii="Palatino Linotype" w:eastAsia="Calibri" w:hAnsi="Palatino Linotype" w:cs="Tahoma"/>
          <w:bCs/>
          <w:iCs/>
          <w:sz w:val="22"/>
          <w:szCs w:val="22"/>
          <w:lang w:val="es-ES" w:eastAsia="en-US"/>
        </w:rPr>
        <w:t xml:space="preserve"> en lo concerniente </w:t>
      </w:r>
      <w:r w:rsidRPr="00C0258A">
        <w:rPr>
          <w:rFonts w:ascii="Palatino Linotype" w:eastAsia="Calibri" w:hAnsi="Palatino Linotype" w:cs="Tahoma"/>
          <w:b/>
          <w:bCs/>
          <w:iCs/>
          <w:sz w:val="22"/>
          <w:szCs w:val="22"/>
          <w:lang w:val="es-ES" w:eastAsia="en-US"/>
        </w:rPr>
        <w:t>a la información tributaria del contribuyente</w:t>
      </w:r>
      <w:r w:rsidRPr="00C0258A">
        <w:rPr>
          <w:rFonts w:ascii="Palatino Linotype" w:eastAsia="Calibri" w:hAnsi="Palatino Linotype" w:cs="Tahoma"/>
          <w:bCs/>
          <w:iCs/>
          <w:sz w:val="22"/>
          <w:szCs w:val="22"/>
          <w:lang w:val="es-ES" w:eastAsia="en-US"/>
        </w:rPr>
        <w:t xml:space="preserve"> (declaraciones y datos suministrados por los contribuyentes o por terceros con ellos relacionados, así como los obtenidos en el ejercicio de las facultades de comprobación), </w:t>
      </w:r>
      <w:r w:rsidRPr="00C0258A">
        <w:rPr>
          <w:rFonts w:ascii="Palatino Linotype" w:eastAsia="Calibri" w:hAnsi="Palatino Linotype" w:cs="Tahoma"/>
          <w:b/>
          <w:bCs/>
          <w:iCs/>
          <w:sz w:val="22"/>
          <w:szCs w:val="22"/>
          <w:lang w:val="es-ES" w:eastAsia="en-US"/>
        </w:rPr>
        <w:t xml:space="preserve">a cargo del personal de la </w:t>
      </w:r>
      <w:r w:rsidRPr="00C0258A">
        <w:rPr>
          <w:rFonts w:ascii="Palatino Linotype" w:eastAsia="Calibri" w:hAnsi="Palatino Linotype" w:cs="Tahoma"/>
          <w:b/>
          <w:bCs/>
          <w:iCs/>
          <w:sz w:val="22"/>
          <w:szCs w:val="22"/>
          <w:lang w:val="es-ES" w:eastAsia="en-US"/>
        </w:rPr>
        <w:lastRenderedPageBreak/>
        <w:t>autoridad fiscal que intervenga en los trámites relativos a la aplicación de disposiciones fiscales.</w:t>
      </w:r>
      <w:r w:rsidRPr="00C0258A">
        <w:rPr>
          <w:rFonts w:ascii="Palatino Linotype" w:eastAsia="Calibri" w:hAnsi="Palatino Linotype" w:cs="Tahoma"/>
          <w:bCs/>
          <w:iCs/>
          <w:sz w:val="22"/>
          <w:szCs w:val="22"/>
          <w:lang w:val="es-ES" w:eastAsia="en-US"/>
        </w:rPr>
        <w:t xml:space="preserve"> </w:t>
      </w:r>
    </w:p>
    <w:p w14:paraId="25C63CBB" w14:textId="77777777" w:rsidR="00811BF5" w:rsidRPr="00C0258A" w:rsidRDefault="00811BF5" w:rsidP="00811BF5">
      <w:pPr>
        <w:spacing w:line="360" w:lineRule="auto"/>
        <w:jc w:val="both"/>
        <w:rPr>
          <w:rFonts w:ascii="Palatino Linotype" w:eastAsia="Calibri" w:hAnsi="Palatino Linotype" w:cs="Tahoma"/>
          <w:bCs/>
          <w:iCs/>
          <w:sz w:val="22"/>
          <w:szCs w:val="22"/>
          <w:lang w:val="es-ES" w:eastAsia="en-US"/>
        </w:rPr>
      </w:pPr>
    </w:p>
    <w:p w14:paraId="41148F4D" w14:textId="77777777" w:rsidR="00811BF5" w:rsidRPr="00C0258A" w:rsidRDefault="00811BF5" w:rsidP="00811BF5">
      <w:pPr>
        <w:spacing w:line="360" w:lineRule="auto"/>
        <w:jc w:val="both"/>
        <w:rPr>
          <w:rFonts w:ascii="Palatino Linotype" w:eastAsia="Calibri" w:hAnsi="Palatino Linotype" w:cs="Tahoma"/>
          <w:bCs/>
          <w:iCs/>
          <w:sz w:val="22"/>
          <w:szCs w:val="22"/>
          <w:lang w:val="es-ES" w:eastAsia="en-US"/>
        </w:rPr>
      </w:pPr>
      <w:r w:rsidRPr="00C0258A">
        <w:rPr>
          <w:rFonts w:ascii="Palatino Linotype" w:eastAsia="Calibri" w:hAnsi="Palatino Linotype" w:cs="Tahoma"/>
          <w:bCs/>
          <w:iCs/>
          <w:sz w:val="22"/>
          <w:szCs w:val="22"/>
          <w:lang w:val="es-ES" w:eastAsia="en-US"/>
        </w:rPr>
        <w:t>Lo cual, se traduce en una concreta carga -de no hacer- impuesta a la autoridad fiscal, consistente en que al aplicar las disposiciones fiscales no deben revelar de ninguna forma información tributaria de los contribuyentes. Por lo cual, no procede la entrega de dicha información, toda vez que se trata de información de contribuyentes sobre la cual prevalece el secreto fiscal.</w:t>
      </w:r>
    </w:p>
    <w:p w14:paraId="4CCA4DBF" w14:textId="77777777" w:rsidR="00811BF5" w:rsidRPr="00C0258A" w:rsidRDefault="00811BF5" w:rsidP="00811BF5">
      <w:pPr>
        <w:spacing w:line="360" w:lineRule="auto"/>
        <w:jc w:val="both"/>
        <w:rPr>
          <w:rFonts w:ascii="Palatino Linotype" w:eastAsia="Calibri" w:hAnsi="Palatino Linotype" w:cs="Tahoma"/>
          <w:bCs/>
          <w:iCs/>
          <w:sz w:val="22"/>
          <w:szCs w:val="22"/>
          <w:lang w:val="es-ES" w:eastAsia="en-US"/>
        </w:rPr>
      </w:pPr>
    </w:p>
    <w:p w14:paraId="08156AE3" w14:textId="3BC5A04F" w:rsidR="00811BF5" w:rsidRPr="00C0258A" w:rsidRDefault="00811BF5" w:rsidP="00811BF5">
      <w:pPr>
        <w:spacing w:line="360" w:lineRule="auto"/>
        <w:jc w:val="both"/>
        <w:rPr>
          <w:rFonts w:ascii="Palatino Linotype" w:eastAsia="Calibri" w:hAnsi="Palatino Linotype" w:cs="Tahoma"/>
          <w:bCs/>
          <w:sz w:val="22"/>
          <w:szCs w:val="22"/>
          <w:lang w:val="es-ES" w:eastAsia="en-US"/>
        </w:rPr>
      </w:pPr>
      <w:r w:rsidRPr="00C0258A">
        <w:rPr>
          <w:rFonts w:ascii="Palatino Linotype" w:eastAsia="Calibri" w:hAnsi="Palatino Linotype" w:cs="Tahoma"/>
          <w:bCs/>
          <w:sz w:val="22"/>
          <w:szCs w:val="22"/>
          <w:lang w:val="es-ES" w:eastAsia="en-US"/>
        </w:rPr>
        <w:t>Con base en lo expuesto se actualiza el supuesto de confidencialidad establecido en el artículo 143, fracción II, de la Ley de Transparencia y Acceso a la Información Pública del Estado de México y Municipios, por lo que deberá de hacer entrega del Acuerdo emitido por su Comité de Transparencia por el que se apruebe dicha clasificación.</w:t>
      </w:r>
    </w:p>
    <w:p w14:paraId="08E04C9E" w14:textId="77777777" w:rsidR="00811BF5" w:rsidRPr="00C0258A" w:rsidRDefault="00811BF5" w:rsidP="008B22B3">
      <w:pPr>
        <w:tabs>
          <w:tab w:val="left" w:pos="4962"/>
        </w:tabs>
        <w:spacing w:line="360" w:lineRule="auto"/>
        <w:jc w:val="both"/>
        <w:rPr>
          <w:rFonts w:ascii="Palatino Linotype" w:eastAsia="Calibri" w:hAnsi="Palatino Linotype" w:cs="Tahoma"/>
          <w:bCs/>
          <w:iCs/>
          <w:sz w:val="22"/>
          <w:szCs w:val="22"/>
          <w:lang w:val="es-ES" w:eastAsia="es-ES_tradnl"/>
        </w:rPr>
      </w:pPr>
    </w:p>
    <w:p w14:paraId="2368438D" w14:textId="77777777" w:rsidR="00784AF4" w:rsidRPr="00C0258A" w:rsidRDefault="00784AF4" w:rsidP="00784AF4">
      <w:pPr>
        <w:pStyle w:val="Prrafodelista"/>
        <w:numPr>
          <w:ilvl w:val="0"/>
          <w:numId w:val="49"/>
        </w:numPr>
        <w:tabs>
          <w:tab w:val="left" w:pos="4962"/>
        </w:tabs>
        <w:spacing w:line="360" w:lineRule="auto"/>
        <w:jc w:val="both"/>
        <w:rPr>
          <w:rFonts w:ascii="Palatino Linotype" w:eastAsia="Calibri" w:hAnsi="Palatino Linotype" w:cs="Tahoma"/>
          <w:b/>
          <w:bCs/>
          <w:iCs/>
          <w:szCs w:val="22"/>
          <w:lang w:val="es-ES" w:eastAsia="es-ES_tradnl"/>
        </w:rPr>
      </w:pPr>
      <w:r w:rsidRPr="00C0258A">
        <w:rPr>
          <w:rFonts w:ascii="Palatino Linotype" w:eastAsia="Calibri" w:hAnsi="Palatino Linotype" w:cs="Tahoma"/>
          <w:b/>
          <w:bCs/>
          <w:iCs/>
          <w:szCs w:val="22"/>
          <w:lang w:val="es-ES" w:eastAsia="es-ES_tradnl"/>
        </w:rPr>
        <w:t>Copia del documento en donde se da constancia de la clausura definitiva y permanente del comercio, por la violación a los artículos 1,2, 3 y 4, 5, 7 y 10 del Reglamento de Condominio y Administración del Conjunto Urbano Sauces integrado a cada una de las escrituras públicas del mismo y las demás disposiciones normativas jurídicas que le apliquen.</w:t>
      </w:r>
    </w:p>
    <w:p w14:paraId="0F33FB27" w14:textId="00EE1B4C" w:rsidR="00413278" w:rsidRPr="00C0258A" w:rsidRDefault="00413278" w:rsidP="00673A3B">
      <w:pPr>
        <w:tabs>
          <w:tab w:val="left" w:pos="4962"/>
        </w:tabs>
        <w:spacing w:line="360" w:lineRule="auto"/>
        <w:contextualSpacing/>
        <w:jc w:val="both"/>
        <w:rPr>
          <w:rFonts w:ascii="Palatino Linotype" w:hAnsi="Palatino Linotype" w:cs="Tahoma"/>
          <w:sz w:val="22"/>
          <w:szCs w:val="22"/>
        </w:rPr>
      </w:pPr>
    </w:p>
    <w:p w14:paraId="5477A2A6" w14:textId="77777777" w:rsidR="00400D1B" w:rsidRPr="00C0258A" w:rsidRDefault="00784AF4" w:rsidP="00784AF4">
      <w:pPr>
        <w:spacing w:line="360" w:lineRule="auto"/>
        <w:jc w:val="both"/>
        <w:rPr>
          <w:rFonts w:ascii="Palatino Linotype" w:hAnsi="Palatino Linotype" w:cs="Tahoma"/>
          <w:bCs/>
          <w:sz w:val="22"/>
          <w:szCs w:val="22"/>
          <w:lang w:val="es-ES"/>
        </w:rPr>
      </w:pPr>
      <w:r w:rsidRPr="00C0258A">
        <w:rPr>
          <w:rFonts w:ascii="Palatino Linotype" w:hAnsi="Palatino Linotype" w:cs="Tahoma"/>
          <w:sz w:val="22"/>
          <w:szCs w:val="22"/>
        </w:rPr>
        <w:t xml:space="preserve">Sobre el presente punto se pronunció la Dirección General de Gobierno que tiene dentro de sus atribuciones según el Bando Municipal 2025 del Sujeto Obligado artículo 92, fracción IV entre otras la de verificar e inspeccionar las actividades comerciales y supervisar la realización de eventos públicos en coordinación con las autoridades de seguridad y protección civil, asegurando el cumplimiento de las normativas aplicables, por su parte el Código Reglamentario de Toluca en su artículo 3.26 señala dentro de las atribuciones de la Dirección General de Gobierno dentro de las que se encuentran las de iniciar, tramitar y resolver los </w:t>
      </w:r>
      <w:r w:rsidRPr="00C0258A">
        <w:rPr>
          <w:rFonts w:ascii="Palatino Linotype" w:hAnsi="Palatino Linotype" w:cs="Tahoma"/>
          <w:sz w:val="22"/>
          <w:szCs w:val="22"/>
        </w:rPr>
        <w:lastRenderedPageBreak/>
        <w:t>procedimientos administrativos de su competencia; así como dirigir las actividades que se realizan en la ventanilla única para el otorgamiento de licencias de funcionamiento y permisos provisionales a los establecimientos que realizan actividades comerciales, industriales y de prestación de servicios en el municipio, d</w:t>
      </w:r>
      <w:proofErr w:type="spellStart"/>
      <w:r w:rsidRPr="00C0258A">
        <w:rPr>
          <w:rFonts w:ascii="Palatino Linotype" w:hAnsi="Palatino Linotype" w:cs="Tahoma"/>
          <w:bCs/>
          <w:sz w:val="22"/>
          <w:szCs w:val="22"/>
          <w:lang w:val="es-ES"/>
        </w:rPr>
        <w:t>e</w:t>
      </w:r>
      <w:proofErr w:type="spellEnd"/>
      <w:r w:rsidRPr="00C0258A">
        <w:rPr>
          <w:rFonts w:ascii="Palatino Linotype" w:hAnsi="Palatino Linotype" w:cs="Tahoma"/>
          <w:bCs/>
          <w:sz w:val="22"/>
          <w:szCs w:val="22"/>
          <w:lang w:val="es-ES"/>
        </w:rPr>
        <w:t xml:space="preserve"> tales circunstancias, se observa que se </w:t>
      </w:r>
      <w:r w:rsidR="00400D1B" w:rsidRPr="00C0258A">
        <w:rPr>
          <w:rFonts w:ascii="Palatino Linotype" w:hAnsi="Palatino Linotype" w:cs="Tahoma"/>
          <w:bCs/>
          <w:sz w:val="22"/>
          <w:szCs w:val="22"/>
          <w:lang w:val="es-ES"/>
        </w:rPr>
        <w:t>turnó</w:t>
      </w:r>
      <w:r w:rsidRPr="00C0258A">
        <w:rPr>
          <w:rFonts w:ascii="Palatino Linotype" w:hAnsi="Palatino Linotype" w:cs="Tahoma"/>
          <w:bCs/>
          <w:sz w:val="22"/>
          <w:szCs w:val="22"/>
          <w:lang w:val="es-ES"/>
        </w:rPr>
        <w:t xml:space="preserve"> a la unidad administrativa que pudo contar con la información requerida</w:t>
      </w:r>
      <w:r w:rsidR="00400D1B" w:rsidRPr="00C0258A">
        <w:rPr>
          <w:rFonts w:ascii="Palatino Linotype" w:hAnsi="Palatino Linotype" w:cs="Tahoma"/>
          <w:bCs/>
          <w:sz w:val="22"/>
          <w:szCs w:val="22"/>
          <w:lang w:val="es-ES"/>
        </w:rPr>
        <w:t>-</w:t>
      </w:r>
    </w:p>
    <w:p w14:paraId="12FC8BDA" w14:textId="77777777" w:rsidR="00400D1B" w:rsidRPr="00C0258A" w:rsidRDefault="00400D1B" w:rsidP="00784AF4">
      <w:pPr>
        <w:spacing w:line="360" w:lineRule="auto"/>
        <w:jc w:val="both"/>
        <w:rPr>
          <w:rFonts w:ascii="Palatino Linotype" w:hAnsi="Palatino Linotype" w:cs="Tahoma"/>
          <w:bCs/>
          <w:sz w:val="22"/>
          <w:szCs w:val="22"/>
          <w:lang w:val="es-ES"/>
        </w:rPr>
      </w:pPr>
    </w:p>
    <w:p w14:paraId="09E620F8" w14:textId="208F580F" w:rsidR="00784AF4" w:rsidRPr="00C0258A" w:rsidRDefault="00400D1B" w:rsidP="00784AF4">
      <w:pPr>
        <w:spacing w:line="360" w:lineRule="auto"/>
        <w:jc w:val="both"/>
        <w:rPr>
          <w:rFonts w:ascii="Palatino Linotype" w:hAnsi="Palatino Linotype" w:cs="Tahoma"/>
          <w:bCs/>
          <w:sz w:val="22"/>
          <w:szCs w:val="22"/>
          <w:lang w:val="es-ES"/>
        </w:rPr>
      </w:pPr>
      <w:r w:rsidRPr="00C0258A">
        <w:rPr>
          <w:rFonts w:ascii="Palatino Linotype" w:hAnsi="Palatino Linotype" w:cs="Tahoma"/>
          <w:bCs/>
          <w:sz w:val="22"/>
          <w:szCs w:val="22"/>
          <w:lang w:val="es-ES"/>
        </w:rPr>
        <w:t>P</w:t>
      </w:r>
      <w:r w:rsidR="00784AF4" w:rsidRPr="00C0258A">
        <w:rPr>
          <w:rFonts w:ascii="Palatino Linotype" w:hAnsi="Palatino Linotype" w:cs="Tahoma"/>
          <w:bCs/>
          <w:sz w:val="22"/>
          <w:szCs w:val="22"/>
          <w:lang w:val="es-ES"/>
        </w:rPr>
        <w:t xml:space="preserve">or lo </w:t>
      </w:r>
      <w:r w:rsidRPr="00C0258A">
        <w:rPr>
          <w:rFonts w:ascii="Palatino Linotype" w:hAnsi="Palatino Linotype" w:cs="Tahoma"/>
          <w:bCs/>
          <w:sz w:val="22"/>
          <w:szCs w:val="22"/>
          <w:lang w:val="es-ES"/>
        </w:rPr>
        <w:t xml:space="preserve">anterior, </w:t>
      </w:r>
      <w:r w:rsidR="00784AF4" w:rsidRPr="00C0258A">
        <w:rPr>
          <w:rFonts w:ascii="Palatino Linotype" w:hAnsi="Palatino Linotype" w:cs="Tahoma"/>
          <w:bCs/>
          <w:sz w:val="22"/>
          <w:szCs w:val="22"/>
          <w:lang w:val="es-ES"/>
        </w:rPr>
        <w:t xml:space="preserve">se colige que los sujetos obligados únicamente están constreñidos a proporcionar </w:t>
      </w:r>
      <w:r w:rsidR="00784AF4" w:rsidRPr="00C0258A">
        <w:rPr>
          <w:rFonts w:ascii="Palatino Linotype" w:hAnsi="Palatino Linotype" w:cs="Tahoma"/>
          <w:b/>
          <w:bCs/>
          <w:sz w:val="22"/>
          <w:szCs w:val="22"/>
          <w:lang w:val="es-ES"/>
        </w:rPr>
        <w:t>la documentación que obre en sus archivos</w:t>
      </w:r>
      <w:r w:rsidR="00784AF4" w:rsidRPr="00C0258A">
        <w:rPr>
          <w:rFonts w:ascii="Palatino Linotype" w:hAnsi="Palatino Linotype" w:cs="Tahoma"/>
          <w:bCs/>
          <w:sz w:val="22"/>
          <w:szCs w:val="22"/>
          <w:lang w:val="es-ES"/>
        </w:rPr>
        <w:t>; por lo que, no están obligados a generar o elaborar documentos </w:t>
      </w:r>
      <w:r w:rsidR="00784AF4" w:rsidRPr="00C0258A">
        <w:rPr>
          <w:rFonts w:ascii="Palatino Linotype" w:hAnsi="Palatino Linotype" w:cs="Tahoma"/>
          <w:bCs/>
          <w:i/>
          <w:iCs/>
          <w:sz w:val="22"/>
          <w:szCs w:val="22"/>
          <w:lang w:val="es-ES"/>
        </w:rPr>
        <w:t xml:space="preserve">ad hoc. </w:t>
      </w:r>
      <w:r w:rsidR="00784AF4" w:rsidRPr="00C0258A">
        <w:rPr>
          <w:rFonts w:ascii="Palatino Linotype" w:eastAsia="Calibri" w:hAnsi="Palatino Linotype" w:cs="Tahoma"/>
          <w:bCs/>
          <w:iCs/>
          <w:color w:val="000000"/>
          <w:sz w:val="22"/>
          <w:szCs w:val="22"/>
          <w:lang w:eastAsia="es-ES_tradnl"/>
        </w:rPr>
        <w:t xml:space="preserve">Aunado lo anterior, </w:t>
      </w:r>
      <w:r w:rsidR="00784AF4" w:rsidRPr="00C0258A">
        <w:rPr>
          <w:rFonts w:ascii="Palatino Linotype" w:eastAsia="Calibri" w:hAnsi="Palatino Linotype" w:cs="Tahoma"/>
          <w:bCs/>
          <w:iCs/>
          <w:sz w:val="22"/>
          <w:szCs w:val="22"/>
          <w:lang w:eastAsia="es-ES_tradnl"/>
        </w:rPr>
        <w:t xml:space="preserve">de la manifestación realizada </w:t>
      </w:r>
      <w:r w:rsidR="00784AF4" w:rsidRPr="00C0258A">
        <w:rPr>
          <w:rFonts w:ascii="Palatino Linotype" w:hAnsi="Palatino Linotype" w:cs="Tahoma"/>
          <w:sz w:val="22"/>
          <w:szCs w:val="22"/>
        </w:rPr>
        <w:t xml:space="preserve">este Pleno en relación a que no tiene un procedimiento especifico considera que constituye una expresión en sentido negativo, ya que, es claro que dichas manifestaciones se encuentran relacionadas de manera directa e inmediata con la solicitud de acceso a la información en estudio. </w:t>
      </w:r>
      <w:r w:rsidR="00784AF4" w:rsidRPr="00C0258A">
        <w:rPr>
          <w:rFonts w:ascii="Palatino Linotype" w:hAnsi="Palatino Linotype" w:cs="Tahoma"/>
          <w:sz w:val="22"/>
          <w:szCs w:val="24"/>
          <w:lang w:val="es-ES"/>
        </w:rPr>
        <w:t>Así, es evidente que la información solicitada no puede fácticamente obrar en los archivos del Sujeto</w:t>
      </w:r>
      <w:r w:rsidR="00784AF4" w:rsidRPr="00C0258A">
        <w:rPr>
          <w:rFonts w:ascii="Palatino Linotype" w:hAnsi="Palatino Linotype" w:cs="Tahoma"/>
          <w:b/>
          <w:sz w:val="22"/>
          <w:szCs w:val="24"/>
          <w:lang w:val="es-ES"/>
        </w:rPr>
        <w:t xml:space="preserve"> </w:t>
      </w:r>
      <w:r w:rsidR="00784AF4" w:rsidRPr="00C0258A">
        <w:rPr>
          <w:rFonts w:ascii="Palatino Linotype" w:hAnsi="Palatino Linotype" w:cs="Tahoma"/>
          <w:sz w:val="22"/>
          <w:szCs w:val="24"/>
          <w:lang w:val="es-ES"/>
        </w:rPr>
        <w:t xml:space="preserve">Obligado, ya que no puede probarse por ser lógica y materialmente imposible; asimismo, no se trata de un caso por el cual la negación del hecho implique la afirmación del mismo, simplemente se está ante una notoria y evidente inexistencia fáctica de la información solicitada. </w:t>
      </w:r>
      <w:r w:rsidR="00784AF4" w:rsidRPr="00C0258A">
        <w:rPr>
          <w:rFonts w:ascii="Palatino Linotype" w:hAnsi="Palatino Linotype" w:cs="Tahoma"/>
          <w:bCs/>
          <w:sz w:val="22"/>
          <w:szCs w:val="22"/>
          <w:lang w:val="es-ES"/>
        </w:rPr>
        <w:t xml:space="preserve">En ese sentido, se colige que los sujetos obligados únicamente están constreñidos a proporcionar </w:t>
      </w:r>
      <w:r w:rsidR="00784AF4" w:rsidRPr="00C0258A">
        <w:rPr>
          <w:rFonts w:ascii="Palatino Linotype" w:hAnsi="Palatino Linotype" w:cs="Tahoma"/>
          <w:b/>
          <w:bCs/>
          <w:sz w:val="22"/>
          <w:szCs w:val="22"/>
          <w:lang w:val="es-ES"/>
        </w:rPr>
        <w:t>la documentación que obre en sus archivos</w:t>
      </w:r>
      <w:r w:rsidR="00784AF4" w:rsidRPr="00C0258A">
        <w:rPr>
          <w:rFonts w:ascii="Palatino Linotype" w:hAnsi="Palatino Linotype" w:cs="Tahoma"/>
          <w:bCs/>
          <w:sz w:val="22"/>
          <w:szCs w:val="22"/>
          <w:lang w:val="es-ES"/>
        </w:rPr>
        <w:t xml:space="preserve">. </w:t>
      </w:r>
    </w:p>
    <w:p w14:paraId="5C8B9279" w14:textId="77777777" w:rsidR="00784AF4" w:rsidRPr="00C0258A" w:rsidRDefault="00784AF4" w:rsidP="00784AF4">
      <w:pPr>
        <w:spacing w:line="360" w:lineRule="auto"/>
        <w:jc w:val="both"/>
        <w:rPr>
          <w:rFonts w:ascii="Palatino Linotype" w:eastAsia="Calibri" w:hAnsi="Palatino Linotype" w:cs="Tahoma"/>
          <w:iCs/>
          <w:sz w:val="22"/>
          <w:szCs w:val="22"/>
          <w:lang w:val="es-ES" w:eastAsia="es-ES_tradnl"/>
        </w:rPr>
      </w:pPr>
    </w:p>
    <w:p w14:paraId="1C15A2AE" w14:textId="080968D1" w:rsidR="00784AF4" w:rsidRPr="00C0258A" w:rsidRDefault="00784AF4" w:rsidP="00784AF4">
      <w:pPr>
        <w:tabs>
          <w:tab w:val="left" w:pos="4962"/>
        </w:tabs>
        <w:spacing w:line="360" w:lineRule="auto"/>
        <w:contextualSpacing/>
        <w:jc w:val="both"/>
        <w:rPr>
          <w:rFonts w:ascii="Palatino Linotype" w:eastAsia="Calibri" w:hAnsi="Palatino Linotype" w:cs="Tahoma"/>
          <w:bCs/>
          <w:iCs/>
          <w:sz w:val="22"/>
          <w:szCs w:val="22"/>
          <w:lang w:eastAsia="es-ES_tradnl"/>
        </w:rPr>
      </w:pPr>
      <w:r w:rsidRPr="00C0258A">
        <w:rPr>
          <w:rFonts w:ascii="Palatino Linotype" w:eastAsia="Calibri" w:hAnsi="Palatino Linotype" w:cs="Tahoma"/>
          <w:iCs/>
          <w:sz w:val="22"/>
          <w:szCs w:val="22"/>
          <w:lang w:eastAsia="es-ES_tradnl"/>
        </w:rPr>
        <w:t>Por lo señalado, se observa que el Sujeto Obligado turnó la solicitud a la unidad administrativa que pudo haber contado con lo solicitado, por lo que se observa que siguió el procedimiento de búsqueda previsto en los artículos</w:t>
      </w:r>
      <w:r w:rsidRPr="00C0258A">
        <w:rPr>
          <w:rFonts w:ascii="Palatino Linotype" w:eastAsia="Calibri" w:hAnsi="Palatino Linotype" w:cs="Tahoma"/>
          <w:bCs/>
          <w:iCs/>
          <w:sz w:val="22"/>
          <w:szCs w:val="22"/>
          <w:lang w:eastAsia="es-ES_tradnl"/>
        </w:rPr>
        <w:t xml:space="preserve"> 160 y 162 de la Ley de Transparencia y Acceso a la Información Pública del Estado de México y Municipios.</w:t>
      </w:r>
    </w:p>
    <w:p w14:paraId="10A4E6EE" w14:textId="77777777" w:rsidR="00784AF4" w:rsidRPr="00C0258A" w:rsidRDefault="00784AF4" w:rsidP="00426155">
      <w:pPr>
        <w:spacing w:line="360" w:lineRule="auto"/>
        <w:contextualSpacing/>
        <w:jc w:val="both"/>
        <w:rPr>
          <w:rFonts w:ascii="Palatino Linotype" w:hAnsi="Palatino Linotype" w:cs="Tahoma"/>
          <w:bCs/>
          <w:iCs/>
          <w:sz w:val="22"/>
          <w:szCs w:val="22"/>
        </w:rPr>
      </w:pPr>
    </w:p>
    <w:p w14:paraId="7A56315E" w14:textId="77777777" w:rsidR="00803E3D" w:rsidRPr="00C0258A" w:rsidRDefault="00803E3D" w:rsidP="00501E1B">
      <w:pPr>
        <w:pStyle w:val="Ttulo2"/>
        <w:rPr>
          <w:rFonts w:ascii="Palatino Linotype" w:hAnsi="Palatino Linotype"/>
          <w:b/>
          <w:color w:val="auto"/>
          <w:sz w:val="22"/>
          <w:szCs w:val="22"/>
        </w:rPr>
      </w:pPr>
      <w:bookmarkStart w:id="24" w:name="_Toc196923911"/>
      <w:r w:rsidRPr="00C0258A">
        <w:rPr>
          <w:rFonts w:ascii="Palatino Linotype" w:hAnsi="Palatino Linotype"/>
          <w:b/>
          <w:color w:val="auto"/>
          <w:sz w:val="22"/>
          <w:szCs w:val="22"/>
        </w:rPr>
        <w:t>SEXTO. Decisión</w:t>
      </w:r>
      <w:bookmarkEnd w:id="24"/>
    </w:p>
    <w:p w14:paraId="57B0D21E" w14:textId="77777777" w:rsidR="00803E3D" w:rsidRPr="00C0258A" w:rsidRDefault="00803E3D" w:rsidP="00FF426B">
      <w:pPr>
        <w:spacing w:line="360" w:lineRule="auto"/>
        <w:ind w:right="-93"/>
        <w:jc w:val="both"/>
        <w:rPr>
          <w:rFonts w:ascii="Palatino Linotype" w:hAnsi="Palatino Linotype" w:cs="Tahoma"/>
          <w:b/>
          <w:sz w:val="22"/>
          <w:szCs w:val="22"/>
        </w:rPr>
      </w:pPr>
    </w:p>
    <w:p w14:paraId="3579A330" w14:textId="3D133C94" w:rsidR="00803E3D" w:rsidRPr="00C0258A" w:rsidRDefault="00803E3D" w:rsidP="00FF426B">
      <w:pPr>
        <w:spacing w:line="360" w:lineRule="auto"/>
        <w:ind w:right="-93"/>
        <w:jc w:val="both"/>
        <w:rPr>
          <w:rFonts w:ascii="Palatino Linotype" w:hAnsi="Palatino Linotype" w:cs="Tahoma"/>
          <w:sz w:val="22"/>
          <w:szCs w:val="22"/>
        </w:rPr>
      </w:pPr>
      <w:r w:rsidRPr="00C0258A">
        <w:rPr>
          <w:rFonts w:ascii="Palatino Linotype" w:hAnsi="Palatino Linotype" w:cs="Tahoma"/>
          <w:sz w:val="22"/>
          <w:szCs w:val="22"/>
        </w:rPr>
        <w:lastRenderedPageBreak/>
        <w:t xml:space="preserve">Con fundamento en el artículo 186, fracción III, de la Ley de Transparencia y Acceso a la Información Pública del Estado de México y Municipios, este Instituto considera procedente </w:t>
      </w:r>
      <w:r w:rsidR="003E6C84" w:rsidRPr="00C0258A">
        <w:rPr>
          <w:rFonts w:ascii="Palatino Linotype" w:hAnsi="Palatino Linotype" w:cs="Tahoma"/>
          <w:b/>
          <w:sz w:val="22"/>
          <w:szCs w:val="22"/>
        </w:rPr>
        <w:t>MODIFICAR</w:t>
      </w:r>
      <w:r w:rsidR="006059A8" w:rsidRPr="00C0258A">
        <w:rPr>
          <w:rFonts w:ascii="Palatino Linotype" w:hAnsi="Palatino Linotype" w:cs="Tahoma"/>
          <w:b/>
          <w:sz w:val="22"/>
          <w:szCs w:val="22"/>
        </w:rPr>
        <w:t xml:space="preserve"> </w:t>
      </w:r>
      <w:r w:rsidRPr="00C0258A">
        <w:rPr>
          <w:rFonts w:ascii="Palatino Linotype" w:hAnsi="Palatino Linotype" w:cs="Tahoma"/>
          <w:sz w:val="22"/>
          <w:szCs w:val="22"/>
        </w:rPr>
        <w:t xml:space="preserve">la respuesta otorgada por el Sujeto Obligado a la solicitud de información </w:t>
      </w:r>
      <w:r w:rsidR="003E6C84" w:rsidRPr="00C0258A">
        <w:rPr>
          <w:rFonts w:ascii="Palatino Linotype" w:hAnsi="Palatino Linotype" w:cs="Tahoma"/>
          <w:b/>
          <w:bCs/>
          <w:sz w:val="22"/>
          <w:szCs w:val="22"/>
        </w:rPr>
        <w:t>00382/TOLUCA/IP/2025</w:t>
      </w:r>
      <w:r w:rsidRPr="00C0258A">
        <w:rPr>
          <w:rFonts w:ascii="Palatino Linotype" w:hAnsi="Palatino Linotype" w:cs="Tahoma"/>
          <w:sz w:val="22"/>
          <w:szCs w:val="22"/>
        </w:rPr>
        <w:t>, por resultar</w:t>
      </w:r>
      <w:r w:rsidR="003E6C84" w:rsidRPr="00C0258A">
        <w:rPr>
          <w:rFonts w:ascii="Palatino Linotype" w:hAnsi="Palatino Linotype" w:cs="Tahoma"/>
          <w:sz w:val="22"/>
          <w:szCs w:val="22"/>
        </w:rPr>
        <w:t xml:space="preserve"> parcialmente </w:t>
      </w:r>
      <w:r w:rsidRPr="00C0258A">
        <w:rPr>
          <w:rFonts w:ascii="Palatino Linotype" w:hAnsi="Palatino Linotype" w:cs="Tahoma"/>
          <w:sz w:val="22"/>
          <w:szCs w:val="22"/>
        </w:rPr>
        <w:t xml:space="preserve">fundadas las razones o motivos de inconformidad hechos valer por el Recurrente, en el Recurso de Revisión </w:t>
      </w:r>
      <w:r w:rsidR="003E6C84" w:rsidRPr="00C0258A">
        <w:rPr>
          <w:rFonts w:ascii="Palatino Linotype" w:hAnsi="Palatino Linotype" w:cs="Tahoma"/>
          <w:b/>
          <w:sz w:val="22"/>
          <w:szCs w:val="22"/>
        </w:rPr>
        <w:t>02381</w:t>
      </w:r>
      <w:r w:rsidRPr="00C0258A">
        <w:rPr>
          <w:rFonts w:ascii="Palatino Linotype" w:hAnsi="Palatino Linotype" w:cs="Tahoma"/>
          <w:b/>
          <w:sz w:val="22"/>
          <w:szCs w:val="22"/>
        </w:rPr>
        <w:t>/INFOEM/IP/RR/202</w:t>
      </w:r>
      <w:r w:rsidR="00E37AF5" w:rsidRPr="00C0258A">
        <w:rPr>
          <w:rFonts w:ascii="Palatino Linotype" w:hAnsi="Palatino Linotype" w:cs="Tahoma"/>
          <w:b/>
          <w:sz w:val="22"/>
          <w:szCs w:val="22"/>
        </w:rPr>
        <w:t>5</w:t>
      </w:r>
      <w:r w:rsidRPr="00C0258A">
        <w:rPr>
          <w:rFonts w:ascii="Palatino Linotype" w:hAnsi="Palatino Linotype" w:cs="Tahoma"/>
          <w:sz w:val="22"/>
          <w:szCs w:val="22"/>
        </w:rPr>
        <w:t xml:space="preserve">, en consecuencia procede </w:t>
      </w:r>
      <w:r w:rsidRPr="00C0258A">
        <w:rPr>
          <w:rFonts w:ascii="Palatino Linotype" w:hAnsi="Palatino Linotype" w:cs="Tahoma"/>
          <w:b/>
          <w:sz w:val="22"/>
          <w:szCs w:val="22"/>
        </w:rPr>
        <w:t>ORDENAR</w:t>
      </w:r>
      <w:r w:rsidRPr="00C0258A">
        <w:rPr>
          <w:rFonts w:ascii="Palatino Linotype" w:hAnsi="Palatino Linotype" w:cs="Tahoma"/>
          <w:sz w:val="22"/>
          <w:szCs w:val="22"/>
        </w:rPr>
        <w:t xml:space="preserve">, </w:t>
      </w:r>
      <w:r w:rsidR="00876309" w:rsidRPr="00C0258A">
        <w:rPr>
          <w:rFonts w:ascii="Palatino Linotype" w:hAnsi="Palatino Linotype" w:cs="Tahoma"/>
          <w:sz w:val="22"/>
          <w:szCs w:val="22"/>
        </w:rPr>
        <w:t>haga entrega de</w:t>
      </w:r>
      <w:r w:rsidR="003E6C84" w:rsidRPr="00C0258A">
        <w:rPr>
          <w:rFonts w:ascii="Palatino Linotype" w:hAnsi="Palatino Linotype" w:cs="Tahoma"/>
          <w:sz w:val="22"/>
          <w:szCs w:val="22"/>
        </w:rPr>
        <w:t>l acuerdo de clasificación correspondiente</w:t>
      </w:r>
      <w:r w:rsidR="00876309" w:rsidRPr="00C0258A">
        <w:rPr>
          <w:rFonts w:ascii="Palatino Linotype" w:hAnsi="Palatino Linotype" w:cs="Tahoma"/>
          <w:sz w:val="22"/>
          <w:szCs w:val="22"/>
        </w:rPr>
        <w:t>.</w:t>
      </w:r>
    </w:p>
    <w:p w14:paraId="16763D8F" w14:textId="77777777" w:rsidR="00803E3D" w:rsidRPr="00C0258A" w:rsidRDefault="00803E3D" w:rsidP="00FF426B">
      <w:pPr>
        <w:spacing w:line="360" w:lineRule="auto"/>
        <w:ind w:right="-93"/>
        <w:jc w:val="both"/>
        <w:rPr>
          <w:rFonts w:ascii="Palatino Linotype" w:eastAsia="Palatino Linotype" w:hAnsi="Palatino Linotype" w:cs="Palatino Linotype"/>
          <w:sz w:val="22"/>
          <w:szCs w:val="22"/>
        </w:rPr>
      </w:pPr>
    </w:p>
    <w:p w14:paraId="5124579D" w14:textId="77777777" w:rsidR="00803E3D" w:rsidRPr="00C0258A"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C0258A">
        <w:rPr>
          <w:rFonts w:ascii="Palatino Linotype" w:eastAsia="Calibri" w:hAnsi="Palatino Linotype" w:cs="Tahoma"/>
          <w:b/>
          <w:bCs/>
          <w:iCs/>
          <w:sz w:val="22"/>
          <w:szCs w:val="22"/>
          <w:lang w:val="es-ES" w:eastAsia="es-ES_tradnl"/>
        </w:rPr>
        <w:t>Términos de la Resolución para el Recurrente</w:t>
      </w:r>
    </w:p>
    <w:p w14:paraId="7A41F281" w14:textId="77777777" w:rsidR="00803E3D" w:rsidRPr="00C0258A" w:rsidRDefault="00803E3D" w:rsidP="00FF426B">
      <w:pPr>
        <w:spacing w:line="360" w:lineRule="auto"/>
        <w:jc w:val="both"/>
        <w:rPr>
          <w:rFonts w:ascii="Palatino Linotype" w:eastAsia="Calibri" w:hAnsi="Palatino Linotype" w:cs="Tahoma"/>
          <w:iCs/>
          <w:sz w:val="22"/>
          <w:szCs w:val="22"/>
          <w:lang w:eastAsia="es-ES_tradnl"/>
        </w:rPr>
      </w:pPr>
    </w:p>
    <w:p w14:paraId="4F014236" w14:textId="2DABC4CC" w:rsidR="00876309" w:rsidRPr="00C0258A" w:rsidRDefault="00803E3D" w:rsidP="00FF426B">
      <w:pPr>
        <w:spacing w:line="360" w:lineRule="auto"/>
        <w:jc w:val="both"/>
        <w:rPr>
          <w:rFonts w:ascii="Palatino Linotype" w:hAnsi="Palatino Linotype" w:cs="Tahoma"/>
          <w:bCs/>
          <w:sz w:val="22"/>
          <w:szCs w:val="22"/>
          <w:u w:val="single"/>
        </w:rPr>
      </w:pPr>
      <w:r w:rsidRPr="00C0258A">
        <w:rPr>
          <w:rFonts w:ascii="Palatino Linotype" w:hAnsi="Palatino Linotype" w:cs="Tahoma"/>
          <w:bCs/>
          <w:sz w:val="22"/>
          <w:szCs w:val="22"/>
          <w:u w:val="single"/>
        </w:rPr>
        <w:t xml:space="preserve">Este Instituto, determinó </w:t>
      </w:r>
      <w:r w:rsidR="003E6C84" w:rsidRPr="00C0258A">
        <w:rPr>
          <w:rFonts w:ascii="Palatino Linotype" w:hAnsi="Palatino Linotype" w:cs="Tahoma"/>
          <w:bCs/>
          <w:sz w:val="22"/>
          <w:szCs w:val="22"/>
          <w:u w:val="single"/>
        </w:rPr>
        <w:t xml:space="preserve">modificar </w:t>
      </w:r>
      <w:r w:rsidRPr="00C0258A">
        <w:rPr>
          <w:rFonts w:ascii="Palatino Linotype" w:hAnsi="Palatino Linotype" w:cs="Tahoma"/>
          <w:bCs/>
          <w:sz w:val="22"/>
          <w:szCs w:val="22"/>
          <w:u w:val="single"/>
        </w:rPr>
        <w:t>la respuesta que le entregó el Sujeto Obligado a su solicitud de acceso, toda vez que</w:t>
      </w:r>
      <w:r w:rsidR="00837A48" w:rsidRPr="00C0258A">
        <w:rPr>
          <w:rFonts w:ascii="Palatino Linotype" w:hAnsi="Palatino Linotype" w:cs="Tahoma"/>
          <w:bCs/>
          <w:sz w:val="22"/>
          <w:szCs w:val="22"/>
          <w:u w:val="single"/>
        </w:rPr>
        <w:t xml:space="preserve"> </w:t>
      </w:r>
      <w:r w:rsidR="00E12427" w:rsidRPr="00C0258A">
        <w:rPr>
          <w:rFonts w:ascii="Palatino Linotype" w:hAnsi="Palatino Linotype" w:cs="Tahoma"/>
          <w:bCs/>
          <w:sz w:val="22"/>
          <w:szCs w:val="22"/>
          <w:u w:val="single"/>
        </w:rPr>
        <w:t>no fundamento ni motivo de manera adecuada la clasificación de la información</w:t>
      </w:r>
      <w:r w:rsidR="003E6C84" w:rsidRPr="00C0258A">
        <w:rPr>
          <w:rFonts w:ascii="Palatino Linotype" w:hAnsi="Palatino Linotype" w:cs="Tahoma"/>
          <w:bCs/>
          <w:sz w:val="22"/>
          <w:szCs w:val="22"/>
          <w:u w:val="single"/>
        </w:rPr>
        <w:t xml:space="preserve"> relacionada con el impuesto predial</w:t>
      </w:r>
      <w:r w:rsidR="00E12427" w:rsidRPr="00C0258A">
        <w:rPr>
          <w:rFonts w:ascii="Palatino Linotype" w:hAnsi="Palatino Linotype" w:cs="Tahoma"/>
          <w:bCs/>
          <w:sz w:val="22"/>
          <w:szCs w:val="22"/>
          <w:u w:val="single"/>
        </w:rPr>
        <w:t xml:space="preserve">, además de que </w:t>
      </w:r>
      <w:r w:rsidR="003E6C84" w:rsidRPr="00C0258A">
        <w:rPr>
          <w:rFonts w:ascii="Palatino Linotype" w:hAnsi="Palatino Linotype" w:cs="Tahoma"/>
          <w:bCs/>
          <w:sz w:val="22"/>
          <w:szCs w:val="22"/>
          <w:u w:val="single"/>
        </w:rPr>
        <w:t>es de hacerle de su conocimiento que en este caso no se le otorga la razón por lo que hace a las licencias ya que estas son generadas por el Ayuntamiento a solicitud de los particulares y para el caso de que no se realice el trámite correspondiente estas no exist</w:t>
      </w:r>
      <w:r w:rsidR="00C500C7" w:rsidRPr="00C0258A">
        <w:rPr>
          <w:rFonts w:ascii="Palatino Linotype" w:hAnsi="Palatino Linotype" w:cs="Tahoma"/>
          <w:bCs/>
          <w:sz w:val="22"/>
          <w:szCs w:val="22"/>
          <w:u w:val="single"/>
        </w:rPr>
        <w:t>en</w:t>
      </w:r>
      <w:r w:rsidR="003E6C84" w:rsidRPr="00C0258A">
        <w:rPr>
          <w:rFonts w:ascii="Palatino Linotype" w:hAnsi="Palatino Linotype" w:cs="Tahoma"/>
          <w:bCs/>
          <w:sz w:val="22"/>
          <w:szCs w:val="22"/>
          <w:u w:val="single"/>
        </w:rPr>
        <w:t xml:space="preserve">. </w:t>
      </w:r>
    </w:p>
    <w:p w14:paraId="7E55FB7D" w14:textId="77777777" w:rsidR="00426155" w:rsidRPr="00C0258A" w:rsidRDefault="00426155" w:rsidP="00FF426B">
      <w:pPr>
        <w:spacing w:line="360" w:lineRule="auto"/>
        <w:jc w:val="both"/>
        <w:rPr>
          <w:rFonts w:ascii="Palatino Linotype" w:hAnsi="Palatino Linotype" w:cs="Tahoma"/>
          <w:bCs/>
          <w:sz w:val="22"/>
          <w:szCs w:val="22"/>
          <w:u w:val="single"/>
        </w:rPr>
      </w:pPr>
    </w:p>
    <w:p w14:paraId="439DDD80" w14:textId="77777777" w:rsidR="00803E3D" w:rsidRPr="00C0258A" w:rsidRDefault="00803E3D" w:rsidP="00FF426B">
      <w:pPr>
        <w:spacing w:line="360" w:lineRule="auto"/>
        <w:ind w:right="-93"/>
        <w:jc w:val="both"/>
        <w:rPr>
          <w:rFonts w:ascii="Palatino Linotype" w:hAnsi="Palatino Linotype" w:cs="Tahoma"/>
          <w:bCs/>
          <w:sz w:val="22"/>
          <w:szCs w:val="22"/>
          <w:u w:val="single"/>
        </w:rPr>
      </w:pPr>
      <w:r w:rsidRPr="00C0258A">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31A98307" w14:textId="77777777" w:rsidR="00C500C7" w:rsidRPr="00C0258A" w:rsidRDefault="00C500C7" w:rsidP="00FF426B">
      <w:pPr>
        <w:spacing w:line="360" w:lineRule="auto"/>
        <w:ind w:right="-93"/>
        <w:jc w:val="both"/>
        <w:rPr>
          <w:rFonts w:ascii="Palatino Linotype" w:hAnsi="Palatino Linotype" w:cs="Tahoma"/>
          <w:bCs/>
          <w:sz w:val="22"/>
          <w:szCs w:val="22"/>
          <w:u w:val="single"/>
        </w:rPr>
      </w:pPr>
    </w:p>
    <w:p w14:paraId="1A475157" w14:textId="77777777" w:rsidR="00803E3D" w:rsidRPr="00C0258A" w:rsidRDefault="00803E3D" w:rsidP="00342378">
      <w:pPr>
        <w:pStyle w:val="Ttulo1"/>
        <w:jc w:val="center"/>
        <w:rPr>
          <w:rFonts w:ascii="Palatino Linotype" w:eastAsia="Calibri" w:hAnsi="Palatino Linotype"/>
          <w:b/>
          <w:color w:val="auto"/>
          <w:sz w:val="22"/>
          <w:szCs w:val="22"/>
          <w:lang w:val="pt-BR" w:eastAsia="en-US"/>
        </w:rPr>
      </w:pPr>
      <w:bookmarkStart w:id="25" w:name="_Toc196923912"/>
      <w:r w:rsidRPr="00C0258A">
        <w:rPr>
          <w:rFonts w:ascii="Palatino Linotype" w:eastAsia="Calibri" w:hAnsi="Palatino Linotype"/>
          <w:b/>
          <w:color w:val="auto"/>
          <w:sz w:val="22"/>
          <w:szCs w:val="22"/>
          <w:lang w:val="pt-BR" w:eastAsia="en-US"/>
        </w:rPr>
        <w:t>R E S U E L V E</w:t>
      </w:r>
      <w:bookmarkEnd w:id="25"/>
    </w:p>
    <w:p w14:paraId="3D084847" w14:textId="77777777" w:rsidR="00803E3D" w:rsidRPr="00C0258A" w:rsidRDefault="00803E3D" w:rsidP="00FF426B">
      <w:pPr>
        <w:spacing w:line="360" w:lineRule="auto"/>
        <w:jc w:val="both"/>
        <w:rPr>
          <w:rFonts w:ascii="Palatino Linotype" w:hAnsi="Palatino Linotype" w:cs="Tahoma"/>
          <w:b/>
          <w:bCs/>
          <w:sz w:val="22"/>
          <w:szCs w:val="22"/>
          <w:lang w:val="pt-BR"/>
        </w:rPr>
      </w:pPr>
    </w:p>
    <w:p w14:paraId="01C9A530" w14:textId="5FCBA920" w:rsidR="00803E3D" w:rsidRPr="00C0258A" w:rsidRDefault="00803E3D" w:rsidP="00FF426B">
      <w:pPr>
        <w:spacing w:line="360" w:lineRule="auto"/>
        <w:contextualSpacing/>
        <w:jc w:val="both"/>
        <w:rPr>
          <w:rFonts w:ascii="Palatino Linotype" w:eastAsia="Calibri" w:hAnsi="Palatino Linotype" w:cs="Tahoma"/>
          <w:bCs/>
          <w:sz w:val="22"/>
          <w:szCs w:val="22"/>
          <w:lang w:eastAsia="en-US"/>
        </w:rPr>
      </w:pPr>
      <w:r w:rsidRPr="00C0258A">
        <w:rPr>
          <w:rFonts w:ascii="Palatino Linotype" w:hAnsi="Palatino Linotype" w:cs="Tahoma"/>
          <w:b/>
          <w:bCs/>
          <w:sz w:val="22"/>
          <w:szCs w:val="22"/>
          <w:lang w:val="pt-BR"/>
        </w:rPr>
        <w:t xml:space="preserve">PRIMERO. </w:t>
      </w:r>
      <w:r w:rsidRPr="00C0258A">
        <w:rPr>
          <w:rFonts w:ascii="Palatino Linotype" w:hAnsi="Palatino Linotype" w:cs="Tahoma"/>
          <w:bCs/>
          <w:sz w:val="22"/>
          <w:szCs w:val="22"/>
        </w:rPr>
        <w:t xml:space="preserve">Se </w:t>
      </w:r>
      <w:r w:rsidR="003E6C84" w:rsidRPr="00C0258A">
        <w:rPr>
          <w:rFonts w:ascii="Palatino Linotype" w:hAnsi="Palatino Linotype" w:cs="Tahoma"/>
          <w:b/>
          <w:bCs/>
          <w:sz w:val="22"/>
          <w:szCs w:val="22"/>
        </w:rPr>
        <w:t>MODIFICA</w:t>
      </w:r>
      <w:r w:rsidRPr="00C0258A">
        <w:rPr>
          <w:rFonts w:ascii="Palatino Linotype" w:hAnsi="Palatino Linotype" w:cs="Tahoma"/>
          <w:bCs/>
          <w:sz w:val="22"/>
          <w:szCs w:val="22"/>
        </w:rPr>
        <w:t xml:space="preserve"> la respuesta entregada por </w:t>
      </w:r>
      <w:r w:rsidR="006059A8" w:rsidRPr="00C0258A">
        <w:rPr>
          <w:rFonts w:ascii="Palatino Linotype" w:hAnsi="Palatino Linotype" w:cs="Tahoma"/>
          <w:bCs/>
          <w:sz w:val="22"/>
          <w:szCs w:val="22"/>
        </w:rPr>
        <w:t>e</w:t>
      </w:r>
      <w:r w:rsidRPr="00C0258A">
        <w:rPr>
          <w:rFonts w:ascii="Palatino Linotype" w:hAnsi="Palatino Linotype" w:cs="Tahoma"/>
          <w:bCs/>
          <w:sz w:val="22"/>
          <w:szCs w:val="22"/>
        </w:rPr>
        <w:t xml:space="preserve">l </w:t>
      </w:r>
      <w:r w:rsidR="001215F0" w:rsidRPr="00C0258A">
        <w:rPr>
          <w:rFonts w:ascii="Palatino Linotype" w:hAnsi="Palatino Linotype" w:cs="Tahoma"/>
          <w:b/>
          <w:bCs/>
          <w:sz w:val="22"/>
          <w:szCs w:val="22"/>
        </w:rPr>
        <w:t>Ayuntamiento de Toluca</w:t>
      </w:r>
      <w:r w:rsidR="00716C32" w:rsidRPr="00C0258A">
        <w:rPr>
          <w:rFonts w:ascii="Palatino Linotype" w:hAnsi="Palatino Linotype" w:cs="Tahoma"/>
          <w:b/>
          <w:bCs/>
          <w:sz w:val="22"/>
          <w:szCs w:val="22"/>
        </w:rPr>
        <w:t xml:space="preserve"> </w:t>
      </w:r>
      <w:r w:rsidRPr="00C0258A">
        <w:rPr>
          <w:rFonts w:ascii="Palatino Linotype" w:eastAsia="Calibri" w:hAnsi="Palatino Linotype" w:cs="Tahoma"/>
          <w:bCs/>
          <w:sz w:val="22"/>
          <w:szCs w:val="22"/>
          <w:lang w:eastAsia="en-US"/>
        </w:rPr>
        <w:t>a</w:t>
      </w:r>
      <w:r w:rsidRPr="00C0258A">
        <w:rPr>
          <w:rFonts w:ascii="Palatino Linotype" w:hAnsi="Palatino Linotype" w:cs="Tahoma"/>
          <w:bCs/>
          <w:sz w:val="22"/>
          <w:szCs w:val="22"/>
        </w:rPr>
        <w:t xml:space="preserve"> la solicitud de información </w:t>
      </w:r>
      <w:r w:rsidR="003E6C84" w:rsidRPr="00C0258A">
        <w:rPr>
          <w:rFonts w:ascii="Palatino Linotype" w:hAnsi="Palatino Linotype"/>
          <w:b/>
          <w:bCs/>
          <w:sz w:val="22"/>
          <w:szCs w:val="22"/>
        </w:rPr>
        <w:t xml:space="preserve">00382/TOLUCA/IP/2025 </w:t>
      </w:r>
      <w:r w:rsidRPr="00C0258A">
        <w:rPr>
          <w:rFonts w:ascii="Palatino Linotype" w:hAnsi="Palatino Linotype"/>
          <w:bCs/>
          <w:sz w:val="22"/>
          <w:szCs w:val="22"/>
        </w:rPr>
        <w:t>por resultar</w:t>
      </w:r>
      <w:r w:rsidR="00A31BB0" w:rsidRPr="00C0258A">
        <w:rPr>
          <w:rFonts w:ascii="Palatino Linotype" w:hAnsi="Palatino Linotype"/>
          <w:bCs/>
          <w:sz w:val="22"/>
          <w:szCs w:val="22"/>
        </w:rPr>
        <w:t xml:space="preserve"> parcialmente</w:t>
      </w:r>
      <w:r w:rsidR="00E70E0F" w:rsidRPr="00C0258A">
        <w:rPr>
          <w:rFonts w:ascii="Palatino Linotype" w:hAnsi="Palatino Linotype"/>
          <w:bCs/>
          <w:sz w:val="22"/>
          <w:szCs w:val="22"/>
        </w:rPr>
        <w:t xml:space="preserve"> </w:t>
      </w:r>
      <w:r w:rsidRPr="00C0258A">
        <w:rPr>
          <w:rFonts w:ascii="Palatino Linotype" w:hAnsi="Palatino Linotype"/>
          <w:sz w:val="22"/>
          <w:szCs w:val="22"/>
        </w:rPr>
        <w:t>fundadas</w:t>
      </w:r>
      <w:r w:rsidRPr="00C0258A">
        <w:rPr>
          <w:rFonts w:ascii="Palatino Linotype" w:hAnsi="Palatino Linotype" w:cs="Tahoma"/>
          <w:bCs/>
          <w:sz w:val="22"/>
          <w:szCs w:val="22"/>
        </w:rPr>
        <w:t xml:space="preserve"> </w:t>
      </w:r>
      <w:r w:rsidRPr="00C0258A">
        <w:rPr>
          <w:rFonts w:ascii="Palatino Linotype" w:eastAsia="Calibri" w:hAnsi="Palatino Linotype" w:cs="Tahoma"/>
          <w:bCs/>
          <w:sz w:val="22"/>
          <w:szCs w:val="22"/>
          <w:lang w:eastAsia="en-US"/>
        </w:rPr>
        <w:t xml:space="preserve">las razones o motivos de inconformidad hechos valer por el Recurrente en el Recurso de Revisión </w:t>
      </w:r>
      <w:r w:rsidR="00A31BB0" w:rsidRPr="00C0258A">
        <w:rPr>
          <w:rFonts w:ascii="Palatino Linotype" w:hAnsi="Palatino Linotype" w:cs="Tahoma"/>
          <w:b/>
          <w:bCs/>
          <w:color w:val="0D0D0D" w:themeColor="text1" w:themeTint="F2"/>
          <w:sz w:val="22"/>
          <w:szCs w:val="22"/>
        </w:rPr>
        <w:t>02381</w:t>
      </w:r>
      <w:r w:rsidRPr="00C0258A">
        <w:rPr>
          <w:rFonts w:ascii="Palatino Linotype" w:hAnsi="Palatino Linotype" w:cs="Tahoma"/>
          <w:b/>
          <w:bCs/>
          <w:color w:val="0D0D0D" w:themeColor="text1" w:themeTint="F2"/>
          <w:sz w:val="22"/>
          <w:szCs w:val="22"/>
        </w:rPr>
        <w:t>/INFOEM/IP/RR/202</w:t>
      </w:r>
      <w:r w:rsidR="00FB2ACF" w:rsidRPr="00C0258A">
        <w:rPr>
          <w:rFonts w:ascii="Palatino Linotype" w:hAnsi="Palatino Linotype" w:cs="Tahoma"/>
          <w:b/>
          <w:bCs/>
          <w:color w:val="0D0D0D" w:themeColor="text1" w:themeTint="F2"/>
          <w:sz w:val="22"/>
          <w:szCs w:val="22"/>
        </w:rPr>
        <w:t>5</w:t>
      </w:r>
      <w:r w:rsidRPr="00C0258A">
        <w:rPr>
          <w:rFonts w:ascii="Palatino Linotype" w:eastAsia="Calibri" w:hAnsi="Palatino Linotype" w:cs="Tahoma"/>
          <w:bCs/>
          <w:sz w:val="22"/>
          <w:szCs w:val="22"/>
          <w:lang w:eastAsia="en-US"/>
        </w:rPr>
        <w:t>, en términos de los considerandos QUINTO y SEXTO de la presente Resolución.</w:t>
      </w:r>
    </w:p>
    <w:p w14:paraId="2FD2CA4D" w14:textId="77777777" w:rsidR="00803E3D" w:rsidRPr="00C0258A" w:rsidRDefault="00803E3D" w:rsidP="00FF426B">
      <w:pPr>
        <w:spacing w:line="360" w:lineRule="auto"/>
        <w:contextualSpacing/>
        <w:jc w:val="both"/>
        <w:rPr>
          <w:rFonts w:ascii="Palatino Linotype" w:hAnsi="Palatino Linotype" w:cs="Tahoma"/>
          <w:bCs/>
          <w:sz w:val="22"/>
          <w:szCs w:val="22"/>
        </w:rPr>
      </w:pPr>
    </w:p>
    <w:p w14:paraId="4886220A" w14:textId="4CE63D58" w:rsidR="00B459FA" w:rsidRPr="00C0258A" w:rsidRDefault="00876309" w:rsidP="00B459FA">
      <w:pPr>
        <w:spacing w:line="360" w:lineRule="auto"/>
        <w:ind w:right="-93"/>
        <w:jc w:val="both"/>
        <w:rPr>
          <w:rFonts w:ascii="Palatino Linotype" w:eastAsia="Calibri" w:hAnsi="Palatino Linotype" w:cs="Tahoma"/>
          <w:bCs/>
          <w:sz w:val="22"/>
          <w:szCs w:val="22"/>
          <w:lang w:eastAsia="en-US"/>
        </w:rPr>
      </w:pPr>
      <w:r w:rsidRPr="00C0258A">
        <w:rPr>
          <w:rFonts w:ascii="Palatino Linotype" w:hAnsi="Palatino Linotype" w:cs="Tahoma"/>
          <w:b/>
          <w:bCs/>
          <w:sz w:val="22"/>
          <w:szCs w:val="22"/>
        </w:rPr>
        <w:t xml:space="preserve">SEGUNDO. </w:t>
      </w:r>
      <w:r w:rsidRPr="00C0258A">
        <w:rPr>
          <w:rFonts w:ascii="Palatino Linotype" w:hAnsi="Palatino Linotype" w:cs="Tahoma"/>
          <w:sz w:val="22"/>
          <w:szCs w:val="22"/>
        </w:rPr>
        <w:t xml:space="preserve">Se </w:t>
      </w:r>
      <w:r w:rsidRPr="00C0258A">
        <w:rPr>
          <w:rFonts w:ascii="Palatino Linotype" w:hAnsi="Palatino Linotype" w:cs="Tahoma"/>
          <w:b/>
          <w:sz w:val="22"/>
          <w:szCs w:val="22"/>
        </w:rPr>
        <w:t xml:space="preserve">ORDENA </w:t>
      </w:r>
      <w:r w:rsidRPr="00C0258A">
        <w:rPr>
          <w:rFonts w:ascii="Palatino Linotype" w:hAnsi="Palatino Linotype" w:cs="Tahoma"/>
          <w:sz w:val="22"/>
          <w:szCs w:val="22"/>
        </w:rPr>
        <w:t xml:space="preserve">al </w:t>
      </w:r>
      <w:r w:rsidR="001215F0" w:rsidRPr="00C0258A">
        <w:rPr>
          <w:rFonts w:ascii="Palatino Linotype" w:eastAsia="Calibri" w:hAnsi="Palatino Linotype" w:cs="Tahoma"/>
          <w:b/>
          <w:bCs/>
          <w:sz w:val="22"/>
          <w:szCs w:val="22"/>
          <w:lang w:eastAsia="en-US"/>
        </w:rPr>
        <w:t>Ayuntamiento de Toluca</w:t>
      </w:r>
      <w:r w:rsidRPr="00C0258A">
        <w:rPr>
          <w:rFonts w:ascii="Palatino Linotype" w:hAnsi="Palatino Linotype" w:cs="Tahoma"/>
          <w:sz w:val="22"/>
          <w:szCs w:val="22"/>
        </w:rPr>
        <w:t>, a efecto de que, remita</w:t>
      </w:r>
      <w:r w:rsidRPr="00C0258A">
        <w:rPr>
          <w:rFonts w:ascii="Palatino Linotype" w:hAnsi="Palatino Linotype" w:cs="Tahoma"/>
          <w:bCs/>
          <w:iCs/>
          <w:sz w:val="22"/>
          <w:szCs w:val="22"/>
          <w:lang w:val="es-ES_tradnl"/>
        </w:rPr>
        <w:t xml:space="preserve"> </w:t>
      </w:r>
      <w:r w:rsidRPr="00C0258A">
        <w:rPr>
          <w:rFonts w:ascii="Palatino Linotype" w:hAnsi="Palatino Linotype" w:cs="Tahoma"/>
          <w:bCs/>
          <w:iCs/>
          <w:sz w:val="22"/>
          <w:szCs w:val="22"/>
        </w:rPr>
        <w:t xml:space="preserve">a través </w:t>
      </w:r>
      <w:r w:rsidRPr="00C0258A">
        <w:rPr>
          <w:rFonts w:ascii="Palatino Linotype" w:hAnsi="Palatino Linotype" w:cs="Tahoma"/>
          <w:bCs/>
          <w:iCs/>
          <w:sz w:val="22"/>
          <w:szCs w:val="22"/>
          <w:lang w:val="es-ES_tradnl"/>
        </w:rPr>
        <w:t>del SAIMEX</w:t>
      </w:r>
      <w:r w:rsidRPr="00C0258A">
        <w:rPr>
          <w:rFonts w:ascii="Palatino Linotype" w:hAnsi="Palatino Linotype" w:cs="Arial"/>
          <w:sz w:val="22"/>
          <w:szCs w:val="22"/>
          <w:lang w:val="es-ES"/>
        </w:rPr>
        <w:t>,</w:t>
      </w:r>
      <w:r w:rsidR="00FE663A" w:rsidRPr="00C0258A">
        <w:rPr>
          <w:rFonts w:ascii="Palatino Linotype" w:hAnsi="Palatino Linotype" w:cs="Arial"/>
          <w:sz w:val="22"/>
          <w:szCs w:val="22"/>
          <w:lang w:val="es-ES"/>
        </w:rPr>
        <w:t xml:space="preserve"> </w:t>
      </w:r>
      <w:r w:rsidR="00B459FA" w:rsidRPr="00C0258A">
        <w:rPr>
          <w:rFonts w:ascii="Palatino Linotype" w:eastAsia="Calibri" w:hAnsi="Palatino Linotype" w:cs="Tahoma"/>
          <w:bCs/>
          <w:sz w:val="22"/>
          <w:szCs w:val="22"/>
          <w:lang w:eastAsia="en-US"/>
        </w:rPr>
        <w:t>el Acuerdo donde el Comité de Transparencia, confirme la</w:t>
      </w:r>
      <w:r w:rsidR="00A31BB0" w:rsidRPr="00C0258A">
        <w:rPr>
          <w:rFonts w:ascii="Palatino Linotype" w:eastAsia="Calibri" w:hAnsi="Palatino Linotype" w:cs="Tahoma"/>
          <w:bCs/>
          <w:sz w:val="22"/>
          <w:szCs w:val="22"/>
          <w:lang w:eastAsia="en-US"/>
        </w:rPr>
        <w:t xml:space="preserve"> clasificación </w:t>
      </w:r>
      <w:r w:rsidR="00C500C7" w:rsidRPr="00C0258A">
        <w:rPr>
          <w:rFonts w:ascii="Palatino Linotype" w:eastAsia="Calibri" w:hAnsi="Palatino Linotype" w:cs="Tahoma"/>
          <w:bCs/>
          <w:sz w:val="22"/>
          <w:szCs w:val="22"/>
          <w:lang w:eastAsia="en-US"/>
        </w:rPr>
        <w:t xml:space="preserve">de los documentos en donde conste </w:t>
      </w:r>
      <w:r w:rsidR="00400D1B" w:rsidRPr="00C0258A">
        <w:rPr>
          <w:rFonts w:ascii="Palatino Linotype" w:eastAsia="Calibri" w:hAnsi="Palatino Linotype" w:cs="Tahoma"/>
          <w:bCs/>
          <w:sz w:val="22"/>
          <w:szCs w:val="22"/>
          <w:lang w:eastAsia="en-US"/>
        </w:rPr>
        <w:t>la situación del pago predial d</w:t>
      </w:r>
      <w:r w:rsidR="00C500C7" w:rsidRPr="00C0258A">
        <w:rPr>
          <w:rFonts w:ascii="Palatino Linotype" w:eastAsia="Calibri" w:hAnsi="Palatino Linotype" w:cs="Tahoma"/>
          <w:bCs/>
          <w:sz w:val="22"/>
          <w:szCs w:val="22"/>
          <w:lang w:eastAsia="en-US"/>
        </w:rPr>
        <w:t>el inmueble mencionado en la solicitud</w:t>
      </w:r>
      <w:r w:rsidR="00B459FA" w:rsidRPr="00C0258A">
        <w:rPr>
          <w:rFonts w:ascii="Palatino Linotype" w:eastAsia="Calibri" w:hAnsi="Palatino Linotype" w:cs="Tahoma"/>
          <w:bCs/>
          <w:sz w:val="22"/>
          <w:szCs w:val="22"/>
          <w:lang w:eastAsia="en-US"/>
        </w:rPr>
        <w:t>, de conformidad con los artículos 49, fraccio</w:t>
      </w:r>
      <w:r w:rsidR="00E12427" w:rsidRPr="00C0258A">
        <w:rPr>
          <w:rFonts w:ascii="Palatino Linotype" w:eastAsia="Calibri" w:hAnsi="Palatino Linotype" w:cs="Tahoma"/>
          <w:bCs/>
          <w:sz w:val="22"/>
          <w:szCs w:val="22"/>
          <w:lang w:eastAsia="en-US"/>
        </w:rPr>
        <w:t>nes II y VIII, 132, fracción III</w:t>
      </w:r>
      <w:r w:rsidR="00400D1B" w:rsidRPr="00C0258A">
        <w:rPr>
          <w:rFonts w:ascii="Palatino Linotype" w:eastAsia="Calibri" w:hAnsi="Palatino Linotype" w:cs="Tahoma"/>
          <w:bCs/>
          <w:sz w:val="22"/>
          <w:szCs w:val="22"/>
          <w:lang w:eastAsia="en-US"/>
        </w:rPr>
        <w:t>,</w:t>
      </w:r>
      <w:r w:rsidR="00C500C7" w:rsidRPr="00C0258A">
        <w:rPr>
          <w:rFonts w:ascii="Palatino Linotype" w:eastAsia="Calibri" w:hAnsi="Palatino Linotype" w:cs="Tahoma"/>
          <w:bCs/>
          <w:sz w:val="22"/>
          <w:szCs w:val="22"/>
          <w:lang w:eastAsia="en-US"/>
        </w:rPr>
        <w:t xml:space="preserve"> 143, fracción II</w:t>
      </w:r>
      <w:r w:rsidR="00B459FA" w:rsidRPr="00C0258A">
        <w:rPr>
          <w:rFonts w:ascii="Palatino Linotype" w:eastAsia="Calibri" w:hAnsi="Palatino Linotype" w:cs="Tahoma"/>
          <w:bCs/>
          <w:sz w:val="22"/>
          <w:szCs w:val="22"/>
          <w:lang w:eastAsia="en-US"/>
        </w:rPr>
        <w:t xml:space="preserve"> </w:t>
      </w:r>
      <w:r w:rsidR="00400D1B" w:rsidRPr="00C0258A">
        <w:rPr>
          <w:rFonts w:ascii="Palatino Linotype" w:eastAsia="Calibri" w:hAnsi="Palatino Linotype" w:cs="Tahoma"/>
          <w:bCs/>
          <w:sz w:val="22"/>
          <w:szCs w:val="22"/>
          <w:lang w:eastAsia="en-US"/>
        </w:rPr>
        <w:t xml:space="preserve">y 149 </w:t>
      </w:r>
      <w:r w:rsidR="00B459FA" w:rsidRPr="00C0258A">
        <w:rPr>
          <w:rFonts w:ascii="Palatino Linotype" w:eastAsia="Calibri" w:hAnsi="Palatino Linotype" w:cs="Tahoma"/>
          <w:bCs/>
          <w:sz w:val="22"/>
          <w:szCs w:val="22"/>
          <w:lang w:eastAsia="en-US"/>
        </w:rPr>
        <w:t>de la Ley de Transparencia y Acceso a la Información Pública del Estado de México y Municipios.</w:t>
      </w:r>
    </w:p>
    <w:p w14:paraId="5CD4AEFA" w14:textId="77777777" w:rsidR="00965047" w:rsidRPr="00C0258A" w:rsidRDefault="00965047" w:rsidP="005F7AEB">
      <w:pPr>
        <w:spacing w:line="360" w:lineRule="auto"/>
        <w:ind w:right="-93"/>
        <w:jc w:val="both"/>
        <w:rPr>
          <w:rFonts w:ascii="Palatino Linotype" w:hAnsi="Palatino Linotype" w:cs="Arial"/>
          <w:sz w:val="22"/>
          <w:szCs w:val="22"/>
          <w:lang w:val="es-ES"/>
        </w:rPr>
      </w:pPr>
    </w:p>
    <w:p w14:paraId="256378CD" w14:textId="77777777" w:rsidR="00E02D8B" w:rsidRPr="00C0258A" w:rsidRDefault="00E02D8B" w:rsidP="00E02D8B">
      <w:pPr>
        <w:spacing w:line="360" w:lineRule="auto"/>
        <w:contextualSpacing/>
        <w:jc w:val="both"/>
        <w:rPr>
          <w:rFonts w:ascii="Palatino Linotype" w:eastAsia="Calibri" w:hAnsi="Palatino Linotype" w:cs="Tahoma"/>
          <w:bCs/>
          <w:sz w:val="22"/>
          <w:szCs w:val="22"/>
          <w:lang w:eastAsia="en-US"/>
        </w:rPr>
      </w:pPr>
      <w:r w:rsidRPr="00C0258A">
        <w:rPr>
          <w:rFonts w:ascii="Palatino Linotype" w:eastAsia="Calibri" w:hAnsi="Palatino Linotype" w:cs="Tahoma"/>
          <w:b/>
          <w:bCs/>
          <w:sz w:val="22"/>
          <w:szCs w:val="22"/>
          <w:lang w:eastAsia="en-US"/>
        </w:rPr>
        <w:t>TERCERO. NOTIFÍQUESE</w:t>
      </w:r>
      <w:r w:rsidR="00402735" w:rsidRPr="00C0258A">
        <w:rPr>
          <w:rFonts w:ascii="Palatino Linotype" w:eastAsia="Calibri" w:hAnsi="Palatino Linotype" w:cs="Tahoma"/>
          <w:b/>
          <w:bCs/>
          <w:sz w:val="22"/>
          <w:szCs w:val="22"/>
          <w:lang w:eastAsia="en-US"/>
        </w:rPr>
        <w:t xml:space="preserve"> POR SAIMEX</w:t>
      </w:r>
      <w:r w:rsidRPr="00C0258A">
        <w:rPr>
          <w:rFonts w:ascii="Palatino Linotype" w:eastAsia="Calibri" w:hAnsi="Palatino Linotype" w:cs="Tahoma"/>
          <w:b/>
          <w:bCs/>
          <w:sz w:val="22"/>
          <w:szCs w:val="22"/>
          <w:lang w:eastAsia="en-US"/>
        </w:rPr>
        <w:t xml:space="preserve"> </w:t>
      </w:r>
      <w:r w:rsidRPr="00C0258A">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41E0957" w14:textId="77777777" w:rsidR="00803E3D" w:rsidRPr="00C0258A" w:rsidRDefault="00803E3D" w:rsidP="00FF426B">
      <w:pPr>
        <w:spacing w:line="360" w:lineRule="auto"/>
        <w:contextualSpacing/>
        <w:jc w:val="both"/>
        <w:rPr>
          <w:rFonts w:ascii="Palatino Linotype" w:hAnsi="Palatino Linotype" w:cs="Tahoma"/>
          <w:sz w:val="22"/>
          <w:szCs w:val="22"/>
        </w:rPr>
      </w:pPr>
    </w:p>
    <w:p w14:paraId="3F5949A3" w14:textId="77777777" w:rsidR="00803E3D" w:rsidRPr="00C0258A" w:rsidRDefault="00803E3D" w:rsidP="00FF426B">
      <w:pPr>
        <w:spacing w:line="360" w:lineRule="auto"/>
        <w:contextualSpacing/>
        <w:jc w:val="both"/>
        <w:rPr>
          <w:rFonts w:ascii="Palatino Linotype" w:hAnsi="Palatino Linotype" w:cs="Tahoma"/>
          <w:iCs/>
          <w:sz w:val="22"/>
          <w:szCs w:val="22"/>
        </w:rPr>
      </w:pPr>
      <w:r w:rsidRPr="00C0258A">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F6AD5F1" w14:textId="77777777" w:rsidR="00803E3D" w:rsidRPr="00C0258A"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209E75B0" w14:textId="77777777" w:rsidR="00C64FE7" w:rsidRPr="00C0258A" w:rsidRDefault="00803E3D" w:rsidP="00C64FE7">
      <w:pPr>
        <w:spacing w:line="360" w:lineRule="auto"/>
        <w:jc w:val="both"/>
        <w:rPr>
          <w:rFonts w:ascii="Palatino Linotype" w:hAnsi="Palatino Linotype" w:cs="Tahoma"/>
          <w:color w:val="000000" w:themeColor="text1"/>
          <w:sz w:val="22"/>
          <w:szCs w:val="22"/>
        </w:rPr>
      </w:pPr>
      <w:r w:rsidRPr="00C0258A">
        <w:rPr>
          <w:rFonts w:ascii="Palatino Linotype" w:eastAsia="Calibri" w:hAnsi="Palatino Linotype" w:cs="Tahoma"/>
          <w:b/>
          <w:color w:val="000000" w:themeColor="text1"/>
          <w:sz w:val="22"/>
          <w:szCs w:val="22"/>
          <w:lang w:eastAsia="es-MX"/>
        </w:rPr>
        <w:t>CUARTO</w:t>
      </w:r>
      <w:r w:rsidRPr="00C0258A">
        <w:rPr>
          <w:rFonts w:ascii="Palatino Linotype" w:eastAsia="Calibri" w:hAnsi="Palatino Linotype" w:cs="Tahoma"/>
          <w:b/>
          <w:bCs/>
          <w:color w:val="000000" w:themeColor="text1"/>
          <w:sz w:val="22"/>
          <w:szCs w:val="22"/>
          <w:lang w:eastAsia="en-US"/>
        </w:rPr>
        <w:t xml:space="preserve">. </w:t>
      </w:r>
      <w:r w:rsidRPr="00C0258A">
        <w:rPr>
          <w:rFonts w:ascii="Palatino Linotype" w:hAnsi="Palatino Linotype" w:cs="Tahoma"/>
          <w:b/>
          <w:color w:val="000000" w:themeColor="text1"/>
          <w:sz w:val="22"/>
          <w:szCs w:val="22"/>
        </w:rPr>
        <w:t>NOTIFÍQUESE</w:t>
      </w:r>
      <w:r w:rsidRPr="00C0258A">
        <w:rPr>
          <w:rFonts w:ascii="Palatino Linotype" w:hAnsi="Palatino Linotype" w:cs="Tahoma"/>
          <w:color w:val="000000" w:themeColor="text1"/>
          <w:sz w:val="22"/>
          <w:szCs w:val="22"/>
        </w:rPr>
        <w:t xml:space="preserve"> </w:t>
      </w:r>
      <w:r w:rsidR="00402735" w:rsidRPr="00C0258A">
        <w:rPr>
          <w:rFonts w:ascii="Palatino Linotype" w:eastAsia="Calibri" w:hAnsi="Palatino Linotype" w:cs="Tahoma"/>
          <w:b/>
          <w:bCs/>
          <w:sz w:val="22"/>
          <w:szCs w:val="22"/>
          <w:lang w:eastAsia="en-US"/>
        </w:rPr>
        <w:t>POR SAIMEX</w:t>
      </w:r>
      <w:r w:rsidR="0004563C" w:rsidRPr="00C0258A">
        <w:rPr>
          <w:rFonts w:ascii="Palatino Linotype" w:eastAsia="Calibri" w:hAnsi="Palatino Linotype" w:cs="Tahoma"/>
          <w:b/>
          <w:bCs/>
          <w:sz w:val="22"/>
          <w:szCs w:val="22"/>
          <w:lang w:eastAsia="en-US"/>
        </w:rPr>
        <w:t xml:space="preserve"> </w:t>
      </w:r>
      <w:r w:rsidRPr="00C0258A">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C0258A">
        <w:rPr>
          <w:rFonts w:ascii="Palatino Linotype" w:hAnsi="Palatino Linotype" w:cs="Tahoma"/>
          <w:color w:val="000000" w:themeColor="text1"/>
          <w:sz w:val="22"/>
          <w:szCs w:val="22"/>
        </w:rPr>
        <w:t>érminos de las leyes aplicables</w:t>
      </w:r>
      <w:r w:rsidR="00C64FE7" w:rsidRPr="00C0258A">
        <w:rPr>
          <w:rFonts w:ascii="Palatino Linotype" w:hAnsi="Palatino Linotype" w:cs="Tahoma"/>
          <w:sz w:val="22"/>
          <w:szCs w:val="22"/>
        </w:rPr>
        <w:t>.</w:t>
      </w:r>
    </w:p>
    <w:p w14:paraId="7A15B36E" w14:textId="77777777" w:rsidR="008A73EF" w:rsidRPr="00C0258A" w:rsidRDefault="008A73EF" w:rsidP="00FF426B">
      <w:pPr>
        <w:spacing w:line="360" w:lineRule="auto"/>
        <w:contextualSpacing/>
        <w:jc w:val="both"/>
        <w:rPr>
          <w:rFonts w:ascii="Palatino Linotype" w:hAnsi="Palatino Linotype" w:cs="Tahoma"/>
          <w:color w:val="000000" w:themeColor="text1"/>
          <w:sz w:val="22"/>
          <w:szCs w:val="22"/>
        </w:rPr>
      </w:pPr>
    </w:p>
    <w:p w14:paraId="2D9182A4" w14:textId="2F91CD8C" w:rsidR="00803E3D" w:rsidRDefault="00803E3D" w:rsidP="00FF426B">
      <w:pPr>
        <w:spacing w:line="360" w:lineRule="auto"/>
        <w:contextualSpacing/>
        <w:jc w:val="both"/>
        <w:rPr>
          <w:rFonts w:ascii="Palatino Linotype" w:hAnsi="Palatino Linotype" w:cs="Tahoma"/>
          <w:sz w:val="22"/>
          <w:szCs w:val="22"/>
        </w:rPr>
      </w:pPr>
      <w:r w:rsidRPr="00C0258A">
        <w:rPr>
          <w:rFonts w:ascii="Palatino Linotype" w:hAnsi="Palatino Linotype" w:cs="Tahoma"/>
          <w:sz w:val="22"/>
          <w:szCs w:val="22"/>
          <w:lang w:eastAsia="es-MX"/>
        </w:rPr>
        <w:t xml:space="preserve">ASÍ LO RESUELVE, POR </w:t>
      </w:r>
      <w:r w:rsidRPr="00C0258A">
        <w:rPr>
          <w:rFonts w:ascii="Palatino Linotype" w:hAnsi="Palatino Linotype" w:cs="Tahoma"/>
          <w:b/>
          <w:sz w:val="22"/>
          <w:szCs w:val="22"/>
          <w:lang w:eastAsia="es-MX"/>
        </w:rPr>
        <w:t>UNANIMIDAD</w:t>
      </w:r>
      <w:r w:rsidRPr="00C0258A">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459FA" w:rsidRPr="00C0258A">
        <w:rPr>
          <w:rFonts w:ascii="Palatino Linotype" w:hAnsi="Palatino Linotype" w:cs="Tahoma"/>
          <w:sz w:val="22"/>
          <w:szCs w:val="22"/>
          <w:lang w:eastAsia="es-MX"/>
        </w:rPr>
        <w:t xml:space="preserve"> </w:t>
      </w:r>
      <w:r w:rsidRPr="00C0258A">
        <w:rPr>
          <w:rFonts w:ascii="Palatino Linotype" w:hAnsi="Palatino Linotype" w:cs="Tahoma"/>
          <w:sz w:val="22"/>
          <w:szCs w:val="22"/>
          <w:lang w:eastAsia="es-MX"/>
        </w:rPr>
        <w:t xml:space="preserve">Y GUADALUPE RAMÍREZ PEÑA, EN LA </w:t>
      </w:r>
      <w:r w:rsidR="00B459FA" w:rsidRPr="00C0258A">
        <w:rPr>
          <w:rFonts w:ascii="Palatino Linotype" w:hAnsi="Palatino Linotype" w:cs="Tahoma"/>
          <w:sz w:val="22"/>
          <w:szCs w:val="22"/>
          <w:lang w:eastAsia="es-MX"/>
        </w:rPr>
        <w:t xml:space="preserve">DÉCIMA </w:t>
      </w:r>
      <w:r w:rsidR="00A31BB0" w:rsidRPr="00C0258A">
        <w:rPr>
          <w:rFonts w:ascii="Palatino Linotype" w:hAnsi="Palatino Linotype" w:cs="Tahoma"/>
          <w:sz w:val="22"/>
          <w:szCs w:val="22"/>
          <w:lang w:eastAsia="es-MX"/>
        </w:rPr>
        <w:t xml:space="preserve">QUINTA </w:t>
      </w:r>
      <w:r w:rsidRPr="00C0258A">
        <w:rPr>
          <w:rFonts w:ascii="Palatino Linotype" w:hAnsi="Palatino Linotype" w:cs="Tahoma"/>
          <w:sz w:val="22"/>
          <w:szCs w:val="22"/>
          <w:lang w:eastAsia="es-MX"/>
        </w:rPr>
        <w:t xml:space="preserve">SESIÓN ORDINARIA, CELEBRADA EL </w:t>
      </w:r>
      <w:r w:rsidR="00A31BB0" w:rsidRPr="00C0258A">
        <w:rPr>
          <w:rFonts w:ascii="Palatino Linotype" w:hAnsi="Palatino Linotype" w:cs="Tahoma"/>
          <w:sz w:val="22"/>
          <w:szCs w:val="22"/>
          <w:lang w:eastAsia="es-MX"/>
        </w:rPr>
        <w:t xml:space="preserve">TREINTA DE ABRIL </w:t>
      </w:r>
      <w:r w:rsidR="00B73D51" w:rsidRPr="00C0258A">
        <w:rPr>
          <w:rFonts w:ascii="Palatino Linotype" w:hAnsi="Palatino Linotype" w:cs="Tahoma"/>
          <w:sz w:val="22"/>
          <w:szCs w:val="22"/>
          <w:lang w:eastAsia="es-MX"/>
        </w:rPr>
        <w:t>DE DOS MIL VEINTI</w:t>
      </w:r>
      <w:r w:rsidR="004E622C" w:rsidRPr="00C0258A">
        <w:rPr>
          <w:rFonts w:ascii="Palatino Linotype" w:hAnsi="Palatino Linotype" w:cs="Tahoma"/>
          <w:sz w:val="22"/>
          <w:szCs w:val="22"/>
          <w:lang w:eastAsia="es-MX"/>
        </w:rPr>
        <w:t>C</w:t>
      </w:r>
      <w:r w:rsidR="006059A8" w:rsidRPr="00C0258A">
        <w:rPr>
          <w:rFonts w:ascii="Palatino Linotype" w:hAnsi="Palatino Linotype" w:cs="Tahoma"/>
          <w:sz w:val="22"/>
          <w:szCs w:val="22"/>
          <w:lang w:eastAsia="es-MX"/>
        </w:rPr>
        <w:t>INCO</w:t>
      </w:r>
      <w:r w:rsidRPr="00C0258A">
        <w:rPr>
          <w:rFonts w:ascii="Palatino Linotype" w:hAnsi="Palatino Linotype" w:cs="Tahoma"/>
          <w:sz w:val="22"/>
          <w:szCs w:val="22"/>
          <w:lang w:eastAsia="es-MX"/>
        </w:rPr>
        <w:t>, ANTE EL SECRETARIO TÉCNICO DEL PLENO, ALEXIS TAPIA RAMÍREZ.</w:t>
      </w:r>
    </w:p>
    <w:p w14:paraId="424D94D6" w14:textId="77777777" w:rsidR="00163BAA" w:rsidRDefault="00163BAA" w:rsidP="00FF426B">
      <w:pPr>
        <w:spacing w:line="360" w:lineRule="auto"/>
        <w:contextualSpacing/>
        <w:jc w:val="both"/>
        <w:rPr>
          <w:rFonts w:ascii="Palatino Linotype" w:hAnsi="Palatino Linotype" w:cs="Tahoma"/>
          <w:sz w:val="22"/>
          <w:szCs w:val="22"/>
        </w:rPr>
      </w:pPr>
    </w:p>
    <w:p w14:paraId="3553A59E" w14:textId="77777777" w:rsidR="00163BAA" w:rsidRDefault="00163BAA" w:rsidP="00FF426B">
      <w:pPr>
        <w:spacing w:line="360" w:lineRule="auto"/>
        <w:contextualSpacing/>
        <w:jc w:val="both"/>
        <w:rPr>
          <w:rFonts w:ascii="Palatino Linotype" w:hAnsi="Palatino Linotype" w:cs="Tahoma"/>
          <w:sz w:val="22"/>
          <w:szCs w:val="22"/>
        </w:rPr>
      </w:pPr>
    </w:p>
    <w:p w14:paraId="65056A00" w14:textId="77777777" w:rsidR="0089175F" w:rsidRDefault="0089175F" w:rsidP="00FF426B">
      <w:pPr>
        <w:spacing w:line="360" w:lineRule="auto"/>
        <w:contextualSpacing/>
        <w:jc w:val="both"/>
        <w:rPr>
          <w:rFonts w:ascii="Palatino Linotype" w:hAnsi="Palatino Linotype" w:cs="Tahoma"/>
          <w:sz w:val="22"/>
          <w:szCs w:val="22"/>
        </w:rPr>
      </w:pPr>
    </w:p>
    <w:p w14:paraId="1BC06668" w14:textId="77777777" w:rsidR="0089175F" w:rsidRDefault="0089175F" w:rsidP="00FF426B">
      <w:pPr>
        <w:spacing w:line="360" w:lineRule="auto"/>
        <w:contextualSpacing/>
        <w:jc w:val="both"/>
        <w:rPr>
          <w:rFonts w:ascii="Palatino Linotype" w:hAnsi="Palatino Linotype" w:cs="Tahoma"/>
          <w:sz w:val="22"/>
          <w:szCs w:val="22"/>
        </w:rPr>
      </w:pPr>
    </w:p>
    <w:p w14:paraId="3F25668B" w14:textId="77777777" w:rsidR="0089175F" w:rsidRDefault="0089175F" w:rsidP="00FF426B">
      <w:pPr>
        <w:spacing w:line="360" w:lineRule="auto"/>
        <w:contextualSpacing/>
        <w:jc w:val="both"/>
        <w:rPr>
          <w:rFonts w:ascii="Palatino Linotype" w:hAnsi="Palatino Linotype" w:cs="Tahoma"/>
          <w:sz w:val="22"/>
          <w:szCs w:val="22"/>
        </w:rPr>
      </w:pPr>
    </w:p>
    <w:p w14:paraId="18DBB645" w14:textId="77777777" w:rsidR="0089175F" w:rsidRDefault="0089175F" w:rsidP="00FF426B">
      <w:pPr>
        <w:spacing w:line="360" w:lineRule="auto"/>
        <w:contextualSpacing/>
        <w:jc w:val="both"/>
        <w:rPr>
          <w:rFonts w:ascii="Palatino Linotype" w:hAnsi="Palatino Linotype" w:cs="Tahoma"/>
          <w:sz w:val="22"/>
          <w:szCs w:val="22"/>
        </w:rPr>
      </w:pPr>
    </w:p>
    <w:p w14:paraId="3FEC2B64" w14:textId="77777777" w:rsidR="001F1A77" w:rsidRDefault="001F1A77" w:rsidP="00FF426B">
      <w:pPr>
        <w:spacing w:line="360" w:lineRule="auto"/>
        <w:contextualSpacing/>
        <w:jc w:val="both"/>
        <w:rPr>
          <w:rFonts w:ascii="Palatino Linotype" w:hAnsi="Palatino Linotype" w:cs="Tahoma"/>
          <w:sz w:val="22"/>
          <w:szCs w:val="22"/>
        </w:rPr>
      </w:pPr>
    </w:p>
    <w:p w14:paraId="62496940" w14:textId="77777777" w:rsidR="001F1A77" w:rsidRDefault="001F1A77" w:rsidP="00FF426B">
      <w:pPr>
        <w:spacing w:line="360" w:lineRule="auto"/>
        <w:contextualSpacing/>
        <w:jc w:val="both"/>
        <w:rPr>
          <w:rFonts w:ascii="Palatino Linotype" w:hAnsi="Palatino Linotype" w:cs="Tahoma"/>
          <w:sz w:val="22"/>
          <w:szCs w:val="22"/>
        </w:rPr>
      </w:pPr>
    </w:p>
    <w:p w14:paraId="3557B8DB" w14:textId="77777777" w:rsidR="000B1059" w:rsidRDefault="000B1059" w:rsidP="00FF426B">
      <w:pPr>
        <w:spacing w:line="360" w:lineRule="auto"/>
        <w:contextualSpacing/>
        <w:jc w:val="both"/>
        <w:rPr>
          <w:rFonts w:ascii="Palatino Linotype" w:hAnsi="Palatino Linotype" w:cs="Tahoma"/>
          <w:sz w:val="22"/>
          <w:szCs w:val="22"/>
        </w:rPr>
      </w:pPr>
    </w:p>
    <w:p w14:paraId="015B8606" w14:textId="77777777" w:rsidR="000B1059" w:rsidRDefault="000B1059" w:rsidP="00FF426B">
      <w:pPr>
        <w:spacing w:line="360" w:lineRule="auto"/>
        <w:contextualSpacing/>
        <w:jc w:val="both"/>
        <w:rPr>
          <w:rFonts w:ascii="Palatino Linotype" w:hAnsi="Palatino Linotype" w:cs="Tahoma"/>
          <w:sz w:val="22"/>
          <w:szCs w:val="22"/>
        </w:rPr>
      </w:pPr>
    </w:p>
    <w:p w14:paraId="2F314D34" w14:textId="77777777" w:rsidR="000B1059" w:rsidRDefault="000B1059" w:rsidP="00FF426B">
      <w:pPr>
        <w:spacing w:line="360" w:lineRule="auto"/>
        <w:contextualSpacing/>
        <w:jc w:val="both"/>
        <w:rPr>
          <w:rFonts w:ascii="Palatino Linotype" w:hAnsi="Palatino Linotype" w:cs="Tahoma"/>
          <w:sz w:val="22"/>
          <w:szCs w:val="22"/>
        </w:rPr>
      </w:pPr>
    </w:p>
    <w:p w14:paraId="116B8023" w14:textId="77777777" w:rsidR="001F1A77" w:rsidRDefault="001F1A77" w:rsidP="00FF426B">
      <w:pPr>
        <w:spacing w:line="360" w:lineRule="auto"/>
        <w:contextualSpacing/>
        <w:jc w:val="both"/>
        <w:rPr>
          <w:rFonts w:ascii="Palatino Linotype" w:hAnsi="Palatino Linotype" w:cs="Tahoma"/>
          <w:sz w:val="22"/>
          <w:szCs w:val="22"/>
        </w:rPr>
      </w:pPr>
    </w:p>
    <w:p w14:paraId="641F7F30" w14:textId="77777777" w:rsidR="001F1A77" w:rsidRDefault="001F1A77" w:rsidP="00FF426B">
      <w:pPr>
        <w:spacing w:line="360" w:lineRule="auto"/>
        <w:contextualSpacing/>
        <w:jc w:val="both"/>
        <w:rPr>
          <w:rFonts w:ascii="Palatino Linotype" w:hAnsi="Palatino Linotype" w:cs="Tahoma"/>
          <w:sz w:val="22"/>
          <w:szCs w:val="22"/>
        </w:rPr>
      </w:pPr>
    </w:p>
    <w:p w14:paraId="275F4D09" w14:textId="77777777" w:rsidR="001F1A77" w:rsidRDefault="001F1A77" w:rsidP="00FF426B">
      <w:pPr>
        <w:spacing w:line="360" w:lineRule="auto"/>
        <w:contextualSpacing/>
        <w:jc w:val="both"/>
        <w:rPr>
          <w:rFonts w:ascii="Palatino Linotype" w:hAnsi="Palatino Linotype" w:cs="Tahoma"/>
          <w:sz w:val="22"/>
          <w:szCs w:val="22"/>
        </w:rPr>
      </w:pPr>
    </w:p>
    <w:p w14:paraId="0E1B2658" w14:textId="77777777" w:rsidR="001F1A77" w:rsidRDefault="001F1A77" w:rsidP="00FF426B">
      <w:pPr>
        <w:spacing w:line="360" w:lineRule="auto"/>
        <w:contextualSpacing/>
        <w:jc w:val="both"/>
        <w:rPr>
          <w:rFonts w:ascii="Palatino Linotype" w:hAnsi="Palatino Linotype" w:cs="Tahoma"/>
          <w:sz w:val="22"/>
          <w:szCs w:val="22"/>
        </w:rPr>
      </w:pPr>
    </w:p>
    <w:p w14:paraId="429AA9CD" w14:textId="77777777" w:rsidR="001F1A77" w:rsidRDefault="001F1A77" w:rsidP="00FF426B">
      <w:pPr>
        <w:spacing w:line="360" w:lineRule="auto"/>
        <w:contextualSpacing/>
        <w:jc w:val="both"/>
        <w:rPr>
          <w:rFonts w:ascii="Palatino Linotype" w:hAnsi="Palatino Linotype" w:cs="Tahoma"/>
          <w:sz w:val="22"/>
          <w:szCs w:val="22"/>
        </w:rPr>
      </w:pPr>
    </w:p>
    <w:p w14:paraId="42710147" w14:textId="77777777" w:rsidR="001F1A77" w:rsidRDefault="001F1A77" w:rsidP="00FF426B">
      <w:pPr>
        <w:spacing w:line="360" w:lineRule="auto"/>
        <w:contextualSpacing/>
        <w:jc w:val="both"/>
        <w:rPr>
          <w:rFonts w:ascii="Palatino Linotype" w:hAnsi="Palatino Linotype" w:cs="Tahoma"/>
          <w:sz w:val="22"/>
          <w:szCs w:val="22"/>
        </w:rPr>
      </w:pPr>
    </w:p>
    <w:p w14:paraId="044AD88A" w14:textId="77777777" w:rsidR="001F1A77" w:rsidRDefault="001F1A77" w:rsidP="00FF426B">
      <w:pPr>
        <w:spacing w:line="360" w:lineRule="auto"/>
        <w:contextualSpacing/>
        <w:jc w:val="both"/>
        <w:rPr>
          <w:rFonts w:ascii="Palatino Linotype" w:hAnsi="Palatino Linotype" w:cs="Tahoma"/>
          <w:sz w:val="22"/>
          <w:szCs w:val="22"/>
        </w:rPr>
      </w:pPr>
    </w:p>
    <w:p w14:paraId="4661CE25" w14:textId="77777777" w:rsidR="001F1A77" w:rsidRPr="003A1DF0" w:rsidRDefault="001F1A77" w:rsidP="00FF426B">
      <w:pPr>
        <w:spacing w:line="360" w:lineRule="auto"/>
        <w:contextualSpacing/>
        <w:jc w:val="both"/>
        <w:rPr>
          <w:rFonts w:ascii="Palatino Linotype" w:hAnsi="Palatino Linotype" w:cs="Tahoma"/>
          <w:sz w:val="22"/>
          <w:szCs w:val="22"/>
        </w:rPr>
      </w:pPr>
    </w:p>
    <w:p w14:paraId="312E3B22"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372CD" w14:textId="77777777" w:rsidR="00EE1B8D" w:rsidRDefault="00EE1B8D" w:rsidP="00B31222">
      <w:r>
        <w:separator/>
      </w:r>
    </w:p>
  </w:endnote>
  <w:endnote w:type="continuationSeparator" w:id="0">
    <w:p w14:paraId="64CEF108" w14:textId="77777777" w:rsidR="00EE1B8D" w:rsidRDefault="00EE1B8D" w:rsidP="00B31222">
      <w:r>
        <w:continuationSeparator/>
      </w:r>
    </w:p>
  </w:endnote>
  <w:endnote w:type="continuationNotice" w:id="1">
    <w:p w14:paraId="47CF285F" w14:textId="77777777" w:rsidR="00EE1B8D" w:rsidRDefault="00EE1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1809805C" w14:textId="77777777" w:rsidR="00015415" w:rsidRDefault="0001541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00F4A">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00F4A">
              <w:rPr>
                <w:b/>
                <w:bCs/>
                <w:noProof/>
              </w:rPr>
              <w:t>35</w:t>
            </w:r>
            <w:r>
              <w:rPr>
                <w:b/>
                <w:bCs/>
                <w:sz w:val="24"/>
                <w:szCs w:val="24"/>
              </w:rPr>
              <w:fldChar w:fldCharType="end"/>
            </w:r>
          </w:p>
        </w:sdtContent>
      </w:sdt>
    </w:sdtContent>
  </w:sdt>
  <w:p w14:paraId="3F8DF674" w14:textId="77777777" w:rsidR="00015415" w:rsidRDefault="000154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55F10C8" w14:textId="77777777" w:rsidR="00015415" w:rsidRDefault="0001541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00F4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00F4A">
              <w:rPr>
                <w:b/>
                <w:bCs/>
                <w:noProof/>
              </w:rPr>
              <w:t>35</w:t>
            </w:r>
            <w:r>
              <w:rPr>
                <w:b/>
                <w:bCs/>
                <w:sz w:val="24"/>
                <w:szCs w:val="24"/>
              </w:rPr>
              <w:fldChar w:fldCharType="end"/>
            </w:r>
          </w:p>
        </w:sdtContent>
      </w:sdt>
    </w:sdtContent>
  </w:sdt>
  <w:p w14:paraId="6B13AB56" w14:textId="77777777" w:rsidR="00015415" w:rsidRDefault="000154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E0FB5" w14:textId="77777777" w:rsidR="00EE1B8D" w:rsidRDefault="00EE1B8D" w:rsidP="00B31222">
      <w:r>
        <w:separator/>
      </w:r>
    </w:p>
  </w:footnote>
  <w:footnote w:type="continuationSeparator" w:id="0">
    <w:p w14:paraId="52679070" w14:textId="77777777" w:rsidR="00EE1B8D" w:rsidRDefault="00EE1B8D" w:rsidP="00B31222">
      <w:r>
        <w:continuationSeparator/>
      </w:r>
    </w:p>
  </w:footnote>
  <w:footnote w:type="continuationNotice" w:id="1">
    <w:p w14:paraId="72D05F60" w14:textId="77777777" w:rsidR="00EE1B8D" w:rsidRDefault="00EE1B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3766" w14:textId="77777777" w:rsidR="00015415" w:rsidRDefault="00EE1B8D">
    <w:pPr>
      <w:pStyle w:val="Encabezado"/>
    </w:pPr>
    <w:r>
      <w:rPr>
        <w:noProof/>
        <w:lang w:eastAsia="es-MX"/>
      </w:rPr>
      <w:pict w14:anchorId="2C5C9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015415" w:rsidRPr="005C106F" w14:paraId="5FE8ECC1" w14:textId="77777777" w:rsidTr="00202DB8">
      <w:trPr>
        <w:trHeight w:val="1435"/>
      </w:trPr>
      <w:tc>
        <w:tcPr>
          <w:tcW w:w="2835" w:type="dxa"/>
          <w:shd w:val="clear" w:color="auto" w:fill="auto"/>
        </w:tcPr>
        <w:p w14:paraId="7FC83B08" w14:textId="77777777" w:rsidR="00015415" w:rsidRPr="005C106F" w:rsidRDefault="00015415"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774336DE" wp14:editId="689CC94C">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3F8D9C57" w14:textId="77777777" w:rsidR="00015415" w:rsidRDefault="00015415"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015415" w14:paraId="0643FA52" w14:textId="77777777" w:rsidTr="00DF3BE8">
            <w:trPr>
              <w:trHeight w:val="144"/>
            </w:trPr>
            <w:tc>
              <w:tcPr>
                <w:tcW w:w="2589" w:type="dxa"/>
              </w:tcPr>
              <w:p w14:paraId="36B387F4" w14:textId="77777777" w:rsidR="00015415" w:rsidRPr="00431A70" w:rsidRDefault="0001541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0736705" w14:textId="50E66A4E" w:rsidR="00015415" w:rsidRPr="00431A70" w:rsidRDefault="00015415"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02381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015415" w14:paraId="087956FA" w14:textId="77777777" w:rsidTr="00DF3BE8">
            <w:trPr>
              <w:trHeight w:val="283"/>
            </w:trPr>
            <w:tc>
              <w:tcPr>
                <w:tcW w:w="2589" w:type="dxa"/>
              </w:tcPr>
              <w:p w14:paraId="78E6C48C" w14:textId="77777777" w:rsidR="00015415" w:rsidRPr="00431A70" w:rsidRDefault="0001541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80F27DE" w14:textId="77777777" w:rsidR="00015415" w:rsidRPr="005F13CF" w:rsidRDefault="00015415"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015415" w14:paraId="2722072B" w14:textId="77777777" w:rsidTr="00DF3BE8">
            <w:trPr>
              <w:trHeight w:val="283"/>
            </w:trPr>
            <w:tc>
              <w:tcPr>
                <w:tcW w:w="2589" w:type="dxa"/>
              </w:tcPr>
              <w:p w14:paraId="320A7ACE" w14:textId="77777777" w:rsidR="00015415" w:rsidRPr="00431A70" w:rsidRDefault="0001541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715FD56" w14:textId="77777777" w:rsidR="00015415" w:rsidRDefault="00015415"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01A4B78B" w14:textId="77777777" w:rsidR="00015415" w:rsidRPr="00431A70" w:rsidRDefault="00015415" w:rsidP="005F13CF">
                <w:pPr>
                  <w:tabs>
                    <w:tab w:val="right" w:pos="8838"/>
                  </w:tabs>
                  <w:ind w:left="-106" w:right="171"/>
                  <w:jc w:val="both"/>
                  <w:rPr>
                    <w:rFonts w:ascii="Palatino Linotype" w:eastAsia="Calibri" w:hAnsi="Palatino Linotype" w:cs="Tahoma"/>
                    <w:b/>
                    <w:sz w:val="22"/>
                    <w:szCs w:val="22"/>
                    <w:lang w:eastAsia="en-US"/>
                  </w:rPr>
                </w:pPr>
              </w:p>
            </w:tc>
          </w:tr>
        </w:tbl>
        <w:p w14:paraId="5F79D4E3" w14:textId="77777777" w:rsidR="00015415" w:rsidRPr="005C106F" w:rsidRDefault="00015415" w:rsidP="005743D2">
          <w:pPr>
            <w:tabs>
              <w:tab w:val="right" w:pos="8838"/>
            </w:tabs>
            <w:ind w:left="-28"/>
            <w:jc w:val="both"/>
            <w:rPr>
              <w:rFonts w:ascii="Arial" w:eastAsia="Calibri" w:hAnsi="Arial" w:cs="Arial"/>
              <w:b/>
              <w:sz w:val="22"/>
              <w:szCs w:val="22"/>
              <w:lang w:eastAsia="en-US"/>
            </w:rPr>
          </w:pPr>
        </w:p>
      </w:tc>
    </w:tr>
  </w:tbl>
  <w:p w14:paraId="05CF9A02" w14:textId="77777777" w:rsidR="00015415" w:rsidRPr="00A25151" w:rsidRDefault="00015415"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015415" w:rsidRPr="00330DA7" w14:paraId="63821B91" w14:textId="77777777" w:rsidTr="003B165A">
      <w:trPr>
        <w:trHeight w:val="1435"/>
      </w:trPr>
      <w:tc>
        <w:tcPr>
          <w:tcW w:w="2835" w:type="dxa"/>
          <w:shd w:val="clear" w:color="auto" w:fill="auto"/>
        </w:tcPr>
        <w:p w14:paraId="31F858DD" w14:textId="77777777" w:rsidR="00015415" w:rsidRPr="00330DA7" w:rsidRDefault="00015415"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1E3631E" wp14:editId="6B5E4F10">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015415" w:rsidRPr="00431A70" w14:paraId="718183FA" w14:textId="77777777" w:rsidTr="00DF3BE8">
            <w:trPr>
              <w:trHeight w:val="144"/>
            </w:trPr>
            <w:tc>
              <w:tcPr>
                <w:tcW w:w="2589" w:type="dxa"/>
              </w:tcPr>
              <w:p w14:paraId="1F75EAA8" w14:textId="77777777" w:rsidR="00015415" w:rsidRPr="00431A70" w:rsidRDefault="00015415"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9B7F6BE" w14:textId="59D92B98" w:rsidR="00015415" w:rsidRPr="00431A70" w:rsidRDefault="00015415"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02381/INFOEM/IP/RR/2025</w:t>
                </w:r>
              </w:p>
            </w:tc>
          </w:tr>
          <w:tr w:rsidR="00015415" w:rsidRPr="00286D0C" w14:paraId="4A7C8E54" w14:textId="77777777" w:rsidTr="00DF3BE8">
            <w:trPr>
              <w:trHeight w:val="144"/>
            </w:trPr>
            <w:tc>
              <w:tcPr>
                <w:tcW w:w="2589" w:type="dxa"/>
              </w:tcPr>
              <w:p w14:paraId="10B10D6D" w14:textId="77777777" w:rsidR="00015415" w:rsidRPr="00431A70" w:rsidRDefault="0001541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735CCEF5" w14:textId="4CA46DED" w:rsidR="00015415" w:rsidRPr="00B00F4A" w:rsidRDefault="00B00F4A" w:rsidP="005F13CF">
                <w:pPr>
                  <w:tabs>
                    <w:tab w:val="left" w:pos="3122"/>
                    <w:tab w:val="right" w:pos="8838"/>
                  </w:tabs>
                  <w:ind w:left="-106" w:right="-105"/>
                  <w:jc w:val="both"/>
                  <w:rPr>
                    <w:rFonts w:ascii="Palatino Linotype" w:eastAsia="Calibri" w:hAnsi="Palatino Linotype" w:cs="Tahoma"/>
                    <w:bCs/>
                    <w:sz w:val="22"/>
                    <w:szCs w:val="22"/>
                    <w:highlight w:val="black"/>
                    <w:lang w:eastAsia="en-US"/>
                  </w:rPr>
                </w:pPr>
                <w:r w:rsidRPr="00B00F4A">
                  <w:rPr>
                    <w:rFonts w:ascii="Palatino Linotype" w:eastAsia="Calibri" w:hAnsi="Palatino Linotype" w:cs="Tahoma"/>
                    <w:bCs/>
                    <w:sz w:val="22"/>
                    <w:szCs w:val="22"/>
                    <w:highlight w:val="black"/>
                    <w:lang w:eastAsia="en-US"/>
                  </w:rPr>
                  <w:t xml:space="preserve">X </w:t>
                </w:r>
                <w:proofErr w:type="spellStart"/>
                <w:r w:rsidRPr="00B00F4A">
                  <w:rPr>
                    <w:rFonts w:ascii="Palatino Linotype" w:eastAsia="Calibri" w:hAnsi="Palatino Linotype" w:cs="Tahoma"/>
                    <w:bCs/>
                    <w:sz w:val="22"/>
                    <w:szCs w:val="22"/>
                    <w:highlight w:val="black"/>
                    <w:lang w:eastAsia="en-US"/>
                  </w:rPr>
                  <w:t>X</w:t>
                </w:r>
                <w:proofErr w:type="spellEnd"/>
              </w:p>
            </w:tc>
          </w:tr>
          <w:tr w:rsidR="00015415" w:rsidRPr="00431A70" w14:paraId="05A1EC76" w14:textId="77777777" w:rsidTr="00DF3BE8">
            <w:trPr>
              <w:trHeight w:val="283"/>
            </w:trPr>
            <w:tc>
              <w:tcPr>
                <w:tcW w:w="2589" w:type="dxa"/>
              </w:tcPr>
              <w:p w14:paraId="276D1A23" w14:textId="77777777" w:rsidR="00015415" w:rsidRPr="00431A70" w:rsidRDefault="0001541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F908097" w14:textId="77777777" w:rsidR="00015415" w:rsidRPr="005F13CF" w:rsidRDefault="00015415"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Toluca </w:t>
                </w:r>
              </w:p>
            </w:tc>
          </w:tr>
          <w:tr w:rsidR="00015415" w:rsidRPr="00431A70" w14:paraId="0444AA8E" w14:textId="77777777" w:rsidTr="00DF3BE8">
            <w:trPr>
              <w:trHeight w:val="283"/>
            </w:trPr>
            <w:tc>
              <w:tcPr>
                <w:tcW w:w="2589" w:type="dxa"/>
              </w:tcPr>
              <w:p w14:paraId="2FF928E9" w14:textId="77777777" w:rsidR="00015415" w:rsidRPr="00431A70" w:rsidRDefault="0001541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04A33569" w14:textId="77777777" w:rsidR="00015415" w:rsidRPr="00431A70" w:rsidRDefault="00015415"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94FBFE8" w14:textId="77777777" w:rsidR="00015415" w:rsidRPr="00330DA7" w:rsidRDefault="00015415" w:rsidP="00DB7E5F">
          <w:pPr>
            <w:tabs>
              <w:tab w:val="right" w:pos="8838"/>
            </w:tabs>
            <w:ind w:left="-28"/>
            <w:jc w:val="both"/>
            <w:rPr>
              <w:rFonts w:ascii="Arial" w:eastAsia="Calibri" w:hAnsi="Arial" w:cs="Arial"/>
              <w:b/>
              <w:sz w:val="22"/>
              <w:szCs w:val="22"/>
              <w:lang w:eastAsia="en-US"/>
            </w:rPr>
          </w:pPr>
        </w:p>
      </w:tc>
    </w:tr>
  </w:tbl>
  <w:p w14:paraId="11688649" w14:textId="77777777" w:rsidR="00015415" w:rsidRPr="00330DA7" w:rsidRDefault="00015415"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6581AAB"/>
    <w:multiLevelType w:val="hybridMultilevel"/>
    <w:tmpl w:val="EF0AD8D4"/>
    <w:lvl w:ilvl="0" w:tplc="DF1239E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5479B"/>
    <w:multiLevelType w:val="hybridMultilevel"/>
    <w:tmpl w:val="DCC61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56676DB"/>
    <w:multiLevelType w:val="hybridMultilevel"/>
    <w:tmpl w:val="48E025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846423"/>
    <w:multiLevelType w:val="hybridMultilevel"/>
    <w:tmpl w:val="48E025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04B5A34"/>
    <w:multiLevelType w:val="hybridMultilevel"/>
    <w:tmpl w:val="87400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423486A"/>
    <w:multiLevelType w:val="hybridMultilevel"/>
    <w:tmpl w:val="8ED866DA"/>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A92D1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1E7BE7"/>
    <w:multiLevelType w:val="hybridMultilevel"/>
    <w:tmpl w:val="2B6C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0D1D37"/>
    <w:multiLevelType w:val="hybridMultilevel"/>
    <w:tmpl w:val="9070B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373B5D"/>
    <w:multiLevelType w:val="hybridMultilevel"/>
    <w:tmpl w:val="EB607D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5B5D6D"/>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9C901FE"/>
    <w:multiLevelType w:val="hybridMultilevel"/>
    <w:tmpl w:val="3AB802B6"/>
    <w:lvl w:ilvl="0" w:tplc="AE022E1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A96764"/>
    <w:multiLevelType w:val="hybridMultilevel"/>
    <w:tmpl w:val="5B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6DF04DAF"/>
    <w:multiLevelType w:val="hybridMultilevel"/>
    <w:tmpl w:val="06067AF4"/>
    <w:lvl w:ilvl="0" w:tplc="680AD3A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1" w15:restartNumberingAfterBreak="0">
    <w:nsid w:val="7325299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525E58"/>
    <w:multiLevelType w:val="hybridMultilevel"/>
    <w:tmpl w:val="3F90D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0"/>
  </w:num>
  <w:num w:numId="6">
    <w:abstractNumId w:val="44"/>
  </w:num>
  <w:num w:numId="7">
    <w:abstractNumId w:val="20"/>
  </w:num>
  <w:num w:numId="8">
    <w:abstractNumId w:val="4"/>
  </w:num>
  <w:num w:numId="9">
    <w:abstractNumId w:val="10"/>
  </w:num>
  <w:num w:numId="10">
    <w:abstractNumId w:val="12"/>
  </w:num>
  <w:num w:numId="11">
    <w:abstractNumId w:val="43"/>
  </w:num>
  <w:num w:numId="12">
    <w:abstractNumId w:val="37"/>
  </w:num>
  <w:num w:numId="13">
    <w:abstractNumId w:val="46"/>
  </w:num>
  <w:num w:numId="14">
    <w:abstractNumId w:val="9"/>
  </w:num>
  <w:num w:numId="15">
    <w:abstractNumId w:val="11"/>
  </w:num>
  <w:num w:numId="16">
    <w:abstractNumId w:val="25"/>
  </w:num>
  <w:num w:numId="17">
    <w:abstractNumId w:val="22"/>
  </w:num>
  <w:num w:numId="18">
    <w:abstractNumId w:val="45"/>
  </w:num>
  <w:num w:numId="19">
    <w:abstractNumId w:val="23"/>
  </w:num>
  <w:num w:numId="20">
    <w:abstractNumId w:val="1"/>
  </w:num>
  <w:num w:numId="21">
    <w:abstractNumId w:val="2"/>
  </w:num>
  <w:num w:numId="22">
    <w:abstractNumId w:val="36"/>
  </w:num>
  <w:num w:numId="23">
    <w:abstractNumId w:val="32"/>
  </w:num>
  <w:num w:numId="24">
    <w:abstractNumId w:val="17"/>
  </w:num>
  <w:num w:numId="25">
    <w:abstractNumId w:val="34"/>
  </w:num>
  <w:num w:numId="26">
    <w:abstractNumId w:val="26"/>
  </w:num>
  <w:num w:numId="27">
    <w:abstractNumId w:val="42"/>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6"/>
  </w:num>
  <w:num w:numId="33">
    <w:abstractNumId w:val="35"/>
  </w:num>
  <w:num w:numId="34">
    <w:abstractNumId w:val="24"/>
  </w:num>
  <w:num w:numId="35">
    <w:abstractNumId w:val="41"/>
  </w:num>
  <w:num w:numId="36">
    <w:abstractNumId w:val="7"/>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31"/>
  </w:num>
  <w:num w:numId="44">
    <w:abstractNumId w:val="28"/>
  </w:num>
  <w:num w:numId="45">
    <w:abstractNumId w:val="3"/>
  </w:num>
  <w:num w:numId="46">
    <w:abstractNumId w:val="14"/>
  </w:num>
  <w:num w:numId="47">
    <w:abstractNumId w:val="16"/>
  </w:num>
  <w:num w:numId="48">
    <w:abstractNumId w:val="33"/>
  </w:num>
  <w:num w:numId="49">
    <w:abstractNumId w:val="39"/>
  </w:num>
  <w:num w:numId="5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415"/>
    <w:rsid w:val="00015D5C"/>
    <w:rsid w:val="00015FA1"/>
    <w:rsid w:val="0001639F"/>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489"/>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514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682D"/>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1C6"/>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6E92"/>
    <w:rsid w:val="000D76F5"/>
    <w:rsid w:val="000E0BEA"/>
    <w:rsid w:val="000E189E"/>
    <w:rsid w:val="000E2884"/>
    <w:rsid w:val="000E4DD0"/>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7F9"/>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3E94"/>
    <w:rsid w:val="00114068"/>
    <w:rsid w:val="001141F0"/>
    <w:rsid w:val="001147DC"/>
    <w:rsid w:val="00114967"/>
    <w:rsid w:val="001150E9"/>
    <w:rsid w:val="0011605B"/>
    <w:rsid w:val="001166C8"/>
    <w:rsid w:val="001171BD"/>
    <w:rsid w:val="00117CD7"/>
    <w:rsid w:val="00117FA6"/>
    <w:rsid w:val="00120425"/>
    <w:rsid w:val="001215F0"/>
    <w:rsid w:val="0012216D"/>
    <w:rsid w:val="001221B8"/>
    <w:rsid w:val="0012256C"/>
    <w:rsid w:val="001227A5"/>
    <w:rsid w:val="001233CB"/>
    <w:rsid w:val="00123533"/>
    <w:rsid w:val="001235DF"/>
    <w:rsid w:val="00125568"/>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77D3B"/>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B6ED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5EFE"/>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1F7D4C"/>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314"/>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1E87"/>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2B0C"/>
    <w:rsid w:val="00283068"/>
    <w:rsid w:val="00284486"/>
    <w:rsid w:val="00284C33"/>
    <w:rsid w:val="00285118"/>
    <w:rsid w:val="00285644"/>
    <w:rsid w:val="0028581E"/>
    <w:rsid w:val="0028601B"/>
    <w:rsid w:val="002862DB"/>
    <w:rsid w:val="0028682F"/>
    <w:rsid w:val="00286835"/>
    <w:rsid w:val="00286D0C"/>
    <w:rsid w:val="00287034"/>
    <w:rsid w:val="00287EE1"/>
    <w:rsid w:val="0029110A"/>
    <w:rsid w:val="00291648"/>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12"/>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2CAE"/>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BEB"/>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E58"/>
    <w:rsid w:val="003D11DD"/>
    <w:rsid w:val="003D1770"/>
    <w:rsid w:val="003D1A43"/>
    <w:rsid w:val="003D1A64"/>
    <w:rsid w:val="003D1AEC"/>
    <w:rsid w:val="003D1DB6"/>
    <w:rsid w:val="003D392D"/>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6C84"/>
    <w:rsid w:val="003E77B5"/>
    <w:rsid w:val="003F0DFC"/>
    <w:rsid w:val="003F0E6C"/>
    <w:rsid w:val="003F12B4"/>
    <w:rsid w:val="003F1892"/>
    <w:rsid w:val="003F25D4"/>
    <w:rsid w:val="003F3157"/>
    <w:rsid w:val="003F3C2B"/>
    <w:rsid w:val="003F3DEE"/>
    <w:rsid w:val="003F405A"/>
    <w:rsid w:val="003F5058"/>
    <w:rsid w:val="003F57CA"/>
    <w:rsid w:val="003F5C38"/>
    <w:rsid w:val="003F650B"/>
    <w:rsid w:val="003F6A77"/>
    <w:rsid w:val="003F6EF0"/>
    <w:rsid w:val="0040007A"/>
    <w:rsid w:val="004004E9"/>
    <w:rsid w:val="00400D1B"/>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278"/>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155"/>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1A95"/>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5EEF"/>
    <w:rsid w:val="004B7542"/>
    <w:rsid w:val="004B769A"/>
    <w:rsid w:val="004B78C7"/>
    <w:rsid w:val="004B7DB2"/>
    <w:rsid w:val="004B7E7A"/>
    <w:rsid w:val="004C14AC"/>
    <w:rsid w:val="004C17E0"/>
    <w:rsid w:val="004C2E1B"/>
    <w:rsid w:val="004C30D4"/>
    <w:rsid w:val="004C36E3"/>
    <w:rsid w:val="004C36F9"/>
    <w:rsid w:val="004C4ACC"/>
    <w:rsid w:val="004C4E69"/>
    <w:rsid w:val="004C51C1"/>
    <w:rsid w:val="004C576F"/>
    <w:rsid w:val="004C69D5"/>
    <w:rsid w:val="004C6B57"/>
    <w:rsid w:val="004C6F68"/>
    <w:rsid w:val="004C707E"/>
    <w:rsid w:val="004C78C8"/>
    <w:rsid w:val="004C7E83"/>
    <w:rsid w:val="004D01DA"/>
    <w:rsid w:val="004D0563"/>
    <w:rsid w:val="004D0E1D"/>
    <w:rsid w:val="004D151D"/>
    <w:rsid w:val="004D185C"/>
    <w:rsid w:val="004D18DE"/>
    <w:rsid w:val="004D19CC"/>
    <w:rsid w:val="004D1F4F"/>
    <w:rsid w:val="004D2877"/>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3EFA"/>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683"/>
    <w:rsid w:val="00537DC5"/>
    <w:rsid w:val="00540E5A"/>
    <w:rsid w:val="005421D2"/>
    <w:rsid w:val="005423DD"/>
    <w:rsid w:val="00542B7D"/>
    <w:rsid w:val="00542D5F"/>
    <w:rsid w:val="005435DE"/>
    <w:rsid w:val="00543AD3"/>
    <w:rsid w:val="005441AD"/>
    <w:rsid w:val="00544B35"/>
    <w:rsid w:val="00544C28"/>
    <w:rsid w:val="00545A32"/>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012"/>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B15"/>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2F09"/>
    <w:rsid w:val="00583228"/>
    <w:rsid w:val="00583A2A"/>
    <w:rsid w:val="0058487B"/>
    <w:rsid w:val="00584915"/>
    <w:rsid w:val="00585B48"/>
    <w:rsid w:val="00585BFC"/>
    <w:rsid w:val="005864DC"/>
    <w:rsid w:val="00586FA8"/>
    <w:rsid w:val="00586FDF"/>
    <w:rsid w:val="005875B5"/>
    <w:rsid w:val="00587F23"/>
    <w:rsid w:val="00590A85"/>
    <w:rsid w:val="005912F7"/>
    <w:rsid w:val="00591E3A"/>
    <w:rsid w:val="005921DB"/>
    <w:rsid w:val="00592510"/>
    <w:rsid w:val="00593411"/>
    <w:rsid w:val="00593980"/>
    <w:rsid w:val="00593CB4"/>
    <w:rsid w:val="00593CFE"/>
    <w:rsid w:val="00593E68"/>
    <w:rsid w:val="0059433D"/>
    <w:rsid w:val="0059624F"/>
    <w:rsid w:val="00597487"/>
    <w:rsid w:val="00597BA0"/>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48"/>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657D"/>
    <w:rsid w:val="005C7700"/>
    <w:rsid w:val="005D0941"/>
    <w:rsid w:val="005D1427"/>
    <w:rsid w:val="005D22D3"/>
    <w:rsid w:val="005D26B8"/>
    <w:rsid w:val="005D285E"/>
    <w:rsid w:val="005D364D"/>
    <w:rsid w:val="005D3841"/>
    <w:rsid w:val="005D44E4"/>
    <w:rsid w:val="005D457F"/>
    <w:rsid w:val="005D49C8"/>
    <w:rsid w:val="005D5607"/>
    <w:rsid w:val="005D5B86"/>
    <w:rsid w:val="005D6A2B"/>
    <w:rsid w:val="005D6AD9"/>
    <w:rsid w:val="005E1099"/>
    <w:rsid w:val="005E15D1"/>
    <w:rsid w:val="005E1BC2"/>
    <w:rsid w:val="005E1EE5"/>
    <w:rsid w:val="005E2F72"/>
    <w:rsid w:val="005E32ED"/>
    <w:rsid w:val="005E37E9"/>
    <w:rsid w:val="005E4A0D"/>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471F"/>
    <w:rsid w:val="0061570E"/>
    <w:rsid w:val="006157C9"/>
    <w:rsid w:val="00616189"/>
    <w:rsid w:val="00616AB4"/>
    <w:rsid w:val="0062078C"/>
    <w:rsid w:val="00620E8F"/>
    <w:rsid w:val="00621760"/>
    <w:rsid w:val="006217BB"/>
    <w:rsid w:val="0062277D"/>
    <w:rsid w:val="00625134"/>
    <w:rsid w:val="00625ADA"/>
    <w:rsid w:val="00625BD5"/>
    <w:rsid w:val="00625DFB"/>
    <w:rsid w:val="00626EA4"/>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193"/>
    <w:rsid w:val="006408C4"/>
    <w:rsid w:val="0064182B"/>
    <w:rsid w:val="006418ED"/>
    <w:rsid w:val="0064229C"/>
    <w:rsid w:val="00642B13"/>
    <w:rsid w:val="0064309D"/>
    <w:rsid w:val="006431FF"/>
    <w:rsid w:val="00643AC4"/>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A3B"/>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6DF3"/>
    <w:rsid w:val="006975FA"/>
    <w:rsid w:val="006976AD"/>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A4E"/>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AB3"/>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4AF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BF5"/>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3A93"/>
    <w:rsid w:val="00874300"/>
    <w:rsid w:val="00874748"/>
    <w:rsid w:val="00874894"/>
    <w:rsid w:val="00875D0B"/>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C5C"/>
    <w:rsid w:val="008A5D96"/>
    <w:rsid w:val="008A5F7E"/>
    <w:rsid w:val="008A6178"/>
    <w:rsid w:val="008A61E2"/>
    <w:rsid w:val="008A6FEB"/>
    <w:rsid w:val="008A73EF"/>
    <w:rsid w:val="008B00A4"/>
    <w:rsid w:val="008B1C74"/>
    <w:rsid w:val="008B22B3"/>
    <w:rsid w:val="008B28D1"/>
    <w:rsid w:val="008B360D"/>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3966"/>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267"/>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682A"/>
    <w:rsid w:val="009576B2"/>
    <w:rsid w:val="00960346"/>
    <w:rsid w:val="00960F05"/>
    <w:rsid w:val="00961724"/>
    <w:rsid w:val="009617D3"/>
    <w:rsid w:val="00961B68"/>
    <w:rsid w:val="009626F7"/>
    <w:rsid w:val="009628F1"/>
    <w:rsid w:val="0096463B"/>
    <w:rsid w:val="00965047"/>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7630F"/>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6BB0"/>
    <w:rsid w:val="009A7587"/>
    <w:rsid w:val="009B0214"/>
    <w:rsid w:val="009B02EF"/>
    <w:rsid w:val="009B0A91"/>
    <w:rsid w:val="009B19CD"/>
    <w:rsid w:val="009B5EC9"/>
    <w:rsid w:val="009B6316"/>
    <w:rsid w:val="009B6452"/>
    <w:rsid w:val="009B6A6F"/>
    <w:rsid w:val="009B736C"/>
    <w:rsid w:val="009B7BFE"/>
    <w:rsid w:val="009C01A6"/>
    <w:rsid w:val="009C0AB7"/>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AC2"/>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18BC"/>
    <w:rsid w:val="00A31BB0"/>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9AF"/>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3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66"/>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0F4A"/>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3D4B"/>
    <w:rsid w:val="00B265FF"/>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9FA"/>
    <w:rsid w:val="00B45BEE"/>
    <w:rsid w:val="00B45F3A"/>
    <w:rsid w:val="00B46A26"/>
    <w:rsid w:val="00B46C8E"/>
    <w:rsid w:val="00B47845"/>
    <w:rsid w:val="00B50512"/>
    <w:rsid w:val="00B50F74"/>
    <w:rsid w:val="00B51490"/>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4DD5"/>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0D55"/>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258A"/>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0C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1E0"/>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8C2"/>
    <w:rsid w:val="00CD7F8F"/>
    <w:rsid w:val="00CE0B4C"/>
    <w:rsid w:val="00CE0DCE"/>
    <w:rsid w:val="00CE142E"/>
    <w:rsid w:val="00CE1BC9"/>
    <w:rsid w:val="00CE25A1"/>
    <w:rsid w:val="00CE2DD0"/>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917"/>
    <w:rsid w:val="00D25ADC"/>
    <w:rsid w:val="00D2696B"/>
    <w:rsid w:val="00D26C96"/>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37A4C"/>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7701F"/>
    <w:rsid w:val="00D80080"/>
    <w:rsid w:val="00D807FB"/>
    <w:rsid w:val="00D80F9D"/>
    <w:rsid w:val="00D80FFB"/>
    <w:rsid w:val="00D81322"/>
    <w:rsid w:val="00D81BAE"/>
    <w:rsid w:val="00D81DE9"/>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199E"/>
    <w:rsid w:val="00DA22B5"/>
    <w:rsid w:val="00DA356D"/>
    <w:rsid w:val="00DA374D"/>
    <w:rsid w:val="00DA4192"/>
    <w:rsid w:val="00DA495D"/>
    <w:rsid w:val="00DA4C0A"/>
    <w:rsid w:val="00DA4F15"/>
    <w:rsid w:val="00DA5280"/>
    <w:rsid w:val="00DA5DCA"/>
    <w:rsid w:val="00DA600C"/>
    <w:rsid w:val="00DA67B9"/>
    <w:rsid w:val="00DA6AD3"/>
    <w:rsid w:val="00DA7BA0"/>
    <w:rsid w:val="00DA7C37"/>
    <w:rsid w:val="00DA7D03"/>
    <w:rsid w:val="00DB132B"/>
    <w:rsid w:val="00DB15D7"/>
    <w:rsid w:val="00DB3319"/>
    <w:rsid w:val="00DB3A68"/>
    <w:rsid w:val="00DB400B"/>
    <w:rsid w:val="00DB42EB"/>
    <w:rsid w:val="00DB42F5"/>
    <w:rsid w:val="00DB436C"/>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0F13"/>
    <w:rsid w:val="00E11A0D"/>
    <w:rsid w:val="00E12427"/>
    <w:rsid w:val="00E12F57"/>
    <w:rsid w:val="00E13C8C"/>
    <w:rsid w:val="00E13FD2"/>
    <w:rsid w:val="00E14282"/>
    <w:rsid w:val="00E156F2"/>
    <w:rsid w:val="00E15D04"/>
    <w:rsid w:val="00E15F54"/>
    <w:rsid w:val="00E16236"/>
    <w:rsid w:val="00E16621"/>
    <w:rsid w:val="00E16A1A"/>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4C7"/>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2366"/>
    <w:rsid w:val="00E8302F"/>
    <w:rsid w:val="00E8388C"/>
    <w:rsid w:val="00E83DF0"/>
    <w:rsid w:val="00E84558"/>
    <w:rsid w:val="00E84A74"/>
    <w:rsid w:val="00E84AD7"/>
    <w:rsid w:val="00E84F0F"/>
    <w:rsid w:val="00E85080"/>
    <w:rsid w:val="00E851D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2A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1B8D"/>
    <w:rsid w:val="00EE357C"/>
    <w:rsid w:val="00EE527A"/>
    <w:rsid w:val="00EE5898"/>
    <w:rsid w:val="00EE5F2E"/>
    <w:rsid w:val="00EE6773"/>
    <w:rsid w:val="00EE6BFF"/>
    <w:rsid w:val="00EE791A"/>
    <w:rsid w:val="00EF0A87"/>
    <w:rsid w:val="00EF2A6D"/>
    <w:rsid w:val="00EF2C2D"/>
    <w:rsid w:val="00EF3FC3"/>
    <w:rsid w:val="00EF4095"/>
    <w:rsid w:val="00EF41D6"/>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3A0"/>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3B8"/>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D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48F855"/>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69422925">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CC34-A80B-420B-9765-C4290996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9419</Words>
  <Characters>51806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SERVICIO</cp:lastModifiedBy>
  <cp:revision>4</cp:revision>
  <cp:lastPrinted>2025-05-06T18:05:00Z</cp:lastPrinted>
  <dcterms:created xsi:type="dcterms:W3CDTF">2025-05-06T18:04:00Z</dcterms:created>
  <dcterms:modified xsi:type="dcterms:W3CDTF">2025-06-03T17:23:00Z</dcterms:modified>
</cp:coreProperties>
</file>