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978214412"/>
        <w:docPartObj>
          <w:docPartGallery w:val="Table of Contents"/>
          <w:docPartUnique/>
        </w:docPartObj>
      </w:sdtPr>
      <w:sdtEndPr>
        <w:rPr>
          <w:b/>
          <w:bCs/>
        </w:rPr>
      </w:sdtEndPr>
      <w:sdtContent>
        <w:p w14:paraId="5993049C" w14:textId="72410FE5" w:rsidR="00835C6F" w:rsidRPr="00C151B9" w:rsidRDefault="00835C6F">
          <w:pPr>
            <w:pStyle w:val="TtulodeTDC"/>
          </w:pPr>
          <w:r w:rsidRPr="00C151B9">
            <w:rPr>
              <w:lang w:val="es-ES"/>
            </w:rPr>
            <w:t>Tabla de contenido</w:t>
          </w:r>
        </w:p>
        <w:p w14:paraId="6947BE03" w14:textId="3B0DB809" w:rsidR="00835C6F" w:rsidRPr="00C151B9" w:rsidRDefault="00835C6F">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r w:rsidRPr="00C151B9">
            <w:fldChar w:fldCharType="begin"/>
          </w:r>
          <w:r w:rsidRPr="00C151B9">
            <w:instrText xml:space="preserve"> TOC \o "1-3" \h \z \u </w:instrText>
          </w:r>
          <w:r w:rsidRPr="00C151B9">
            <w:fldChar w:fldCharType="separate"/>
          </w:r>
          <w:hyperlink w:anchor="_Toc196403013" w:history="1">
            <w:r w:rsidRPr="00C151B9">
              <w:rPr>
                <w:rStyle w:val="Hipervnculo"/>
                <w:noProof/>
              </w:rPr>
              <w:t>A N T E C E D E N T E S</w:t>
            </w:r>
            <w:r w:rsidRPr="00C151B9">
              <w:rPr>
                <w:noProof/>
                <w:webHidden/>
              </w:rPr>
              <w:tab/>
            </w:r>
            <w:r w:rsidRPr="00C151B9">
              <w:rPr>
                <w:noProof/>
                <w:webHidden/>
              </w:rPr>
              <w:fldChar w:fldCharType="begin"/>
            </w:r>
            <w:r w:rsidRPr="00C151B9">
              <w:rPr>
                <w:noProof/>
                <w:webHidden/>
              </w:rPr>
              <w:instrText xml:space="preserve"> PAGEREF _Toc196403013 \h </w:instrText>
            </w:r>
            <w:r w:rsidRPr="00C151B9">
              <w:rPr>
                <w:noProof/>
                <w:webHidden/>
              </w:rPr>
            </w:r>
            <w:r w:rsidRPr="00C151B9">
              <w:rPr>
                <w:noProof/>
                <w:webHidden/>
              </w:rPr>
              <w:fldChar w:fldCharType="separate"/>
            </w:r>
            <w:r w:rsidR="00343164">
              <w:rPr>
                <w:noProof/>
                <w:webHidden/>
              </w:rPr>
              <w:t>2</w:t>
            </w:r>
            <w:r w:rsidRPr="00C151B9">
              <w:rPr>
                <w:noProof/>
                <w:webHidden/>
              </w:rPr>
              <w:fldChar w:fldCharType="end"/>
            </w:r>
          </w:hyperlink>
        </w:p>
        <w:p w14:paraId="0051703B" w14:textId="565887F7" w:rsidR="00835C6F" w:rsidRPr="00C151B9" w:rsidRDefault="00E043D2">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14" w:history="1">
            <w:r w:rsidR="00835C6F" w:rsidRPr="00C151B9">
              <w:rPr>
                <w:rStyle w:val="Hipervnculo"/>
                <w:noProof/>
              </w:rPr>
              <w:t>I. Presentación de la solicitud de información</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_Toc196403014 \h </w:instrText>
            </w:r>
            <w:r w:rsidR="00835C6F" w:rsidRPr="00C151B9">
              <w:rPr>
                <w:noProof/>
                <w:webHidden/>
              </w:rPr>
            </w:r>
            <w:r w:rsidR="00835C6F" w:rsidRPr="00C151B9">
              <w:rPr>
                <w:noProof/>
                <w:webHidden/>
              </w:rPr>
              <w:fldChar w:fldCharType="separate"/>
            </w:r>
            <w:r w:rsidR="00343164">
              <w:rPr>
                <w:noProof/>
                <w:webHidden/>
              </w:rPr>
              <w:t>2</w:t>
            </w:r>
            <w:r w:rsidR="00835C6F" w:rsidRPr="00C151B9">
              <w:rPr>
                <w:noProof/>
                <w:webHidden/>
              </w:rPr>
              <w:fldChar w:fldCharType="end"/>
            </w:r>
          </w:hyperlink>
        </w:p>
        <w:p w14:paraId="4F4B3391" w14:textId="69828B05" w:rsidR="00835C6F" w:rsidRPr="00C151B9" w:rsidRDefault="00E043D2">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15" w:history="1">
            <w:r w:rsidR="00835C6F" w:rsidRPr="00C151B9">
              <w:rPr>
                <w:rStyle w:val="Hipervnculo"/>
                <w:noProof/>
              </w:rPr>
              <w:t>II. Prórroga para atender la solicitud de información</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_Toc196403015 \h </w:instrText>
            </w:r>
            <w:r w:rsidR="00835C6F" w:rsidRPr="00C151B9">
              <w:rPr>
                <w:noProof/>
                <w:webHidden/>
              </w:rPr>
            </w:r>
            <w:r w:rsidR="00835C6F" w:rsidRPr="00C151B9">
              <w:rPr>
                <w:noProof/>
                <w:webHidden/>
              </w:rPr>
              <w:fldChar w:fldCharType="separate"/>
            </w:r>
            <w:r w:rsidR="00343164">
              <w:rPr>
                <w:noProof/>
                <w:webHidden/>
              </w:rPr>
              <w:t>3</w:t>
            </w:r>
            <w:r w:rsidR="00835C6F" w:rsidRPr="00C151B9">
              <w:rPr>
                <w:noProof/>
                <w:webHidden/>
              </w:rPr>
              <w:fldChar w:fldCharType="end"/>
            </w:r>
          </w:hyperlink>
        </w:p>
        <w:p w14:paraId="13061AFF" w14:textId="606A7B3C" w:rsidR="00835C6F" w:rsidRPr="00C151B9" w:rsidRDefault="00E043D2">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16" w:history="1">
            <w:r w:rsidR="00835C6F" w:rsidRPr="00C151B9">
              <w:rPr>
                <w:rStyle w:val="Hipervnculo"/>
                <w:noProof/>
              </w:rPr>
              <w:t>III. Respuesta del Sujeto Obligado</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_Toc196403016 \h </w:instrText>
            </w:r>
            <w:r w:rsidR="00835C6F" w:rsidRPr="00C151B9">
              <w:rPr>
                <w:noProof/>
                <w:webHidden/>
              </w:rPr>
            </w:r>
            <w:r w:rsidR="00835C6F" w:rsidRPr="00C151B9">
              <w:rPr>
                <w:noProof/>
                <w:webHidden/>
              </w:rPr>
              <w:fldChar w:fldCharType="separate"/>
            </w:r>
            <w:r w:rsidR="00343164">
              <w:rPr>
                <w:noProof/>
                <w:webHidden/>
              </w:rPr>
              <w:t>3</w:t>
            </w:r>
            <w:r w:rsidR="00835C6F" w:rsidRPr="00C151B9">
              <w:rPr>
                <w:noProof/>
                <w:webHidden/>
              </w:rPr>
              <w:fldChar w:fldCharType="end"/>
            </w:r>
          </w:hyperlink>
        </w:p>
        <w:p w14:paraId="6C4657EA" w14:textId="173A3115" w:rsidR="00835C6F" w:rsidRPr="00C151B9" w:rsidRDefault="00E043D2">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17" w:history="1">
            <w:r w:rsidR="00835C6F" w:rsidRPr="00C151B9">
              <w:rPr>
                <w:rStyle w:val="Hipervnculo"/>
                <w:noProof/>
              </w:rPr>
              <w:t>III. Interposición del Recurso de Revisión</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_Toc196403017 \h </w:instrText>
            </w:r>
            <w:r w:rsidR="00835C6F" w:rsidRPr="00C151B9">
              <w:rPr>
                <w:noProof/>
                <w:webHidden/>
              </w:rPr>
            </w:r>
            <w:r w:rsidR="00835C6F" w:rsidRPr="00C151B9">
              <w:rPr>
                <w:noProof/>
                <w:webHidden/>
              </w:rPr>
              <w:fldChar w:fldCharType="separate"/>
            </w:r>
            <w:r w:rsidR="00343164">
              <w:rPr>
                <w:noProof/>
                <w:webHidden/>
              </w:rPr>
              <w:t>4</w:t>
            </w:r>
            <w:r w:rsidR="00835C6F" w:rsidRPr="00C151B9">
              <w:rPr>
                <w:noProof/>
                <w:webHidden/>
              </w:rPr>
              <w:fldChar w:fldCharType="end"/>
            </w:r>
          </w:hyperlink>
        </w:p>
        <w:p w14:paraId="61A79D73" w14:textId="7FF5F621" w:rsidR="00835C6F" w:rsidRPr="00C151B9" w:rsidRDefault="00E043D2">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18" w:history="1">
            <w:r w:rsidR="00835C6F" w:rsidRPr="00C151B9">
              <w:rPr>
                <w:rStyle w:val="Hipervnculo"/>
                <w:noProof/>
              </w:rPr>
              <w:t>IV. Trámite del Recurso de Revisión ante este Instituto</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_Toc196403018 \h </w:instrText>
            </w:r>
            <w:r w:rsidR="00835C6F" w:rsidRPr="00C151B9">
              <w:rPr>
                <w:noProof/>
                <w:webHidden/>
              </w:rPr>
            </w:r>
            <w:r w:rsidR="00835C6F" w:rsidRPr="00C151B9">
              <w:rPr>
                <w:noProof/>
                <w:webHidden/>
              </w:rPr>
              <w:fldChar w:fldCharType="separate"/>
            </w:r>
            <w:r w:rsidR="00343164">
              <w:rPr>
                <w:noProof/>
                <w:webHidden/>
              </w:rPr>
              <w:t>5</w:t>
            </w:r>
            <w:r w:rsidR="00835C6F" w:rsidRPr="00C151B9">
              <w:rPr>
                <w:noProof/>
                <w:webHidden/>
              </w:rPr>
              <w:fldChar w:fldCharType="end"/>
            </w:r>
          </w:hyperlink>
        </w:p>
        <w:p w14:paraId="76501EEA" w14:textId="045F6666" w:rsidR="00835C6F" w:rsidRPr="00C151B9" w:rsidRDefault="00E043D2">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19" w:history="1">
            <w:r w:rsidR="00835C6F" w:rsidRPr="00C151B9">
              <w:rPr>
                <w:rStyle w:val="Hipervnculo"/>
                <w:noProof/>
              </w:rPr>
              <w:t>C O N S I D E R A N D O S</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_Toc196403019 \h </w:instrText>
            </w:r>
            <w:r w:rsidR="00835C6F" w:rsidRPr="00C151B9">
              <w:rPr>
                <w:noProof/>
                <w:webHidden/>
              </w:rPr>
            </w:r>
            <w:r w:rsidR="00835C6F" w:rsidRPr="00C151B9">
              <w:rPr>
                <w:noProof/>
                <w:webHidden/>
              </w:rPr>
              <w:fldChar w:fldCharType="separate"/>
            </w:r>
            <w:r w:rsidR="00343164">
              <w:rPr>
                <w:noProof/>
                <w:webHidden/>
              </w:rPr>
              <w:t>7</w:t>
            </w:r>
            <w:r w:rsidR="00835C6F" w:rsidRPr="00C151B9">
              <w:rPr>
                <w:noProof/>
                <w:webHidden/>
              </w:rPr>
              <w:fldChar w:fldCharType="end"/>
            </w:r>
          </w:hyperlink>
        </w:p>
        <w:p w14:paraId="7ABEE48D" w14:textId="4668E38F" w:rsidR="00835C6F" w:rsidRPr="00C151B9" w:rsidRDefault="00E043D2">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20" w:history="1">
            <w:r w:rsidR="00835C6F" w:rsidRPr="00C151B9">
              <w:rPr>
                <w:rStyle w:val="Hipervnculo"/>
                <w:noProof/>
              </w:rPr>
              <w:t>PRIMERO. Competencia</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_Toc196403020 \h </w:instrText>
            </w:r>
            <w:r w:rsidR="00835C6F" w:rsidRPr="00C151B9">
              <w:rPr>
                <w:noProof/>
                <w:webHidden/>
              </w:rPr>
            </w:r>
            <w:r w:rsidR="00835C6F" w:rsidRPr="00C151B9">
              <w:rPr>
                <w:noProof/>
                <w:webHidden/>
              </w:rPr>
              <w:fldChar w:fldCharType="separate"/>
            </w:r>
            <w:r w:rsidR="00343164">
              <w:rPr>
                <w:noProof/>
                <w:webHidden/>
              </w:rPr>
              <w:t>7</w:t>
            </w:r>
            <w:r w:rsidR="00835C6F" w:rsidRPr="00C151B9">
              <w:rPr>
                <w:noProof/>
                <w:webHidden/>
              </w:rPr>
              <w:fldChar w:fldCharType="end"/>
            </w:r>
          </w:hyperlink>
        </w:p>
        <w:p w14:paraId="0852E4A5" w14:textId="58C777F6" w:rsidR="00835C6F" w:rsidRPr="00C151B9" w:rsidRDefault="00E043D2">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21" w:history="1">
            <w:r w:rsidR="00835C6F" w:rsidRPr="00C151B9">
              <w:rPr>
                <w:rStyle w:val="Hipervnculo"/>
                <w:noProof/>
              </w:rPr>
              <w:t>SEGUNDO. Causales de improcedencia y sobreseimiento</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_Toc196403021 \h </w:instrText>
            </w:r>
            <w:r w:rsidR="00835C6F" w:rsidRPr="00C151B9">
              <w:rPr>
                <w:noProof/>
                <w:webHidden/>
              </w:rPr>
            </w:r>
            <w:r w:rsidR="00835C6F" w:rsidRPr="00C151B9">
              <w:rPr>
                <w:noProof/>
                <w:webHidden/>
              </w:rPr>
              <w:fldChar w:fldCharType="separate"/>
            </w:r>
            <w:r w:rsidR="00343164">
              <w:rPr>
                <w:noProof/>
                <w:webHidden/>
              </w:rPr>
              <w:t>7</w:t>
            </w:r>
            <w:r w:rsidR="00835C6F" w:rsidRPr="00C151B9">
              <w:rPr>
                <w:noProof/>
                <w:webHidden/>
              </w:rPr>
              <w:fldChar w:fldCharType="end"/>
            </w:r>
          </w:hyperlink>
        </w:p>
        <w:p w14:paraId="6F1A4550" w14:textId="608BAB05" w:rsidR="00835C6F" w:rsidRPr="00C151B9" w:rsidRDefault="00E043D2">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22" w:history="1">
            <w:r w:rsidR="00835C6F" w:rsidRPr="00C151B9">
              <w:rPr>
                <w:rStyle w:val="Hipervnculo"/>
                <w:noProof/>
              </w:rPr>
              <w:t>TERCERO. Determinación de la Controversia</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_Toc196403022 \h </w:instrText>
            </w:r>
            <w:r w:rsidR="00835C6F" w:rsidRPr="00C151B9">
              <w:rPr>
                <w:noProof/>
                <w:webHidden/>
              </w:rPr>
            </w:r>
            <w:r w:rsidR="00835C6F" w:rsidRPr="00C151B9">
              <w:rPr>
                <w:noProof/>
                <w:webHidden/>
              </w:rPr>
              <w:fldChar w:fldCharType="separate"/>
            </w:r>
            <w:r w:rsidR="00343164">
              <w:rPr>
                <w:noProof/>
                <w:webHidden/>
              </w:rPr>
              <w:t>9</w:t>
            </w:r>
            <w:r w:rsidR="00835C6F" w:rsidRPr="00C151B9">
              <w:rPr>
                <w:noProof/>
                <w:webHidden/>
              </w:rPr>
              <w:fldChar w:fldCharType="end"/>
            </w:r>
          </w:hyperlink>
        </w:p>
        <w:p w14:paraId="5DE1F0D1" w14:textId="4D8FEA48" w:rsidR="00835C6F" w:rsidRPr="00C151B9" w:rsidRDefault="00E043D2">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23" w:history="1">
            <w:r w:rsidR="00835C6F" w:rsidRPr="00C151B9">
              <w:rPr>
                <w:rStyle w:val="Hipervnculo"/>
                <w:noProof/>
              </w:rPr>
              <w:t>CUARTO. Marco normativo aplicable en materia de transparencia y acceso a la información pública</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_Toc196403023 \h </w:instrText>
            </w:r>
            <w:r w:rsidR="00835C6F" w:rsidRPr="00C151B9">
              <w:rPr>
                <w:noProof/>
                <w:webHidden/>
              </w:rPr>
            </w:r>
            <w:r w:rsidR="00835C6F" w:rsidRPr="00C151B9">
              <w:rPr>
                <w:noProof/>
                <w:webHidden/>
              </w:rPr>
              <w:fldChar w:fldCharType="separate"/>
            </w:r>
            <w:r w:rsidR="00343164">
              <w:rPr>
                <w:noProof/>
                <w:webHidden/>
              </w:rPr>
              <w:t>10</w:t>
            </w:r>
            <w:r w:rsidR="00835C6F" w:rsidRPr="00C151B9">
              <w:rPr>
                <w:noProof/>
                <w:webHidden/>
              </w:rPr>
              <w:fldChar w:fldCharType="end"/>
            </w:r>
          </w:hyperlink>
        </w:p>
        <w:p w14:paraId="3FE06B5A" w14:textId="5822A775" w:rsidR="00835C6F" w:rsidRPr="00C151B9" w:rsidRDefault="00E043D2">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24" w:history="1">
            <w:r w:rsidR="00835C6F" w:rsidRPr="00C151B9">
              <w:rPr>
                <w:rStyle w:val="Hipervnculo"/>
                <w:smallCaps/>
                <w:noProof/>
              </w:rPr>
              <w:t>QUINTO.</w:t>
            </w:r>
            <w:r w:rsidR="00835C6F" w:rsidRPr="00C151B9">
              <w:rPr>
                <w:rStyle w:val="Hipervnculo"/>
                <w:noProof/>
              </w:rPr>
              <w:t xml:space="preserve"> Estudio de Fondo</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_Toc196403024 \h </w:instrText>
            </w:r>
            <w:r w:rsidR="00835C6F" w:rsidRPr="00C151B9">
              <w:rPr>
                <w:noProof/>
                <w:webHidden/>
              </w:rPr>
            </w:r>
            <w:r w:rsidR="00835C6F" w:rsidRPr="00C151B9">
              <w:rPr>
                <w:noProof/>
                <w:webHidden/>
              </w:rPr>
              <w:fldChar w:fldCharType="separate"/>
            </w:r>
            <w:r w:rsidR="00343164">
              <w:rPr>
                <w:noProof/>
                <w:webHidden/>
              </w:rPr>
              <w:t>11</w:t>
            </w:r>
            <w:r w:rsidR="00835C6F" w:rsidRPr="00C151B9">
              <w:rPr>
                <w:noProof/>
                <w:webHidden/>
              </w:rPr>
              <w:fldChar w:fldCharType="end"/>
            </w:r>
          </w:hyperlink>
        </w:p>
        <w:p w14:paraId="1F8324FA" w14:textId="1511FDCD" w:rsidR="00835C6F" w:rsidRPr="00C151B9" w:rsidRDefault="00E043D2">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25" w:history="1">
            <w:r w:rsidR="00835C6F" w:rsidRPr="00C151B9">
              <w:rPr>
                <w:rStyle w:val="Hipervnculo"/>
                <w:noProof/>
              </w:rPr>
              <w:t>SEXTO. Decisión</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_Toc196403025 \h </w:instrText>
            </w:r>
            <w:r w:rsidR="00835C6F" w:rsidRPr="00C151B9">
              <w:rPr>
                <w:noProof/>
                <w:webHidden/>
              </w:rPr>
            </w:r>
            <w:r w:rsidR="00835C6F" w:rsidRPr="00C151B9">
              <w:rPr>
                <w:noProof/>
                <w:webHidden/>
              </w:rPr>
              <w:fldChar w:fldCharType="separate"/>
            </w:r>
            <w:r w:rsidR="00343164">
              <w:rPr>
                <w:noProof/>
                <w:webHidden/>
              </w:rPr>
              <w:t>24</w:t>
            </w:r>
            <w:r w:rsidR="00835C6F" w:rsidRPr="00C151B9">
              <w:rPr>
                <w:noProof/>
                <w:webHidden/>
              </w:rPr>
              <w:fldChar w:fldCharType="end"/>
            </w:r>
          </w:hyperlink>
        </w:p>
        <w:p w14:paraId="052E5707" w14:textId="322D83C3" w:rsidR="00835C6F" w:rsidRPr="00C151B9" w:rsidRDefault="00E043D2">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6403026" w:history="1">
            <w:r w:rsidR="00835C6F" w:rsidRPr="00C151B9">
              <w:rPr>
                <w:rStyle w:val="Hipervnculo"/>
                <w:noProof/>
              </w:rPr>
              <w:t>R E S U E L V E</w:t>
            </w:r>
            <w:r w:rsidR="00835C6F" w:rsidRPr="00C151B9">
              <w:rPr>
                <w:noProof/>
                <w:webHidden/>
              </w:rPr>
              <w:tab/>
            </w:r>
            <w:r w:rsidR="00835C6F" w:rsidRPr="00C151B9">
              <w:rPr>
                <w:noProof/>
                <w:webHidden/>
              </w:rPr>
              <w:fldChar w:fldCharType="begin"/>
            </w:r>
            <w:r w:rsidR="00835C6F" w:rsidRPr="00C151B9">
              <w:rPr>
                <w:noProof/>
                <w:webHidden/>
              </w:rPr>
              <w:instrText xml:space="preserve"> PAGEREF _Toc196403026 \h </w:instrText>
            </w:r>
            <w:r w:rsidR="00835C6F" w:rsidRPr="00C151B9">
              <w:rPr>
                <w:noProof/>
                <w:webHidden/>
              </w:rPr>
            </w:r>
            <w:r w:rsidR="00835C6F" w:rsidRPr="00C151B9">
              <w:rPr>
                <w:noProof/>
                <w:webHidden/>
              </w:rPr>
              <w:fldChar w:fldCharType="separate"/>
            </w:r>
            <w:r w:rsidR="00343164">
              <w:rPr>
                <w:noProof/>
                <w:webHidden/>
              </w:rPr>
              <w:t>25</w:t>
            </w:r>
            <w:r w:rsidR="00835C6F" w:rsidRPr="00C151B9">
              <w:rPr>
                <w:noProof/>
                <w:webHidden/>
              </w:rPr>
              <w:fldChar w:fldCharType="end"/>
            </w:r>
          </w:hyperlink>
        </w:p>
        <w:p w14:paraId="7824B181" w14:textId="17249A53" w:rsidR="00835C6F" w:rsidRPr="00C151B9" w:rsidRDefault="00835C6F">
          <w:r w:rsidRPr="00C151B9">
            <w:rPr>
              <w:b/>
              <w:bCs/>
              <w:lang w:val="es-ES"/>
            </w:rPr>
            <w:fldChar w:fldCharType="end"/>
          </w:r>
        </w:p>
      </w:sdtContent>
    </w:sdt>
    <w:p w14:paraId="5F6661EE" w14:textId="3C58129F" w:rsidR="00507DEC" w:rsidRPr="00C151B9" w:rsidRDefault="00507DEC"/>
    <w:p w14:paraId="75C7D108" w14:textId="77777777" w:rsidR="00507DEC" w:rsidRPr="00C151B9" w:rsidRDefault="00276964">
      <w:r w:rsidRPr="00C151B9">
        <w:br w:type="page"/>
      </w:r>
    </w:p>
    <w:p w14:paraId="0DAB1D7D" w14:textId="77777777" w:rsidR="00507DEC" w:rsidRPr="00C151B9" w:rsidRDefault="00276964">
      <w:pPr>
        <w:spacing w:after="0" w:line="360" w:lineRule="auto"/>
      </w:pPr>
      <w:r w:rsidRPr="00C151B9">
        <w:lastRenderedPageBreak/>
        <w:t>Resolución del Pleno del Instituto de Transparencia, Acceso a la Información Pública y Protección de Datos Personales del Estado de México y Municipios, con domicilio en Metepec, Estado de México, de fecha veintitrés de abril de dos mil veinticinco.</w:t>
      </w:r>
    </w:p>
    <w:p w14:paraId="7897085E" w14:textId="77777777" w:rsidR="00507DEC" w:rsidRPr="00C151B9" w:rsidRDefault="00507DEC">
      <w:pPr>
        <w:spacing w:after="0" w:line="360" w:lineRule="auto"/>
        <w:rPr>
          <w:b/>
        </w:rPr>
      </w:pPr>
    </w:p>
    <w:p w14:paraId="5528F4AF" w14:textId="6F9ED46D" w:rsidR="00507DEC" w:rsidRPr="00C151B9" w:rsidRDefault="00276964">
      <w:pPr>
        <w:spacing w:after="0" w:line="360" w:lineRule="auto"/>
      </w:pPr>
      <w:r w:rsidRPr="00C151B9">
        <w:rPr>
          <w:b/>
        </w:rPr>
        <w:t>VISTO</w:t>
      </w:r>
      <w:r w:rsidRPr="00C151B9">
        <w:t xml:space="preserve"> el expediente conformado con motivo del Recurso de Revisión </w:t>
      </w:r>
      <w:r w:rsidRPr="00C151B9">
        <w:rPr>
          <w:b/>
        </w:rPr>
        <w:t>01956/INFOEM/IP/RR/2025</w:t>
      </w:r>
      <w:r w:rsidRPr="00C151B9">
        <w:t>, interpuesto por</w:t>
      </w:r>
      <w:r w:rsidRPr="00C151B9">
        <w:rPr>
          <w:b/>
        </w:rPr>
        <w:t xml:space="preserve"> </w:t>
      </w:r>
      <w:r w:rsidR="00512FB4" w:rsidRPr="00512FB4">
        <w:rPr>
          <w:highlight w:val="black"/>
        </w:rPr>
        <w:t>XXXXXXXXXXX</w:t>
      </w:r>
      <w:r w:rsidRPr="00C151B9">
        <w:rPr>
          <w:b/>
        </w:rPr>
        <w:t>,</w:t>
      </w:r>
      <w:r w:rsidRPr="00C151B9">
        <w:t xml:space="preserve"> en adelante, la persona Recurrente o Particular, en contra de la respuesta del Sujeto Obligado, </w:t>
      </w:r>
      <w:r w:rsidRPr="00C151B9">
        <w:rPr>
          <w:b/>
        </w:rPr>
        <w:t>Universidad Autónoma del Estado de México</w:t>
      </w:r>
      <w:r w:rsidRPr="00C151B9">
        <w:t>, se emite la presente Resolución, con base en los antecedentes y considerandos que se exponen a continuación:</w:t>
      </w:r>
      <w:r w:rsidR="00512FB4">
        <w:t xml:space="preserve"> </w:t>
      </w:r>
      <w:bookmarkStart w:id="0" w:name="_GoBack"/>
      <w:bookmarkEnd w:id="0"/>
    </w:p>
    <w:p w14:paraId="1F3FC534" w14:textId="77777777" w:rsidR="00507DEC" w:rsidRPr="00C151B9" w:rsidRDefault="00507DEC">
      <w:pPr>
        <w:spacing w:after="0" w:line="360" w:lineRule="auto"/>
      </w:pPr>
    </w:p>
    <w:p w14:paraId="6C7D1762" w14:textId="77777777" w:rsidR="00507DEC" w:rsidRPr="00C151B9" w:rsidRDefault="00276964">
      <w:pPr>
        <w:pStyle w:val="Ttulo1"/>
        <w:spacing w:before="0" w:after="0"/>
        <w:rPr>
          <w:sz w:val="22"/>
          <w:szCs w:val="22"/>
        </w:rPr>
      </w:pPr>
      <w:bookmarkStart w:id="1" w:name="_heading=h.e7960jne2fp5" w:colFirst="0" w:colLast="0"/>
      <w:bookmarkStart w:id="2" w:name="_Toc196403013"/>
      <w:bookmarkEnd w:id="1"/>
      <w:r w:rsidRPr="00C151B9">
        <w:rPr>
          <w:sz w:val="22"/>
          <w:szCs w:val="22"/>
        </w:rPr>
        <w:t>A N T E C E D E N T E S</w:t>
      </w:r>
      <w:bookmarkEnd w:id="2"/>
    </w:p>
    <w:p w14:paraId="15F6ECFC" w14:textId="77777777" w:rsidR="00507DEC" w:rsidRPr="00C151B9" w:rsidRDefault="00507DEC">
      <w:pPr>
        <w:spacing w:after="0" w:line="360" w:lineRule="auto"/>
      </w:pPr>
      <w:bookmarkStart w:id="3" w:name="_heading=h.gjdgxs" w:colFirst="0" w:colLast="0"/>
      <w:bookmarkEnd w:id="3"/>
    </w:p>
    <w:p w14:paraId="3CEE460E" w14:textId="77777777" w:rsidR="00507DEC" w:rsidRPr="00C151B9" w:rsidRDefault="00276964">
      <w:pPr>
        <w:pStyle w:val="Ttulo2"/>
        <w:spacing w:before="0" w:after="0"/>
      </w:pPr>
      <w:bookmarkStart w:id="4" w:name="_heading=h.4nzjn5brmqqn" w:colFirst="0" w:colLast="0"/>
      <w:bookmarkStart w:id="5" w:name="_Toc196403014"/>
      <w:bookmarkEnd w:id="4"/>
      <w:r w:rsidRPr="00C151B9">
        <w:t>I. Presentación de la solicitud de información</w:t>
      </w:r>
      <w:bookmarkEnd w:id="5"/>
    </w:p>
    <w:p w14:paraId="1C025E01" w14:textId="77777777" w:rsidR="00507DEC" w:rsidRPr="00C151B9" w:rsidRDefault="00507DEC">
      <w:pPr>
        <w:tabs>
          <w:tab w:val="left" w:pos="567"/>
        </w:tabs>
        <w:spacing w:after="0" w:line="360" w:lineRule="auto"/>
      </w:pPr>
    </w:p>
    <w:p w14:paraId="21DD1AD1" w14:textId="77777777" w:rsidR="00507DEC" w:rsidRPr="00C151B9" w:rsidRDefault="00276964">
      <w:pPr>
        <w:spacing w:after="0" w:line="360" w:lineRule="auto"/>
        <w:rPr>
          <w:color w:val="000000"/>
        </w:rPr>
      </w:pPr>
      <w:r w:rsidRPr="00C151B9">
        <w:t xml:space="preserve">Con fecha veintidós de enero de dos mil veinticinco, </w:t>
      </w:r>
      <w:r w:rsidRPr="00C151B9">
        <w:rPr>
          <w:color w:val="000000"/>
        </w:rPr>
        <w:t>la parte Solicitante presentó una solicitud de acceso a la información pública,</w:t>
      </w:r>
      <w:r w:rsidRPr="00C151B9">
        <w:t xml:space="preserve"> a través del</w:t>
      </w:r>
      <w:r w:rsidRPr="00C151B9">
        <w:rPr>
          <w:color w:val="000000"/>
        </w:rPr>
        <w:t xml:space="preserve"> Sistema de Acceso a la Información Mexiquense, en lo sucesivo el SAIMEX, ante el </w:t>
      </w:r>
      <w:r w:rsidRPr="00C151B9">
        <w:rPr>
          <w:b/>
        </w:rPr>
        <w:t>Universidad Autónoma del Estado de México</w:t>
      </w:r>
      <w:r w:rsidRPr="00C151B9">
        <w:rPr>
          <w:color w:val="000000"/>
        </w:rPr>
        <w:t>, en la que requirió lo siguiente:</w:t>
      </w:r>
    </w:p>
    <w:p w14:paraId="3A5A7E38" w14:textId="77777777" w:rsidR="00507DEC" w:rsidRPr="00C151B9" w:rsidRDefault="00507DEC">
      <w:pPr>
        <w:spacing w:after="0" w:line="360" w:lineRule="auto"/>
        <w:rPr>
          <w:color w:val="000000"/>
        </w:rPr>
      </w:pPr>
    </w:p>
    <w:p w14:paraId="3CA91052" w14:textId="77777777" w:rsidR="00507DEC" w:rsidRPr="00C151B9" w:rsidRDefault="00276964">
      <w:pPr>
        <w:tabs>
          <w:tab w:val="left" w:pos="567"/>
        </w:tabs>
        <w:spacing w:after="0" w:line="360" w:lineRule="auto"/>
        <w:ind w:left="567" w:right="709"/>
        <w:rPr>
          <w:b/>
          <w:sz w:val="20"/>
          <w:szCs w:val="20"/>
        </w:rPr>
      </w:pPr>
      <w:r w:rsidRPr="00C151B9">
        <w:rPr>
          <w:b/>
          <w:sz w:val="20"/>
          <w:szCs w:val="20"/>
        </w:rPr>
        <w:t>Folio de la solicitud: 00039/UAEM/IP/2025</w:t>
      </w:r>
    </w:p>
    <w:p w14:paraId="3CE3FBCC" w14:textId="77777777" w:rsidR="00507DEC" w:rsidRPr="00C151B9" w:rsidRDefault="00276964">
      <w:pPr>
        <w:tabs>
          <w:tab w:val="left" w:pos="567"/>
        </w:tabs>
        <w:spacing w:after="0" w:line="360" w:lineRule="auto"/>
        <w:ind w:left="567" w:right="709"/>
        <w:rPr>
          <w:b/>
          <w:sz w:val="20"/>
          <w:szCs w:val="20"/>
        </w:rPr>
      </w:pPr>
      <w:r w:rsidRPr="00C151B9">
        <w:rPr>
          <w:b/>
          <w:sz w:val="20"/>
          <w:szCs w:val="20"/>
        </w:rPr>
        <w:t>DESCRIPCIÓN CLARA Y PRECISA DE LA INFORMACIÓN SOLICITADA</w:t>
      </w:r>
    </w:p>
    <w:p w14:paraId="113F8B11" w14:textId="77777777" w:rsidR="00507DEC" w:rsidRPr="00C151B9" w:rsidRDefault="00276964">
      <w:pPr>
        <w:tabs>
          <w:tab w:val="left" w:pos="4667"/>
        </w:tabs>
        <w:spacing w:after="0" w:line="360" w:lineRule="auto"/>
        <w:ind w:left="567" w:right="709"/>
        <w:rPr>
          <w:i/>
          <w:sz w:val="20"/>
          <w:szCs w:val="20"/>
        </w:rPr>
      </w:pPr>
      <w:r w:rsidRPr="00C151B9">
        <w:rPr>
          <w:i/>
          <w:sz w:val="20"/>
          <w:szCs w:val="20"/>
        </w:rPr>
        <w:t xml:space="preserve">“Solicitó los trabajos terminales de grado de las últimas 3 generaciones de la especialidad en Genero, Violencia y políticas públicas de la facultad de ciencias </w:t>
      </w:r>
      <w:proofErr w:type="spellStart"/>
      <w:r w:rsidRPr="00C151B9">
        <w:rPr>
          <w:i/>
          <w:sz w:val="20"/>
          <w:szCs w:val="20"/>
        </w:rPr>
        <w:t>politicas</w:t>
      </w:r>
      <w:proofErr w:type="spellEnd"/>
      <w:r w:rsidRPr="00C151B9">
        <w:rPr>
          <w:i/>
          <w:sz w:val="20"/>
          <w:szCs w:val="20"/>
        </w:rPr>
        <w:t xml:space="preserve"> de la </w:t>
      </w:r>
      <w:proofErr w:type="spellStart"/>
      <w:r w:rsidRPr="00C151B9">
        <w:rPr>
          <w:i/>
          <w:sz w:val="20"/>
          <w:szCs w:val="20"/>
        </w:rPr>
        <w:t>uaemex</w:t>
      </w:r>
      <w:proofErr w:type="spellEnd"/>
      <w:r w:rsidRPr="00C151B9">
        <w:rPr>
          <w:i/>
          <w:sz w:val="20"/>
          <w:szCs w:val="20"/>
        </w:rPr>
        <w:t xml:space="preserve"> Solicitó los trabajos terminales de grado de la última generación de la maestría en Administración y gobierno de la facultad de ciencias políticas de la </w:t>
      </w:r>
      <w:proofErr w:type="spellStart"/>
      <w:r w:rsidRPr="00C151B9">
        <w:rPr>
          <w:i/>
          <w:sz w:val="20"/>
          <w:szCs w:val="20"/>
        </w:rPr>
        <w:t>uaemex</w:t>
      </w:r>
      <w:proofErr w:type="spellEnd"/>
      <w:r w:rsidRPr="00C151B9">
        <w:rPr>
          <w:i/>
          <w:sz w:val="20"/>
          <w:szCs w:val="20"/>
        </w:rPr>
        <w:t>’’ (Sic.)</w:t>
      </w:r>
    </w:p>
    <w:p w14:paraId="4DC6C95E" w14:textId="77777777" w:rsidR="00507DEC" w:rsidRPr="00C151B9" w:rsidRDefault="00507DEC">
      <w:pPr>
        <w:tabs>
          <w:tab w:val="left" w:pos="4667"/>
        </w:tabs>
        <w:spacing w:after="0" w:line="360" w:lineRule="auto"/>
        <w:ind w:left="567" w:right="709"/>
        <w:rPr>
          <w:b/>
          <w:sz w:val="20"/>
          <w:szCs w:val="20"/>
        </w:rPr>
      </w:pPr>
    </w:p>
    <w:p w14:paraId="3C8FAF5C" w14:textId="3A82335E" w:rsidR="00507DEC" w:rsidRPr="00C151B9" w:rsidRDefault="00276964">
      <w:pPr>
        <w:tabs>
          <w:tab w:val="left" w:pos="4667"/>
        </w:tabs>
        <w:spacing w:after="0" w:line="360" w:lineRule="auto"/>
        <w:ind w:left="567" w:right="709"/>
        <w:rPr>
          <w:i/>
          <w:sz w:val="20"/>
          <w:szCs w:val="20"/>
        </w:rPr>
      </w:pPr>
      <w:r w:rsidRPr="00C151B9">
        <w:rPr>
          <w:b/>
          <w:sz w:val="20"/>
          <w:szCs w:val="20"/>
        </w:rPr>
        <w:t>MODALIDAD DE ENTREGA “</w:t>
      </w:r>
      <w:r w:rsidRPr="00C151B9">
        <w:rPr>
          <w:i/>
          <w:sz w:val="20"/>
          <w:szCs w:val="20"/>
        </w:rPr>
        <w:t>A través del SAIMEX.”</w:t>
      </w:r>
    </w:p>
    <w:p w14:paraId="1A8373CF" w14:textId="77777777" w:rsidR="00507DEC" w:rsidRPr="00C151B9" w:rsidRDefault="00276964">
      <w:pPr>
        <w:pStyle w:val="Ttulo2"/>
        <w:spacing w:before="0" w:after="0"/>
      </w:pPr>
      <w:bookmarkStart w:id="6" w:name="_heading=h.vnc1atkknrl9" w:colFirst="0" w:colLast="0"/>
      <w:bookmarkStart w:id="7" w:name="_Toc196403015"/>
      <w:bookmarkEnd w:id="6"/>
      <w:r w:rsidRPr="00C151B9">
        <w:lastRenderedPageBreak/>
        <w:t>II. Prórroga para atender la solicitud de información</w:t>
      </w:r>
      <w:bookmarkEnd w:id="7"/>
    </w:p>
    <w:p w14:paraId="3FFE7962" w14:textId="77777777" w:rsidR="00507DEC" w:rsidRPr="00C151B9" w:rsidRDefault="00507DEC">
      <w:pPr>
        <w:spacing w:after="0" w:line="360" w:lineRule="auto"/>
      </w:pPr>
    </w:p>
    <w:p w14:paraId="20836C63" w14:textId="77777777" w:rsidR="00507DEC" w:rsidRPr="00C151B9" w:rsidRDefault="00276964">
      <w:pPr>
        <w:tabs>
          <w:tab w:val="left" w:pos="4667"/>
        </w:tabs>
        <w:spacing w:after="0" w:line="360" w:lineRule="auto"/>
        <w:rPr>
          <w:color w:val="000000"/>
        </w:rPr>
      </w:pPr>
      <w:r w:rsidRPr="00C151B9">
        <w:t>El trece de febrero de dos mil veinticinco, el Sujeto Obligado, a través</w:t>
      </w:r>
      <w:r w:rsidRPr="00C151B9">
        <w:rPr>
          <w:b/>
        </w:rPr>
        <w:t xml:space="preserve"> de SAIMEX, </w:t>
      </w:r>
      <w:r w:rsidRPr="00C151B9">
        <w:rPr>
          <w:color w:val="000000"/>
        </w:rPr>
        <w:t xml:space="preserve">informó que se </w:t>
      </w:r>
      <w:r w:rsidRPr="00C151B9">
        <w:t>prorrogó</w:t>
      </w:r>
      <w:r w:rsidRPr="00C151B9">
        <w:rPr>
          <w:color w:val="000000"/>
        </w:rPr>
        <w:t xml:space="preserve"> el plazo para dar respuesta, sin embargo, no adjuntó el acta emitida por el Comité de Transparencia, por tanto, se le </w:t>
      </w:r>
      <w:r w:rsidRPr="00C151B9">
        <w:rPr>
          <w:b/>
          <w:color w:val="000000"/>
          <w:u w:val="single"/>
        </w:rPr>
        <w:t>insta para que en futuras ocasiones remita el acta en el que el Comité de Transparencia aprueba la prórroga para dar respuesta en términos de lo dispuesto en el artículo 163 de la Ley de Transparencia y Acceso a la Información Pública del Estado de México y Municipios</w:t>
      </w:r>
      <w:r w:rsidRPr="00C151B9">
        <w:rPr>
          <w:b/>
          <w:color w:val="000000"/>
        </w:rPr>
        <w:t xml:space="preserve">. </w:t>
      </w:r>
    </w:p>
    <w:p w14:paraId="6CE1C5E3" w14:textId="77777777" w:rsidR="00507DEC" w:rsidRPr="00C151B9" w:rsidRDefault="00507DEC">
      <w:pPr>
        <w:spacing w:after="0" w:line="360" w:lineRule="auto"/>
      </w:pPr>
    </w:p>
    <w:p w14:paraId="2C7190F3" w14:textId="77777777" w:rsidR="00507DEC" w:rsidRPr="00C151B9" w:rsidRDefault="00276964">
      <w:pPr>
        <w:pStyle w:val="Ttulo2"/>
        <w:spacing w:before="0" w:after="0"/>
      </w:pPr>
      <w:bookmarkStart w:id="8" w:name="_heading=h.da1eijdclhkq" w:colFirst="0" w:colLast="0"/>
      <w:bookmarkStart w:id="9" w:name="_Toc196403016"/>
      <w:bookmarkEnd w:id="8"/>
      <w:r w:rsidRPr="00C151B9">
        <w:t>III. Respuesta del Sujeto Obligado</w:t>
      </w:r>
      <w:bookmarkEnd w:id="9"/>
    </w:p>
    <w:p w14:paraId="1BD27AF1" w14:textId="77777777" w:rsidR="00507DEC" w:rsidRPr="00C151B9" w:rsidRDefault="00507DEC">
      <w:pPr>
        <w:spacing w:after="0" w:line="360" w:lineRule="auto"/>
      </w:pPr>
    </w:p>
    <w:p w14:paraId="74C34005" w14:textId="77777777" w:rsidR="00507DEC" w:rsidRPr="00C151B9" w:rsidRDefault="00276964">
      <w:pPr>
        <w:spacing w:after="0" w:line="360" w:lineRule="auto"/>
      </w:pPr>
      <w:r w:rsidRPr="00C151B9">
        <w:t xml:space="preserve">El veinticuatro de febrero de dos mil veinticinco, el Sujeto Obligado otorgó respuesta a través del SAIMEX, en los siguientes términos: </w:t>
      </w:r>
    </w:p>
    <w:p w14:paraId="017C032B" w14:textId="77777777" w:rsidR="00507DEC" w:rsidRPr="00C151B9" w:rsidRDefault="00507DEC">
      <w:pPr>
        <w:spacing w:after="0" w:line="360" w:lineRule="auto"/>
      </w:pPr>
    </w:p>
    <w:p w14:paraId="0D924C23" w14:textId="77777777" w:rsidR="00507DEC" w:rsidRPr="00C151B9" w:rsidRDefault="00276964">
      <w:pPr>
        <w:numPr>
          <w:ilvl w:val="0"/>
          <w:numId w:val="3"/>
        </w:numPr>
        <w:pBdr>
          <w:top w:val="nil"/>
          <w:left w:val="nil"/>
          <w:bottom w:val="nil"/>
          <w:right w:val="nil"/>
          <w:between w:val="nil"/>
        </w:pBdr>
        <w:spacing w:after="0" w:line="360" w:lineRule="auto"/>
        <w:rPr>
          <w:i/>
          <w:color w:val="000000"/>
        </w:rPr>
      </w:pPr>
      <w:r w:rsidRPr="00C151B9">
        <w:rPr>
          <w:color w:val="000000"/>
        </w:rPr>
        <w:t xml:space="preserve">El Director de Transparencia Universitaria informó que </w:t>
      </w:r>
      <w:r w:rsidRPr="00C151B9">
        <w:rPr>
          <w:i/>
          <w:color w:val="000000"/>
        </w:rPr>
        <w:t xml:space="preserve">‘’ con base en la información proporcionada por </w:t>
      </w:r>
      <w:r w:rsidRPr="00C151B9">
        <w:rPr>
          <w:b/>
          <w:i/>
          <w:color w:val="000000"/>
        </w:rPr>
        <w:t>la Facultad de Ciencias Políticas y Sociales</w:t>
      </w:r>
      <w:r w:rsidRPr="00C151B9">
        <w:rPr>
          <w:i/>
          <w:color w:val="000000"/>
        </w:rPr>
        <w:t xml:space="preserve"> que, en archivo electrónico adjunto encontrará </w:t>
      </w:r>
      <w:r w:rsidRPr="00C151B9">
        <w:rPr>
          <w:b/>
          <w:i/>
          <w:color w:val="000000"/>
        </w:rPr>
        <w:t xml:space="preserve">los trabajos terminales de grado de la especialidad en </w:t>
      </w:r>
      <w:r w:rsidRPr="00C151B9">
        <w:rPr>
          <w:b/>
          <w:i/>
        </w:rPr>
        <w:t>Género</w:t>
      </w:r>
      <w:r w:rsidRPr="00C151B9">
        <w:rPr>
          <w:b/>
          <w:i/>
          <w:color w:val="000000"/>
        </w:rPr>
        <w:t>, Violencia y Políticas Públicas correspondientes a las promociones 11°, 12° y 13°.</w:t>
      </w:r>
      <w:r w:rsidRPr="00C151B9">
        <w:rPr>
          <w:i/>
          <w:color w:val="000000"/>
        </w:rPr>
        <w:t xml:space="preserve"> No se omite señalar que </w:t>
      </w:r>
      <w:r w:rsidRPr="00C151B9">
        <w:rPr>
          <w:b/>
          <w:i/>
          <w:color w:val="000000"/>
        </w:rPr>
        <w:t>los trabajos presentados en enero del año 2025 aún se encuentran en proceso de ser liberados</w:t>
      </w:r>
      <w:r w:rsidRPr="00C151B9">
        <w:rPr>
          <w:i/>
          <w:color w:val="000000"/>
        </w:rPr>
        <w:t xml:space="preserve"> </w:t>
      </w:r>
      <w:r w:rsidRPr="00C151B9">
        <w:rPr>
          <w:b/>
          <w:i/>
          <w:color w:val="000000"/>
        </w:rPr>
        <w:t>en el repositorio institucional</w:t>
      </w:r>
      <w:r w:rsidRPr="00C151B9">
        <w:rPr>
          <w:i/>
          <w:color w:val="000000"/>
        </w:rPr>
        <w:t xml:space="preserve">, por tanto, no es posible proporciónalos en este momento. Por cuanto hace a: “…los trabajos terminales de grado de la última generación de </w:t>
      </w:r>
      <w:r w:rsidRPr="00C151B9">
        <w:rPr>
          <w:b/>
          <w:i/>
          <w:color w:val="000000"/>
        </w:rPr>
        <w:t xml:space="preserve">la maestría en Administración y gobierno de la facultad de ciencias políticas de la </w:t>
      </w:r>
      <w:proofErr w:type="spellStart"/>
      <w:r w:rsidRPr="00C151B9">
        <w:rPr>
          <w:b/>
          <w:i/>
          <w:color w:val="000000"/>
        </w:rPr>
        <w:t>uaemex</w:t>
      </w:r>
      <w:proofErr w:type="spellEnd"/>
      <w:r w:rsidRPr="00C151B9">
        <w:rPr>
          <w:i/>
          <w:color w:val="000000"/>
        </w:rPr>
        <w:t xml:space="preserve">” (sic), </w:t>
      </w:r>
      <w:r w:rsidRPr="00C151B9">
        <w:rPr>
          <w:b/>
          <w:i/>
          <w:color w:val="000000"/>
        </w:rPr>
        <w:t>le comentamos que no se tiene registro de trabajos terminales de grado. Toda vez, que no es una opción en el programa, por tanto, no es posible proporcionar la información que es de su interés</w:t>
      </w:r>
      <w:r w:rsidRPr="00C151B9">
        <w:rPr>
          <w:i/>
          <w:color w:val="000000"/>
        </w:rPr>
        <w:t>…’’ (Énfasis añadido)</w:t>
      </w:r>
    </w:p>
    <w:p w14:paraId="407F8114" w14:textId="77777777" w:rsidR="00507DEC" w:rsidRPr="00C151B9" w:rsidRDefault="00507DEC">
      <w:pPr>
        <w:pBdr>
          <w:top w:val="nil"/>
          <w:left w:val="nil"/>
          <w:bottom w:val="nil"/>
          <w:right w:val="nil"/>
          <w:between w:val="nil"/>
        </w:pBdr>
        <w:spacing w:after="0" w:line="360" w:lineRule="auto"/>
        <w:ind w:left="1080"/>
        <w:rPr>
          <w:i/>
          <w:color w:val="000000"/>
        </w:rPr>
      </w:pPr>
    </w:p>
    <w:p w14:paraId="7687C19A" w14:textId="77777777" w:rsidR="00507DEC" w:rsidRPr="00C151B9" w:rsidRDefault="00276964">
      <w:pPr>
        <w:numPr>
          <w:ilvl w:val="0"/>
          <w:numId w:val="3"/>
        </w:numPr>
        <w:pBdr>
          <w:top w:val="nil"/>
          <w:left w:val="nil"/>
          <w:bottom w:val="nil"/>
          <w:right w:val="nil"/>
          <w:between w:val="nil"/>
        </w:pBdr>
        <w:spacing w:after="0" w:line="360" w:lineRule="auto"/>
        <w:rPr>
          <w:color w:val="000000"/>
        </w:rPr>
      </w:pPr>
      <w:r w:rsidRPr="00C151B9">
        <w:rPr>
          <w:color w:val="000000"/>
        </w:rPr>
        <w:t xml:space="preserve">Tablas en las que se describe el nombre de las personas tituladas y las ligas electrónicas en datos abiertos, que remiten a los trabajos terminales de grado de la especialidad en </w:t>
      </w:r>
      <w:r w:rsidRPr="00C151B9">
        <w:t>Género</w:t>
      </w:r>
      <w:r w:rsidRPr="00C151B9">
        <w:rPr>
          <w:color w:val="000000"/>
        </w:rPr>
        <w:t xml:space="preserve">, Violencia y Políticas Públicas correspondientes a las promociones 11°, 12° y 13°; salvo el caso de tres personas egresadas de la 12° promoción de las cuales se proporcionó su nombre, pero no se dio liga. </w:t>
      </w:r>
    </w:p>
    <w:p w14:paraId="511B37AA" w14:textId="77777777" w:rsidR="00507DEC" w:rsidRPr="00C151B9" w:rsidRDefault="00507DEC">
      <w:pPr>
        <w:pBdr>
          <w:top w:val="nil"/>
          <w:left w:val="nil"/>
          <w:bottom w:val="nil"/>
          <w:right w:val="nil"/>
          <w:between w:val="nil"/>
        </w:pBdr>
        <w:spacing w:after="0" w:line="360" w:lineRule="auto"/>
        <w:ind w:left="720"/>
        <w:rPr>
          <w:color w:val="000000"/>
        </w:rPr>
      </w:pPr>
    </w:p>
    <w:p w14:paraId="1C336561" w14:textId="77777777" w:rsidR="00507DEC" w:rsidRPr="00C151B9" w:rsidRDefault="00276964">
      <w:pPr>
        <w:numPr>
          <w:ilvl w:val="0"/>
          <w:numId w:val="3"/>
        </w:numPr>
        <w:pBdr>
          <w:top w:val="nil"/>
          <w:left w:val="nil"/>
          <w:bottom w:val="nil"/>
          <w:right w:val="nil"/>
          <w:between w:val="nil"/>
        </w:pBdr>
        <w:spacing w:after="0" w:line="360" w:lineRule="auto"/>
        <w:rPr>
          <w:i/>
          <w:color w:val="000000"/>
        </w:rPr>
      </w:pPr>
      <w:r w:rsidRPr="00C151B9">
        <w:rPr>
          <w:color w:val="000000"/>
        </w:rPr>
        <w:t xml:space="preserve">3 Proyectos terminales presentados para obtener el diploma de especialista en género, violencia y políticas públicas, correspondientes a las tres personas enumeradas en la tabla anterior como personas egresadas de la 12° promoción de la especialidad antes mencionada y de las cuales no se proporcionó liga. </w:t>
      </w:r>
    </w:p>
    <w:p w14:paraId="7AC4EDEF" w14:textId="77777777" w:rsidR="00507DEC" w:rsidRPr="00C151B9" w:rsidRDefault="00507DEC">
      <w:pPr>
        <w:spacing w:after="0" w:line="360" w:lineRule="auto"/>
        <w:rPr>
          <w:i/>
        </w:rPr>
      </w:pPr>
    </w:p>
    <w:p w14:paraId="6FE8F6C3" w14:textId="77777777" w:rsidR="00507DEC" w:rsidRPr="00C151B9" w:rsidRDefault="00276964">
      <w:pPr>
        <w:pStyle w:val="Ttulo2"/>
        <w:spacing w:before="0" w:after="0"/>
      </w:pPr>
      <w:bookmarkStart w:id="10" w:name="_heading=h.uqcdu9l1aigf" w:colFirst="0" w:colLast="0"/>
      <w:bookmarkStart w:id="11" w:name="_Toc196403017"/>
      <w:bookmarkEnd w:id="10"/>
      <w:r w:rsidRPr="00C151B9">
        <w:t>III. Interposición del Recurso de Revisión</w:t>
      </w:r>
      <w:bookmarkEnd w:id="11"/>
    </w:p>
    <w:p w14:paraId="574F8A4E" w14:textId="77777777" w:rsidR="00507DEC" w:rsidRPr="00C151B9" w:rsidRDefault="00507DEC">
      <w:pPr>
        <w:spacing w:after="0" w:line="360" w:lineRule="auto"/>
        <w:rPr>
          <w:b/>
        </w:rPr>
      </w:pPr>
    </w:p>
    <w:p w14:paraId="2179A8BB" w14:textId="77777777" w:rsidR="00507DEC" w:rsidRPr="00C151B9" w:rsidRDefault="00276964">
      <w:pPr>
        <w:spacing w:after="0" w:line="360" w:lineRule="auto"/>
      </w:pPr>
      <w:bookmarkStart w:id="12" w:name="_heading=h.2et92p0" w:colFirst="0" w:colLast="0"/>
      <w:bookmarkEnd w:id="12"/>
      <w:r w:rsidRPr="00C151B9">
        <w:t>Con fecha veinticuatro de febrero de dos mil veinticinco, se recibió en este Instituto, a través del SAIMEX, el Recurso de Revisión interpuesto por la persona Recurrente, en los siguientes términos:</w:t>
      </w:r>
    </w:p>
    <w:p w14:paraId="534AD1F8" w14:textId="77777777" w:rsidR="00507DEC" w:rsidRPr="00C151B9" w:rsidRDefault="00507DEC">
      <w:pPr>
        <w:spacing w:after="0" w:line="360" w:lineRule="auto"/>
      </w:pPr>
    </w:p>
    <w:p w14:paraId="7865EE3B" w14:textId="77777777" w:rsidR="00507DEC" w:rsidRPr="00C151B9" w:rsidRDefault="00276964">
      <w:pPr>
        <w:spacing w:after="0" w:line="360" w:lineRule="auto"/>
        <w:ind w:left="567" w:right="709"/>
        <w:rPr>
          <w:b/>
          <w:sz w:val="20"/>
          <w:szCs w:val="20"/>
        </w:rPr>
      </w:pPr>
      <w:r w:rsidRPr="00C151B9">
        <w:rPr>
          <w:b/>
          <w:sz w:val="20"/>
          <w:szCs w:val="20"/>
        </w:rPr>
        <w:t>ACTO IMPUGNADO</w:t>
      </w:r>
      <w:r w:rsidRPr="00C151B9">
        <w:rPr>
          <w:b/>
          <w:sz w:val="20"/>
          <w:szCs w:val="20"/>
        </w:rPr>
        <w:tab/>
      </w:r>
    </w:p>
    <w:p w14:paraId="79715726" w14:textId="77777777" w:rsidR="00507DEC" w:rsidRPr="00C151B9" w:rsidRDefault="00276964">
      <w:pPr>
        <w:spacing w:after="0" w:line="360" w:lineRule="auto"/>
        <w:ind w:left="567" w:right="709"/>
        <w:rPr>
          <w:i/>
          <w:sz w:val="20"/>
          <w:szCs w:val="20"/>
        </w:rPr>
      </w:pPr>
      <w:r w:rsidRPr="00C151B9">
        <w:rPr>
          <w:i/>
          <w:sz w:val="20"/>
          <w:szCs w:val="20"/>
        </w:rPr>
        <w:t xml:space="preserve">“No </w:t>
      </w:r>
      <w:proofErr w:type="spellStart"/>
      <w:r w:rsidRPr="00C151B9">
        <w:rPr>
          <w:i/>
          <w:sz w:val="20"/>
          <w:szCs w:val="20"/>
        </w:rPr>
        <w:t>esta</w:t>
      </w:r>
      <w:proofErr w:type="spellEnd"/>
      <w:r w:rsidRPr="00C151B9">
        <w:rPr>
          <w:i/>
          <w:sz w:val="20"/>
          <w:szCs w:val="20"/>
        </w:rPr>
        <w:t xml:space="preserve"> completa la información.” (Sic.)</w:t>
      </w:r>
    </w:p>
    <w:p w14:paraId="0C29479E" w14:textId="77777777" w:rsidR="00507DEC" w:rsidRPr="00C151B9" w:rsidRDefault="00507DEC">
      <w:pPr>
        <w:spacing w:after="0" w:line="360" w:lineRule="auto"/>
        <w:ind w:left="567" w:right="709"/>
        <w:rPr>
          <w:sz w:val="20"/>
          <w:szCs w:val="20"/>
        </w:rPr>
      </w:pPr>
    </w:p>
    <w:p w14:paraId="26AD20C9" w14:textId="77777777" w:rsidR="00507DEC" w:rsidRPr="00C151B9" w:rsidRDefault="00276964">
      <w:pPr>
        <w:spacing w:after="0" w:line="360" w:lineRule="auto"/>
        <w:ind w:left="567" w:right="709"/>
        <w:rPr>
          <w:b/>
          <w:sz w:val="20"/>
          <w:szCs w:val="20"/>
        </w:rPr>
      </w:pPr>
      <w:r w:rsidRPr="00C151B9">
        <w:rPr>
          <w:b/>
          <w:sz w:val="20"/>
          <w:szCs w:val="20"/>
        </w:rPr>
        <w:t>RAZONES O MOTIVOS DE LA INCONFORMIDAD</w:t>
      </w:r>
      <w:r w:rsidRPr="00C151B9">
        <w:rPr>
          <w:b/>
          <w:sz w:val="20"/>
          <w:szCs w:val="20"/>
        </w:rPr>
        <w:tab/>
      </w:r>
    </w:p>
    <w:p w14:paraId="5ACF9530" w14:textId="77777777" w:rsidR="00507DEC" w:rsidRPr="00C151B9" w:rsidRDefault="00276964">
      <w:pPr>
        <w:tabs>
          <w:tab w:val="left" w:pos="4667"/>
        </w:tabs>
        <w:spacing w:after="0" w:line="360" w:lineRule="auto"/>
        <w:ind w:left="567" w:right="709"/>
        <w:rPr>
          <w:i/>
          <w:sz w:val="20"/>
          <w:szCs w:val="20"/>
        </w:rPr>
      </w:pPr>
      <w:r w:rsidRPr="00C151B9">
        <w:rPr>
          <w:i/>
          <w:sz w:val="20"/>
          <w:szCs w:val="20"/>
        </w:rPr>
        <w:t xml:space="preserve">“No </w:t>
      </w:r>
      <w:proofErr w:type="spellStart"/>
      <w:r w:rsidRPr="00C151B9">
        <w:rPr>
          <w:i/>
          <w:sz w:val="20"/>
          <w:szCs w:val="20"/>
        </w:rPr>
        <w:t>esta</w:t>
      </w:r>
      <w:proofErr w:type="spellEnd"/>
      <w:r w:rsidRPr="00C151B9">
        <w:rPr>
          <w:i/>
          <w:sz w:val="20"/>
          <w:szCs w:val="20"/>
        </w:rPr>
        <w:t xml:space="preserve"> completa la información” (Sic).</w:t>
      </w:r>
    </w:p>
    <w:p w14:paraId="689B27EE" w14:textId="77777777" w:rsidR="00507DEC" w:rsidRPr="00C151B9" w:rsidRDefault="00507DEC">
      <w:pPr>
        <w:tabs>
          <w:tab w:val="left" w:pos="4667"/>
        </w:tabs>
        <w:spacing w:after="0" w:line="360" w:lineRule="auto"/>
        <w:ind w:left="567" w:right="709"/>
        <w:rPr>
          <w:i/>
        </w:rPr>
      </w:pPr>
    </w:p>
    <w:p w14:paraId="2357B8F8" w14:textId="77777777" w:rsidR="00507DEC" w:rsidRPr="00C151B9" w:rsidRDefault="00507DEC">
      <w:pPr>
        <w:tabs>
          <w:tab w:val="left" w:pos="4667"/>
        </w:tabs>
        <w:spacing w:after="0" w:line="360" w:lineRule="auto"/>
        <w:ind w:left="567" w:right="709"/>
        <w:rPr>
          <w:i/>
        </w:rPr>
      </w:pPr>
    </w:p>
    <w:p w14:paraId="775FBDF5" w14:textId="77777777" w:rsidR="00507DEC" w:rsidRPr="00C151B9" w:rsidRDefault="00276964">
      <w:pPr>
        <w:pStyle w:val="Ttulo2"/>
        <w:spacing w:before="0" w:after="0"/>
      </w:pPr>
      <w:bookmarkStart w:id="13" w:name="_heading=h.rxojxdpnmrh5" w:colFirst="0" w:colLast="0"/>
      <w:bookmarkStart w:id="14" w:name="_Toc196403018"/>
      <w:bookmarkEnd w:id="13"/>
      <w:r w:rsidRPr="00C151B9">
        <w:lastRenderedPageBreak/>
        <w:t>IV. Trámite del Recurso de Revisión ante este Instituto</w:t>
      </w:r>
      <w:bookmarkEnd w:id="14"/>
    </w:p>
    <w:p w14:paraId="2F07653A" w14:textId="77777777" w:rsidR="00507DEC" w:rsidRPr="00C151B9" w:rsidRDefault="00507DEC">
      <w:pPr>
        <w:spacing w:after="0" w:line="360" w:lineRule="auto"/>
        <w:rPr>
          <w:b/>
        </w:rPr>
      </w:pPr>
    </w:p>
    <w:p w14:paraId="49C33A69" w14:textId="77777777" w:rsidR="00507DEC" w:rsidRPr="00C151B9" w:rsidRDefault="00276964">
      <w:pPr>
        <w:spacing w:after="0" w:line="360" w:lineRule="auto"/>
        <w:rPr>
          <w:color w:val="000000"/>
        </w:rPr>
      </w:pPr>
      <w:r w:rsidRPr="00C151B9">
        <w:rPr>
          <w:b/>
        </w:rPr>
        <w:t>a) Turno del Medio de Impugnación.</w:t>
      </w:r>
      <w:r w:rsidRPr="00C151B9">
        <w:t xml:space="preserve"> </w:t>
      </w:r>
      <w:r w:rsidRPr="00C151B9">
        <w:rPr>
          <w:color w:val="000000"/>
        </w:rPr>
        <w:t>El veinticuatro de febrero de dos mil veinticinco, el SAIMEX, asignó el número de expediente</w:t>
      </w:r>
      <w:r w:rsidRPr="00C151B9">
        <w:rPr>
          <w:b/>
          <w:color w:val="000000"/>
        </w:rPr>
        <w:t xml:space="preserve"> 01956/INFOEM/IP/RR/2025, </w:t>
      </w:r>
      <w:r w:rsidRPr="00C151B9">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61A4ADE7" w14:textId="77777777" w:rsidR="00507DEC" w:rsidRPr="00C151B9" w:rsidRDefault="00507DEC">
      <w:pPr>
        <w:spacing w:after="0" w:line="360" w:lineRule="auto"/>
      </w:pPr>
    </w:p>
    <w:p w14:paraId="05B05601" w14:textId="77777777" w:rsidR="00507DEC" w:rsidRPr="00C151B9" w:rsidRDefault="00276964">
      <w:pPr>
        <w:spacing w:after="0" w:line="360" w:lineRule="auto"/>
        <w:rPr>
          <w:color w:val="000000"/>
        </w:rPr>
      </w:pPr>
      <w:r w:rsidRPr="00C151B9">
        <w:rPr>
          <w:b/>
        </w:rPr>
        <w:t>b) Admisión del Recurso de Revisión.</w:t>
      </w:r>
      <w:r w:rsidRPr="00C151B9">
        <w:t xml:space="preserve"> </w:t>
      </w:r>
      <w:r w:rsidRPr="00C151B9">
        <w:rPr>
          <w:color w:val="000000"/>
        </w:rPr>
        <w:t xml:space="preserve">El </w:t>
      </w:r>
      <w:r w:rsidRPr="00C151B9">
        <w:t>veintisiete de febrero de dos mil veinticinco</w:t>
      </w:r>
      <w:r w:rsidRPr="00C151B9">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rsidRPr="00C151B9">
        <w:t>manifestara</w:t>
      </w:r>
      <w:r w:rsidRPr="00C151B9">
        <w:rPr>
          <w:color w:val="000000"/>
        </w:rPr>
        <w:t xml:space="preserve"> lo que a su derecho conviniera y formularan alegatos.</w:t>
      </w:r>
    </w:p>
    <w:p w14:paraId="58E02B18" w14:textId="77777777" w:rsidR="00507DEC" w:rsidRPr="00C151B9" w:rsidRDefault="00507DEC">
      <w:pPr>
        <w:spacing w:after="0" w:line="360" w:lineRule="auto"/>
        <w:rPr>
          <w:color w:val="000000"/>
        </w:rPr>
      </w:pPr>
    </w:p>
    <w:p w14:paraId="2AE2238B" w14:textId="77777777" w:rsidR="00507DEC" w:rsidRPr="00C151B9" w:rsidRDefault="00276964">
      <w:pPr>
        <w:spacing w:after="0" w:line="360" w:lineRule="auto"/>
        <w:rPr>
          <w:color w:val="000000"/>
        </w:rPr>
      </w:pPr>
      <w:r w:rsidRPr="00C151B9">
        <w:rPr>
          <w:b/>
          <w:color w:val="000000"/>
        </w:rPr>
        <w:t xml:space="preserve">c) Informe Justificado. </w:t>
      </w:r>
      <w:r w:rsidRPr="00C151B9">
        <w:rPr>
          <w:color w:val="000000"/>
        </w:rPr>
        <w:t>El once de marzo de dos mil veinticinco, el Sujeto Obligado a través de SAIMEX, rindió informe justificado, en los siguientes términos:</w:t>
      </w:r>
    </w:p>
    <w:p w14:paraId="407A4D95" w14:textId="77777777" w:rsidR="00507DEC" w:rsidRPr="00C151B9" w:rsidRDefault="00507DEC">
      <w:pPr>
        <w:spacing w:after="0" w:line="360" w:lineRule="auto"/>
        <w:rPr>
          <w:color w:val="000000"/>
        </w:rPr>
      </w:pPr>
    </w:p>
    <w:p w14:paraId="2EFF2EE9" w14:textId="77777777" w:rsidR="00507DEC" w:rsidRPr="00C151B9" w:rsidRDefault="00507DEC">
      <w:pPr>
        <w:spacing w:after="0" w:line="360" w:lineRule="auto"/>
        <w:rPr>
          <w:color w:val="000000"/>
        </w:rPr>
      </w:pPr>
    </w:p>
    <w:p w14:paraId="0EB77C0F" w14:textId="77777777" w:rsidR="00507DEC" w:rsidRPr="00C151B9" w:rsidRDefault="00276964">
      <w:pPr>
        <w:numPr>
          <w:ilvl w:val="0"/>
          <w:numId w:val="1"/>
        </w:numPr>
        <w:pBdr>
          <w:top w:val="nil"/>
          <w:left w:val="nil"/>
          <w:bottom w:val="nil"/>
          <w:right w:val="nil"/>
          <w:between w:val="nil"/>
        </w:pBdr>
        <w:spacing w:after="0" w:line="360" w:lineRule="auto"/>
        <w:rPr>
          <w:color w:val="000000"/>
        </w:rPr>
      </w:pPr>
      <w:r w:rsidRPr="00C151B9">
        <w:rPr>
          <w:color w:val="000000"/>
        </w:rPr>
        <w:t>Oficio suscrito por el Director de Transparencia Universitaria, en el que medularmente ratificó su respuesta inicial y añadió:</w:t>
      </w:r>
    </w:p>
    <w:p w14:paraId="301F1601" w14:textId="77777777" w:rsidR="00507DEC" w:rsidRPr="00C151B9" w:rsidRDefault="00507DEC">
      <w:pPr>
        <w:spacing w:after="0" w:line="360" w:lineRule="auto"/>
      </w:pPr>
    </w:p>
    <w:p w14:paraId="339BF3F0" w14:textId="77777777" w:rsidR="00507DEC" w:rsidRPr="00C151B9" w:rsidRDefault="00276964">
      <w:pPr>
        <w:spacing w:after="0" w:line="360" w:lineRule="auto"/>
        <w:ind w:left="567" w:right="709"/>
        <w:rPr>
          <w:i/>
          <w:sz w:val="20"/>
          <w:szCs w:val="20"/>
        </w:rPr>
      </w:pPr>
      <w:r w:rsidRPr="00C151B9">
        <w:rPr>
          <w:i/>
          <w:sz w:val="20"/>
          <w:szCs w:val="20"/>
        </w:rPr>
        <w:t xml:space="preserve">“Se realizó nuevamente una búsqueda exhaustiva y razonable en los archivos con los que cuenta la Facultad de Ciencias Políticas y Sociales, por lo que en este momento procesal oportuno y con el fin </w:t>
      </w:r>
      <w:r w:rsidRPr="00C151B9">
        <w:rPr>
          <w:i/>
          <w:sz w:val="20"/>
          <w:szCs w:val="20"/>
        </w:rPr>
        <w:lastRenderedPageBreak/>
        <w:t xml:space="preserve">de satisfacer el derecho a saber del hoy recurrente en archivo electrónico adjunto encontrará los </w:t>
      </w:r>
      <w:r w:rsidRPr="00C151B9">
        <w:rPr>
          <w:b/>
          <w:i/>
          <w:sz w:val="20"/>
          <w:szCs w:val="20"/>
        </w:rPr>
        <w:t xml:space="preserve">trabajos terminales de las últimas tres generaciones de la Especialidad en “Género, Violencia y Políticas Públicas de las promociones 13, 12 y 11” y tesis de la Maestría en Administración Pública y Gobierno, </w:t>
      </w:r>
      <w:r w:rsidRPr="00C151B9">
        <w:rPr>
          <w:i/>
          <w:sz w:val="20"/>
          <w:szCs w:val="20"/>
        </w:rPr>
        <w:t>asimismo, se hace del conocimiento al hoy recurrente y a este Órgano Garante que la información puede ser consultada en las ligas electrónicas que se visualizan en el documento y también en el Repositorio Institucional, con el que cuenta esta Casa de Estudios.“</w:t>
      </w:r>
    </w:p>
    <w:p w14:paraId="00EA1449" w14:textId="77777777" w:rsidR="00507DEC" w:rsidRPr="00C151B9" w:rsidRDefault="00507DEC">
      <w:pPr>
        <w:spacing w:after="0" w:line="360" w:lineRule="auto"/>
        <w:ind w:left="567" w:right="709"/>
        <w:rPr>
          <w:i/>
          <w:sz w:val="20"/>
          <w:szCs w:val="20"/>
        </w:rPr>
      </w:pPr>
    </w:p>
    <w:p w14:paraId="2F18DCAF" w14:textId="77777777" w:rsidR="00507DEC" w:rsidRPr="00C151B9" w:rsidRDefault="00276964">
      <w:pPr>
        <w:numPr>
          <w:ilvl w:val="0"/>
          <w:numId w:val="1"/>
        </w:numPr>
        <w:pBdr>
          <w:top w:val="nil"/>
          <w:left w:val="nil"/>
          <w:bottom w:val="nil"/>
          <w:right w:val="nil"/>
          <w:between w:val="nil"/>
        </w:pBdr>
        <w:spacing w:after="0" w:line="360" w:lineRule="auto"/>
        <w:rPr>
          <w:color w:val="000000"/>
        </w:rPr>
      </w:pPr>
      <w:r w:rsidRPr="00C151B9">
        <w:rPr>
          <w:color w:val="000000"/>
        </w:rPr>
        <w:t xml:space="preserve">22 proyectos de terminación relacionados con las personas egresadas de la de la Especialidad en Género, Violencia y Políticas Públicas listadas en la respuesta. </w:t>
      </w:r>
    </w:p>
    <w:p w14:paraId="67D6E6D6" w14:textId="77777777" w:rsidR="00507DEC" w:rsidRPr="00C151B9" w:rsidRDefault="00276964">
      <w:pPr>
        <w:numPr>
          <w:ilvl w:val="0"/>
          <w:numId w:val="1"/>
        </w:numPr>
        <w:pBdr>
          <w:top w:val="nil"/>
          <w:left w:val="nil"/>
          <w:bottom w:val="nil"/>
          <w:right w:val="nil"/>
          <w:between w:val="nil"/>
        </w:pBdr>
        <w:spacing w:after="0" w:line="360" w:lineRule="auto"/>
        <w:rPr>
          <w:color w:val="000000"/>
        </w:rPr>
      </w:pPr>
      <w:r w:rsidRPr="00C151B9">
        <w:rPr>
          <w:color w:val="000000"/>
        </w:rPr>
        <w:t>9 tesis para obtener el grado de Maestría en Administración Pública y Gobierno.</w:t>
      </w:r>
    </w:p>
    <w:p w14:paraId="3A628D1A" w14:textId="77777777" w:rsidR="00507DEC" w:rsidRPr="00C151B9" w:rsidRDefault="00507DEC">
      <w:pPr>
        <w:pBdr>
          <w:top w:val="nil"/>
          <w:left w:val="nil"/>
          <w:bottom w:val="nil"/>
          <w:right w:val="nil"/>
          <w:between w:val="nil"/>
        </w:pBdr>
        <w:spacing w:after="0" w:line="360" w:lineRule="auto"/>
        <w:ind w:left="1080"/>
        <w:rPr>
          <w:color w:val="000000"/>
        </w:rPr>
      </w:pPr>
    </w:p>
    <w:p w14:paraId="71CBE912" w14:textId="77777777" w:rsidR="00507DEC" w:rsidRPr="00C151B9" w:rsidRDefault="00276964">
      <w:pPr>
        <w:spacing w:after="0" w:line="360" w:lineRule="auto"/>
      </w:pPr>
      <w:r w:rsidRPr="00C151B9">
        <w:rPr>
          <w:b/>
        </w:rPr>
        <w:t>d) Vista del Informe Justificado.</w:t>
      </w:r>
      <w:r w:rsidRPr="00C151B9">
        <w:t xml:space="preserve"> El dos de abril de dos mil veinticinco, se dictó acuerdo por medio del cual se puso a la vista de la persona Recurrente el Informe Justificado entregado por el Sujeto Obligado, el cual fue notificado a las partes, el mismo día, a través del SAIMEX.</w:t>
      </w:r>
    </w:p>
    <w:p w14:paraId="36B95472" w14:textId="77777777" w:rsidR="00507DEC" w:rsidRPr="00C151B9" w:rsidRDefault="00507DEC">
      <w:pPr>
        <w:spacing w:after="0" w:line="360" w:lineRule="auto"/>
        <w:rPr>
          <w:b/>
        </w:rPr>
      </w:pPr>
    </w:p>
    <w:p w14:paraId="7EE96B75" w14:textId="77777777" w:rsidR="00507DEC" w:rsidRPr="00C151B9" w:rsidRDefault="00276964">
      <w:pPr>
        <w:spacing w:after="0" w:line="360" w:lineRule="auto"/>
      </w:pPr>
      <w:r w:rsidRPr="00C151B9">
        <w:rPr>
          <w:b/>
        </w:rPr>
        <w:t xml:space="preserve">e) Manifestaciones de la parte Recurrente. </w:t>
      </w:r>
      <w:r w:rsidRPr="00C151B9">
        <w:t xml:space="preserve">De las constancias que obran en el SAIMEX, se advierte que la parte Recurrente no añadió manifestaciones. </w:t>
      </w:r>
    </w:p>
    <w:p w14:paraId="5BCC63BC" w14:textId="77777777" w:rsidR="00507DEC" w:rsidRPr="00C151B9" w:rsidRDefault="00507DEC">
      <w:pPr>
        <w:spacing w:after="0" w:line="360" w:lineRule="auto"/>
      </w:pPr>
    </w:p>
    <w:p w14:paraId="4B1B036E" w14:textId="77777777" w:rsidR="00507DEC" w:rsidRPr="00C151B9" w:rsidRDefault="00276964">
      <w:pPr>
        <w:spacing w:after="0" w:line="360" w:lineRule="auto"/>
        <w:rPr>
          <w:b/>
        </w:rPr>
      </w:pPr>
      <w:r w:rsidRPr="00C151B9">
        <w:rPr>
          <w:b/>
        </w:rPr>
        <w:t>f) Cierre de instrucción.</w:t>
      </w:r>
      <w:r w:rsidRPr="00C151B9">
        <w:t xml:space="preserve"> El nueve de abril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14:paraId="665F6E85" w14:textId="77777777" w:rsidR="00507DEC" w:rsidRPr="00C151B9" w:rsidRDefault="00507DEC">
      <w:pPr>
        <w:spacing w:after="0" w:line="360" w:lineRule="auto"/>
      </w:pPr>
    </w:p>
    <w:p w14:paraId="761FE32B" w14:textId="77777777" w:rsidR="00FA1856" w:rsidRPr="00C151B9" w:rsidRDefault="00FA1856" w:rsidP="00FA1856">
      <w:pPr>
        <w:pBdr>
          <w:top w:val="nil"/>
          <w:left w:val="nil"/>
          <w:bottom w:val="nil"/>
          <w:right w:val="nil"/>
          <w:between w:val="nil"/>
        </w:pBdr>
        <w:tabs>
          <w:tab w:val="left" w:pos="426"/>
        </w:tabs>
        <w:spacing w:line="360" w:lineRule="auto"/>
        <w:rPr>
          <w:b/>
          <w:color w:val="000000"/>
        </w:rPr>
      </w:pPr>
      <w:r w:rsidRPr="00C151B9">
        <w:rPr>
          <w:b/>
          <w:color w:val="000000"/>
        </w:rPr>
        <w:lastRenderedPageBreak/>
        <w:t xml:space="preserve">g) Ampliación de plazo para resolver. </w:t>
      </w:r>
      <w:r w:rsidRPr="00C151B9">
        <w:rPr>
          <w:color w:val="000000"/>
        </w:rPr>
        <w:t>El veintiuno de abril de dos mil veinticinco, el Comisionado Ponente, con fundamento en lo dispuesto por el artículo 181, párrafo tercero, de la Ley de Transparencia y Acceso a la Información Pública del Estado de México y Municipios, acordó ampliar por un periodo de quince días, el plazo para resolver el Recurso de Revisión que nos ocupa; acto que fue notificado a las partes el mismo día mediante el SAIMEX.</w:t>
      </w:r>
    </w:p>
    <w:p w14:paraId="405AD651" w14:textId="77777777" w:rsidR="00FA1856" w:rsidRPr="00C151B9" w:rsidRDefault="00FA1856">
      <w:pPr>
        <w:spacing w:after="0" w:line="360" w:lineRule="auto"/>
      </w:pPr>
    </w:p>
    <w:p w14:paraId="77DCB844" w14:textId="77777777" w:rsidR="00507DEC" w:rsidRPr="00C151B9" w:rsidRDefault="00276964">
      <w:pPr>
        <w:spacing w:after="0" w:line="360" w:lineRule="auto"/>
      </w:pPr>
      <w:r w:rsidRPr="00C151B9">
        <w:t xml:space="preserve">En razón de que fue debidamente sustanciado e integrado el expediente electrónico y no existir diligencia pendiente de desahogo, se emite la resolución que conforme a Derecho proceda, de acuerdo a los siguientes: </w:t>
      </w:r>
    </w:p>
    <w:p w14:paraId="6995F68C" w14:textId="77777777" w:rsidR="00507DEC" w:rsidRPr="00C151B9" w:rsidRDefault="00507DEC">
      <w:pPr>
        <w:spacing w:after="0" w:line="360" w:lineRule="auto"/>
      </w:pPr>
    </w:p>
    <w:p w14:paraId="39203DCA" w14:textId="77777777" w:rsidR="00507DEC" w:rsidRPr="00C151B9" w:rsidRDefault="00276964">
      <w:pPr>
        <w:pStyle w:val="Ttulo1"/>
        <w:spacing w:before="0" w:after="0"/>
        <w:rPr>
          <w:sz w:val="22"/>
          <w:szCs w:val="22"/>
        </w:rPr>
      </w:pPr>
      <w:bookmarkStart w:id="15" w:name="_heading=h.d9mav5yi76st" w:colFirst="0" w:colLast="0"/>
      <w:bookmarkStart w:id="16" w:name="_Toc196403019"/>
      <w:bookmarkEnd w:id="15"/>
      <w:r w:rsidRPr="00C151B9">
        <w:rPr>
          <w:sz w:val="22"/>
          <w:szCs w:val="22"/>
        </w:rPr>
        <w:t>C O N S I D E R A N D O S</w:t>
      </w:r>
      <w:bookmarkEnd w:id="16"/>
    </w:p>
    <w:p w14:paraId="24EF3B90" w14:textId="77777777" w:rsidR="00507DEC" w:rsidRPr="00C151B9" w:rsidRDefault="00507DEC">
      <w:pPr>
        <w:spacing w:after="0" w:line="360" w:lineRule="auto"/>
        <w:rPr>
          <w:b/>
        </w:rPr>
      </w:pPr>
    </w:p>
    <w:p w14:paraId="08CCBA3D" w14:textId="77777777" w:rsidR="00507DEC" w:rsidRPr="00C151B9" w:rsidRDefault="00276964">
      <w:pPr>
        <w:pStyle w:val="Ttulo2"/>
        <w:spacing w:before="0" w:after="0"/>
      </w:pPr>
      <w:bookmarkStart w:id="17" w:name="_heading=h.morjpla6qvvi" w:colFirst="0" w:colLast="0"/>
      <w:bookmarkStart w:id="18" w:name="_Toc196403020"/>
      <w:bookmarkEnd w:id="17"/>
      <w:r w:rsidRPr="00C151B9">
        <w:t>PRIMERO. Competencia</w:t>
      </w:r>
      <w:bookmarkEnd w:id="18"/>
    </w:p>
    <w:p w14:paraId="31116F1B" w14:textId="77777777" w:rsidR="00507DEC" w:rsidRPr="00C151B9" w:rsidRDefault="00507DEC">
      <w:pPr>
        <w:spacing w:after="0" w:line="360" w:lineRule="auto"/>
        <w:rPr>
          <w:b/>
        </w:rPr>
      </w:pPr>
    </w:p>
    <w:p w14:paraId="04E03A73" w14:textId="77777777" w:rsidR="00507DEC" w:rsidRPr="00C151B9" w:rsidRDefault="00276964">
      <w:pPr>
        <w:spacing w:after="0" w:line="360" w:lineRule="auto"/>
      </w:pPr>
      <w:r w:rsidRPr="00C151B9">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trigésimos séptimos,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92F06E0" w14:textId="77777777" w:rsidR="00507DEC" w:rsidRPr="00C151B9" w:rsidRDefault="00507DEC">
      <w:pPr>
        <w:spacing w:after="0" w:line="360" w:lineRule="auto"/>
      </w:pPr>
    </w:p>
    <w:p w14:paraId="0C278297" w14:textId="77777777" w:rsidR="00507DEC" w:rsidRPr="00C151B9" w:rsidRDefault="00276964">
      <w:pPr>
        <w:pStyle w:val="Ttulo2"/>
        <w:spacing w:before="0" w:after="0"/>
      </w:pPr>
      <w:bookmarkStart w:id="19" w:name="_heading=h.nm787ldjlerb" w:colFirst="0" w:colLast="0"/>
      <w:bookmarkStart w:id="20" w:name="_Toc196403021"/>
      <w:bookmarkEnd w:id="19"/>
      <w:r w:rsidRPr="00C151B9">
        <w:t>SEGUNDO. Causales de improcedencia y sobreseimiento</w:t>
      </w:r>
      <w:bookmarkEnd w:id="20"/>
    </w:p>
    <w:p w14:paraId="62C98BB5" w14:textId="77777777" w:rsidR="00507DEC" w:rsidRPr="00C151B9" w:rsidRDefault="00507DEC">
      <w:pPr>
        <w:spacing w:after="0" w:line="360" w:lineRule="auto"/>
      </w:pPr>
    </w:p>
    <w:p w14:paraId="69018913" w14:textId="77777777" w:rsidR="00507DEC" w:rsidRPr="00C151B9" w:rsidRDefault="00276964">
      <w:pPr>
        <w:spacing w:after="0" w:line="360" w:lineRule="auto"/>
      </w:pPr>
      <w:r w:rsidRPr="00C151B9">
        <w:lastRenderedPageBreak/>
        <w:t xml:space="preserve">De las constancias que forman parte del Recurso de Revisión que se analiza, se advierte que previo al estudio del fondo de la </w:t>
      </w:r>
      <w:proofErr w:type="spellStart"/>
      <w:r w:rsidRPr="00C151B9">
        <w:rPr>
          <w:i/>
        </w:rPr>
        <w:t>litis</w:t>
      </w:r>
      <w:proofErr w:type="spellEnd"/>
      <w:r w:rsidRPr="00C151B9">
        <w:t>, es necesario estudiar las causales de improcedencia y sobreseimiento que se adviertan, para determinar lo que en Derecho proceda.</w:t>
      </w:r>
    </w:p>
    <w:p w14:paraId="7AF49470" w14:textId="77777777" w:rsidR="00507DEC" w:rsidRPr="00C151B9" w:rsidRDefault="00507DEC">
      <w:pPr>
        <w:spacing w:after="0" w:line="360" w:lineRule="auto"/>
      </w:pPr>
    </w:p>
    <w:p w14:paraId="13EF742B" w14:textId="77777777" w:rsidR="00507DEC" w:rsidRPr="00C151B9" w:rsidRDefault="00276964">
      <w:pPr>
        <w:spacing w:after="0" w:line="360" w:lineRule="auto"/>
        <w:rPr>
          <w:b/>
        </w:rPr>
      </w:pPr>
      <w:r w:rsidRPr="00C151B9">
        <w:rPr>
          <w:b/>
        </w:rPr>
        <w:t>Causales de improcedencia</w:t>
      </w:r>
    </w:p>
    <w:p w14:paraId="64484340" w14:textId="77777777" w:rsidR="00507DEC" w:rsidRPr="00C151B9" w:rsidRDefault="00507DEC">
      <w:pPr>
        <w:spacing w:after="0" w:line="360" w:lineRule="auto"/>
      </w:pPr>
    </w:p>
    <w:p w14:paraId="4348DFD7" w14:textId="77777777" w:rsidR="00507DEC" w:rsidRPr="00C151B9" w:rsidRDefault="00276964">
      <w:pPr>
        <w:spacing w:after="0" w:line="360" w:lineRule="auto"/>
      </w:pPr>
      <w:r w:rsidRPr="00C151B9">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C151B9">
        <w:t>./</w:t>
      </w:r>
      <w:proofErr w:type="gramEnd"/>
      <w:r w:rsidRPr="00C151B9">
        <w:t>J. 163/2005</w:t>
      </w:r>
      <w:r w:rsidRPr="00C151B9">
        <w:rPr>
          <w:b/>
        </w:rPr>
        <w:t xml:space="preserve"> </w:t>
      </w:r>
      <w:r w:rsidRPr="00C151B9">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5DC02308" w14:textId="77777777" w:rsidR="00507DEC" w:rsidRPr="00C151B9" w:rsidRDefault="00507DEC">
      <w:pPr>
        <w:spacing w:after="0" w:line="360" w:lineRule="auto"/>
      </w:pPr>
    </w:p>
    <w:p w14:paraId="2F0CC146" w14:textId="77777777" w:rsidR="00507DEC" w:rsidRPr="00C151B9" w:rsidRDefault="00276964">
      <w:pPr>
        <w:spacing w:after="0" w:line="360" w:lineRule="auto"/>
      </w:pPr>
      <w:r w:rsidRPr="00C151B9">
        <w:t xml:space="preserve">En el presente caso, </w:t>
      </w:r>
      <w:r w:rsidRPr="00C151B9">
        <w:rPr>
          <w:b/>
        </w:rPr>
        <w:t>no se actualiza ninguna de las causales de improcedencia</w:t>
      </w:r>
      <w:r w:rsidRPr="00C151B9">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175F6C54" w14:textId="77777777" w:rsidR="00507DEC" w:rsidRPr="00C151B9" w:rsidRDefault="00507DEC">
      <w:pPr>
        <w:spacing w:after="0" w:line="360" w:lineRule="auto"/>
        <w:rPr>
          <w:b/>
        </w:rPr>
      </w:pPr>
    </w:p>
    <w:p w14:paraId="42CB9A72" w14:textId="77777777" w:rsidR="00507DEC" w:rsidRPr="00C151B9" w:rsidRDefault="00276964">
      <w:pPr>
        <w:spacing w:after="0" w:line="360" w:lineRule="auto"/>
        <w:ind w:right="-28"/>
        <w:rPr>
          <w:b/>
          <w:color w:val="000000"/>
        </w:rPr>
      </w:pPr>
      <w:r w:rsidRPr="00C151B9">
        <w:rPr>
          <w:b/>
          <w:color w:val="000000"/>
        </w:rPr>
        <w:t>Causales de sobreseimiento</w:t>
      </w:r>
    </w:p>
    <w:p w14:paraId="17F0EFA4" w14:textId="77777777" w:rsidR="00507DEC" w:rsidRPr="00C151B9" w:rsidRDefault="00507DEC">
      <w:pPr>
        <w:spacing w:after="0" w:line="360" w:lineRule="auto"/>
        <w:ind w:right="-28"/>
        <w:rPr>
          <w:color w:val="000000"/>
        </w:rPr>
      </w:pPr>
    </w:p>
    <w:p w14:paraId="11263375" w14:textId="77777777" w:rsidR="00507DEC" w:rsidRPr="00C151B9" w:rsidRDefault="00276964">
      <w:pPr>
        <w:spacing w:after="0" w:line="360" w:lineRule="auto"/>
        <w:rPr>
          <w:color w:val="000000"/>
        </w:rPr>
      </w:pPr>
      <w:r w:rsidRPr="00C151B9">
        <w:rPr>
          <w:color w:val="0D0D0D"/>
        </w:rPr>
        <w:t xml:space="preserve">El artículo 192 de la Ley Transparencia y Acceso a la Información Pública del Estado de México y Municipios, señala las causales por las cuales se puede sobreseer en todo o en parte el Recurso </w:t>
      </w:r>
      <w:r w:rsidRPr="00C151B9">
        <w:rPr>
          <w:color w:val="0D0D0D"/>
        </w:rPr>
        <w:lastRenderedPageBreak/>
        <w:t>de Revisión; así, del análisis realizado por este Instituto, se advierte que no se configuran las causales establecidas en las fracciones I, II, III, IV y V,</w:t>
      </w:r>
      <w:r w:rsidRPr="00C151B9">
        <w:rPr>
          <w:b/>
          <w:color w:val="0D0D0D"/>
        </w:rPr>
        <w:t xml:space="preserve"> </w:t>
      </w:r>
      <w:r w:rsidRPr="00C151B9">
        <w:rPr>
          <w:color w:val="0D0D0D"/>
        </w:rPr>
        <w:t>toda vez que no hay constancias en el expediente en que se actúa, de que la persona Recurrente se haya desistido, fallecido, que el Sujeto Obligado hubiese modificado o revocado el acto impugnado o bien,</w:t>
      </w:r>
      <w:r w:rsidRPr="00C151B9">
        <w:t xml:space="preserve"> </w:t>
      </w:r>
      <w:r w:rsidRPr="00C151B9">
        <w:rPr>
          <w:color w:val="0D0D0D"/>
        </w:rPr>
        <w:t>que admitido una vez admitido el Recurso de Revisión, aparezca alguna causal de improcedencia o haya quedado sin materia.</w:t>
      </w:r>
    </w:p>
    <w:p w14:paraId="0190D0EC" w14:textId="77777777" w:rsidR="00507DEC" w:rsidRPr="00C151B9" w:rsidRDefault="00507DEC">
      <w:pPr>
        <w:spacing w:after="0" w:line="360" w:lineRule="auto"/>
        <w:rPr>
          <w:color w:val="000000"/>
        </w:rPr>
      </w:pPr>
    </w:p>
    <w:p w14:paraId="2BAB90CD" w14:textId="77777777" w:rsidR="00507DEC" w:rsidRPr="00C151B9" w:rsidRDefault="00276964">
      <w:pPr>
        <w:pStyle w:val="Ttulo2"/>
        <w:spacing w:before="0" w:after="0"/>
      </w:pPr>
      <w:bookmarkStart w:id="21" w:name="_heading=h.1e72xl1xowly" w:colFirst="0" w:colLast="0"/>
      <w:bookmarkStart w:id="22" w:name="_Toc196403022"/>
      <w:bookmarkEnd w:id="21"/>
      <w:r w:rsidRPr="00C151B9">
        <w:t>TERCERO. Determinación de la Controversia</w:t>
      </w:r>
      <w:bookmarkEnd w:id="22"/>
    </w:p>
    <w:p w14:paraId="6FDEE29C" w14:textId="77777777" w:rsidR="00507DEC" w:rsidRPr="00C151B9" w:rsidRDefault="00507DEC">
      <w:pPr>
        <w:tabs>
          <w:tab w:val="left" w:pos="4962"/>
        </w:tabs>
        <w:spacing w:after="0" w:line="360" w:lineRule="auto"/>
      </w:pPr>
    </w:p>
    <w:p w14:paraId="54A873B8" w14:textId="77777777" w:rsidR="00507DEC" w:rsidRPr="00C151B9" w:rsidRDefault="00276964">
      <w:pPr>
        <w:tabs>
          <w:tab w:val="left" w:pos="4962"/>
        </w:tabs>
        <w:spacing w:after="0" w:line="360" w:lineRule="auto"/>
      </w:pPr>
      <w:r w:rsidRPr="00C151B9">
        <w:t>La parte Solicitante requirió la entrega de los trabajos terminales de las últimas tres generaciones de la Especialidad en Género, Violencia y Políticas Públicas y de la última generación de la Maestría en Administración y Gobierno, ambos de la Facultad de Ciencias Políticas de la Universidad Autónoma del Estado de México.</w:t>
      </w:r>
    </w:p>
    <w:p w14:paraId="5D6C316F" w14:textId="77777777" w:rsidR="00507DEC" w:rsidRPr="00C151B9" w:rsidRDefault="00507DEC">
      <w:pPr>
        <w:tabs>
          <w:tab w:val="left" w:pos="4962"/>
        </w:tabs>
        <w:spacing w:after="0" w:line="360" w:lineRule="auto"/>
      </w:pPr>
    </w:p>
    <w:p w14:paraId="1AB15621" w14:textId="77777777" w:rsidR="00507DEC" w:rsidRPr="00C151B9" w:rsidRDefault="00276964">
      <w:pPr>
        <w:tabs>
          <w:tab w:val="left" w:pos="4962"/>
        </w:tabs>
        <w:spacing w:after="0" w:line="360" w:lineRule="auto"/>
      </w:pPr>
      <w:r w:rsidRPr="00C151B9">
        <w:t xml:space="preserve">En respuesta, el Sujeto Obligado entregó un listado en el que se señalan los nombres de las personas egresadas y las ligas en formato abierto a fin de consultar los trabajos terminales de la Especialidad en Género, Violencia y Políticas Públicas de las generaciones 11°, 12° y 13°, asimismo, se enlistan tres personas de las que no se proporcionó liga, pero se entregó el trabajo como archivos adjuntos, asimismo, indicó que por cuanto hace a los trabajos presentados en enero de 2025, aún no estaban en procesos de ser liberados en el repositorio institucional.  Y por cuanto hace a la Maestría en Administración y Gobierno, indicó que no se tenían registros de trabajos terminales de agrado, puesto que no era una opción en el programa. </w:t>
      </w:r>
    </w:p>
    <w:p w14:paraId="2041EB8F" w14:textId="77777777" w:rsidR="00507DEC" w:rsidRPr="00C151B9" w:rsidRDefault="00507DEC">
      <w:pPr>
        <w:tabs>
          <w:tab w:val="left" w:pos="4962"/>
        </w:tabs>
        <w:spacing w:after="0" w:line="360" w:lineRule="auto"/>
      </w:pPr>
    </w:p>
    <w:p w14:paraId="1BF68FF0" w14:textId="77777777" w:rsidR="00507DEC" w:rsidRPr="00C151B9" w:rsidRDefault="00276964">
      <w:pPr>
        <w:tabs>
          <w:tab w:val="left" w:pos="4962"/>
        </w:tabs>
        <w:spacing w:after="0" w:line="360" w:lineRule="auto"/>
        <w:rPr>
          <w:color w:val="000000"/>
        </w:rPr>
      </w:pPr>
      <w:r w:rsidRPr="00C151B9">
        <w:t xml:space="preserve">Derivado de la respuesta, la parte Recurrente planteó su inconformidad en la que señaló que la información fue incompleta, durante la substanciación del Recurso de Revisión el Sujeto Obligado rindió informe justificado en el que ratificó su respuesta inicial al remitir 22 proyectos </w:t>
      </w:r>
      <w:r w:rsidRPr="00C151B9">
        <w:lastRenderedPageBreak/>
        <w:t xml:space="preserve">de terminación de los egresados en la Especialidad en Género, Violencia y Políticas Públicas de los enlistados en la respuesta y 9 tesis para obtener el grado de </w:t>
      </w:r>
      <w:r w:rsidRPr="00C151B9">
        <w:rPr>
          <w:color w:val="000000"/>
        </w:rPr>
        <w:t xml:space="preserve">Maestría en Administración Pública y Gobierno, ante lo cual, la parte Recurrente no añadió ningún comentario. </w:t>
      </w:r>
    </w:p>
    <w:p w14:paraId="5CFCAC7F" w14:textId="77777777" w:rsidR="00507DEC" w:rsidRPr="00C151B9" w:rsidRDefault="00507DEC">
      <w:pPr>
        <w:tabs>
          <w:tab w:val="left" w:pos="4962"/>
        </w:tabs>
        <w:spacing w:after="0" w:line="360" w:lineRule="auto"/>
      </w:pPr>
    </w:p>
    <w:p w14:paraId="64727AD2" w14:textId="77777777" w:rsidR="00507DEC" w:rsidRPr="00C151B9" w:rsidRDefault="00276964">
      <w:pPr>
        <w:tabs>
          <w:tab w:val="left" w:pos="4962"/>
        </w:tabs>
        <w:spacing w:after="0" w:line="360" w:lineRule="auto"/>
      </w:pPr>
      <w:r w:rsidRPr="00C151B9">
        <w:t xml:space="preserve">Así pues, de las constancias que integran el expediente, se advierte que </w:t>
      </w:r>
      <w:r w:rsidRPr="00C151B9">
        <w:rPr>
          <w:color w:val="000000"/>
        </w:rPr>
        <w:t xml:space="preserve">en el asunto que nos ocupa se actualiza la causal de procedencia señalada en el </w:t>
      </w:r>
      <w:r w:rsidRPr="00C151B9">
        <w:t xml:space="preserve">artículo 179, fracción V, de la Ley de la materia; por la entrega de información incompleta.  </w:t>
      </w:r>
    </w:p>
    <w:p w14:paraId="16DEBFB4" w14:textId="77777777" w:rsidR="00507DEC" w:rsidRPr="00C151B9" w:rsidRDefault="00507DEC">
      <w:pPr>
        <w:tabs>
          <w:tab w:val="left" w:pos="4962"/>
        </w:tabs>
        <w:spacing w:after="0" w:line="360" w:lineRule="auto"/>
      </w:pPr>
    </w:p>
    <w:p w14:paraId="7A6D2811" w14:textId="77777777" w:rsidR="00507DEC" w:rsidRPr="00C151B9" w:rsidRDefault="00276964">
      <w:pPr>
        <w:tabs>
          <w:tab w:val="left" w:pos="4962"/>
        </w:tabs>
        <w:spacing w:after="0" w:line="360" w:lineRule="auto"/>
      </w:pPr>
      <w:r w:rsidRPr="00C151B9">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48A6FF8C" w14:textId="77777777" w:rsidR="00507DEC" w:rsidRPr="00C151B9" w:rsidRDefault="00507DEC">
      <w:pPr>
        <w:spacing w:after="0" w:line="360" w:lineRule="auto"/>
      </w:pPr>
    </w:p>
    <w:p w14:paraId="49A682F0" w14:textId="77777777" w:rsidR="00507DEC" w:rsidRPr="00C151B9" w:rsidRDefault="00276964">
      <w:pPr>
        <w:pStyle w:val="Ttulo2"/>
        <w:spacing w:before="0" w:after="0"/>
      </w:pPr>
      <w:bookmarkStart w:id="23" w:name="_heading=h.g3yclymf4w42" w:colFirst="0" w:colLast="0"/>
      <w:bookmarkStart w:id="24" w:name="_Toc196403023"/>
      <w:bookmarkEnd w:id="23"/>
      <w:r w:rsidRPr="00C151B9">
        <w:t>CUARTO. Marco normativo aplicable en materia de transparencia y acceso a la información pública</w:t>
      </w:r>
      <w:bookmarkEnd w:id="24"/>
    </w:p>
    <w:p w14:paraId="13FA0C4E" w14:textId="77777777" w:rsidR="00507DEC" w:rsidRPr="00C151B9" w:rsidRDefault="00507DEC">
      <w:pPr>
        <w:spacing w:after="0" w:line="360" w:lineRule="auto"/>
        <w:rPr>
          <w:color w:val="000000"/>
        </w:rPr>
      </w:pPr>
    </w:p>
    <w:p w14:paraId="7AB6BB03" w14:textId="77777777" w:rsidR="00507DEC" w:rsidRPr="00C151B9" w:rsidRDefault="00276964">
      <w:pPr>
        <w:spacing w:after="0" w:line="360" w:lineRule="auto"/>
        <w:rPr>
          <w:color w:val="000000"/>
        </w:rPr>
      </w:pPr>
      <w:r w:rsidRPr="00C151B9">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F316883" w14:textId="77777777" w:rsidR="00507DEC" w:rsidRPr="00C151B9" w:rsidRDefault="00507DEC">
      <w:pPr>
        <w:spacing w:after="0" w:line="360" w:lineRule="auto"/>
        <w:rPr>
          <w:color w:val="000000"/>
        </w:rPr>
      </w:pPr>
    </w:p>
    <w:p w14:paraId="35833E56" w14:textId="77777777" w:rsidR="00507DEC" w:rsidRPr="00C151B9" w:rsidRDefault="00276964">
      <w:pPr>
        <w:spacing w:after="0" w:line="360" w:lineRule="auto"/>
        <w:rPr>
          <w:color w:val="000000"/>
        </w:rPr>
      </w:pPr>
      <w:r w:rsidRPr="00C151B9">
        <w:rPr>
          <w:color w:val="000000"/>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6FB2D6E" w14:textId="77777777" w:rsidR="00507DEC" w:rsidRPr="00C151B9" w:rsidRDefault="00507DEC">
      <w:pPr>
        <w:spacing w:after="0" w:line="360" w:lineRule="auto"/>
        <w:rPr>
          <w:color w:val="000000"/>
        </w:rPr>
      </w:pPr>
    </w:p>
    <w:p w14:paraId="6D0A93AC" w14:textId="77777777" w:rsidR="00507DEC" w:rsidRPr="00C151B9" w:rsidRDefault="00276964">
      <w:pPr>
        <w:spacing w:after="0" w:line="360" w:lineRule="auto"/>
        <w:rPr>
          <w:color w:val="000000"/>
        </w:rPr>
      </w:pPr>
      <w:r w:rsidRPr="00C151B9">
        <w:rPr>
          <w:color w:val="000000"/>
        </w:rPr>
        <w:lastRenderedPageBreak/>
        <w:t>Por su parte, la Ley de Transparencia y Acceso a la Información Pública del Estado de México y Municipios (Reglamentaria del artículo 5° de la Constitución Local), establece lo siguiente:</w:t>
      </w:r>
    </w:p>
    <w:p w14:paraId="49D02EF6" w14:textId="77777777" w:rsidR="00507DEC" w:rsidRPr="00C151B9" w:rsidRDefault="00507DEC">
      <w:pPr>
        <w:spacing w:after="0" w:line="360" w:lineRule="auto"/>
        <w:rPr>
          <w:color w:val="000000"/>
        </w:rPr>
      </w:pPr>
    </w:p>
    <w:p w14:paraId="52A66869" w14:textId="77777777" w:rsidR="00507DEC" w:rsidRPr="00C151B9" w:rsidRDefault="00276964">
      <w:pPr>
        <w:spacing w:after="0" w:line="360" w:lineRule="auto"/>
        <w:rPr>
          <w:color w:val="000000"/>
        </w:rPr>
      </w:pPr>
      <w:r w:rsidRPr="00C151B9">
        <w:rPr>
          <w:color w:val="000000"/>
        </w:rPr>
        <w:t xml:space="preserve">El artículo </w:t>
      </w:r>
      <w:r w:rsidRPr="00C151B9">
        <w:t>12 dice que</w:t>
      </w:r>
      <w:r w:rsidRPr="00C151B9">
        <w:rPr>
          <w:color w:val="000000"/>
        </w:rPr>
        <w:t>, quienes generen, recopilen, administren, manejen, procesen, archiven o conserven información pública serán responsables de la misma.</w:t>
      </w:r>
    </w:p>
    <w:p w14:paraId="55006434" w14:textId="77777777" w:rsidR="00507DEC" w:rsidRPr="00C151B9" w:rsidRDefault="00507DEC">
      <w:pPr>
        <w:spacing w:after="0" w:line="360" w:lineRule="auto"/>
        <w:rPr>
          <w:color w:val="000000"/>
        </w:rPr>
      </w:pPr>
    </w:p>
    <w:p w14:paraId="0B10F37D" w14:textId="77777777" w:rsidR="00507DEC" w:rsidRPr="00C151B9" w:rsidRDefault="00276964">
      <w:pPr>
        <w:spacing w:after="0" w:line="360" w:lineRule="auto"/>
        <w:rPr>
          <w:color w:val="000000"/>
        </w:rPr>
      </w:pPr>
      <w:r w:rsidRPr="00C151B9">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2459B8A9" w14:textId="77777777" w:rsidR="00507DEC" w:rsidRPr="00C151B9" w:rsidRDefault="00507DEC">
      <w:pPr>
        <w:spacing w:after="0" w:line="360" w:lineRule="auto"/>
        <w:rPr>
          <w:color w:val="000000"/>
        </w:rPr>
      </w:pPr>
    </w:p>
    <w:p w14:paraId="210DF25B" w14:textId="77777777" w:rsidR="00507DEC" w:rsidRPr="00C151B9" w:rsidRDefault="00276964">
      <w:pPr>
        <w:spacing w:after="0" w:line="360" w:lineRule="auto"/>
        <w:rPr>
          <w:color w:val="000000"/>
        </w:rPr>
      </w:pPr>
      <w:r w:rsidRPr="00C151B9">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F17410F" w14:textId="77777777" w:rsidR="00507DEC" w:rsidRPr="00C151B9" w:rsidRDefault="00507DEC">
      <w:pPr>
        <w:spacing w:after="0" w:line="360" w:lineRule="auto"/>
        <w:rPr>
          <w:color w:val="000000"/>
        </w:rPr>
      </w:pPr>
    </w:p>
    <w:p w14:paraId="2A27B88A" w14:textId="77777777" w:rsidR="00507DEC" w:rsidRPr="00C151B9" w:rsidRDefault="00276964">
      <w:pPr>
        <w:pStyle w:val="Ttulo2"/>
        <w:spacing w:before="0" w:after="0"/>
      </w:pPr>
      <w:bookmarkStart w:id="25" w:name="_heading=h.xxz6v0e7nrnh" w:colFirst="0" w:colLast="0"/>
      <w:bookmarkStart w:id="26" w:name="_Toc196403024"/>
      <w:bookmarkEnd w:id="25"/>
      <w:r w:rsidRPr="00C151B9">
        <w:rPr>
          <w:smallCaps/>
        </w:rPr>
        <w:t>QUINTO.</w:t>
      </w:r>
      <w:r w:rsidRPr="00C151B9">
        <w:t xml:space="preserve"> Estudio de Fondo</w:t>
      </w:r>
      <w:bookmarkEnd w:id="26"/>
    </w:p>
    <w:p w14:paraId="50DF42AD" w14:textId="77777777" w:rsidR="00507DEC" w:rsidRPr="00C151B9" w:rsidRDefault="00507DEC">
      <w:pPr>
        <w:spacing w:after="0" w:line="360" w:lineRule="auto"/>
      </w:pPr>
    </w:p>
    <w:p w14:paraId="200DB7B3" w14:textId="77777777" w:rsidR="00507DEC" w:rsidRPr="00C151B9" w:rsidRDefault="00276964">
      <w:pPr>
        <w:spacing w:after="0" w:line="360" w:lineRule="auto"/>
      </w:pPr>
      <w:r w:rsidRPr="00C151B9">
        <w:t xml:space="preserve">Una vez expuesto lo anterior, es menester señalar que lo solicitado se relaciona con la entrega de los trabajos terminales de una especialidad y Maestría correspondiente a la Facultad de Ciencias Políticas de la Universidad Autónoma del Estado de México, al respecto se debe tener en consideración que el artículo 2 de la Ley del Sujeto Obligado, establece que la Universidad tiene por fines impartir la educación superior y llevar a cabo la investigación y extender los avances del humanismo, la ciencia, la tecnología, el arte y otras manifestaciones de la cultura, además, tiene atribuciones para organizar, desarrollar e impulsar la impartición de educación superior en todas las modalidades y otorgar títulos, grados y demás reconocimientos correspondientes a la educación impartida. </w:t>
      </w:r>
    </w:p>
    <w:p w14:paraId="2A31242F" w14:textId="77777777" w:rsidR="00507DEC" w:rsidRPr="00C151B9" w:rsidRDefault="00276964">
      <w:pPr>
        <w:spacing w:after="0" w:line="360" w:lineRule="auto"/>
      </w:pPr>
      <w:r w:rsidRPr="00C151B9">
        <w:lastRenderedPageBreak/>
        <w:t>Por su parte, el artículo 17 de la misma Ley establece que para el cumplimiento de las funciones académicas, la Universidad contará con planteles de organismos académicos que adoptarán la forma de Facultad, Escuela, Instituto y otras. Y el Estatuto Universitario del Sujeto Obligado, establece en su artículo 76, fracción I, que los organismos académicos adoptaran las formas de facultades y ofrecerán estudios profesionales y avanzados de especialización.</w:t>
      </w:r>
    </w:p>
    <w:p w14:paraId="3A45E6B5" w14:textId="77777777" w:rsidR="00507DEC" w:rsidRPr="00C151B9" w:rsidRDefault="00507DEC">
      <w:pPr>
        <w:spacing w:after="0" w:line="360" w:lineRule="auto"/>
      </w:pPr>
    </w:p>
    <w:p w14:paraId="26B07A1C" w14:textId="77777777" w:rsidR="00507DEC" w:rsidRPr="00C151B9" w:rsidRDefault="00276964">
      <w:pPr>
        <w:spacing w:after="0" w:line="360" w:lineRule="auto"/>
        <w:rPr>
          <w:b/>
        </w:rPr>
      </w:pPr>
      <w:r w:rsidRPr="00C151B9">
        <w:t xml:space="preserve">Aunado a ello, en la página oficial del Sujeto Obligado, en el apartado de transparencia, estructura organizacional, Organismos Académicos y Facultades, se enlista a la Facultad de Ciencias Políticas y Sociales. Y en la página oficial de dicha facultad, se enlista la oferta académica, en la que se señala la Maestría en Administración Pública y Gobierno y la Especialidad en Género, Violencia y políticas públicas, </w:t>
      </w:r>
      <w:r w:rsidRPr="00C151B9">
        <w:rPr>
          <w:b/>
        </w:rPr>
        <w:t xml:space="preserve">en atención a lo anterior, el Sujeto Obligado resulta competente para conocer de la información administrada por la Facultad de Ciencias Políticas y Sociales, respecto a dichos programas de estudio. </w:t>
      </w:r>
    </w:p>
    <w:p w14:paraId="5B493B2B" w14:textId="77777777" w:rsidR="00507DEC" w:rsidRPr="00C151B9" w:rsidRDefault="00507DEC">
      <w:pPr>
        <w:spacing w:after="0" w:line="360" w:lineRule="auto"/>
      </w:pPr>
    </w:p>
    <w:p w14:paraId="236FC6E6" w14:textId="77777777" w:rsidR="00507DEC" w:rsidRPr="00C151B9" w:rsidRDefault="00276964">
      <w:pPr>
        <w:spacing w:after="0" w:line="360" w:lineRule="auto"/>
      </w:pPr>
      <w:r w:rsidRPr="00C151B9">
        <w:t xml:space="preserve">Por su parte, el Reglamento Interno de la Facultad de Ciencias Políticas y Sociales de la Universidad Autónoma del Estado de México, establece en su artículo 48 que son estudios avanzados la especialidad y la maestría. Por su parte, el Reglamento de estudios avanzados del Sujeto Obligado dispone en su artículo 54 que en la evaluación final o de grado comprenderá en el caso de especialidades y maestrías con orientación profesional, un proyecto termina, trabajo terminal de grado o tesis y la sustentación del mismo ante un sínodo o un examen final de conocimientos de acuerdo con lo establecido por el propio programa académico. </w:t>
      </w:r>
    </w:p>
    <w:p w14:paraId="122E3D13" w14:textId="77777777" w:rsidR="00507DEC" w:rsidRPr="00C151B9" w:rsidRDefault="00507DEC">
      <w:pPr>
        <w:spacing w:after="0" w:line="360" w:lineRule="auto"/>
      </w:pPr>
    </w:p>
    <w:p w14:paraId="12E9BB60" w14:textId="77777777" w:rsidR="00507DEC" w:rsidRPr="00C151B9" w:rsidRDefault="00276964">
      <w:pPr>
        <w:spacing w:after="0" w:line="360" w:lineRule="auto"/>
        <w:rPr>
          <w:b/>
        </w:rPr>
      </w:pPr>
      <w:r w:rsidRPr="00C151B9">
        <w:t xml:space="preserve">De igual manera, establece que la </w:t>
      </w:r>
      <w:r w:rsidRPr="00C151B9">
        <w:rPr>
          <w:i/>
        </w:rPr>
        <w:t xml:space="preserve">tesis, trabajo terminal de grado o proyecto terminal deberán corresponder a un proyecto de investigación, de aplicación académica o de interés profesional, de acuerdo con los objetivos y naturaleza del programa académico, </w:t>
      </w:r>
      <w:r w:rsidRPr="00C151B9">
        <w:t xml:space="preserve"> </w:t>
      </w:r>
      <w:r w:rsidRPr="00C151B9">
        <w:rPr>
          <w:b/>
        </w:rPr>
        <w:t xml:space="preserve">por tanto, se advierte que el Sujeto Obligado, a través de la Facultad de Ciencias Políticas y Sociales, conoce de los trabajos </w:t>
      </w:r>
      <w:r w:rsidRPr="00C151B9">
        <w:rPr>
          <w:b/>
        </w:rPr>
        <w:lastRenderedPageBreak/>
        <w:t>terminales de la especialidad y la maestría indicada en la solicitud que se entregaron con la finalidad de obtener el grado académico y que en consecuencia de la expedición del mismo, obran en sus archivos.</w:t>
      </w:r>
    </w:p>
    <w:p w14:paraId="2BC61191" w14:textId="77777777" w:rsidR="00507DEC" w:rsidRPr="00C151B9" w:rsidRDefault="00276964">
      <w:pPr>
        <w:spacing w:after="0" w:line="360" w:lineRule="auto"/>
      </w:pPr>
      <w:r w:rsidRPr="00C151B9">
        <w:t xml:space="preserve"> </w:t>
      </w:r>
    </w:p>
    <w:p w14:paraId="689CAA49" w14:textId="77777777" w:rsidR="00507DEC" w:rsidRPr="00C151B9" w:rsidRDefault="00276964">
      <w:pPr>
        <w:spacing w:after="0" w:line="360" w:lineRule="auto"/>
      </w:pPr>
      <w:r w:rsidRPr="00C151B9">
        <w:t xml:space="preserve">Ahora bien, respecto a la Especialidad en Género, Violencia y Políticas Públicas, se localizó una publicación en la que se establece que el objetivo de dicha especialidad implica formar especialistas capacitados en el diseño e instrumentación de políticas públicas estratégicas para avanzar en la implementación y desarrollo de la perspectiva de género que apoye la construcción de una sociedad justa e igualitaria, asimismo, se advierte que se otorga un diploma de especialista en la materia, también se observa un video en el que se explica en el tiempo 0:52, que los productos académicos reflejan temas de investigación y aplicación del conocimiento en temas prioritarios, científicos y sociales; a saber: </w:t>
      </w:r>
      <w:hyperlink r:id="rId9">
        <w:r w:rsidRPr="00C151B9">
          <w:rPr>
            <w:color w:val="0563C1"/>
            <w:u w:val="single"/>
          </w:rPr>
          <w:t>https://espgenviolypolpub.uaemex.mx/</w:t>
        </w:r>
      </w:hyperlink>
      <w:r w:rsidRPr="00C151B9">
        <w:t xml:space="preserve"> , por lo que se advierte que de cada especialidad se pretende obtener un trabajo final.</w:t>
      </w:r>
    </w:p>
    <w:p w14:paraId="5D3D9EB7" w14:textId="77777777" w:rsidR="00507DEC" w:rsidRPr="00C151B9" w:rsidRDefault="00507DEC">
      <w:pPr>
        <w:spacing w:after="0" w:line="360" w:lineRule="auto"/>
      </w:pPr>
    </w:p>
    <w:p w14:paraId="1FFEB769" w14:textId="77777777" w:rsidR="00507DEC" w:rsidRPr="00C151B9" w:rsidRDefault="00276964">
      <w:pPr>
        <w:spacing w:after="0" w:line="360" w:lineRule="auto"/>
      </w:pPr>
      <w:r w:rsidRPr="00C151B9">
        <w:t>Por su parte, también se localizó una publicación relacionada con la Maestría en administración pública y gobierno, en el que se señala que el objetivo “</w:t>
      </w:r>
      <w:r w:rsidRPr="00C151B9">
        <w:rPr>
          <w:i/>
        </w:rPr>
        <w:t>Formar capital humano con habilidades para la investigación y la docencia, mediante una sólida formación teórica y metodológica, que posibilite la innovación en el área de conocimiento y sea capaz de incidir en los distintos procesos administrativos y de gobierno, así como en la elaboración, análisis y evaluación de políticas públicas</w:t>
      </w:r>
      <w:r w:rsidRPr="00C151B9">
        <w:t xml:space="preserve">.”, se advierte que se otorga el grado de Maestro o Maestra en la materia y se localizó un video que en su minuto 0:54 señala que los productos académicos reflejarán el conocimiento adquirido durante el programa; a saber: </w:t>
      </w:r>
      <w:hyperlink r:id="rId10">
        <w:r w:rsidRPr="00C151B9">
          <w:rPr>
            <w:color w:val="0563C1"/>
            <w:u w:val="single"/>
          </w:rPr>
          <w:t>https://maeadminpubygob.uaemex.mx/</w:t>
        </w:r>
      </w:hyperlink>
      <w:r w:rsidRPr="00C151B9">
        <w:t xml:space="preserve">, por lo que se advierte que se pudieron emitir proyectos terminales para obtener el grado. </w:t>
      </w:r>
    </w:p>
    <w:p w14:paraId="09CF0453" w14:textId="77777777" w:rsidR="00507DEC" w:rsidRPr="00C151B9" w:rsidRDefault="00507DEC">
      <w:pPr>
        <w:spacing w:after="0" w:line="360" w:lineRule="auto"/>
      </w:pPr>
    </w:p>
    <w:p w14:paraId="65E59B13" w14:textId="77777777" w:rsidR="00507DEC" w:rsidRPr="00C151B9" w:rsidRDefault="00276964">
      <w:pPr>
        <w:spacing w:after="0" w:line="360" w:lineRule="auto"/>
      </w:pPr>
      <w:r w:rsidRPr="00C151B9">
        <w:t xml:space="preserve">Ahora bien, cabe destacar que los trabajos entregados con la finalidad de obtener el grado académico, corresponden a información que  obra en los archivos del Sujeto Obligado cuando </w:t>
      </w:r>
      <w:r w:rsidRPr="00C151B9">
        <w:lastRenderedPageBreak/>
        <w:t>los egresados de los programas de estudios avanzados los entregan con la finalidad de obtener el grado académico correspondiente.</w:t>
      </w:r>
    </w:p>
    <w:p w14:paraId="347B0736" w14:textId="77777777" w:rsidR="00507DEC" w:rsidRPr="00C151B9" w:rsidRDefault="00507DEC">
      <w:pPr>
        <w:spacing w:after="0" w:line="360" w:lineRule="auto"/>
      </w:pPr>
    </w:p>
    <w:p w14:paraId="6ED07E41" w14:textId="77777777" w:rsidR="00507DEC" w:rsidRPr="00C151B9" w:rsidRDefault="00276964">
      <w:pPr>
        <w:spacing w:after="0" w:line="360" w:lineRule="auto"/>
        <w:rPr>
          <w:b/>
        </w:rPr>
      </w:pPr>
      <w:r w:rsidRPr="00C151B9">
        <w:t>En este sentido, el Estatuto del Sujeto Obligado prevé en sus artículos 14, 15 y 17 que los egresados que hayan obtenido cualquiera de los títulos o grados académicos conferidos por la institución o hayan terminado estudios superiores, son universitarios; que dentro de la comunidad universitaria, se encuentran los alumnos y prevé los derechos de los alumnos, dentro de los cuales, destaca el de gozar del derecho de autoría, referencia en las investigaciones y publicaciones en las que participe, así como el uso y publicación de los instrumentos u otros entregados para la evaluación de su conocimiento,</w:t>
      </w:r>
      <w:r w:rsidRPr="00C151B9">
        <w:rPr>
          <w:b/>
        </w:rPr>
        <w:t xml:space="preserve"> en este sentido, los egresados tienen derecho a la publicación de los documentos con los que obtienen el grado académico. </w:t>
      </w:r>
    </w:p>
    <w:p w14:paraId="4F886312" w14:textId="77777777" w:rsidR="00507DEC" w:rsidRPr="00C151B9" w:rsidRDefault="00507DEC">
      <w:pPr>
        <w:spacing w:after="0" w:line="360" w:lineRule="auto"/>
      </w:pPr>
    </w:p>
    <w:p w14:paraId="3E4D9343" w14:textId="77777777" w:rsidR="00507DEC" w:rsidRPr="00C151B9" w:rsidRDefault="00276964">
      <w:pPr>
        <w:spacing w:after="0" w:line="360" w:lineRule="auto"/>
      </w:pPr>
      <w:r w:rsidRPr="00C151B9">
        <w:t>Por su parte, la Ley de la Universidad Autónoma del Estado de México prevé en su artículo 16 la difusión cultural y la extensión universitaria, en el que establece la relación entre la universidad y la sociedad, en la que prevé que se pone a disposición de la sociedad el resultado del trabajo académico de la Universidad, en la que se divulguen las manifestaciones del humanismo, la ciencia, la tecnología y la cultura; en este aspecto encuentra cabida la publicación de los proyectos finales que derivan, no sólo de la conclusión de un programa académico, sino también del otorgamiento por parte del Sujeto Obligado de un grado académico que avala y respalda que la persona a quién se le otorga.</w:t>
      </w:r>
    </w:p>
    <w:p w14:paraId="4117567E" w14:textId="77777777" w:rsidR="00507DEC" w:rsidRPr="00C151B9" w:rsidRDefault="00507DEC">
      <w:pPr>
        <w:spacing w:after="0" w:line="360" w:lineRule="auto"/>
      </w:pPr>
    </w:p>
    <w:p w14:paraId="375E01DB" w14:textId="77777777" w:rsidR="00507DEC" w:rsidRPr="00C151B9" w:rsidRDefault="00276964">
      <w:pPr>
        <w:spacing w:after="0" w:line="360" w:lineRule="auto"/>
      </w:pPr>
      <w:r w:rsidRPr="00C151B9">
        <w:t xml:space="preserve">Así pues, los trabajos terminales, forman parte de los documentos que avalan que el egresado cumplió con los requisitos y conocimientos necesarios para la obtención de su grado académico, además, son entregados al Sujeto Obligado, quién en atención a la necesidad de lograr la debida difusión cultural y extensión universitaria pone a disposición de la sociedad los trabajos finales, que tienen el objetivo de divulgar los resultados de investigaciones científicas, humanas, </w:t>
      </w:r>
      <w:r w:rsidRPr="00C151B9">
        <w:lastRenderedPageBreak/>
        <w:t>tecnológicas y con aspectos culturales con el objetivo de acrecentar los instrumentos de conocimiento no solo de la comunidad universitaria, sino de la sociedad en la que se desempeña.</w:t>
      </w:r>
    </w:p>
    <w:p w14:paraId="2C79FF7C" w14:textId="77777777" w:rsidR="00507DEC" w:rsidRPr="00C151B9" w:rsidRDefault="00507DEC">
      <w:pPr>
        <w:spacing w:after="0" w:line="360" w:lineRule="auto"/>
      </w:pPr>
    </w:p>
    <w:p w14:paraId="5F4AF21D" w14:textId="77777777" w:rsidR="00507DEC" w:rsidRPr="00C151B9" w:rsidRDefault="00276964">
      <w:pPr>
        <w:spacing w:after="0" w:line="360" w:lineRule="auto"/>
      </w:pPr>
      <w:r w:rsidRPr="00C151B9">
        <w:t xml:space="preserve">Derivado de los argumentos anteriores, </w:t>
      </w:r>
      <w:r w:rsidRPr="00C151B9">
        <w:rPr>
          <w:b/>
        </w:rPr>
        <w:t xml:space="preserve">se advierte que el nombre de quienes obtuvieron el grado académico y su trabajo final con el que obtuvieron un grado académico, resultan públicos, </w:t>
      </w:r>
      <w:r w:rsidRPr="00C151B9">
        <w:t>puesto que el segundo, corresponde a un elemento de aporte cultural y académico a la sociedad y avala el otorgamiento del grado académico, asimismo, el primero de los mencionados tiene el derecho de su mención y referencia por tratarse del autor y a quién se le otorgó el grado académico.</w:t>
      </w:r>
    </w:p>
    <w:p w14:paraId="593739F8" w14:textId="77777777" w:rsidR="00507DEC" w:rsidRPr="00C151B9" w:rsidRDefault="00507DEC">
      <w:pPr>
        <w:spacing w:after="0" w:line="360" w:lineRule="auto"/>
      </w:pPr>
    </w:p>
    <w:p w14:paraId="36B7CD77" w14:textId="77777777" w:rsidR="00507DEC" w:rsidRPr="00C151B9" w:rsidRDefault="00276964">
      <w:pPr>
        <w:spacing w:after="0" w:line="360" w:lineRule="auto"/>
      </w:pPr>
      <w:r w:rsidRPr="00C151B9">
        <w:t>Cabe precisar que para lograr la divulgación de los trabajos terminales, la Universidad Autónoma del Estado de México cuenta con una página denominada repositorio institucional, el cual de conformidad con sus lineamientos, en su artículo 3, señala que “</w:t>
      </w:r>
      <w:r w:rsidRPr="00C151B9">
        <w:rPr>
          <w:i/>
        </w:rPr>
        <w:t xml:space="preserve">El Repositorio Institucional es la plataforma digital </w:t>
      </w:r>
      <w:r w:rsidRPr="00C151B9">
        <w:rPr>
          <w:b/>
          <w:i/>
        </w:rPr>
        <w:t>que contiene la información académica, científica, tecnológica, de innovación y cultural de la Universidad Autónoma del Estado de México</w:t>
      </w:r>
      <w:r w:rsidRPr="00C151B9">
        <w:rPr>
          <w:i/>
        </w:rPr>
        <w:t xml:space="preserve">, el cual deberá vincularse con el Repositorio Nacional del CONACYT, o su equivalente, en seguimiento a los estándares internacionales y lo previsto en la normatividad nacional vigente en la materia, incluida aquella en materia del derecho de autor” </w:t>
      </w:r>
      <w:r w:rsidRPr="00C151B9">
        <w:t xml:space="preserve"> en consecuencia, el repositorio institucional es la plataforma digital que </w:t>
      </w:r>
      <w:r w:rsidRPr="00C151B9">
        <w:rPr>
          <w:b/>
        </w:rPr>
        <w:t xml:space="preserve">corresponde a un instrumento para lograr la divulgación de la información académica, científica, tecnológica y cultural del Sujeto Obligado, la cual es de acceso público, </w:t>
      </w:r>
      <w:r w:rsidRPr="00C151B9">
        <w:t xml:space="preserve">lo anterior permite robustecer que la información es pública por obrar en una fuente de acceso público. </w:t>
      </w:r>
    </w:p>
    <w:p w14:paraId="44521710" w14:textId="77777777" w:rsidR="00507DEC" w:rsidRPr="00C151B9" w:rsidRDefault="00507DEC">
      <w:pPr>
        <w:spacing w:after="0" w:line="360" w:lineRule="auto"/>
      </w:pPr>
    </w:p>
    <w:p w14:paraId="1C4B8992" w14:textId="77777777" w:rsidR="00507DEC" w:rsidRPr="00C151B9" w:rsidRDefault="00276964">
      <w:pPr>
        <w:spacing w:after="0" w:line="360" w:lineRule="auto"/>
        <w:rPr>
          <w:b/>
        </w:rPr>
      </w:pPr>
      <w:r w:rsidRPr="00C151B9">
        <w:t xml:space="preserve">Aunado a lo anterior, cabe destacar que este Organismo Garante localizó las convocatorias 2025A para ambos programas académicos, en los que se establece la posibilidad a sus aspirantes seleccionados de acceder a becas del Consejo Nacional de Humanidades, Ciencias y Tecnologías </w:t>
      </w:r>
      <w:r w:rsidRPr="00C151B9">
        <w:lastRenderedPageBreak/>
        <w:t>(</w:t>
      </w:r>
      <w:proofErr w:type="spellStart"/>
      <w:r w:rsidRPr="00C151B9">
        <w:t>Conahcyt</w:t>
      </w:r>
      <w:proofErr w:type="spellEnd"/>
      <w:r w:rsidRPr="00C151B9">
        <w:t>), por formar parte del Sistema Nacional de Posgrados, por tanto, se advierte, que las personas que obtienen el título pudieron ser beneficiados con becas federales</w:t>
      </w:r>
      <w:r w:rsidRPr="00C151B9">
        <w:rPr>
          <w:b/>
        </w:rPr>
        <w:t xml:space="preserve">, lo cual robustece, que su nombre debe ser público. </w:t>
      </w:r>
    </w:p>
    <w:p w14:paraId="18E967D4" w14:textId="77777777" w:rsidR="00507DEC" w:rsidRPr="00C151B9" w:rsidRDefault="00507DEC">
      <w:pPr>
        <w:spacing w:after="0" w:line="360" w:lineRule="auto"/>
      </w:pPr>
    </w:p>
    <w:p w14:paraId="4D40F5EC" w14:textId="77777777" w:rsidR="00507DEC" w:rsidRPr="00C151B9" w:rsidRDefault="00276964">
      <w:pPr>
        <w:spacing w:after="0" w:line="360" w:lineRule="auto"/>
      </w:pPr>
      <w:r w:rsidRPr="00C151B9">
        <w:t>En este contexto normativo, se procede a analizar la respuesta e informe justificado proporcionado por el Sujeto Obligado; para lo cual el estudio se dividirá respecto a los requerimientos solicitados, en los siguientes términos:</w:t>
      </w:r>
    </w:p>
    <w:p w14:paraId="50274AA1" w14:textId="77777777" w:rsidR="00507DEC" w:rsidRPr="00C151B9" w:rsidRDefault="00507DEC">
      <w:pPr>
        <w:spacing w:after="0" w:line="360" w:lineRule="auto"/>
      </w:pPr>
    </w:p>
    <w:p w14:paraId="0E66F1E9" w14:textId="77777777" w:rsidR="00507DEC" w:rsidRPr="00C151B9" w:rsidRDefault="00276964">
      <w:pPr>
        <w:numPr>
          <w:ilvl w:val="0"/>
          <w:numId w:val="1"/>
        </w:numPr>
        <w:pBdr>
          <w:top w:val="nil"/>
          <w:left w:val="nil"/>
          <w:bottom w:val="nil"/>
          <w:right w:val="nil"/>
          <w:between w:val="nil"/>
        </w:pBdr>
        <w:spacing w:after="0" w:line="360" w:lineRule="auto"/>
        <w:ind w:left="851" w:hanging="284"/>
        <w:rPr>
          <w:b/>
          <w:color w:val="000000"/>
        </w:rPr>
      </w:pPr>
      <w:r w:rsidRPr="00C151B9">
        <w:rPr>
          <w:b/>
          <w:color w:val="000000"/>
        </w:rPr>
        <w:t xml:space="preserve">Respecto a los trabajos terminales de la Especialidad en Género, Violencia y Políticas Públicas, de las últimas tres generaciones. </w:t>
      </w:r>
    </w:p>
    <w:p w14:paraId="1E5B2EF2" w14:textId="77777777" w:rsidR="00507DEC" w:rsidRPr="00C151B9" w:rsidRDefault="00507DEC">
      <w:pPr>
        <w:pBdr>
          <w:top w:val="nil"/>
          <w:left w:val="nil"/>
          <w:bottom w:val="nil"/>
          <w:right w:val="nil"/>
          <w:between w:val="nil"/>
        </w:pBdr>
        <w:spacing w:after="0" w:line="360" w:lineRule="auto"/>
        <w:ind w:left="851"/>
        <w:rPr>
          <w:b/>
          <w:color w:val="000000"/>
        </w:rPr>
      </w:pPr>
    </w:p>
    <w:p w14:paraId="2B24AF57" w14:textId="77777777" w:rsidR="00507DEC" w:rsidRPr="00C151B9" w:rsidRDefault="00276964">
      <w:pPr>
        <w:spacing w:after="0" w:line="360" w:lineRule="auto"/>
      </w:pPr>
      <w:r w:rsidRPr="00C151B9">
        <w:t xml:space="preserve">Al respecto, se debe recordar que la parte Solicitante requirió la entrega de los trabajos terminales de las últimas tres generaciones y que en atención a que la información fue solicitada el 22 de enero de 2025, la documentación debe atender a aquella que obre en los archivos del Sujeto Obligado a dicha fecha. </w:t>
      </w:r>
    </w:p>
    <w:p w14:paraId="396763A3" w14:textId="77777777" w:rsidR="00507DEC" w:rsidRPr="00C151B9" w:rsidRDefault="00507DEC">
      <w:pPr>
        <w:spacing w:after="0" w:line="360" w:lineRule="auto"/>
      </w:pPr>
    </w:p>
    <w:p w14:paraId="4E66458C" w14:textId="77777777" w:rsidR="00507DEC" w:rsidRPr="00C151B9" w:rsidRDefault="00276964">
      <w:pPr>
        <w:spacing w:after="0" w:line="360" w:lineRule="auto"/>
      </w:pPr>
      <w:r w:rsidRPr="00C151B9">
        <w:t xml:space="preserve">En este entendido, el Sujeto Obligado en respuesta remitió un listado en el que señaló el nombre de los egresados y la liga en formato abierto al trabajo terminal de aquellos que obtuvieron el diploma en la Especialidad, por cuanto hace a las promociones 11, 12 y 13, y dentro de los cuales especificó el nombre de tres personas de las cuales no proporciono ligas, pero sí remitió el trabajo terminal adjunto a la respuesta, además indicó que por cuanto hace a los trabajos terminales del mes de enero del año en curso, se encontraban en proceso de ser liberados en el repositorio institucional y que por tanto, no era posible proporcionarlos en ese momento. </w:t>
      </w:r>
    </w:p>
    <w:p w14:paraId="4486E3D3" w14:textId="77777777" w:rsidR="00507DEC" w:rsidRPr="00C151B9" w:rsidRDefault="00507DEC">
      <w:pPr>
        <w:spacing w:after="0" w:line="360" w:lineRule="auto"/>
      </w:pPr>
    </w:p>
    <w:p w14:paraId="05DEF8F0" w14:textId="77777777" w:rsidR="00507DEC" w:rsidRPr="00C151B9" w:rsidRDefault="00276964">
      <w:pPr>
        <w:spacing w:after="0" w:line="360" w:lineRule="auto"/>
      </w:pPr>
      <w:bookmarkStart w:id="27" w:name="_heading=h.ae462xfn1v9c" w:colFirst="0" w:colLast="0"/>
      <w:bookmarkEnd w:id="27"/>
      <w:r w:rsidRPr="00C151B9">
        <w:t xml:space="preserve">En este sentido vale la pena precisar que este Organismo Garante revisó cada una de las ligas y remiten a la publicación del trabajo terminal en el repositorio institucional de cada una de las </w:t>
      </w:r>
      <w:r w:rsidRPr="00C151B9">
        <w:lastRenderedPageBreak/>
        <w:t xml:space="preserve">personas enlistadas, en el que se aprecia un apartado que señala </w:t>
      </w:r>
      <w:r w:rsidRPr="00C151B9">
        <w:rPr>
          <w:i/>
        </w:rPr>
        <w:t>Ficheros en el objeto digital</w:t>
      </w:r>
      <w:r w:rsidRPr="00C151B9">
        <w:t xml:space="preserve">, y al dar clic sobre </w:t>
      </w:r>
      <w:r w:rsidRPr="00C151B9">
        <w:rPr>
          <w:i/>
        </w:rPr>
        <w:t>ver documento</w:t>
      </w:r>
      <w:r w:rsidRPr="00C151B9">
        <w:t>, se advierte el trabajo terminal de cada persona, en los que se indica que fueron presentados para obtener la especialidad, aunado a ello, en informe justificado el Sujeto Obligado remitió 22 trabajos terminales, que corresponden a parte de los enlistados en la respuesta.</w:t>
      </w:r>
    </w:p>
    <w:p w14:paraId="5600B626" w14:textId="77777777" w:rsidR="00507DEC" w:rsidRPr="00C151B9" w:rsidRDefault="00507DEC">
      <w:pPr>
        <w:spacing w:after="0" w:line="360" w:lineRule="auto"/>
      </w:pPr>
    </w:p>
    <w:p w14:paraId="7458BB06" w14:textId="77777777" w:rsidR="00507DEC" w:rsidRPr="00C151B9" w:rsidRDefault="00276964">
      <w:pPr>
        <w:spacing w:after="0" w:line="360" w:lineRule="auto"/>
      </w:pPr>
      <w:r w:rsidRPr="00C151B9">
        <w:t>En atención a lo anterior, los trabajos terminales referidos en respuesta y entregados mediante informe justificado colman parcialmente el requerimiento de información, puesto que, tal y como lo refirió el Sujeto Obligado no remitió los trabajos del mes de enero del año en curso, por tanto, deberá remitir los trabajos finales correspondientes a dicha temporalidad, puesto que el proceso de publicación en el repositorio institucional, no impide la entrega de la información, esto es así en virtud de que, para la obtención del grado, se debió cumplir con el requisito del trabajo terminal, y la obtención del grado académico aporta suficientes elementos para ofrecer la publicidad y divulgación de la información.</w:t>
      </w:r>
    </w:p>
    <w:p w14:paraId="0B0BD29D" w14:textId="77777777" w:rsidR="00507DEC" w:rsidRPr="00C151B9" w:rsidRDefault="00507DEC">
      <w:pPr>
        <w:spacing w:after="0" w:line="360" w:lineRule="auto"/>
      </w:pPr>
    </w:p>
    <w:p w14:paraId="5F9B8735" w14:textId="77777777" w:rsidR="00507DEC" w:rsidRPr="00C151B9" w:rsidRDefault="00276964">
      <w:pPr>
        <w:spacing w:after="0" w:line="360" w:lineRule="auto"/>
      </w:pPr>
      <w:r w:rsidRPr="00C151B9">
        <w:t xml:space="preserve">En este tenor, el Sujeto Obligado deberá entregar los trabajos terminales de quienes hayan obtenido la especialidad en el periodo del 1° al 22 de enero del año 2025; en caso de que la información cuente con datos personales confidenciales deberá entregarlos en versión pública. </w:t>
      </w:r>
    </w:p>
    <w:p w14:paraId="6C9EE29B" w14:textId="77777777" w:rsidR="00507DEC" w:rsidRPr="00C151B9" w:rsidRDefault="00507DEC">
      <w:pPr>
        <w:spacing w:after="0" w:line="360" w:lineRule="auto"/>
      </w:pPr>
    </w:p>
    <w:p w14:paraId="266832CC" w14:textId="77777777" w:rsidR="00507DEC" w:rsidRPr="00C151B9" w:rsidRDefault="00276964">
      <w:pPr>
        <w:spacing w:after="0" w:line="360" w:lineRule="auto"/>
      </w:pPr>
      <w:r w:rsidRPr="00C151B9">
        <w:rPr>
          <w:color w:val="000000"/>
        </w:rPr>
        <w:t xml:space="preserve">Para las versiones públicas, se deberá proporcionar el Acuerdo de Clasificación donde el Comité de Transparencia, confirme la eliminación de los datos confidenciales </w:t>
      </w:r>
      <w:r w:rsidRPr="00C151B9">
        <w:t xml:space="preserve">de acuerdo con los artículos 49, fracciones II y VIII, 132, fracción II, 143, fracción I y 149 de la Ley de Transparencia y Acceso a la Información Pública del Estado de México y Municipios. </w:t>
      </w:r>
    </w:p>
    <w:p w14:paraId="06717189" w14:textId="77777777" w:rsidR="00507DEC" w:rsidRPr="00C151B9" w:rsidRDefault="00507DEC">
      <w:pPr>
        <w:spacing w:after="0" w:line="360" w:lineRule="auto"/>
      </w:pPr>
    </w:p>
    <w:p w14:paraId="491D5BCD" w14:textId="77777777" w:rsidR="00507DEC" w:rsidRPr="00C151B9" w:rsidRDefault="00276964">
      <w:pPr>
        <w:spacing w:after="0" w:line="360" w:lineRule="auto"/>
      </w:pPr>
      <w:r w:rsidRPr="00C151B9">
        <w:lastRenderedPageBreak/>
        <w:t xml:space="preserve">El Sujeto Obligado deberá considerar que, en caso de que en la temporalidad que se ordena no cuente con ningún trabajo terminal, porque en el periodo ordenado, ninguna persona obtuvo la especialidad, deberá hacerlo el conocimiento de la parte Recurrente de manera precisa y clara. </w:t>
      </w:r>
    </w:p>
    <w:p w14:paraId="0657A8CF" w14:textId="77777777" w:rsidR="00507DEC" w:rsidRPr="00C151B9" w:rsidRDefault="00507DEC">
      <w:pPr>
        <w:spacing w:after="0" w:line="360" w:lineRule="auto"/>
      </w:pPr>
    </w:p>
    <w:p w14:paraId="6BF3BECD" w14:textId="77777777" w:rsidR="00507DEC" w:rsidRPr="00C151B9" w:rsidRDefault="00276964">
      <w:pPr>
        <w:numPr>
          <w:ilvl w:val="0"/>
          <w:numId w:val="1"/>
        </w:numPr>
        <w:pBdr>
          <w:top w:val="nil"/>
          <w:left w:val="nil"/>
          <w:bottom w:val="nil"/>
          <w:right w:val="nil"/>
          <w:between w:val="nil"/>
        </w:pBdr>
        <w:spacing w:after="0" w:line="360" w:lineRule="auto"/>
        <w:ind w:left="851" w:hanging="284"/>
        <w:rPr>
          <w:b/>
          <w:color w:val="000000"/>
        </w:rPr>
      </w:pPr>
      <w:r w:rsidRPr="00C151B9">
        <w:rPr>
          <w:b/>
          <w:color w:val="000000"/>
        </w:rPr>
        <w:t>Por cuanto hace a los trabajos terminales de la última generación de la Maestría en Administración Pública y Gobierno</w:t>
      </w:r>
    </w:p>
    <w:p w14:paraId="00EBA1C2" w14:textId="77777777" w:rsidR="00507DEC" w:rsidRPr="00C151B9" w:rsidRDefault="00507DEC">
      <w:pPr>
        <w:spacing w:after="0" w:line="360" w:lineRule="auto"/>
      </w:pPr>
    </w:p>
    <w:p w14:paraId="6AA93683" w14:textId="77777777" w:rsidR="00507DEC" w:rsidRPr="00C151B9" w:rsidRDefault="00276964">
      <w:pPr>
        <w:spacing w:after="0" w:line="360" w:lineRule="auto"/>
      </w:pPr>
      <w:r w:rsidRPr="00C151B9">
        <w:t>Ahora bien, respecto a la Maestría, el Sujeto Obligado a través de respuesta indicó que no se registraron trabajos terminales de grado, sin embargo, en informe justificado modificó su respuesta inicial y remitió 9 tesis para obtener el grado de Maestría en Administración Pública y Gobierno, cabe mencionar que este Organismo Garante, advirtió que las tesis de maestría que fueron remitidas en informe justificado, también se encuentran publicadas en el repositorio institucional, en los siguientes registros:</w:t>
      </w:r>
    </w:p>
    <w:p w14:paraId="789D31C7" w14:textId="77777777" w:rsidR="00507DEC" w:rsidRPr="00C151B9" w:rsidRDefault="00507DEC">
      <w:pPr>
        <w:spacing w:after="0" w:line="360" w:lineRule="auto"/>
      </w:pPr>
    </w:p>
    <w:tbl>
      <w:tblPr>
        <w:tblStyle w:val="af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961"/>
      </w:tblGrid>
      <w:tr w:rsidR="00507DEC" w:rsidRPr="00C151B9" w14:paraId="22BDC5EC" w14:textId="77777777">
        <w:tc>
          <w:tcPr>
            <w:tcW w:w="4106" w:type="dxa"/>
            <w:shd w:val="clear" w:color="auto" w:fill="E7E6E6"/>
          </w:tcPr>
          <w:p w14:paraId="418BA411" w14:textId="77777777" w:rsidR="00507DEC" w:rsidRPr="00C151B9" w:rsidRDefault="00276964">
            <w:pPr>
              <w:spacing w:line="360" w:lineRule="auto"/>
              <w:jc w:val="center"/>
              <w:rPr>
                <w:b/>
              </w:rPr>
            </w:pPr>
            <w:r w:rsidRPr="00C151B9">
              <w:rPr>
                <w:b/>
              </w:rPr>
              <w:t>Nombre de quienes obtuvieron el grado</w:t>
            </w:r>
          </w:p>
        </w:tc>
        <w:tc>
          <w:tcPr>
            <w:tcW w:w="4961" w:type="dxa"/>
            <w:shd w:val="clear" w:color="auto" w:fill="E7E6E6"/>
          </w:tcPr>
          <w:p w14:paraId="2521F4EC" w14:textId="77777777" w:rsidR="00507DEC" w:rsidRPr="00C151B9" w:rsidRDefault="00276964">
            <w:pPr>
              <w:spacing w:line="360" w:lineRule="auto"/>
              <w:jc w:val="center"/>
              <w:rPr>
                <w:b/>
              </w:rPr>
            </w:pPr>
            <w:r w:rsidRPr="00C151B9">
              <w:rPr>
                <w:b/>
              </w:rPr>
              <w:t>Liga a repositorio institucional</w:t>
            </w:r>
          </w:p>
        </w:tc>
      </w:tr>
      <w:tr w:rsidR="00507DEC" w:rsidRPr="00C151B9" w14:paraId="7C6FD2DE" w14:textId="77777777">
        <w:tc>
          <w:tcPr>
            <w:tcW w:w="4106" w:type="dxa"/>
          </w:tcPr>
          <w:p w14:paraId="655EAD73" w14:textId="77777777" w:rsidR="00507DEC" w:rsidRPr="00C151B9" w:rsidRDefault="00276964">
            <w:pPr>
              <w:spacing w:line="360" w:lineRule="auto"/>
            </w:pPr>
            <w:proofErr w:type="spellStart"/>
            <w:r w:rsidRPr="00C151B9">
              <w:t>Armeaga</w:t>
            </w:r>
            <w:proofErr w:type="spellEnd"/>
            <w:r w:rsidRPr="00C151B9">
              <w:t xml:space="preserve"> García, Fátima</w:t>
            </w:r>
          </w:p>
        </w:tc>
        <w:tc>
          <w:tcPr>
            <w:tcW w:w="4961" w:type="dxa"/>
          </w:tcPr>
          <w:p w14:paraId="7C30EFE3" w14:textId="77777777" w:rsidR="00507DEC" w:rsidRPr="00C151B9" w:rsidRDefault="00E043D2">
            <w:pPr>
              <w:spacing w:line="360" w:lineRule="auto"/>
            </w:pPr>
            <w:hyperlink r:id="rId11">
              <w:r w:rsidR="00276964" w:rsidRPr="00C151B9">
                <w:rPr>
                  <w:color w:val="0563C1"/>
                  <w:u w:val="single"/>
                </w:rPr>
                <w:t>http://ri.uaemex.mx/handle/20.500.11799/138633</w:t>
              </w:r>
            </w:hyperlink>
            <w:r w:rsidR="00276964" w:rsidRPr="00C151B9">
              <w:t xml:space="preserve"> </w:t>
            </w:r>
          </w:p>
        </w:tc>
      </w:tr>
      <w:tr w:rsidR="00507DEC" w:rsidRPr="00C151B9" w14:paraId="060046BA" w14:textId="77777777">
        <w:tc>
          <w:tcPr>
            <w:tcW w:w="4106" w:type="dxa"/>
          </w:tcPr>
          <w:p w14:paraId="68F99524" w14:textId="77777777" w:rsidR="00507DEC" w:rsidRPr="00C151B9" w:rsidRDefault="00276964">
            <w:pPr>
              <w:spacing w:line="360" w:lineRule="auto"/>
            </w:pPr>
            <w:r w:rsidRPr="00C151B9">
              <w:t>Arzate Martínez, Mayra Leticia</w:t>
            </w:r>
          </w:p>
        </w:tc>
        <w:tc>
          <w:tcPr>
            <w:tcW w:w="4961" w:type="dxa"/>
          </w:tcPr>
          <w:p w14:paraId="49DB8814" w14:textId="77777777" w:rsidR="00507DEC" w:rsidRPr="00C151B9" w:rsidRDefault="00E043D2">
            <w:pPr>
              <w:spacing w:line="360" w:lineRule="auto"/>
            </w:pPr>
            <w:hyperlink r:id="rId12">
              <w:r w:rsidR="00276964" w:rsidRPr="00C151B9">
                <w:rPr>
                  <w:color w:val="0563C1"/>
                  <w:u w:val="single"/>
                </w:rPr>
                <w:t>http://ri.uaemex.mx/handle/20.500.11799/138634</w:t>
              </w:r>
            </w:hyperlink>
            <w:r w:rsidR="00276964" w:rsidRPr="00C151B9">
              <w:t xml:space="preserve"> </w:t>
            </w:r>
          </w:p>
        </w:tc>
      </w:tr>
      <w:tr w:rsidR="00507DEC" w:rsidRPr="00C151B9" w14:paraId="0BA81857" w14:textId="77777777">
        <w:tc>
          <w:tcPr>
            <w:tcW w:w="4106" w:type="dxa"/>
          </w:tcPr>
          <w:p w14:paraId="53A610C8" w14:textId="77777777" w:rsidR="00507DEC" w:rsidRPr="00C151B9" w:rsidRDefault="00276964">
            <w:pPr>
              <w:spacing w:line="360" w:lineRule="auto"/>
            </w:pPr>
            <w:r w:rsidRPr="00C151B9">
              <w:t xml:space="preserve">Contreras </w:t>
            </w:r>
            <w:proofErr w:type="spellStart"/>
            <w:r w:rsidRPr="00C151B9">
              <w:t>Saldivar</w:t>
            </w:r>
            <w:proofErr w:type="spellEnd"/>
            <w:r w:rsidRPr="00C151B9">
              <w:t>, Alexis</w:t>
            </w:r>
          </w:p>
        </w:tc>
        <w:tc>
          <w:tcPr>
            <w:tcW w:w="4961" w:type="dxa"/>
          </w:tcPr>
          <w:p w14:paraId="24DE9FE0" w14:textId="77777777" w:rsidR="00507DEC" w:rsidRPr="00C151B9" w:rsidRDefault="00E043D2">
            <w:pPr>
              <w:spacing w:line="360" w:lineRule="auto"/>
            </w:pPr>
            <w:hyperlink r:id="rId13">
              <w:r w:rsidR="00276964" w:rsidRPr="00C151B9">
                <w:rPr>
                  <w:color w:val="0563C1"/>
                  <w:u w:val="single"/>
                </w:rPr>
                <w:t>http://ri.uaemex.mx/handle/20.500.11799/138611</w:t>
              </w:r>
            </w:hyperlink>
            <w:r w:rsidR="00276964" w:rsidRPr="00C151B9">
              <w:t xml:space="preserve"> </w:t>
            </w:r>
          </w:p>
        </w:tc>
      </w:tr>
      <w:tr w:rsidR="00507DEC" w:rsidRPr="00C151B9" w14:paraId="5CDA9F77" w14:textId="77777777">
        <w:tc>
          <w:tcPr>
            <w:tcW w:w="4106" w:type="dxa"/>
          </w:tcPr>
          <w:p w14:paraId="4ABA6B6A" w14:textId="77777777" w:rsidR="00507DEC" w:rsidRPr="00C151B9" w:rsidRDefault="00276964">
            <w:pPr>
              <w:spacing w:line="360" w:lineRule="auto"/>
            </w:pPr>
            <w:r w:rsidRPr="00C151B9">
              <w:t>García Rodríguez, Gerardo Daniel</w:t>
            </w:r>
          </w:p>
        </w:tc>
        <w:tc>
          <w:tcPr>
            <w:tcW w:w="4961" w:type="dxa"/>
          </w:tcPr>
          <w:p w14:paraId="6CB7A8FB" w14:textId="77777777" w:rsidR="00507DEC" w:rsidRPr="00C151B9" w:rsidRDefault="00E043D2">
            <w:pPr>
              <w:spacing w:line="360" w:lineRule="auto"/>
            </w:pPr>
            <w:hyperlink r:id="rId14">
              <w:r w:rsidR="00276964" w:rsidRPr="00C151B9">
                <w:rPr>
                  <w:color w:val="0563C1"/>
                  <w:u w:val="single"/>
                </w:rPr>
                <w:t>http://ri.uaemex.mx/handle/20.500.11799/138615</w:t>
              </w:r>
            </w:hyperlink>
            <w:r w:rsidR="00276964" w:rsidRPr="00C151B9">
              <w:t xml:space="preserve"> </w:t>
            </w:r>
          </w:p>
        </w:tc>
      </w:tr>
      <w:tr w:rsidR="00507DEC" w:rsidRPr="00C151B9" w14:paraId="67B40E83" w14:textId="77777777">
        <w:tc>
          <w:tcPr>
            <w:tcW w:w="4106" w:type="dxa"/>
          </w:tcPr>
          <w:p w14:paraId="4A2482DA" w14:textId="77777777" w:rsidR="00507DEC" w:rsidRPr="00C151B9" w:rsidRDefault="00276964">
            <w:pPr>
              <w:spacing w:line="360" w:lineRule="auto"/>
            </w:pPr>
            <w:r w:rsidRPr="00C151B9">
              <w:t>García Martínez, Luis Alberto</w:t>
            </w:r>
          </w:p>
        </w:tc>
        <w:tc>
          <w:tcPr>
            <w:tcW w:w="4961" w:type="dxa"/>
          </w:tcPr>
          <w:p w14:paraId="75BCD13D" w14:textId="77777777" w:rsidR="00507DEC" w:rsidRPr="00C151B9" w:rsidRDefault="00E043D2">
            <w:pPr>
              <w:spacing w:line="360" w:lineRule="auto"/>
            </w:pPr>
            <w:hyperlink r:id="rId15">
              <w:r w:rsidR="00276964" w:rsidRPr="00C151B9">
                <w:rPr>
                  <w:color w:val="0563C1"/>
                  <w:u w:val="single"/>
                </w:rPr>
                <w:t>http://ri.uaemex.mx/handle/20.500.11799/138612</w:t>
              </w:r>
            </w:hyperlink>
            <w:r w:rsidR="00276964" w:rsidRPr="00C151B9">
              <w:t xml:space="preserve"> </w:t>
            </w:r>
          </w:p>
        </w:tc>
      </w:tr>
      <w:tr w:rsidR="00507DEC" w:rsidRPr="00C151B9" w14:paraId="26DBBC9B" w14:textId="77777777">
        <w:tc>
          <w:tcPr>
            <w:tcW w:w="4106" w:type="dxa"/>
          </w:tcPr>
          <w:p w14:paraId="019DB373" w14:textId="77777777" w:rsidR="00507DEC" w:rsidRPr="00C151B9" w:rsidRDefault="00276964">
            <w:pPr>
              <w:spacing w:line="360" w:lineRule="auto"/>
            </w:pPr>
            <w:r w:rsidRPr="00C151B9">
              <w:t>Hernández Barrientos, Carlos Antonio</w:t>
            </w:r>
          </w:p>
        </w:tc>
        <w:tc>
          <w:tcPr>
            <w:tcW w:w="4961" w:type="dxa"/>
          </w:tcPr>
          <w:p w14:paraId="19F9FFEC" w14:textId="77777777" w:rsidR="00507DEC" w:rsidRPr="00C151B9" w:rsidRDefault="00E043D2">
            <w:pPr>
              <w:spacing w:line="360" w:lineRule="auto"/>
            </w:pPr>
            <w:hyperlink r:id="rId16">
              <w:r w:rsidR="00276964" w:rsidRPr="00C151B9">
                <w:rPr>
                  <w:color w:val="0563C1"/>
                  <w:u w:val="single"/>
                </w:rPr>
                <w:t>http://ri.uaemex.mx/handle/20.500.11799/138730</w:t>
              </w:r>
            </w:hyperlink>
            <w:r w:rsidR="00276964" w:rsidRPr="00C151B9">
              <w:t xml:space="preserve"> </w:t>
            </w:r>
          </w:p>
        </w:tc>
      </w:tr>
      <w:tr w:rsidR="00507DEC" w:rsidRPr="00C151B9" w14:paraId="5E5F859E" w14:textId="77777777">
        <w:tc>
          <w:tcPr>
            <w:tcW w:w="4106" w:type="dxa"/>
          </w:tcPr>
          <w:p w14:paraId="56DF4A4E" w14:textId="77777777" w:rsidR="00507DEC" w:rsidRPr="00C151B9" w:rsidRDefault="00276964">
            <w:pPr>
              <w:spacing w:line="360" w:lineRule="auto"/>
            </w:pPr>
            <w:r w:rsidRPr="00C151B9">
              <w:t>León González, Gregorio Francisco</w:t>
            </w:r>
          </w:p>
        </w:tc>
        <w:tc>
          <w:tcPr>
            <w:tcW w:w="4961" w:type="dxa"/>
          </w:tcPr>
          <w:p w14:paraId="4F32792D" w14:textId="77777777" w:rsidR="00507DEC" w:rsidRPr="00C151B9" w:rsidRDefault="00E043D2">
            <w:pPr>
              <w:spacing w:line="360" w:lineRule="auto"/>
            </w:pPr>
            <w:hyperlink r:id="rId17">
              <w:r w:rsidR="00276964" w:rsidRPr="00C151B9">
                <w:rPr>
                  <w:color w:val="0563C1"/>
                  <w:u w:val="single"/>
                </w:rPr>
                <w:t>http://ri.uaemex.mx/handle/20.500.11799/138616</w:t>
              </w:r>
            </w:hyperlink>
            <w:r w:rsidR="00276964" w:rsidRPr="00C151B9">
              <w:t xml:space="preserve"> </w:t>
            </w:r>
          </w:p>
        </w:tc>
      </w:tr>
      <w:tr w:rsidR="00507DEC" w:rsidRPr="00C151B9" w14:paraId="25CCD90F" w14:textId="77777777">
        <w:tc>
          <w:tcPr>
            <w:tcW w:w="4106" w:type="dxa"/>
          </w:tcPr>
          <w:p w14:paraId="1195E92D" w14:textId="77777777" w:rsidR="00507DEC" w:rsidRPr="00C151B9" w:rsidRDefault="00276964">
            <w:pPr>
              <w:spacing w:line="360" w:lineRule="auto"/>
            </w:pPr>
            <w:proofErr w:type="spellStart"/>
            <w:r w:rsidRPr="00C151B9">
              <w:t>Rubi</w:t>
            </w:r>
            <w:proofErr w:type="spellEnd"/>
            <w:r w:rsidRPr="00C151B9">
              <w:t xml:space="preserve"> Fernández, </w:t>
            </w:r>
            <w:proofErr w:type="spellStart"/>
            <w:r w:rsidRPr="00C151B9">
              <w:t>Natali</w:t>
            </w:r>
            <w:proofErr w:type="spellEnd"/>
            <w:r w:rsidRPr="00C151B9">
              <w:t xml:space="preserve"> Carolina</w:t>
            </w:r>
          </w:p>
        </w:tc>
        <w:tc>
          <w:tcPr>
            <w:tcW w:w="4961" w:type="dxa"/>
          </w:tcPr>
          <w:p w14:paraId="3F1F109B" w14:textId="77777777" w:rsidR="00507DEC" w:rsidRPr="00C151B9" w:rsidRDefault="00E043D2">
            <w:pPr>
              <w:spacing w:line="360" w:lineRule="auto"/>
            </w:pPr>
            <w:hyperlink r:id="rId18">
              <w:r w:rsidR="00276964" w:rsidRPr="00C151B9">
                <w:rPr>
                  <w:color w:val="0563C1"/>
                  <w:u w:val="single"/>
                </w:rPr>
                <w:t>http://ri.uaemex.mx/handle/20.500.11799/138614</w:t>
              </w:r>
            </w:hyperlink>
            <w:r w:rsidR="00276964" w:rsidRPr="00C151B9">
              <w:t xml:space="preserve"> </w:t>
            </w:r>
          </w:p>
        </w:tc>
      </w:tr>
      <w:tr w:rsidR="00507DEC" w:rsidRPr="00C151B9" w14:paraId="109F0256" w14:textId="77777777">
        <w:tc>
          <w:tcPr>
            <w:tcW w:w="4106" w:type="dxa"/>
          </w:tcPr>
          <w:p w14:paraId="3EAFEA9E" w14:textId="77777777" w:rsidR="00507DEC" w:rsidRPr="00C151B9" w:rsidRDefault="00276964">
            <w:pPr>
              <w:spacing w:line="360" w:lineRule="auto"/>
            </w:pPr>
            <w:r w:rsidRPr="00C151B9">
              <w:t xml:space="preserve">Ruiz Orta, </w:t>
            </w:r>
            <w:proofErr w:type="spellStart"/>
            <w:r w:rsidRPr="00C151B9">
              <w:t>Marybel</w:t>
            </w:r>
            <w:proofErr w:type="spellEnd"/>
          </w:p>
        </w:tc>
        <w:tc>
          <w:tcPr>
            <w:tcW w:w="4961" w:type="dxa"/>
          </w:tcPr>
          <w:p w14:paraId="7DC884E3" w14:textId="77777777" w:rsidR="00507DEC" w:rsidRPr="00C151B9" w:rsidRDefault="00E043D2">
            <w:pPr>
              <w:spacing w:line="360" w:lineRule="auto"/>
            </w:pPr>
            <w:hyperlink r:id="rId19">
              <w:r w:rsidR="00276964" w:rsidRPr="00C151B9">
                <w:rPr>
                  <w:color w:val="0563C1"/>
                  <w:u w:val="single"/>
                </w:rPr>
                <w:t>http://ri.uaemex.mx/handle/20.500.11799/138613</w:t>
              </w:r>
            </w:hyperlink>
            <w:r w:rsidR="00276964" w:rsidRPr="00C151B9">
              <w:t xml:space="preserve"> </w:t>
            </w:r>
          </w:p>
        </w:tc>
      </w:tr>
    </w:tbl>
    <w:p w14:paraId="3F29591C" w14:textId="77777777" w:rsidR="00507DEC" w:rsidRPr="00C151B9" w:rsidRDefault="00507DEC">
      <w:pPr>
        <w:spacing w:after="0" w:line="360" w:lineRule="auto"/>
      </w:pPr>
    </w:p>
    <w:p w14:paraId="304C6608" w14:textId="77777777" w:rsidR="00507DEC" w:rsidRPr="00C151B9" w:rsidRDefault="00276964">
      <w:pPr>
        <w:tabs>
          <w:tab w:val="left" w:pos="4962"/>
        </w:tabs>
        <w:spacing w:after="0" w:line="360" w:lineRule="auto"/>
      </w:pPr>
      <w:r w:rsidRPr="00C151B9">
        <w:lastRenderedPageBreak/>
        <w:t>En atención a lo anterior, se advierte que se tratan de los trabajos terminales para obtener la Maestría en Administración Pública y Gobierno, en consecuencia corresponde con la información solicitada, por tanto, se tiene por colmado el requerimiento de información en análisis.</w:t>
      </w:r>
    </w:p>
    <w:p w14:paraId="7DF31918" w14:textId="77777777" w:rsidR="00507DEC" w:rsidRPr="00C151B9" w:rsidRDefault="00507DEC">
      <w:pPr>
        <w:tabs>
          <w:tab w:val="left" w:pos="4962"/>
        </w:tabs>
        <w:spacing w:after="0" w:line="360" w:lineRule="auto"/>
      </w:pPr>
    </w:p>
    <w:p w14:paraId="7216A5E7" w14:textId="77777777" w:rsidR="00507DEC" w:rsidRPr="00C151B9" w:rsidRDefault="00276964">
      <w:pPr>
        <w:tabs>
          <w:tab w:val="left" w:pos="4962"/>
        </w:tabs>
        <w:spacing w:after="0" w:line="360" w:lineRule="auto"/>
      </w:pPr>
      <w:r w:rsidRPr="00C151B9">
        <w:t>Así pues, resultan fundados los motivos de inconformidad y es procedente</w:t>
      </w:r>
      <w:r w:rsidRPr="00C151B9">
        <w:rPr>
          <w:b/>
        </w:rPr>
        <w:t xml:space="preserve"> MODIFICAR</w:t>
      </w:r>
      <w:r w:rsidRPr="00C151B9">
        <w:t xml:space="preserve"> la respuesta inicial a fin de ordenar la entrega de la información faltante en los términos antes expuestos.</w:t>
      </w:r>
    </w:p>
    <w:p w14:paraId="69E7763E" w14:textId="77777777" w:rsidR="00507DEC" w:rsidRPr="00C151B9" w:rsidRDefault="00507DEC">
      <w:pPr>
        <w:tabs>
          <w:tab w:val="left" w:pos="4962"/>
        </w:tabs>
        <w:spacing w:after="0" w:line="360" w:lineRule="auto"/>
      </w:pPr>
    </w:p>
    <w:p w14:paraId="6FB014F1" w14:textId="77777777" w:rsidR="00507DEC" w:rsidRPr="00C151B9" w:rsidRDefault="00276964">
      <w:pPr>
        <w:spacing w:after="0" w:line="360" w:lineRule="auto"/>
        <w:rPr>
          <w:b/>
          <w:color w:val="000000"/>
        </w:rPr>
      </w:pPr>
      <w:r w:rsidRPr="00C151B9">
        <w:rPr>
          <w:b/>
          <w:color w:val="000000"/>
        </w:rPr>
        <w:t>Versión Pública</w:t>
      </w:r>
    </w:p>
    <w:p w14:paraId="51205B62" w14:textId="77777777" w:rsidR="00507DEC" w:rsidRPr="00C151B9" w:rsidRDefault="00507DEC">
      <w:pPr>
        <w:spacing w:after="0" w:line="360" w:lineRule="auto"/>
        <w:rPr>
          <w:b/>
          <w:smallCaps/>
          <w:color w:val="000000"/>
        </w:rPr>
      </w:pPr>
    </w:p>
    <w:p w14:paraId="615EA5ED" w14:textId="4539FBA6" w:rsidR="00507DEC" w:rsidRPr="00C151B9" w:rsidRDefault="00276964">
      <w:pPr>
        <w:spacing w:after="0" w:line="360" w:lineRule="auto"/>
        <w:rPr>
          <w:color w:val="000000"/>
        </w:rPr>
      </w:pPr>
      <w:r w:rsidRPr="00C151B9">
        <w:rPr>
          <w:color w:val="000000"/>
        </w:rPr>
        <w:t xml:space="preserve">Establecido lo anterior, </w:t>
      </w:r>
      <w:r w:rsidR="00811C04" w:rsidRPr="00C151B9">
        <w:rPr>
          <w:color w:val="000000"/>
        </w:rPr>
        <w:t xml:space="preserve">en los documentos que den cuenta, </w:t>
      </w:r>
      <w:r w:rsidRPr="00C151B9">
        <w:rPr>
          <w:color w:val="000000"/>
        </w:rPr>
        <w:t xml:space="preserve">se pueden encontrar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07106173" w14:textId="77777777" w:rsidR="00507DEC" w:rsidRPr="00C151B9" w:rsidRDefault="00507DEC">
      <w:pPr>
        <w:spacing w:after="0" w:line="360" w:lineRule="auto"/>
        <w:rPr>
          <w:color w:val="000000"/>
        </w:rPr>
      </w:pPr>
    </w:p>
    <w:p w14:paraId="1A771EEB" w14:textId="51F34375" w:rsidR="00507DEC" w:rsidRPr="00C151B9" w:rsidRDefault="00276964">
      <w:pPr>
        <w:spacing w:after="0" w:line="360" w:lineRule="auto"/>
        <w:rPr>
          <w:color w:val="000000"/>
        </w:rPr>
      </w:pPr>
      <w:r w:rsidRPr="00C151B9">
        <w:rPr>
          <w:color w:val="000000"/>
        </w:rPr>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66E9E24E" w14:textId="77777777" w:rsidR="00507DEC" w:rsidRPr="00C151B9" w:rsidRDefault="00507DEC">
      <w:pPr>
        <w:spacing w:after="0" w:line="360" w:lineRule="auto"/>
        <w:rPr>
          <w:color w:val="000000"/>
        </w:rPr>
      </w:pPr>
    </w:p>
    <w:p w14:paraId="359BA85F" w14:textId="77777777" w:rsidR="00507DEC" w:rsidRPr="00C151B9" w:rsidRDefault="00276964">
      <w:pPr>
        <w:spacing w:after="0" w:line="360" w:lineRule="auto"/>
        <w:rPr>
          <w:color w:val="000000"/>
        </w:rPr>
      </w:pPr>
      <w:r w:rsidRPr="00C151B9">
        <w:rPr>
          <w:color w:val="000000"/>
        </w:rP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F971CC7" w14:textId="77777777" w:rsidR="00507DEC" w:rsidRPr="00C151B9" w:rsidRDefault="00507DEC">
      <w:pPr>
        <w:spacing w:after="0" w:line="360" w:lineRule="auto"/>
        <w:rPr>
          <w:color w:val="000000"/>
        </w:rPr>
      </w:pPr>
    </w:p>
    <w:p w14:paraId="5337D715" w14:textId="77777777" w:rsidR="00507DEC" w:rsidRPr="00C151B9" w:rsidRDefault="00276964">
      <w:pPr>
        <w:spacing w:after="0" w:line="360" w:lineRule="auto"/>
        <w:rPr>
          <w:color w:val="000000"/>
        </w:rPr>
      </w:pPr>
      <w:r w:rsidRPr="00C151B9">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204323D6" w14:textId="77777777" w:rsidR="00507DEC" w:rsidRPr="00C151B9" w:rsidRDefault="00507DEC">
      <w:pPr>
        <w:spacing w:after="0" w:line="360" w:lineRule="auto"/>
        <w:rPr>
          <w:color w:val="000000"/>
        </w:rPr>
      </w:pPr>
    </w:p>
    <w:p w14:paraId="4AC28F19" w14:textId="77777777" w:rsidR="00507DEC" w:rsidRPr="00C151B9" w:rsidRDefault="00276964">
      <w:pPr>
        <w:spacing w:after="0" w:line="360" w:lineRule="auto"/>
        <w:rPr>
          <w:color w:val="000000"/>
        </w:rPr>
      </w:pPr>
      <w:r w:rsidRPr="00C151B9">
        <w:rPr>
          <w:color w:val="000000"/>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24F8A16D" w14:textId="77777777" w:rsidR="00507DEC" w:rsidRPr="00C151B9" w:rsidRDefault="00507DEC">
      <w:pPr>
        <w:spacing w:after="0" w:line="360" w:lineRule="auto"/>
        <w:rPr>
          <w:color w:val="000000"/>
        </w:rPr>
      </w:pPr>
    </w:p>
    <w:p w14:paraId="7155A949" w14:textId="77777777" w:rsidR="00507DEC" w:rsidRPr="00C151B9" w:rsidRDefault="00276964">
      <w:pPr>
        <w:spacing w:after="0" w:line="360" w:lineRule="auto"/>
        <w:rPr>
          <w:color w:val="000000"/>
        </w:rPr>
      </w:pPr>
      <w:r w:rsidRPr="00C151B9">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C151B9">
        <w:rPr>
          <w:smallCaps/>
          <w:color w:val="000000"/>
        </w:rPr>
        <w:t>I</w:t>
      </w:r>
      <w:r w:rsidRPr="00C151B9">
        <w:rPr>
          <w:color w:val="000000"/>
        </w:rPr>
        <w:t xml:space="preserve">) la información se encuentre en registros públicos o fuentes de acceso público, </w:t>
      </w:r>
      <w:r w:rsidRPr="00C151B9">
        <w:rPr>
          <w:smallCaps/>
          <w:color w:val="000000"/>
        </w:rPr>
        <w:t>II</w:t>
      </w:r>
      <w:r w:rsidRPr="00C151B9">
        <w:rPr>
          <w:color w:val="000000"/>
        </w:rPr>
        <w:t xml:space="preserve">) por ley tenga el carácter de pública, </w:t>
      </w:r>
      <w:r w:rsidRPr="00C151B9">
        <w:rPr>
          <w:smallCaps/>
          <w:color w:val="000000"/>
        </w:rPr>
        <w:t>III</w:t>
      </w:r>
      <w:r w:rsidRPr="00C151B9">
        <w:rPr>
          <w:color w:val="000000"/>
        </w:rPr>
        <w:t xml:space="preserve">) exista una orden judicial, </w:t>
      </w:r>
      <w:r w:rsidRPr="00C151B9">
        <w:rPr>
          <w:smallCaps/>
          <w:color w:val="000000"/>
        </w:rPr>
        <w:t>IV</w:t>
      </w:r>
      <w:r w:rsidRPr="00C151B9">
        <w:rPr>
          <w:color w:val="000000"/>
        </w:rPr>
        <w:t xml:space="preserve">) por razones de seguridad nacional y salubridad general o </w:t>
      </w:r>
      <w:r w:rsidRPr="00C151B9">
        <w:rPr>
          <w:smallCaps/>
          <w:color w:val="000000"/>
        </w:rPr>
        <w:t>V</w:t>
      </w:r>
      <w:r w:rsidRPr="00C151B9">
        <w:rPr>
          <w:color w:val="000000"/>
        </w:rPr>
        <w:t>) para proteger los derechos de terceros o cuando se transmitan entre sujetos obligados en términos de los tratados y los acuerdos interinstitucionales.</w:t>
      </w:r>
    </w:p>
    <w:p w14:paraId="526A4167" w14:textId="77777777" w:rsidR="00507DEC" w:rsidRPr="00C151B9" w:rsidRDefault="00276964">
      <w:pPr>
        <w:spacing w:after="0" w:line="360" w:lineRule="auto"/>
        <w:rPr>
          <w:color w:val="000000"/>
        </w:rPr>
      </w:pPr>
      <w:r w:rsidRPr="00C151B9">
        <w:rPr>
          <w:color w:val="000000"/>
        </w:rPr>
        <w:t>En términos de lo expuesto, la documentación y aquellos datos que se consideren confidenciales, serán una limitante del derecho de acceso a la información, siempre y cuando:</w:t>
      </w:r>
    </w:p>
    <w:p w14:paraId="515BF158" w14:textId="77777777" w:rsidR="00507DEC" w:rsidRPr="00C151B9" w:rsidRDefault="00507DEC">
      <w:pPr>
        <w:spacing w:after="0" w:line="360" w:lineRule="auto"/>
        <w:rPr>
          <w:color w:val="000000"/>
        </w:rPr>
      </w:pPr>
    </w:p>
    <w:p w14:paraId="4F46B082" w14:textId="77777777" w:rsidR="00507DEC" w:rsidRPr="00C151B9" w:rsidRDefault="00276964">
      <w:pPr>
        <w:numPr>
          <w:ilvl w:val="0"/>
          <w:numId w:val="2"/>
        </w:numPr>
        <w:spacing w:after="0" w:line="360" w:lineRule="auto"/>
        <w:rPr>
          <w:color w:val="000000"/>
        </w:rPr>
      </w:pPr>
      <w:r w:rsidRPr="00C151B9">
        <w:rPr>
          <w:color w:val="000000"/>
        </w:rPr>
        <w:lastRenderedPageBreak/>
        <w:t xml:space="preserve">Se trate de datos personales o información privada; esto es, información concerniente a una persona física o jurídica colectiva y que esta sea identificada o identificable. </w:t>
      </w:r>
    </w:p>
    <w:p w14:paraId="65EE4883" w14:textId="77777777" w:rsidR="00507DEC" w:rsidRPr="00C151B9" w:rsidRDefault="00276964">
      <w:pPr>
        <w:numPr>
          <w:ilvl w:val="0"/>
          <w:numId w:val="2"/>
        </w:numPr>
        <w:spacing w:after="0" w:line="360" w:lineRule="auto"/>
        <w:rPr>
          <w:color w:val="000000"/>
        </w:rPr>
      </w:pPr>
      <w:r w:rsidRPr="00C151B9">
        <w:rPr>
          <w:color w:val="000000"/>
        </w:rPr>
        <w:t xml:space="preserve">Para la difusión de los datos, se requiere el consentimiento del titular. </w:t>
      </w:r>
    </w:p>
    <w:p w14:paraId="0160A8E7" w14:textId="77777777" w:rsidR="00507DEC" w:rsidRPr="00C151B9" w:rsidRDefault="00507DEC">
      <w:pPr>
        <w:spacing w:after="0" w:line="360" w:lineRule="auto"/>
        <w:rPr>
          <w:color w:val="000000"/>
        </w:rPr>
      </w:pPr>
    </w:p>
    <w:p w14:paraId="743C5B30" w14:textId="77777777" w:rsidR="00507DEC" w:rsidRPr="00C151B9" w:rsidRDefault="00276964">
      <w:pPr>
        <w:spacing w:after="0" w:line="360" w:lineRule="auto"/>
        <w:rPr>
          <w:color w:val="000000"/>
        </w:rPr>
      </w:pPr>
      <w:r w:rsidRPr="00C151B9">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A834643" w14:textId="77777777" w:rsidR="00507DEC" w:rsidRPr="00C151B9" w:rsidRDefault="00507DEC">
      <w:pPr>
        <w:spacing w:after="0" w:line="360" w:lineRule="auto"/>
        <w:rPr>
          <w:color w:val="000000"/>
        </w:rPr>
      </w:pPr>
    </w:p>
    <w:p w14:paraId="292B4717" w14:textId="77777777" w:rsidR="00507DEC" w:rsidRPr="00C151B9" w:rsidRDefault="00276964">
      <w:pPr>
        <w:spacing w:after="0" w:line="360" w:lineRule="auto"/>
        <w:rPr>
          <w:color w:val="000000"/>
        </w:rPr>
      </w:pPr>
      <w:r w:rsidRPr="00C151B9">
        <w:rPr>
          <w:color w:val="000000"/>
        </w:rPr>
        <w:t>Además, en el artículo 5° de dicho ordenamiento jurídico, establece que es la Ley aplicable para todo tratamiento de datos personales.</w:t>
      </w:r>
    </w:p>
    <w:p w14:paraId="7C531385" w14:textId="77777777" w:rsidR="00507DEC" w:rsidRPr="00C151B9" w:rsidRDefault="00507DEC">
      <w:pPr>
        <w:spacing w:after="0" w:line="360" w:lineRule="auto"/>
        <w:rPr>
          <w:color w:val="000000"/>
        </w:rPr>
      </w:pPr>
    </w:p>
    <w:p w14:paraId="1A20D12D" w14:textId="77777777" w:rsidR="00507DEC" w:rsidRPr="00C151B9" w:rsidRDefault="00276964">
      <w:pPr>
        <w:spacing w:after="0" w:line="360" w:lineRule="auto"/>
        <w:rPr>
          <w:color w:val="000000"/>
        </w:rPr>
      </w:pPr>
      <w:r w:rsidRPr="00C151B9">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8056890" w14:textId="77777777" w:rsidR="00507DEC" w:rsidRPr="00C151B9" w:rsidRDefault="00507DEC">
      <w:pPr>
        <w:spacing w:after="0" w:line="360" w:lineRule="auto"/>
        <w:rPr>
          <w:color w:val="000000"/>
        </w:rPr>
      </w:pPr>
    </w:p>
    <w:p w14:paraId="02894584" w14:textId="77777777" w:rsidR="00507DEC" w:rsidRPr="00C151B9" w:rsidRDefault="00276964">
      <w:pPr>
        <w:spacing w:after="0" w:line="360" w:lineRule="auto"/>
        <w:rPr>
          <w:color w:val="000000"/>
        </w:rPr>
      </w:pPr>
      <w:r w:rsidRPr="00C151B9">
        <w:rPr>
          <w:color w:val="000000"/>
        </w:rPr>
        <w:t xml:space="preserve">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w:t>
      </w:r>
      <w:r w:rsidRPr="00C151B9">
        <w:rPr>
          <w:color w:val="000000"/>
        </w:rPr>
        <w:lastRenderedPageBreak/>
        <w:t>gustos, cualidades, opiniones y creencias, constituyen datos personales. En este sentido, cualquier información que por sí sola o relacionada con otra permita hacer identificable a una persona, es un dato personal, susceptible de ser clasificado.</w:t>
      </w:r>
    </w:p>
    <w:p w14:paraId="673C8D53" w14:textId="77777777" w:rsidR="00507DEC" w:rsidRPr="00C151B9" w:rsidRDefault="00507DEC">
      <w:pPr>
        <w:spacing w:after="0" w:line="360" w:lineRule="auto"/>
        <w:rPr>
          <w:color w:val="000000"/>
        </w:rPr>
      </w:pPr>
    </w:p>
    <w:p w14:paraId="1906A816" w14:textId="77777777" w:rsidR="00507DEC" w:rsidRPr="00C151B9" w:rsidRDefault="00276964">
      <w:pPr>
        <w:spacing w:after="0" w:line="360" w:lineRule="auto"/>
        <w:rPr>
          <w:color w:val="000000"/>
        </w:rPr>
      </w:pPr>
      <w:r w:rsidRPr="00C151B9">
        <w:rPr>
          <w:color w:val="000000"/>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2F6B12EF" w14:textId="77777777" w:rsidR="00507DEC" w:rsidRPr="00C151B9" w:rsidRDefault="00507DEC">
      <w:pPr>
        <w:spacing w:after="0" w:line="360" w:lineRule="auto"/>
        <w:rPr>
          <w:color w:val="000000"/>
        </w:rPr>
      </w:pPr>
    </w:p>
    <w:p w14:paraId="39C2247B" w14:textId="77777777" w:rsidR="00507DEC" w:rsidRPr="00C151B9" w:rsidRDefault="00276964">
      <w:pPr>
        <w:spacing w:after="0" w:line="360" w:lineRule="auto"/>
        <w:rPr>
          <w:color w:val="000000"/>
        </w:rPr>
      </w:pPr>
      <w:r w:rsidRPr="00C151B9">
        <w:rPr>
          <w:color w:val="000000"/>
        </w:rPr>
        <w:t>De tal suerte, las instituciones públicas tienen la doble responsabilidad, por un lado, de proteger los datos personales y por otro, darles publicidad cuando la relevancia de esos datos sea de interés público.</w:t>
      </w:r>
    </w:p>
    <w:p w14:paraId="67FE4B5D" w14:textId="77777777" w:rsidR="00507DEC" w:rsidRPr="00C151B9" w:rsidRDefault="00507DEC">
      <w:pPr>
        <w:spacing w:after="0" w:line="360" w:lineRule="auto"/>
        <w:rPr>
          <w:color w:val="000000"/>
        </w:rPr>
      </w:pPr>
    </w:p>
    <w:p w14:paraId="219E0FF8" w14:textId="77777777" w:rsidR="00507DEC" w:rsidRPr="00C151B9" w:rsidRDefault="00276964">
      <w:pPr>
        <w:spacing w:after="0" w:line="360" w:lineRule="auto"/>
        <w:rPr>
          <w:color w:val="000000"/>
        </w:rPr>
      </w:pPr>
      <w:r w:rsidRPr="00C151B9">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47D7671F" w14:textId="77777777" w:rsidR="00507DEC" w:rsidRPr="00C151B9" w:rsidRDefault="00507DEC">
      <w:pPr>
        <w:spacing w:after="0" w:line="360" w:lineRule="auto"/>
        <w:rPr>
          <w:color w:val="000000"/>
        </w:rPr>
      </w:pPr>
    </w:p>
    <w:p w14:paraId="2D9BFBC9" w14:textId="77777777" w:rsidR="00507DEC" w:rsidRPr="00C151B9" w:rsidRDefault="00276964">
      <w:pPr>
        <w:spacing w:after="0" w:line="360" w:lineRule="auto"/>
        <w:rPr>
          <w:color w:val="000000"/>
        </w:rPr>
      </w:pPr>
      <w:r w:rsidRPr="00C151B9">
        <w:rPr>
          <w:color w:val="000000"/>
        </w:rPr>
        <w:t xml:space="preserve">Dada la complejidad de la información cuando involucra datos personales, pudiera pensarse que se trata de dos derechos en colisión; por un lado, la garantía individual de conocer sobre el </w:t>
      </w:r>
      <w:r w:rsidRPr="00C151B9">
        <w:rPr>
          <w:color w:val="000000"/>
        </w:rPr>
        <w:lastRenderedPageBreak/>
        <w:t xml:space="preserve">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proofErr w:type="spellStart"/>
      <w:r w:rsidRPr="00C151B9">
        <w:t>aún</w:t>
      </w:r>
      <w:proofErr w:type="spellEnd"/>
      <w:r w:rsidRPr="00C151B9">
        <w:rPr>
          <w:color w:val="000000"/>
        </w:rPr>
        <w:t xml:space="preserve"> tratándose de información personal.</w:t>
      </w:r>
    </w:p>
    <w:p w14:paraId="54171A98" w14:textId="77777777" w:rsidR="00507DEC" w:rsidRPr="00C151B9" w:rsidRDefault="00507DEC">
      <w:pPr>
        <w:spacing w:after="0" w:line="360" w:lineRule="auto"/>
        <w:rPr>
          <w:color w:val="000000"/>
        </w:rPr>
      </w:pPr>
    </w:p>
    <w:p w14:paraId="15642B7D" w14:textId="77777777" w:rsidR="00507DEC" w:rsidRPr="00C151B9" w:rsidRDefault="00276964">
      <w:pPr>
        <w:spacing w:after="0" w:line="360" w:lineRule="auto"/>
        <w:rPr>
          <w:color w:val="000000"/>
        </w:rPr>
      </w:pPr>
      <w:r w:rsidRPr="00C151B9">
        <w:rPr>
          <w:color w:val="000000"/>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3EE50DF6" w14:textId="77777777" w:rsidR="00507DEC" w:rsidRPr="00C151B9" w:rsidRDefault="00507DEC">
      <w:pPr>
        <w:spacing w:after="0" w:line="360" w:lineRule="auto"/>
        <w:rPr>
          <w:color w:val="000000"/>
        </w:rPr>
      </w:pPr>
    </w:p>
    <w:p w14:paraId="74556F01" w14:textId="77777777" w:rsidR="00507DEC" w:rsidRPr="00C151B9" w:rsidRDefault="00276964">
      <w:pPr>
        <w:spacing w:after="0" w:line="360" w:lineRule="auto"/>
        <w:rPr>
          <w:color w:val="000000"/>
        </w:rPr>
      </w:pPr>
      <w:r w:rsidRPr="00C151B9">
        <w:rPr>
          <w:color w:val="000000"/>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sidRPr="00C151B9">
        <w:rPr>
          <w:color w:val="000000"/>
          <w:u w:val="single"/>
        </w:rPr>
        <w:t>nombre de personas ajenas a las obras</w:t>
      </w:r>
      <w:r w:rsidRPr="00C151B9">
        <w:rPr>
          <w:color w:val="000000"/>
        </w:rPr>
        <w:t>, los cuales  actualizan la causal de clasificación establecida en el artículo 143, fracción I, de la Ley de Transparencia y Acceso a la Información Pública del Estado de México y Municipios.</w:t>
      </w:r>
    </w:p>
    <w:p w14:paraId="0C907500" w14:textId="77777777" w:rsidR="00507DEC" w:rsidRPr="00C151B9" w:rsidRDefault="00507DEC">
      <w:pPr>
        <w:spacing w:after="0" w:line="360" w:lineRule="auto"/>
        <w:rPr>
          <w:color w:val="000000"/>
        </w:rPr>
      </w:pPr>
    </w:p>
    <w:p w14:paraId="1CE52964" w14:textId="77777777" w:rsidR="00507DEC" w:rsidRPr="00C151B9" w:rsidRDefault="00276964">
      <w:pPr>
        <w:spacing w:after="0" w:line="360" w:lineRule="auto"/>
      </w:pPr>
      <w:bookmarkStart w:id="28" w:name="_heading=h.6lx6ey5z1qfe" w:colFirst="0" w:colLast="0"/>
      <w:bookmarkEnd w:id="28"/>
      <w:r w:rsidRPr="00C151B9">
        <w:rPr>
          <w:color w:val="000000"/>
        </w:rPr>
        <w:t xml:space="preserve">Además, el Sujeto Obligado deberá seguir el procedimiento establecido en el artículo 168 de dicho ordenamiento jurídico; esto es, que el área competente deberá elaborar la versión pública </w:t>
      </w:r>
      <w:r w:rsidRPr="00C151B9">
        <w:rPr>
          <w:color w:val="000000"/>
        </w:rPr>
        <w:lastRenderedPageBreak/>
        <w:t>en los términos planteados en la presente Resolución, así como emitir el Acuerdo, por parte del Comité de Transparencia, donde confirme la clasificación de los datos previamente señalados, fundando y motivando la clasificación.</w:t>
      </w:r>
    </w:p>
    <w:p w14:paraId="11FD2693" w14:textId="77777777" w:rsidR="008356B1" w:rsidRPr="00C151B9" w:rsidRDefault="008356B1">
      <w:pPr>
        <w:pStyle w:val="Ttulo2"/>
        <w:spacing w:before="0" w:after="0"/>
      </w:pPr>
      <w:bookmarkStart w:id="29" w:name="_heading=h.4kr10gvpipbu" w:colFirst="0" w:colLast="0"/>
      <w:bookmarkEnd w:id="29"/>
    </w:p>
    <w:p w14:paraId="1E719122" w14:textId="2FF98201" w:rsidR="00507DEC" w:rsidRPr="00C151B9" w:rsidRDefault="00276964">
      <w:pPr>
        <w:pStyle w:val="Ttulo2"/>
        <w:spacing w:before="0" w:after="0"/>
        <w:rPr>
          <w:b w:val="0"/>
        </w:rPr>
      </w:pPr>
      <w:bookmarkStart w:id="30" w:name="_Toc196403025"/>
      <w:r w:rsidRPr="00C151B9">
        <w:t>SEXTO. Decisión</w:t>
      </w:r>
      <w:bookmarkEnd w:id="30"/>
    </w:p>
    <w:p w14:paraId="05D99AD9" w14:textId="77777777" w:rsidR="00507DEC" w:rsidRPr="00C151B9" w:rsidRDefault="00507DEC">
      <w:pPr>
        <w:spacing w:after="0" w:line="360" w:lineRule="auto"/>
        <w:rPr>
          <w:b/>
        </w:rPr>
      </w:pPr>
    </w:p>
    <w:p w14:paraId="081633FA" w14:textId="77777777" w:rsidR="00507DEC" w:rsidRPr="00C151B9" w:rsidRDefault="00276964">
      <w:pPr>
        <w:spacing w:after="0" w:line="360" w:lineRule="auto"/>
      </w:pPr>
      <w:r w:rsidRPr="00C151B9">
        <w:t xml:space="preserve">Con fundamento en el artículo 186, fracción III, de la Ley de Transparencia y Acceso a la Información Pública del Estado de México y Municipios, este Instituto considera procedente </w:t>
      </w:r>
      <w:r w:rsidRPr="00C151B9">
        <w:rPr>
          <w:b/>
        </w:rPr>
        <w:t>MODIFICAR</w:t>
      </w:r>
      <w:r w:rsidRPr="00C151B9">
        <w:t xml:space="preserve"> la respuesta otorgada por el Sujeto Obligado a la solicitud de información </w:t>
      </w:r>
      <w:r w:rsidRPr="00C151B9">
        <w:rPr>
          <w:b/>
        </w:rPr>
        <w:t>00039/UAEM/IP/2025</w:t>
      </w:r>
      <w:r w:rsidRPr="00C151B9">
        <w:t xml:space="preserve">, por resultar fundadas las razones o motivos de inconformidad hechos valer por la parte Recurrente, en el Recurso de Revisión </w:t>
      </w:r>
      <w:r w:rsidRPr="00C151B9">
        <w:rPr>
          <w:b/>
        </w:rPr>
        <w:t xml:space="preserve"> 01956/INFOEM/IP/RR/2025</w:t>
      </w:r>
      <w:r w:rsidRPr="00C151B9">
        <w:t xml:space="preserve">, en consecuencia procede </w:t>
      </w:r>
      <w:r w:rsidRPr="00C151B9">
        <w:rPr>
          <w:b/>
        </w:rPr>
        <w:t xml:space="preserve">ORDENAR, </w:t>
      </w:r>
      <w:r w:rsidRPr="00C151B9">
        <w:t>la entrega de la información faltante en los términos antes expuestos.</w:t>
      </w:r>
    </w:p>
    <w:p w14:paraId="56D4B9B0" w14:textId="77777777" w:rsidR="00507DEC" w:rsidRPr="00C151B9" w:rsidRDefault="00507DEC">
      <w:pPr>
        <w:spacing w:after="0" w:line="360" w:lineRule="auto"/>
      </w:pPr>
    </w:p>
    <w:p w14:paraId="39E473CC" w14:textId="77777777" w:rsidR="00507DEC" w:rsidRPr="00C151B9" w:rsidRDefault="00276964">
      <w:pPr>
        <w:spacing w:after="0" w:line="360" w:lineRule="auto"/>
        <w:rPr>
          <w:b/>
          <w:u w:val="single"/>
        </w:rPr>
      </w:pPr>
      <w:r w:rsidRPr="00C151B9">
        <w:rPr>
          <w:b/>
          <w:u w:val="single"/>
        </w:rPr>
        <w:t>Términos de la Resolución para la parte Recurrente:</w:t>
      </w:r>
    </w:p>
    <w:p w14:paraId="0C3B314E" w14:textId="77777777" w:rsidR="00507DEC" w:rsidRPr="00C151B9" w:rsidRDefault="00507DEC">
      <w:pPr>
        <w:spacing w:after="0" w:line="360" w:lineRule="auto"/>
      </w:pPr>
    </w:p>
    <w:p w14:paraId="55DF28CB" w14:textId="77777777" w:rsidR="00507DEC" w:rsidRPr="00C151B9" w:rsidRDefault="00276964">
      <w:pPr>
        <w:spacing w:after="0" w:line="360" w:lineRule="auto"/>
        <w:rPr>
          <w:u w:val="single"/>
        </w:rPr>
      </w:pPr>
      <w:r w:rsidRPr="00C151B9">
        <w:rPr>
          <w:u w:val="single"/>
        </w:rPr>
        <w:t>Se hace del conocimiento de la parte Recurrente que este Organismo Garante determinó concederle la razón, puesto que el Sujeto Obligado no entregó la totalidad de la información solicitada, dado que no entregó la información correspondiente del 1° al 22 de enero del año en curso; por lo que ordena la entrega de la documentación.</w:t>
      </w:r>
    </w:p>
    <w:p w14:paraId="6D2CDB12" w14:textId="77777777" w:rsidR="00507DEC" w:rsidRPr="00C151B9" w:rsidRDefault="00507DEC">
      <w:pPr>
        <w:spacing w:after="0" w:line="360" w:lineRule="auto"/>
        <w:rPr>
          <w:u w:val="single"/>
        </w:rPr>
      </w:pPr>
    </w:p>
    <w:p w14:paraId="6CDD2DE2" w14:textId="77777777" w:rsidR="00507DEC" w:rsidRPr="00C151B9" w:rsidRDefault="00276964">
      <w:pPr>
        <w:spacing w:after="0" w:line="360" w:lineRule="auto"/>
        <w:rPr>
          <w:u w:val="single"/>
        </w:rPr>
      </w:pPr>
      <w:r w:rsidRPr="00C151B9">
        <w:rPr>
          <w:u w:val="single"/>
        </w:rPr>
        <w:t>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w:t>
      </w:r>
    </w:p>
    <w:p w14:paraId="7C362A1D" w14:textId="77777777" w:rsidR="00507DEC" w:rsidRPr="00C151B9" w:rsidRDefault="00507DEC">
      <w:pPr>
        <w:spacing w:after="0" w:line="360" w:lineRule="auto"/>
        <w:rPr>
          <w:u w:val="single"/>
        </w:rPr>
      </w:pPr>
    </w:p>
    <w:p w14:paraId="44FA93D8" w14:textId="77777777" w:rsidR="00507DEC" w:rsidRPr="00C151B9" w:rsidRDefault="00276964">
      <w:pPr>
        <w:spacing w:after="0" w:line="360" w:lineRule="auto"/>
        <w:rPr>
          <w:u w:val="single"/>
        </w:rPr>
      </w:pPr>
      <w:r w:rsidRPr="00C151B9">
        <w:rPr>
          <w:u w:val="single"/>
        </w:rPr>
        <w:lastRenderedPageBreak/>
        <w:t>La labor del INFOEM, es apoyar a la población para acceder a la información pública y garantizar la protección de sus datos personales.</w:t>
      </w:r>
    </w:p>
    <w:p w14:paraId="5C06A24E" w14:textId="77777777" w:rsidR="00507DEC" w:rsidRPr="00C151B9" w:rsidRDefault="00276964">
      <w:pPr>
        <w:pStyle w:val="Ttulo1"/>
        <w:spacing w:before="0" w:after="0"/>
        <w:rPr>
          <w:b w:val="0"/>
          <w:sz w:val="22"/>
          <w:szCs w:val="22"/>
        </w:rPr>
      </w:pPr>
      <w:bookmarkStart w:id="31" w:name="_heading=h.hcaoca7t2pyr" w:colFirst="0" w:colLast="0"/>
      <w:bookmarkStart w:id="32" w:name="_Toc196403026"/>
      <w:bookmarkEnd w:id="31"/>
      <w:r w:rsidRPr="00C151B9">
        <w:rPr>
          <w:sz w:val="22"/>
          <w:szCs w:val="22"/>
        </w:rPr>
        <w:t>R E S U E L V E</w:t>
      </w:r>
      <w:bookmarkEnd w:id="32"/>
    </w:p>
    <w:p w14:paraId="058D6634" w14:textId="77777777" w:rsidR="00507DEC" w:rsidRPr="00C151B9" w:rsidRDefault="00507DEC">
      <w:pPr>
        <w:spacing w:after="0" w:line="360" w:lineRule="auto"/>
        <w:rPr>
          <w:b/>
        </w:rPr>
      </w:pPr>
    </w:p>
    <w:p w14:paraId="1C968088" w14:textId="77777777" w:rsidR="00507DEC" w:rsidRPr="00C151B9" w:rsidRDefault="00276964">
      <w:pPr>
        <w:spacing w:after="0" w:line="360" w:lineRule="auto"/>
      </w:pPr>
      <w:r w:rsidRPr="00C151B9">
        <w:rPr>
          <w:b/>
        </w:rPr>
        <w:t xml:space="preserve">PRIMERO. </w:t>
      </w:r>
      <w:r w:rsidRPr="00C151B9">
        <w:t xml:space="preserve">Se </w:t>
      </w:r>
      <w:r w:rsidRPr="00C151B9">
        <w:rPr>
          <w:b/>
        </w:rPr>
        <w:t>MODIFICA</w:t>
      </w:r>
      <w:r w:rsidRPr="00C151B9">
        <w:t xml:space="preserve"> la respuesta entregada por el </w:t>
      </w:r>
      <w:r w:rsidRPr="00C151B9">
        <w:rPr>
          <w:b/>
        </w:rPr>
        <w:t>Universidad Autónoma del Estado de México</w:t>
      </w:r>
      <w:r w:rsidRPr="00C151B9">
        <w:t xml:space="preserve"> a la solicitud de información </w:t>
      </w:r>
      <w:r w:rsidRPr="00C151B9">
        <w:rPr>
          <w:b/>
        </w:rPr>
        <w:t xml:space="preserve">00039/UAEM/IP/2025 </w:t>
      </w:r>
      <w:r w:rsidRPr="00C151B9">
        <w:t xml:space="preserve">por resultar fundadas las razones o motivos de inconformidad hechos valer por la Recurrente en el Recurso de Revisión </w:t>
      </w:r>
      <w:r w:rsidRPr="00C151B9">
        <w:rPr>
          <w:b/>
          <w:color w:val="0D0D0D"/>
        </w:rPr>
        <w:t>01956/INFOEM/IP/RR/2025</w:t>
      </w:r>
      <w:r w:rsidRPr="00C151B9">
        <w:t>, en términos de los considerandos QUINTO y SEXTO de la presente Resolución.</w:t>
      </w:r>
    </w:p>
    <w:p w14:paraId="54CD9841" w14:textId="77777777" w:rsidR="00507DEC" w:rsidRPr="00C151B9" w:rsidRDefault="00507DEC">
      <w:pPr>
        <w:spacing w:after="0" w:line="360" w:lineRule="auto"/>
      </w:pPr>
    </w:p>
    <w:p w14:paraId="6E56CDF4" w14:textId="77777777" w:rsidR="00507DEC" w:rsidRPr="00C151B9" w:rsidRDefault="00276964">
      <w:pPr>
        <w:spacing w:after="0" w:line="360" w:lineRule="auto"/>
      </w:pPr>
      <w:r w:rsidRPr="00C151B9">
        <w:rPr>
          <w:b/>
        </w:rPr>
        <w:t xml:space="preserve">SEGUNDO. </w:t>
      </w:r>
      <w:r w:rsidRPr="00C151B9">
        <w:t xml:space="preserve">Se </w:t>
      </w:r>
      <w:r w:rsidRPr="00C151B9">
        <w:rPr>
          <w:b/>
        </w:rPr>
        <w:t>ORDENA</w:t>
      </w:r>
      <w:r w:rsidRPr="00C151B9">
        <w:t xml:space="preserve"> al Sujeto Obligado, a efecto de entregue, </w:t>
      </w:r>
      <w:r w:rsidRPr="00C151B9">
        <w:rPr>
          <w:color w:val="0D0D0D"/>
        </w:rPr>
        <w:t xml:space="preserve">previa </w:t>
      </w:r>
      <w:r w:rsidRPr="00C151B9">
        <w:rPr>
          <w:color w:val="000000"/>
        </w:rPr>
        <w:t xml:space="preserve">búsqueda exhaustiva y razonable, </w:t>
      </w:r>
      <w:r w:rsidRPr="00C151B9">
        <w:t xml:space="preserve">a través del SAIMEX, en su caso, en versión pública, los documentos que den cuenta </w:t>
      </w:r>
      <w:r w:rsidRPr="00C151B9">
        <w:rPr>
          <w:b/>
        </w:rPr>
        <w:t>de los trabajos terminales de grado de quienes hayan obtenido la Especialidad en Género, Violencia y Políticas Públicas, de las últimas tres generaciones en el periodo del 1° al 22 de enero del año 2025.</w:t>
      </w:r>
    </w:p>
    <w:p w14:paraId="1327E967" w14:textId="77777777" w:rsidR="00507DEC" w:rsidRPr="00C151B9" w:rsidRDefault="00507DEC">
      <w:pPr>
        <w:spacing w:after="0" w:line="360" w:lineRule="auto"/>
      </w:pPr>
    </w:p>
    <w:p w14:paraId="7D31CD49" w14:textId="77777777" w:rsidR="00507DEC" w:rsidRPr="00C151B9" w:rsidRDefault="00276964">
      <w:pPr>
        <w:spacing w:after="0" w:line="360" w:lineRule="auto"/>
      </w:pPr>
      <w:r w:rsidRPr="00C151B9">
        <w:t xml:space="preserve">Para la entrega de la información, se deberá proporcionar el Acuerdo de Clasificación donde el Comité de Transparencia, confirme la eliminación de los datos confidenciales, de conformidad con los artículos 49, fracciones II y VIII, 132, fracción II, 143, fracción I y 149 de la Ley de Transparencia y Acceso a la Información Pública del Estado de México y Municipios. </w:t>
      </w:r>
    </w:p>
    <w:p w14:paraId="7A9D648C" w14:textId="77777777" w:rsidR="00507DEC" w:rsidRPr="00C151B9" w:rsidRDefault="00507DEC">
      <w:pPr>
        <w:spacing w:after="0" w:line="360" w:lineRule="auto"/>
      </w:pPr>
    </w:p>
    <w:p w14:paraId="032758F5" w14:textId="77777777" w:rsidR="00507DEC" w:rsidRPr="00C151B9" w:rsidRDefault="00276964">
      <w:pPr>
        <w:spacing w:after="0" w:line="360" w:lineRule="auto"/>
      </w:pPr>
      <w:r w:rsidRPr="00C151B9">
        <w:t xml:space="preserve">En caso de que, en la temporalidad que se ordena no cuente con ningún trabajo terminal, porque en el periodo ordenado, ninguna persona obtuvo la especialidad, deberá hacerlo el conocimiento de la parte Recurrente de manera precisa y clara. </w:t>
      </w:r>
    </w:p>
    <w:p w14:paraId="178C597E" w14:textId="77777777" w:rsidR="00507DEC" w:rsidRPr="00C151B9" w:rsidRDefault="00507DEC">
      <w:pPr>
        <w:spacing w:after="0" w:line="360" w:lineRule="auto"/>
      </w:pPr>
    </w:p>
    <w:p w14:paraId="7E51E9E0" w14:textId="77777777" w:rsidR="00507DEC" w:rsidRPr="00C151B9" w:rsidRDefault="00276964">
      <w:pPr>
        <w:spacing w:after="0" w:line="360" w:lineRule="auto"/>
      </w:pPr>
      <w:r w:rsidRPr="00C151B9">
        <w:rPr>
          <w:b/>
        </w:rPr>
        <w:lastRenderedPageBreak/>
        <w:t xml:space="preserve">TERCERO. NOTIFÍQUESE POR SAIMEX </w:t>
      </w:r>
      <w:r w:rsidRPr="00C151B9">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27862293" w14:textId="77777777" w:rsidR="00507DEC" w:rsidRPr="00C151B9" w:rsidRDefault="00507DEC">
      <w:pPr>
        <w:spacing w:after="0" w:line="360" w:lineRule="auto"/>
      </w:pPr>
    </w:p>
    <w:p w14:paraId="5FE91FF7" w14:textId="62CA0C78" w:rsidR="00507DEC" w:rsidRPr="00C151B9" w:rsidRDefault="00276964">
      <w:pPr>
        <w:spacing w:after="0" w:line="360" w:lineRule="auto"/>
      </w:pPr>
      <w:r w:rsidRPr="00C151B9">
        <w:t xml:space="preserve">De conformidad con el artículo 198 de la Ley </w:t>
      </w:r>
      <w:r w:rsidR="00811C04" w:rsidRPr="00C151B9">
        <w:t>de la materia</w:t>
      </w:r>
      <w:r w:rsidRPr="00C151B9">
        <w:t>, de considerarlo procedente, el Sujeto Obligado de manera fundada y motivada, podrá solicitar una ampliación de plazo para el cumplimiento de la presente resolución.</w:t>
      </w:r>
    </w:p>
    <w:p w14:paraId="0D7C3A46" w14:textId="77777777" w:rsidR="00507DEC" w:rsidRPr="00C151B9" w:rsidRDefault="00507DEC">
      <w:pPr>
        <w:spacing w:after="0" w:line="360" w:lineRule="auto"/>
        <w:rPr>
          <w:color w:val="000000"/>
        </w:rPr>
      </w:pPr>
    </w:p>
    <w:p w14:paraId="71D44659" w14:textId="77777777" w:rsidR="00507DEC" w:rsidRPr="00C151B9" w:rsidRDefault="00276964">
      <w:pPr>
        <w:spacing w:after="0" w:line="360" w:lineRule="auto"/>
      </w:pPr>
      <w:r w:rsidRPr="00C151B9">
        <w:rPr>
          <w:b/>
        </w:rPr>
        <w:t>CUARTO. NOTIFÍQUESE</w:t>
      </w:r>
      <w:r w:rsidRPr="00C151B9">
        <w:t xml:space="preserve"> </w:t>
      </w:r>
      <w:r w:rsidRPr="00C151B9">
        <w:rPr>
          <w:b/>
        </w:rPr>
        <w:t xml:space="preserve">POR SAIMEX </w:t>
      </w:r>
      <w:r w:rsidRPr="00C151B9">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79BCA00" w14:textId="77777777" w:rsidR="00507DEC" w:rsidRPr="00C151B9" w:rsidRDefault="00507DEC">
      <w:pPr>
        <w:spacing w:after="0" w:line="360" w:lineRule="auto"/>
      </w:pPr>
    </w:p>
    <w:p w14:paraId="2EA16401" w14:textId="056C39B3" w:rsidR="00507DEC" w:rsidRDefault="00276964">
      <w:pPr>
        <w:spacing w:after="0" w:line="360" w:lineRule="auto"/>
      </w:pPr>
      <w:r w:rsidRPr="00C151B9">
        <w:t xml:space="preserve">ASÍ LO RESUELVE, POR </w:t>
      </w:r>
      <w:r w:rsidRPr="00C151B9">
        <w:rPr>
          <w:b/>
        </w:rPr>
        <w:t>UNANIMIDAD</w:t>
      </w:r>
      <w:r w:rsidRPr="00C151B9">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w:t>
      </w:r>
      <w:r w:rsidR="00EA04A7">
        <w:t>ÓN ORDINARIA, CELEBRADA EL VEINTITRÉS</w:t>
      </w:r>
      <w:r w:rsidRPr="00C151B9">
        <w:t xml:space="preserve"> DE ABRIL DE DOS MIL VEINTICINCO, ANTE EL SECRETARIO TÉCNICO DEL PLENO, ALEXIS TAPIA RAMÍREZ.</w:t>
      </w:r>
    </w:p>
    <w:p w14:paraId="0086338A" w14:textId="77777777" w:rsidR="00507DEC" w:rsidRDefault="00507DEC">
      <w:pPr>
        <w:pStyle w:val="Ttulo2"/>
        <w:spacing w:before="0" w:after="0"/>
        <w:rPr>
          <w:b w:val="0"/>
        </w:rPr>
      </w:pPr>
    </w:p>
    <w:p w14:paraId="3773D8F3" w14:textId="77777777" w:rsidR="00507DEC" w:rsidRDefault="00507DEC">
      <w:pPr>
        <w:spacing w:after="0" w:line="360" w:lineRule="auto"/>
      </w:pPr>
    </w:p>
    <w:p w14:paraId="7256B55F" w14:textId="77777777" w:rsidR="00507DEC" w:rsidRDefault="00507DEC">
      <w:pPr>
        <w:spacing w:after="0" w:line="360" w:lineRule="auto"/>
      </w:pPr>
    </w:p>
    <w:p w14:paraId="0378F3AD" w14:textId="77777777" w:rsidR="00507DEC" w:rsidRDefault="00507DEC">
      <w:pPr>
        <w:spacing w:after="0" w:line="360" w:lineRule="auto"/>
      </w:pPr>
    </w:p>
    <w:p w14:paraId="5228F88E" w14:textId="77777777" w:rsidR="00507DEC" w:rsidRDefault="00507DEC">
      <w:pPr>
        <w:spacing w:after="0" w:line="360" w:lineRule="auto"/>
      </w:pPr>
    </w:p>
    <w:p w14:paraId="08D44F15" w14:textId="77777777" w:rsidR="00507DEC" w:rsidRDefault="00507DEC">
      <w:pPr>
        <w:spacing w:after="0" w:line="360" w:lineRule="auto"/>
      </w:pPr>
    </w:p>
    <w:p w14:paraId="53EA96E5" w14:textId="77777777" w:rsidR="00507DEC" w:rsidRDefault="00507DEC">
      <w:pPr>
        <w:spacing w:after="0" w:line="360" w:lineRule="auto"/>
      </w:pPr>
    </w:p>
    <w:p w14:paraId="69ABA6DB" w14:textId="77777777" w:rsidR="00507DEC" w:rsidRDefault="00507DEC">
      <w:pPr>
        <w:spacing w:after="0" w:line="360" w:lineRule="auto"/>
      </w:pPr>
    </w:p>
    <w:p w14:paraId="792D0D53" w14:textId="77777777" w:rsidR="00507DEC" w:rsidRDefault="00507DEC">
      <w:pPr>
        <w:spacing w:after="0" w:line="360" w:lineRule="auto"/>
      </w:pPr>
    </w:p>
    <w:p w14:paraId="50652D53" w14:textId="77777777" w:rsidR="00507DEC" w:rsidRDefault="00507DEC">
      <w:pPr>
        <w:spacing w:after="0" w:line="360" w:lineRule="auto"/>
      </w:pPr>
    </w:p>
    <w:p w14:paraId="5488B2E0" w14:textId="77777777" w:rsidR="00507DEC" w:rsidRDefault="00507DEC">
      <w:pPr>
        <w:spacing w:after="0" w:line="360" w:lineRule="auto"/>
      </w:pPr>
    </w:p>
    <w:p w14:paraId="1B432088" w14:textId="77777777" w:rsidR="00507DEC" w:rsidRDefault="00507DEC">
      <w:pPr>
        <w:spacing w:after="0" w:line="360" w:lineRule="auto"/>
      </w:pPr>
    </w:p>
    <w:p w14:paraId="7943BD1F" w14:textId="77777777" w:rsidR="00507DEC" w:rsidRDefault="00507DEC">
      <w:pPr>
        <w:spacing w:after="0" w:line="360" w:lineRule="auto"/>
      </w:pPr>
    </w:p>
    <w:p w14:paraId="36BB458C" w14:textId="77777777" w:rsidR="00507DEC" w:rsidRDefault="00507DEC">
      <w:pPr>
        <w:spacing w:after="0" w:line="360" w:lineRule="auto"/>
      </w:pPr>
    </w:p>
    <w:p w14:paraId="4967EC4B" w14:textId="77777777" w:rsidR="00507DEC" w:rsidRDefault="00507DEC">
      <w:pPr>
        <w:spacing w:after="0" w:line="360" w:lineRule="auto"/>
      </w:pPr>
    </w:p>
    <w:p w14:paraId="32E0CA52" w14:textId="77777777" w:rsidR="00507DEC" w:rsidRDefault="00507DEC">
      <w:pPr>
        <w:spacing w:after="0" w:line="360" w:lineRule="auto"/>
      </w:pPr>
    </w:p>
    <w:p w14:paraId="74BE73CB" w14:textId="77777777" w:rsidR="00507DEC" w:rsidRDefault="00507DEC">
      <w:pPr>
        <w:spacing w:after="0" w:line="360" w:lineRule="auto"/>
      </w:pPr>
    </w:p>
    <w:p w14:paraId="496D21F0" w14:textId="77777777" w:rsidR="00507DEC" w:rsidRDefault="00507DEC">
      <w:pPr>
        <w:spacing w:after="0" w:line="360" w:lineRule="auto"/>
      </w:pPr>
    </w:p>
    <w:p w14:paraId="7ABBE34E" w14:textId="77777777" w:rsidR="00507DEC" w:rsidRDefault="00507DEC">
      <w:pPr>
        <w:spacing w:after="0" w:line="360" w:lineRule="auto"/>
      </w:pPr>
    </w:p>
    <w:sectPr w:rsidR="00507DEC">
      <w:headerReference w:type="even" r:id="rId20"/>
      <w:headerReference w:type="default" r:id="rId21"/>
      <w:footerReference w:type="even" r:id="rId22"/>
      <w:footerReference w:type="default" r:id="rId23"/>
      <w:headerReference w:type="first" r:id="rId24"/>
      <w:footerReference w:type="first" r:id="rId25"/>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F85EA" w14:textId="77777777" w:rsidR="00E043D2" w:rsidRDefault="00E043D2">
      <w:pPr>
        <w:spacing w:after="0" w:line="240" w:lineRule="auto"/>
      </w:pPr>
      <w:r>
        <w:separator/>
      </w:r>
    </w:p>
  </w:endnote>
  <w:endnote w:type="continuationSeparator" w:id="0">
    <w:p w14:paraId="57A2EFEC" w14:textId="77777777" w:rsidR="00E043D2" w:rsidRDefault="00E0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D52D" w14:textId="77777777" w:rsidR="00507DEC" w:rsidRDefault="0027696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43164">
      <w:rPr>
        <w:b/>
        <w:noProof/>
        <w:color w:val="000000"/>
        <w:sz w:val="24"/>
        <w:szCs w:val="24"/>
      </w:rPr>
      <w:t>27</w:t>
    </w:r>
    <w:r>
      <w:rPr>
        <w:b/>
        <w:color w:val="000000"/>
        <w:sz w:val="24"/>
        <w:szCs w:val="24"/>
      </w:rPr>
      <w:fldChar w:fldCharType="end"/>
    </w:r>
  </w:p>
  <w:p w14:paraId="7D58E421" w14:textId="77777777" w:rsidR="00507DEC" w:rsidRDefault="00507DE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E685C" w14:textId="77777777" w:rsidR="00507DEC" w:rsidRDefault="0027696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12FB4">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12FB4">
      <w:rPr>
        <w:b/>
        <w:noProof/>
        <w:color w:val="000000"/>
        <w:sz w:val="24"/>
        <w:szCs w:val="24"/>
      </w:rPr>
      <w:t>27</w:t>
    </w:r>
    <w:r>
      <w:rPr>
        <w:b/>
        <w:color w:val="000000"/>
        <w:sz w:val="24"/>
        <w:szCs w:val="24"/>
      </w:rPr>
      <w:fldChar w:fldCharType="end"/>
    </w:r>
  </w:p>
  <w:p w14:paraId="4F66706E" w14:textId="77777777" w:rsidR="00507DEC" w:rsidRDefault="00507DE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735BE" w14:textId="77777777" w:rsidR="00507DEC" w:rsidRDefault="0027696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12FB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12FB4">
      <w:rPr>
        <w:b/>
        <w:noProof/>
        <w:color w:val="000000"/>
        <w:sz w:val="24"/>
        <w:szCs w:val="24"/>
      </w:rPr>
      <w:t>27</w:t>
    </w:r>
    <w:r>
      <w:rPr>
        <w:b/>
        <w:color w:val="000000"/>
        <w:sz w:val="24"/>
        <w:szCs w:val="24"/>
      </w:rPr>
      <w:fldChar w:fldCharType="end"/>
    </w:r>
  </w:p>
  <w:p w14:paraId="17B5B608" w14:textId="77777777" w:rsidR="00507DEC" w:rsidRDefault="00507DE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22884" w14:textId="77777777" w:rsidR="00E043D2" w:rsidRDefault="00E043D2">
      <w:pPr>
        <w:spacing w:after="0" w:line="240" w:lineRule="auto"/>
      </w:pPr>
      <w:r>
        <w:separator/>
      </w:r>
    </w:p>
  </w:footnote>
  <w:footnote w:type="continuationSeparator" w:id="0">
    <w:p w14:paraId="3C3D5C5C" w14:textId="77777777" w:rsidR="00E043D2" w:rsidRDefault="00E04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0CDD4" w14:textId="77777777" w:rsidR="00507DEC" w:rsidRDefault="00507DEC">
    <w:pPr>
      <w:widowControl w:val="0"/>
      <w:pBdr>
        <w:top w:val="nil"/>
        <w:left w:val="nil"/>
        <w:bottom w:val="nil"/>
        <w:right w:val="nil"/>
        <w:between w:val="nil"/>
      </w:pBdr>
      <w:spacing w:after="0" w:line="276" w:lineRule="auto"/>
      <w:jc w:val="left"/>
      <w:rPr>
        <w:color w:val="000000"/>
      </w:rPr>
    </w:pPr>
  </w:p>
  <w:tbl>
    <w:tblPr>
      <w:tblStyle w:val="aff8"/>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507DEC" w14:paraId="466A6EA8" w14:textId="77777777">
      <w:trPr>
        <w:trHeight w:val="141"/>
      </w:trPr>
      <w:tc>
        <w:tcPr>
          <w:tcW w:w="2404" w:type="dxa"/>
        </w:tcPr>
        <w:p w14:paraId="4F051ED3" w14:textId="77777777" w:rsidR="00507DEC" w:rsidRDefault="00276964">
          <w:pPr>
            <w:tabs>
              <w:tab w:val="right" w:pos="8838"/>
            </w:tabs>
            <w:ind w:right="-105"/>
            <w:rPr>
              <w:b/>
            </w:rPr>
          </w:pPr>
          <w:r>
            <w:rPr>
              <w:b/>
            </w:rPr>
            <w:t>Recurso de Revisión:</w:t>
          </w:r>
        </w:p>
      </w:tc>
      <w:tc>
        <w:tcPr>
          <w:tcW w:w="3587" w:type="dxa"/>
        </w:tcPr>
        <w:p w14:paraId="127C5235" w14:textId="77777777" w:rsidR="00507DEC" w:rsidRDefault="00276964">
          <w:pPr>
            <w:tabs>
              <w:tab w:val="right" w:pos="8838"/>
            </w:tabs>
            <w:ind w:left="-28" w:right="683"/>
          </w:pPr>
          <w:r>
            <w:t>04196/INFOEM/IP/RR/2020</w:t>
          </w:r>
        </w:p>
      </w:tc>
    </w:tr>
    <w:tr w:rsidR="00507DEC" w14:paraId="61982D0C" w14:textId="77777777">
      <w:trPr>
        <w:trHeight w:val="276"/>
      </w:trPr>
      <w:tc>
        <w:tcPr>
          <w:tcW w:w="2404" w:type="dxa"/>
        </w:tcPr>
        <w:p w14:paraId="7C23EDBB" w14:textId="77777777" w:rsidR="00507DEC" w:rsidRDefault="00276964">
          <w:pPr>
            <w:tabs>
              <w:tab w:val="right" w:pos="8838"/>
            </w:tabs>
            <w:ind w:right="-105"/>
            <w:rPr>
              <w:b/>
            </w:rPr>
          </w:pPr>
          <w:r>
            <w:rPr>
              <w:b/>
            </w:rPr>
            <w:t>Sujeto Obligado:</w:t>
          </w:r>
        </w:p>
      </w:tc>
      <w:tc>
        <w:tcPr>
          <w:tcW w:w="3587" w:type="dxa"/>
        </w:tcPr>
        <w:p w14:paraId="096422D0" w14:textId="77777777" w:rsidR="00507DEC" w:rsidRDefault="00276964">
          <w:pPr>
            <w:tabs>
              <w:tab w:val="right" w:pos="8838"/>
            </w:tabs>
            <w:ind w:right="116"/>
          </w:pPr>
          <w:r>
            <w:t>Ayuntamiento de Chapultepec</w:t>
          </w:r>
        </w:p>
      </w:tc>
    </w:tr>
    <w:tr w:rsidR="00507DEC" w14:paraId="1642085B" w14:textId="77777777">
      <w:trPr>
        <w:trHeight w:val="276"/>
      </w:trPr>
      <w:tc>
        <w:tcPr>
          <w:tcW w:w="2404" w:type="dxa"/>
        </w:tcPr>
        <w:p w14:paraId="26051B00" w14:textId="77777777" w:rsidR="00507DEC" w:rsidRDefault="00276964">
          <w:pPr>
            <w:tabs>
              <w:tab w:val="right" w:pos="8838"/>
            </w:tabs>
            <w:ind w:right="-105"/>
            <w:rPr>
              <w:b/>
            </w:rPr>
          </w:pPr>
          <w:r>
            <w:rPr>
              <w:b/>
            </w:rPr>
            <w:t>Comisionado Ponente:</w:t>
          </w:r>
        </w:p>
      </w:tc>
      <w:tc>
        <w:tcPr>
          <w:tcW w:w="3587" w:type="dxa"/>
        </w:tcPr>
        <w:p w14:paraId="2CE98939" w14:textId="77777777" w:rsidR="00507DEC" w:rsidRDefault="00276964">
          <w:pPr>
            <w:tabs>
              <w:tab w:val="right" w:pos="8838"/>
            </w:tabs>
            <w:ind w:right="-32"/>
          </w:pPr>
          <w:r>
            <w:t>Luis Gustavo Parra Noriega</w:t>
          </w:r>
        </w:p>
      </w:tc>
    </w:tr>
  </w:tbl>
  <w:p w14:paraId="7E474AD2" w14:textId="77777777" w:rsidR="00507DEC" w:rsidRDefault="00E043D2">
    <w:pPr>
      <w:pBdr>
        <w:top w:val="nil"/>
        <w:left w:val="nil"/>
        <w:bottom w:val="nil"/>
        <w:right w:val="nil"/>
        <w:between w:val="nil"/>
      </w:pBdr>
      <w:tabs>
        <w:tab w:val="center" w:pos="4419"/>
        <w:tab w:val="right" w:pos="8838"/>
      </w:tabs>
      <w:spacing w:after="0" w:line="240" w:lineRule="auto"/>
      <w:rPr>
        <w:color w:val="000000"/>
      </w:rPr>
    </w:pPr>
    <w:r>
      <w:rPr>
        <w:color w:val="000000"/>
      </w:rPr>
      <w:pict w14:anchorId="4353A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1AA" w14:textId="77777777" w:rsidR="00507DEC" w:rsidRDefault="00507DEC">
    <w:pPr>
      <w:rPr>
        <w:sz w:val="16"/>
        <w:szCs w:val="16"/>
      </w:rPr>
    </w:pPr>
  </w:p>
  <w:tbl>
    <w:tblPr>
      <w:tblStyle w:val="aff9"/>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507DEC" w14:paraId="4976F2E6" w14:textId="77777777">
      <w:trPr>
        <w:trHeight w:val="141"/>
      </w:trPr>
      <w:tc>
        <w:tcPr>
          <w:tcW w:w="2409" w:type="dxa"/>
        </w:tcPr>
        <w:p w14:paraId="0A409D46" w14:textId="77777777" w:rsidR="00507DEC" w:rsidRDefault="00276964">
          <w:pPr>
            <w:tabs>
              <w:tab w:val="right" w:pos="8838"/>
            </w:tabs>
            <w:ind w:left="-395" w:right="-105" w:firstLine="395"/>
            <w:rPr>
              <w:b/>
            </w:rPr>
          </w:pPr>
          <w:r>
            <w:rPr>
              <w:b/>
            </w:rPr>
            <w:t>Recurso de Revisión:</w:t>
          </w:r>
        </w:p>
      </w:tc>
      <w:tc>
        <w:tcPr>
          <w:tcW w:w="3686" w:type="dxa"/>
        </w:tcPr>
        <w:p w14:paraId="6BDE47D7" w14:textId="77777777" w:rsidR="00507DEC" w:rsidRDefault="00276964">
          <w:pPr>
            <w:tabs>
              <w:tab w:val="right" w:pos="8838"/>
            </w:tabs>
            <w:ind w:right="176"/>
            <w:rPr>
              <w:b/>
            </w:rPr>
          </w:pPr>
          <w:r>
            <w:rPr>
              <w:b/>
            </w:rPr>
            <w:t xml:space="preserve"> 01956/INFOEM/IP/RR/2025</w:t>
          </w:r>
        </w:p>
      </w:tc>
    </w:tr>
    <w:tr w:rsidR="00507DEC" w14:paraId="5BEA67E3" w14:textId="77777777">
      <w:trPr>
        <w:trHeight w:val="276"/>
      </w:trPr>
      <w:tc>
        <w:tcPr>
          <w:tcW w:w="2409" w:type="dxa"/>
        </w:tcPr>
        <w:p w14:paraId="73513BB1" w14:textId="77777777" w:rsidR="00507DEC" w:rsidRDefault="00276964">
          <w:pPr>
            <w:tabs>
              <w:tab w:val="right" w:pos="8838"/>
            </w:tabs>
            <w:ind w:right="-105"/>
            <w:rPr>
              <w:b/>
            </w:rPr>
          </w:pPr>
          <w:r>
            <w:rPr>
              <w:b/>
            </w:rPr>
            <w:t>Sujeto Obligado:</w:t>
          </w:r>
        </w:p>
      </w:tc>
      <w:tc>
        <w:tcPr>
          <w:tcW w:w="3686" w:type="dxa"/>
        </w:tcPr>
        <w:p w14:paraId="0E6BE2D9" w14:textId="77777777" w:rsidR="00507DEC" w:rsidRDefault="00276964">
          <w:pPr>
            <w:tabs>
              <w:tab w:val="left" w:pos="3158"/>
              <w:tab w:val="left" w:pos="4292"/>
              <w:tab w:val="right" w:pos="8838"/>
            </w:tabs>
            <w:ind w:right="176"/>
          </w:pPr>
          <w:r>
            <w:t>Universidad Autónoma del Estado de México</w:t>
          </w:r>
        </w:p>
      </w:tc>
    </w:tr>
    <w:tr w:rsidR="00507DEC" w14:paraId="40119478" w14:textId="77777777">
      <w:trPr>
        <w:trHeight w:val="276"/>
      </w:trPr>
      <w:tc>
        <w:tcPr>
          <w:tcW w:w="2409" w:type="dxa"/>
        </w:tcPr>
        <w:p w14:paraId="4AA04D20" w14:textId="77777777" w:rsidR="00507DEC" w:rsidRDefault="00276964">
          <w:pPr>
            <w:tabs>
              <w:tab w:val="right" w:pos="8838"/>
            </w:tabs>
            <w:ind w:right="-105"/>
            <w:rPr>
              <w:b/>
            </w:rPr>
          </w:pPr>
          <w:r>
            <w:rPr>
              <w:b/>
            </w:rPr>
            <w:t>Comisionado Ponente:</w:t>
          </w:r>
        </w:p>
      </w:tc>
      <w:tc>
        <w:tcPr>
          <w:tcW w:w="3686" w:type="dxa"/>
        </w:tcPr>
        <w:p w14:paraId="02BBA06B" w14:textId="77777777" w:rsidR="00507DEC" w:rsidRDefault="00276964">
          <w:pPr>
            <w:tabs>
              <w:tab w:val="right" w:pos="8838"/>
            </w:tabs>
            <w:ind w:right="176"/>
          </w:pPr>
          <w:r>
            <w:t>Luis Gustavo Parra Noriega</w:t>
          </w:r>
        </w:p>
        <w:p w14:paraId="7305C989" w14:textId="77777777" w:rsidR="00507DEC" w:rsidRDefault="00507DEC">
          <w:pPr>
            <w:tabs>
              <w:tab w:val="right" w:pos="8838"/>
            </w:tabs>
            <w:ind w:right="176"/>
          </w:pPr>
        </w:p>
      </w:tc>
    </w:tr>
  </w:tbl>
  <w:p w14:paraId="7D798832" w14:textId="77777777" w:rsidR="00507DEC" w:rsidRDefault="00E043D2">
    <w:pPr>
      <w:pBdr>
        <w:top w:val="nil"/>
        <w:left w:val="nil"/>
        <w:bottom w:val="nil"/>
        <w:right w:val="nil"/>
        <w:between w:val="nil"/>
      </w:pBdr>
      <w:tabs>
        <w:tab w:val="center" w:pos="4419"/>
        <w:tab w:val="right" w:pos="8838"/>
      </w:tabs>
      <w:spacing w:after="0" w:line="240" w:lineRule="auto"/>
      <w:rPr>
        <w:color w:val="000000"/>
      </w:rPr>
    </w:pPr>
    <w:r>
      <w:rPr>
        <w:color w:val="000000"/>
      </w:rPr>
      <w:pict w14:anchorId="7AAF9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C5EF" w14:textId="77777777" w:rsidR="00507DEC" w:rsidRDefault="00507DEC">
    <w:pPr>
      <w:widowControl w:val="0"/>
      <w:pBdr>
        <w:top w:val="nil"/>
        <w:left w:val="nil"/>
        <w:bottom w:val="nil"/>
        <w:right w:val="nil"/>
        <w:between w:val="nil"/>
      </w:pBdr>
      <w:spacing w:after="0" w:line="276" w:lineRule="auto"/>
      <w:jc w:val="left"/>
      <w:rPr>
        <w:color w:val="000000"/>
      </w:rPr>
    </w:pPr>
  </w:p>
  <w:tbl>
    <w:tblPr>
      <w:tblStyle w:val="affa"/>
      <w:tblW w:w="9214" w:type="dxa"/>
      <w:tblInd w:w="0" w:type="dxa"/>
      <w:tblLayout w:type="fixed"/>
      <w:tblLook w:val="0400" w:firstRow="0" w:lastRow="0" w:firstColumn="0" w:lastColumn="0" w:noHBand="0" w:noVBand="1"/>
    </w:tblPr>
    <w:tblGrid>
      <w:gridCol w:w="2127"/>
      <w:gridCol w:w="7087"/>
    </w:tblGrid>
    <w:tr w:rsidR="00507DEC" w14:paraId="7D25A76E" w14:textId="77777777">
      <w:trPr>
        <w:trHeight w:val="1546"/>
      </w:trPr>
      <w:tc>
        <w:tcPr>
          <w:tcW w:w="2127" w:type="dxa"/>
          <w:shd w:val="clear" w:color="auto" w:fill="auto"/>
        </w:tcPr>
        <w:p w14:paraId="56C449E6" w14:textId="77777777" w:rsidR="00507DEC" w:rsidRDefault="00507DEC">
          <w:pPr>
            <w:tabs>
              <w:tab w:val="right" w:pos="4273"/>
            </w:tabs>
            <w:rPr>
              <w:rFonts w:ascii="Garamond" w:eastAsia="Garamond" w:hAnsi="Garamond" w:cs="Garamond"/>
              <w:sz w:val="16"/>
              <w:szCs w:val="16"/>
            </w:rPr>
          </w:pPr>
        </w:p>
      </w:tc>
      <w:tc>
        <w:tcPr>
          <w:tcW w:w="7087" w:type="dxa"/>
          <w:shd w:val="clear" w:color="auto" w:fill="auto"/>
        </w:tcPr>
        <w:p w14:paraId="4353E1DC" w14:textId="77777777" w:rsidR="00507DEC" w:rsidRDefault="00507DEC">
          <w:pPr>
            <w:rPr>
              <w:sz w:val="10"/>
              <w:szCs w:val="10"/>
            </w:rPr>
          </w:pPr>
        </w:p>
        <w:tbl>
          <w:tblPr>
            <w:tblStyle w:val="affb"/>
            <w:tblW w:w="5812" w:type="dxa"/>
            <w:tblInd w:w="1167" w:type="dxa"/>
            <w:tblLayout w:type="fixed"/>
            <w:tblLook w:val="0400" w:firstRow="0" w:lastRow="0" w:firstColumn="0" w:lastColumn="0" w:noHBand="0" w:noVBand="1"/>
          </w:tblPr>
          <w:tblGrid>
            <w:gridCol w:w="2410"/>
            <w:gridCol w:w="3402"/>
          </w:tblGrid>
          <w:tr w:rsidR="00507DEC" w14:paraId="4049B1B0" w14:textId="77777777">
            <w:trPr>
              <w:trHeight w:val="427"/>
            </w:trPr>
            <w:tc>
              <w:tcPr>
                <w:tcW w:w="2410" w:type="dxa"/>
                <w:vAlign w:val="bottom"/>
              </w:tcPr>
              <w:p w14:paraId="040C7E95" w14:textId="77777777" w:rsidR="00507DEC" w:rsidRDefault="00276964">
                <w:pPr>
                  <w:tabs>
                    <w:tab w:val="right" w:pos="8838"/>
                  </w:tabs>
                  <w:ind w:right="-105"/>
                  <w:rPr>
                    <w:b/>
                  </w:rPr>
                </w:pPr>
                <w:r>
                  <w:rPr>
                    <w:b/>
                  </w:rPr>
                  <w:t>Recurso de Revisión:</w:t>
                </w:r>
              </w:p>
            </w:tc>
            <w:tc>
              <w:tcPr>
                <w:tcW w:w="3402" w:type="dxa"/>
              </w:tcPr>
              <w:p w14:paraId="6E60BC72" w14:textId="77777777" w:rsidR="00507DEC" w:rsidRDefault="00507DEC">
                <w:pPr>
                  <w:tabs>
                    <w:tab w:val="right" w:pos="8838"/>
                  </w:tabs>
                  <w:ind w:left="-28" w:right="-107"/>
                  <w:rPr>
                    <w:b/>
                  </w:rPr>
                </w:pPr>
              </w:p>
              <w:p w14:paraId="102A4299" w14:textId="77777777" w:rsidR="00507DEC" w:rsidRDefault="00276964">
                <w:pPr>
                  <w:tabs>
                    <w:tab w:val="right" w:pos="8838"/>
                  </w:tabs>
                  <w:ind w:left="-28" w:right="-107"/>
                  <w:rPr>
                    <w:b/>
                  </w:rPr>
                </w:pPr>
                <w:r>
                  <w:rPr>
                    <w:b/>
                  </w:rPr>
                  <w:t xml:space="preserve"> 01956/INFOEM/IP/RR/2025</w:t>
                </w:r>
              </w:p>
            </w:tc>
          </w:tr>
          <w:tr w:rsidR="00507DEC" w14:paraId="7E249820" w14:textId="77777777">
            <w:trPr>
              <w:trHeight w:val="141"/>
            </w:trPr>
            <w:tc>
              <w:tcPr>
                <w:tcW w:w="2410" w:type="dxa"/>
              </w:tcPr>
              <w:p w14:paraId="66327910" w14:textId="77777777" w:rsidR="00507DEC" w:rsidRDefault="00276964">
                <w:pPr>
                  <w:tabs>
                    <w:tab w:val="right" w:pos="8838"/>
                  </w:tabs>
                  <w:ind w:right="-105"/>
                  <w:rPr>
                    <w:b/>
                  </w:rPr>
                </w:pPr>
                <w:r>
                  <w:rPr>
                    <w:b/>
                  </w:rPr>
                  <w:t>Recurrente:</w:t>
                </w:r>
              </w:p>
            </w:tc>
            <w:tc>
              <w:tcPr>
                <w:tcW w:w="3402" w:type="dxa"/>
              </w:tcPr>
              <w:p w14:paraId="395B49A2" w14:textId="336C386F" w:rsidR="00507DEC" w:rsidRDefault="00512FB4">
                <w:pPr>
                  <w:tabs>
                    <w:tab w:val="right" w:pos="8838"/>
                  </w:tabs>
                  <w:ind w:right="-107"/>
                </w:pPr>
                <w:r w:rsidRPr="00512FB4">
                  <w:rPr>
                    <w:highlight w:val="black"/>
                  </w:rPr>
                  <w:t>XXXXXXXXXXX</w:t>
                </w:r>
              </w:p>
            </w:tc>
          </w:tr>
          <w:tr w:rsidR="00507DEC" w14:paraId="7647EB39" w14:textId="77777777">
            <w:trPr>
              <w:trHeight w:val="276"/>
            </w:trPr>
            <w:tc>
              <w:tcPr>
                <w:tcW w:w="2410" w:type="dxa"/>
              </w:tcPr>
              <w:p w14:paraId="5CED0061" w14:textId="77777777" w:rsidR="00507DEC" w:rsidRDefault="00276964">
                <w:pPr>
                  <w:tabs>
                    <w:tab w:val="right" w:pos="8838"/>
                  </w:tabs>
                  <w:ind w:right="-105"/>
                  <w:rPr>
                    <w:b/>
                  </w:rPr>
                </w:pPr>
                <w:r>
                  <w:rPr>
                    <w:b/>
                  </w:rPr>
                  <w:t>Sujeto Obligado:</w:t>
                </w:r>
              </w:p>
            </w:tc>
            <w:tc>
              <w:tcPr>
                <w:tcW w:w="3402" w:type="dxa"/>
              </w:tcPr>
              <w:p w14:paraId="0B3473B7" w14:textId="77777777" w:rsidR="00507DEC" w:rsidRDefault="00276964">
                <w:pPr>
                  <w:tabs>
                    <w:tab w:val="right" w:pos="8838"/>
                  </w:tabs>
                  <w:ind w:right="33"/>
                </w:pPr>
                <w:r>
                  <w:t>Universidad Autónoma del Estado de México</w:t>
                </w:r>
              </w:p>
            </w:tc>
          </w:tr>
          <w:tr w:rsidR="00507DEC" w14:paraId="65F3E1D0" w14:textId="77777777">
            <w:trPr>
              <w:trHeight w:val="276"/>
            </w:trPr>
            <w:tc>
              <w:tcPr>
                <w:tcW w:w="2410" w:type="dxa"/>
              </w:tcPr>
              <w:p w14:paraId="4017EF4E" w14:textId="77777777" w:rsidR="00507DEC" w:rsidRDefault="00276964">
                <w:pPr>
                  <w:tabs>
                    <w:tab w:val="right" w:pos="8838"/>
                  </w:tabs>
                  <w:ind w:right="-105"/>
                  <w:rPr>
                    <w:b/>
                  </w:rPr>
                </w:pPr>
                <w:r>
                  <w:rPr>
                    <w:b/>
                  </w:rPr>
                  <w:t>Comisionado Ponente:</w:t>
                </w:r>
              </w:p>
            </w:tc>
            <w:tc>
              <w:tcPr>
                <w:tcW w:w="3402" w:type="dxa"/>
              </w:tcPr>
              <w:p w14:paraId="71445814" w14:textId="77777777" w:rsidR="00507DEC" w:rsidRDefault="00276964">
                <w:pPr>
                  <w:tabs>
                    <w:tab w:val="right" w:pos="8838"/>
                  </w:tabs>
                  <w:ind w:right="-107"/>
                </w:pPr>
                <w:r>
                  <w:t>Luis Gustavo Parra Noriega</w:t>
                </w:r>
              </w:p>
            </w:tc>
          </w:tr>
        </w:tbl>
        <w:p w14:paraId="582ACDCA" w14:textId="77777777" w:rsidR="00507DEC" w:rsidRDefault="00507DEC">
          <w:pPr>
            <w:tabs>
              <w:tab w:val="right" w:pos="8838"/>
            </w:tabs>
            <w:ind w:left="-28"/>
            <w:rPr>
              <w:rFonts w:ascii="Arial" w:eastAsia="Arial" w:hAnsi="Arial" w:cs="Arial"/>
              <w:b/>
            </w:rPr>
          </w:pPr>
        </w:p>
      </w:tc>
    </w:tr>
  </w:tbl>
  <w:p w14:paraId="28951A21" w14:textId="77777777" w:rsidR="00507DEC" w:rsidRDefault="00E043D2">
    <w:pPr>
      <w:pBdr>
        <w:top w:val="nil"/>
        <w:left w:val="nil"/>
        <w:bottom w:val="nil"/>
        <w:right w:val="nil"/>
        <w:between w:val="nil"/>
      </w:pBdr>
      <w:tabs>
        <w:tab w:val="center" w:pos="4419"/>
        <w:tab w:val="right" w:pos="8838"/>
      </w:tabs>
      <w:spacing w:after="0" w:line="240" w:lineRule="auto"/>
      <w:rPr>
        <w:color w:val="000000"/>
      </w:rPr>
    </w:pPr>
    <w:r>
      <w:rPr>
        <w:color w:val="000000"/>
      </w:rPr>
      <w:pict w14:anchorId="3C695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B3B05"/>
    <w:multiLevelType w:val="multilevel"/>
    <w:tmpl w:val="C652F5BC"/>
    <w:lvl w:ilvl="0">
      <w:start w:val="1"/>
      <w:numFmt w:val="bullet"/>
      <w:lvlText w:val="●"/>
      <w:lvlJc w:val="left"/>
      <w:pPr>
        <w:ind w:left="1080" w:hanging="72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911DE5"/>
    <w:multiLevelType w:val="multilevel"/>
    <w:tmpl w:val="268085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8A37EA"/>
    <w:multiLevelType w:val="multilevel"/>
    <w:tmpl w:val="7706B2B4"/>
    <w:lvl w:ilvl="0">
      <w:start w:val="1"/>
      <w:numFmt w:val="bullet"/>
      <w:lvlText w:val="●"/>
      <w:lvlJc w:val="left"/>
      <w:pPr>
        <w:ind w:left="1080" w:hanging="720"/>
      </w:pPr>
      <w:rPr>
        <w:rFonts w:ascii="Noto Sans Symbols" w:eastAsia="Noto Sans Symbols" w:hAnsi="Noto Sans Symbols" w:cs="Noto Sans Symbol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EC"/>
    <w:rsid w:val="000016DE"/>
    <w:rsid w:val="000A1923"/>
    <w:rsid w:val="00276964"/>
    <w:rsid w:val="00317DA2"/>
    <w:rsid w:val="00343164"/>
    <w:rsid w:val="00466D0F"/>
    <w:rsid w:val="00470B2B"/>
    <w:rsid w:val="00507DEC"/>
    <w:rsid w:val="00510BC4"/>
    <w:rsid w:val="00512FB4"/>
    <w:rsid w:val="006962E4"/>
    <w:rsid w:val="00811C04"/>
    <w:rsid w:val="00827457"/>
    <w:rsid w:val="008356B1"/>
    <w:rsid w:val="00835C6F"/>
    <w:rsid w:val="009249A4"/>
    <w:rsid w:val="009A63AF"/>
    <w:rsid w:val="00A4255B"/>
    <w:rsid w:val="00C151B9"/>
    <w:rsid w:val="00E02BEF"/>
    <w:rsid w:val="00E043D2"/>
    <w:rsid w:val="00E755CA"/>
    <w:rsid w:val="00EA04A7"/>
    <w:rsid w:val="00FA18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E84636"/>
  <w15:docId w15:val="{56466281-7401-4699-89C0-B648A9E7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9"/>
    <w:pPr>
      <w:spacing w:after="0" w:line="240" w:lineRule="auto"/>
    </w:pPr>
    <w:tblPr>
      <w:tblStyleRowBandSize w:val="1"/>
      <w:tblStyleColBandSize w:val="1"/>
      <w:tblCellMar>
        <w:left w:w="108" w:type="dxa"/>
        <w:right w:w="108" w:type="dxa"/>
      </w:tblCellMar>
    </w:tblPr>
  </w:style>
  <w:style w:type="table" w:customStyle="1" w:styleId="a0">
    <w:basedOn w:val="TableNormal9"/>
    <w:pPr>
      <w:spacing w:after="0" w:line="240" w:lineRule="auto"/>
    </w:pPr>
    <w:tblPr>
      <w:tblStyleRowBandSize w:val="1"/>
      <w:tblStyleColBandSize w:val="1"/>
      <w:tblCellMar>
        <w:left w:w="108" w:type="dxa"/>
        <w:right w:w="108" w:type="dxa"/>
      </w:tblCellMar>
    </w:tbl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9"/>
    <w:pPr>
      <w:spacing w:after="0" w:line="240" w:lineRule="auto"/>
    </w:pPr>
    <w:tblPr>
      <w:tblStyleRowBandSize w:val="1"/>
      <w:tblStyleColBandSize w:val="1"/>
      <w:tblCellMar>
        <w:left w:w="108" w:type="dxa"/>
        <w:right w:w="108" w:type="dxa"/>
      </w:tblCellMar>
    </w:tblPr>
  </w:style>
  <w:style w:type="table" w:customStyle="1" w:styleId="a5">
    <w:basedOn w:val="TableNormal9"/>
    <w:pPr>
      <w:spacing w:after="0" w:line="240" w:lineRule="auto"/>
    </w:pPr>
    <w:tblPr>
      <w:tblStyleRowBandSize w:val="1"/>
      <w:tblStyleColBandSize w:val="1"/>
      <w:tblCellMar>
        <w:left w:w="108" w:type="dxa"/>
        <w:right w:w="108" w:type="dxa"/>
      </w:tblCellMar>
    </w:tblPr>
  </w:style>
  <w:style w:type="table" w:customStyle="1" w:styleId="a6">
    <w:basedOn w:val="TableNormal9"/>
    <w:pPr>
      <w:spacing w:after="0" w:line="240" w:lineRule="auto"/>
    </w:pPr>
    <w:tblPr>
      <w:tblStyleRowBandSize w:val="1"/>
      <w:tblStyleColBandSize w:val="1"/>
      <w:tblCellMar>
        <w:left w:w="108" w:type="dxa"/>
        <w:right w:w="108" w:type="dxa"/>
      </w:tblCellMar>
    </w:tblPr>
  </w:style>
  <w:style w:type="table" w:customStyle="1" w:styleId="a7">
    <w:basedOn w:val="TableNormal8"/>
    <w:pPr>
      <w:spacing w:after="0" w:line="240" w:lineRule="auto"/>
    </w:pPr>
    <w:tblPr>
      <w:tblStyleRowBandSize w:val="1"/>
      <w:tblStyleColBandSize w:val="1"/>
      <w:tblCellMar>
        <w:left w:w="108" w:type="dxa"/>
        <w:right w:w="108" w:type="dxa"/>
      </w:tblCellMar>
    </w:tblPr>
  </w:style>
  <w:style w:type="table" w:customStyle="1" w:styleId="a8">
    <w:basedOn w:val="TableNormal8"/>
    <w:pPr>
      <w:spacing w:after="0" w:line="240" w:lineRule="auto"/>
    </w:pPr>
    <w:tblPr>
      <w:tblStyleRowBandSize w:val="1"/>
      <w:tblStyleColBandSize w:val="1"/>
      <w:tblCellMar>
        <w:left w:w="108" w:type="dxa"/>
        <w:right w:w="108" w:type="dxa"/>
      </w:tblCellMar>
    </w:tblPr>
  </w:style>
  <w:style w:type="table" w:customStyle="1" w:styleId="a9">
    <w:basedOn w:val="TableNormal8"/>
    <w:pPr>
      <w:spacing w:after="0" w:line="240" w:lineRule="auto"/>
    </w:pPr>
    <w:tblPr>
      <w:tblStyleRowBandSize w:val="1"/>
      <w:tblStyleColBandSize w:val="1"/>
      <w:tblCellMar>
        <w:left w:w="108" w:type="dxa"/>
        <w:right w:w="108" w:type="dxa"/>
      </w:tblCellMar>
    </w:tblPr>
  </w:style>
  <w:style w:type="table" w:customStyle="1" w:styleId="aa">
    <w:basedOn w:val="TableNormal8"/>
    <w:pPr>
      <w:spacing w:after="0" w:line="240" w:lineRule="auto"/>
    </w:pPr>
    <w:tblPr>
      <w:tblStyleRowBandSize w:val="1"/>
      <w:tblStyleColBandSize w:val="1"/>
      <w:tblCellMar>
        <w:left w:w="108" w:type="dxa"/>
        <w:right w:w="108" w:type="dxa"/>
      </w:tblCellMar>
    </w:tblPr>
  </w:style>
  <w:style w:type="table" w:customStyle="1" w:styleId="ab">
    <w:basedOn w:val="TableNormal7"/>
    <w:pPr>
      <w:spacing w:after="0" w:line="240" w:lineRule="auto"/>
    </w:pPr>
    <w:tblPr>
      <w:tblStyleRowBandSize w:val="1"/>
      <w:tblStyleColBandSize w:val="1"/>
      <w:tblCellMar>
        <w:left w:w="108" w:type="dxa"/>
        <w:right w:w="108" w:type="dxa"/>
      </w:tblCellMar>
    </w:tblPr>
  </w:style>
  <w:style w:type="table" w:customStyle="1" w:styleId="ac">
    <w:basedOn w:val="TableNormal7"/>
    <w:pPr>
      <w:spacing w:after="0" w:line="240" w:lineRule="auto"/>
    </w:pPr>
    <w:tblPr>
      <w:tblStyleRowBandSize w:val="1"/>
      <w:tblStyleColBandSize w:val="1"/>
      <w:tblCellMar>
        <w:left w:w="108" w:type="dxa"/>
        <w:right w:w="108" w:type="dxa"/>
      </w:tblCellMar>
    </w:tblPr>
  </w:style>
  <w:style w:type="table" w:customStyle="1" w:styleId="ad">
    <w:basedOn w:val="TableNormal7"/>
    <w:pPr>
      <w:spacing w:after="0" w:line="240" w:lineRule="auto"/>
    </w:pPr>
    <w:tblPr>
      <w:tblStyleRowBandSize w:val="1"/>
      <w:tblStyleColBandSize w:val="1"/>
      <w:tblCellMar>
        <w:left w:w="108" w:type="dxa"/>
        <w:right w:w="108" w:type="dxa"/>
      </w:tblCellMar>
    </w:tblPr>
  </w:style>
  <w:style w:type="table" w:customStyle="1" w:styleId="ae">
    <w:basedOn w:val="TableNormal7"/>
    <w:pPr>
      <w:spacing w:after="0" w:line="240" w:lineRule="auto"/>
    </w:pPr>
    <w:tblPr>
      <w:tblStyleRowBandSize w:val="1"/>
      <w:tblStyleColBandSize w:val="1"/>
      <w:tblCellMar>
        <w:left w:w="108" w:type="dxa"/>
        <w:right w:w="108" w:type="dxa"/>
      </w:tblCellMar>
    </w:tblPr>
  </w:style>
  <w:style w:type="table" w:customStyle="1" w:styleId="af">
    <w:basedOn w:val="TableNormal6"/>
    <w:pPr>
      <w:spacing w:after="0" w:line="240" w:lineRule="auto"/>
    </w:pPr>
    <w:tblPr>
      <w:tblStyleRowBandSize w:val="1"/>
      <w:tblStyleColBandSize w:val="1"/>
      <w:tblCellMar>
        <w:left w:w="108" w:type="dxa"/>
        <w:right w:w="108" w:type="dxa"/>
      </w:tblCellMar>
    </w:tblPr>
  </w:style>
  <w:style w:type="table" w:customStyle="1" w:styleId="af0">
    <w:basedOn w:val="TableNormal6"/>
    <w:pPr>
      <w:spacing w:after="0" w:line="240" w:lineRule="auto"/>
    </w:pPr>
    <w:tblPr>
      <w:tblStyleRowBandSize w:val="1"/>
      <w:tblStyleColBandSize w:val="1"/>
      <w:tblCellMar>
        <w:left w:w="108" w:type="dxa"/>
        <w:right w:w="108" w:type="dxa"/>
      </w:tblCellMar>
    </w:tblPr>
  </w:style>
  <w:style w:type="table" w:customStyle="1" w:styleId="af1">
    <w:basedOn w:val="TableNormal6"/>
    <w:pPr>
      <w:spacing w:after="0" w:line="240" w:lineRule="auto"/>
    </w:pPr>
    <w:tblPr>
      <w:tblStyleRowBandSize w:val="1"/>
      <w:tblStyleColBandSize w:val="1"/>
      <w:tblCellMar>
        <w:left w:w="108" w:type="dxa"/>
        <w:right w:w="108" w:type="dxa"/>
      </w:tblCellMar>
    </w:tblPr>
  </w:style>
  <w:style w:type="table" w:customStyle="1" w:styleId="af2">
    <w:basedOn w:val="TableNormal6"/>
    <w:pPr>
      <w:spacing w:after="0" w:line="240" w:lineRule="auto"/>
    </w:pPr>
    <w:tblPr>
      <w:tblStyleRowBandSize w:val="1"/>
      <w:tblStyleColBandSize w:val="1"/>
      <w:tblCellMar>
        <w:left w:w="108" w:type="dxa"/>
        <w:right w:w="108" w:type="dxa"/>
      </w:tblCellMar>
    </w:tblPr>
  </w:style>
  <w:style w:type="table" w:customStyle="1" w:styleId="af3">
    <w:basedOn w:val="TableNormal5"/>
    <w:pPr>
      <w:spacing w:after="0" w:line="240" w:lineRule="auto"/>
    </w:pPr>
    <w:tblPr>
      <w:tblStyleRowBandSize w:val="1"/>
      <w:tblStyleColBandSize w:val="1"/>
      <w:tblCellMar>
        <w:left w:w="108" w:type="dxa"/>
        <w:right w:w="108" w:type="dxa"/>
      </w:tblCellMar>
    </w:tblPr>
  </w:style>
  <w:style w:type="table" w:customStyle="1" w:styleId="af4">
    <w:basedOn w:val="TableNormal5"/>
    <w:pPr>
      <w:spacing w:after="0" w:line="240" w:lineRule="auto"/>
    </w:pPr>
    <w:tblPr>
      <w:tblStyleRowBandSize w:val="1"/>
      <w:tblStyleColBandSize w:val="1"/>
      <w:tblCellMar>
        <w:left w:w="108" w:type="dxa"/>
        <w:right w:w="108" w:type="dxa"/>
      </w:tblCellMar>
    </w:tblPr>
  </w:style>
  <w:style w:type="table" w:customStyle="1" w:styleId="af5">
    <w:basedOn w:val="TableNormal5"/>
    <w:pPr>
      <w:spacing w:after="0" w:line="240" w:lineRule="auto"/>
    </w:pPr>
    <w:tblPr>
      <w:tblStyleRowBandSize w:val="1"/>
      <w:tblStyleColBandSize w:val="1"/>
      <w:tblCellMar>
        <w:left w:w="108" w:type="dxa"/>
        <w:right w:w="108" w:type="dxa"/>
      </w:tblCellMar>
    </w:tblPr>
  </w:style>
  <w:style w:type="table" w:customStyle="1" w:styleId="af6">
    <w:basedOn w:val="TableNormal5"/>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3"/>
    <w:pPr>
      <w:spacing w:after="0" w:line="240" w:lineRule="auto"/>
    </w:pPr>
    <w:tblPr>
      <w:tblStyleRowBandSize w:val="1"/>
      <w:tblStyleColBandSize w:val="1"/>
      <w:tblCellMar>
        <w:left w:w="108" w:type="dxa"/>
        <w:right w:w="108" w:type="dxa"/>
      </w:tblCellMar>
    </w:tblPr>
  </w:style>
  <w:style w:type="table" w:customStyle="1" w:styleId="afc">
    <w:basedOn w:val="TableNormal3"/>
    <w:pPr>
      <w:spacing w:after="0" w:line="240" w:lineRule="auto"/>
    </w:pPr>
    <w:tblPr>
      <w:tblStyleRowBandSize w:val="1"/>
      <w:tblStyleColBandSize w:val="1"/>
      <w:tblCellMar>
        <w:left w:w="108" w:type="dxa"/>
        <w:right w:w="108" w:type="dxa"/>
      </w:tblCellMar>
    </w:tblPr>
  </w:style>
  <w:style w:type="table" w:customStyle="1" w:styleId="afd">
    <w:basedOn w:val="TableNormal3"/>
    <w:pPr>
      <w:spacing w:after="0" w:line="240" w:lineRule="auto"/>
    </w:pPr>
    <w:tblPr>
      <w:tblStyleRowBandSize w:val="1"/>
      <w:tblStyleColBandSize w:val="1"/>
      <w:tblCellMar>
        <w:left w:w="108" w:type="dxa"/>
        <w:right w:w="108" w:type="dxa"/>
      </w:tblCellMar>
    </w:tblPr>
  </w:style>
  <w:style w:type="table" w:customStyle="1" w:styleId="afe">
    <w:basedOn w:val="TableNormal3"/>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tblPr>
      <w:tblStyleRowBandSize w:val="1"/>
      <w:tblStyleColBandSize w:val="1"/>
      <w:tblCellMar>
        <w:left w:w="108" w:type="dxa"/>
        <w:right w:w="108" w:type="dxa"/>
      </w:tblCellMar>
    </w:tblPr>
  </w:style>
  <w:style w:type="table" w:customStyle="1" w:styleId="aff6">
    <w:basedOn w:val="TableNormal1"/>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i.uaemex.mx/handle/20.500.11799/138611" TargetMode="External"/><Relationship Id="rId18" Type="http://schemas.openxmlformats.org/officeDocument/2006/relationships/hyperlink" Target="http://ri.uaemex.mx/handle/20.500.11799/138614"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ri.uaemex.mx/handle/20.500.11799/138634" TargetMode="External"/><Relationship Id="rId17" Type="http://schemas.openxmlformats.org/officeDocument/2006/relationships/hyperlink" Target="http://ri.uaemex.mx/handle/20.500.11799/13861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ri.uaemex.mx/handle/20.500.11799/1387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i.uaemex.mx/handle/20.500.11799/138633"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i.uaemex.mx/handle/20.500.11799/138612" TargetMode="External"/><Relationship Id="rId23" Type="http://schemas.openxmlformats.org/officeDocument/2006/relationships/footer" Target="footer2.xml"/><Relationship Id="rId10" Type="http://schemas.openxmlformats.org/officeDocument/2006/relationships/hyperlink" Target="https://maeadminpubygob.uaemex.mx/" TargetMode="External"/><Relationship Id="rId19" Type="http://schemas.openxmlformats.org/officeDocument/2006/relationships/hyperlink" Target="http://ri.uaemex.mx/handle/20.500.11799/138613" TargetMode="External"/><Relationship Id="rId4" Type="http://schemas.openxmlformats.org/officeDocument/2006/relationships/styles" Target="styles.xml"/><Relationship Id="rId9" Type="http://schemas.openxmlformats.org/officeDocument/2006/relationships/hyperlink" Target="https://espgenviolypolpub.uaemex.mx/" TargetMode="External"/><Relationship Id="rId14" Type="http://schemas.openxmlformats.org/officeDocument/2006/relationships/hyperlink" Target="http://ri.uaemex.mx/handle/20.500.11799/138615"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1DIoo1hHolR0R9HkYQBJoE15Q==">CgMxLjAyDmguZTc5NjBqbmUyZnA1MghoLmdqZGd4czIOaC40bnpqbjVicm1xcW4yDmgudm5jMWF0a2tucmw5Mg5oLmRhMWVpamRjbGhrcTIOaC51cWNkdTlsMWFpZ2YyCWguMmV0OTJwMDIOaC5yeG9qeGRwbm1yaDUyDmguZDltYXY1eWk3NnN0Mg5oLm1vcmpwbGE2cXZ2aTIOaC5ubTc4N2xkamxlcmIyDmguMWU3MnhsMXhvd2x5Mg5oLmczeWNseW1mNHc0MjIOaC54eHo2djBlN25ybmgyDmguYWU0NjJ4Zm4xdjljMg5oLjZseDZleTV6MXFmZTIOaC40a3IxMGd2cGlwYnUyDmguaGNhb2NhN3QycHlyOAByITF6Q0hValA4V19vR0ZTTU9oaUpnLUlJdWQ4V1pEakNY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F0CF7A-0D49-4C24-9F2F-C5DACE28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7036</Words>
  <Characters>38698</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INFOEM500</cp:lastModifiedBy>
  <cp:revision>4</cp:revision>
  <cp:lastPrinted>2025-04-25T15:51:00Z</cp:lastPrinted>
  <dcterms:created xsi:type="dcterms:W3CDTF">2025-04-25T15:51:00Z</dcterms:created>
  <dcterms:modified xsi:type="dcterms:W3CDTF">2025-06-02T19:20:00Z</dcterms:modified>
</cp:coreProperties>
</file>