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AA0" w:rsidRPr="005E308E" w:rsidRDefault="00667AA0" w:rsidP="00667AA0">
      <w:pPr>
        <w:spacing w:line="360" w:lineRule="auto"/>
        <w:jc w:val="both"/>
        <w:rPr>
          <w:rFonts w:ascii="Palatino Linotype" w:eastAsiaTheme="minorEastAsia" w:hAnsi="Palatino Linotype"/>
          <w:sz w:val="22"/>
          <w:szCs w:val="22"/>
          <w:lang w:val="es-ES_tradnl" w:eastAsia="es-ES"/>
        </w:rPr>
      </w:pPr>
      <w:r w:rsidRPr="005E308E">
        <w:rPr>
          <w:rFonts w:ascii="Palatino Linotype" w:eastAsiaTheme="minorEastAsia" w:hAnsi="Palatino Linotype"/>
          <w:sz w:val="22"/>
          <w:szCs w:val="22"/>
          <w:lang w:val="es-ES_tradnl" w:eastAsia="es-ES"/>
        </w:rPr>
        <w:t xml:space="preserve">Resolución del Pleno del Instituto de Transparencia, Acceso a la Información Pública y Protección de Datos Personales del Estado de México y Municipios, con domicilio en Metepec, Estado de México; de fecha </w:t>
      </w:r>
      <w:r w:rsidR="008935FA" w:rsidRPr="005E308E">
        <w:rPr>
          <w:rFonts w:ascii="Palatino Linotype" w:eastAsiaTheme="minorEastAsia" w:hAnsi="Palatino Linotype"/>
          <w:sz w:val="22"/>
          <w:szCs w:val="22"/>
          <w:lang w:val="es-ES_tradnl" w:eastAsia="es-ES"/>
        </w:rPr>
        <w:t>seis de febrero de dos mil veinticinco.</w:t>
      </w:r>
    </w:p>
    <w:p w:rsidR="00667AA0" w:rsidRPr="005E308E" w:rsidRDefault="00667AA0" w:rsidP="00667AA0">
      <w:pPr>
        <w:spacing w:line="360" w:lineRule="auto"/>
        <w:jc w:val="both"/>
        <w:rPr>
          <w:rFonts w:ascii="Palatino Linotype" w:eastAsiaTheme="minorEastAsia" w:hAnsi="Palatino Linotype"/>
          <w:sz w:val="22"/>
          <w:szCs w:val="22"/>
          <w:lang w:val="es-ES_tradnl" w:eastAsia="es-ES"/>
        </w:rPr>
      </w:pPr>
    </w:p>
    <w:p w:rsidR="00667AA0" w:rsidRPr="005E308E" w:rsidRDefault="00667AA0" w:rsidP="00667AA0">
      <w:pPr>
        <w:spacing w:line="360" w:lineRule="auto"/>
        <w:jc w:val="both"/>
        <w:rPr>
          <w:rFonts w:ascii="Palatino Linotype" w:hAnsi="Palatino Linotype"/>
          <w:sz w:val="22"/>
          <w:szCs w:val="22"/>
        </w:rPr>
      </w:pPr>
      <w:r w:rsidRPr="005E308E">
        <w:rPr>
          <w:rFonts w:ascii="Palatino Linotype" w:hAnsi="Palatino Linotype"/>
          <w:b/>
          <w:sz w:val="22"/>
          <w:szCs w:val="22"/>
        </w:rPr>
        <w:t>VISTO</w:t>
      </w:r>
      <w:r w:rsidRPr="005E308E">
        <w:rPr>
          <w:rFonts w:ascii="Palatino Linotype" w:hAnsi="Palatino Linotype"/>
          <w:sz w:val="22"/>
          <w:szCs w:val="22"/>
        </w:rPr>
        <w:t xml:space="preserve"> el expediente electrónico formado con motivo del recurso de revisión </w:t>
      </w:r>
      <w:r w:rsidR="008935FA" w:rsidRPr="005E308E">
        <w:rPr>
          <w:rFonts w:ascii="Palatino Linotype" w:hAnsi="Palatino Linotype"/>
          <w:b/>
          <w:sz w:val="22"/>
          <w:szCs w:val="22"/>
        </w:rPr>
        <w:t>07338</w:t>
      </w:r>
      <w:r w:rsidRPr="005E308E">
        <w:rPr>
          <w:rFonts w:ascii="Palatino Linotype" w:hAnsi="Palatino Linotype"/>
          <w:b/>
          <w:sz w:val="22"/>
          <w:szCs w:val="22"/>
        </w:rPr>
        <w:t>/INFOEM/IP/RR/2024,</w:t>
      </w:r>
      <w:r w:rsidRPr="005E308E">
        <w:rPr>
          <w:rFonts w:ascii="Palatino Linotype" w:hAnsi="Palatino Linotype" w:cs="Arial"/>
          <w:b/>
          <w:bCs/>
          <w:sz w:val="22"/>
          <w:szCs w:val="22"/>
        </w:rPr>
        <w:t xml:space="preserve"> </w:t>
      </w:r>
      <w:r w:rsidRPr="005E308E">
        <w:rPr>
          <w:rFonts w:ascii="Palatino Linotype" w:eastAsiaTheme="minorEastAsia" w:hAnsi="Palatino Linotype"/>
          <w:sz w:val="22"/>
          <w:szCs w:val="22"/>
          <w:lang w:val="es-ES_tradnl" w:eastAsia="es-ES"/>
        </w:rPr>
        <w:t xml:space="preserve">promovido </w:t>
      </w:r>
      <w:r w:rsidR="008935FA" w:rsidRPr="005E308E">
        <w:rPr>
          <w:rFonts w:ascii="Palatino Linotype" w:eastAsiaTheme="minorEastAsia" w:hAnsi="Palatino Linotype"/>
          <w:bCs/>
          <w:sz w:val="22"/>
          <w:szCs w:val="22"/>
          <w:lang w:eastAsia="es-ES"/>
        </w:rPr>
        <w:t>por un usuario que no proporcionó nombre</w:t>
      </w:r>
      <w:r w:rsidRPr="005E308E">
        <w:rPr>
          <w:rFonts w:ascii="Palatino Linotype" w:eastAsiaTheme="minorEastAsia" w:hAnsi="Palatino Linotype"/>
          <w:b/>
          <w:sz w:val="22"/>
          <w:szCs w:val="22"/>
          <w:lang w:val="es-ES_tradnl" w:eastAsia="es-ES"/>
        </w:rPr>
        <w:t>,</w:t>
      </w:r>
      <w:r w:rsidRPr="005E308E">
        <w:rPr>
          <w:rFonts w:ascii="Palatino Linotype" w:hAnsi="Palatino Linotype"/>
          <w:sz w:val="22"/>
          <w:szCs w:val="22"/>
        </w:rPr>
        <w:t xml:space="preserve"> quien en lo sucesivo se identificará como </w:t>
      </w:r>
      <w:r w:rsidRPr="005E308E">
        <w:rPr>
          <w:rFonts w:ascii="Palatino Linotype" w:hAnsi="Palatino Linotype"/>
          <w:b/>
          <w:sz w:val="22"/>
          <w:szCs w:val="22"/>
        </w:rPr>
        <w:t xml:space="preserve">EL </w:t>
      </w:r>
      <w:r w:rsidRPr="005E308E">
        <w:rPr>
          <w:rFonts w:ascii="Palatino Linotype" w:hAnsi="Palatino Linotype" w:cs="Arial"/>
          <w:b/>
          <w:sz w:val="22"/>
          <w:szCs w:val="22"/>
        </w:rPr>
        <w:t>RECURRENTE</w:t>
      </w:r>
      <w:r w:rsidR="008935FA" w:rsidRPr="005E308E">
        <w:rPr>
          <w:rFonts w:ascii="Palatino Linotype" w:hAnsi="Palatino Linotype" w:cs="Arial"/>
          <w:sz w:val="22"/>
          <w:szCs w:val="22"/>
        </w:rPr>
        <w:t>, en contra de la respuesta de la</w:t>
      </w:r>
      <w:r w:rsidRPr="005E308E">
        <w:rPr>
          <w:rFonts w:ascii="Palatino Linotype" w:hAnsi="Palatino Linotype" w:cs="Arial"/>
          <w:sz w:val="22"/>
          <w:szCs w:val="22"/>
        </w:rPr>
        <w:t xml:space="preserve"> </w:t>
      </w:r>
      <w:r w:rsidR="008935FA" w:rsidRPr="005E308E">
        <w:rPr>
          <w:rFonts w:ascii="Palatino Linotype" w:hAnsi="Palatino Linotype" w:cs="Arial"/>
          <w:b/>
          <w:bCs/>
          <w:sz w:val="22"/>
          <w:szCs w:val="22"/>
        </w:rPr>
        <w:t>Secretaría de Movilidad</w:t>
      </w:r>
      <w:r w:rsidRPr="005E308E">
        <w:rPr>
          <w:rFonts w:ascii="Palatino Linotype" w:hAnsi="Palatino Linotype" w:cs="Arial"/>
          <w:b/>
          <w:sz w:val="22"/>
          <w:szCs w:val="22"/>
        </w:rPr>
        <w:t>,</w:t>
      </w:r>
      <w:r w:rsidRPr="005E308E">
        <w:rPr>
          <w:rFonts w:ascii="Palatino Linotype" w:hAnsi="Palatino Linotype"/>
          <w:b/>
          <w:sz w:val="22"/>
          <w:szCs w:val="22"/>
        </w:rPr>
        <w:t xml:space="preserve"> </w:t>
      </w:r>
      <w:r w:rsidRPr="005E308E">
        <w:rPr>
          <w:rFonts w:ascii="Palatino Linotype" w:hAnsi="Palatino Linotype"/>
          <w:sz w:val="22"/>
          <w:szCs w:val="22"/>
        </w:rPr>
        <w:t>en lo sucesivo el</w:t>
      </w:r>
      <w:r w:rsidRPr="005E308E">
        <w:rPr>
          <w:rFonts w:ascii="Palatino Linotype" w:hAnsi="Palatino Linotype"/>
          <w:b/>
          <w:sz w:val="22"/>
          <w:szCs w:val="22"/>
        </w:rPr>
        <w:t xml:space="preserve"> SUJETO OBLIGADO</w:t>
      </w:r>
      <w:r w:rsidRPr="005E308E">
        <w:rPr>
          <w:rFonts w:ascii="Palatino Linotype" w:hAnsi="Palatino Linotype"/>
          <w:sz w:val="22"/>
          <w:szCs w:val="22"/>
        </w:rPr>
        <w:t>, por lo que se procede a dictar la presente resolución, con base en los siguientes:</w:t>
      </w:r>
    </w:p>
    <w:p w:rsidR="00667AA0" w:rsidRPr="005E308E" w:rsidRDefault="00667AA0" w:rsidP="00667AA0">
      <w:pPr>
        <w:spacing w:line="360" w:lineRule="auto"/>
        <w:jc w:val="both"/>
        <w:rPr>
          <w:rFonts w:ascii="Palatino Linotype" w:hAnsi="Palatino Linotype"/>
          <w:b/>
          <w:sz w:val="22"/>
          <w:szCs w:val="22"/>
        </w:rPr>
      </w:pPr>
    </w:p>
    <w:p w:rsidR="00667AA0" w:rsidRPr="005E308E" w:rsidRDefault="00667AA0" w:rsidP="00667AA0">
      <w:pPr>
        <w:keepNext/>
        <w:keepLines/>
        <w:spacing w:line="360" w:lineRule="auto"/>
        <w:jc w:val="center"/>
        <w:outlineLvl w:val="0"/>
        <w:rPr>
          <w:rFonts w:ascii="Palatino Linotype" w:eastAsiaTheme="majorEastAsia" w:hAnsi="Palatino Linotype" w:cstheme="majorBidi"/>
          <w:b/>
          <w:sz w:val="22"/>
          <w:szCs w:val="22"/>
        </w:rPr>
      </w:pPr>
      <w:bookmarkStart w:id="0" w:name="_Toc66992241"/>
      <w:r w:rsidRPr="005E308E">
        <w:rPr>
          <w:rFonts w:ascii="Palatino Linotype" w:eastAsiaTheme="majorEastAsia" w:hAnsi="Palatino Linotype" w:cstheme="majorBidi"/>
          <w:b/>
          <w:sz w:val="22"/>
          <w:szCs w:val="22"/>
        </w:rPr>
        <w:t>ANTECEDENTES</w:t>
      </w:r>
      <w:bookmarkEnd w:id="0"/>
    </w:p>
    <w:p w:rsidR="00667AA0" w:rsidRPr="005E308E" w:rsidRDefault="00667AA0" w:rsidP="00667AA0">
      <w:pPr>
        <w:spacing w:line="360" w:lineRule="auto"/>
        <w:rPr>
          <w:rFonts w:ascii="Palatino Linotype" w:eastAsiaTheme="minorEastAsia" w:hAnsi="Palatino Linotype"/>
          <w:sz w:val="22"/>
          <w:szCs w:val="22"/>
        </w:rPr>
      </w:pPr>
    </w:p>
    <w:p w:rsidR="00667AA0" w:rsidRPr="005E308E" w:rsidRDefault="00667AA0" w:rsidP="00667AA0">
      <w:pPr>
        <w:pStyle w:val="Prrafodelista"/>
        <w:numPr>
          <w:ilvl w:val="0"/>
          <w:numId w:val="1"/>
        </w:numPr>
        <w:spacing w:line="360" w:lineRule="auto"/>
        <w:ind w:left="0" w:firstLine="0"/>
        <w:jc w:val="both"/>
        <w:rPr>
          <w:rFonts w:ascii="Palatino Linotype" w:hAnsi="Palatino Linotype" w:cs="Arial"/>
          <w:szCs w:val="22"/>
          <w:lang w:val="es-ES" w:eastAsia="es-ES"/>
        </w:rPr>
      </w:pPr>
      <w:r w:rsidRPr="005E308E">
        <w:rPr>
          <w:rFonts w:ascii="Palatino Linotype" w:eastAsia="Calibri" w:hAnsi="Palatino Linotype" w:cs="Arial"/>
          <w:szCs w:val="22"/>
          <w:lang w:val="es-ES" w:eastAsia="es-ES"/>
        </w:rPr>
        <w:t xml:space="preserve">El </w:t>
      </w:r>
      <w:r w:rsidR="008935FA" w:rsidRPr="005E308E">
        <w:rPr>
          <w:rFonts w:ascii="Palatino Linotype" w:eastAsia="Calibri" w:hAnsi="Palatino Linotype" w:cs="Arial"/>
          <w:b/>
          <w:szCs w:val="22"/>
          <w:lang w:val="es-ES" w:eastAsia="es-ES"/>
        </w:rPr>
        <w:t>nueve de octubre</w:t>
      </w:r>
      <w:r w:rsidRPr="005E308E">
        <w:rPr>
          <w:rFonts w:ascii="Palatino Linotype" w:eastAsia="Calibri" w:hAnsi="Palatino Linotype" w:cs="Arial"/>
          <w:b/>
          <w:szCs w:val="22"/>
          <w:lang w:val="es-ES" w:eastAsia="es-ES"/>
        </w:rPr>
        <w:t xml:space="preserve"> de dos mil veinticuatro</w:t>
      </w:r>
      <w:r w:rsidRPr="005E308E">
        <w:rPr>
          <w:rFonts w:ascii="Palatino Linotype" w:eastAsia="Calibri" w:hAnsi="Palatino Linotype" w:cs="Arial"/>
          <w:szCs w:val="22"/>
          <w:lang w:val="es-ES" w:eastAsia="es-ES"/>
        </w:rPr>
        <w:t>,</w:t>
      </w:r>
      <w:r w:rsidRPr="005E308E">
        <w:rPr>
          <w:rFonts w:ascii="Palatino Linotype" w:eastAsia="Calibri" w:hAnsi="Palatino Linotype"/>
          <w:szCs w:val="22"/>
          <w:lang w:val="es-ES" w:eastAsia="es-ES"/>
        </w:rPr>
        <w:t xml:space="preserve"> </w:t>
      </w:r>
      <w:r w:rsidRPr="005E308E">
        <w:rPr>
          <w:rFonts w:ascii="Palatino Linotype" w:eastAsia="Calibri" w:hAnsi="Palatino Linotype"/>
          <w:b/>
          <w:szCs w:val="22"/>
          <w:lang w:val="es-ES" w:eastAsia="es-ES"/>
        </w:rPr>
        <w:t>EL RECURRENTE</w:t>
      </w:r>
      <w:r w:rsidRPr="005E308E">
        <w:rPr>
          <w:rFonts w:ascii="Palatino Linotype" w:eastAsiaTheme="minorEastAsia" w:hAnsi="Palatino Linotype"/>
          <w:b/>
          <w:szCs w:val="22"/>
          <w:lang w:val="es-ES_tradnl" w:eastAsia="es-ES"/>
        </w:rPr>
        <w:t>,</w:t>
      </w:r>
      <w:r w:rsidRPr="005E308E">
        <w:rPr>
          <w:rFonts w:ascii="Palatino Linotype" w:eastAsia="Calibri" w:hAnsi="Palatino Linotype" w:cs="Arial"/>
          <w:szCs w:val="22"/>
          <w:lang w:val="es-ES" w:eastAsia="es-ES"/>
        </w:rPr>
        <w:t xml:space="preserve"> ante el </w:t>
      </w:r>
      <w:r w:rsidRPr="005E308E">
        <w:rPr>
          <w:rFonts w:ascii="Palatino Linotype" w:eastAsia="Calibri" w:hAnsi="Palatino Linotype" w:cs="Arial"/>
          <w:b/>
          <w:szCs w:val="22"/>
          <w:lang w:val="es-ES" w:eastAsia="es-ES"/>
        </w:rPr>
        <w:t>SUJETO OBLIGADO</w:t>
      </w:r>
      <w:r w:rsidRPr="005E308E">
        <w:rPr>
          <w:rFonts w:ascii="Palatino Linotype" w:eastAsia="Calibri" w:hAnsi="Palatino Linotype" w:cs="Arial"/>
          <w:szCs w:val="22"/>
          <w:lang w:val="es-ES_tradnl" w:eastAsia="es-ES"/>
        </w:rPr>
        <w:t xml:space="preserve"> a través del Sistema de Acceso a la Información Mexiquense (SAIMEX)</w:t>
      </w:r>
      <w:r w:rsidRPr="005E308E">
        <w:rPr>
          <w:rFonts w:ascii="Palatino Linotype" w:eastAsia="Calibri" w:hAnsi="Palatino Linotype" w:cs="Arial"/>
          <w:szCs w:val="22"/>
          <w:lang w:val="es-ES" w:eastAsia="es-ES"/>
        </w:rPr>
        <w:t xml:space="preserve">, presentó una solicitud de información registrada con el número </w:t>
      </w:r>
      <w:r w:rsidR="008935FA" w:rsidRPr="005E308E">
        <w:rPr>
          <w:rFonts w:ascii="Palatino Linotype" w:hAnsi="Palatino Linotype"/>
          <w:b/>
          <w:bCs/>
          <w:szCs w:val="22"/>
        </w:rPr>
        <w:t>00724/SMOV/IP/2024</w:t>
      </w:r>
      <w:r w:rsidRPr="005E308E">
        <w:rPr>
          <w:rFonts w:ascii="Palatino Linotype" w:eastAsiaTheme="minorEastAsia" w:hAnsi="Palatino Linotype"/>
          <w:b/>
          <w:szCs w:val="22"/>
          <w:lang w:val="es-ES_tradnl" w:eastAsia="es-ES"/>
        </w:rPr>
        <w:t xml:space="preserve">, </w:t>
      </w:r>
      <w:r w:rsidRPr="005E308E">
        <w:rPr>
          <w:rFonts w:ascii="Palatino Linotype" w:eastAsia="Calibri" w:hAnsi="Palatino Linotype" w:cs="Arial"/>
          <w:szCs w:val="22"/>
          <w:lang w:val="es-ES" w:eastAsia="es-ES"/>
        </w:rPr>
        <w:t>mediante la cual solicitó lo siguiente:</w:t>
      </w:r>
    </w:p>
    <w:p w:rsidR="00667AA0" w:rsidRPr="005E308E" w:rsidRDefault="00667AA0" w:rsidP="00667AA0">
      <w:pPr>
        <w:pStyle w:val="Prrafodelista"/>
        <w:spacing w:line="360" w:lineRule="auto"/>
        <w:ind w:left="0"/>
        <w:jc w:val="both"/>
        <w:rPr>
          <w:rFonts w:ascii="Palatino Linotype" w:hAnsi="Palatino Linotype" w:cs="Arial"/>
          <w:szCs w:val="22"/>
          <w:lang w:val="es-ES" w:eastAsia="es-ES"/>
        </w:rPr>
      </w:pPr>
    </w:p>
    <w:p w:rsidR="00667AA0" w:rsidRPr="005E308E" w:rsidRDefault="00667AA0" w:rsidP="00667AA0">
      <w:pPr>
        <w:pStyle w:val="Prrafodelista"/>
        <w:spacing w:line="360" w:lineRule="auto"/>
        <w:ind w:right="567"/>
        <w:jc w:val="both"/>
        <w:rPr>
          <w:rFonts w:ascii="Palatino Linotype" w:hAnsi="Palatino Linotype"/>
          <w:i/>
          <w:color w:val="000000"/>
          <w:szCs w:val="22"/>
        </w:rPr>
      </w:pPr>
      <w:r w:rsidRPr="005E308E">
        <w:rPr>
          <w:rFonts w:ascii="Palatino Linotype" w:hAnsi="Palatino Linotype"/>
          <w:i/>
          <w:color w:val="000000"/>
          <w:szCs w:val="22"/>
        </w:rPr>
        <w:t>“</w:t>
      </w:r>
      <w:r w:rsidR="008935FA" w:rsidRPr="005E308E">
        <w:rPr>
          <w:rFonts w:ascii="Palatino Linotype" w:hAnsi="Palatino Linotype"/>
          <w:i/>
          <w:color w:val="000000"/>
          <w:szCs w:val="22"/>
        </w:rPr>
        <w:t>Se solicitan los convenios firmados por el Secretario de Movilidad con cualqueir institución pública, empresas privadas, empresarios de transporte público.</w:t>
      </w:r>
      <w:r w:rsidRPr="005E308E">
        <w:rPr>
          <w:rFonts w:ascii="Palatino Linotype" w:hAnsi="Palatino Linotype"/>
          <w:i/>
          <w:color w:val="000000"/>
          <w:szCs w:val="22"/>
        </w:rPr>
        <w:t xml:space="preserve">” (Sic) </w:t>
      </w:r>
    </w:p>
    <w:p w:rsidR="00667AA0" w:rsidRPr="005E308E" w:rsidRDefault="00667AA0" w:rsidP="00667AA0">
      <w:pPr>
        <w:pStyle w:val="Prrafodelista"/>
        <w:spacing w:line="360" w:lineRule="auto"/>
        <w:ind w:left="0"/>
        <w:jc w:val="both"/>
        <w:rPr>
          <w:rFonts w:ascii="Palatino Linotype" w:hAnsi="Palatino Linotype" w:cs="Arial"/>
          <w:szCs w:val="22"/>
          <w:lang w:val="es-ES" w:eastAsia="es-ES"/>
        </w:rPr>
      </w:pPr>
    </w:p>
    <w:p w:rsidR="008935FA" w:rsidRPr="005E308E" w:rsidRDefault="00667AA0" w:rsidP="008935FA">
      <w:pPr>
        <w:pStyle w:val="Prrafodelista"/>
        <w:numPr>
          <w:ilvl w:val="0"/>
          <w:numId w:val="1"/>
        </w:numPr>
        <w:spacing w:line="360" w:lineRule="auto"/>
        <w:ind w:left="0" w:firstLine="0"/>
        <w:jc w:val="both"/>
        <w:rPr>
          <w:rFonts w:ascii="Palatino Linotype" w:hAnsi="Palatino Linotype" w:cs="Arial"/>
          <w:szCs w:val="22"/>
          <w:lang w:val="es-ES" w:eastAsia="es-ES"/>
        </w:rPr>
      </w:pPr>
      <w:r w:rsidRPr="005E308E">
        <w:rPr>
          <w:rFonts w:ascii="Palatino Linotype" w:hAnsi="Palatino Linotype" w:cs="Arial"/>
          <w:szCs w:val="22"/>
          <w:lang w:val="es-ES" w:eastAsia="es-ES"/>
        </w:rPr>
        <w:t>Se señaló como modalidad de entrega a través de SAIMEX.</w:t>
      </w:r>
    </w:p>
    <w:p w:rsidR="008935FA" w:rsidRPr="005E308E" w:rsidRDefault="008935FA" w:rsidP="008935FA">
      <w:pPr>
        <w:pStyle w:val="Prrafodelista"/>
        <w:spacing w:line="360" w:lineRule="auto"/>
        <w:ind w:left="0"/>
        <w:jc w:val="both"/>
        <w:rPr>
          <w:rFonts w:ascii="Palatino Linotype" w:hAnsi="Palatino Linotype" w:cs="Arial"/>
          <w:szCs w:val="22"/>
          <w:lang w:val="es-ES" w:eastAsia="es-ES"/>
        </w:rPr>
      </w:pPr>
    </w:p>
    <w:p w:rsidR="008935FA" w:rsidRPr="005E308E" w:rsidRDefault="008935FA" w:rsidP="008935FA">
      <w:pPr>
        <w:pStyle w:val="Prrafodelista"/>
        <w:numPr>
          <w:ilvl w:val="0"/>
          <w:numId w:val="1"/>
        </w:numPr>
        <w:spacing w:line="360" w:lineRule="auto"/>
        <w:ind w:left="0" w:firstLine="0"/>
        <w:jc w:val="both"/>
        <w:rPr>
          <w:rFonts w:ascii="Palatino Linotype" w:hAnsi="Palatino Linotype" w:cs="Arial"/>
          <w:szCs w:val="22"/>
          <w:lang w:val="es-ES" w:eastAsia="es-ES"/>
        </w:rPr>
      </w:pPr>
      <w:r w:rsidRPr="005E308E">
        <w:rPr>
          <w:rFonts w:ascii="Palatino Linotype" w:hAnsi="Palatino Linotype" w:cs="Arial"/>
          <w:szCs w:val="22"/>
          <w:lang w:val="es-ES" w:eastAsia="es-ES"/>
        </w:rPr>
        <w:t xml:space="preserve">El </w:t>
      </w:r>
      <w:r w:rsidRPr="005E308E">
        <w:rPr>
          <w:rFonts w:ascii="Palatino Linotype" w:hAnsi="Palatino Linotype" w:cs="Arial"/>
          <w:b/>
          <w:szCs w:val="22"/>
          <w:lang w:val="es-ES" w:eastAsia="es-ES"/>
        </w:rPr>
        <w:t>diez de octubre de dos mil veinticuatro</w:t>
      </w:r>
      <w:r w:rsidRPr="005E308E">
        <w:rPr>
          <w:rFonts w:ascii="Palatino Linotype" w:hAnsi="Palatino Linotype" w:cs="Arial"/>
          <w:szCs w:val="22"/>
          <w:lang w:val="es-ES" w:eastAsia="es-ES"/>
        </w:rPr>
        <w:t xml:space="preserve">, se realizó un requerimiento de información al servidor público habilitado. </w:t>
      </w:r>
    </w:p>
    <w:p w:rsidR="00667AA0" w:rsidRPr="005E308E" w:rsidRDefault="00667AA0" w:rsidP="00667AA0">
      <w:pPr>
        <w:pStyle w:val="Prrafodelista"/>
        <w:spacing w:line="360" w:lineRule="auto"/>
        <w:ind w:left="0"/>
        <w:jc w:val="both"/>
        <w:rPr>
          <w:rFonts w:ascii="Palatino Linotype" w:hAnsi="Palatino Linotype" w:cs="Arial"/>
          <w:szCs w:val="22"/>
          <w:lang w:val="es-ES" w:eastAsia="es-ES"/>
        </w:rPr>
      </w:pPr>
    </w:p>
    <w:p w:rsidR="00667AA0" w:rsidRPr="005E308E" w:rsidRDefault="00667AA0" w:rsidP="00667AA0">
      <w:pPr>
        <w:pStyle w:val="Prrafodelista"/>
        <w:numPr>
          <w:ilvl w:val="0"/>
          <w:numId w:val="1"/>
        </w:numPr>
        <w:spacing w:line="360" w:lineRule="auto"/>
        <w:ind w:left="0" w:firstLine="0"/>
        <w:jc w:val="both"/>
        <w:rPr>
          <w:rFonts w:ascii="Palatino Linotype" w:hAnsi="Palatino Linotype" w:cs="Arial"/>
          <w:szCs w:val="22"/>
          <w:lang w:val="es-ES" w:eastAsia="es-ES"/>
        </w:rPr>
      </w:pPr>
      <w:r w:rsidRPr="005E308E">
        <w:rPr>
          <w:rFonts w:ascii="Palatino Linotype" w:hAnsi="Palatino Linotype" w:cs="Arial"/>
          <w:szCs w:val="22"/>
          <w:lang w:val="es-ES" w:eastAsia="es-ES"/>
        </w:rPr>
        <w:t xml:space="preserve">El </w:t>
      </w:r>
      <w:r w:rsidR="008935FA" w:rsidRPr="005E308E">
        <w:rPr>
          <w:rFonts w:ascii="Palatino Linotype" w:hAnsi="Palatino Linotype" w:cs="Arial"/>
          <w:b/>
          <w:szCs w:val="22"/>
          <w:lang w:val="es-ES" w:eastAsia="es-ES"/>
        </w:rPr>
        <w:t>treinta de octubre</w:t>
      </w:r>
      <w:r w:rsidRPr="005E308E">
        <w:rPr>
          <w:rFonts w:ascii="Palatino Linotype" w:hAnsi="Palatino Linotype" w:cs="Arial"/>
          <w:b/>
          <w:szCs w:val="22"/>
          <w:lang w:val="es-ES" w:eastAsia="es-ES"/>
        </w:rPr>
        <w:t xml:space="preserve"> de dos mil veinticuatro</w:t>
      </w:r>
      <w:r w:rsidR="008935FA" w:rsidRPr="005E308E">
        <w:rPr>
          <w:rFonts w:ascii="Palatino Linotype" w:hAnsi="Palatino Linotype" w:cs="Arial"/>
          <w:szCs w:val="22"/>
          <w:lang w:val="es-ES" w:eastAsia="es-ES"/>
        </w:rPr>
        <w:t>, e</w:t>
      </w:r>
      <w:r w:rsidRPr="005E308E">
        <w:rPr>
          <w:rFonts w:ascii="Palatino Linotype" w:hAnsi="Palatino Linotype" w:cs="Arial"/>
          <w:szCs w:val="22"/>
          <w:lang w:val="es-ES" w:eastAsia="es-ES"/>
        </w:rPr>
        <w:t>l Sujeto Obligado dio respuesta a la solicitud de información en los siguientes términos:</w:t>
      </w:r>
    </w:p>
    <w:tbl>
      <w:tblPr>
        <w:tblW w:w="7331" w:type="dxa"/>
        <w:jc w:val="center"/>
        <w:tblCellSpacing w:w="0" w:type="dxa"/>
        <w:tblCellMar>
          <w:left w:w="0" w:type="dxa"/>
          <w:right w:w="0" w:type="dxa"/>
        </w:tblCellMar>
        <w:tblLook w:val="04A0" w:firstRow="1" w:lastRow="0" w:firstColumn="1" w:lastColumn="0" w:noHBand="0" w:noVBand="1"/>
      </w:tblPr>
      <w:tblGrid>
        <w:gridCol w:w="7331"/>
      </w:tblGrid>
      <w:tr w:rsidR="008935FA" w:rsidRPr="005E308E" w:rsidTr="008935FA">
        <w:trPr>
          <w:trHeight w:val="338"/>
          <w:tblCellSpacing w:w="0" w:type="dxa"/>
          <w:jc w:val="center"/>
        </w:trPr>
        <w:tc>
          <w:tcPr>
            <w:tcW w:w="0" w:type="auto"/>
            <w:vAlign w:val="center"/>
            <w:hideMark/>
          </w:tcPr>
          <w:p w:rsidR="008935FA" w:rsidRPr="005E308E" w:rsidRDefault="008935FA" w:rsidP="008935FA">
            <w:pPr>
              <w:jc w:val="right"/>
              <w:rPr>
                <w:rFonts w:ascii="Palatino Linotype" w:hAnsi="Palatino Linotype"/>
                <w:i/>
                <w:sz w:val="22"/>
                <w:szCs w:val="22"/>
              </w:rPr>
            </w:pPr>
            <w:r w:rsidRPr="005E308E">
              <w:rPr>
                <w:rFonts w:ascii="Palatino Linotype" w:hAnsi="Palatino Linotype"/>
                <w:i/>
                <w:sz w:val="22"/>
                <w:szCs w:val="22"/>
              </w:rPr>
              <w:lastRenderedPageBreak/>
              <w:t>Metepec, México a 30 de Octubre de 2024</w:t>
            </w:r>
          </w:p>
        </w:tc>
      </w:tr>
      <w:tr w:rsidR="008935FA" w:rsidRPr="005E308E" w:rsidTr="008935FA">
        <w:trPr>
          <w:trHeight w:val="338"/>
          <w:tblCellSpacing w:w="0" w:type="dxa"/>
          <w:jc w:val="center"/>
        </w:trPr>
        <w:tc>
          <w:tcPr>
            <w:tcW w:w="0" w:type="auto"/>
            <w:vAlign w:val="center"/>
            <w:hideMark/>
          </w:tcPr>
          <w:p w:rsidR="008935FA" w:rsidRPr="005E308E" w:rsidRDefault="008935FA" w:rsidP="008935FA">
            <w:pPr>
              <w:jc w:val="right"/>
              <w:rPr>
                <w:rFonts w:ascii="Palatino Linotype" w:hAnsi="Palatino Linotype"/>
                <w:i/>
                <w:sz w:val="22"/>
                <w:szCs w:val="22"/>
              </w:rPr>
            </w:pPr>
            <w:r w:rsidRPr="005E308E">
              <w:rPr>
                <w:rFonts w:ascii="Palatino Linotype" w:hAnsi="Palatino Linotype"/>
                <w:i/>
                <w:sz w:val="22"/>
                <w:szCs w:val="22"/>
              </w:rPr>
              <w:t>Nombre del solicitante: C. Solicitante</w:t>
            </w:r>
          </w:p>
        </w:tc>
      </w:tr>
      <w:tr w:rsidR="008935FA" w:rsidRPr="005E308E" w:rsidTr="008935FA">
        <w:trPr>
          <w:trHeight w:val="338"/>
          <w:tblCellSpacing w:w="0" w:type="dxa"/>
          <w:jc w:val="center"/>
        </w:trPr>
        <w:tc>
          <w:tcPr>
            <w:tcW w:w="0" w:type="auto"/>
            <w:vAlign w:val="center"/>
            <w:hideMark/>
          </w:tcPr>
          <w:p w:rsidR="008935FA" w:rsidRPr="005E308E" w:rsidRDefault="008935FA" w:rsidP="008935FA">
            <w:pPr>
              <w:jc w:val="right"/>
              <w:rPr>
                <w:rFonts w:ascii="Palatino Linotype" w:hAnsi="Palatino Linotype"/>
                <w:i/>
                <w:sz w:val="22"/>
                <w:szCs w:val="22"/>
              </w:rPr>
            </w:pPr>
            <w:r w:rsidRPr="005E308E">
              <w:rPr>
                <w:rFonts w:ascii="Palatino Linotype" w:hAnsi="Palatino Linotype"/>
                <w:i/>
                <w:sz w:val="22"/>
                <w:szCs w:val="22"/>
              </w:rPr>
              <w:t>Folio de la solicitud: 00724/SMOV/IP/2024</w:t>
            </w:r>
          </w:p>
        </w:tc>
      </w:tr>
      <w:tr w:rsidR="008935FA" w:rsidRPr="005E308E" w:rsidTr="008935FA">
        <w:trPr>
          <w:trHeight w:val="507"/>
          <w:tblCellSpacing w:w="0" w:type="dxa"/>
          <w:jc w:val="center"/>
        </w:trPr>
        <w:tc>
          <w:tcPr>
            <w:tcW w:w="0" w:type="auto"/>
            <w:vAlign w:val="center"/>
            <w:hideMark/>
          </w:tcPr>
          <w:p w:rsidR="008935FA" w:rsidRPr="005E308E" w:rsidRDefault="008935FA" w:rsidP="008935FA">
            <w:pPr>
              <w:jc w:val="right"/>
              <w:rPr>
                <w:rFonts w:ascii="Palatino Linotype" w:hAnsi="Palatino Linotype"/>
                <w:i/>
                <w:sz w:val="22"/>
                <w:szCs w:val="22"/>
              </w:rPr>
            </w:pPr>
          </w:p>
        </w:tc>
      </w:tr>
      <w:tr w:rsidR="008935FA" w:rsidRPr="005E308E" w:rsidTr="008935FA">
        <w:trPr>
          <w:trHeight w:val="169"/>
          <w:tblCellSpacing w:w="0" w:type="dxa"/>
          <w:jc w:val="center"/>
        </w:trPr>
        <w:tc>
          <w:tcPr>
            <w:tcW w:w="0" w:type="auto"/>
            <w:vAlign w:val="center"/>
            <w:hideMark/>
          </w:tcPr>
          <w:p w:rsidR="008935FA" w:rsidRPr="005E308E" w:rsidRDefault="008935FA" w:rsidP="008935FA">
            <w:pPr>
              <w:rPr>
                <w:rFonts w:ascii="Palatino Linotype" w:hAnsi="Palatino Linotype"/>
                <w:i/>
                <w:sz w:val="22"/>
                <w:szCs w:val="22"/>
              </w:rPr>
            </w:pPr>
            <w:r w:rsidRPr="005E308E">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8935FA" w:rsidRPr="005E308E" w:rsidTr="008935FA">
        <w:trPr>
          <w:trHeight w:val="423"/>
          <w:tblCellSpacing w:w="0" w:type="dxa"/>
          <w:jc w:val="center"/>
        </w:trPr>
        <w:tc>
          <w:tcPr>
            <w:tcW w:w="0" w:type="auto"/>
            <w:vAlign w:val="center"/>
            <w:hideMark/>
          </w:tcPr>
          <w:p w:rsidR="008935FA" w:rsidRPr="005E308E" w:rsidRDefault="008935FA" w:rsidP="008935FA">
            <w:pPr>
              <w:rPr>
                <w:rFonts w:ascii="Palatino Linotype" w:hAnsi="Palatino Linotype"/>
                <w:i/>
                <w:sz w:val="22"/>
                <w:szCs w:val="22"/>
              </w:rPr>
            </w:pPr>
          </w:p>
        </w:tc>
      </w:tr>
      <w:tr w:rsidR="008935FA" w:rsidRPr="005E308E" w:rsidTr="008935FA">
        <w:trPr>
          <w:trHeight w:val="169"/>
          <w:tblCellSpacing w:w="0" w:type="dxa"/>
          <w:jc w:val="center"/>
        </w:trPr>
        <w:tc>
          <w:tcPr>
            <w:tcW w:w="0" w:type="auto"/>
            <w:vAlign w:val="center"/>
            <w:hideMark/>
          </w:tcPr>
          <w:p w:rsidR="008935FA" w:rsidRPr="005E308E" w:rsidRDefault="008935FA" w:rsidP="008935FA">
            <w:pPr>
              <w:rPr>
                <w:rFonts w:ascii="Palatino Linotype" w:hAnsi="Palatino Linotype"/>
                <w:i/>
                <w:sz w:val="22"/>
                <w:szCs w:val="22"/>
              </w:rPr>
            </w:pPr>
            <w:r w:rsidRPr="005E308E">
              <w:rPr>
                <w:rFonts w:ascii="Palatino Linotype" w:hAnsi="Palatino Linotype"/>
                <w:i/>
                <w:sz w:val="22"/>
                <w:szCs w:val="22"/>
              </w:rPr>
              <w:t>se anexa respuesta</w:t>
            </w:r>
          </w:p>
        </w:tc>
      </w:tr>
      <w:tr w:rsidR="008935FA" w:rsidRPr="005E308E" w:rsidTr="008935FA">
        <w:trPr>
          <w:trHeight w:val="423"/>
          <w:tblCellSpacing w:w="0" w:type="dxa"/>
          <w:jc w:val="center"/>
        </w:trPr>
        <w:tc>
          <w:tcPr>
            <w:tcW w:w="0" w:type="auto"/>
            <w:vAlign w:val="center"/>
            <w:hideMark/>
          </w:tcPr>
          <w:p w:rsidR="008935FA" w:rsidRPr="005E308E" w:rsidRDefault="008935FA" w:rsidP="008935FA">
            <w:pPr>
              <w:rPr>
                <w:rFonts w:ascii="Palatino Linotype" w:hAnsi="Palatino Linotype"/>
                <w:i/>
                <w:sz w:val="22"/>
                <w:szCs w:val="22"/>
              </w:rPr>
            </w:pPr>
          </w:p>
        </w:tc>
      </w:tr>
      <w:tr w:rsidR="008935FA" w:rsidRPr="005E308E" w:rsidTr="008935FA">
        <w:trPr>
          <w:trHeight w:val="169"/>
          <w:tblCellSpacing w:w="0" w:type="dxa"/>
          <w:jc w:val="center"/>
        </w:trPr>
        <w:tc>
          <w:tcPr>
            <w:tcW w:w="0" w:type="auto"/>
            <w:vAlign w:val="center"/>
            <w:hideMark/>
          </w:tcPr>
          <w:p w:rsidR="008935FA" w:rsidRPr="005E308E" w:rsidRDefault="008935FA" w:rsidP="008935FA">
            <w:pPr>
              <w:jc w:val="center"/>
              <w:rPr>
                <w:rFonts w:ascii="Palatino Linotype" w:hAnsi="Palatino Linotype"/>
                <w:i/>
                <w:sz w:val="22"/>
                <w:szCs w:val="22"/>
              </w:rPr>
            </w:pPr>
          </w:p>
        </w:tc>
      </w:tr>
      <w:tr w:rsidR="008935FA" w:rsidRPr="005E308E" w:rsidTr="008935FA">
        <w:trPr>
          <w:trHeight w:val="169"/>
          <w:tblCellSpacing w:w="0" w:type="dxa"/>
          <w:jc w:val="center"/>
        </w:trPr>
        <w:tc>
          <w:tcPr>
            <w:tcW w:w="0" w:type="auto"/>
            <w:vAlign w:val="center"/>
            <w:hideMark/>
          </w:tcPr>
          <w:p w:rsidR="008935FA" w:rsidRPr="005E308E" w:rsidRDefault="008935FA" w:rsidP="008935FA">
            <w:pPr>
              <w:rPr>
                <w:rFonts w:ascii="Palatino Linotype" w:hAnsi="Palatino Linotype"/>
                <w:i/>
                <w:sz w:val="22"/>
                <w:szCs w:val="22"/>
              </w:rPr>
            </w:pPr>
          </w:p>
        </w:tc>
      </w:tr>
      <w:tr w:rsidR="008935FA" w:rsidRPr="005E308E" w:rsidTr="008935FA">
        <w:trPr>
          <w:trHeight w:val="169"/>
          <w:tblCellSpacing w:w="0" w:type="dxa"/>
          <w:jc w:val="center"/>
        </w:trPr>
        <w:tc>
          <w:tcPr>
            <w:tcW w:w="0" w:type="auto"/>
            <w:vAlign w:val="center"/>
            <w:hideMark/>
          </w:tcPr>
          <w:p w:rsidR="008935FA" w:rsidRPr="005E308E" w:rsidRDefault="008935FA" w:rsidP="008935FA">
            <w:pPr>
              <w:rPr>
                <w:rFonts w:ascii="Palatino Linotype" w:hAnsi="Palatino Linotype"/>
                <w:i/>
                <w:sz w:val="22"/>
                <w:szCs w:val="22"/>
              </w:rPr>
            </w:pPr>
            <w:r w:rsidRPr="005E308E">
              <w:rPr>
                <w:rFonts w:ascii="Palatino Linotype" w:hAnsi="Palatino Linotype"/>
                <w:i/>
                <w:sz w:val="22"/>
                <w:szCs w:val="22"/>
              </w:rPr>
              <w:t>ATENTAMENTE</w:t>
            </w:r>
          </w:p>
        </w:tc>
      </w:tr>
      <w:tr w:rsidR="008935FA" w:rsidRPr="005E308E" w:rsidTr="008935FA">
        <w:trPr>
          <w:trHeight w:val="253"/>
          <w:tblCellSpacing w:w="0" w:type="dxa"/>
          <w:jc w:val="center"/>
        </w:trPr>
        <w:tc>
          <w:tcPr>
            <w:tcW w:w="0" w:type="auto"/>
            <w:vAlign w:val="center"/>
            <w:hideMark/>
          </w:tcPr>
          <w:p w:rsidR="008935FA" w:rsidRPr="005E308E" w:rsidRDefault="008935FA" w:rsidP="008935FA">
            <w:pPr>
              <w:rPr>
                <w:rFonts w:ascii="Palatino Linotype" w:hAnsi="Palatino Linotype"/>
                <w:i/>
                <w:sz w:val="22"/>
                <w:szCs w:val="22"/>
              </w:rPr>
            </w:pPr>
          </w:p>
        </w:tc>
      </w:tr>
      <w:tr w:rsidR="008935FA" w:rsidRPr="005E308E" w:rsidTr="008935FA">
        <w:trPr>
          <w:trHeight w:val="169"/>
          <w:tblCellSpacing w:w="0" w:type="dxa"/>
          <w:jc w:val="center"/>
        </w:trPr>
        <w:tc>
          <w:tcPr>
            <w:tcW w:w="0" w:type="auto"/>
            <w:vAlign w:val="center"/>
            <w:hideMark/>
          </w:tcPr>
          <w:p w:rsidR="008935FA" w:rsidRPr="005E308E" w:rsidRDefault="008935FA" w:rsidP="008935FA">
            <w:pPr>
              <w:rPr>
                <w:rFonts w:ascii="Palatino Linotype" w:hAnsi="Palatino Linotype"/>
                <w:i/>
                <w:sz w:val="22"/>
                <w:szCs w:val="22"/>
              </w:rPr>
            </w:pPr>
            <w:r w:rsidRPr="005E308E">
              <w:rPr>
                <w:rFonts w:ascii="Palatino Linotype" w:hAnsi="Palatino Linotype"/>
                <w:i/>
                <w:sz w:val="22"/>
                <w:szCs w:val="22"/>
              </w:rPr>
              <w:t>Lic. Alejandro Hernández Aguilar</w:t>
            </w:r>
          </w:p>
        </w:tc>
      </w:tr>
    </w:tbl>
    <w:p w:rsidR="00667AA0" w:rsidRPr="005E308E" w:rsidRDefault="00667AA0" w:rsidP="00667AA0">
      <w:pPr>
        <w:pStyle w:val="Prrafodelista"/>
        <w:spacing w:line="360" w:lineRule="auto"/>
        <w:ind w:left="0"/>
        <w:jc w:val="both"/>
        <w:rPr>
          <w:rFonts w:ascii="Palatino Linotype" w:hAnsi="Palatino Linotype" w:cs="Arial"/>
          <w:szCs w:val="22"/>
          <w:lang w:val="es-ES" w:eastAsia="es-ES"/>
        </w:rPr>
      </w:pPr>
    </w:p>
    <w:p w:rsidR="00667AA0" w:rsidRPr="005E308E" w:rsidRDefault="00667AA0" w:rsidP="00667AA0">
      <w:pPr>
        <w:spacing w:line="360" w:lineRule="auto"/>
        <w:jc w:val="both"/>
        <w:rPr>
          <w:rFonts w:ascii="Palatino Linotype" w:hAnsi="Palatino Linotype" w:cs="Arial"/>
          <w:sz w:val="22"/>
          <w:szCs w:val="22"/>
          <w:lang w:val="es-ES" w:eastAsia="es-ES"/>
        </w:rPr>
      </w:pPr>
    </w:p>
    <w:p w:rsidR="00667AA0" w:rsidRPr="005E308E" w:rsidRDefault="00667AA0" w:rsidP="00667AA0">
      <w:pPr>
        <w:pStyle w:val="Prrafodelista"/>
        <w:numPr>
          <w:ilvl w:val="0"/>
          <w:numId w:val="2"/>
        </w:numPr>
        <w:spacing w:line="360" w:lineRule="auto"/>
        <w:jc w:val="both"/>
        <w:rPr>
          <w:rFonts w:ascii="Palatino Linotype" w:hAnsi="Palatino Linotype" w:cs="Arial"/>
          <w:szCs w:val="22"/>
          <w:lang w:val="es-ES" w:eastAsia="es-ES"/>
        </w:rPr>
      </w:pPr>
      <w:r w:rsidRPr="005E308E">
        <w:rPr>
          <w:rFonts w:ascii="Palatino Linotype" w:hAnsi="Palatino Linotype" w:cs="Arial"/>
          <w:szCs w:val="22"/>
          <w:lang w:val="es-ES" w:eastAsia="es-ES"/>
        </w:rPr>
        <w:t>A la respuesta se adjuntaron los archivos que se describen enseguida:</w:t>
      </w:r>
    </w:p>
    <w:p w:rsidR="008935FA" w:rsidRPr="005E308E" w:rsidRDefault="008935FA" w:rsidP="008935FA">
      <w:pPr>
        <w:pStyle w:val="Prrafodelista"/>
        <w:spacing w:line="360" w:lineRule="auto"/>
        <w:jc w:val="both"/>
        <w:rPr>
          <w:rFonts w:ascii="Palatino Linotype" w:hAnsi="Palatino Linotype" w:cs="Arial"/>
          <w:szCs w:val="22"/>
          <w:lang w:val="es-ES" w:eastAsia="es-ES"/>
        </w:rPr>
      </w:pPr>
    </w:p>
    <w:p w:rsidR="008935FA" w:rsidRPr="005E308E" w:rsidRDefault="006A68E9" w:rsidP="008935FA">
      <w:pPr>
        <w:pStyle w:val="Prrafodelista"/>
        <w:numPr>
          <w:ilvl w:val="0"/>
          <w:numId w:val="11"/>
        </w:numPr>
        <w:spacing w:line="360" w:lineRule="auto"/>
        <w:jc w:val="both"/>
        <w:rPr>
          <w:rFonts w:ascii="Palatino Linotype" w:hAnsi="Palatino Linotype" w:cs="Arial"/>
          <w:szCs w:val="22"/>
          <w:lang w:val="es-ES" w:eastAsia="es-ES"/>
        </w:rPr>
      </w:pPr>
      <w:hyperlink r:id="rId7" w:tgtFrame="_blank" w:history="1">
        <w:r w:rsidR="008935FA" w:rsidRPr="005E308E">
          <w:rPr>
            <w:rStyle w:val="Hipervnculo"/>
            <w:rFonts w:ascii="Palatino Linotype" w:hAnsi="Palatino Linotype" w:cs="Arial"/>
            <w:b/>
            <w:bCs/>
            <w:color w:val="auto"/>
            <w:szCs w:val="22"/>
          </w:rPr>
          <w:t>SAIMEX 2024 - 00724 RM.pdf</w:t>
        </w:r>
      </w:hyperlink>
      <w:r w:rsidR="008935FA" w:rsidRPr="005E308E">
        <w:rPr>
          <w:rFonts w:ascii="Palatino Linotype" w:hAnsi="Palatino Linotype"/>
          <w:szCs w:val="22"/>
        </w:rPr>
        <w:t>: oficio número 22000011000200S/0785/2024 de fecha veintiocho de octubre de dos mil veinticuatro, suscrito por la Subdirectora de Recursos Materiales quien refirió que derivado de una búsqueda exhaustiva y razonable de la información no se identificaron documentos referentes a lo solicitado.</w:t>
      </w:r>
    </w:p>
    <w:p w:rsidR="008935FA" w:rsidRPr="005E308E" w:rsidRDefault="008935FA" w:rsidP="008935FA">
      <w:pPr>
        <w:pStyle w:val="Prrafodelista"/>
        <w:spacing w:line="360" w:lineRule="auto"/>
        <w:ind w:left="1440"/>
        <w:jc w:val="both"/>
        <w:rPr>
          <w:rFonts w:ascii="Palatino Linotype" w:hAnsi="Palatino Linotype" w:cs="Arial"/>
          <w:szCs w:val="22"/>
          <w:lang w:val="es-ES" w:eastAsia="es-ES"/>
        </w:rPr>
      </w:pPr>
    </w:p>
    <w:p w:rsidR="008935FA" w:rsidRPr="005E308E" w:rsidRDefault="006A68E9" w:rsidP="008935FA">
      <w:pPr>
        <w:pStyle w:val="Prrafodelista"/>
        <w:numPr>
          <w:ilvl w:val="0"/>
          <w:numId w:val="11"/>
        </w:numPr>
        <w:spacing w:line="360" w:lineRule="auto"/>
        <w:jc w:val="both"/>
        <w:rPr>
          <w:rFonts w:ascii="Palatino Linotype" w:hAnsi="Palatino Linotype" w:cs="Arial"/>
          <w:szCs w:val="22"/>
          <w:lang w:val="es-ES" w:eastAsia="es-ES"/>
        </w:rPr>
      </w:pPr>
      <w:hyperlink r:id="rId8" w:tgtFrame="_blank" w:history="1">
        <w:r w:rsidR="008935FA" w:rsidRPr="005E308E">
          <w:rPr>
            <w:rStyle w:val="Hipervnculo"/>
            <w:rFonts w:ascii="Palatino Linotype" w:hAnsi="Palatino Linotype" w:cs="Arial"/>
            <w:b/>
            <w:bCs/>
            <w:color w:val="auto"/>
            <w:szCs w:val="22"/>
          </w:rPr>
          <w:t>Respuesta a solicitud 724.pdf</w:t>
        </w:r>
      </w:hyperlink>
      <w:r w:rsidR="008935FA" w:rsidRPr="005E308E">
        <w:rPr>
          <w:rFonts w:ascii="Palatino Linotype" w:hAnsi="Palatino Linotype"/>
          <w:szCs w:val="22"/>
        </w:rPr>
        <w:t xml:space="preserve">: documento de respuesta emitido por el Titular de la Unidad de Transparencia en el </w:t>
      </w:r>
      <w:r w:rsidR="006B1819" w:rsidRPr="005E308E">
        <w:rPr>
          <w:rFonts w:ascii="Palatino Linotype" w:hAnsi="Palatino Linotype"/>
          <w:szCs w:val="22"/>
        </w:rPr>
        <w:t xml:space="preserve">que refirió la respuesta de los servidores públicos habilitados. La Dirección General de Vialidad manifestó que derivado de la búsqueda en sus archivos no se localizó lo solicitado. Por su parte, la Coordinación administrativa señaló que se adjunta respuesta. La Coordinación </w:t>
      </w:r>
      <w:r w:rsidR="006B1819" w:rsidRPr="005E308E">
        <w:rPr>
          <w:rFonts w:ascii="Palatino Linotype" w:hAnsi="Palatino Linotype"/>
          <w:szCs w:val="22"/>
        </w:rPr>
        <w:lastRenderedPageBreak/>
        <w:t xml:space="preserve">Jurídica señaló que se hizo una búsqueda con la temporalidad que señala el criterio del INAI y adjuntó dos ligas electrónicas. </w:t>
      </w:r>
    </w:p>
    <w:p w:rsidR="00847410" w:rsidRPr="005E308E" w:rsidRDefault="00847410" w:rsidP="008935FA">
      <w:pPr>
        <w:spacing w:line="360" w:lineRule="auto"/>
        <w:jc w:val="both"/>
        <w:rPr>
          <w:rFonts w:ascii="Palatino Linotype" w:hAnsi="Palatino Linotype" w:cs="Arial"/>
          <w:sz w:val="22"/>
          <w:szCs w:val="22"/>
          <w:lang w:val="es-ES" w:eastAsia="es-ES"/>
        </w:rPr>
      </w:pPr>
    </w:p>
    <w:p w:rsidR="00667AA0" w:rsidRPr="005E308E" w:rsidRDefault="00667AA0" w:rsidP="00667AA0">
      <w:pPr>
        <w:pStyle w:val="Prrafodelista"/>
        <w:numPr>
          <w:ilvl w:val="0"/>
          <w:numId w:val="1"/>
        </w:numPr>
        <w:spacing w:line="360" w:lineRule="auto"/>
        <w:ind w:left="0" w:firstLine="0"/>
        <w:jc w:val="both"/>
        <w:rPr>
          <w:rFonts w:ascii="Palatino Linotype" w:hAnsi="Palatino Linotype" w:cs="Arial"/>
          <w:szCs w:val="22"/>
          <w:lang w:val="es-ES" w:eastAsia="es-ES"/>
        </w:rPr>
      </w:pPr>
      <w:r w:rsidRPr="005E308E">
        <w:rPr>
          <w:rFonts w:ascii="Palatino Linotype" w:eastAsia="Calibri" w:hAnsi="Palatino Linotype" w:cs="Arial"/>
          <w:szCs w:val="22"/>
          <w:lang w:val="es-AR" w:eastAsia="es-ES"/>
        </w:rPr>
        <w:t xml:space="preserve">El </w:t>
      </w:r>
      <w:r w:rsidR="00F62CFF" w:rsidRPr="005E308E">
        <w:rPr>
          <w:rFonts w:ascii="Palatino Linotype" w:eastAsia="Calibri" w:hAnsi="Palatino Linotype" w:cs="Arial"/>
          <w:b/>
          <w:szCs w:val="22"/>
          <w:lang w:val="es-AR" w:eastAsia="es-ES"/>
        </w:rPr>
        <w:t>veintidós de noviembre</w:t>
      </w:r>
      <w:r w:rsidRPr="005E308E">
        <w:rPr>
          <w:rFonts w:ascii="Palatino Linotype" w:eastAsia="Calibri" w:hAnsi="Palatino Linotype" w:cs="Arial"/>
          <w:b/>
          <w:szCs w:val="22"/>
          <w:lang w:val="es-AR" w:eastAsia="es-ES"/>
        </w:rPr>
        <w:t xml:space="preserve"> de dos mil veinticuatro</w:t>
      </w:r>
      <w:r w:rsidRPr="005E308E">
        <w:rPr>
          <w:rFonts w:ascii="Palatino Linotype" w:hAnsi="Palatino Linotype" w:cs="Arial"/>
          <w:szCs w:val="22"/>
          <w:lang w:val="es-ES" w:eastAsia="es-ES"/>
        </w:rPr>
        <w:t xml:space="preserve">, </w:t>
      </w:r>
      <w:r w:rsidRPr="005E308E">
        <w:rPr>
          <w:rFonts w:ascii="Palatino Linotype" w:eastAsiaTheme="minorEastAsia" w:hAnsi="Palatino Linotype"/>
          <w:b/>
          <w:szCs w:val="22"/>
          <w:lang w:val="es-ES_tradnl" w:eastAsia="es-ES"/>
        </w:rPr>
        <w:t>EL RECURRENTE</w:t>
      </w:r>
      <w:r w:rsidRPr="005E308E">
        <w:rPr>
          <w:rFonts w:ascii="Palatino Linotype" w:hAnsi="Palatino Linotype" w:cs="Arial"/>
          <w:szCs w:val="22"/>
          <w:lang w:val="es-ES" w:eastAsia="es-ES"/>
        </w:rPr>
        <w:t xml:space="preserve"> interpuso el recurso de revisión, en contra de la respuesta, señalando como:</w:t>
      </w:r>
    </w:p>
    <w:p w:rsidR="00667AA0" w:rsidRPr="005E308E" w:rsidRDefault="00667AA0" w:rsidP="00667AA0">
      <w:pPr>
        <w:pStyle w:val="Prrafodelista"/>
        <w:spacing w:line="360" w:lineRule="auto"/>
        <w:ind w:left="0"/>
        <w:jc w:val="both"/>
        <w:rPr>
          <w:rFonts w:ascii="Palatino Linotype" w:hAnsi="Palatino Linotype" w:cs="Arial"/>
          <w:szCs w:val="22"/>
          <w:lang w:val="es-ES" w:eastAsia="es-ES"/>
        </w:rPr>
      </w:pPr>
    </w:p>
    <w:p w:rsidR="00667AA0" w:rsidRPr="005E308E" w:rsidRDefault="00667AA0" w:rsidP="00667AA0">
      <w:pPr>
        <w:spacing w:line="360" w:lineRule="auto"/>
        <w:ind w:left="567" w:right="567"/>
        <w:contextualSpacing/>
        <w:jc w:val="both"/>
        <w:rPr>
          <w:rFonts w:ascii="Palatino Linotype" w:eastAsia="Calibri" w:hAnsi="Palatino Linotype" w:cs="Arial"/>
          <w:i/>
          <w:sz w:val="22"/>
          <w:szCs w:val="22"/>
          <w:lang w:val="es-ES" w:eastAsia="es-ES"/>
        </w:rPr>
      </w:pPr>
      <w:r w:rsidRPr="005E308E">
        <w:rPr>
          <w:rFonts w:ascii="Palatino Linotype" w:eastAsiaTheme="minorEastAsia" w:hAnsi="Palatino Linotype"/>
          <w:b/>
          <w:sz w:val="22"/>
          <w:szCs w:val="22"/>
          <w:lang w:val="es-ES_tradnl" w:eastAsia="es-ES"/>
        </w:rPr>
        <w:t>Acto impugnado</w:t>
      </w:r>
      <w:r w:rsidRPr="005E308E">
        <w:rPr>
          <w:rFonts w:ascii="Palatino Linotype" w:eastAsiaTheme="minorEastAsia" w:hAnsi="Palatino Linotype"/>
          <w:b/>
          <w:i/>
          <w:sz w:val="22"/>
          <w:szCs w:val="22"/>
          <w:lang w:val="es-ES_tradnl" w:eastAsia="es-ES"/>
        </w:rPr>
        <w:t>:</w:t>
      </w:r>
      <w:r w:rsidRPr="005E308E">
        <w:rPr>
          <w:rFonts w:ascii="Palatino Linotype" w:hAnsi="Palatino Linotype"/>
          <w:i/>
          <w:color w:val="000000"/>
          <w:sz w:val="22"/>
          <w:szCs w:val="22"/>
        </w:rPr>
        <w:t xml:space="preserve"> "</w:t>
      </w:r>
      <w:r w:rsidR="00F62CFF" w:rsidRPr="005E308E">
        <w:rPr>
          <w:rFonts w:ascii="Palatino Linotype" w:hAnsi="Palatino Linotype"/>
          <w:i/>
          <w:color w:val="000000"/>
          <w:sz w:val="22"/>
          <w:szCs w:val="22"/>
        </w:rPr>
        <w:t>niega la información no entrega los convenios</w:t>
      </w:r>
      <w:r w:rsidRPr="005E308E">
        <w:rPr>
          <w:rFonts w:ascii="Palatino Linotype" w:hAnsi="Palatino Linotype"/>
          <w:i/>
          <w:color w:val="000000"/>
          <w:sz w:val="22"/>
          <w:szCs w:val="22"/>
        </w:rPr>
        <w:t>" (Sic)</w:t>
      </w:r>
    </w:p>
    <w:p w:rsidR="00667AA0" w:rsidRPr="005E308E" w:rsidRDefault="00667AA0" w:rsidP="00667AA0">
      <w:pPr>
        <w:spacing w:line="360" w:lineRule="auto"/>
        <w:ind w:left="567" w:right="567"/>
        <w:contextualSpacing/>
        <w:jc w:val="both"/>
        <w:rPr>
          <w:rFonts w:ascii="Palatino Linotype" w:eastAsia="Calibri" w:hAnsi="Palatino Linotype" w:cs="Arial"/>
          <w:sz w:val="22"/>
          <w:szCs w:val="22"/>
          <w:lang w:val="es-ES" w:eastAsia="es-ES"/>
        </w:rPr>
      </w:pPr>
    </w:p>
    <w:p w:rsidR="00667AA0" w:rsidRPr="005E308E" w:rsidRDefault="00667AA0" w:rsidP="00667AA0">
      <w:pPr>
        <w:spacing w:line="360" w:lineRule="auto"/>
        <w:ind w:left="567" w:right="567"/>
        <w:contextualSpacing/>
        <w:jc w:val="both"/>
        <w:rPr>
          <w:rFonts w:ascii="Palatino Linotype" w:eastAsiaTheme="minorEastAsia" w:hAnsi="Palatino Linotype"/>
          <w:b/>
          <w:sz w:val="22"/>
          <w:szCs w:val="22"/>
          <w:lang w:val="es-ES_tradnl" w:eastAsia="es-ES"/>
        </w:rPr>
      </w:pPr>
      <w:r w:rsidRPr="005E308E">
        <w:rPr>
          <w:rFonts w:ascii="Palatino Linotype" w:eastAsiaTheme="minorEastAsia" w:hAnsi="Palatino Linotype"/>
          <w:b/>
          <w:sz w:val="22"/>
          <w:szCs w:val="22"/>
          <w:lang w:val="es-ES_tradnl" w:eastAsia="es-ES"/>
        </w:rPr>
        <w:t xml:space="preserve">Razones o Motivos de inconformidad: </w:t>
      </w:r>
      <w:r w:rsidRPr="005E308E">
        <w:rPr>
          <w:rFonts w:ascii="Palatino Linotype" w:eastAsiaTheme="minorEastAsia" w:hAnsi="Palatino Linotype"/>
          <w:i/>
          <w:sz w:val="22"/>
          <w:szCs w:val="22"/>
          <w:lang w:eastAsia="es-ES"/>
        </w:rPr>
        <w:t>"</w:t>
      </w:r>
      <w:r w:rsidR="00F62CFF" w:rsidRPr="005E308E">
        <w:rPr>
          <w:rFonts w:ascii="Verdana" w:hAnsi="Verdana"/>
          <w:color w:val="000000"/>
          <w:sz w:val="22"/>
          <w:szCs w:val="22"/>
        </w:rPr>
        <w:t xml:space="preserve"> </w:t>
      </w:r>
      <w:r w:rsidR="00F62CFF" w:rsidRPr="005E308E">
        <w:rPr>
          <w:rFonts w:ascii="Palatino Linotype" w:eastAsiaTheme="minorEastAsia" w:hAnsi="Palatino Linotype"/>
          <w:i/>
          <w:sz w:val="22"/>
          <w:szCs w:val="22"/>
          <w:lang w:eastAsia="es-ES"/>
        </w:rPr>
        <w:t>no entrega los convenios que debe transparentarse</w:t>
      </w:r>
      <w:r w:rsidRPr="005E308E">
        <w:rPr>
          <w:rFonts w:ascii="Palatino Linotype" w:eastAsiaTheme="minorEastAsia" w:hAnsi="Palatino Linotype"/>
          <w:i/>
          <w:sz w:val="22"/>
          <w:szCs w:val="22"/>
          <w:lang w:eastAsia="es-ES"/>
        </w:rPr>
        <w:t>" (Sic)</w:t>
      </w:r>
    </w:p>
    <w:p w:rsidR="00667AA0" w:rsidRPr="005E308E" w:rsidRDefault="00667AA0" w:rsidP="00667AA0">
      <w:pPr>
        <w:spacing w:line="360" w:lineRule="auto"/>
        <w:ind w:right="567"/>
        <w:contextualSpacing/>
        <w:jc w:val="both"/>
        <w:rPr>
          <w:rFonts w:ascii="Palatino Linotype" w:hAnsi="Palatino Linotype" w:cs="Arial"/>
          <w:sz w:val="22"/>
          <w:szCs w:val="22"/>
        </w:rPr>
      </w:pPr>
    </w:p>
    <w:p w:rsidR="00667AA0" w:rsidRPr="005E308E" w:rsidRDefault="00667AA0" w:rsidP="00667AA0">
      <w:pPr>
        <w:pStyle w:val="Prrafodelista"/>
        <w:numPr>
          <w:ilvl w:val="0"/>
          <w:numId w:val="1"/>
        </w:numPr>
        <w:spacing w:line="360" w:lineRule="auto"/>
        <w:ind w:left="0" w:firstLine="0"/>
        <w:jc w:val="both"/>
        <w:rPr>
          <w:rFonts w:ascii="Palatino Linotype" w:hAnsi="Palatino Linotype" w:cs="Arial"/>
          <w:szCs w:val="22"/>
          <w:lang w:val="es-ES" w:eastAsia="es-ES"/>
        </w:rPr>
      </w:pPr>
      <w:r w:rsidRPr="005E308E">
        <w:rPr>
          <w:rFonts w:ascii="Palatino Linotype" w:hAnsi="Palatino Linotype" w:cs="Arial"/>
          <w:szCs w:val="22"/>
          <w:lang w:val="es-ES" w:eastAsia="es-ES"/>
        </w:rPr>
        <w:t xml:space="preserve">Se registró el recurso de revisión bajo el número de expediente </w:t>
      </w:r>
      <w:r w:rsidRPr="005E308E">
        <w:rPr>
          <w:rFonts w:ascii="Palatino Linotype" w:eastAsiaTheme="minorEastAsia" w:hAnsi="Palatino Linotype" w:cs="Arial"/>
          <w:bCs/>
          <w:szCs w:val="22"/>
          <w:lang w:val="es-ES_tradnl" w:eastAsia="es-ES"/>
        </w:rPr>
        <w:t xml:space="preserve">al rubro indicado, asimismo con fundamento en lo dispuesto por el </w:t>
      </w:r>
      <w:r w:rsidRPr="005E308E">
        <w:rPr>
          <w:rFonts w:ascii="Palatino Linotype" w:eastAsia="Calibri" w:hAnsi="Palatino Linotype" w:cs="Arial"/>
          <w:szCs w:val="22"/>
          <w:lang w:val="es-ES" w:eastAsia="es-ES"/>
        </w:rPr>
        <w:t xml:space="preserve">artículo 185 fracción I de la </w:t>
      </w:r>
      <w:r w:rsidRPr="005E308E">
        <w:rPr>
          <w:rFonts w:ascii="Palatino Linotype" w:eastAsia="Calibri" w:hAnsi="Palatino Linotype" w:cs="Arial"/>
          <w:b/>
          <w:szCs w:val="22"/>
          <w:lang w:val="es-ES" w:eastAsia="es-ES"/>
        </w:rPr>
        <w:t xml:space="preserve">Ley de Transparencia y Acceso a la Información Pública del Estado de México y Municipios </w:t>
      </w:r>
      <w:r w:rsidRPr="005E308E">
        <w:rPr>
          <w:rFonts w:ascii="Palatino Linotype" w:hAnsi="Palatino Linotype" w:cs="Arial"/>
          <w:szCs w:val="22"/>
          <w:lang w:val="es-ES" w:eastAsia="es-ES"/>
        </w:rPr>
        <w:t xml:space="preserve">se turnó a la </w:t>
      </w:r>
      <w:r w:rsidRPr="005E308E">
        <w:rPr>
          <w:rFonts w:ascii="Palatino Linotype" w:hAnsi="Palatino Linotype" w:cs="Arial"/>
          <w:b/>
          <w:szCs w:val="22"/>
          <w:lang w:val="es-ES" w:eastAsia="es-ES"/>
        </w:rPr>
        <w:t xml:space="preserve">Comisionada María del Rosario Mejía Ayala, </w:t>
      </w:r>
      <w:r w:rsidRPr="005E308E">
        <w:rPr>
          <w:rFonts w:ascii="Palatino Linotype" w:hAnsi="Palatino Linotype" w:cs="Arial"/>
          <w:szCs w:val="22"/>
          <w:lang w:val="es-ES" w:eastAsia="es-ES"/>
        </w:rPr>
        <w:t xml:space="preserve">con el objeto de </w:t>
      </w:r>
      <w:r w:rsidRPr="005E308E">
        <w:rPr>
          <w:rFonts w:ascii="Palatino Linotype" w:hAnsi="Palatino Linotype" w:cs="Arial"/>
          <w:szCs w:val="22"/>
          <w:lang w:eastAsia="es-ES"/>
        </w:rPr>
        <w:t xml:space="preserve">su análisis. </w:t>
      </w:r>
    </w:p>
    <w:p w:rsidR="00667AA0" w:rsidRPr="005E308E" w:rsidRDefault="00667AA0" w:rsidP="00667AA0">
      <w:pPr>
        <w:pStyle w:val="Prrafodelista"/>
        <w:spacing w:line="360" w:lineRule="auto"/>
        <w:ind w:left="0"/>
        <w:jc w:val="both"/>
        <w:rPr>
          <w:rFonts w:ascii="Palatino Linotype" w:hAnsi="Palatino Linotype" w:cs="Arial"/>
          <w:szCs w:val="22"/>
          <w:lang w:val="es-ES" w:eastAsia="es-ES"/>
        </w:rPr>
      </w:pPr>
    </w:p>
    <w:p w:rsidR="00667AA0" w:rsidRPr="005E308E" w:rsidRDefault="00667AA0" w:rsidP="00667AA0">
      <w:pPr>
        <w:pStyle w:val="Prrafodelista"/>
        <w:numPr>
          <w:ilvl w:val="0"/>
          <w:numId w:val="1"/>
        </w:numPr>
        <w:spacing w:line="360" w:lineRule="auto"/>
        <w:ind w:left="0" w:firstLine="0"/>
        <w:jc w:val="both"/>
        <w:rPr>
          <w:rFonts w:ascii="Palatino Linotype" w:hAnsi="Palatino Linotype" w:cs="Arial"/>
          <w:szCs w:val="22"/>
          <w:lang w:val="es-ES" w:eastAsia="es-ES"/>
        </w:rPr>
      </w:pPr>
      <w:r w:rsidRPr="005E308E">
        <w:rPr>
          <w:rFonts w:ascii="Palatino Linotype" w:eastAsia="Calibri" w:hAnsi="Palatino Linotype" w:cs="Arial"/>
          <w:szCs w:val="22"/>
          <w:lang w:val="es-ES" w:eastAsia="es-ES"/>
        </w:rPr>
        <w:t xml:space="preserve">El Comisionado Ponente con fundamento en lo dispuesto por el artículo 185 fracción II de la ley de la materia, a través del acuerdo de admisión del </w:t>
      </w:r>
      <w:r w:rsidR="00F62CFF" w:rsidRPr="005E308E">
        <w:rPr>
          <w:rFonts w:ascii="Palatino Linotype" w:eastAsia="Calibri" w:hAnsi="Palatino Linotype" w:cs="Arial"/>
          <w:b/>
          <w:szCs w:val="22"/>
          <w:lang w:val="es-ES" w:eastAsia="es-ES"/>
        </w:rPr>
        <w:t>veintiséis de noviembre</w:t>
      </w:r>
      <w:r w:rsidRPr="005E308E">
        <w:rPr>
          <w:rFonts w:ascii="Palatino Linotype" w:eastAsia="Calibri" w:hAnsi="Palatino Linotype" w:cs="Arial"/>
          <w:b/>
          <w:szCs w:val="22"/>
          <w:lang w:val="es-ES" w:eastAsia="es-ES"/>
        </w:rPr>
        <w:t xml:space="preserve"> de dos mil veinticuatro</w:t>
      </w:r>
      <w:r w:rsidRPr="005E308E">
        <w:rPr>
          <w:rFonts w:ascii="Palatino Linotype" w:eastAsia="Calibri" w:hAnsi="Palatino Linotype" w:cs="Arial"/>
          <w:szCs w:val="22"/>
          <w:lang w:val="es-ES" w:eastAsia="es-ES"/>
        </w:rPr>
        <w:t xml:space="preserve">, puso a disposición de las partes el expediente electrónico </w:t>
      </w:r>
      <w:r w:rsidRPr="005E308E">
        <w:rPr>
          <w:rFonts w:ascii="Palatino Linotype" w:eastAsia="Calibri" w:hAnsi="Palatino Linotype" w:cs="Arial"/>
          <w:szCs w:val="22"/>
          <w:lang w:val="es-ES_tradnl" w:eastAsia="es-ES"/>
        </w:rPr>
        <w:t xml:space="preserve">vía </w:t>
      </w:r>
      <w:r w:rsidRPr="005E308E">
        <w:rPr>
          <w:rFonts w:ascii="Palatino Linotype" w:eastAsia="Calibri" w:hAnsi="Palatino Linotype" w:cs="Arial"/>
          <w:b/>
          <w:szCs w:val="22"/>
          <w:lang w:val="es-ES" w:eastAsia="es-ES"/>
        </w:rPr>
        <w:t xml:space="preserve">SAIMEX </w:t>
      </w:r>
      <w:r w:rsidRPr="005E308E">
        <w:rPr>
          <w:rFonts w:ascii="Palatino Linotype" w:eastAsia="Calibri" w:hAnsi="Palatino Linotype" w:cs="Arial"/>
          <w:szCs w:val="22"/>
          <w:lang w:val="es-ES" w:eastAsia="es-ES"/>
        </w:rPr>
        <w:t xml:space="preserve">a efecto de que en un plazo máximo de siete días manifestaran lo que a derecho convinieran, ofrecieran pruebas y alegatos según corresponda al caso concreto, de esta forma para que el </w:t>
      </w:r>
      <w:r w:rsidRPr="005E308E">
        <w:rPr>
          <w:rFonts w:ascii="Palatino Linotype" w:eastAsia="Calibri" w:hAnsi="Palatino Linotype" w:cs="Arial"/>
          <w:b/>
          <w:szCs w:val="22"/>
          <w:lang w:val="es-ES" w:eastAsia="es-ES"/>
        </w:rPr>
        <w:t>SUJETO OBLIGADO</w:t>
      </w:r>
      <w:r w:rsidRPr="005E308E">
        <w:rPr>
          <w:rFonts w:ascii="Palatino Linotype" w:eastAsia="Calibri" w:hAnsi="Palatino Linotype" w:cs="Arial"/>
          <w:szCs w:val="22"/>
          <w:lang w:val="es-ES" w:eastAsia="es-ES"/>
        </w:rPr>
        <w:t xml:space="preserve"> presentara el informe justificado procedente. </w:t>
      </w:r>
    </w:p>
    <w:p w:rsidR="00667AA0" w:rsidRPr="005E308E" w:rsidRDefault="00667AA0" w:rsidP="00667AA0">
      <w:pPr>
        <w:pStyle w:val="Prrafodelista"/>
        <w:rPr>
          <w:rFonts w:ascii="Palatino Linotype" w:eastAsia="Calibri" w:hAnsi="Palatino Linotype" w:cs="Arial"/>
          <w:szCs w:val="22"/>
          <w:lang w:val="es-ES" w:eastAsia="es-ES"/>
        </w:rPr>
      </w:pPr>
    </w:p>
    <w:p w:rsidR="00667AA0" w:rsidRPr="005E308E" w:rsidRDefault="00667AA0" w:rsidP="00667AA0">
      <w:pPr>
        <w:pStyle w:val="Prrafodelista"/>
        <w:numPr>
          <w:ilvl w:val="0"/>
          <w:numId w:val="1"/>
        </w:numPr>
        <w:spacing w:line="360" w:lineRule="auto"/>
        <w:ind w:left="0" w:firstLine="0"/>
        <w:jc w:val="both"/>
        <w:rPr>
          <w:rFonts w:ascii="Palatino Linotype" w:hAnsi="Palatino Linotype" w:cs="Arial"/>
          <w:szCs w:val="22"/>
          <w:lang w:val="es-ES" w:eastAsia="es-ES"/>
        </w:rPr>
      </w:pPr>
      <w:r w:rsidRPr="005E308E">
        <w:rPr>
          <w:rFonts w:ascii="Palatino Linotype" w:eastAsia="Calibri" w:hAnsi="Palatino Linotype" w:cs="Arial"/>
          <w:szCs w:val="22"/>
          <w:lang w:val="es-ES" w:eastAsia="es-ES"/>
        </w:rPr>
        <w:t xml:space="preserve">De las constancias del expediente electrónico SAIMEX se advierte que el Recurrente no realizó manifestaciones; </w:t>
      </w:r>
      <w:r w:rsidRPr="005E308E">
        <w:rPr>
          <w:rFonts w:ascii="Palatino Linotype" w:hAnsi="Palatino Linotype" w:cs="Arial"/>
          <w:szCs w:val="22"/>
          <w:lang w:val="es-ES" w:eastAsia="es-ES"/>
        </w:rPr>
        <w:t>p</w:t>
      </w:r>
      <w:r w:rsidRPr="005E308E">
        <w:rPr>
          <w:rFonts w:ascii="Palatino Linotype" w:eastAsia="Calibri" w:hAnsi="Palatino Linotype" w:cs="Arial"/>
          <w:szCs w:val="22"/>
          <w:lang w:val="es-ES" w:eastAsia="es-ES"/>
        </w:rPr>
        <w:t xml:space="preserve">or su parte, el Sujeto Obligado entregó informe justificado el </w:t>
      </w:r>
      <w:r w:rsidR="00F62CFF" w:rsidRPr="005E308E">
        <w:rPr>
          <w:rFonts w:ascii="Palatino Linotype" w:eastAsia="Calibri" w:hAnsi="Palatino Linotype" w:cs="Arial"/>
          <w:b/>
          <w:szCs w:val="22"/>
          <w:lang w:val="es-ES" w:eastAsia="es-ES"/>
        </w:rPr>
        <w:t>cinco de diciembre</w:t>
      </w:r>
      <w:r w:rsidRPr="005E308E">
        <w:rPr>
          <w:rFonts w:ascii="Palatino Linotype" w:eastAsia="Calibri" w:hAnsi="Palatino Linotype" w:cs="Arial"/>
          <w:b/>
          <w:szCs w:val="22"/>
          <w:lang w:val="es-ES" w:eastAsia="es-ES"/>
        </w:rPr>
        <w:t xml:space="preserve"> de dos mil veinticuatro</w:t>
      </w:r>
      <w:r w:rsidRPr="005E308E">
        <w:rPr>
          <w:rFonts w:ascii="Palatino Linotype" w:eastAsia="Calibri" w:hAnsi="Palatino Linotype" w:cs="Arial"/>
          <w:szCs w:val="22"/>
          <w:lang w:val="es-ES" w:eastAsia="es-ES"/>
        </w:rPr>
        <w:t>, el cual se puso a la vista del</w:t>
      </w:r>
      <w:r w:rsidR="00CF2093" w:rsidRPr="005E308E">
        <w:rPr>
          <w:rFonts w:ascii="Palatino Linotype" w:eastAsia="Calibri" w:hAnsi="Palatino Linotype" w:cs="Arial"/>
          <w:szCs w:val="22"/>
          <w:lang w:val="es-ES" w:eastAsia="es-ES"/>
        </w:rPr>
        <w:t xml:space="preserve"> particular el </w:t>
      </w:r>
      <w:r w:rsidR="00F62CFF" w:rsidRPr="005E308E">
        <w:rPr>
          <w:rFonts w:ascii="Palatino Linotype" w:eastAsia="Calibri" w:hAnsi="Palatino Linotype" w:cs="Arial"/>
          <w:b/>
          <w:szCs w:val="22"/>
          <w:lang w:val="es-ES" w:eastAsia="es-ES"/>
        </w:rPr>
        <w:lastRenderedPageBreak/>
        <w:t>veintinueve de enero de dos mil veinticinco</w:t>
      </w:r>
      <w:r w:rsidRPr="005E308E">
        <w:rPr>
          <w:rFonts w:ascii="Palatino Linotype" w:eastAsia="Calibri" w:hAnsi="Palatino Linotype" w:cs="Arial"/>
          <w:szCs w:val="22"/>
          <w:lang w:val="es-ES" w:eastAsia="es-ES"/>
        </w:rPr>
        <w:t>, a través del cual se anexaron los archivos que se describen enseguida:</w:t>
      </w:r>
    </w:p>
    <w:p w:rsidR="00667AA0" w:rsidRPr="005E308E" w:rsidRDefault="00667AA0" w:rsidP="00667AA0">
      <w:pPr>
        <w:pStyle w:val="Prrafodelista"/>
        <w:rPr>
          <w:rFonts w:ascii="Palatino Linotype" w:hAnsi="Palatino Linotype" w:cs="Arial"/>
          <w:szCs w:val="22"/>
          <w:lang w:val="es-ES" w:eastAsia="es-ES"/>
        </w:rPr>
      </w:pPr>
    </w:p>
    <w:p w:rsidR="00CF2093" w:rsidRPr="005E308E" w:rsidRDefault="006A68E9" w:rsidP="00F62CFF">
      <w:pPr>
        <w:pStyle w:val="Prrafodelista"/>
        <w:numPr>
          <w:ilvl w:val="0"/>
          <w:numId w:val="7"/>
        </w:numPr>
        <w:spacing w:line="360" w:lineRule="auto"/>
        <w:ind w:left="851" w:right="822" w:firstLine="0"/>
        <w:jc w:val="both"/>
        <w:rPr>
          <w:rFonts w:ascii="Palatino Linotype" w:hAnsi="Palatino Linotype" w:cs="Arial"/>
          <w:szCs w:val="22"/>
          <w:lang w:val="es-ES" w:eastAsia="es-ES"/>
        </w:rPr>
      </w:pPr>
      <w:hyperlink r:id="rId9" w:history="1">
        <w:r w:rsidR="00F62CFF" w:rsidRPr="005E308E">
          <w:rPr>
            <w:rStyle w:val="Hipervnculo"/>
            <w:rFonts w:ascii="Palatino Linotype" w:eastAsiaTheme="majorEastAsia" w:hAnsi="Palatino Linotype" w:cs="Arial"/>
            <w:b/>
            <w:bCs/>
            <w:szCs w:val="22"/>
          </w:rPr>
          <w:t>RESPUESTAS.zip</w:t>
        </w:r>
      </w:hyperlink>
      <w:r w:rsidR="00CF2093" w:rsidRPr="005E308E">
        <w:rPr>
          <w:rFonts w:ascii="Palatino Linotype" w:eastAsiaTheme="majorEastAsia" w:hAnsi="Palatino Linotype" w:cs="Arial"/>
          <w:b/>
          <w:bCs/>
          <w:szCs w:val="22"/>
          <w:u w:val="single"/>
        </w:rPr>
        <w:t>:</w:t>
      </w:r>
      <w:r w:rsidR="00CF2093" w:rsidRPr="005E308E">
        <w:rPr>
          <w:rFonts w:ascii="Palatino Linotype" w:eastAsiaTheme="majorEastAsia" w:hAnsi="Palatino Linotype" w:cs="Arial"/>
          <w:bCs/>
          <w:szCs w:val="22"/>
        </w:rPr>
        <w:t xml:space="preserve"> </w:t>
      </w:r>
      <w:r w:rsidR="00F62CFF" w:rsidRPr="005E308E">
        <w:rPr>
          <w:rFonts w:ascii="Palatino Linotype" w:eastAsiaTheme="majorEastAsia" w:hAnsi="Palatino Linotype" w:cs="Arial"/>
          <w:bCs/>
          <w:szCs w:val="22"/>
        </w:rPr>
        <w:t xml:space="preserve">en el archivo se advierte un oficio suscrito por la Secretaria Particular en el que refirió que no se localizó información en sus archivos; oficio del servidor público habilitado en materia de transparencia en el que refirió que se anexa información de la Directora de Recursos Materiales, oficio del Subdirector de Recursos Materiales </w:t>
      </w:r>
      <w:r w:rsidR="001A5538" w:rsidRPr="005E308E">
        <w:rPr>
          <w:rFonts w:ascii="Palatino Linotype" w:eastAsiaTheme="majorEastAsia" w:hAnsi="Palatino Linotype" w:cs="Arial"/>
          <w:bCs/>
          <w:szCs w:val="22"/>
        </w:rPr>
        <w:t xml:space="preserve">en el que ratificó su respuesta; oficio del Director de Asuntos Jurídicos en el que ratificó su respuesta; oficio suscrito por el Director General de Vialidad en el que señaló que no le corresponde el resguardo de los convenios. </w:t>
      </w:r>
    </w:p>
    <w:p w:rsidR="00F62CFF" w:rsidRPr="005E308E" w:rsidRDefault="006A68E9" w:rsidP="00F62CFF">
      <w:pPr>
        <w:pStyle w:val="Prrafodelista"/>
        <w:numPr>
          <w:ilvl w:val="0"/>
          <w:numId w:val="7"/>
        </w:numPr>
        <w:spacing w:line="360" w:lineRule="auto"/>
        <w:ind w:left="851" w:right="822" w:firstLine="0"/>
        <w:jc w:val="both"/>
        <w:rPr>
          <w:rFonts w:ascii="Palatino Linotype" w:hAnsi="Palatino Linotype" w:cs="Arial"/>
          <w:szCs w:val="22"/>
          <w:lang w:val="es-ES" w:eastAsia="es-ES"/>
        </w:rPr>
      </w:pPr>
      <w:hyperlink r:id="rId10" w:history="1">
        <w:r w:rsidR="00F62CFF" w:rsidRPr="005E308E">
          <w:rPr>
            <w:rStyle w:val="Hipervnculo"/>
            <w:rFonts w:ascii="Palatino Linotype" w:hAnsi="Palatino Linotype" w:cs="Arial"/>
            <w:b/>
            <w:bCs/>
            <w:szCs w:val="22"/>
            <w:lang w:eastAsia="es-ES"/>
          </w:rPr>
          <w:t>CUMPLIMIENTO 7338.pdf</w:t>
        </w:r>
      </w:hyperlink>
      <w:r w:rsidR="00F62CFF" w:rsidRPr="005E308E">
        <w:rPr>
          <w:rFonts w:ascii="Palatino Linotype" w:hAnsi="Palatino Linotype" w:cs="Arial"/>
          <w:szCs w:val="22"/>
          <w:lang w:val="es-ES" w:eastAsia="es-ES"/>
        </w:rPr>
        <w:t>:</w:t>
      </w:r>
      <w:r w:rsidR="001A5538" w:rsidRPr="005E308E">
        <w:rPr>
          <w:rFonts w:ascii="Palatino Linotype" w:hAnsi="Palatino Linotype" w:cs="Arial"/>
          <w:szCs w:val="22"/>
          <w:lang w:val="es-ES" w:eastAsia="es-ES"/>
        </w:rPr>
        <w:t xml:space="preserve"> oficio CCT/UT/1586/2024 de fecha cinco de diciembre de dos mil veinticuatro, suscrito por la Titular de la Unidad de Transparencia en el que ratificó su respuesta. </w:t>
      </w:r>
    </w:p>
    <w:p w:rsidR="00F62CFF" w:rsidRPr="005E308E" w:rsidRDefault="00F62CFF" w:rsidP="00F62CFF">
      <w:pPr>
        <w:pStyle w:val="Prrafodelista"/>
        <w:spacing w:line="360" w:lineRule="auto"/>
        <w:ind w:left="851" w:right="822"/>
        <w:jc w:val="both"/>
        <w:rPr>
          <w:rFonts w:ascii="Palatino Linotype" w:hAnsi="Palatino Linotype" w:cs="Arial"/>
          <w:szCs w:val="22"/>
          <w:lang w:val="es-ES" w:eastAsia="es-ES"/>
        </w:rPr>
      </w:pPr>
    </w:p>
    <w:p w:rsidR="006E5C6E" w:rsidRPr="005E308E" w:rsidRDefault="006E5C6E" w:rsidP="006E5C6E">
      <w:pPr>
        <w:pStyle w:val="Prrafodelista"/>
        <w:numPr>
          <w:ilvl w:val="0"/>
          <w:numId w:val="1"/>
        </w:numPr>
        <w:spacing w:line="360" w:lineRule="auto"/>
        <w:ind w:left="0" w:firstLine="0"/>
        <w:jc w:val="both"/>
        <w:rPr>
          <w:rFonts w:ascii="Palatino Linotype" w:hAnsi="Palatino Linotype" w:cs="Arial"/>
          <w:szCs w:val="22"/>
          <w:lang w:val="es-ES" w:eastAsia="es-ES"/>
        </w:rPr>
      </w:pPr>
      <w:r w:rsidRPr="005E308E">
        <w:rPr>
          <w:rFonts w:ascii="Palatino Linotype" w:hAnsi="Palatino Linotype" w:cs="Arial"/>
          <w:szCs w:val="22"/>
          <w:lang w:val="es-ES" w:eastAsia="es-ES"/>
        </w:rPr>
        <w:t xml:space="preserve">El </w:t>
      </w:r>
      <w:r w:rsidR="001A5538" w:rsidRPr="005E308E">
        <w:rPr>
          <w:rFonts w:ascii="Palatino Linotype" w:hAnsi="Palatino Linotype" w:cs="Arial"/>
          <w:b/>
          <w:szCs w:val="22"/>
          <w:lang w:val="es-ES" w:eastAsia="es-ES"/>
        </w:rPr>
        <w:t>treinta de enero de dos mil veinticinco</w:t>
      </w:r>
      <w:r w:rsidRPr="005E308E">
        <w:rPr>
          <w:rFonts w:ascii="Palatino Linotype" w:hAnsi="Palatino Linotype" w:cs="Arial"/>
          <w:b/>
          <w:szCs w:val="22"/>
          <w:lang w:val="es-ES" w:eastAsia="es-ES"/>
        </w:rPr>
        <w:t>,</w:t>
      </w:r>
      <w:r w:rsidRPr="005E308E">
        <w:rPr>
          <w:rFonts w:ascii="Palatino Linotype" w:hAnsi="Palatino Linotype" w:cs="Arial"/>
          <w:szCs w:val="22"/>
          <w:lang w:val="es-ES" w:eastAsia="es-ES"/>
        </w:rPr>
        <w:t xml:space="preserve"> se notificó el acuerdo a través del cual se aprobó el plazo para emitir resolución. </w:t>
      </w:r>
    </w:p>
    <w:p w:rsidR="006E5C6E" w:rsidRPr="005E308E" w:rsidRDefault="006E5C6E" w:rsidP="006E5C6E">
      <w:pPr>
        <w:pBdr>
          <w:top w:val="nil"/>
          <w:left w:val="nil"/>
          <w:bottom w:val="nil"/>
          <w:right w:val="nil"/>
          <w:between w:val="nil"/>
        </w:pBdr>
        <w:spacing w:line="360" w:lineRule="auto"/>
        <w:ind w:right="113"/>
        <w:jc w:val="both"/>
        <w:rPr>
          <w:rFonts w:ascii="Palatino Linotype" w:eastAsia="Palatino Linotype" w:hAnsi="Palatino Linotype" w:cs="Palatino Linotype"/>
          <w:color w:val="000000"/>
          <w:sz w:val="22"/>
          <w:szCs w:val="22"/>
        </w:rPr>
      </w:pPr>
    </w:p>
    <w:p w:rsidR="00667AA0" w:rsidRPr="005E308E" w:rsidRDefault="00667AA0" w:rsidP="00667AA0">
      <w:pPr>
        <w:pStyle w:val="Prrafodelista"/>
        <w:numPr>
          <w:ilvl w:val="0"/>
          <w:numId w:val="1"/>
        </w:numPr>
        <w:spacing w:line="360" w:lineRule="auto"/>
        <w:ind w:left="0" w:firstLine="0"/>
        <w:jc w:val="both"/>
        <w:rPr>
          <w:rFonts w:ascii="Palatino Linotype" w:hAnsi="Palatino Linotype" w:cs="Arial"/>
          <w:szCs w:val="22"/>
          <w:lang w:val="es-ES" w:eastAsia="es-ES"/>
        </w:rPr>
      </w:pPr>
      <w:r w:rsidRPr="005E308E">
        <w:rPr>
          <w:rFonts w:ascii="Palatino Linotype" w:eastAsiaTheme="minorEastAsia" w:hAnsi="Palatino Linotype"/>
          <w:szCs w:val="22"/>
          <w:lang w:val="es-ES_tradnl" w:eastAsia="es-ES"/>
        </w:rPr>
        <w:t>La Comisionada Ponente decretó el cierre de instrucción</w:t>
      </w:r>
      <w:r w:rsidRPr="005E308E">
        <w:rPr>
          <w:rFonts w:ascii="Palatino Linotype" w:eastAsiaTheme="minorEastAsia" w:hAnsi="Palatino Linotype" w:cs="Arial"/>
          <w:szCs w:val="22"/>
          <w:lang w:val="es-ES_tradnl" w:eastAsia="es-ES"/>
        </w:rPr>
        <w:t xml:space="preserve"> </w:t>
      </w:r>
      <w:r w:rsidRPr="005E308E">
        <w:rPr>
          <w:rFonts w:ascii="Palatino Linotype" w:eastAsiaTheme="minorEastAsia" w:hAnsi="Palatino Linotype"/>
          <w:szCs w:val="22"/>
          <w:lang w:val="es-ES_tradnl" w:eastAsia="es-ES"/>
        </w:rPr>
        <w:t xml:space="preserve">mediante el acuerdo del </w:t>
      </w:r>
      <w:r w:rsidR="001A5538" w:rsidRPr="005E308E">
        <w:rPr>
          <w:rFonts w:ascii="Palatino Linotype" w:eastAsiaTheme="minorEastAsia" w:hAnsi="Palatino Linotype"/>
          <w:b/>
          <w:szCs w:val="22"/>
          <w:lang w:val="es-ES_tradnl" w:eastAsia="es-ES"/>
        </w:rPr>
        <w:t>cuatro de febrero</w:t>
      </w:r>
      <w:r w:rsidRPr="005E308E">
        <w:rPr>
          <w:rFonts w:ascii="Palatino Linotype" w:eastAsiaTheme="minorEastAsia" w:hAnsi="Palatino Linotype"/>
          <w:b/>
          <w:szCs w:val="22"/>
          <w:lang w:val="es-ES_tradnl" w:eastAsia="es-ES"/>
        </w:rPr>
        <w:t xml:space="preserve"> de dos mil </w:t>
      </w:r>
      <w:r w:rsidR="001A5538" w:rsidRPr="005E308E">
        <w:rPr>
          <w:rFonts w:ascii="Palatino Linotype" w:eastAsiaTheme="minorEastAsia" w:hAnsi="Palatino Linotype"/>
          <w:b/>
          <w:szCs w:val="22"/>
          <w:lang w:val="es-ES_tradnl" w:eastAsia="es-ES"/>
        </w:rPr>
        <w:t>veinticinco.</w:t>
      </w:r>
    </w:p>
    <w:p w:rsidR="006E5C6E" w:rsidRPr="005E308E" w:rsidRDefault="006E5C6E" w:rsidP="006E5C6E">
      <w:pPr>
        <w:pStyle w:val="Prrafodelista"/>
        <w:rPr>
          <w:rFonts w:ascii="Palatino Linotype" w:hAnsi="Palatino Linotype" w:cs="Arial"/>
          <w:szCs w:val="22"/>
          <w:lang w:val="es-ES" w:eastAsia="es-ES"/>
        </w:rPr>
      </w:pPr>
    </w:p>
    <w:p w:rsidR="006E5C6E" w:rsidRPr="005E308E" w:rsidRDefault="006E5C6E" w:rsidP="006E5C6E">
      <w:pPr>
        <w:pStyle w:val="Prrafodelista"/>
        <w:spacing w:line="360" w:lineRule="auto"/>
        <w:ind w:left="0"/>
        <w:jc w:val="both"/>
        <w:rPr>
          <w:rFonts w:ascii="Palatino Linotype" w:hAnsi="Palatino Linotype" w:cs="Arial"/>
          <w:szCs w:val="22"/>
          <w:lang w:val="es-ES" w:eastAsia="es-ES"/>
        </w:rPr>
      </w:pPr>
    </w:p>
    <w:p w:rsidR="00667AA0" w:rsidRPr="005E308E" w:rsidRDefault="00667AA0" w:rsidP="00667AA0">
      <w:pPr>
        <w:spacing w:line="360" w:lineRule="auto"/>
        <w:rPr>
          <w:rFonts w:ascii="Palatino Linotype" w:hAnsi="Palatino Linotype" w:cs="Arial"/>
          <w:sz w:val="22"/>
          <w:szCs w:val="22"/>
          <w:lang w:val="es-ES" w:eastAsia="es-ES"/>
        </w:rPr>
      </w:pPr>
    </w:p>
    <w:p w:rsidR="00667AA0" w:rsidRPr="005E308E" w:rsidRDefault="00667AA0" w:rsidP="00667AA0">
      <w:pPr>
        <w:spacing w:line="360" w:lineRule="auto"/>
        <w:jc w:val="center"/>
        <w:rPr>
          <w:rFonts w:ascii="Palatino Linotype" w:hAnsi="Palatino Linotype" w:cs="Arial"/>
          <w:sz w:val="22"/>
          <w:szCs w:val="22"/>
          <w:lang w:eastAsia="es-ES"/>
        </w:rPr>
      </w:pPr>
      <w:bookmarkStart w:id="1" w:name="_Toc66992242"/>
      <w:r w:rsidRPr="005E308E">
        <w:rPr>
          <w:rFonts w:ascii="Palatino Linotype" w:hAnsi="Palatino Linotype" w:cs="Arial"/>
          <w:b/>
          <w:sz w:val="22"/>
          <w:szCs w:val="22"/>
          <w:lang w:eastAsia="es-ES"/>
        </w:rPr>
        <w:t>CONSIDERANDO</w:t>
      </w:r>
      <w:bookmarkEnd w:id="1"/>
    </w:p>
    <w:p w:rsidR="00667AA0" w:rsidRPr="005E308E" w:rsidRDefault="00667AA0" w:rsidP="00667AA0">
      <w:pPr>
        <w:spacing w:line="360" w:lineRule="auto"/>
        <w:jc w:val="center"/>
        <w:rPr>
          <w:rFonts w:ascii="Palatino Linotype" w:hAnsi="Palatino Linotype" w:cs="Arial"/>
          <w:sz w:val="22"/>
          <w:szCs w:val="22"/>
          <w:lang w:eastAsia="es-ES"/>
        </w:rPr>
      </w:pPr>
    </w:p>
    <w:p w:rsidR="00667AA0" w:rsidRPr="005E308E" w:rsidRDefault="00667AA0" w:rsidP="00667AA0">
      <w:pPr>
        <w:spacing w:line="360" w:lineRule="auto"/>
        <w:jc w:val="both"/>
        <w:rPr>
          <w:rFonts w:ascii="Palatino Linotype" w:hAnsi="Palatino Linotype" w:cs="Arial"/>
          <w:b/>
          <w:sz w:val="22"/>
          <w:szCs w:val="22"/>
          <w:lang w:eastAsia="es-ES"/>
        </w:rPr>
      </w:pPr>
      <w:bookmarkStart w:id="2" w:name="_Toc66992243"/>
      <w:r w:rsidRPr="005E308E">
        <w:rPr>
          <w:rFonts w:ascii="Palatino Linotype" w:hAnsi="Palatino Linotype" w:cs="Arial"/>
          <w:b/>
          <w:sz w:val="22"/>
          <w:szCs w:val="22"/>
          <w:lang w:eastAsia="es-ES"/>
        </w:rPr>
        <w:t>PRIMERO. De la competencia</w:t>
      </w:r>
      <w:bookmarkEnd w:id="2"/>
    </w:p>
    <w:p w:rsidR="00667AA0" w:rsidRPr="005E308E" w:rsidRDefault="00667AA0" w:rsidP="00667AA0">
      <w:pPr>
        <w:pStyle w:val="Prrafodelista"/>
        <w:numPr>
          <w:ilvl w:val="0"/>
          <w:numId w:val="1"/>
        </w:numPr>
        <w:spacing w:before="240" w:after="240" w:line="360" w:lineRule="auto"/>
        <w:ind w:left="0" w:firstLine="0"/>
        <w:jc w:val="both"/>
        <w:rPr>
          <w:rFonts w:ascii="Palatino Linotype" w:hAnsi="Palatino Linotype"/>
          <w:szCs w:val="22"/>
        </w:rPr>
      </w:pPr>
      <w:r w:rsidRPr="005E308E">
        <w:rPr>
          <w:rFonts w:ascii="Palatino Linotype" w:hAnsi="Palatino Linotype"/>
          <w:szCs w:val="22"/>
        </w:rPr>
        <w:lastRenderedPageBreak/>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667AA0" w:rsidRPr="005E308E" w:rsidRDefault="00667AA0" w:rsidP="00667AA0">
      <w:pPr>
        <w:pStyle w:val="Prrafodelista"/>
        <w:spacing w:line="360" w:lineRule="auto"/>
        <w:ind w:left="0"/>
        <w:jc w:val="both"/>
        <w:rPr>
          <w:rFonts w:ascii="Palatino Linotype" w:hAnsi="Palatino Linotype" w:cs="Arial"/>
          <w:szCs w:val="22"/>
          <w:lang w:val="es-ES" w:eastAsia="es-ES"/>
        </w:rPr>
      </w:pPr>
    </w:p>
    <w:p w:rsidR="00667AA0" w:rsidRPr="005E308E" w:rsidRDefault="00667AA0" w:rsidP="00667AA0">
      <w:pPr>
        <w:keepNext/>
        <w:keepLines/>
        <w:spacing w:line="360" w:lineRule="auto"/>
        <w:outlineLvl w:val="1"/>
        <w:rPr>
          <w:rFonts w:ascii="Palatino Linotype" w:eastAsiaTheme="majorEastAsia" w:hAnsi="Palatino Linotype" w:cstheme="majorBidi"/>
          <w:b/>
          <w:sz w:val="22"/>
          <w:szCs w:val="22"/>
        </w:rPr>
      </w:pPr>
      <w:bookmarkStart w:id="3" w:name="_Toc66992244"/>
      <w:r w:rsidRPr="005E308E">
        <w:rPr>
          <w:rFonts w:ascii="Palatino Linotype" w:eastAsiaTheme="majorEastAsia" w:hAnsi="Palatino Linotype" w:cstheme="majorBidi"/>
          <w:b/>
          <w:sz w:val="22"/>
          <w:szCs w:val="22"/>
        </w:rPr>
        <w:t>SEGUNDO. De la oportunidad y procedencia.</w:t>
      </w:r>
      <w:bookmarkEnd w:id="3"/>
    </w:p>
    <w:p w:rsidR="00667AA0" w:rsidRPr="005E308E" w:rsidRDefault="00667AA0" w:rsidP="00667AA0">
      <w:pPr>
        <w:pStyle w:val="Prrafodelista"/>
        <w:spacing w:line="360" w:lineRule="auto"/>
        <w:ind w:left="0"/>
        <w:jc w:val="both"/>
        <w:rPr>
          <w:rFonts w:ascii="Palatino Linotype" w:hAnsi="Palatino Linotype" w:cs="Arial"/>
          <w:szCs w:val="22"/>
          <w:lang w:val="es-ES" w:eastAsia="es-ES"/>
        </w:rPr>
      </w:pPr>
    </w:p>
    <w:p w:rsidR="002824A4" w:rsidRPr="005E308E" w:rsidRDefault="00667AA0" w:rsidP="00B86C8D">
      <w:pPr>
        <w:pStyle w:val="Prrafodelista"/>
        <w:numPr>
          <w:ilvl w:val="0"/>
          <w:numId w:val="1"/>
        </w:numPr>
        <w:spacing w:line="360" w:lineRule="auto"/>
        <w:ind w:left="0" w:firstLine="0"/>
        <w:jc w:val="both"/>
        <w:rPr>
          <w:rFonts w:ascii="Palatino Linotype" w:hAnsi="Palatino Linotype" w:cs="Arial"/>
          <w:szCs w:val="22"/>
          <w:lang w:val="es-ES" w:eastAsia="es-ES"/>
        </w:rPr>
      </w:pPr>
      <w:r w:rsidRPr="005E308E">
        <w:rPr>
          <w:rFonts w:ascii="Palatino Linotype" w:eastAsia="Calibri" w:hAnsi="Palatino Linotype" w:cs="Arial"/>
          <w:szCs w:val="22"/>
          <w:lang w:val="es-ES_tradnl" w:eastAsia="es-ES"/>
        </w:rPr>
        <w:t xml:space="preserve">El medio de impugnación fue presentado a través del </w:t>
      </w:r>
      <w:r w:rsidRPr="005E308E">
        <w:rPr>
          <w:rFonts w:ascii="Palatino Linotype" w:eastAsia="Calibri" w:hAnsi="Palatino Linotype" w:cs="Arial"/>
          <w:b/>
          <w:szCs w:val="22"/>
          <w:lang w:val="es-ES_tradnl" w:eastAsia="es-ES"/>
        </w:rPr>
        <w:t>SAIMEX,</w:t>
      </w:r>
      <w:r w:rsidRPr="005E308E">
        <w:rPr>
          <w:rFonts w:ascii="Palatino Linotype" w:eastAsia="Calibri" w:hAnsi="Palatino Linotype" w:cs="Arial"/>
          <w:szCs w:val="22"/>
          <w:lang w:val="es-ES_tradnl" w:eastAsia="es-ES"/>
        </w:rPr>
        <w:t xml:space="preserve"> en el formato previamente aprobado para tal efecto y dentro del plazo legal de quince días hábiles otorgados; siendo así que el </w:t>
      </w:r>
      <w:r w:rsidRPr="005E308E">
        <w:rPr>
          <w:rFonts w:ascii="Palatino Linotype" w:eastAsia="Calibri" w:hAnsi="Palatino Linotype" w:cs="Arial"/>
          <w:b/>
          <w:szCs w:val="22"/>
          <w:lang w:val="es-ES_tradnl" w:eastAsia="es-ES"/>
        </w:rPr>
        <w:t>SUJETO OBLIGADO</w:t>
      </w:r>
      <w:r w:rsidRPr="005E308E">
        <w:rPr>
          <w:rFonts w:ascii="Palatino Linotype" w:eastAsia="Calibri" w:hAnsi="Palatino Linotype" w:cs="Arial"/>
          <w:szCs w:val="22"/>
          <w:lang w:val="es-ES_tradnl" w:eastAsia="es-ES"/>
        </w:rPr>
        <w:t xml:space="preserve"> entregó respuesta a la solicitud el día </w:t>
      </w:r>
      <w:r w:rsidR="001A5538" w:rsidRPr="005E308E">
        <w:rPr>
          <w:rFonts w:ascii="Palatino Linotype" w:eastAsia="Calibri" w:hAnsi="Palatino Linotype" w:cs="Arial"/>
          <w:b/>
          <w:szCs w:val="22"/>
          <w:lang w:val="es-ES_tradnl" w:eastAsia="es-ES"/>
        </w:rPr>
        <w:t>treinta de octubre</w:t>
      </w:r>
      <w:r w:rsidRPr="005E308E">
        <w:rPr>
          <w:rFonts w:ascii="Palatino Linotype" w:eastAsia="Calibri" w:hAnsi="Palatino Linotype" w:cs="Arial"/>
          <w:b/>
          <w:szCs w:val="22"/>
          <w:lang w:val="es-ES_tradnl" w:eastAsia="es-ES"/>
        </w:rPr>
        <w:t xml:space="preserve"> de dos mil veinticuatro</w:t>
      </w:r>
      <w:r w:rsidRPr="005E308E">
        <w:rPr>
          <w:rFonts w:ascii="Palatino Linotype" w:eastAsia="Calibri" w:hAnsi="Palatino Linotype" w:cs="Arial"/>
          <w:szCs w:val="22"/>
          <w:lang w:val="es-ES_tradnl" w:eastAsia="es-ES"/>
        </w:rPr>
        <w:t xml:space="preserve">, </w:t>
      </w:r>
      <w:r w:rsidRPr="005E308E">
        <w:rPr>
          <w:rFonts w:ascii="Palatino Linotype" w:eastAsiaTheme="minorEastAsia" w:hAnsi="Palatino Linotype" w:cs="Arial"/>
          <w:szCs w:val="22"/>
          <w:lang w:val="es-ES_tradnl" w:eastAsia="es-ES"/>
        </w:rPr>
        <w:t>de tal forma que el plazo para interponer el recurso de revisión transcurrió del</w:t>
      </w:r>
      <w:r w:rsidRPr="005E308E">
        <w:rPr>
          <w:rFonts w:ascii="Palatino Linotype" w:eastAsiaTheme="minorEastAsia" w:hAnsi="Palatino Linotype" w:cs="Arial"/>
          <w:b/>
          <w:szCs w:val="22"/>
          <w:lang w:val="es-ES_tradnl" w:eastAsia="es-ES"/>
        </w:rPr>
        <w:t xml:space="preserve"> </w:t>
      </w:r>
      <w:r w:rsidR="001A5538" w:rsidRPr="005E308E">
        <w:rPr>
          <w:rFonts w:ascii="Palatino Linotype" w:eastAsiaTheme="minorEastAsia" w:hAnsi="Palatino Linotype" w:cs="Arial"/>
          <w:b/>
          <w:szCs w:val="22"/>
          <w:lang w:val="es-ES_tradnl" w:eastAsia="es-ES"/>
        </w:rPr>
        <w:t>treinta y uno de octubre al veintidós de noviembre</w:t>
      </w:r>
      <w:r w:rsidRPr="005E308E">
        <w:rPr>
          <w:rFonts w:ascii="Palatino Linotype" w:eastAsiaTheme="minorEastAsia" w:hAnsi="Palatino Linotype" w:cs="Arial"/>
          <w:b/>
          <w:szCs w:val="22"/>
          <w:lang w:val="es-ES_tradnl" w:eastAsia="es-ES"/>
        </w:rPr>
        <w:t xml:space="preserve"> de dos mil veinticuatro</w:t>
      </w:r>
      <w:r w:rsidRPr="005E308E">
        <w:rPr>
          <w:rFonts w:ascii="Palatino Linotype" w:eastAsiaTheme="minorEastAsia" w:hAnsi="Palatino Linotype" w:cs="Arial"/>
          <w:szCs w:val="22"/>
          <w:lang w:val="es-ES_tradnl" w:eastAsia="es-ES"/>
        </w:rPr>
        <w:t xml:space="preserve">; en consecuencia, presentó su inconformidad </w:t>
      </w:r>
      <w:r w:rsidR="006E5C6E" w:rsidRPr="005E308E">
        <w:rPr>
          <w:rFonts w:ascii="Palatino Linotype" w:eastAsiaTheme="minorEastAsia" w:hAnsi="Palatino Linotype" w:cs="Arial"/>
          <w:szCs w:val="22"/>
          <w:lang w:val="es-ES_tradnl" w:eastAsia="es-ES"/>
        </w:rPr>
        <w:t xml:space="preserve">el día </w:t>
      </w:r>
      <w:r w:rsidR="001A5538" w:rsidRPr="005E308E">
        <w:rPr>
          <w:rFonts w:ascii="Palatino Linotype" w:eastAsiaTheme="minorEastAsia" w:hAnsi="Palatino Linotype" w:cs="Arial"/>
          <w:b/>
          <w:szCs w:val="22"/>
          <w:lang w:val="es-ES_tradnl" w:eastAsia="es-ES"/>
        </w:rPr>
        <w:t>veintidós de noviembre</w:t>
      </w:r>
      <w:r w:rsidRPr="005E308E">
        <w:rPr>
          <w:rFonts w:ascii="Palatino Linotype" w:eastAsiaTheme="minorEastAsia" w:hAnsi="Palatino Linotype" w:cs="Arial"/>
          <w:b/>
          <w:szCs w:val="22"/>
          <w:lang w:val="es-ES_tradnl" w:eastAsia="es-ES"/>
        </w:rPr>
        <w:t xml:space="preserve"> de dos mil veinticuatro</w:t>
      </w:r>
      <w:r w:rsidRPr="005E308E">
        <w:rPr>
          <w:rFonts w:ascii="Palatino Linotype" w:eastAsiaTheme="minorEastAsia" w:hAnsi="Palatino Linotype" w:cs="Arial"/>
          <w:szCs w:val="22"/>
          <w:lang w:val="es-ES_tradnl" w:eastAsia="es-ES"/>
        </w:rPr>
        <w:t xml:space="preserve">, por lo que se encuentra dentro de los márgenes temporales previstos en el artículo 178 de la </w:t>
      </w:r>
      <w:r w:rsidRPr="005E308E">
        <w:rPr>
          <w:rFonts w:ascii="Palatino Linotype" w:eastAsiaTheme="minorEastAsia" w:hAnsi="Palatino Linotype" w:cs="Arial"/>
          <w:b/>
          <w:szCs w:val="22"/>
          <w:lang w:val="es-ES_tradnl" w:eastAsia="es-ES"/>
        </w:rPr>
        <w:t xml:space="preserve">Ley de Transparencia y Acceso a la Información Pública del Estado de México y Municipios </w:t>
      </w:r>
      <w:r w:rsidRPr="005E308E">
        <w:rPr>
          <w:rFonts w:ascii="Palatino Linotype" w:eastAsiaTheme="minorEastAsia" w:hAnsi="Palatino Linotype" w:cs="Arial"/>
          <w:szCs w:val="22"/>
          <w:lang w:val="es-ES_tradnl" w:eastAsia="es-ES"/>
        </w:rPr>
        <w:t>vigente.</w:t>
      </w:r>
    </w:p>
    <w:p w:rsidR="002824A4" w:rsidRPr="005E308E" w:rsidRDefault="002824A4" w:rsidP="002824A4">
      <w:pPr>
        <w:pStyle w:val="Prrafodelista"/>
        <w:spacing w:line="360" w:lineRule="auto"/>
        <w:ind w:left="0"/>
        <w:jc w:val="both"/>
        <w:rPr>
          <w:rFonts w:ascii="Palatino Linotype" w:hAnsi="Palatino Linotype" w:cs="Arial"/>
          <w:szCs w:val="22"/>
          <w:lang w:val="es-ES" w:eastAsia="es-ES"/>
        </w:rPr>
      </w:pPr>
    </w:p>
    <w:p w:rsidR="002824A4" w:rsidRPr="005E308E" w:rsidRDefault="002824A4" w:rsidP="002824A4">
      <w:pPr>
        <w:numPr>
          <w:ilvl w:val="0"/>
          <w:numId w:val="1"/>
        </w:numPr>
        <w:spacing w:line="360" w:lineRule="auto"/>
        <w:ind w:left="0" w:firstLine="0"/>
        <w:contextualSpacing/>
        <w:jc w:val="both"/>
        <w:rPr>
          <w:rFonts w:ascii="Palatino Linotype" w:eastAsia="Calibri" w:hAnsi="Palatino Linotype" w:cs="Arial"/>
          <w:sz w:val="22"/>
          <w:szCs w:val="22"/>
          <w:lang w:val="es-ES_tradnl" w:eastAsia="es-ES"/>
        </w:rPr>
      </w:pPr>
      <w:r w:rsidRPr="005E308E">
        <w:rPr>
          <w:rFonts w:ascii="Palatino Linotype" w:eastAsia="Calibri" w:hAnsi="Palatino Linotype" w:cs="Arial"/>
          <w:sz w:val="22"/>
          <w:szCs w:val="22"/>
          <w:lang w:val="es-ES_tradnl" w:eastAsia="es-ES"/>
        </w:rPr>
        <w:t xml:space="preserve">Por otra parte, de la revisión al expediente electrónico del </w:t>
      </w:r>
      <w:r w:rsidRPr="005E308E">
        <w:rPr>
          <w:rFonts w:ascii="Palatino Linotype" w:eastAsia="Calibri" w:hAnsi="Palatino Linotype" w:cs="Arial"/>
          <w:b/>
          <w:sz w:val="22"/>
          <w:szCs w:val="22"/>
          <w:lang w:val="es-ES_tradnl" w:eastAsia="es-ES"/>
        </w:rPr>
        <w:t>SAIMEX</w:t>
      </w:r>
      <w:r w:rsidRPr="005E308E">
        <w:rPr>
          <w:rFonts w:ascii="Palatino Linotype" w:eastAsia="Calibri" w:hAnsi="Palatino Linotype" w:cs="Arial"/>
          <w:sz w:val="22"/>
          <w:szCs w:val="22"/>
          <w:lang w:val="es-ES_tradnl" w:eastAsia="es-ES"/>
        </w:rPr>
        <w:t xml:space="preserve"> se desprende que la parte solicitante en ejercicio de su derecho de acceso a la información pública en el expediente que se revisa, tanto en la solicitud de información como en el recurso de revisión no proporciona su nombre completo para que sea identificado, ni se tiene la certeza sobre su identidad; sin embargo, es importante señalar también que el nombre de los solicitantes y </w:t>
      </w:r>
      <w:r w:rsidRPr="005E308E">
        <w:rPr>
          <w:rFonts w:ascii="Palatino Linotype" w:eastAsia="Calibri" w:hAnsi="Palatino Linotype" w:cs="Arial"/>
          <w:sz w:val="22"/>
          <w:szCs w:val="22"/>
          <w:lang w:val="es-ES_tradnl" w:eastAsia="es-ES"/>
        </w:rPr>
        <w:lastRenderedPageBreak/>
        <w:t>recurrentes no es requisito indispensable para la tramitación del acto procesal específico en materia de acceso a la información, ello en estricto apego al numeral 155 párrafo tercero de la Ley de la materia, en concatenación con el 180 del mismo ordenamiento.</w:t>
      </w:r>
    </w:p>
    <w:p w:rsidR="002824A4" w:rsidRPr="005E308E" w:rsidRDefault="002824A4" w:rsidP="002824A4">
      <w:pPr>
        <w:pStyle w:val="Prrafodelista"/>
        <w:ind w:left="0"/>
        <w:rPr>
          <w:rFonts w:ascii="Palatino Linotype" w:eastAsia="Calibri" w:hAnsi="Palatino Linotype" w:cs="Arial"/>
          <w:szCs w:val="22"/>
          <w:lang w:val="es-ES_tradnl" w:eastAsia="es-ES"/>
        </w:rPr>
      </w:pPr>
    </w:p>
    <w:p w:rsidR="002824A4" w:rsidRPr="005E308E" w:rsidRDefault="002824A4" w:rsidP="002824A4">
      <w:pPr>
        <w:numPr>
          <w:ilvl w:val="0"/>
          <w:numId w:val="1"/>
        </w:numPr>
        <w:spacing w:line="360" w:lineRule="auto"/>
        <w:ind w:left="0" w:firstLine="0"/>
        <w:contextualSpacing/>
        <w:jc w:val="both"/>
        <w:rPr>
          <w:rFonts w:ascii="Palatino Linotype" w:eastAsia="Calibri" w:hAnsi="Palatino Linotype" w:cs="Arial"/>
          <w:sz w:val="22"/>
          <w:szCs w:val="22"/>
          <w:lang w:val="es-ES_tradnl" w:eastAsia="es-ES"/>
        </w:rPr>
      </w:pPr>
      <w:r w:rsidRPr="005E308E">
        <w:rPr>
          <w:rFonts w:ascii="Palatino Linotype" w:eastAsia="Calibri" w:hAnsi="Palatino Linotype" w:cs="Arial"/>
          <w:sz w:val="22"/>
          <w:szCs w:val="22"/>
          <w:lang w:val="es-ES_tradnl" w:eastAsia="es-ES"/>
        </w:rPr>
        <w:t xml:space="preserve">Esto es así, ya que de conformidad con los artículos 6, Apartado A, fracciones III y IV de la Constitución Política de los Estados Unidos Mexicanos y </w:t>
      </w:r>
      <w:r w:rsidRPr="005E308E">
        <w:rPr>
          <w:rFonts w:ascii="Palatino Linotype" w:eastAsia="Calibri" w:hAnsi="Palatino Linotype" w:cs="Arial"/>
          <w:bCs/>
          <w:sz w:val="22"/>
          <w:szCs w:val="22"/>
          <w:lang w:val="es-ES" w:eastAsia="es-ES"/>
        </w:rPr>
        <w:t>5, párrafos vigésimo, vigésimo primero y vigésimo segundo fracciones IV y V </w:t>
      </w:r>
      <w:r w:rsidRPr="005E308E">
        <w:rPr>
          <w:rFonts w:ascii="Palatino Linotype" w:eastAsia="Calibri" w:hAnsi="Palatino Linotype" w:cs="Arial"/>
          <w:sz w:val="22"/>
          <w:szCs w:val="22"/>
          <w:lang w:val="es-ES_tradnl" w:eastAsia="es-ES"/>
        </w:rPr>
        <w:t>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rsidR="002824A4" w:rsidRPr="005E308E" w:rsidRDefault="002824A4" w:rsidP="002824A4">
      <w:pPr>
        <w:pStyle w:val="Prrafodelista"/>
        <w:ind w:left="0"/>
        <w:rPr>
          <w:rFonts w:ascii="Palatino Linotype" w:eastAsia="Calibri" w:hAnsi="Palatino Linotype" w:cs="Arial"/>
          <w:szCs w:val="22"/>
          <w:lang w:val="es-ES_tradnl" w:eastAsia="es-ES"/>
        </w:rPr>
      </w:pPr>
    </w:p>
    <w:p w:rsidR="002824A4" w:rsidRPr="005E308E" w:rsidRDefault="002824A4" w:rsidP="002824A4">
      <w:pPr>
        <w:numPr>
          <w:ilvl w:val="0"/>
          <w:numId w:val="1"/>
        </w:numPr>
        <w:spacing w:line="360" w:lineRule="auto"/>
        <w:ind w:left="0" w:firstLine="0"/>
        <w:contextualSpacing/>
        <w:jc w:val="both"/>
        <w:rPr>
          <w:rFonts w:ascii="Palatino Linotype" w:eastAsia="Calibri" w:hAnsi="Palatino Linotype" w:cs="Arial"/>
          <w:sz w:val="22"/>
          <w:szCs w:val="22"/>
          <w:lang w:val="es-ES_tradnl" w:eastAsia="es-ES"/>
        </w:rPr>
      </w:pPr>
      <w:r w:rsidRPr="005E308E">
        <w:rPr>
          <w:rFonts w:ascii="Palatino Linotype" w:eastAsia="Calibri" w:hAnsi="Palatino Linotype" w:cs="Arial"/>
          <w:sz w:val="22"/>
          <w:szCs w:val="22"/>
          <w:lang w:val="es-ES_tradnl" w:eastAsia="es-ES"/>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rsidR="002824A4" w:rsidRPr="005E308E" w:rsidRDefault="002824A4" w:rsidP="002824A4">
      <w:pPr>
        <w:pStyle w:val="Prrafodelista"/>
        <w:ind w:left="0"/>
        <w:rPr>
          <w:rFonts w:ascii="Palatino Linotype" w:eastAsia="Calibri" w:hAnsi="Palatino Linotype" w:cs="Arial"/>
          <w:szCs w:val="22"/>
          <w:lang w:val="es-ES_tradnl" w:eastAsia="es-ES"/>
        </w:rPr>
      </w:pPr>
    </w:p>
    <w:p w:rsidR="002824A4" w:rsidRPr="005E308E" w:rsidRDefault="002824A4" w:rsidP="002824A4">
      <w:pPr>
        <w:numPr>
          <w:ilvl w:val="0"/>
          <w:numId w:val="1"/>
        </w:numPr>
        <w:spacing w:line="360" w:lineRule="auto"/>
        <w:ind w:left="0" w:firstLine="0"/>
        <w:contextualSpacing/>
        <w:jc w:val="both"/>
        <w:rPr>
          <w:rFonts w:ascii="Palatino Linotype" w:eastAsia="Calibri" w:hAnsi="Palatino Linotype" w:cs="Arial"/>
          <w:sz w:val="22"/>
          <w:szCs w:val="22"/>
          <w:lang w:val="es-ES_tradnl" w:eastAsia="es-ES"/>
        </w:rPr>
      </w:pPr>
      <w:r w:rsidRPr="005E308E">
        <w:rPr>
          <w:rFonts w:ascii="Palatino Linotype" w:eastAsia="Calibri" w:hAnsi="Palatino Linotype" w:cs="Arial"/>
          <w:sz w:val="22"/>
          <w:szCs w:val="22"/>
          <w:lang w:val="es-ES_tradnl" w:eastAsia="es-ES"/>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rsidR="002824A4" w:rsidRPr="005E308E" w:rsidRDefault="002824A4" w:rsidP="002824A4">
      <w:pPr>
        <w:pStyle w:val="Prrafodelista"/>
        <w:ind w:left="0"/>
        <w:rPr>
          <w:rFonts w:ascii="Palatino Linotype" w:eastAsia="Calibri" w:hAnsi="Palatino Linotype" w:cs="Arial"/>
          <w:szCs w:val="22"/>
          <w:lang w:val="es-ES_tradnl" w:eastAsia="es-ES"/>
        </w:rPr>
      </w:pPr>
    </w:p>
    <w:p w:rsidR="002824A4" w:rsidRPr="005E308E" w:rsidRDefault="002824A4" w:rsidP="002824A4">
      <w:pPr>
        <w:numPr>
          <w:ilvl w:val="0"/>
          <w:numId w:val="1"/>
        </w:numPr>
        <w:spacing w:line="360" w:lineRule="auto"/>
        <w:ind w:left="0" w:firstLine="0"/>
        <w:contextualSpacing/>
        <w:jc w:val="both"/>
        <w:rPr>
          <w:rFonts w:ascii="Palatino Linotype" w:eastAsia="Calibri" w:hAnsi="Palatino Linotype" w:cs="Arial"/>
          <w:sz w:val="22"/>
          <w:szCs w:val="22"/>
          <w:lang w:val="es-ES_tradnl" w:eastAsia="es-ES"/>
        </w:rPr>
      </w:pPr>
      <w:r w:rsidRPr="005E308E">
        <w:rPr>
          <w:rFonts w:ascii="Palatino Linotype" w:eastAsia="Calibri" w:hAnsi="Palatino Linotype" w:cs="Arial"/>
          <w:sz w:val="22"/>
          <w:szCs w:val="22"/>
          <w:lang w:val="es-ES_tradnl" w:eastAsia="es-ES"/>
        </w:rPr>
        <w:t xml:space="preserve">Por lo que el nombre del solicitando y recurrente no puede ser considerado un requisito indispensable de procedibilidad del recurso de revisión que nos ocupa, ya que el </w:t>
      </w:r>
      <w:r w:rsidRPr="005E308E">
        <w:rPr>
          <w:rFonts w:ascii="Palatino Linotype" w:eastAsia="Calibri" w:hAnsi="Palatino Linotype" w:cs="Arial"/>
          <w:sz w:val="22"/>
          <w:szCs w:val="22"/>
          <w:lang w:val="es-ES_tradnl" w:eastAsia="es-ES"/>
        </w:rPr>
        <w:lastRenderedPageBreak/>
        <w:t>acceso a la información no está condicionado a acreditar algún interés ya sea jurídico o legítimo, máxime que es un elemento subsanable por este Órgano Resolutor.</w:t>
      </w:r>
    </w:p>
    <w:p w:rsidR="00667AA0" w:rsidRPr="005E308E" w:rsidRDefault="00667AA0" w:rsidP="00667AA0">
      <w:pPr>
        <w:spacing w:line="360" w:lineRule="auto"/>
        <w:rPr>
          <w:rFonts w:ascii="Palatino Linotype" w:eastAsia="Calibri" w:hAnsi="Palatino Linotype" w:cs="Arial"/>
          <w:sz w:val="22"/>
          <w:szCs w:val="22"/>
          <w:lang w:val="es-ES_tradnl" w:eastAsia="es-ES"/>
        </w:rPr>
      </w:pPr>
    </w:p>
    <w:p w:rsidR="00667AA0" w:rsidRPr="005E308E" w:rsidRDefault="00667AA0" w:rsidP="00667AA0">
      <w:pPr>
        <w:pStyle w:val="Prrafodelista"/>
        <w:numPr>
          <w:ilvl w:val="0"/>
          <w:numId w:val="1"/>
        </w:numPr>
        <w:spacing w:line="360" w:lineRule="auto"/>
        <w:ind w:left="0" w:firstLine="0"/>
        <w:jc w:val="both"/>
        <w:rPr>
          <w:rFonts w:ascii="Palatino Linotype" w:hAnsi="Palatino Linotype" w:cs="Arial"/>
          <w:szCs w:val="22"/>
          <w:lang w:val="es-ES" w:eastAsia="es-ES"/>
        </w:rPr>
      </w:pPr>
      <w:r w:rsidRPr="005E308E">
        <w:rPr>
          <w:rFonts w:ascii="Palatino Linotype" w:eastAsia="Calibri" w:hAnsi="Palatino Linotype" w:cs="Arial"/>
          <w:szCs w:val="22"/>
          <w:lang w:val="es-ES_tradnl" w:eastAsia="es-ES"/>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667AA0" w:rsidRPr="005E308E" w:rsidRDefault="00667AA0" w:rsidP="00667AA0">
      <w:pPr>
        <w:pStyle w:val="Prrafodelista"/>
        <w:rPr>
          <w:rFonts w:ascii="Palatino Linotype" w:hAnsi="Palatino Linotype" w:cs="Arial"/>
          <w:szCs w:val="22"/>
          <w:lang w:val="es-ES" w:eastAsia="es-ES"/>
        </w:rPr>
      </w:pPr>
    </w:p>
    <w:p w:rsidR="00667AA0" w:rsidRPr="005E308E" w:rsidRDefault="00667AA0" w:rsidP="00667AA0">
      <w:pPr>
        <w:spacing w:line="360" w:lineRule="auto"/>
        <w:ind w:right="49"/>
        <w:contextualSpacing/>
        <w:jc w:val="both"/>
        <w:rPr>
          <w:rFonts w:ascii="Palatino Linotype" w:eastAsia="MS Gothic" w:hAnsi="Palatino Linotype" w:cstheme="majorBidi"/>
          <w:b/>
          <w:sz w:val="22"/>
          <w:szCs w:val="22"/>
          <w:lang w:eastAsia="es-ES"/>
        </w:rPr>
      </w:pPr>
      <w:r w:rsidRPr="005E308E">
        <w:rPr>
          <w:rFonts w:ascii="Palatino Linotype" w:eastAsia="MS Gothic" w:hAnsi="Palatino Linotype" w:cstheme="majorBidi"/>
          <w:b/>
          <w:sz w:val="22"/>
          <w:szCs w:val="22"/>
          <w:lang w:val="es-ES_tradnl" w:eastAsia="es-ES"/>
        </w:rPr>
        <w:t>TERCERO. Planteamiento de la Litis</w:t>
      </w:r>
      <w:r w:rsidRPr="005E308E">
        <w:rPr>
          <w:rFonts w:ascii="Palatino Linotype" w:eastAsia="MS Gothic" w:hAnsi="Palatino Linotype" w:cstheme="majorBidi"/>
          <w:b/>
          <w:sz w:val="22"/>
          <w:szCs w:val="22"/>
          <w:lang w:eastAsia="es-ES"/>
        </w:rPr>
        <w:t>.</w:t>
      </w:r>
    </w:p>
    <w:p w:rsidR="00667AA0" w:rsidRPr="005E308E" w:rsidRDefault="00667AA0" w:rsidP="00667AA0">
      <w:pPr>
        <w:spacing w:line="360" w:lineRule="auto"/>
        <w:ind w:right="49"/>
        <w:contextualSpacing/>
        <w:jc w:val="both"/>
        <w:rPr>
          <w:rFonts w:ascii="Palatino Linotype" w:eastAsia="MS Gothic" w:hAnsi="Palatino Linotype" w:cstheme="majorBidi"/>
          <w:b/>
          <w:sz w:val="22"/>
          <w:szCs w:val="22"/>
          <w:lang w:eastAsia="es-ES"/>
        </w:rPr>
      </w:pPr>
    </w:p>
    <w:p w:rsidR="00667AA0" w:rsidRPr="005E308E" w:rsidRDefault="00667AA0" w:rsidP="00B86C8D">
      <w:pPr>
        <w:numPr>
          <w:ilvl w:val="0"/>
          <w:numId w:val="1"/>
        </w:numPr>
        <w:spacing w:line="360" w:lineRule="auto"/>
        <w:ind w:left="0" w:right="49" w:firstLine="0"/>
        <w:contextualSpacing/>
        <w:jc w:val="both"/>
        <w:rPr>
          <w:rFonts w:ascii="Palatino Linotype" w:eastAsia="MS Gothic" w:hAnsi="Palatino Linotype" w:cstheme="majorBidi"/>
          <w:sz w:val="22"/>
          <w:szCs w:val="22"/>
          <w:lang w:eastAsia="es-ES"/>
        </w:rPr>
      </w:pPr>
      <w:r w:rsidRPr="005E308E">
        <w:rPr>
          <w:rFonts w:ascii="Palatino Linotype" w:eastAsia="MS Gothic" w:hAnsi="Palatino Linotype" w:cstheme="majorBidi"/>
          <w:sz w:val="22"/>
          <w:szCs w:val="22"/>
          <w:lang w:eastAsia="es-ES"/>
        </w:rPr>
        <w:t>El particular solicitó</w:t>
      </w:r>
      <w:r w:rsidR="006E5C6E" w:rsidRPr="005E308E">
        <w:rPr>
          <w:rFonts w:ascii="Palatino Linotype" w:eastAsia="MS Gothic" w:hAnsi="Palatino Linotype" w:cstheme="majorBidi"/>
          <w:sz w:val="22"/>
          <w:szCs w:val="22"/>
          <w:lang w:eastAsia="es-ES"/>
        </w:rPr>
        <w:t xml:space="preserve"> </w:t>
      </w:r>
      <w:r w:rsidR="002824A4" w:rsidRPr="005E308E">
        <w:rPr>
          <w:rFonts w:ascii="Palatino Linotype" w:eastAsia="MS Gothic" w:hAnsi="Palatino Linotype" w:cstheme="majorBidi"/>
          <w:sz w:val="22"/>
          <w:szCs w:val="22"/>
          <w:lang w:eastAsia="es-ES"/>
        </w:rPr>
        <w:t>los convenios firmados por el Secretario de Movilidad con cualquier institución pública, empresas privadas, empresarios de transporte público.</w:t>
      </w:r>
    </w:p>
    <w:p w:rsidR="002824A4" w:rsidRPr="005E308E" w:rsidRDefault="002824A4" w:rsidP="002824A4">
      <w:pPr>
        <w:spacing w:line="360" w:lineRule="auto"/>
        <w:ind w:right="49"/>
        <w:contextualSpacing/>
        <w:jc w:val="both"/>
        <w:rPr>
          <w:rFonts w:ascii="Palatino Linotype" w:eastAsia="MS Gothic" w:hAnsi="Palatino Linotype" w:cstheme="majorBidi"/>
          <w:sz w:val="22"/>
          <w:szCs w:val="22"/>
          <w:lang w:eastAsia="es-ES"/>
        </w:rPr>
      </w:pPr>
    </w:p>
    <w:p w:rsidR="002824A4" w:rsidRPr="005E308E" w:rsidRDefault="00667AA0" w:rsidP="002824A4">
      <w:pPr>
        <w:numPr>
          <w:ilvl w:val="0"/>
          <w:numId w:val="1"/>
        </w:numPr>
        <w:spacing w:line="360" w:lineRule="auto"/>
        <w:ind w:left="0" w:right="49" w:firstLine="0"/>
        <w:contextualSpacing/>
        <w:jc w:val="both"/>
        <w:rPr>
          <w:rFonts w:ascii="Palatino Linotype" w:eastAsia="MS Gothic" w:hAnsi="Palatino Linotype" w:cstheme="majorBidi"/>
          <w:sz w:val="22"/>
          <w:szCs w:val="22"/>
          <w:lang w:eastAsia="es-ES"/>
        </w:rPr>
      </w:pPr>
      <w:r w:rsidRPr="005E308E">
        <w:rPr>
          <w:rFonts w:ascii="Palatino Linotype" w:eastAsia="MS Gothic" w:hAnsi="Palatino Linotype" w:cstheme="majorBidi"/>
          <w:sz w:val="22"/>
          <w:szCs w:val="22"/>
          <w:lang w:eastAsia="es-ES"/>
        </w:rPr>
        <w:t>En respuesta, el Sujeto Obligado</w:t>
      </w:r>
      <w:r w:rsidR="002824A4" w:rsidRPr="005E308E">
        <w:rPr>
          <w:rFonts w:ascii="Palatino Linotype" w:eastAsia="MS Gothic" w:hAnsi="Palatino Linotype" w:cstheme="majorBidi"/>
          <w:sz w:val="22"/>
          <w:szCs w:val="22"/>
          <w:lang w:eastAsia="es-ES"/>
        </w:rPr>
        <w:t xml:space="preserve"> a través de la Coordinación Jurídica,</w:t>
      </w:r>
      <w:r w:rsidRPr="005E308E">
        <w:rPr>
          <w:rFonts w:ascii="Palatino Linotype" w:eastAsia="MS Gothic" w:hAnsi="Palatino Linotype" w:cstheme="majorBidi"/>
          <w:sz w:val="22"/>
          <w:szCs w:val="22"/>
          <w:lang w:eastAsia="es-ES"/>
        </w:rPr>
        <w:t xml:space="preserve"> </w:t>
      </w:r>
      <w:r w:rsidR="002824A4" w:rsidRPr="005E308E">
        <w:rPr>
          <w:rFonts w:ascii="Palatino Linotype" w:eastAsia="MS Gothic" w:hAnsi="Palatino Linotype" w:cstheme="majorBidi"/>
          <w:sz w:val="22"/>
          <w:szCs w:val="22"/>
          <w:lang w:eastAsia="es-ES"/>
        </w:rPr>
        <w:t xml:space="preserve">adjuntó dos liga electrónicas en las que señaló se localizaba la información solicitada del periodo comprendido del diez de octubre de dos mil veintitrés al diez de octubre de dos mil veinticuatro. Posteriormente, el particular se inconformó por la negativa de la información. </w:t>
      </w:r>
    </w:p>
    <w:p w:rsidR="006E5C6E" w:rsidRPr="005E308E" w:rsidRDefault="006E5C6E" w:rsidP="006E5C6E">
      <w:pPr>
        <w:spacing w:line="360" w:lineRule="auto"/>
        <w:ind w:right="49"/>
        <w:contextualSpacing/>
        <w:jc w:val="both"/>
        <w:rPr>
          <w:rFonts w:ascii="Palatino Linotype" w:eastAsia="MS Gothic" w:hAnsi="Palatino Linotype" w:cstheme="majorBidi"/>
          <w:sz w:val="22"/>
          <w:szCs w:val="22"/>
          <w:lang w:eastAsia="es-ES"/>
        </w:rPr>
      </w:pPr>
    </w:p>
    <w:p w:rsidR="00667AA0" w:rsidRPr="005E308E" w:rsidRDefault="00667AA0" w:rsidP="00B86C8D">
      <w:pPr>
        <w:numPr>
          <w:ilvl w:val="0"/>
          <w:numId w:val="1"/>
        </w:numPr>
        <w:spacing w:line="360" w:lineRule="auto"/>
        <w:ind w:left="0" w:right="49" w:firstLine="0"/>
        <w:contextualSpacing/>
        <w:jc w:val="both"/>
        <w:rPr>
          <w:rFonts w:ascii="Palatino Linotype" w:eastAsia="MS Gothic" w:hAnsi="Palatino Linotype"/>
          <w:sz w:val="22"/>
          <w:szCs w:val="22"/>
        </w:rPr>
      </w:pPr>
      <w:r w:rsidRPr="005E308E">
        <w:rPr>
          <w:rFonts w:ascii="Palatino Linotype" w:eastAsia="MS Gothic" w:hAnsi="Palatino Linotype" w:cstheme="majorBidi"/>
          <w:sz w:val="22"/>
          <w:szCs w:val="22"/>
          <w:lang w:eastAsia="es-ES"/>
        </w:rPr>
        <w:t xml:space="preserve">En consecuencia, la Litis a resolver en este recurso, se circunscribe a determinar si la respuesta colma con lo solicitado o si se actualiza la causal de procedencia prevista en </w:t>
      </w:r>
      <w:r w:rsidR="00A42BA9" w:rsidRPr="005E308E">
        <w:rPr>
          <w:rFonts w:ascii="Palatino Linotype" w:eastAsia="MS Gothic" w:hAnsi="Palatino Linotype" w:cstheme="majorBidi"/>
          <w:sz w:val="22"/>
          <w:szCs w:val="22"/>
          <w:lang w:eastAsia="es-ES"/>
        </w:rPr>
        <w:t xml:space="preserve">el artículo 179, fracción I </w:t>
      </w:r>
      <w:r w:rsidRPr="005E308E">
        <w:rPr>
          <w:rFonts w:ascii="Palatino Linotype" w:eastAsia="MS Gothic" w:hAnsi="Palatino Linotype" w:cstheme="majorBidi"/>
          <w:sz w:val="22"/>
          <w:szCs w:val="22"/>
          <w:lang w:eastAsia="es-ES"/>
        </w:rPr>
        <w:t>de la Ley de Transparencia y Acceso a la Información Pública del Estado de México y Municipios; que establece la negativa de la información</w:t>
      </w:r>
      <w:r w:rsidR="00A42BA9" w:rsidRPr="005E308E">
        <w:rPr>
          <w:rFonts w:ascii="Palatino Linotype" w:eastAsia="MS Gothic" w:hAnsi="Palatino Linotype" w:cstheme="majorBidi"/>
          <w:sz w:val="22"/>
          <w:szCs w:val="22"/>
          <w:lang w:eastAsia="es-ES"/>
        </w:rPr>
        <w:t>.</w:t>
      </w:r>
    </w:p>
    <w:p w:rsidR="00A42BA9" w:rsidRPr="005E308E" w:rsidRDefault="00A42BA9" w:rsidP="00A42BA9">
      <w:pPr>
        <w:pStyle w:val="Prrafodelista"/>
        <w:rPr>
          <w:rFonts w:ascii="Palatino Linotype" w:eastAsia="MS Gothic" w:hAnsi="Palatino Linotype"/>
          <w:szCs w:val="22"/>
        </w:rPr>
      </w:pPr>
    </w:p>
    <w:p w:rsidR="00A42BA9" w:rsidRPr="005E308E" w:rsidRDefault="00A42BA9" w:rsidP="00A42BA9">
      <w:pPr>
        <w:spacing w:line="360" w:lineRule="auto"/>
        <w:ind w:right="49"/>
        <w:contextualSpacing/>
        <w:jc w:val="both"/>
        <w:rPr>
          <w:rFonts w:ascii="Palatino Linotype" w:eastAsia="MS Gothic" w:hAnsi="Palatino Linotype"/>
          <w:sz w:val="22"/>
          <w:szCs w:val="22"/>
        </w:rPr>
      </w:pPr>
    </w:p>
    <w:p w:rsidR="00667AA0" w:rsidRPr="005E308E" w:rsidRDefault="00667AA0" w:rsidP="00667AA0">
      <w:pPr>
        <w:keepNext/>
        <w:keepLines/>
        <w:spacing w:line="360" w:lineRule="auto"/>
        <w:ind w:right="48"/>
        <w:outlineLvl w:val="0"/>
        <w:rPr>
          <w:rFonts w:ascii="Palatino Linotype" w:eastAsia="MS Gothic" w:hAnsi="Palatino Linotype" w:cstheme="majorBidi"/>
          <w:b/>
          <w:sz w:val="22"/>
          <w:szCs w:val="22"/>
          <w:lang w:val="es-ES_tradnl" w:eastAsia="es-ES"/>
        </w:rPr>
      </w:pPr>
      <w:bookmarkStart w:id="4" w:name="_Toc70417466"/>
      <w:bookmarkStart w:id="5" w:name="_Toc80812775"/>
      <w:bookmarkStart w:id="6" w:name="_Toc83301638"/>
      <w:r w:rsidRPr="005E308E">
        <w:rPr>
          <w:rFonts w:ascii="Palatino Linotype" w:eastAsia="MS Gothic" w:hAnsi="Palatino Linotype" w:cstheme="majorBidi"/>
          <w:b/>
          <w:sz w:val="22"/>
          <w:szCs w:val="22"/>
          <w:lang w:val="es-ES_tradnl" w:eastAsia="es-ES"/>
        </w:rPr>
        <w:t>CUARTO. Del estudio y resolución del recurso de revisión.</w:t>
      </w:r>
      <w:bookmarkEnd w:id="4"/>
      <w:bookmarkEnd w:id="5"/>
      <w:bookmarkEnd w:id="6"/>
    </w:p>
    <w:p w:rsidR="00667AA0" w:rsidRPr="005E308E" w:rsidRDefault="00667AA0" w:rsidP="00667AA0">
      <w:pPr>
        <w:spacing w:line="360" w:lineRule="auto"/>
        <w:ind w:right="49"/>
        <w:contextualSpacing/>
        <w:jc w:val="both"/>
        <w:rPr>
          <w:rFonts w:ascii="Palatino Linotype" w:eastAsiaTheme="minorEastAsia" w:hAnsi="Palatino Linotype"/>
          <w:sz w:val="22"/>
          <w:szCs w:val="22"/>
          <w:lang w:val="es-ES_tradnl" w:eastAsia="es-ES"/>
        </w:rPr>
      </w:pPr>
    </w:p>
    <w:p w:rsidR="00667AA0" w:rsidRPr="005E308E" w:rsidRDefault="00667AA0" w:rsidP="00667AA0">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5E308E">
        <w:rPr>
          <w:rFonts w:ascii="Palatino Linotype" w:eastAsia="Cambria" w:hAnsi="Palatino Linotype" w:cs="Arial"/>
          <w:sz w:val="22"/>
          <w:szCs w:val="22"/>
        </w:rPr>
        <w:lastRenderedPageBreak/>
        <w:t xml:space="preserve">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w:t>
      </w:r>
      <w:r w:rsidRPr="005E308E">
        <w:rPr>
          <w:rFonts w:ascii="Palatino Linotype" w:eastAsia="Calibri" w:hAnsi="Palatino Linotype" w:cs="Arial"/>
          <w:sz w:val="22"/>
          <w:szCs w:val="22"/>
          <w:lang w:val="es-ES"/>
        </w:rPr>
        <w:t>Ley de Transparencia y Acceso a la Información Pública del Estado de México y Municipios</w:t>
      </w:r>
      <w:r w:rsidRPr="005E308E">
        <w:rPr>
          <w:rFonts w:ascii="Palatino Linotype" w:hAnsi="Palatino Linotype" w:cs="Arial"/>
          <w:sz w:val="22"/>
          <w:szCs w:val="22"/>
          <w:lang w:val="es-ES"/>
        </w:rPr>
        <w:t>.</w:t>
      </w:r>
    </w:p>
    <w:p w:rsidR="00667AA0" w:rsidRPr="005E308E" w:rsidRDefault="00667AA0" w:rsidP="00667AA0">
      <w:pPr>
        <w:spacing w:line="360" w:lineRule="auto"/>
        <w:ind w:right="49"/>
        <w:contextualSpacing/>
        <w:jc w:val="both"/>
        <w:rPr>
          <w:rFonts w:ascii="Palatino Linotype" w:eastAsiaTheme="minorEastAsia" w:hAnsi="Palatino Linotype"/>
          <w:sz w:val="22"/>
          <w:szCs w:val="22"/>
          <w:lang w:val="es-ES_tradnl" w:eastAsia="es-ES"/>
        </w:rPr>
      </w:pPr>
    </w:p>
    <w:p w:rsidR="00425E5A" w:rsidRPr="005E308E" w:rsidRDefault="00667AA0" w:rsidP="00B86C8D">
      <w:pPr>
        <w:numPr>
          <w:ilvl w:val="0"/>
          <w:numId w:val="1"/>
        </w:numPr>
        <w:spacing w:line="360" w:lineRule="auto"/>
        <w:ind w:left="0" w:right="49" w:firstLine="0"/>
        <w:contextualSpacing/>
        <w:jc w:val="both"/>
        <w:rPr>
          <w:rFonts w:ascii="Palatino Linotype" w:eastAsia="MS Mincho" w:hAnsi="Palatino Linotype"/>
          <w:sz w:val="22"/>
          <w:szCs w:val="22"/>
        </w:rPr>
      </w:pPr>
      <w:r w:rsidRPr="005E308E">
        <w:rPr>
          <w:rFonts w:ascii="Palatino Linotype" w:hAnsi="Palatino Linotype" w:cs="Arial"/>
          <w:sz w:val="22"/>
          <w:szCs w:val="22"/>
          <w:lang w:val="es-ES"/>
        </w:rPr>
        <w:t xml:space="preserve">En este caso, el particular solicitó </w:t>
      </w:r>
      <w:r w:rsidR="00A42BA9" w:rsidRPr="005E308E">
        <w:rPr>
          <w:rFonts w:ascii="Palatino Linotype" w:hAnsi="Palatino Linotype" w:cs="Arial"/>
          <w:sz w:val="22"/>
          <w:szCs w:val="22"/>
        </w:rPr>
        <w:t>los convenios firmados por el Secretario de Movilidad con cualquier institución pública, empresas privadas, empresarios de transporte público.</w:t>
      </w:r>
    </w:p>
    <w:p w:rsidR="00A42BA9" w:rsidRPr="005E308E" w:rsidRDefault="00A42BA9" w:rsidP="00A42BA9">
      <w:pPr>
        <w:spacing w:line="360" w:lineRule="auto"/>
        <w:ind w:right="49"/>
        <w:contextualSpacing/>
        <w:jc w:val="both"/>
        <w:rPr>
          <w:rFonts w:ascii="Palatino Linotype" w:eastAsia="MS Mincho" w:hAnsi="Palatino Linotype"/>
          <w:sz w:val="22"/>
          <w:szCs w:val="22"/>
        </w:rPr>
      </w:pPr>
    </w:p>
    <w:p w:rsidR="00425E5A" w:rsidRPr="005E308E" w:rsidRDefault="00A42BA9" w:rsidP="00425E5A">
      <w:pPr>
        <w:numPr>
          <w:ilvl w:val="0"/>
          <w:numId w:val="1"/>
        </w:numPr>
        <w:spacing w:line="360" w:lineRule="auto"/>
        <w:ind w:left="0" w:right="49" w:firstLine="0"/>
        <w:contextualSpacing/>
        <w:jc w:val="both"/>
        <w:rPr>
          <w:rFonts w:ascii="Palatino Linotype" w:eastAsia="MS Gothic" w:hAnsi="Palatino Linotype" w:cstheme="majorBidi"/>
          <w:sz w:val="22"/>
          <w:szCs w:val="22"/>
          <w:lang w:eastAsia="es-ES"/>
        </w:rPr>
      </w:pPr>
      <w:r w:rsidRPr="005E308E">
        <w:rPr>
          <w:rFonts w:ascii="Palatino Linotype" w:eastAsia="MS Mincho" w:hAnsi="Palatino Linotype"/>
          <w:sz w:val="22"/>
          <w:szCs w:val="22"/>
        </w:rPr>
        <w:t>Primeramente, d</w:t>
      </w:r>
      <w:r w:rsidR="00425E5A" w:rsidRPr="005E308E">
        <w:rPr>
          <w:rFonts w:ascii="Palatino Linotype" w:eastAsia="MS Mincho" w:hAnsi="Palatino Linotype"/>
          <w:sz w:val="22"/>
          <w:szCs w:val="22"/>
        </w:rPr>
        <w:t xml:space="preserve">ebemos mencionar que el acceso a la información es un derecho humano constitucional y convencionalmente reconocido y para tal efecto </w:t>
      </w:r>
      <w:r w:rsidR="00425E5A" w:rsidRPr="005E308E">
        <w:rPr>
          <w:rFonts w:ascii="Palatino Linotype" w:eastAsia="Calibri" w:hAnsi="Palatino Linotype"/>
          <w:sz w:val="22"/>
          <w:szCs w:val="22"/>
          <w:lang w:val="es-ES"/>
        </w:rPr>
        <w:t xml:space="preserve">el párrafo tercero del artículo primero de la Constitución Política de los Estados Unidos Mexicanos establece que el deber de todas las autoridades, </w:t>
      </w:r>
      <w:r w:rsidR="00425E5A" w:rsidRPr="005E308E">
        <w:rPr>
          <w:rFonts w:ascii="Palatino Linotype" w:eastAsia="Calibri" w:hAnsi="Palatino Linotype"/>
          <w:i/>
          <w:sz w:val="22"/>
          <w:szCs w:val="22"/>
          <w:lang w:val="es-ES"/>
        </w:rPr>
        <w:t xml:space="preserve">en el ámbito de sus atribuciones, de promover, respetar, proteger y </w:t>
      </w:r>
      <w:r w:rsidR="00425E5A" w:rsidRPr="005E308E">
        <w:rPr>
          <w:rFonts w:ascii="Palatino Linotype" w:eastAsia="Calibri" w:hAnsi="Palatino Linotype"/>
          <w:b/>
          <w:i/>
          <w:sz w:val="22"/>
          <w:szCs w:val="22"/>
          <w:lang w:val="es-ES"/>
        </w:rPr>
        <w:t>garantizar</w:t>
      </w:r>
      <w:r w:rsidR="00425E5A" w:rsidRPr="005E308E">
        <w:rPr>
          <w:rFonts w:ascii="Palatino Linotype" w:eastAsia="Calibri" w:hAnsi="Palatino Linotype"/>
          <w:i/>
          <w:sz w:val="22"/>
          <w:szCs w:val="22"/>
          <w:lang w:val="es-ES"/>
        </w:rPr>
        <w:t xml:space="preserve"> los derechos humanos. </w:t>
      </w:r>
      <w:r w:rsidR="00425E5A" w:rsidRPr="005E308E">
        <w:rPr>
          <w:rFonts w:ascii="Palatino Linotype" w:eastAsia="Calibri" w:hAnsi="Palatino Linotype"/>
          <w:b/>
          <w:i/>
          <w:sz w:val="22"/>
          <w:szCs w:val="22"/>
          <w:lang w:val="es-ES"/>
        </w:rPr>
        <w:t>En cuanto al derecho de acceso a la información, la Ley de Transparencia y Acceso a la Información Pública del Estado de México y Municipios prevé establece que e</w:t>
      </w:r>
      <w:r w:rsidR="00425E5A" w:rsidRPr="005E308E">
        <w:rPr>
          <w:rFonts w:ascii="Palatino Linotype" w:hAnsi="Palatino Linotype"/>
          <w:i/>
          <w:sz w:val="22"/>
          <w:szCs w:val="22"/>
        </w:rPr>
        <w:t>l procedimiento de acceso a la información es la garantía primaria del derecho en cuestión y se rige por los principios de simplicidad, rapidez y gratuidad del procedimiento, auxilio y orientación a los particulares</w:t>
      </w:r>
      <w:r w:rsidR="00425E5A" w:rsidRPr="005E308E">
        <w:rPr>
          <w:rStyle w:val="Refdenotaalpie"/>
          <w:i/>
          <w:sz w:val="22"/>
          <w:szCs w:val="22"/>
        </w:rPr>
        <w:footnoteReference w:id="1"/>
      </w:r>
      <w:r w:rsidR="00425E5A" w:rsidRPr="005E308E">
        <w:rPr>
          <w:rFonts w:ascii="Palatino Linotype" w:hAnsi="Palatino Linotype"/>
          <w:i/>
          <w:sz w:val="22"/>
          <w:szCs w:val="22"/>
        </w:rPr>
        <w:t xml:space="preserve">, </w:t>
      </w:r>
      <w:r w:rsidR="00425E5A" w:rsidRPr="005E308E">
        <w:rPr>
          <w:rFonts w:ascii="Palatino Linotype" w:hAnsi="Palatino Linotype"/>
          <w:sz w:val="22"/>
          <w:szCs w:val="22"/>
        </w:rPr>
        <w:t>asimismo establece</w:t>
      </w:r>
      <w:r w:rsidR="00425E5A" w:rsidRPr="005E308E">
        <w:rPr>
          <w:rFonts w:ascii="Palatino Linotype" w:hAnsi="Palatino Linotype"/>
          <w:i/>
          <w:sz w:val="22"/>
          <w:szCs w:val="22"/>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rsidR="00425E5A" w:rsidRPr="005E308E" w:rsidRDefault="00425E5A" w:rsidP="00425E5A">
      <w:pPr>
        <w:pStyle w:val="Prrafodelista"/>
        <w:rPr>
          <w:rFonts w:ascii="Palatino Linotype" w:hAnsi="Palatino Linotype"/>
          <w:szCs w:val="22"/>
        </w:rPr>
      </w:pPr>
    </w:p>
    <w:p w:rsidR="00425E5A" w:rsidRPr="005E308E" w:rsidRDefault="00425E5A" w:rsidP="00425E5A">
      <w:pPr>
        <w:numPr>
          <w:ilvl w:val="0"/>
          <w:numId w:val="1"/>
        </w:numPr>
        <w:spacing w:line="360" w:lineRule="auto"/>
        <w:ind w:left="0" w:right="49" w:firstLine="0"/>
        <w:contextualSpacing/>
        <w:jc w:val="both"/>
        <w:rPr>
          <w:rFonts w:ascii="Palatino Linotype" w:eastAsia="MS Gothic" w:hAnsi="Palatino Linotype" w:cstheme="majorBidi"/>
          <w:sz w:val="22"/>
          <w:szCs w:val="22"/>
          <w:lang w:eastAsia="es-ES"/>
        </w:rPr>
      </w:pPr>
      <w:r w:rsidRPr="005E308E">
        <w:rPr>
          <w:rFonts w:ascii="Palatino Linotype" w:hAnsi="Palatino Linotype"/>
          <w:sz w:val="22"/>
          <w:szCs w:val="22"/>
        </w:rPr>
        <w:t xml:space="preserve">Por lo que, las actuaciones diligentes que lleven a cabo en un primer momento las Unidades de Transparencia y posteriormente  cada servidor público en su área es </w:t>
      </w:r>
      <w:r w:rsidRPr="005E308E">
        <w:rPr>
          <w:rFonts w:ascii="Palatino Linotype" w:hAnsi="Palatino Linotype"/>
          <w:sz w:val="22"/>
          <w:szCs w:val="22"/>
        </w:rPr>
        <w:lastRenderedPageBreak/>
        <w:t>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rsidR="00425E5A" w:rsidRPr="005E308E" w:rsidRDefault="00425E5A" w:rsidP="00425E5A">
      <w:pPr>
        <w:pStyle w:val="Prrafodelista"/>
        <w:rPr>
          <w:rFonts w:ascii="Palatino Linotype" w:hAnsi="Palatino Linotype"/>
          <w:szCs w:val="22"/>
        </w:rPr>
      </w:pPr>
    </w:p>
    <w:p w:rsidR="00425E5A" w:rsidRPr="005E308E" w:rsidRDefault="00425E5A" w:rsidP="00425E5A">
      <w:pPr>
        <w:numPr>
          <w:ilvl w:val="0"/>
          <w:numId w:val="1"/>
        </w:numPr>
        <w:spacing w:line="360" w:lineRule="auto"/>
        <w:ind w:left="0" w:right="49" w:firstLine="0"/>
        <w:contextualSpacing/>
        <w:jc w:val="both"/>
        <w:rPr>
          <w:rFonts w:ascii="Palatino Linotype" w:eastAsia="MS Gothic" w:hAnsi="Palatino Linotype" w:cstheme="majorBidi"/>
          <w:sz w:val="22"/>
          <w:szCs w:val="22"/>
          <w:lang w:eastAsia="es-ES"/>
        </w:rPr>
      </w:pPr>
      <w:r w:rsidRPr="005E308E">
        <w:rPr>
          <w:rFonts w:ascii="Palatino Linotype" w:hAnsi="Palatino Linotype"/>
          <w:sz w:val="22"/>
          <w:szCs w:val="22"/>
        </w:rPr>
        <w:t xml:space="preserve">Es así que, su obligación es </w:t>
      </w:r>
      <w:r w:rsidRPr="005E308E">
        <w:rPr>
          <w:rFonts w:ascii="Palatino Linotype" w:hAnsi="Palatino Linotype"/>
          <w:i/>
          <w:sz w:val="22"/>
          <w:szCs w:val="22"/>
        </w:rPr>
        <w:t>realizar, con efectividad, los trámites internos necesarios para la atención de las solicitudes de información</w:t>
      </w:r>
      <w:r w:rsidRPr="005E308E">
        <w:rPr>
          <w:rStyle w:val="Refdenotaalpie"/>
          <w:sz w:val="22"/>
          <w:szCs w:val="22"/>
        </w:rPr>
        <w:footnoteReference w:id="2"/>
      </w:r>
      <w:r w:rsidRPr="005E308E">
        <w:rPr>
          <w:rFonts w:ascii="Palatino Linotype" w:hAnsi="Palatino Linotype"/>
          <w:sz w:val="22"/>
          <w:szCs w:val="22"/>
        </w:rPr>
        <w:t>, es decir, deben otorgar respuestas concisas, contundentes y sobre todo que den la certeza de los actos que realizan.</w:t>
      </w:r>
    </w:p>
    <w:p w:rsidR="00425E5A" w:rsidRPr="005E308E" w:rsidRDefault="00425E5A" w:rsidP="00425E5A">
      <w:pPr>
        <w:pStyle w:val="Prrafodelista"/>
        <w:rPr>
          <w:rFonts w:ascii="Palatino Linotype" w:eastAsia="Palatino Linotype" w:hAnsi="Palatino Linotype" w:cs="Palatino Linotype"/>
          <w:szCs w:val="22"/>
        </w:rPr>
      </w:pPr>
    </w:p>
    <w:p w:rsidR="00425E5A" w:rsidRPr="005E308E" w:rsidRDefault="00425E5A" w:rsidP="00425E5A">
      <w:pPr>
        <w:numPr>
          <w:ilvl w:val="0"/>
          <w:numId w:val="1"/>
        </w:numPr>
        <w:spacing w:line="360" w:lineRule="auto"/>
        <w:ind w:left="0" w:right="49" w:firstLine="0"/>
        <w:contextualSpacing/>
        <w:jc w:val="both"/>
        <w:rPr>
          <w:rFonts w:ascii="Palatino Linotype" w:eastAsia="MS Gothic" w:hAnsi="Palatino Linotype" w:cstheme="majorBidi"/>
          <w:sz w:val="22"/>
          <w:szCs w:val="22"/>
          <w:lang w:eastAsia="es-ES"/>
        </w:rPr>
      </w:pPr>
      <w:r w:rsidRPr="005E308E">
        <w:rPr>
          <w:rFonts w:ascii="Palatino Linotype" w:eastAsia="Palatino Linotype" w:hAnsi="Palatino Linotype" w:cs="Palatino Linotype"/>
          <w:sz w:val="22"/>
          <w:szCs w:val="22"/>
        </w:rPr>
        <w:t xml:space="preserve">Al respecto, es menester hacer referencia a lo establecido en los artículos 50, 53 fracciones II, IV y V, 58, 59 fracciones I y II, y 162 </w:t>
      </w:r>
      <w:r w:rsidRPr="005E308E">
        <w:rPr>
          <w:rFonts w:ascii="Palatino Linotype" w:eastAsia="Arial Unicode MS" w:hAnsi="Palatino Linotype" w:cs="Arial"/>
          <w:sz w:val="22"/>
          <w:szCs w:val="22"/>
          <w:lang w:eastAsia="en-US"/>
        </w:rPr>
        <w:t>de la Ley de Transparencia y Acceso a la Información del Estado de México y Municipios, que a la letra estipulan lo siguiente:</w:t>
      </w:r>
    </w:p>
    <w:p w:rsidR="00425E5A" w:rsidRPr="005E308E" w:rsidRDefault="00425E5A" w:rsidP="00425E5A">
      <w:pPr>
        <w:spacing w:line="360" w:lineRule="auto"/>
        <w:jc w:val="both"/>
        <w:rPr>
          <w:rFonts w:ascii="Palatino Linotype" w:eastAsia="Arial Unicode MS" w:hAnsi="Palatino Linotype" w:cs="Arial"/>
          <w:sz w:val="22"/>
          <w:szCs w:val="22"/>
          <w:lang w:eastAsia="en-US"/>
        </w:rPr>
      </w:pPr>
    </w:p>
    <w:p w:rsidR="00425E5A" w:rsidRPr="005E308E" w:rsidRDefault="00425E5A" w:rsidP="00425E5A">
      <w:pPr>
        <w:ind w:left="851" w:right="822"/>
        <w:jc w:val="both"/>
        <w:rPr>
          <w:rFonts w:ascii="Palatino Linotype" w:eastAsia="Palatino Linotype" w:hAnsi="Palatino Linotype" w:cs="Palatino Linotype"/>
          <w:i/>
          <w:iCs/>
          <w:sz w:val="22"/>
          <w:szCs w:val="22"/>
        </w:rPr>
      </w:pPr>
      <w:r w:rsidRPr="005E308E">
        <w:rPr>
          <w:rFonts w:ascii="Palatino Linotype" w:eastAsia="Palatino Linotype" w:hAnsi="Palatino Linotype" w:cs="Palatino Linotype"/>
          <w:b/>
          <w:i/>
          <w:iCs/>
          <w:sz w:val="22"/>
          <w:szCs w:val="22"/>
        </w:rPr>
        <w:t xml:space="preserve">Artículo 50. </w:t>
      </w:r>
      <w:r w:rsidRPr="005E308E">
        <w:rPr>
          <w:rFonts w:ascii="Palatino Linotype" w:eastAsia="Palatino Linotype" w:hAnsi="Palatino Linotype" w:cs="Palatino Linotype"/>
          <w:i/>
          <w:iCs/>
          <w:sz w:val="22"/>
          <w:szCs w:val="22"/>
        </w:rPr>
        <w:t>Los sujetos obligados contarán con un área responsable para la atención de las solicitudes de información, a la que se le denominará Unidad de Transparencia.</w:t>
      </w:r>
    </w:p>
    <w:p w:rsidR="00425E5A" w:rsidRPr="005E308E" w:rsidRDefault="00425E5A" w:rsidP="00425E5A">
      <w:pPr>
        <w:ind w:left="851" w:right="822"/>
        <w:jc w:val="both"/>
        <w:rPr>
          <w:rFonts w:ascii="Palatino Linotype" w:eastAsia="Palatino Linotype" w:hAnsi="Palatino Linotype" w:cs="Palatino Linotype"/>
          <w:i/>
          <w:iCs/>
          <w:sz w:val="22"/>
          <w:szCs w:val="22"/>
        </w:rPr>
      </w:pPr>
    </w:p>
    <w:p w:rsidR="00425E5A" w:rsidRPr="005E308E" w:rsidRDefault="00425E5A" w:rsidP="00425E5A">
      <w:pPr>
        <w:ind w:left="851" w:right="822"/>
        <w:jc w:val="both"/>
        <w:rPr>
          <w:rFonts w:ascii="Palatino Linotype" w:eastAsia="Palatino Linotype" w:hAnsi="Palatino Linotype" w:cs="Palatino Linotype"/>
          <w:i/>
          <w:iCs/>
          <w:sz w:val="22"/>
          <w:szCs w:val="22"/>
        </w:rPr>
      </w:pPr>
      <w:r w:rsidRPr="005E308E">
        <w:rPr>
          <w:rFonts w:ascii="Palatino Linotype" w:eastAsia="Palatino Linotype" w:hAnsi="Palatino Linotype" w:cs="Palatino Linotype"/>
          <w:b/>
          <w:i/>
          <w:iCs/>
          <w:sz w:val="22"/>
          <w:szCs w:val="22"/>
        </w:rPr>
        <w:t xml:space="preserve">Artículo 53. </w:t>
      </w:r>
      <w:r w:rsidRPr="005E308E">
        <w:rPr>
          <w:rFonts w:ascii="Palatino Linotype" w:eastAsia="Palatino Linotype" w:hAnsi="Palatino Linotype" w:cs="Palatino Linotype"/>
          <w:i/>
          <w:iCs/>
          <w:sz w:val="22"/>
          <w:szCs w:val="22"/>
        </w:rPr>
        <w:t>Las Unidades de Transparencia tendrán las siguientes funciones:</w:t>
      </w:r>
    </w:p>
    <w:p w:rsidR="00425E5A" w:rsidRPr="005E308E" w:rsidRDefault="00425E5A" w:rsidP="00425E5A">
      <w:pPr>
        <w:ind w:left="851" w:right="822"/>
        <w:jc w:val="both"/>
        <w:rPr>
          <w:rFonts w:ascii="Palatino Linotype" w:eastAsia="Palatino Linotype" w:hAnsi="Palatino Linotype" w:cs="Palatino Linotype"/>
          <w:i/>
          <w:iCs/>
          <w:sz w:val="22"/>
          <w:szCs w:val="22"/>
        </w:rPr>
      </w:pPr>
      <w:r w:rsidRPr="005E308E">
        <w:rPr>
          <w:rFonts w:ascii="Palatino Linotype" w:eastAsia="Palatino Linotype" w:hAnsi="Palatino Linotype" w:cs="Palatino Linotype"/>
          <w:i/>
          <w:iCs/>
          <w:sz w:val="22"/>
          <w:szCs w:val="22"/>
        </w:rPr>
        <w:t>(…)</w:t>
      </w:r>
    </w:p>
    <w:p w:rsidR="00425E5A" w:rsidRPr="005E308E" w:rsidRDefault="00425E5A" w:rsidP="00425E5A">
      <w:pPr>
        <w:ind w:left="851" w:right="822"/>
        <w:jc w:val="both"/>
        <w:rPr>
          <w:rFonts w:ascii="Palatino Linotype" w:eastAsia="Palatino Linotype" w:hAnsi="Palatino Linotype" w:cs="Palatino Linotype"/>
          <w:i/>
          <w:iCs/>
          <w:sz w:val="22"/>
          <w:szCs w:val="22"/>
        </w:rPr>
      </w:pPr>
      <w:r w:rsidRPr="005E308E">
        <w:rPr>
          <w:rFonts w:ascii="Palatino Linotype" w:eastAsia="Palatino Linotype" w:hAnsi="Palatino Linotype" w:cs="Palatino Linotype"/>
          <w:b/>
          <w:bCs/>
          <w:i/>
          <w:iCs/>
          <w:sz w:val="22"/>
          <w:szCs w:val="22"/>
        </w:rPr>
        <w:t>II.</w:t>
      </w:r>
      <w:r w:rsidRPr="005E308E">
        <w:rPr>
          <w:rFonts w:ascii="Palatino Linotype" w:eastAsia="Palatino Linotype" w:hAnsi="Palatino Linotype" w:cs="Palatino Linotype"/>
          <w:i/>
          <w:iCs/>
          <w:sz w:val="22"/>
          <w:szCs w:val="22"/>
        </w:rPr>
        <w:t xml:space="preserve"> Recibir, tramitar y dar respuesta a las solicitudes de acceso a la información;</w:t>
      </w:r>
    </w:p>
    <w:p w:rsidR="00425E5A" w:rsidRPr="005E308E" w:rsidRDefault="00425E5A" w:rsidP="00425E5A">
      <w:pPr>
        <w:ind w:left="851" w:right="822"/>
        <w:jc w:val="both"/>
        <w:rPr>
          <w:rFonts w:ascii="Palatino Linotype" w:eastAsia="Palatino Linotype" w:hAnsi="Palatino Linotype" w:cs="Palatino Linotype"/>
          <w:i/>
          <w:iCs/>
          <w:sz w:val="22"/>
          <w:szCs w:val="22"/>
        </w:rPr>
      </w:pPr>
      <w:r w:rsidRPr="005E308E">
        <w:rPr>
          <w:rFonts w:ascii="Palatino Linotype" w:eastAsia="Palatino Linotype" w:hAnsi="Palatino Linotype" w:cs="Palatino Linotype"/>
          <w:i/>
          <w:iCs/>
          <w:sz w:val="22"/>
          <w:szCs w:val="22"/>
        </w:rPr>
        <w:t>(…)</w:t>
      </w:r>
    </w:p>
    <w:p w:rsidR="00425E5A" w:rsidRPr="005E308E" w:rsidRDefault="00425E5A" w:rsidP="00425E5A">
      <w:pPr>
        <w:ind w:left="851" w:right="822"/>
        <w:jc w:val="both"/>
        <w:rPr>
          <w:rFonts w:ascii="Palatino Linotype" w:eastAsia="Palatino Linotype" w:hAnsi="Palatino Linotype" w:cs="Palatino Linotype"/>
          <w:i/>
          <w:iCs/>
          <w:sz w:val="22"/>
          <w:szCs w:val="22"/>
        </w:rPr>
      </w:pPr>
      <w:r w:rsidRPr="005E308E">
        <w:rPr>
          <w:rFonts w:ascii="Palatino Linotype" w:eastAsia="Palatino Linotype" w:hAnsi="Palatino Linotype" w:cs="Palatino Linotype"/>
          <w:b/>
          <w:bCs/>
          <w:i/>
          <w:iCs/>
          <w:sz w:val="22"/>
          <w:szCs w:val="22"/>
        </w:rPr>
        <w:t>IV.</w:t>
      </w:r>
      <w:r w:rsidRPr="005E308E">
        <w:rPr>
          <w:rFonts w:ascii="Palatino Linotype" w:eastAsia="Palatino Linotype" w:hAnsi="Palatino Linotype" w:cs="Palatino Linotype"/>
          <w:i/>
          <w:iCs/>
          <w:sz w:val="22"/>
          <w:szCs w:val="22"/>
        </w:rPr>
        <w:t xml:space="preserve"> Realizar, con efectividad, los trámites internos necesarios para la atención de las solicitudes de acceso a la información;</w:t>
      </w:r>
    </w:p>
    <w:p w:rsidR="00425E5A" w:rsidRPr="005E308E" w:rsidRDefault="00425E5A" w:rsidP="00425E5A">
      <w:pPr>
        <w:ind w:left="851" w:right="822"/>
        <w:jc w:val="both"/>
        <w:rPr>
          <w:rFonts w:ascii="Palatino Linotype" w:eastAsia="Palatino Linotype" w:hAnsi="Palatino Linotype" w:cs="Palatino Linotype"/>
          <w:i/>
          <w:iCs/>
          <w:sz w:val="22"/>
          <w:szCs w:val="22"/>
        </w:rPr>
      </w:pPr>
      <w:r w:rsidRPr="005E308E">
        <w:rPr>
          <w:rFonts w:ascii="Palatino Linotype" w:eastAsia="Palatino Linotype" w:hAnsi="Palatino Linotype" w:cs="Palatino Linotype"/>
          <w:b/>
          <w:bCs/>
          <w:i/>
          <w:iCs/>
          <w:sz w:val="22"/>
          <w:szCs w:val="22"/>
        </w:rPr>
        <w:t>V.</w:t>
      </w:r>
      <w:r w:rsidRPr="005E308E">
        <w:rPr>
          <w:rFonts w:ascii="Palatino Linotype" w:eastAsia="Palatino Linotype" w:hAnsi="Palatino Linotype" w:cs="Palatino Linotype"/>
          <w:i/>
          <w:iCs/>
          <w:sz w:val="22"/>
          <w:szCs w:val="22"/>
        </w:rPr>
        <w:t xml:space="preserve"> Entregar, en su caso, a los particulares la información solicitada;</w:t>
      </w:r>
    </w:p>
    <w:p w:rsidR="00425E5A" w:rsidRPr="005E308E" w:rsidRDefault="00425E5A" w:rsidP="00425E5A">
      <w:pPr>
        <w:ind w:left="851" w:right="822"/>
        <w:jc w:val="both"/>
        <w:rPr>
          <w:rFonts w:ascii="Palatino Linotype" w:eastAsia="Palatino Linotype" w:hAnsi="Palatino Linotype" w:cs="Palatino Linotype"/>
          <w:i/>
          <w:iCs/>
          <w:sz w:val="22"/>
          <w:szCs w:val="22"/>
        </w:rPr>
      </w:pPr>
      <w:r w:rsidRPr="005E308E">
        <w:rPr>
          <w:rFonts w:ascii="Palatino Linotype" w:eastAsia="Palatino Linotype" w:hAnsi="Palatino Linotype" w:cs="Palatino Linotype"/>
          <w:i/>
          <w:iCs/>
          <w:sz w:val="22"/>
          <w:szCs w:val="22"/>
        </w:rPr>
        <w:t>(…)</w:t>
      </w:r>
    </w:p>
    <w:p w:rsidR="00425E5A" w:rsidRPr="005E308E" w:rsidRDefault="00425E5A" w:rsidP="00425E5A">
      <w:pPr>
        <w:ind w:left="851" w:right="822"/>
        <w:jc w:val="both"/>
        <w:rPr>
          <w:rFonts w:ascii="Palatino Linotype" w:eastAsia="Palatino Linotype" w:hAnsi="Palatino Linotype" w:cs="Palatino Linotype"/>
          <w:i/>
          <w:iCs/>
          <w:sz w:val="22"/>
          <w:szCs w:val="22"/>
        </w:rPr>
      </w:pPr>
    </w:p>
    <w:p w:rsidR="00425E5A" w:rsidRPr="005E308E" w:rsidRDefault="00425E5A" w:rsidP="00425E5A">
      <w:pPr>
        <w:ind w:left="851" w:right="822"/>
        <w:jc w:val="both"/>
        <w:rPr>
          <w:rFonts w:ascii="Palatino Linotype" w:eastAsia="Palatino Linotype" w:hAnsi="Palatino Linotype" w:cs="Palatino Linotype"/>
          <w:i/>
          <w:iCs/>
          <w:sz w:val="22"/>
          <w:szCs w:val="22"/>
        </w:rPr>
      </w:pPr>
      <w:r w:rsidRPr="005E308E">
        <w:rPr>
          <w:rFonts w:ascii="Palatino Linotype" w:eastAsia="Palatino Linotype" w:hAnsi="Palatino Linotype" w:cs="Palatino Linotype"/>
          <w:b/>
          <w:i/>
          <w:iCs/>
          <w:sz w:val="22"/>
          <w:szCs w:val="22"/>
        </w:rPr>
        <w:t xml:space="preserve">Artículo 58. </w:t>
      </w:r>
      <w:r w:rsidRPr="005E308E">
        <w:rPr>
          <w:rFonts w:ascii="Palatino Linotype" w:eastAsia="Palatino Linotype" w:hAnsi="Palatino Linotype" w:cs="Palatino Linotype"/>
          <w:i/>
          <w:iCs/>
          <w:sz w:val="22"/>
          <w:szCs w:val="22"/>
        </w:rPr>
        <w:t>Los servidores públicos habilitados serán designados por el titular del sujeto obligado a propuesta del responsable de la Unidad de Transparencia.</w:t>
      </w:r>
    </w:p>
    <w:p w:rsidR="00425E5A" w:rsidRPr="005E308E" w:rsidRDefault="00425E5A" w:rsidP="00425E5A">
      <w:pPr>
        <w:ind w:left="851" w:right="822"/>
        <w:jc w:val="both"/>
        <w:rPr>
          <w:rFonts w:ascii="Palatino Linotype" w:eastAsia="Palatino Linotype" w:hAnsi="Palatino Linotype" w:cs="Palatino Linotype"/>
          <w:i/>
          <w:iCs/>
          <w:sz w:val="22"/>
          <w:szCs w:val="22"/>
        </w:rPr>
      </w:pPr>
    </w:p>
    <w:p w:rsidR="00425E5A" w:rsidRPr="005E308E" w:rsidRDefault="00425E5A" w:rsidP="00425E5A">
      <w:pPr>
        <w:ind w:left="851" w:right="822"/>
        <w:jc w:val="both"/>
        <w:rPr>
          <w:rFonts w:ascii="Palatino Linotype" w:eastAsia="Palatino Linotype" w:hAnsi="Palatino Linotype" w:cs="Palatino Linotype"/>
          <w:i/>
          <w:iCs/>
          <w:sz w:val="22"/>
          <w:szCs w:val="22"/>
        </w:rPr>
      </w:pPr>
      <w:r w:rsidRPr="005E308E">
        <w:rPr>
          <w:rFonts w:ascii="Palatino Linotype" w:eastAsia="Palatino Linotype" w:hAnsi="Palatino Linotype" w:cs="Palatino Linotype"/>
          <w:b/>
          <w:i/>
          <w:iCs/>
          <w:sz w:val="22"/>
          <w:szCs w:val="22"/>
        </w:rPr>
        <w:t xml:space="preserve">Artículo 59. </w:t>
      </w:r>
      <w:r w:rsidRPr="005E308E">
        <w:rPr>
          <w:rFonts w:ascii="Palatino Linotype" w:eastAsia="Palatino Linotype" w:hAnsi="Palatino Linotype" w:cs="Palatino Linotype"/>
          <w:i/>
          <w:iCs/>
          <w:sz w:val="22"/>
          <w:szCs w:val="22"/>
        </w:rPr>
        <w:t>Los servidores públicos habilitados tendrán las funciones siguientes:</w:t>
      </w:r>
    </w:p>
    <w:p w:rsidR="00425E5A" w:rsidRPr="005E308E" w:rsidRDefault="00425E5A" w:rsidP="00425E5A">
      <w:pPr>
        <w:ind w:left="851" w:right="822"/>
        <w:jc w:val="both"/>
        <w:rPr>
          <w:rFonts w:ascii="Palatino Linotype" w:eastAsia="Palatino Linotype" w:hAnsi="Palatino Linotype" w:cs="Palatino Linotype"/>
          <w:i/>
          <w:iCs/>
          <w:sz w:val="22"/>
          <w:szCs w:val="22"/>
        </w:rPr>
      </w:pPr>
    </w:p>
    <w:p w:rsidR="00425E5A" w:rsidRPr="005E308E" w:rsidRDefault="00425E5A" w:rsidP="00425E5A">
      <w:pPr>
        <w:ind w:left="851" w:right="822"/>
        <w:jc w:val="both"/>
        <w:rPr>
          <w:rFonts w:ascii="Palatino Linotype" w:eastAsia="Palatino Linotype" w:hAnsi="Palatino Linotype" w:cs="Palatino Linotype"/>
          <w:i/>
          <w:iCs/>
          <w:sz w:val="22"/>
          <w:szCs w:val="22"/>
        </w:rPr>
      </w:pPr>
      <w:r w:rsidRPr="005E308E">
        <w:rPr>
          <w:rFonts w:ascii="Palatino Linotype" w:eastAsia="Palatino Linotype" w:hAnsi="Palatino Linotype" w:cs="Palatino Linotype"/>
          <w:b/>
          <w:bCs/>
          <w:i/>
          <w:iCs/>
          <w:sz w:val="22"/>
          <w:szCs w:val="22"/>
        </w:rPr>
        <w:lastRenderedPageBreak/>
        <w:t>I.</w:t>
      </w:r>
      <w:r w:rsidRPr="005E308E">
        <w:rPr>
          <w:rFonts w:ascii="Palatino Linotype" w:eastAsia="Palatino Linotype" w:hAnsi="Palatino Linotype" w:cs="Palatino Linotype"/>
          <w:i/>
          <w:iCs/>
          <w:sz w:val="22"/>
          <w:szCs w:val="22"/>
        </w:rPr>
        <w:t xml:space="preserve"> Localizar la información que le solicite la Unidad de Transparencia;</w:t>
      </w:r>
    </w:p>
    <w:p w:rsidR="00425E5A" w:rsidRPr="005E308E" w:rsidRDefault="00425E5A" w:rsidP="00425E5A">
      <w:pPr>
        <w:ind w:left="851" w:right="822"/>
        <w:jc w:val="both"/>
        <w:rPr>
          <w:rFonts w:ascii="Palatino Linotype" w:eastAsia="Palatino Linotype" w:hAnsi="Palatino Linotype" w:cs="Palatino Linotype"/>
          <w:i/>
          <w:iCs/>
          <w:sz w:val="22"/>
          <w:szCs w:val="22"/>
        </w:rPr>
      </w:pPr>
      <w:r w:rsidRPr="005E308E">
        <w:rPr>
          <w:rFonts w:ascii="Palatino Linotype" w:eastAsia="Palatino Linotype" w:hAnsi="Palatino Linotype" w:cs="Palatino Linotype"/>
          <w:b/>
          <w:bCs/>
          <w:i/>
          <w:iCs/>
          <w:sz w:val="22"/>
          <w:szCs w:val="22"/>
        </w:rPr>
        <w:t>II.</w:t>
      </w:r>
      <w:r w:rsidRPr="005E308E">
        <w:rPr>
          <w:rFonts w:ascii="Palatino Linotype" w:eastAsia="Palatino Linotype" w:hAnsi="Palatino Linotype" w:cs="Palatino Linotype"/>
          <w:i/>
          <w:iCs/>
          <w:sz w:val="22"/>
          <w:szCs w:val="22"/>
        </w:rPr>
        <w:t xml:space="preserve"> Proporcionar la información que obre en los archivos y que le sea solicitada por la Unidad de Transparencia;</w:t>
      </w:r>
    </w:p>
    <w:p w:rsidR="00425E5A" w:rsidRPr="005E308E" w:rsidRDefault="00425E5A" w:rsidP="00425E5A">
      <w:pPr>
        <w:ind w:left="851" w:right="822"/>
        <w:jc w:val="both"/>
        <w:rPr>
          <w:rFonts w:ascii="Palatino Linotype" w:eastAsia="Palatino Linotype" w:hAnsi="Palatino Linotype" w:cs="Palatino Linotype"/>
          <w:i/>
          <w:iCs/>
          <w:sz w:val="22"/>
          <w:szCs w:val="22"/>
        </w:rPr>
      </w:pPr>
      <w:r w:rsidRPr="005E308E">
        <w:rPr>
          <w:rFonts w:ascii="Palatino Linotype" w:eastAsia="Palatino Linotype" w:hAnsi="Palatino Linotype" w:cs="Palatino Linotype"/>
          <w:i/>
          <w:iCs/>
          <w:sz w:val="22"/>
          <w:szCs w:val="22"/>
        </w:rPr>
        <w:t>(...)</w:t>
      </w:r>
    </w:p>
    <w:p w:rsidR="00425E5A" w:rsidRPr="005E308E" w:rsidRDefault="00425E5A" w:rsidP="00425E5A">
      <w:pPr>
        <w:ind w:left="851" w:right="822"/>
        <w:jc w:val="both"/>
        <w:rPr>
          <w:rFonts w:ascii="Palatino Linotype" w:eastAsia="Palatino Linotype" w:hAnsi="Palatino Linotype" w:cs="Palatino Linotype"/>
          <w:i/>
          <w:iCs/>
          <w:sz w:val="22"/>
          <w:szCs w:val="22"/>
        </w:rPr>
      </w:pPr>
    </w:p>
    <w:p w:rsidR="00425E5A" w:rsidRPr="005E308E" w:rsidRDefault="00425E5A" w:rsidP="00425E5A">
      <w:pPr>
        <w:ind w:left="851" w:right="822"/>
        <w:jc w:val="both"/>
        <w:rPr>
          <w:rFonts w:ascii="Palatino Linotype" w:eastAsia="Palatino Linotype" w:hAnsi="Palatino Linotype" w:cs="Palatino Linotype"/>
          <w:i/>
          <w:iCs/>
          <w:sz w:val="22"/>
          <w:szCs w:val="22"/>
        </w:rPr>
      </w:pPr>
      <w:r w:rsidRPr="005E308E">
        <w:rPr>
          <w:rFonts w:ascii="Palatino Linotype" w:eastAsia="Palatino Linotype" w:hAnsi="Palatino Linotype" w:cs="Palatino Linotype"/>
          <w:b/>
          <w:i/>
          <w:iCs/>
          <w:sz w:val="22"/>
          <w:szCs w:val="22"/>
        </w:rPr>
        <w:t xml:space="preserve">Artículo 162. </w:t>
      </w:r>
      <w:r w:rsidRPr="005E308E">
        <w:rPr>
          <w:rFonts w:ascii="Palatino Linotype" w:eastAsia="Palatino Linotype" w:hAnsi="Palatino Linotype" w:cs="Palatino Linotype"/>
          <w:i/>
          <w:iCs/>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425E5A" w:rsidRPr="005E308E" w:rsidRDefault="00425E5A" w:rsidP="00425E5A">
      <w:pPr>
        <w:spacing w:line="360" w:lineRule="auto"/>
        <w:jc w:val="both"/>
        <w:rPr>
          <w:rFonts w:ascii="Palatino Linotype" w:eastAsia="Palatino Linotype" w:hAnsi="Palatino Linotype" w:cs="Palatino Linotype"/>
          <w:sz w:val="22"/>
          <w:szCs w:val="22"/>
        </w:rPr>
      </w:pPr>
    </w:p>
    <w:p w:rsidR="00425E5A" w:rsidRPr="005E308E" w:rsidRDefault="00425E5A" w:rsidP="00425E5A">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5E308E">
        <w:rPr>
          <w:rFonts w:ascii="Palatino Linotype" w:eastAsia="Palatino Linotype" w:hAnsi="Palatino Linotype" w:cs="Palatino Linotype"/>
          <w:szCs w:val="22"/>
        </w:rPr>
        <w:t xml:space="preserve">De los artículos citados se desprende que las Unidades de Transparencia de los sujetos obligados son las encargadas de tramitar internamente </w:t>
      </w:r>
      <w:r w:rsidRPr="005E308E">
        <w:rPr>
          <w:rFonts w:ascii="Palatino Linotype" w:eastAsia="Arial Unicode MS" w:hAnsi="Palatino Linotype" w:cs="Arial"/>
          <w:szCs w:val="22"/>
          <w:lang w:eastAsia="en-US"/>
        </w:rPr>
        <w:t>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 Unidades de Transparencia turnar a todas las áreas que se consideren competentes para que realicen una búsqueda exhaustiva y razonable de la información solicitada a fin de que ésta sea entregada a los solicitantes.</w:t>
      </w:r>
    </w:p>
    <w:p w:rsidR="00425E5A" w:rsidRPr="005E308E" w:rsidRDefault="00425E5A" w:rsidP="00425E5A">
      <w:pPr>
        <w:pStyle w:val="Prrafodelista"/>
        <w:spacing w:line="360" w:lineRule="auto"/>
        <w:ind w:left="0"/>
        <w:jc w:val="both"/>
        <w:rPr>
          <w:rFonts w:ascii="Palatino Linotype" w:eastAsia="Arial Unicode MS" w:hAnsi="Palatino Linotype" w:cs="Arial"/>
          <w:szCs w:val="22"/>
          <w:lang w:eastAsia="en-US"/>
        </w:rPr>
      </w:pPr>
    </w:p>
    <w:p w:rsidR="00425E5A" w:rsidRPr="005E308E" w:rsidRDefault="00425E5A" w:rsidP="00425E5A">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5E308E">
        <w:rPr>
          <w:rFonts w:ascii="Palatino Linotype" w:eastAsia="Arial Unicode MS" w:hAnsi="Palatino Linotype" w:cs="Arial"/>
          <w:szCs w:val="22"/>
          <w:lang w:eastAsia="en-US"/>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rsidR="00425E5A" w:rsidRPr="005E308E" w:rsidRDefault="00425E5A" w:rsidP="00425E5A">
      <w:pPr>
        <w:pStyle w:val="Prrafodelista"/>
        <w:ind w:left="0"/>
        <w:rPr>
          <w:rFonts w:ascii="Palatino Linotype" w:eastAsia="Arial Unicode MS" w:hAnsi="Palatino Linotype" w:cs="Arial"/>
          <w:szCs w:val="22"/>
          <w:lang w:eastAsia="en-US"/>
        </w:rPr>
      </w:pPr>
    </w:p>
    <w:p w:rsidR="00A42BA9" w:rsidRPr="005E308E" w:rsidRDefault="00A42BA9" w:rsidP="00425E5A">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5E308E">
        <w:rPr>
          <w:rFonts w:ascii="Palatino Linotype" w:eastAsia="Arial Unicode MS" w:hAnsi="Palatino Linotype" w:cs="Arial"/>
          <w:szCs w:val="22"/>
          <w:lang w:eastAsia="en-US"/>
        </w:rPr>
        <w:t xml:space="preserve">En el caso que se resuelve, se advierte que la solicitud de información fue turnada a diversas áreas entre las que se advierte la Coordinación Jurídica, </w:t>
      </w:r>
      <w:r w:rsidR="00B86C8D" w:rsidRPr="005E308E">
        <w:rPr>
          <w:rFonts w:ascii="Palatino Linotype" w:eastAsia="Arial Unicode MS" w:hAnsi="Palatino Linotype" w:cs="Arial"/>
          <w:szCs w:val="22"/>
          <w:lang w:eastAsia="en-US"/>
        </w:rPr>
        <w:t>quien de acuerdo al Reglamento Interior de la Secretaría de Movilidad, tiene las siguientes atribuciones:</w:t>
      </w:r>
    </w:p>
    <w:p w:rsidR="00B86C8D" w:rsidRPr="005E308E" w:rsidRDefault="00B86C8D" w:rsidP="00B86C8D">
      <w:pPr>
        <w:pStyle w:val="Prrafodelista"/>
        <w:rPr>
          <w:rFonts w:ascii="Palatino Linotype" w:eastAsia="Arial Unicode MS" w:hAnsi="Palatino Linotype" w:cs="Arial"/>
          <w:szCs w:val="22"/>
          <w:lang w:eastAsia="en-US"/>
        </w:rPr>
      </w:pPr>
    </w:p>
    <w:p w:rsidR="00B86C8D" w:rsidRPr="005E308E" w:rsidRDefault="00B86C8D" w:rsidP="00B86C8D">
      <w:pPr>
        <w:pStyle w:val="Prrafodelista"/>
        <w:spacing w:line="360" w:lineRule="auto"/>
        <w:ind w:left="851" w:right="822"/>
        <w:jc w:val="both"/>
        <w:rPr>
          <w:rFonts w:ascii="Palatino Linotype" w:hAnsi="Palatino Linotype"/>
          <w:i/>
          <w:szCs w:val="22"/>
        </w:rPr>
      </w:pPr>
      <w:r w:rsidRPr="005E308E">
        <w:rPr>
          <w:rFonts w:ascii="Palatino Linotype" w:hAnsi="Palatino Linotype"/>
          <w:i/>
          <w:szCs w:val="22"/>
        </w:rPr>
        <w:lastRenderedPageBreak/>
        <w:t>“Artículo 16. Corresponden a la Coordinación Jurídica, de Igualdad de Género y Erradicación de la Violencia las atribuciones siguientes:</w:t>
      </w:r>
    </w:p>
    <w:p w:rsidR="00B86C8D" w:rsidRPr="005E308E" w:rsidRDefault="00B86C8D" w:rsidP="00B86C8D">
      <w:pPr>
        <w:pStyle w:val="Prrafodelista"/>
        <w:spacing w:line="360" w:lineRule="auto"/>
        <w:ind w:left="851" w:right="822"/>
        <w:jc w:val="both"/>
        <w:rPr>
          <w:rFonts w:ascii="Palatino Linotype" w:hAnsi="Palatino Linotype"/>
          <w:i/>
          <w:szCs w:val="22"/>
        </w:rPr>
      </w:pPr>
      <w:r w:rsidRPr="005E308E">
        <w:rPr>
          <w:rFonts w:ascii="Palatino Linotype" w:hAnsi="Palatino Linotype"/>
          <w:i/>
          <w:szCs w:val="22"/>
        </w:rPr>
        <w:t>…</w:t>
      </w:r>
    </w:p>
    <w:p w:rsidR="00B86C8D" w:rsidRPr="005E308E" w:rsidRDefault="00B86C8D" w:rsidP="00B86C8D">
      <w:pPr>
        <w:pStyle w:val="Prrafodelista"/>
        <w:spacing w:line="360" w:lineRule="auto"/>
        <w:ind w:left="851" w:right="822"/>
        <w:jc w:val="both"/>
        <w:rPr>
          <w:rFonts w:ascii="Palatino Linotype" w:hAnsi="Palatino Linotype"/>
          <w:i/>
          <w:szCs w:val="22"/>
        </w:rPr>
      </w:pPr>
      <w:r w:rsidRPr="005E308E">
        <w:rPr>
          <w:rFonts w:ascii="Palatino Linotype" w:hAnsi="Palatino Linotype"/>
          <w:i/>
          <w:szCs w:val="22"/>
        </w:rPr>
        <w:t>III. Formular, y en su caso coordinar y revisar los anteproyectos o proyectos de leyes, decretos, acuerdos, reglamentos, contratos, convenios y demás instrumentos jurídicos que se pretendan suscribir o que sean sometidos al análisis y consideración de la Secretaría;</w:t>
      </w:r>
    </w:p>
    <w:p w:rsidR="00B86C8D" w:rsidRPr="005E308E" w:rsidRDefault="00B86C8D" w:rsidP="00B86C8D">
      <w:pPr>
        <w:pStyle w:val="Prrafodelista"/>
        <w:spacing w:line="360" w:lineRule="auto"/>
        <w:ind w:left="851" w:right="822"/>
        <w:jc w:val="both"/>
        <w:rPr>
          <w:rFonts w:ascii="Palatino Linotype" w:hAnsi="Palatino Linotype"/>
          <w:i/>
          <w:szCs w:val="22"/>
        </w:rPr>
      </w:pPr>
      <w:r w:rsidRPr="005E308E">
        <w:rPr>
          <w:rFonts w:ascii="Palatino Linotype" w:hAnsi="Palatino Linotype"/>
          <w:i/>
          <w:szCs w:val="22"/>
        </w:rPr>
        <w:t>…</w:t>
      </w:r>
    </w:p>
    <w:p w:rsidR="00B86C8D" w:rsidRPr="005E308E" w:rsidRDefault="00B86C8D" w:rsidP="00B86C8D">
      <w:pPr>
        <w:pStyle w:val="Prrafodelista"/>
        <w:spacing w:line="360" w:lineRule="auto"/>
        <w:ind w:left="851" w:right="822"/>
        <w:jc w:val="both"/>
        <w:rPr>
          <w:rFonts w:ascii="Palatino Linotype" w:hAnsi="Palatino Linotype"/>
          <w:i/>
          <w:szCs w:val="22"/>
        </w:rPr>
      </w:pPr>
      <w:r w:rsidRPr="005E308E">
        <w:rPr>
          <w:rFonts w:ascii="Palatino Linotype" w:hAnsi="Palatino Linotype"/>
          <w:i/>
          <w:szCs w:val="22"/>
        </w:rPr>
        <w:t>X. Elaborar convenios, contratos y acuerdos que celebre la persona titular de la Secretaría con autoridades federales, estatales y municipales, así como con el sector privado y social, relacionados con las atribuciones de la Secretaría, a fin de dar cumplimiento a lo ordenado por el presente Reglamento y otras disposiciones de carácter legal, y llevar el registro y resguardo de los mismos;</w:t>
      </w:r>
    </w:p>
    <w:p w:rsidR="00B86C8D" w:rsidRPr="005E308E" w:rsidRDefault="00B86C8D" w:rsidP="00B86C8D">
      <w:pPr>
        <w:pStyle w:val="Prrafodelista"/>
        <w:spacing w:line="360" w:lineRule="auto"/>
        <w:ind w:left="851" w:right="822"/>
        <w:jc w:val="both"/>
        <w:rPr>
          <w:rFonts w:ascii="Palatino Linotype" w:eastAsia="Arial Unicode MS" w:hAnsi="Palatino Linotype" w:cs="Arial"/>
          <w:i/>
          <w:szCs w:val="22"/>
          <w:lang w:eastAsia="en-US"/>
        </w:rPr>
      </w:pPr>
      <w:r w:rsidRPr="005E308E">
        <w:rPr>
          <w:rFonts w:ascii="Palatino Linotype" w:hAnsi="Palatino Linotype"/>
          <w:i/>
          <w:szCs w:val="22"/>
        </w:rPr>
        <w:t>…”</w:t>
      </w:r>
    </w:p>
    <w:p w:rsidR="00A42BA9" w:rsidRPr="005E308E" w:rsidRDefault="00A42BA9" w:rsidP="00A42BA9">
      <w:pPr>
        <w:pStyle w:val="Prrafodelista"/>
        <w:rPr>
          <w:rFonts w:ascii="Palatino Linotype" w:eastAsia="Arial Unicode MS" w:hAnsi="Palatino Linotype" w:cs="Arial"/>
          <w:szCs w:val="22"/>
          <w:lang w:eastAsia="en-US"/>
        </w:rPr>
      </w:pPr>
    </w:p>
    <w:p w:rsidR="00A42BA9" w:rsidRPr="005E308E" w:rsidRDefault="00B86C8D" w:rsidP="00425E5A">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5E308E">
        <w:rPr>
          <w:rFonts w:ascii="Palatino Linotype" w:eastAsia="Arial Unicode MS" w:hAnsi="Palatino Linotype" w:cs="Arial"/>
          <w:szCs w:val="22"/>
          <w:lang w:eastAsia="en-US"/>
        </w:rPr>
        <w:t xml:space="preserve">Como se advierte del precepto legal señalado, la Coordinación Jurídica es el área quien de acuerdo a sus atribuciones genera, posee y administra la información solicitada, por lo tanto, el Sujeto Obligado dio cumplimiento al proceso de búsqueda establecido en la Ley. </w:t>
      </w:r>
    </w:p>
    <w:p w:rsidR="00B86C8D" w:rsidRPr="005E308E" w:rsidRDefault="00B86C8D" w:rsidP="00B86C8D">
      <w:pPr>
        <w:pStyle w:val="Prrafodelista"/>
        <w:spacing w:line="360" w:lineRule="auto"/>
        <w:ind w:left="0"/>
        <w:jc w:val="both"/>
        <w:rPr>
          <w:rFonts w:ascii="Palatino Linotype" w:eastAsia="Arial Unicode MS" w:hAnsi="Palatino Linotype" w:cs="Arial"/>
          <w:szCs w:val="22"/>
          <w:lang w:eastAsia="en-US"/>
        </w:rPr>
      </w:pPr>
    </w:p>
    <w:p w:rsidR="00EA5516" w:rsidRPr="005E308E" w:rsidRDefault="00B86C8D" w:rsidP="00EA5516">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5E308E">
        <w:rPr>
          <w:rFonts w:ascii="Palatino Linotype" w:eastAsia="Arial Unicode MS" w:hAnsi="Palatino Linotype" w:cs="Arial"/>
          <w:szCs w:val="22"/>
          <w:lang w:eastAsia="en-US"/>
        </w:rPr>
        <w:t>Ahora bien, la Coordinación Jurídica señaló que la búsqueda se realizó de acuerdo al periodo de búsqueda que establece el INAI y señaló que la información podía ser consultada en dos ligas electr</w:t>
      </w:r>
      <w:r w:rsidR="00EA5516" w:rsidRPr="005E308E">
        <w:rPr>
          <w:rFonts w:ascii="Palatino Linotype" w:eastAsia="Arial Unicode MS" w:hAnsi="Palatino Linotype" w:cs="Arial"/>
          <w:szCs w:val="22"/>
          <w:lang w:eastAsia="en-US"/>
        </w:rPr>
        <w:t xml:space="preserve">ónicas que señaló. </w:t>
      </w:r>
      <w:r w:rsidR="00EA5516" w:rsidRPr="005E308E">
        <w:rPr>
          <w:rFonts w:ascii="Palatino Linotype" w:eastAsia="MS Mincho" w:hAnsi="Palatino Linotype"/>
          <w:szCs w:val="22"/>
          <w:lang w:val="es-ES_tradnl" w:eastAsia="es-ES"/>
        </w:rPr>
        <w:t xml:space="preserve">Ahora bien,  la Ley en la materia en términos generales, establece que como uno de los objetivos con el que cuenta es el de garantizar a toda persona el derecho de acceso a la información pública, mediante los procedimientos establecidos de forma </w:t>
      </w:r>
      <w:r w:rsidR="00EA5516" w:rsidRPr="005E308E">
        <w:rPr>
          <w:rFonts w:ascii="Palatino Linotype" w:eastAsia="MS Mincho" w:hAnsi="Palatino Linotype"/>
          <w:b/>
          <w:szCs w:val="22"/>
          <w:lang w:val="es-ES_tradnl" w:eastAsia="es-ES"/>
        </w:rPr>
        <w:t>sencilla</w:t>
      </w:r>
      <w:r w:rsidR="00EA5516" w:rsidRPr="005E308E">
        <w:rPr>
          <w:rFonts w:ascii="Palatino Linotype" w:eastAsia="MS Mincho" w:hAnsi="Palatino Linotype"/>
          <w:szCs w:val="22"/>
          <w:lang w:val="es-ES_tradnl" w:eastAsia="es-ES"/>
        </w:rPr>
        <w:t xml:space="preserve">, expeditos, </w:t>
      </w:r>
      <w:r w:rsidR="00EA5516" w:rsidRPr="005E308E">
        <w:rPr>
          <w:rFonts w:ascii="Palatino Linotype" w:eastAsia="MS Mincho" w:hAnsi="Palatino Linotype"/>
          <w:b/>
          <w:szCs w:val="22"/>
          <w:lang w:val="es-ES_tradnl" w:eastAsia="es-ES"/>
        </w:rPr>
        <w:t>oportunos</w:t>
      </w:r>
      <w:r w:rsidR="00EA5516" w:rsidRPr="005E308E">
        <w:rPr>
          <w:rFonts w:ascii="Palatino Linotype" w:eastAsia="MS Mincho" w:hAnsi="Palatino Linotype"/>
          <w:szCs w:val="22"/>
          <w:lang w:val="es-ES_tradnl" w:eastAsia="es-ES"/>
        </w:rPr>
        <w:t xml:space="preserve"> y gratuitos, y con ello contribuir a la mejora de procedimientos y mecanismos que permitan trasparentar la gestión pública y mejora la toma decisiones, a través de la difusión de la información que obra en poder de los sujeto obligados.</w:t>
      </w:r>
    </w:p>
    <w:p w:rsidR="00EA5516" w:rsidRPr="005E308E" w:rsidRDefault="00EA5516" w:rsidP="00EA5516">
      <w:pPr>
        <w:pStyle w:val="Prrafodelista"/>
        <w:rPr>
          <w:rFonts w:ascii="Palatino Linotype" w:hAnsi="Palatino Linotype"/>
          <w:szCs w:val="22"/>
          <w:lang w:val="es-ES"/>
        </w:rPr>
      </w:pPr>
    </w:p>
    <w:p w:rsidR="00EA5516" w:rsidRPr="005E308E" w:rsidRDefault="00EA5516" w:rsidP="00EA5516">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5E308E">
        <w:rPr>
          <w:rFonts w:ascii="Palatino Linotype" w:hAnsi="Palatino Linotype"/>
          <w:szCs w:val="22"/>
          <w:lang w:val="es-ES"/>
        </w:rPr>
        <w:t>El formato prediseñado para que los particulares formulen su solicitud de acceso a la información contiene opciones para seleccionar la modalidad de entrega de la información. En el presente asunto en particular, se solicitó la información a través del SAIMEX. En consecuencia, lo idóneo es que, los Sujetos Obligados proporcionen la información por el medio solicitado; no obstante, la Ley de Transparencia y Acceso</w:t>
      </w:r>
      <w:r w:rsidRPr="005E308E">
        <w:rPr>
          <w:rFonts w:ascii="Palatino Linotype" w:hAnsi="Palatino Linotype"/>
          <w:b/>
          <w:szCs w:val="22"/>
          <w:lang w:val="es-ES"/>
        </w:rPr>
        <w:t xml:space="preserve"> </w:t>
      </w:r>
      <w:r w:rsidRPr="005E308E">
        <w:rPr>
          <w:rFonts w:ascii="Palatino Linotype" w:hAnsi="Palatino Linotype"/>
          <w:szCs w:val="22"/>
          <w:lang w:val="es-ES"/>
        </w:rPr>
        <w:t>a la Información Pública del Estado de México y Municipios establece dos puntos importantes que impactan sobre la modalidad de entrega de la información.</w:t>
      </w:r>
    </w:p>
    <w:p w:rsidR="00EA5516" w:rsidRPr="005E308E" w:rsidRDefault="00EA5516" w:rsidP="00EA5516">
      <w:pPr>
        <w:pStyle w:val="Prrafodelista"/>
        <w:rPr>
          <w:rFonts w:ascii="Palatino Linotype" w:hAnsi="Palatino Linotype"/>
          <w:szCs w:val="22"/>
          <w:lang w:val="es-ES"/>
        </w:rPr>
      </w:pPr>
    </w:p>
    <w:p w:rsidR="00EA5516" w:rsidRPr="005E308E" w:rsidRDefault="00EA5516" w:rsidP="00EA5516">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5E308E">
        <w:rPr>
          <w:rFonts w:ascii="Palatino Linotype" w:hAnsi="Palatino Linotype"/>
          <w:szCs w:val="22"/>
          <w:lang w:val="es-ES"/>
        </w:rPr>
        <w:t xml:space="preserve">El primer punto a analizar es que la ley en materia contempla </w:t>
      </w:r>
      <w:r w:rsidRPr="005E308E">
        <w:rPr>
          <w:rFonts w:ascii="Palatino Linotype" w:hAnsi="Palatino Linotype"/>
          <w:b/>
          <w:szCs w:val="22"/>
          <w:lang w:val="es-ES"/>
        </w:rPr>
        <w:t>información pública de oficio</w:t>
      </w:r>
      <w:r w:rsidRPr="005E308E">
        <w:rPr>
          <w:rFonts w:ascii="Palatino Linotype" w:hAnsi="Palatino Linotype"/>
          <w:szCs w:val="22"/>
          <w:lang w:val="es-ES"/>
        </w:rPr>
        <w:t xml:space="preserve"> que los Sujetos Obligados deben poner a disposición del público de manera permanente y actualizada de forma sencilla, precisa y entendible, en los respectivos medios electrónicos la información pública que generen, administren o posean.</w:t>
      </w:r>
    </w:p>
    <w:p w:rsidR="00EA5516" w:rsidRPr="005E308E" w:rsidRDefault="00EA5516" w:rsidP="00EA5516">
      <w:pPr>
        <w:pStyle w:val="Prrafodelista"/>
        <w:rPr>
          <w:rFonts w:ascii="Palatino Linotype" w:hAnsi="Palatino Linotype"/>
          <w:szCs w:val="22"/>
          <w:lang w:val="es-ES"/>
        </w:rPr>
      </w:pPr>
    </w:p>
    <w:p w:rsidR="00EA5516" w:rsidRPr="005E308E" w:rsidRDefault="00EA5516" w:rsidP="00EA5516">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5E308E">
        <w:rPr>
          <w:rFonts w:ascii="Palatino Linotype" w:hAnsi="Palatino Linotype"/>
          <w:szCs w:val="22"/>
          <w:lang w:val="es-ES"/>
        </w:rPr>
        <w:t>El segundo punto a analizar y que guarda estricta relación con el punto anterior, se encuentra en el artículo 161 de la citada Ley de Transparencia Local:</w:t>
      </w:r>
    </w:p>
    <w:p w:rsidR="00EA5516" w:rsidRPr="005E308E" w:rsidRDefault="00EA5516" w:rsidP="00EA5516">
      <w:pPr>
        <w:pStyle w:val="Prrafodelista"/>
        <w:rPr>
          <w:rFonts w:ascii="Palatino Linotype" w:hAnsi="Palatino Linotype"/>
          <w:szCs w:val="22"/>
          <w:lang w:val="es-ES"/>
        </w:rPr>
      </w:pPr>
    </w:p>
    <w:p w:rsidR="00EA5516" w:rsidRPr="005E308E" w:rsidRDefault="00EA5516" w:rsidP="00EA5516">
      <w:pPr>
        <w:autoSpaceDE w:val="0"/>
        <w:autoSpaceDN w:val="0"/>
        <w:adjustRightInd w:val="0"/>
        <w:spacing w:line="360" w:lineRule="auto"/>
        <w:ind w:left="567" w:right="567"/>
        <w:jc w:val="both"/>
        <w:rPr>
          <w:rFonts w:ascii="Palatino Linotype" w:hAnsi="Palatino Linotype"/>
          <w:i/>
          <w:sz w:val="22"/>
          <w:szCs w:val="22"/>
          <w:lang w:val="es-ES"/>
        </w:rPr>
      </w:pPr>
      <w:r w:rsidRPr="005E308E">
        <w:rPr>
          <w:rFonts w:ascii="Palatino Linotype" w:hAnsi="Palatino Linotype" w:cs="Bookman Old Style,Bold"/>
          <w:b/>
          <w:bCs/>
          <w:i/>
          <w:sz w:val="22"/>
          <w:szCs w:val="22"/>
        </w:rPr>
        <w:t xml:space="preserve">Artículo 161. </w:t>
      </w:r>
      <w:r w:rsidRPr="005E308E">
        <w:rPr>
          <w:rFonts w:ascii="Palatino Linotype" w:hAnsi="Palatino Linotype" w:cs="Bookman Old Style"/>
          <w:b/>
          <w:i/>
          <w:sz w:val="22"/>
          <w:szCs w:val="22"/>
        </w:rPr>
        <w:t>Cuando la información requerida por el solicitante ya esté disponible</w:t>
      </w:r>
      <w:r w:rsidRPr="005E308E">
        <w:rPr>
          <w:rFonts w:ascii="Palatino Linotype" w:hAnsi="Palatino Linotype" w:cs="Bookman Old Style"/>
          <w:i/>
          <w:sz w:val="22"/>
          <w:szCs w:val="22"/>
        </w:rPr>
        <w:t xml:space="preserve"> al público en medios impresos, tales como libros, compendios, trípticos, registros públicos, </w:t>
      </w:r>
      <w:r w:rsidRPr="005E308E">
        <w:rPr>
          <w:rFonts w:ascii="Palatino Linotype" w:hAnsi="Palatino Linotype" w:cs="Bookman Old Style"/>
          <w:b/>
          <w:i/>
          <w:sz w:val="22"/>
          <w:szCs w:val="22"/>
        </w:rPr>
        <w:t xml:space="preserve">en formatos electrónicos disponibles en Internet </w:t>
      </w:r>
      <w:r w:rsidRPr="005E308E">
        <w:rPr>
          <w:rFonts w:ascii="Palatino Linotype" w:hAnsi="Palatino Linotype" w:cs="Bookman Old Style"/>
          <w:i/>
          <w:sz w:val="22"/>
          <w:szCs w:val="22"/>
        </w:rPr>
        <w:t xml:space="preserve">o en cualquier otro medio, se le hará saber por el medio requerido por el solicitante la fuente, el lugar y la forma en que puede consultar, reproducir o adquirir dicha información </w:t>
      </w:r>
      <w:r w:rsidRPr="005E308E">
        <w:rPr>
          <w:rFonts w:ascii="Palatino Linotype" w:hAnsi="Palatino Linotype" w:cs="Bookman Old Style"/>
          <w:b/>
          <w:i/>
          <w:sz w:val="22"/>
          <w:szCs w:val="22"/>
        </w:rPr>
        <w:t>en un plazo no mayor a cinco días hábiles</w:t>
      </w:r>
      <w:r w:rsidRPr="005E308E">
        <w:rPr>
          <w:rFonts w:ascii="Palatino Linotype" w:hAnsi="Palatino Linotype" w:cs="Bookman Old Style"/>
          <w:i/>
          <w:sz w:val="22"/>
          <w:szCs w:val="22"/>
        </w:rPr>
        <w:t xml:space="preserve">. </w:t>
      </w:r>
      <w:r w:rsidRPr="005E308E">
        <w:rPr>
          <w:rFonts w:ascii="Palatino Linotype" w:hAnsi="Palatino Linotype" w:cs="Bookman Old Style"/>
          <w:b/>
          <w:i/>
          <w:sz w:val="22"/>
          <w:szCs w:val="22"/>
        </w:rPr>
        <w:t>La fuente deberá ser precisa y concreta y no debe implicar que el solicitante realice una búsqueda en toda la información que se encuentre disponible</w:t>
      </w:r>
      <w:r w:rsidRPr="005E308E">
        <w:rPr>
          <w:rFonts w:ascii="Palatino Linotype" w:hAnsi="Palatino Linotype" w:cs="Bookman Old Style"/>
          <w:i/>
          <w:sz w:val="22"/>
          <w:szCs w:val="22"/>
        </w:rPr>
        <w:t>.</w:t>
      </w:r>
    </w:p>
    <w:p w:rsidR="00EA5516" w:rsidRPr="005E308E" w:rsidRDefault="00EA5516" w:rsidP="00EA5516">
      <w:pPr>
        <w:pStyle w:val="Prrafodelista"/>
        <w:numPr>
          <w:ilvl w:val="0"/>
          <w:numId w:val="1"/>
        </w:numPr>
        <w:tabs>
          <w:tab w:val="left" w:pos="851"/>
        </w:tabs>
        <w:spacing w:before="240" w:after="240" w:line="360" w:lineRule="auto"/>
        <w:ind w:left="0" w:right="49" w:firstLine="0"/>
        <w:jc w:val="both"/>
        <w:rPr>
          <w:rFonts w:ascii="Palatino Linotype" w:hAnsi="Palatino Linotype"/>
          <w:i/>
          <w:szCs w:val="22"/>
          <w:lang w:val="es-ES"/>
        </w:rPr>
      </w:pPr>
      <w:r w:rsidRPr="005E308E">
        <w:rPr>
          <w:rFonts w:ascii="Palatino Linotype" w:hAnsi="Palatino Linotype"/>
          <w:szCs w:val="22"/>
          <w:lang w:val="es-ES"/>
        </w:rPr>
        <w:t xml:space="preserve">Es así que, toda aquella información que sea requerida por los particulares pero que, previamente se encuentre disponible en sitios electrónicos, como puede ser de manera </w:t>
      </w:r>
      <w:r w:rsidRPr="005E308E">
        <w:rPr>
          <w:rFonts w:ascii="Palatino Linotype" w:hAnsi="Palatino Linotype"/>
          <w:szCs w:val="22"/>
          <w:lang w:val="es-ES"/>
        </w:rPr>
        <w:lastRenderedPageBreak/>
        <w:t>enunciativa más no limitativa, el sitio oficial del Sujeto Obligado o el portal IPOMEX o las páginas institucionales. Los Sujetos Obligado pueden indicar la dirección electrónica donde obra la información solicitada. Esta dirección electrónica debe ser precisa, de tal modo que no implique realizar una búsqueda en toda la información que ahí se encuentre. Además, debe ir acompañada del procedimiento a seguir, en caso de que la información se encuentre en distintos puntos del sitio electrónico referido.</w:t>
      </w:r>
    </w:p>
    <w:p w:rsidR="00EA5516" w:rsidRPr="005E308E" w:rsidRDefault="00EA5516" w:rsidP="00EA5516">
      <w:pPr>
        <w:pStyle w:val="Prrafodelista"/>
        <w:tabs>
          <w:tab w:val="left" w:pos="851"/>
        </w:tabs>
        <w:spacing w:before="240" w:after="240" w:line="360" w:lineRule="auto"/>
        <w:ind w:left="0" w:right="49"/>
        <w:jc w:val="both"/>
        <w:rPr>
          <w:rFonts w:ascii="Palatino Linotype" w:hAnsi="Palatino Linotype"/>
          <w:i/>
          <w:szCs w:val="22"/>
          <w:lang w:val="es-ES"/>
        </w:rPr>
      </w:pPr>
    </w:p>
    <w:p w:rsidR="00EA5516" w:rsidRPr="005E308E" w:rsidRDefault="00EA5516" w:rsidP="00EA5516">
      <w:pPr>
        <w:pStyle w:val="Prrafodelista"/>
        <w:numPr>
          <w:ilvl w:val="0"/>
          <w:numId w:val="1"/>
        </w:numPr>
        <w:tabs>
          <w:tab w:val="left" w:pos="851"/>
        </w:tabs>
        <w:spacing w:before="240" w:after="240" w:line="360" w:lineRule="auto"/>
        <w:ind w:left="0" w:right="49" w:firstLine="0"/>
        <w:jc w:val="both"/>
        <w:rPr>
          <w:rFonts w:ascii="Palatino Linotype" w:hAnsi="Palatino Linotype"/>
          <w:i/>
          <w:szCs w:val="22"/>
          <w:lang w:val="es-ES"/>
        </w:rPr>
      </w:pPr>
      <w:r w:rsidRPr="005E308E">
        <w:rPr>
          <w:rFonts w:ascii="Palatino Linotype" w:hAnsi="Palatino Linotype"/>
          <w:b/>
          <w:szCs w:val="22"/>
          <w:lang w:val="es-ES"/>
        </w:rPr>
        <w:t>La orientación</w:t>
      </w:r>
      <w:r w:rsidRPr="005E308E">
        <w:rPr>
          <w:rFonts w:ascii="Palatino Linotype" w:hAnsi="Palatino Linotype"/>
          <w:szCs w:val="22"/>
          <w:lang w:val="es-ES"/>
        </w:rPr>
        <w:t xml:space="preserve"> que realicen los Sujetos Obligados a los sitios electrónicos para la consulta de la información </w:t>
      </w:r>
      <w:r w:rsidRPr="005E308E">
        <w:rPr>
          <w:rFonts w:ascii="Palatino Linotype" w:hAnsi="Palatino Linotype"/>
          <w:b/>
          <w:szCs w:val="22"/>
          <w:lang w:val="es-ES"/>
        </w:rPr>
        <w:t>debe cumplir con las características de tiempo y forma.</w:t>
      </w:r>
      <w:r w:rsidRPr="005E308E">
        <w:rPr>
          <w:rFonts w:ascii="Palatino Linotype" w:hAnsi="Palatino Linotype"/>
          <w:i/>
          <w:szCs w:val="22"/>
          <w:lang w:val="es-ES"/>
        </w:rPr>
        <w:t xml:space="preserve"> </w:t>
      </w:r>
      <w:r w:rsidRPr="005E308E">
        <w:rPr>
          <w:rFonts w:ascii="Palatino Linotype" w:hAnsi="Palatino Linotype"/>
          <w:szCs w:val="22"/>
          <w:lang w:val="es-ES"/>
        </w:rPr>
        <w:t>Ahora bien, la normatividad en materia establece que las direcciones electrónicas deben ser precisas, de tal modo que no implique que el Recurrente deba de realizar una búsqueda dentro de toda la información disponible.</w:t>
      </w:r>
    </w:p>
    <w:p w:rsidR="00EA5516" w:rsidRPr="005E308E" w:rsidRDefault="00EA5516" w:rsidP="00EA5516">
      <w:pPr>
        <w:pStyle w:val="Prrafodelista"/>
        <w:ind w:left="0"/>
        <w:rPr>
          <w:rFonts w:ascii="Palatino Linotype" w:hAnsi="Palatino Linotype"/>
          <w:i/>
          <w:szCs w:val="22"/>
          <w:lang w:val="es-ES"/>
        </w:rPr>
      </w:pPr>
    </w:p>
    <w:p w:rsidR="00EA5516" w:rsidRPr="005E308E" w:rsidRDefault="00EA5516" w:rsidP="00EA5516">
      <w:pPr>
        <w:pStyle w:val="Prrafodelista"/>
        <w:numPr>
          <w:ilvl w:val="0"/>
          <w:numId w:val="1"/>
        </w:numPr>
        <w:tabs>
          <w:tab w:val="left" w:pos="851"/>
        </w:tabs>
        <w:spacing w:before="240" w:after="240" w:line="360" w:lineRule="auto"/>
        <w:ind w:left="0" w:right="49" w:firstLine="0"/>
        <w:jc w:val="both"/>
        <w:rPr>
          <w:rFonts w:ascii="Palatino Linotype" w:hAnsi="Palatino Linotype"/>
          <w:szCs w:val="22"/>
          <w:lang w:val="es-ES"/>
        </w:rPr>
      </w:pPr>
      <w:r w:rsidRPr="005E308E">
        <w:rPr>
          <w:rFonts w:ascii="Palatino Linotype" w:hAnsi="Palatino Linotype"/>
          <w:szCs w:val="22"/>
          <w:lang w:val="es-ES"/>
        </w:rPr>
        <w:t>El Sujeto Obligado señaló que la información solicitada se encontraba en la siguientes ligas electrónicas que llevan a la página de IPOMEX del Sujeto Obligado “Convenios de coordinación, de concentración con el sector social o privado” Fracción XXXVII:</w:t>
      </w:r>
    </w:p>
    <w:p w:rsidR="00EA5516" w:rsidRPr="005E308E" w:rsidRDefault="00EA5516" w:rsidP="00EA5516">
      <w:pPr>
        <w:pStyle w:val="Prrafodelista"/>
        <w:rPr>
          <w:rFonts w:ascii="Palatino Linotype" w:hAnsi="Palatino Linotype"/>
          <w:szCs w:val="22"/>
          <w:lang w:val="es-ES"/>
        </w:rPr>
      </w:pPr>
    </w:p>
    <w:p w:rsidR="00EA5516" w:rsidRPr="005E308E" w:rsidRDefault="006A68E9" w:rsidP="00EA5516">
      <w:pPr>
        <w:pStyle w:val="Prrafodelista"/>
        <w:numPr>
          <w:ilvl w:val="0"/>
          <w:numId w:val="12"/>
        </w:numPr>
        <w:tabs>
          <w:tab w:val="left" w:pos="851"/>
        </w:tabs>
        <w:spacing w:before="240" w:after="240" w:line="360" w:lineRule="auto"/>
        <w:ind w:right="49"/>
        <w:jc w:val="both"/>
      </w:pPr>
      <w:hyperlink r:id="rId11" w:anchor="/" w:history="1">
        <w:r w:rsidR="00EA5516" w:rsidRPr="005E308E">
          <w:rPr>
            <w:rStyle w:val="Hipervnculo"/>
          </w:rPr>
          <w:t>https://infoem2.ipomex.org.mx/ipomex/#/</w:t>
        </w:r>
      </w:hyperlink>
      <w:r w:rsidR="00EA5516" w:rsidRPr="005E308E">
        <w:t xml:space="preserve"> </w:t>
      </w:r>
    </w:p>
    <w:p w:rsidR="00EA5516" w:rsidRPr="005E308E" w:rsidRDefault="006A68E9" w:rsidP="00EA5516">
      <w:pPr>
        <w:pStyle w:val="Prrafodelista"/>
        <w:numPr>
          <w:ilvl w:val="0"/>
          <w:numId w:val="12"/>
        </w:numPr>
        <w:tabs>
          <w:tab w:val="left" w:pos="851"/>
        </w:tabs>
        <w:spacing w:before="240" w:after="240" w:line="360" w:lineRule="auto"/>
        <w:ind w:right="49"/>
        <w:jc w:val="both"/>
        <w:rPr>
          <w:rFonts w:ascii="Palatino Linotype" w:hAnsi="Palatino Linotype"/>
          <w:szCs w:val="22"/>
          <w:lang w:val="es-ES"/>
        </w:rPr>
      </w:pPr>
      <w:hyperlink r:id="rId12" w:anchor="/info-fraccion/51/365/12" w:history="1">
        <w:r w:rsidR="00EA5516" w:rsidRPr="005E308E">
          <w:rPr>
            <w:rStyle w:val="Hipervnculo"/>
          </w:rPr>
          <w:t>https://infoem2.ipomex.org.mx/ipomex/#/info-fraccion/51/365/12</w:t>
        </w:r>
      </w:hyperlink>
      <w:r w:rsidR="00EA5516" w:rsidRPr="005E308E">
        <w:t xml:space="preserve"> </w:t>
      </w:r>
    </w:p>
    <w:p w:rsidR="00EA5516" w:rsidRPr="005E308E" w:rsidRDefault="00EA5516" w:rsidP="00EA5516">
      <w:pPr>
        <w:pStyle w:val="Prrafodelista"/>
        <w:tabs>
          <w:tab w:val="left" w:pos="851"/>
        </w:tabs>
        <w:spacing w:before="240" w:after="240" w:line="360" w:lineRule="auto"/>
        <w:ind w:left="1440" w:right="49"/>
        <w:jc w:val="both"/>
        <w:rPr>
          <w:rFonts w:ascii="Palatino Linotype" w:hAnsi="Palatino Linotype"/>
          <w:szCs w:val="22"/>
          <w:lang w:val="es-ES"/>
        </w:rPr>
      </w:pPr>
    </w:p>
    <w:p w:rsidR="00EA5516" w:rsidRPr="005E308E" w:rsidRDefault="00EA5516" w:rsidP="00425E5A">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5E308E">
        <w:rPr>
          <w:rFonts w:ascii="Palatino Linotype" w:eastAsia="Arial Unicode MS" w:hAnsi="Palatino Linotype" w:cs="Arial"/>
          <w:szCs w:val="22"/>
          <w:lang w:eastAsia="en-US"/>
        </w:rPr>
        <w:t>Derivado de las consulta a las ligas, la primera lleva de forma general a la página de IPOMEX del Sujeto Obligado y la segunda, como se observa en las siguientes imágenes, ya remite de forma directa a la fracción en la que se advierten los convenios:</w:t>
      </w:r>
    </w:p>
    <w:p w:rsidR="00EA5516" w:rsidRPr="005E308E" w:rsidRDefault="00EA5516" w:rsidP="00EA5516">
      <w:pPr>
        <w:pStyle w:val="Prrafodelista"/>
        <w:spacing w:line="360" w:lineRule="auto"/>
        <w:ind w:left="0"/>
        <w:jc w:val="both"/>
        <w:rPr>
          <w:rFonts w:ascii="Palatino Linotype" w:eastAsia="Arial Unicode MS" w:hAnsi="Palatino Linotype" w:cs="Arial"/>
          <w:szCs w:val="22"/>
          <w:lang w:eastAsia="en-US"/>
        </w:rPr>
      </w:pPr>
    </w:p>
    <w:p w:rsidR="00EA5516" w:rsidRPr="005E308E" w:rsidRDefault="00EA5516" w:rsidP="00EA5516">
      <w:pPr>
        <w:pStyle w:val="Prrafodelista"/>
        <w:spacing w:line="360" w:lineRule="auto"/>
        <w:ind w:left="0"/>
        <w:jc w:val="both"/>
        <w:rPr>
          <w:rFonts w:ascii="Palatino Linotype" w:eastAsia="Arial Unicode MS" w:hAnsi="Palatino Linotype" w:cs="Arial"/>
          <w:szCs w:val="22"/>
          <w:lang w:eastAsia="en-US"/>
        </w:rPr>
      </w:pPr>
      <w:r w:rsidRPr="005E308E">
        <w:rPr>
          <w:rFonts w:ascii="Palatino Linotype" w:eastAsia="Arial Unicode MS" w:hAnsi="Palatino Linotype" w:cs="Arial"/>
          <w:noProof/>
          <w:szCs w:val="22"/>
        </w:rPr>
        <w:lastRenderedPageBreak/>
        <w:drawing>
          <wp:inline distT="0" distB="0" distL="0" distR="0" wp14:anchorId="3837372F" wp14:editId="0758B61C">
            <wp:extent cx="5742940" cy="53174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42940" cy="5317490"/>
                    </a:xfrm>
                    <a:prstGeom prst="rect">
                      <a:avLst/>
                    </a:prstGeom>
                  </pic:spPr>
                </pic:pic>
              </a:graphicData>
            </a:graphic>
          </wp:inline>
        </w:drawing>
      </w:r>
    </w:p>
    <w:p w:rsidR="00EA5516" w:rsidRPr="005E308E" w:rsidRDefault="00EA5516" w:rsidP="00EA5516">
      <w:pPr>
        <w:pStyle w:val="Prrafodelista"/>
        <w:spacing w:line="360" w:lineRule="auto"/>
        <w:ind w:left="0"/>
        <w:jc w:val="both"/>
        <w:rPr>
          <w:rFonts w:ascii="Palatino Linotype" w:eastAsia="Arial Unicode MS" w:hAnsi="Palatino Linotype" w:cs="Arial"/>
          <w:szCs w:val="22"/>
          <w:lang w:eastAsia="en-US"/>
        </w:rPr>
      </w:pPr>
    </w:p>
    <w:p w:rsidR="00EA5516" w:rsidRPr="005E308E" w:rsidRDefault="00EA5516" w:rsidP="00EA5516">
      <w:pPr>
        <w:pStyle w:val="Prrafodelista"/>
        <w:spacing w:line="360" w:lineRule="auto"/>
        <w:ind w:left="0"/>
        <w:jc w:val="center"/>
        <w:rPr>
          <w:rFonts w:ascii="Palatino Linotype" w:eastAsia="Arial Unicode MS" w:hAnsi="Palatino Linotype" w:cs="Arial"/>
          <w:szCs w:val="22"/>
          <w:lang w:eastAsia="en-US"/>
        </w:rPr>
      </w:pPr>
      <w:r w:rsidRPr="005E308E">
        <w:rPr>
          <w:rFonts w:ascii="Palatino Linotype" w:eastAsia="Arial Unicode MS" w:hAnsi="Palatino Linotype" w:cs="Arial"/>
          <w:noProof/>
          <w:szCs w:val="22"/>
        </w:rPr>
        <w:lastRenderedPageBreak/>
        <w:drawing>
          <wp:inline distT="0" distB="0" distL="0" distR="0" wp14:anchorId="63379B14" wp14:editId="64E9117F">
            <wp:extent cx="4358244" cy="2593155"/>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75689" cy="2603535"/>
                    </a:xfrm>
                    <a:prstGeom prst="rect">
                      <a:avLst/>
                    </a:prstGeom>
                  </pic:spPr>
                </pic:pic>
              </a:graphicData>
            </a:graphic>
          </wp:inline>
        </w:drawing>
      </w:r>
    </w:p>
    <w:p w:rsidR="00EA5516" w:rsidRPr="005E308E" w:rsidRDefault="00EA5516" w:rsidP="00EA5516">
      <w:pPr>
        <w:pStyle w:val="Prrafodelista"/>
        <w:spacing w:line="360" w:lineRule="auto"/>
        <w:ind w:left="0"/>
        <w:jc w:val="center"/>
        <w:rPr>
          <w:rFonts w:ascii="Palatino Linotype" w:eastAsia="Arial Unicode MS" w:hAnsi="Palatino Linotype" w:cs="Arial"/>
          <w:szCs w:val="22"/>
          <w:lang w:eastAsia="en-US"/>
        </w:rPr>
      </w:pPr>
    </w:p>
    <w:p w:rsidR="008E5152" w:rsidRPr="005E308E" w:rsidRDefault="00EA5516" w:rsidP="008E5152">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5E308E">
        <w:rPr>
          <w:rFonts w:ascii="Palatino Linotype" w:eastAsia="Arial Unicode MS" w:hAnsi="Palatino Linotype" w:cs="Arial"/>
          <w:szCs w:val="22"/>
          <w:lang w:eastAsia="en-US"/>
        </w:rPr>
        <w:t xml:space="preserve">Cabe señalar que al ingresar a cada </w:t>
      </w:r>
      <w:r w:rsidR="008E5152" w:rsidRPr="005E308E">
        <w:rPr>
          <w:rFonts w:ascii="Palatino Linotype" w:eastAsia="Arial Unicode MS" w:hAnsi="Palatino Linotype" w:cs="Arial"/>
          <w:szCs w:val="22"/>
          <w:lang w:eastAsia="en-US"/>
        </w:rPr>
        <w:t>una de las descripciones se advierten los hipervínculos que llevan de forma directa a los convenios, por lo tanto, el Sujeto Obligado dio cumplimiento a lo establecido en el artículo 161 de la Ley de Transparencia.</w:t>
      </w:r>
    </w:p>
    <w:p w:rsidR="008E5152" w:rsidRPr="005E308E" w:rsidRDefault="008E5152" w:rsidP="008E5152">
      <w:pPr>
        <w:pStyle w:val="Prrafodelista"/>
        <w:spacing w:line="360" w:lineRule="auto"/>
        <w:ind w:left="0"/>
        <w:jc w:val="both"/>
        <w:rPr>
          <w:rFonts w:ascii="Palatino Linotype" w:eastAsia="Arial Unicode MS" w:hAnsi="Palatino Linotype" w:cs="Arial"/>
          <w:szCs w:val="22"/>
          <w:lang w:eastAsia="en-US"/>
        </w:rPr>
      </w:pPr>
    </w:p>
    <w:p w:rsidR="008E5152" w:rsidRPr="005E308E" w:rsidRDefault="008E5152" w:rsidP="008E5152">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5E308E">
        <w:rPr>
          <w:rFonts w:ascii="Palatino Linotype" w:hAnsi="Palatino Linotype"/>
          <w:szCs w:val="22"/>
        </w:rPr>
        <w:t xml:space="preserve">Aunado a ello, la </w:t>
      </w:r>
      <w:r w:rsidRPr="005E308E">
        <w:rPr>
          <w:rFonts w:ascii="Palatino Linotype" w:hAnsi="Palatino Linotype"/>
          <w:b/>
          <w:szCs w:val="22"/>
        </w:rPr>
        <w:t>Ley de Transparencia y Acceso a la Información Pública del Estado de México y Municipios</w:t>
      </w:r>
      <w:r w:rsidRPr="005E308E">
        <w:rPr>
          <w:rFonts w:ascii="Palatino Linotype" w:hAnsi="Palatino Linotype"/>
          <w:szCs w:val="22"/>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8E5152" w:rsidRPr="005E308E" w:rsidRDefault="008E5152" w:rsidP="008E5152">
      <w:pPr>
        <w:pStyle w:val="Prrafodelista"/>
        <w:spacing w:line="360" w:lineRule="auto"/>
        <w:ind w:right="902"/>
        <w:jc w:val="both"/>
        <w:rPr>
          <w:rFonts w:ascii="Palatino Linotype" w:hAnsi="Palatino Linotype" w:cs="Arial"/>
          <w:i/>
          <w:szCs w:val="22"/>
        </w:rPr>
      </w:pPr>
    </w:p>
    <w:p w:rsidR="008E5152" w:rsidRPr="005E308E" w:rsidRDefault="008E5152" w:rsidP="008E5152">
      <w:pPr>
        <w:pStyle w:val="Prrafodelista"/>
        <w:spacing w:line="360" w:lineRule="auto"/>
        <w:ind w:right="902"/>
        <w:jc w:val="both"/>
        <w:rPr>
          <w:rFonts w:ascii="Palatino Linotype" w:hAnsi="Palatino Linotype" w:cs="Arial"/>
          <w:i/>
          <w:szCs w:val="22"/>
        </w:rPr>
      </w:pPr>
      <w:r w:rsidRPr="005E308E">
        <w:rPr>
          <w:rFonts w:ascii="Palatino Linotype" w:hAnsi="Palatino Linotype" w:cs="Arial"/>
          <w:i/>
          <w:szCs w:val="22"/>
        </w:rPr>
        <w:t xml:space="preserve">“Artículo 4.- </w:t>
      </w:r>
    </w:p>
    <w:p w:rsidR="008E5152" w:rsidRPr="005E308E" w:rsidRDefault="008E5152" w:rsidP="008E5152">
      <w:pPr>
        <w:pStyle w:val="Prrafodelista"/>
        <w:spacing w:line="360" w:lineRule="auto"/>
        <w:ind w:right="902"/>
        <w:jc w:val="both"/>
        <w:rPr>
          <w:rFonts w:ascii="Palatino Linotype" w:hAnsi="Palatino Linotype" w:cs="Arial"/>
          <w:i/>
          <w:szCs w:val="22"/>
        </w:rPr>
      </w:pPr>
      <w:r w:rsidRPr="005E308E">
        <w:rPr>
          <w:rFonts w:ascii="Palatino Linotype" w:hAnsi="Palatino Linotype" w:cs="Arial"/>
          <w:i/>
          <w:szCs w:val="22"/>
        </w:rPr>
        <w:t>..</w:t>
      </w:r>
    </w:p>
    <w:p w:rsidR="008E5152" w:rsidRPr="005E308E" w:rsidRDefault="008E5152" w:rsidP="008E5152">
      <w:pPr>
        <w:pStyle w:val="Prrafodelista"/>
        <w:spacing w:line="360" w:lineRule="auto"/>
        <w:ind w:right="902"/>
        <w:jc w:val="both"/>
        <w:rPr>
          <w:rFonts w:ascii="Palatino Linotype" w:hAnsi="Palatino Linotype" w:cs="Arial"/>
          <w:i/>
          <w:szCs w:val="22"/>
        </w:rPr>
      </w:pPr>
      <w:r w:rsidRPr="005E308E">
        <w:rPr>
          <w:rFonts w:ascii="Palatino Linotype" w:hAnsi="Palatino Linotype" w:cs="Arial"/>
          <w:i/>
          <w:szCs w:val="22"/>
        </w:rPr>
        <w:t>Los sujetos obligados deben poner en práctica, políticas y programas de acceso a la información que se apeguen a criterios de publicidad, veracidad, oportunidad, precisión y suficiencia en beneficio de los solicitantes.</w:t>
      </w:r>
    </w:p>
    <w:p w:rsidR="008E5152" w:rsidRPr="005E308E" w:rsidRDefault="008E5152" w:rsidP="008E5152">
      <w:pPr>
        <w:pStyle w:val="Prrafodelista"/>
        <w:spacing w:line="360" w:lineRule="auto"/>
        <w:ind w:right="902"/>
        <w:jc w:val="both"/>
        <w:rPr>
          <w:rFonts w:ascii="Palatino Linotype" w:hAnsi="Palatino Linotype" w:cs="Arial"/>
          <w:b/>
          <w:i/>
          <w:szCs w:val="22"/>
        </w:rPr>
      </w:pPr>
      <w:r w:rsidRPr="005E308E">
        <w:rPr>
          <w:rFonts w:ascii="Palatino Linotype" w:hAnsi="Palatino Linotype" w:cs="Arial"/>
          <w:i/>
          <w:szCs w:val="22"/>
        </w:rPr>
        <w:lastRenderedPageBreak/>
        <w:t>…”</w:t>
      </w:r>
    </w:p>
    <w:p w:rsidR="008E5152" w:rsidRPr="005E308E" w:rsidRDefault="008E5152" w:rsidP="008E5152">
      <w:pPr>
        <w:pStyle w:val="Prrafodelista"/>
        <w:tabs>
          <w:tab w:val="left" w:pos="709"/>
        </w:tabs>
        <w:spacing w:line="360" w:lineRule="auto"/>
        <w:ind w:right="51"/>
        <w:jc w:val="both"/>
        <w:rPr>
          <w:rFonts w:ascii="Palatino Linotype" w:hAnsi="Palatino Linotype" w:cs="Arial"/>
          <w:noProof/>
          <w:szCs w:val="22"/>
        </w:rPr>
      </w:pPr>
    </w:p>
    <w:p w:rsidR="00A42BA9" w:rsidRPr="005E308E" w:rsidRDefault="008E5152" w:rsidP="008E5152">
      <w:pPr>
        <w:pStyle w:val="Prrafodelista"/>
        <w:numPr>
          <w:ilvl w:val="0"/>
          <w:numId w:val="1"/>
        </w:numPr>
        <w:tabs>
          <w:tab w:val="left" w:pos="0"/>
        </w:tabs>
        <w:spacing w:line="360" w:lineRule="auto"/>
        <w:ind w:left="0" w:right="51" w:firstLine="0"/>
        <w:jc w:val="both"/>
        <w:rPr>
          <w:rFonts w:ascii="Palatino Linotype" w:hAnsi="Palatino Linotype" w:cs="Arial"/>
          <w:noProof/>
          <w:szCs w:val="22"/>
        </w:rPr>
      </w:pPr>
      <w:r w:rsidRPr="005E308E">
        <w:rPr>
          <w:rFonts w:ascii="Palatino Linotype" w:hAnsi="Palatino Linotype" w:cs="Arial"/>
          <w:noProof/>
          <w:szCs w:val="22"/>
        </w:rPr>
        <w:t xml:space="preserve">Numerales que compelen al </w:t>
      </w:r>
      <w:r w:rsidRPr="005E308E">
        <w:rPr>
          <w:rFonts w:ascii="Palatino Linotype" w:hAnsi="Palatino Linotype" w:cs="Arial"/>
          <w:b/>
          <w:noProof/>
          <w:szCs w:val="22"/>
        </w:rPr>
        <w:t>SUJETO OBLIGADO</w:t>
      </w:r>
      <w:r w:rsidRPr="005E308E">
        <w:rPr>
          <w:rFonts w:ascii="Palatino Linotype" w:hAnsi="Palatino Linotype" w:cs="Arial"/>
          <w:noProof/>
          <w:szCs w:val="22"/>
        </w:rPr>
        <w:t xml:space="preserve"> a apegarse en todo momento a los criterios ya expuestos, imipidiendo a este Órgano Colegiado cuestionar la veracidad de la información.</w:t>
      </w:r>
    </w:p>
    <w:p w:rsidR="00667AA0" w:rsidRPr="005E308E" w:rsidRDefault="00667AA0" w:rsidP="00667AA0">
      <w:pPr>
        <w:pStyle w:val="Prrafodelista"/>
        <w:spacing w:line="360" w:lineRule="auto"/>
        <w:ind w:left="0"/>
        <w:jc w:val="both"/>
        <w:rPr>
          <w:rFonts w:ascii="Palatino Linotype" w:eastAsia="MS Mincho" w:hAnsi="Palatino Linotype" w:cs="Arial"/>
          <w:szCs w:val="22"/>
          <w:lang w:val="es-ES_tradnl" w:eastAsia="es-ES"/>
        </w:rPr>
      </w:pPr>
    </w:p>
    <w:p w:rsidR="00667AA0" w:rsidRPr="005E308E" w:rsidRDefault="00667AA0" w:rsidP="00667AA0">
      <w:pPr>
        <w:numPr>
          <w:ilvl w:val="0"/>
          <w:numId w:val="1"/>
        </w:numPr>
        <w:spacing w:line="360" w:lineRule="auto"/>
        <w:ind w:left="0" w:firstLine="0"/>
        <w:jc w:val="both"/>
        <w:rPr>
          <w:rFonts w:ascii="Palatino Linotype" w:eastAsia="MS Gothic" w:hAnsi="Palatino Linotype" w:cstheme="majorBidi"/>
          <w:sz w:val="22"/>
          <w:szCs w:val="22"/>
          <w:lang w:eastAsia="es-ES"/>
        </w:rPr>
      </w:pPr>
      <w:r w:rsidRPr="005E308E">
        <w:rPr>
          <w:rFonts w:ascii="Palatino Linotype" w:eastAsia="MS Gothic" w:hAnsi="Palatino Linotype" w:cstheme="majorBidi"/>
          <w:sz w:val="22"/>
          <w:szCs w:val="22"/>
          <w:lang w:val="es-ES" w:eastAsia="es-ES"/>
        </w:rPr>
        <w:t xml:space="preserve">Atento a todo lo anteriormente señalado, resultan infundadas las razones o motivos de </w:t>
      </w:r>
      <w:r w:rsidRPr="005E308E">
        <w:rPr>
          <w:rFonts w:ascii="Palatino Linotype" w:eastAsia="MS Gothic" w:hAnsi="Palatino Linotype" w:cstheme="majorBidi"/>
          <w:sz w:val="22"/>
          <w:szCs w:val="22"/>
          <w:lang w:eastAsia="es-ES"/>
        </w:rPr>
        <w:t xml:space="preserve">inconformidad hechos valer por el </w:t>
      </w:r>
      <w:r w:rsidRPr="005E308E">
        <w:rPr>
          <w:rFonts w:ascii="Palatino Linotype" w:eastAsia="MS Gothic" w:hAnsi="Palatino Linotype" w:cstheme="majorBidi"/>
          <w:b/>
          <w:sz w:val="22"/>
          <w:szCs w:val="22"/>
          <w:lang w:eastAsia="es-ES"/>
        </w:rPr>
        <w:t>RECURRENTE, y</w:t>
      </w:r>
      <w:r w:rsidRPr="005E308E">
        <w:rPr>
          <w:rFonts w:ascii="Palatino Linotype" w:eastAsia="MS Gothic" w:hAnsi="Palatino Linotype" w:cstheme="majorBidi"/>
          <w:sz w:val="22"/>
          <w:szCs w:val="22"/>
          <w:lang w:val="es-ES_tradnl" w:eastAsia="es-ES"/>
        </w:rPr>
        <w:t xml:space="preserve"> en términos del artículo 186 fracción II este Pleno determina procedente </w:t>
      </w:r>
      <w:r w:rsidRPr="005E308E">
        <w:rPr>
          <w:rFonts w:ascii="Palatino Linotype" w:eastAsia="MS Gothic" w:hAnsi="Palatino Linotype" w:cstheme="majorBidi"/>
          <w:b/>
          <w:sz w:val="22"/>
          <w:szCs w:val="22"/>
          <w:lang w:val="es-ES_tradnl" w:eastAsia="es-ES"/>
        </w:rPr>
        <w:t>CONFIRMAR</w:t>
      </w:r>
      <w:r w:rsidRPr="005E308E">
        <w:rPr>
          <w:rFonts w:ascii="Palatino Linotype" w:eastAsia="MS Gothic" w:hAnsi="Palatino Linotype" w:cstheme="majorBidi"/>
          <w:sz w:val="22"/>
          <w:szCs w:val="22"/>
          <w:lang w:val="es-ES_tradnl" w:eastAsia="es-ES"/>
        </w:rPr>
        <w:t xml:space="preserve"> la respuesta del presente recurso de revisión, toda vez que no hubo afectación al derecho de acceso a la información pública establecido constitucionalmente a favor del particular.</w:t>
      </w:r>
    </w:p>
    <w:p w:rsidR="00667AA0" w:rsidRPr="005E308E" w:rsidRDefault="00667AA0" w:rsidP="00667AA0">
      <w:pPr>
        <w:spacing w:line="360" w:lineRule="auto"/>
        <w:rPr>
          <w:rFonts w:ascii="Palatino Linotype" w:eastAsia="Calibri" w:hAnsi="Palatino Linotype"/>
          <w:sz w:val="22"/>
          <w:szCs w:val="22"/>
        </w:rPr>
      </w:pPr>
    </w:p>
    <w:p w:rsidR="00667AA0" w:rsidRPr="005E308E" w:rsidRDefault="00667AA0" w:rsidP="00667AA0">
      <w:pPr>
        <w:numPr>
          <w:ilvl w:val="0"/>
          <w:numId w:val="1"/>
        </w:numPr>
        <w:spacing w:line="360" w:lineRule="auto"/>
        <w:ind w:left="0" w:right="49" w:firstLine="0"/>
        <w:contextualSpacing/>
        <w:jc w:val="both"/>
        <w:rPr>
          <w:rFonts w:ascii="Palatino Linotype" w:eastAsia="MS Gothic" w:hAnsi="Palatino Linotype" w:cstheme="majorBidi"/>
          <w:sz w:val="22"/>
          <w:szCs w:val="22"/>
          <w:lang w:val="es-ES_tradnl" w:eastAsia="es-ES"/>
        </w:rPr>
      </w:pPr>
      <w:r w:rsidRPr="005E308E">
        <w:rPr>
          <w:rFonts w:ascii="Palatino Linotype" w:eastAsia="Calibri" w:hAnsi="Palatino Linotype"/>
          <w:sz w:val="22"/>
          <w:szCs w:val="22"/>
        </w:rPr>
        <w:t xml:space="preserve">Por lo anteriormente expuesto y fundado, este </w:t>
      </w:r>
      <w:r w:rsidRPr="005E308E">
        <w:rPr>
          <w:rFonts w:ascii="Palatino Linotype" w:eastAsia="Calibri" w:hAnsi="Palatino Linotype"/>
          <w:b/>
          <w:bCs/>
          <w:sz w:val="22"/>
          <w:szCs w:val="22"/>
        </w:rPr>
        <w:t>ÓRGANO GARANTE</w:t>
      </w:r>
      <w:r w:rsidRPr="005E308E">
        <w:rPr>
          <w:rFonts w:ascii="Palatino Linotype" w:eastAsia="Calibri" w:hAnsi="Palatino Linotype"/>
          <w:sz w:val="22"/>
          <w:szCs w:val="22"/>
        </w:rPr>
        <w:t xml:space="preserve"> emite los siguientes:</w:t>
      </w:r>
    </w:p>
    <w:p w:rsidR="00667AA0" w:rsidRPr="005E308E" w:rsidRDefault="00667AA0" w:rsidP="00667AA0">
      <w:pPr>
        <w:spacing w:line="360" w:lineRule="auto"/>
        <w:contextualSpacing/>
        <w:jc w:val="both"/>
        <w:rPr>
          <w:rFonts w:ascii="Palatino Linotype" w:eastAsia="Calibri" w:hAnsi="Palatino Linotype"/>
          <w:sz w:val="22"/>
          <w:szCs w:val="22"/>
        </w:rPr>
      </w:pPr>
    </w:p>
    <w:p w:rsidR="00667AA0" w:rsidRPr="005E308E" w:rsidRDefault="00667AA0" w:rsidP="00667AA0">
      <w:pPr>
        <w:keepNext/>
        <w:keepLines/>
        <w:spacing w:line="360" w:lineRule="auto"/>
        <w:jc w:val="center"/>
        <w:outlineLvl w:val="0"/>
        <w:rPr>
          <w:rFonts w:ascii="Palatino Linotype" w:eastAsiaTheme="majorEastAsia" w:hAnsi="Palatino Linotype" w:cstheme="majorBidi"/>
          <w:b/>
          <w:color w:val="000000" w:themeColor="text1"/>
          <w:sz w:val="22"/>
          <w:szCs w:val="22"/>
          <w:lang w:eastAsia="en-US"/>
        </w:rPr>
      </w:pPr>
      <w:bookmarkStart w:id="7" w:name="_Toc528153792"/>
      <w:bookmarkStart w:id="8" w:name="_Toc71158406"/>
      <w:bookmarkStart w:id="9" w:name="_Toc83301643"/>
      <w:r w:rsidRPr="005E308E">
        <w:rPr>
          <w:rFonts w:ascii="Palatino Linotype" w:eastAsiaTheme="majorEastAsia" w:hAnsi="Palatino Linotype" w:cstheme="majorBidi"/>
          <w:b/>
          <w:color w:val="000000" w:themeColor="text1"/>
          <w:sz w:val="22"/>
          <w:szCs w:val="22"/>
          <w:lang w:eastAsia="en-US"/>
        </w:rPr>
        <w:t>R E S O L U T I V O S</w:t>
      </w:r>
      <w:bookmarkEnd w:id="7"/>
      <w:bookmarkEnd w:id="8"/>
      <w:bookmarkEnd w:id="9"/>
    </w:p>
    <w:p w:rsidR="00667AA0" w:rsidRPr="005E308E" w:rsidRDefault="00667AA0" w:rsidP="00667AA0">
      <w:pPr>
        <w:keepNext/>
        <w:keepLines/>
        <w:spacing w:line="360" w:lineRule="auto"/>
        <w:jc w:val="center"/>
        <w:outlineLvl w:val="0"/>
        <w:rPr>
          <w:rFonts w:ascii="Palatino Linotype" w:eastAsiaTheme="majorEastAsia" w:hAnsi="Palatino Linotype" w:cstheme="majorBidi"/>
          <w:b/>
          <w:color w:val="000000" w:themeColor="text1"/>
          <w:sz w:val="22"/>
          <w:szCs w:val="22"/>
          <w:lang w:eastAsia="en-US"/>
        </w:rPr>
      </w:pPr>
    </w:p>
    <w:p w:rsidR="00667AA0" w:rsidRPr="005E308E" w:rsidRDefault="00667AA0" w:rsidP="00667AA0">
      <w:pPr>
        <w:spacing w:line="360" w:lineRule="auto"/>
        <w:jc w:val="both"/>
        <w:rPr>
          <w:rFonts w:ascii="Palatino Linotype" w:eastAsiaTheme="minorEastAsia" w:hAnsi="Palatino Linotype" w:cs="Arial"/>
          <w:bCs/>
          <w:sz w:val="22"/>
          <w:szCs w:val="22"/>
          <w:lang w:val="es-ES_tradnl" w:eastAsia="es-ES"/>
        </w:rPr>
      </w:pPr>
      <w:r w:rsidRPr="005E308E">
        <w:rPr>
          <w:rFonts w:ascii="Palatino Linotype" w:hAnsi="Palatino Linotype" w:cs="Arial"/>
          <w:b/>
          <w:sz w:val="22"/>
          <w:szCs w:val="22"/>
          <w:lang w:val="es-ES_tradnl" w:eastAsia="es-ES"/>
        </w:rPr>
        <w:t xml:space="preserve">PRIMERO. </w:t>
      </w:r>
      <w:r w:rsidRPr="005E308E">
        <w:rPr>
          <w:rFonts w:ascii="Palatino Linotype" w:hAnsi="Palatino Linotype" w:cs="Arial"/>
          <w:sz w:val="22"/>
          <w:szCs w:val="22"/>
          <w:lang w:val="es-ES_tradnl" w:eastAsia="es-ES"/>
        </w:rPr>
        <w:t>Resultan infundadas las</w:t>
      </w:r>
      <w:r w:rsidRPr="005E308E">
        <w:rPr>
          <w:rFonts w:ascii="Palatino Linotype" w:hAnsi="Palatino Linotype" w:cs="Arial"/>
          <w:b/>
          <w:sz w:val="22"/>
          <w:szCs w:val="22"/>
          <w:lang w:val="es-ES_tradnl" w:eastAsia="es-ES"/>
        </w:rPr>
        <w:t xml:space="preserve"> </w:t>
      </w:r>
      <w:r w:rsidRPr="005E308E">
        <w:rPr>
          <w:rFonts w:ascii="Palatino Linotype" w:hAnsi="Palatino Linotype" w:cs="Arial"/>
          <w:sz w:val="22"/>
          <w:szCs w:val="22"/>
          <w:lang w:val="es-ES" w:eastAsia="es-ES"/>
        </w:rPr>
        <w:t xml:space="preserve">razones o motivos de inconformidad hechos valer </w:t>
      </w:r>
      <w:r w:rsidRPr="005E308E">
        <w:rPr>
          <w:rFonts w:ascii="Palatino Linotype" w:eastAsia="Calibri" w:hAnsi="Palatino Linotype" w:cs="Arial"/>
          <w:sz w:val="22"/>
          <w:szCs w:val="22"/>
          <w:lang w:val="es-ES" w:eastAsia="es-ES"/>
        </w:rPr>
        <w:t xml:space="preserve">en el recurso de revisión </w:t>
      </w:r>
      <w:r w:rsidR="008E5152" w:rsidRPr="005E308E">
        <w:rPr>
          <w:rFonts w:ascii="Palatino Linotype" w:eastAsiaTheme="minorEastAsia" w:hAnsi="Palatino Linotype" w:cs="Arial"/>
          <w:b/>
          <w:bCs/>
          <w:sz w:val="22"/>
          <w:szCs w:val="22"/>
          <w:lang w:val="es-ES_tradnl" w:eastAsia="es-ES"/>
        </w:rPr>
        <w:t>07338</w:t>
      </w:r>
      <w:r w:rsidRPr="005E308E">
        <w:rPr>
          <w:rFonts w:ascii="Palatino Linotype" w:eastAsiaTheme="minorEastAsia" w:hAnsi="Palatino Linotype" w:cs="Arial"/>
          <w:b/>
          <w:bCs/>
          <w:sz w:val="22"/>
          <w:szCs w:val="22"/>
          <w:lang w:val="es-ES_tradnl" w:eastAsia="es-ES"/>
        </w:rPr>
        <w:t xml:space="preserve">/INFOEM/IP/RR/2024, </w:t>
      </w:r>
      <w:r w:rsidRPr="005E308E">
        <w:rPr>
          <w:rFonts w:ascii="Palatino Linotype" w:eastAsiaTheme="minorEastAsia" w:hAnsi="Palatino Linotype" w:cs="Arial"/>
          <w:bCs/>
          <w:sz w:val="22"/>
          <w:szCs w:val="22"/>
          <w:lang w:val="es-ES_tradnl" w:eastAsia="es-ES"/>
        </w:rPr>
        <w:t xml:space="preserve">en términos del </w:t>
      </w:r>
      <w:r w:rsidRPr="005E308E">
        <w:rPr>
          <w:rFonts w:ascii="Palatino Linotype" w:eastAsiaTheme="minorEastAsia" w:hAnsi="Palatino Linotype" w:cs="Arial"/>
          <w:b/>
          <w:bCs/>
          <w:sz w:val="22"/>
          <w:szCs w:val="22"/>
          <w:lang w:val="es-ES_tradnl" w:eastAsia="es-ES"/>
        </w:rPr>
        <w:t>Considerando</w:t>
      </w:r>
      <w:r w:rsidRPr="005E308E">
        <w:rPr>
          <w:rFonts w:ascii="Palatino Linotype" w:eastAsiaTheme="minorEastAsia" w:hAnsi="Palatino Linotype" w:cs="Arial"/>
          <w:bCs/>
          <w:sz w:val="22"/>
          <w:szCs w:val="22"/>
          <w:lang w:val="es-ES_tradnl" w:eastAsia="es-ES"/>
        </w:rPr>
        <w:t xml:space="preserve"> </w:t>
      </w:r>
      <w:r w:rsidRPr="005E308E">
        <w:rPr>
          <w:rFonts w:ascii="Palatino Linotype" w:eastAsiaTheme="minorEastAsia" w:hAnsi="Palatino Linotype" w:cs="Arial"/>
          <w:b/>
          <w:bCs/>
          <w:sz w:val="22"/>
          <w:szCs w:val="22"/>
          <w:lang w:val="es-ES_tradnl" w:eastAsia="es-ES"/>
        </w:rPr>
        <w:t>CUARTO</w:t>
      </w:r>
      <w:r w:rsidRPr="005E308E">
        <w:rPr>
          <w:rFonts w:ascii="Palatino Linotype" w:eastAsiaTheme="minorEastAsia" w:hAnsi="Palatino Linotype" w:cs="Arial"/>
          <w:bCs/>
          <w:sz w:val="22"/>
          <w:szCs w:val="22"/>
          <w:lang w:val="es-ES_tradnl" w:eastAsia="es-ES"/>
        </w:rPr>
        <w:t xml:space="preserve"> de la presente resolución.</w:t>
      </w:r>
    </w:p>
    <w:p w:rsidR="00667AA0" w:rsidRPr="005E308E" w:rsidRDefault="00667AA0" w:rsidP="00667AA0">
      <w:pPr>
        <w:spacing w:line="360" w:lineRule="auto"/>
        <w:jc w:val="both"/>
        <w:rPr>
          <w:rFonts w:ascii="Palatino Linotype" w:hAnsi="Palatino Linotype"/>
          <w:sz w:val="22"/>
          <w:szCs w:val="22"/>
          <w:lang w:val="es-ES_tradnl" w:eastAsia="es-ES"/>
        </w:rPr>
      </w:pPr>
    </w:p>
    <w:p w:rsidR="00667AA0" w:rsidRPr="005E308E" w:rsidRDefault="00667AA0" w:rsidP="00667AA0">
      <w:pPr>
        <w:spacing w:line="360" w:lineRule="auto"/>
        <w:jc w:val="both"/>
        <w:rPr>
          <w:rFonts w:ascii="Palatino Linotype" w:eastAsia="Calibri" w:hAnsi="Palatino Linotype" w:cs="Arial"/>
          <w:sz w:val="22"/>
          <w:szCs w:val="22"/>
          <w:lang w:val="es-ES" w:eastAsia="es-ES"/>
        </w:rPr>
      </w:pPr>
      <w:r w:rsidRPr="005E308E">
        <w:rPr>
          <w:rFonts w:ascii="Palatino Linotype" w:eastAsiaTheme="minorEastAsia" w:hAnsi="Palatino Linotype"/>
          <w:b/>
          <w:sz w:val="22"/>
          <w:szCs w:val="22"/>
          <w:lang w:val="es-ES_tradnl" w:eastAsia="es-ES"/>
        </w:rPr>
        <w:t>SEGUNDO.</w:t>
      </w:r>
      <w:r w:rsidRPr="005E308E">
        <w:rPr>
          <w:rFonts w:ascii="Palatino Linotype" w:eastAsiaTheme="majorEastAsia" w:hAnsi="Palatino Linotype" w:cstheme="majorBidi"/>
          <w:b/>
          <w:color w:val="2E74B5" w:themeColor="accent1" w:themeShade="BF"/>
          <w:sz w:val="22"/>
          <w:szCs w:val="22"/>
          <w:lang w:val="es-ES_tradnl" w:eastAsia="es-ES"/>
        </w:rPr>
        <w:t xml:space="preserve"> </w:t>
      </w:r>
      <w:r w:rsidRPr="005E308E">
        <w:rPr>
          <w:rFonts w:ascii="Palatino Linotype" w:eastAsia="Calibri" w:hAnsi="Palatino Linotype" w:cs="Arial"/>
          <w:sz w:val="22"/>
          <w:szCs w:val="22"/>
          <w:lang w:val="es-ES" w:eastAsia="es-ES"/>
        </w:rPr>
        <w:t>Se</w:t>
      </w:r>
      <w:r w:rsidRPr="005E308E">
        <w:rPr>
          <w:rFonts w:ascii="Palatino Linotype" w:eastAsia="Calibri" w:hAnsi="Palatino Linotype" w:cs="Arial"/>
          <w:b/>
          <w:sz w:val="22"/>
          <w:szCs w:val="22"/>
          <w:lang w:val="es-ES" w:eastAsia="es-ES"/>
        </w:rPr>
        <w:t xml:space="preserve"> CONFIRMA </w:t>
      </w:r>
      <w:r w:rsidRPr="005E308E">
        <w:rPr>
          <w:rFonts w:ascii="Palatino Linotype" w:eastAsia="Calibri" w:hAnsi="Palatino Linotype" w:cs="Arial"/>
          <w:sz w:val="22"/>
          <w:szCs w:val="22"/>
          <w:lang w:val="es-ES" w:eastAsia="es-ES"/>
        </w:rPr>
        <w:t xml:space="preserve">la respuesta emitida por </w:t>
      </w:r>
      <w:r w:rsidR="008E5152" w:rsidRPr="005E308E">
        <w:rPr>
          <w:rFonts w:ascii="Palatino Linotype" w:eastAsia="Calibri" w:hAnsi="Palatino Linotype" w:cs="Arial"/>
          <w:sz w:val="22"/>
          <w:szCs w:val="22"/>
          <w:lang w:val="es-ES" w:eastAsia="es-ES"/>
        </w:rPr>
        <w:t>la</w:t>
      </w:r>
      <w:r w:rsidR="00A12206" w:rsidRPr="005E308E">
        <w:rPr>
          <w:rFonts w:ascii="Palatino Linotype" w:eastAsia="Calibri" w:hAnsi="Palatino Linotype" w:cs="Arial"/>
          <w:sz w:val="22"/>
          <w:szCs w:val="22"/>
          <w:lang w:val="es-ES" w:eastAsia="es-ES"/>
        </w:rPr>
        <w:t xml:space="preserve"> </w:t>
      </w:r>
      <w:r w:rsidR="008E5152" w:rsidRPr="005E308E">
        <w:rPr>
          <w:rFonts w:ascii="Palatino Linotype" w:eastAsiaTheme="minorEastAsia" w:hAnsi="Palatino Linotype" w:cs="Arial"/>
          <w:b/>
          <w:bCs/>
          <w:sz w:val="22"/>
          <w:szCs w:val="22"/>
          <w:lang w:eastAsia="es-ES"/>
        </w:rPr>
        <w:t>Secretaría de Movilidad</w:t>
      </w:r>
      <w:r w:rsidRPr="005E308E">
        <w:rPr>
          <w:rFonts w:ascii="Palatino Linotype" w:eastAsiaTheme="minorEastAsia" w:hAnsi="Palatino Linotype" w:cs="Arial"/>
          <w:b/>
          <w:bCs/>
          <w:sz w:val="22"/>
          <w:szCs w:val="22"/>
          <w:lang w:eastAsia="es-ES"/>
        </w:rPr>
        <w:t xml:space="preserve"> </w:t>
      </w:r>
      <w:r w:rsidRPr="005E308E">
        <w:rPr>
          <w:rFonts w:ascii="Palatino Linotype" w:eastAsia="Calibri" w:hAnsi="Palatino Linotype" w:cs="Arial"/>
          <w:sz w:val="22"/>
          <w:szCs w:val="22"/>
          <w:lang w:val="es-ES" w:eastAsia="es-ES"/>
        </w:rPr>
        <w:t xml:space="preserve">a la solicitud </w:t>
      </w:r>
      <w:r w:rsidR="008E5152" w:rsidRPr="005E308E">
        <w:rPr>
          <w:rFonts w:ascii="Palatino Linotype" w:hAnsi="Palatino Linotype"/>
          <w:b/>
          <w:bCs/>
          <w:sz w:val="22"/>
          <w:szCs w:val="22"/>
        </w:rPr>
        <w:t>00724/SMOV/IP/2024</w:t>
      </w:r>
      <w:r w:rsidRPr="005E308E">
        <w:rPr>
          <w:rFonts w:ascii="Palatino Linotype" w:eastAsia="Calibri" w:hAnsi="Palatino Linotype" w:cs="Arial"/>
          <w:b/>
          <w:sz w:val="22"/>
          <w:szCs w:val="22"/>
          <w:lang w:val="es-ES" w:eastAsia="es-ES"/>
        </w:rPr>
        <w:t>.</w:t>
      </w:r>
      <w:r w:rsidRPr="005E308E">
        <w:rPr>
          <w:rFonts w:ascii="Palatino Linotype" w:eastAsia="Calibri" w:hAnsi="Palatino Linotype" w:cs="Arial"/>
          <w:sz w:val="22"/>
          <w:szCs w:val="22"/>
          <w:lang w:val="es-ES" w:eastAsia="es-ES"/>
        </w:rPr>
        <w:t xml:space="preserve"> </w:t>
      </w:r>
    </w:p>
    <w:p w:rsidR="00667AA0" w:rsidRPr="005E308E" w:rsidRDefault="00667AA0" w:rsidP="00667AA0">
      <w:pPr>
        <w:spacing w:line="360" w:lineRule="auto"/>
        <w:jc w:val="both"/>
        <w:rPr>
          <w:rFonts w:ascii="Palatino Linotype" w:eastAsia="Calibri" w:hAnsi="Palatino Linotype" w:cs="Arial"/>
          <w:sz w:val="22"/>
          <w:szCs w:val="22"/>
          <w:lang w:val="es-ES" w:eastAsia="es-ES"/>
        </w:rPr>
      </w:pPr>
    </w:p>
    <w:p w:rsidR="00667AA0" w:rsidRPr="005E308E" w:rsidRDefault="00667AA0" w:rsidP="00667AA0">
      <w:pPr>
        <w:tabs>
          <w:tab w:val="left" w:pos="8080"/>
        </w:tabs>
        <w:spacing w:line="360" w:lineRule="auto"/>
        <w:ind w:right="49"/>
        <w:contextualSpacing/>
        <w:jc w:val="both"/>
        <w:rPr>
          <w:rFonts w:ascii="Palatino Linotype" w:eastAsia="Palatino Linotype" w:hAnsi="Palatino Linotype" w:cs="Palatino Linotype"/>
          <w:b/>
          <w:sz w:val="22"/>
          <w:szCs w:val="22"/>
          <w:lang w:val="es-ES_tradnl" w:eastAsia="es-ES"/>
        </w:rPr>
      </w:pPr>
      <w:r w:rsidRPr="005E308E">
        <w:rPr>
          <w:rFonts w:ascii="Palatino Linotype" w:eastAsia="Palatino Linotype" w:hAnsi="Palatino Linotype" w:cs="Palatino Linotype"/>
          <w:b/>
          <w:sz w:val="22"/>
          <w:szCs w:val="22"/>
          <w:lang w:val="es-ES_tradnl" w:eastAsia="es-ES"/>
        </w:rPr>
        <w:t xml:space="preserve">TERCERO. REMÍTASE, </w:t>
      </w:r>
      <w:r w:rsidRPr="005E308E">
        <w:rPr>
          <w:rFonts w:ascii="Palatino Linotype" w:eastAsia="Palatino Linotype" w:hAnsi="Palatino Linotype" w:cs="Palatino Linotype"/>
          <w:sz w:val="22"/>
          <w:szCs w:val="22"/>
          <w:lang w:val="es-ES_tradnl" w:eastAsia="es-ES"/>
        </w:rPr>
        <w:t xml:space="preserve">vía Sistema de Acceso a la Información Mexiquense (SAIMEX), la presente resolución al Titular de la Unidad de Transparencia del </w:t>
      </w:r>
      <w:r w:rsidRPr="005E308E">
        <w:rPr>
          <w:rFonts w:ascii="Palatino Linotype" w:eastAsia="Palatino Linotype" w:hAnsi="Palatino Linotype" w:cs="Palatino Linotype"/>
          <w:b/>
          <w:sz w:val="22"/>
          <w:szCs w:val="22"/>
          <w:lang w:val="es-ES_tradnl" w:eastAsia="es-ES"/>
        </w:rPr>
        <w:t>SUJETO OBLIGADO.</w:t>
      </w:r>
    </w:p>
    <w:p w:rsidR="00667AA0" w:rsidRPr="005E308E" w:rsidRDefault="00667AA0" w:rsidP="00667AA0">
      <w:pPr>
        <w:tabs>
          <w:tab w:val="left" w:pos="8080"/>
        </w:tabs>
        <w:spacing w:line="360" w:lineRule="auto"/>
        <w:ind w:right="49"/>
        <w:contextualSpacing/>
        <w:jc w:val="both"/>
        <w:rPr>
          <w:rFonts w:ascii="Palatino Linotype" w:eastAsia="Palatino Linotype" w:hAnsi="Palatino Linotype" w:cs="Palatino Linotype"/>
          <w:b/>
          <w:sz w:val="22"/>
          <w:szCs w:val="22"/>
          <w:lang w:val="es-ES_tradnl" w:eastAsia="es-ES"/>
        </w:rPr>
      </w:pPr>
    </w:p>
    <w:p w:rsidR="00667AA0" w:rsidRPr="005E308E" w:rsidRDefault="00667AA0" w:rsidP="00667AA0">
      <w:pPr>
        <w:shd w:val="clear" w:color="auto" w:fill="FFFFFF"/>
        <w:spacing w:line="360" w:lineRule="auto"/>
        <w:jc w:val="both"/>
        <w:rPr>
          <w:rFonts w:ascii="Palatino Linotype" w:eastAsiaTheme="minorEastAsia" w:hAnsi="Palatino Linotype"/>
          <w:sz w:val="22"/>
          <w:szCs w:val="22"/>
          <w:lang w:val="es-ES_tradnl" w:eastAsia="es-ES"/>
        </w:rPr>
      </w:pPr>
      <w:r w:rsidRPr="005E308E">
        <w:rPr>
          <w:rFonts w:ascii="Palatino Linotype" w:hAnsi="Palatino Linotype" w:cs="Arial"/>
          <w:b/>
          <w:sz w:val="22"/>
          <w:szCs w:val="22"/>
          <w:lang w:val="es-ES_tradnl" w:eastAsia="es-ES"/>
        </w:rPr>
        <w:lastRenderedPageBreak/>
        <w:t xml:space="preserve">CUARTO. </w:t>
      </w:r>
      <w:r w:rsidRPr="005E308E">
        <w:rPr>
          <w:rFonts w:ascii="Palatino Linotype" w:hAnsi="Palatino Linotype"/>
          <w:b/>
          <w:bCs/>
          <w:sz w:val="22"/>
          <w:szCs w:val="22"/>
          <w:lang w:val="es-ES" w:eastAsia="es-ES"/>
        </w:rPr>
        <w:t>Notifíquese a</w:t>
      </w:r>
      <w:r w:rsidRPr="005E308E">
        <w:rPr>
          <w:rFonts w:ascii="Palatino Linotype" w:eastAsiaTheme="minorEastAsia" w:hAnsi="Palatino Linotype"/>
          <w:b/>
          <w:sz w:val="22"/>
          <w:szCs w:val="22"/>
          <w:lang w:val="es-ES_tradnl" w:eastAsia="es-ES"/>
        </w:rPr>
        <w:t xml:space="preserve">l RECURRENTE </w:t>
      </w:r>
      <w:r w:rsidRPr="005E308E">
        <w:rPr>
          <w:rFonts w:ascii="Palatino Linotype" w:eastAsiaTheme="minorEastAsia" w:hAnsi="Palatino Linotype"/>
          <w:sz w:val="22"/>
          <w:szCs w:val="22"/>
          <w:lang w:val="es-ES_tradnl" w:eastAsia="es-ES"/>
        </w:rPr>
        <w:t>la presente resolución vía SAIMEX.</w:t>
      </w:r>
    </w:p>
    <w:p w:rsidR="00667AA0" w:rsidRPr="005E308E" w:rsidRDefault="00667AA0" w:rsidP="00667AA0">
      <w:pPr>
        <w:shd w:val="clear" w:color="auto" w:fill="FFFFFF"/>
        <w:spacing w:line="360" w:lineRule="auto"/>
        <w:jc w:val="both"/>
        <w:rPr>
          <w:rFonts w:ascii="Palatino Linotype" w:eastAsiaTheme="minorEastAsia" w:hAnsi="Palatino Linotype"/>
          <w:sz w:val="22"/>
          <w:szCs w:val="22"/>
          <w:lang w:val="es-ES_tradnl" w:eastAsia="es-ES"/>
        </w:rPr>
      </w:pPr>
    </w:p>
    <w:p w:rsidR="00667AA0" w:rsidRPr="005E308E" w:rsidRDefault="00667AA0" w:rsidP="00667AA0">
      <w:pPr>
        <w:spacing w:line="360" w:lineRule="auto"/>
        <w:jc w:val="both"/>
        <w:rPr>
          <w:rFonts w:ascii="Palatino Linotype" w:eastAsia="MS Mincho" w:hAnsi="Palatino Linotype"/>
          <w:sz w:val="22"/>
          <w:szCs w:val="22"/>
          <w:lang w:val="es-ES" w:eastAsia="es-ES"/>
        </w:rPr>
      </w:pPr>
      <w:r w:rsidRPr="005E308E">
        <w:rPr>
          <w:rFonts w:ascii="Palatino Linotype" w:eastAsia="MS Mincho" w:hAnsi="Palatino Linotype"/>
          <w:b/>
          <w:sz w:val="22"/>
          <w:szCs w:val="22"/>
          <w:lang w:eastAsia="es-ES"/>
        </w:rPr>
        <w:t>QUINTO.</w:t>
      </w:r>
      <w:r w:rsidRPr="005E308E">
        <w:rPr>
          <w:rFonts w:ascii="Palatino Linotype" w:eastAsia="MS Mincho" w:hAnsi="Palatino Linotype"/>
          <w:sz w:val="22"/>
          <w:szCs w:val="22"/>
          <w:lang w:eastAsia="es-ES"/>
        </w:rPr>
        <w:t xml:space="preserve"> </w:t>
      </w:r>
      <w:r w:rsidRPr="005E308E">
        <w:rPr>
          <w:rFonts w:ascii="Palatino Linotype" w:eastAsia="MS Mincho" w:hAnsi="Palatino Linotype"/>
          <w:sz w:val="22"/>
          <w:szCs w:val="22"/>
          <w:lang w:val="es-ES" w:eastAsia="es-ES"/>
        </w:rPr>
        <w:t xml:space="preserve">Se hace del conocimiento del </w:t>
      </w:r>
      <w:r w:rsidRPr="005E308E">
        <w:rPr>
          <w:rFonts w:ascii="Palatino Linotype" w:eastAsiaTheme="minorEastAsia" w:hAnsi="Palatino Linotype"/>
          <w:b/>
          <w:sz w:val="22"/>
          <w:szCs w:val="22"/>
          <w:lang w:val="es-ES_tradnl" w:eastAsia="es-ES"/>
        </w:rPr>
        <w:t xml:space="preserve">RECURRENTE </w:t>
      </w:r>
      <w:r w:rsidRPr="005E308E">
        <w:rPr>
          <w:rFonts w:ascii="Palatino Linotype" w:eastAsia="MS Mincho" w:hAnsi="Palatino Linotype"/>
          <w:sz w:val="22"/>
          <w:szCs w:val="22"/>
          <w:lang w:val="es-ES" w:eastAsia="es-ES"/>
        </w:rPr>
        <w:t>que, de conformidad con lo establecido en el artículo 196 de la Ley de Transparencia y Acceso a la Información Pública del Estado de México y Municipios, en caso de que considere que la resolución le cause algún perjuicio podrá impugnarla </w:t>
      </w:r>
      <w:r w:rsidRPr="005E308E">
        <w:rPr>
          <w:rFonts w:ascii="Palatino Linotype" w:eastAsia="MS Mincho" w:hAnsi="Palatino Linotype"/>
          <w:bCs/>
          <w:sz w:val="22"/>
          <w:szCs w:val="22"/>
          <w:lang w:val="es-ES" w:eastAsia="es-ES"/>
        </w:rPr>
        <w:t>vía juicio de amparo</w:t>
      </w:r>
      <w:r w:rsidRPr="005E308E">
        <w:rPr>
          <w:rFonts w:ascii="Palatino Linotype" w:eastAsia="MS Mincho" w:hAnsi="Palatino Linotype"/>
          <w:sz w:val="22"/>
          <w:szCs w:val="22"/>
          <w:lang w:val="es-ES" w:eastAsia="es-ES"/>
        </w:rPr>
        <w:t> en los términos de las leyes aplicables.</w:t>
      </w:r>
    </w:p>
    <w:p w:rsidR="00667AA0" w:rsidRPr="005E308E" w:rsidRDefault="00667AA0" w:rsidP="00667AA0">
      <w:pPr>
        <w:spacing w:line="360" w:lineRule="auto"/>
        <w:ind w:right="48"/>
        <w:jc w:val="both"/>
        <w:rPr>
          <w:rFonts w:ascii="Palatino Linotype" w:hAnsi="Palatino Linotype"/>
          <w:sz w:val="22"/>
          <w:szCs w:val="22"/>
        </w:rPr>
      </w:pPr>
    </w:p>
    <w:p w:rsidR="00954E3E" w:rsidRPr="003C7186" w:rsidRDefault="00954E3E" w:rsidP="00954E3E">
      <w:pPr>
        <w:spacing w:line="360" w:lineRule="auto"/>
        <w:ind w:left="-142" w:right="-234" w:firstLine="1"/>
        <w:jc w:val="both"/>
        <w:rPr>
          <w:rFonts w:ascii="Palatino Linotype" w:hAnsi="Palatino Linotype"/>
        </w:rPr>
      </w:pPr>
      <w:r w:rsidRPr="005E308E">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SEIS (06) DE FEBRERO DE DOS MIL VEINTICINCO, ANTE EL SECRETARIO TÉCNICO DEL PLENO ALEXIS TAPIA RAMÍREZ.</w:t>
      </w:r>
      <w:r w:rsidRPr="003C7186">
        <w:rPr>
          <w:rFonts w:ascii="Palatino Linotype" w:hAnsi="Palatino Linotype"/>
        </w:rPr>
        <w:t xml:space="preserve"> </w:t>
      </w:r>
    </w:p>
    <w:p w:rsidR="00187B88" w:rsidRDefault="00187B88">
      <w:pPr>
        <w:rPr>
          <w:sz w:val="22"/>
          <w:szCs w:val="22"/>
        </w:rPr>
      </w:pPr>
    </w:p>
    <w:p w:rsidR="005E308E" w:rsidRDefault="005E308E">
      <w:pPr>
        <w:rPr>
          <w:sz w:val="22"/>
          <w:szCs w:val="22"/>
        </w:rPr>
      </w:pPr>
    </w:p>
    <w:p w:rsidR="005E308E" w:rsidRDefault="005E308E">
      <w:pPr>
        <w:rPr>
          <w:sz w:val="22"/>
          <w:szCs w:val="22"/>
        </w:rPr>
      </w:pPr>
    </w:p>
    <w:p w:rsidR="005E308E" w:rsidRDefault="005E308E">
      <w:pPr>
        <w:rPr>
          <w:sz w:val="22"/>
          <w:szCs w:val="22"/>
        </w:rPr>
      </w:pPr>
    </w:p>
    <w:p w:rsidR="005E308E" w:rsidRDefault="005E308E">
      <w:pPr>
        <w:rPr>
          <w:sz w:val="22"/>
          <w:szCs w:val="22"/>
        </w:rPr>
      </w:pPr>
    </w:p>
    <w:p w:rsidR="005E308E" w:rsidRDefault="005E308E">
      <w:pPr>
        <w:rPr>
          <w:sz w:val="22"/>
          <w:szCs w:val="22"/>
        </w:rPr>
      </w:pPr>
    </w:p>
    <w:p w:rsidR="005E308E" w:rsidRDefault="005E308E">
      <w:pPr>
        <w:rPr>
          <w:sz w:val="22"/>
          <w:szCs w:val="22"/>
        </w:rPr>
      </w:pPr>
    </w:p>
    <w:p w:rsidR="005E308E" w:rsidRDefault="005E308E">
      <w:pPr>
        <w:rPr>
          <w:sz w:val="22"/>
          <w:szCs w:val="22"/>
        </w:rPr>
      </w:pPr>
    </w:p>
    <w:p w:rsidR="005E308E" w:rsidRDefault="005E308E">
      <w:pPr>
        <w:rPr>
          <w:sz w:val="22"/>
          <w:szCs w:val="22"/>
        </w:rPr>
      </w:pPr>
    </w:p>
    <w:p w:rsidR="005E308E" w:rsidRDefault="005E308E">
      <w:pPr>
        <w:rPr>
          <w:sz w:val="22"/>
          <w:szCs w:val="22"/>
        </w:rPr>
      </w:pPr>
    </w:p>
    <w:p w:rsidR="005E308E" w:rsidRDefault="005E308E">
      <w:pPr>
        <w:rPr>
          <w:sz w:val="22"/>
          <w:szCs w:val="22"/>
        </w:rPr>
      </w:pPr>
    </w:p>
    <w:p w:rsidR="005E308E" w:rsidRDefault="005E308E">
      <w:pPr>
        <w:rPr>
          <w:sz w:val="22"/>
          <w:szCs w:val="22"/>
        </w:rPr>
      </w:pPr>
    </w:p>
    <w:p w:rsidR="005E308E" w:rsidRDefault="005E308E">
      <w:pPr>
        <w:rPr>
          <w:sz w:val="22"/>
          <w:szCs w:val="22"/>
        </w:rPr>
      </w:pPr>
    </w:p>
    <w:p w:rsidR="005E308E" w:rsidRDefault="005E308E">
      <w:pPr>
        <w:rPr>
          <w:sz w:val="22"/>
          <w:szCs w:val="22"/>
        </w:rPr>
      </w:pPr>
    </w:p>
    <w:p w:rsidR="005E308E" w:rsidRDefault="005E308E">
      <w:pPr>
        <w:rPr>
          <w:sz w:val="22"/>
          <w:szCs w:val="22"/>
        </w:rPr>
      </w:pPr>
    </w:p>
    <w:p w:rsidR="005E308E" w:rsidRDefault="005E308E">
      <w:pPr>
        <w:rPr>
          <w:sz w:val="22"/>
          <w:szCs w:val="22"/>
        </w:rPr>
      </w:pPr>
    </w:p>
    <w:p w:rsidR="005E308E" w:rsidRDefault="005E308E">
      <w:pPr>
        <w:rPr>
          <w:sz w:val="22"/>
          <w:szCs w:val="22"/>
        </w:rPr>
      </w:pPr>
    </w:p>
    <w:p w:rsidR="005E308E" w:rsidRDefault="005E308E">
      <w:pPr>
        <w:rPr>
          <w:sz w:val="22"/>
          <w:szCs w:val="22"/>
        </w:rPr>
      </w:pPr>
    </w:p>
    <w:p w:rsidR="005E308E" w:rsidRDefault="005E308E">
      <w:pPr>
        <w:rPr>
          <w:sz w:val="22"/>
          <w:szCs w:val="22"/>
        </w:rPr>
      </w:pPr>
    </w:p>
    <w:p w:rsidR="005E308E" w:rsidRDefault="005E308E">
      <w:pPr>
        <w:rPr>
          <w:sz w:val="22"/>
          <w:szCs w:val="22"/>
        </w:rPr>
      </w:pPr>
    </w:p>
    <w:p w:rsidR="005E308E" w:rsidRDefault="005E308E">
      <w:pPr>
        <w:rPr>
          <w:sz w:val="22"/>
          <w:szCs w:val="22"/>
        </w:rPr>
      </w:pPr>
    </w:p>
    <w:p w:rsidR="005E308E" w:rsidRDefault="005E308E">
      <w:pPr>
        <w:rPr>
          <w:sz w:val="22"/>
          <w:szCs w:val="22"/>
        </w:rPr>
      </w:pPr>
    </w:p>
    <w:p w:rsidR="005E308E" w:rsidRPr="00EA5516" w:rsidRDefault="005E308E">
      <w:pPr>
        <w:rPr>
          <w:sz w:val="22"/>
          <w:szCs w:val="22"/>
        </w:rPr>
      </w:pPr>
      <w:bookmarkStart w:id="10" w:name="_GoBack"/>
      <w:bookmarkEnd w:id="10"/>
    </w:p>
    <w:sectPr w:rsidR="005E308E" w:rsidRPr="00EA5516" w:rsidSect="00847410">
      <w:headerReference w:type="even" r:id="rId15"/>
      <w:headerReference w:type="default" r:id="rId16"/>
      <w:footerReference w:type="default" r:id="rId17"/>
      <w:headerReference w:type="first" r:id="rId18"/>
      <w:footerReference w:type="first" r:id="rId19"/>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8E9" w:rsidRDefault="006A68E9" w:rsidP="00667AA0">
      <w:r>
        <w:separator/>
      </w:r>
    </w:p>
  </w:endnote>
  <w:endnote w:type="continuationSeparator" w:id="0">
    <w:p w:rsidR="006A68E9" w:rsidRDefault="006A68E9" w:rsidP="0066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C8D" w:rsidRDefault="00B86C8D">
    <w:pPr>
      <w:pStyle w:val="Piedepgina"/>
      <w:jc w:val="right"/>
    </w:pPr>
    <w:r>
      <w:rPr>
        <w:lang w:val="es-ES"/>
      </w:rPr>
      <w:t xml:space="preserve">Página </w:t>
    </w:r>
    <w:r>
      <w:rPr>
        <w:b/>
        <w:bCs/>
      </w:rPr>
      <w:fldChar w:fldCharType="begin"/>
    </w:r>
    <w:r>
      <w:rPr>
        <w:b/>
        <w:bCs/>
      </w:rPr>
      <w:instrText>PAGE</w:instrText>
    </w:r>
    <w:r>
      <w:rPr>
        <w:b/>
        <w:bCs/>
      </w:rPr>
      <w:fldChar w:fldCharType="separate"/>
    </w:r>
    <w:r w:rsidR="005E308E">
      <w:rPr>
        <w:b/>
        <w:bCs/>
        <w:noProof/>
      </w:rPr>
      <w:t>18</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5E308E">
      <w:rPr>
        <w:b/>
        <w:bCs/>
        <w:noProof/>
      </w:rPr>
      <w:t>18</w:t>
    </w:r>
    <w:r>
      <w:rPr>
        <w:b/>
        <w:bCs/>
      </w:rPr>
      <w:fldChar w:fldCharType="end"/>
    </w:r>
  </w:p>
  <w:p w:rsidR="00B86C8D" w:rsidRDefault="00B86C8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C8D" w:rsidRDefault="00B86C8D">
    <w:pPr>
      <w:pStyle w:val="Piedepgina"/>
      <w:jc w:val="right"/>
    </w:pPr>
    <w:r>
      <w:rPr>
        <w:lang w:val="es-ES"/>
      </w:rPr>
      <w:t xml:space="preserve">Página </w:t>
    </w:r>
    <w:r>
      <w:rPr>
        <w:b/>
        <w:bCs/>
      </w:rPr>
      <w:fldChar w:fldCharType="begin"/>
    </w:r>
    <w:r>
      <w:rPr>
        <w:b/>
        <w:bCs/>
      </w:rPr>
      <w:instrText>PAGE</w:instrText>
    </w:r>
    <w:r>
      <w:rPr>
        <w:b/>
        <w:bCs/>
      </w:rPr>
      <w:fldChar w:fldCharType="separate"/>
    </w:r>
    <w:r w:rsidR="005E308E">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5E308E">
      <w:rPr>
        <w:b/>
        <w:bCs/>
        <w:noProof/>
      </w:rPr>
      <w:t>18</w:t>
    </w:r>
    <w:r>
      <w:rPr>
        <w:b/>
        <w:bCs/>
      </w:rPr>
      <w:fldChar w:fldCharType="end"/>
    </w:r>
  </w:p>
  <w:p w:rsidR="00B86C8D" w:rsidRDefault="00B86C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8E9" w:rsidRDefault="006A68E9" w:rsidP="00667AA0">
      <w:r>
        <w:separator/>
      </w:r>
    </w:p>
  </w:footnote>
  <w:footnote w:type="continuationSeparator" w:id="0">
    <w:p w:rsidR="006A68E9" w:rsidRDefault="006A68E9" w:rsidP="00667AA0">
      <w:r>
        <w:continuationSeparator/>
      </w:r>
    </w:p>
  </w:footnote>
  <w:footnote w:id="1">
    <w:p w:rsidR="00B86C8D" w:rsidRDefault="00B86C8D" w:rsidP="00425E5A">
      <w:pPr>
        <w:pStyle w:val="Textonotapie"/>
      </w:pPr>
      <w:r>
        <w:rPr>
          <w:rStyle w:val="Refdenotaalpie"/>
        </w:rPr>
        <w:footnoteRef/>
      </w:r>
      <w:r>
        <w:t xml:space="preserve"> Artículo 150. Ley de Transparencia y Acceso a la Información Pública del Estado de México y Municipios.</w:t>
      </w:r>
    </w:p>
    <w:p w:rsidR="00B86C8D" w:rsidRDefault="00B86C8D" w:rsidP="00425E5A">
      <w:pPr>
        <w:pStyle w:val="Textonotapie"/>
      </w:pPr>
      <w:r>
        <w:t>Artículo 151. Ibídem.</w:t>
      </w:r>
    </w:p>
  </w:footnote>
  <w:footnote w:id="2">
    <w:p w:rsidR="00B86C8D" w:rsidRDefault="00B86C8D" w:rsidP="00425E5A">
      <w:pPr>
        <w:pStyle w:val="Textonotapie"/>
      </w:pPr>
      <w:r>
        <w:rPr>
          <w:rStyle w:val="Refdenotaalpie"/>
        </w:rPr>
        <w:footnoteRef/>
      </w:r>
      <w:r>
        <w:t xml:space="preserve"> Fracción IV. Artículo 53.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C8D" w:rsidRDefault="006A68E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alt="" style="position:absolute;margin-left:0;margin-top:0;width:589.8pt;height:768pt;z-index:-251659776;mso-wrap-edited:f;mso-width-percent:0;mso-height-percent:0;mso-position-horizontal:center;mso-position-horizontal-relative:margin;mso-position-vertical:center;mso-position-vertical-relative:margin;mso-width-percent:0;mso-height-percent:0"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2268"/>
      <w:gridCol w:w="6946"/>
    </w:tblGrid>
    <w:tr w:rsidR="00B86C8D" w:rsidRPr="005C106F" w:rsidTr="00847410">
      <w:trPr>
        <w:trHeight w:val="1435"/>
      </w:trPr>
      <w:tc>
        <w:tcPr>
          <w:tcW w:w="2268" w:type="dxa"/>
          <w:shd w:val="clear" w:color="auto" w:fill="auto"/>
        </w:tcPr>
        <w:p w:rsidR="00B86C8D" w:rsidRPr="005C106F" w:rsidRDefault="00B86C8D" w:rsidP="00847410">
          <w:pPr>
            <w:tabs>
              <w:tab w:val="right" w:pos="4273"/>
            </w:tabs>
            <w:rPr>
              <w:rFonts w:ascii="Garamond" w:eastAsia="Calibri" w:hAnsi="Garamond"/>
              <w:sz w:val="16"/>
              <w:szCs w:val="16"/>
              <w:lang w:eastAsia="en-US"/>
            </w:rPr>
          </w:pPr>
        </w:p>
      </w:tc>
      <w:tc>
        <w:tcPr>
          <w:tcW w:w="6946" w:type="dxa"/>
          <w:shd w:val="clear" w:color="auto" w:fill="auto"/>
        </w:tcPr>
        <w:p w:rsidR="00B86C8D" w:rsidRDefault="00B86C8D" w:rsidP="00847410"/>
        <w:tbl>
          <w:tblPr>
            <w:tblW w:w="6662" w:type="dxa"/>
            <w:tblInd w:w="40" w:type="dxa"/>
            <w:tblLayout w:type="fixed"/>
            <w:tblLook w:val="0420" w:firstRow="1" w:lastRow="0" w:firstColumn="0" w:lastColumn="0" w:noHBand="0" w:noVBand="1"/>
          </w:tblPr>
          <w:tblGrid>
            <w:gridCol w:w="2551"/>
            <w:gridCol w:w="4111"/>
          </w:tblGrid>
          <w:tr w:rsidR="00B86C8D" w:rsidTr="00847410">
            <w:trPr>
              <w:trHeight w:val="150"/>
            </w:trPr>
            <w:tc>
              <w:tcPr>
                <w:tcW w:w="2551" w:type="dxa"/>
                <w:shd w:val="clear" w:color="auto" w:fill="auto"/>
              </w:tcPr>
              <w:p w:rsidR="00B86C8D" w:rsidRPr="00020E73" w:rsidRDefault="00B86C8D" w:rsidP="00847410">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rsidR="00B86C8D" w:rsidRPr="00020E73" w:rsidRDefault="00B86C8D" w:rsidP="00847410">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07338/INFOEM/IP/RR/</w:t>
                </w:r>
                <w:r w:rsidRPr="00667AA0">
                  <w:rPr>
                    <w:rFonts w:ascii="Palatino Linotype" w:eastAsia="Calibri" w:hAnsi="Palatino Linotype" w:cs="Tahoma"/>
                    <w:bCs/>
                    <w:sz w:val="22"/>
                    <w:szCs w:val="22"/>
                    <w:lang w:eastAsia="en-US"/>
                  </w:rPr>
                  <w:t>2024</w:t>
                </w:r>
                <w:r w:rsidRPr="009E7B0A">
                  <w:rPr>
                    <w:rFonts w:ascii="Palatino Linotype" w:eastAsia="Calibri" w:hAnsi="Palatino Linotype" w:cs="Tahoma"/>
                    <w:b/>
                    <w:bCs/>
                    <w:sz w:val="22"/>
                    <w:szCs w:val="22"/>
                    <w:lang w:eastAsia="en-US"/>
                  </w:rPr>
                  <w:t xml:space="preserve"> </w:t>
                </w:r>
              </w:p>
            </w:tc>
          </w:tr>
          <w:tr w:rsidR="00B86C8D" w:rsidTr="00847410">
            <w:trPr>
              <w:trHeight w:val="295"/>
            </w:trPr>
            <w:tc>
              <w:tcPr>
                <w:tcW w:w="2551" w:type="dxa"/>
                <w:shd w:val="clear" w:color="auto" w:fill="auto"/>
              </w:tcPr>
              <w:p w:rsidR="00B86C8D" w:rsidRPr="00020E73" w:rsidRDefault="00B86C8D" w:rsidP="00847410">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rsidR="00B86C8D" w:rsidRPr="001131A8" w:rsidRDefault="00B86C8D" w:rsidP="00847410">
                <w:pPr>
                  <w:tabs>
                    <w:tab w:val="left" w:pos="2834"/>
                    <w:tab w:val="right" w:pos="8838"/>
                  </w:tabs>
                  <w:ind w:left="-108" w:right="-102"/>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Secretaría de Movilidad</w:t>
                </w:r>
              </w:p>
            </w:tc>
          </w:tr>
          <w:tr w:rsidR="00B86C8D" w:rsidTr="00847410">
            <w:trPr>
              <w:trHeight w:val="295"/>
            </w:trPr>
            <w:tc>
              <w:tcPr>
                <w:tcW w:w="2551" w:type="dxa"/>
                <w:shd w:val="clear" w:color="auto" w:fill="auto"/>
              </w:tcPr>
              <w:p w:rsidR="00B86C8D" w:rsidRPr="00020E73" w:rsidRDefault="00B86C8D" w:rsidP="00847410">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111" w:type="dxa"/>
                <w:shd w:val="clear" w:color="auto" w:fill="auto"/>
              </w:tcPr>
              <w:p w:rsidR="00B86C8D" w:rsidRPr="00020E73" w:rsidRDefault="00B86C8D" w:rsidP="00847410">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rsidR="00B86C8D" w:rsidRPr="00020E73" w:rsidRDefault="00B86C8D" w:rsidP="00847410">
                <w:pPr>
                  <w:tabs>
                    <w:tab w:val="right" w:pos="8838"/>
                  </w:tabs>
                  <w:ind w:left="-108" w:right="171"/>
                  <w:jc w:val="both"/>
                  <w:rPr>
                    <w:rFonts w:ascii="Palatino Linotype" w:eastAsia="Calibri" w:hAnsi="Palatino Linotype" w:cs="Tahoma"/>
                    <w:b/>
                    <w:sz w:val="22"/>
                    <w:szCs w:val="22"/>
                    <w:lang w:val="es-ES" w:eastAsia="en-US"/>
                  </w:rPr>
                </w:pPr>
              </w:p>
            </w:tc>
          </w:tr>
        </w:tbl>
        <w:p w:rsidR="00B86C8D" w:rsidRPr="005C106F" w:rsidRDefault="00B86C8D" w:rsidP="00847410">
          <w:pPr>
            <w:tabs>
              <w:tab w:val="right" w:pos="8838"/>
            </w:tabs>
            <w:ind w:left="-28"/>
            <w:jc w:val="both"/>
            <w:rPr>
              <w:rFonts w:ascii="Arial" w:eastAsia="Calibri" w:hAnsi="Arial" w:cs="Arial"/>
              <w:b/>
              <w:sz w:val="22"/>
              <w:szCs w:val="22"/>
              <w:lang w:eastAsia="en-US"/>
            </w:rPr>
          </w:pPr>
        </w:p>
      </w:tc>
    </w:tr>
  </w:tbl>
  <w:p w:rsidR="00B86C8D" w:rsidRPr="00443C6B" w:rsidRDefault="006A68E9" w:rsidP="00847410">
    <w:pPr>
      <w:pStyle w:val="Encabezado"/>
      <w:rPr>
        <w:sz w:val="14"/>
      </w:rPr>
    </w:pPr>
    <w:r>
      <w:rPr>
        <w:noProof/>
        <w:sz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alt="" style="position:absolute;margin-left:-68.8pt;margin-top:-120.5pt;width:589.8pt;height:768pt;z-index:-251658752;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268"/>
      <w:gridCol w:w="6804"/>
    </w:tblGrid>
    <w:tr w:rsidR="00B86C8D" w:rsidRPr="00330DA7" w:rsidTr="00847410">
      <w:trPr>
        <w:trHeight w:val="1435"/>
      </w:trPr>
      <w:tc>
        <w:tcPr>
          <w:tcW w:w="2268" w:type="dxa"/>
          <w:shd w:val="clear" w:color="auto" w:fill="auto"/>
        </w:tcPr>
        <w:p w:rsidR="00B86C8D" w:rsidRPr="00330DA7" w:rsidRDefault="00B86C8D" w:rsidP="00847410">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B86C8D" w:rsidRPr="00330DA7" w:rsidTr="00847410">
            <w:trPr>
              <w:trHeight w:val="144"/>
            </w:trPr>
            <w:tc>
              <w:tcPr>
                <w:tcW w:w="2444" w:type="dxa"/>
                <w:shd w:val="clear" w:color="auto" w:fill="auto"/>
              </w:tcPr>
              <w:p w:rsidR="00B86C8D" w:rsidRPr="00020E73" w:rsidRDefault="00B86C8D" w:rsidP="00847410">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rsidR="00B86C8D" w:rsidRPr="00020E73" w:rsidRDefault="00B86C8D" w:rsidP="00847410">
                <w:pPr>
                  <w:tabs>
                    <w:tab w:val="right" w:pos="8838"/>
                  </w:tabs>
                  <w:ind w:left="-74" w:right="-105"/>
                  <w:jc w:val="both"/>
                  <w:rPr>
                    <w:rFonts w:ascii="Palatino Linotype" w:eastAsia="Calibri" w:hAnsi="Palatino Linotype" w:cs="Tahoma"/>
                    <w:bCs/>
                    <w:sz w:val="22"/>
                    <w:szCs w:val="22"/>
                    <w:lang w:val="es-ES" w:eastAsia="en-US"/>
                  </w:rPr>
                </w:pPr>
                <w:r>
                  <w:rPr>
                    <w:rFonts w:ascii="Palatino Linotype" w:eastAsia="Calibri" w:hAnsi="Palatino Linotype" w:cs="Tahoma"/>
                    <w:sz w:val="22"/>
                    <w:szCs w:val="22"/>
                    <w:lang w:eastAsia="en-US"/>
                  </w:rPr>
                  <w:t>07338/INFOEM/IP/RR/</w:t>
                </w:r>
                <w:r w:rsidRPr="00667AA0">
                  <w:rPr>
                    <w:rFonts w:ascii="Palatino Linotype" w:eastAsia="Calibri" w:hAnsi="Palatino Linotype" w:cs="Tahoma"/>
                    <w:sz w:val="22"/>
                    <w:szCs w:val="22"/>
                    <w:lang w:eastAsia="en-US"/>
                  </w:rPr>
                  <w:t>2024</w:t>
                </w:r>
              </w:p>
            </w:tc>
          </w:tr>
          <w:tr w:rsidR="00B86C8D" w:rsidRPr="00330DA7" w:rsidTr="00847410">
            <w:trPr>
              <w:trHeight w:val="144"/>
            </w:trPr>
            <w:tc>
              <w:tcPr>
                <w:tcW w:w="2444" w:type="dxa"/>
                <w:shd w:val="clear" w:color="auto" w:fill="auto"/>
              </w:tcPr>
              <w:p w:rsidR="00B86C8D" w:rsidRPr="00020E73" w:rsidRDefault="00B86C8D" w:rsidP="00847410">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rsidR="00B86C8D" w:rsidRPr="00667AA0" w:rsidRDefault="00B86C8D" w:rsidP="00847410">
                <w:pPr>
                  <w:tabs>
                    <w:tab w:val="left" w:pos="3122"/>
                    <w:tab w:val="right" w:pos="8838"/>
                  </w:tabs>
                  <w:ind w:left="-74" w:right="-105"/>
                  <w:jc w:val="both"/>
                  <w:rPr>
                    <w:rFonts w:ascii="Palatino Linotype" w:eastAsia="Calibri" w:hAnsi="Palatino Linotype" w:cs="Tahoma"/>
                    <w:sz w:val="22"/>
                    <w:szCs w:val="22"/>
                    <w:lang w:val="es-ES" w:eastAsia="en-US"/>
                  </w:rPr>
                </w:pPr>
              </w:p>
            </w:tc>
          </w:tr>
          <w:tr w:rsidR="00B86C8D" w:rsidRPr="00330DA7" w:rsidTr="00847410">
            <w:trPr>
              <w:trHeight w:val="283"/>
            </w:trPr>
            <w:tc>
              <w:tcPr>
                <w:tcW w:w="2444" w:type="dxa"/>
                <w:shd w:val="clear" w:color="auto" w:fill="auto"/>
              </w:tcPr>
              <w:p w:rsidR="00B86C8D" w:rsidRPr="00020E73" w:rsidRDefault="00B86C8D" w:rsidP="00847410">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rsidR="00B86C8D" w:rsidRPr="007914B7" w:rsidRDefault="00B86C8D" w:rsidP="00847410">
                <w:pPr>
                  <w:tabs>
                    <w:tab w:val="left" w:pos="2834"/>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Secretaría de Movilidad</w:t>
                </w:r>
              </w:p>
            </w:tc>
          </w:tr>
          <w:tr w:rsidR="00B86C8D" w:rsidRPr="00330DA7" w:rsidTr="00847410">
            <w:trPr>
              <w:trHeight w:val="283"/>
            </w:trPr>
            <w:tc>
              <w:tcPr>
                <w:tcW w:w="2444" w:type="dxa"/>
                <w:shd w:val="clear" w:color="auto" w:fill="auto"/>
              </w:tcPr>
              <w:p w:rsidR="00B86C8D" w:rsidRPr="00020E73" w:rsidRDefault="00B86C8D" w:rsidP="00847410">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Comisionado ponente</w:t>
                </w:r>
                <w:r w:rsidRPr="00020E73">
                  <w:rPr>
                    <w:rFonts w:ascii="Palatino Linotype" w:eastAsia="Calibri" w:hAnsi="Palatino Linotype" w:cs="Tahoma"/>
                    <w:b/>
                    <w:sz w:val="22"/>
                    <w:szCs w:val="22"/>
                    <w:lang w:val="es-ES" w:eastAsia="en-US"/>
                  </w:rPr>
                  <w:t>:</w:t>
                </w:r>
              </w:p>
            </w:tc>
            <w:tc>
              <w:tcPr>
                <w:tcW w:w="4218" w:type="dxa"/>
                <w:shd w:val="clear" w:color="auto" w:fill="auto"/>
              </w:tcPr>
              <w:p w:rsidR="00B86C8D" w:rsidRPr="00020E73" w:rsidRDefault="00B86C8D" w:rsidP="00847410">
                <w:pPr>
                  <w:tabs>
                    <w:tab w:val="right" w:pos="8838"/>
                  </w:tabs>
                  <w:ind w:left="-74" w:right="-105"/>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rsidR="00B86C8D" w:rsidRPr="00020E73" w:rsidRDefault="00B86C8D" w:rsidP="00847410">
                <w:pPr>
                  <w:tabs>
                    <w:tab w:val="right" w:pos="8838"/>
                  </w:tabs>
                  <w:ind w:left="-74" w:right="-105"/>
                  <w:jc w:val="both"/>
                  <w:rPr>
                    <w:rFonts w:ascii="Palatino Linotype" w:eastAsia="Calibri" w:hAnsi="Palatino Linotype" w:cs="Tahoma"/>
                    <w:b/>
                    <w:sz w:val="22"/>
                    <w:szCs w:val="22"/>
                    <w:lang w:val="es-ES" w:eastAsia="en-US"/>
                  </w:rPr>
                </w:pPr>
              </w:p>
            </w:tc>
          </w:tr>
        </w:tbl>
        <w:p w:rsidR="00B86C8D" w:rsidRPr="00330DA7" w:rsidRDefault="00B86C8D" w:rsidP="00847410">
          <w:pPr>
            <w:tabs>
              <w:tab w:val="right" w:pos="8838"/>
            </w:tabs>
            <w:ind w:left="-28"/>
            <w:jc w:val="both"/>
            <w:rPr>
              <w:rFonts w:ascii="Arial" w:eastAsia="Calibri" w:hAnsi="Arial" w:cs="Arial"/>
              <w:b/>
              <w:sz w:val="22"/>
              <w:szCs w:val="22"/>
              <w:lang w:eastAsia="en-US"/>
            </w:rPr>
          </w:pPr>
        </w:p>
      </w:tc>
    </w:tr>
  </w:tbl>
  <w:p w:rsidR="00B86C8D" w:rsidRPr="00827FA0" w:rsidRDefault="006A68E9" w:rsidP="00847410">
    <w:pPr>
      <w:pStyle w:val="Encabezado"/>
      <w:rPr>
        <w:sz w:val="2"/>
        <w:szCs w:val="22"/>
      </w:rPr>
    </w:pPr>
    <w:r>
      <w:rPr>
        <w:noProof/>
        <w:sz w:val="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alt="" style="position:absolute;margin-left:-68.8pt;margin-top:-117.6pt;width:589.8pt;height:768pt;z-index:-251657728;mso-wrap-edited:f;mso-width-percent:0;mso-height-percent:0;mso-position-horizontal-relative:margin;mso-position-vertical-relative:margin;mso-width-percent:0;mso-height-percent:0"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61270"/>
    <w:multiLevelType w:val="hybridMultilevel"/>
    <w:tmpl w:val="F8C4158E"/>
    <w:lvl w:ilvl="0" w:tplc="F0F2F2C8">
      <w:start w:val="1"/>
      <w:numFmt w:val="decimal"/>
      <w:lvlText w:val="%1."/>
      <w:lvlJc w:val="left"/>
      <w:pPr>
        <w:ind w:left="360" w:hanging="360"/>
      </w:pPr>
      <w:rPr>
        <w:rFonts w:eastAsia="Calibri" w:hint="default"/>
        <w:b/>
        <w:i w:val="0"/>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AA84A4B"/>
    <w:multiLevelType w:val="hybridMultilevel"/>
    <w:tmpl w:val="B9B615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3867810"/>
    <w:multiLevelType w:val="hybridMultilevel"/>
    <w:tmpl w:val="947CD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67E5D13"/>
    <w:multiLevelType w:val="hybridMultilevel"/>
    <w:tmpl w:val="D1B258E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28BF5CB9"/>
    <w:multiLevelType w:val="hybridMultilevel"/>
    <w:tmpl w:val="D4345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2786964"/>
    <w:multiLevelType w:val="multilevel"/>
    <w:tmpl w:val="E2AA3336"/>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04E3C78"/>
    <w:multiLevelType w:val="multilevel"/>
    <w:tmpl w:val="2BFCE6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CAC6D99"/>
    <w:multiLevelType w:val="hybridMultilevel"/>
    <w:tmpl w:val="C8E6ACE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65E96A68"/>
    <w:multiLevelType w:val="hybridMultilevel"/>
    <w:tmpl w:val="DBCE156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6CA135C9"/>
    <w:multiLevelType w:val="hybridMultilevel"/>
    <w:tmpl w:val="4D3456F8"/>
    <w:lvl w:ilvl="0" w:tplc="327C2ED0">
      <w:start w:val="12"/>
      <w:numFmt w:val="bullet"/>
      <w:lvlText w:val="-"/>
      <w:lvlJc w:val="left"/>
      <w:pPr>
        <w:ind w:left="1800" w:hanging="360"/>
      </w:pPr>
      <w:rPr>
        <w:rFonts w:ascii="Palatino Linotype" w:eastAsia="Times New Roman" w:hAnsi="Palatino Linotype" w:cs="Aria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1">
    <w:nsid w:val="74E66088"/>
    <w:multiLevelType w:val="hybridMultilevel"/>
    <w:tmpl w:val="316A2C3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74EB3D0B"/>
    <w:multiLevelType w:val="multilevel"/>
    <w:tmpl w:val="395E496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1"/>
  </w:num>
  <w:num w:numId="3">
    <w:abstractNumId w:val="8"/>
  </w:num>
  <w:num w:numId="4">
    <w:abstractNumId w:val="2"/>
  </w:num>
  <w:num w:numId="5">
    <w:abstractNumId w:val="9"/>
  </w:num>
  <w:num w:numId="6">
    <w:abstractNumId w:val="10"/>
  </w:num>
  <w:num w:numId="7">
    <w:abstractNumId w:val="4"/>
  </w:num>
  <w:num w:numId="8">
    <w:abstractNumId w:val="5"/>
  </w:num>
  <w:num w:numId="9">
    <w:abstractNumId w:val="12"/>
  </w:num>
  <w:num w:numId="10">
    <w:abstractNumId w:val="6"/>
  </w:num>
  <w:num w:numId="11">
    <w:abstractNumId w:val="3"/>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AA0"/>
    <w:rsid w:val="00187B88"/>
    <w:rsid w:val="001A5538"/>
    <w:rsid w:val="002824A4"/>
    <w:rsid w:val="003D61CB"/>
    <w:rsid w:val="003E2D3F"/>
    <w:rsid w:val="003F0E07"/>
    <w:rsid w:val="00425E5A"/>
    <w:rsid w:val="005E308E"/>
    <w:rsid w:val="00667AA0"/>
    <w:rsid w:val="00695E07"/>
    <w:rsid w:val="006A68E9"/>
    <w:rsid w:val="006B1819"/>
    <w:rsid w:val="006E5C6E"/>
    <w:rsid w:val="00847410"/>
    <w:rsid w:val="008935FA"/>
    <w:rsid w:val="008E5152"/>
    <w:rsid w:val="00952748"/>
    <w:rsid w:val="00954E3E"/>
    <w:rsid w:val="00A12206"/>
    <w:rsid w:val="00A42BA9"/>
    <w:rsid w:val="00AB38EE"/>
    <w:rsid w:val="00B86C8D"/>
    <w:rsid w:val="00BD43F6"/>
    <w:rsid w:val="00BD5FDA"/>
    <w:rsid w:val="00CF2093"/>
    <w:rsid w:val="00D61BCB"/>
    <w:rsid w:val="00EA5516"/>
    <w:rsid w:val="00ED2EBE"/>
    <w:rsid w:val="00F62C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8CE0CFF-92DF-4CF1-A0EF-DBA4515F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AA0"/>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AA0"/>
    <w:pPr>
      <w:tabs>
        <w:tab w:val="center" w:pos="4419"/>
        <w:tab w:val="right" w:pos="8838"/>
      </w:tabs>
    </w:pPr>
  </w:style>
  <w:style w:type="character" w:customStyle="1" w:styleId="EncabezadoCar">
    <w:name w:val="Encabezado Car"/>
    <w:basedOn w:val="Fuentedeprrafopredeter"/>
    <w:link w:val="Encabezado"/>
    <w:uiPriority w:val="99"/>
    <w:rsid w:val="00667AA0"/>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667AA0"/>
    <w:pPr>
      <w:tabs>
        <w:tab w:val="center" w:pos="4419"/>
        <w:tab w:val="right" w:pos="8838"/>
      </w:tabs>
    </w:pPr>
  </w:style>
  <w:style w:type="character" w:customStyle="1" w:styleId="PiedepginaCar">
    <w:name w:val="Pie de página Car"/>
    <w:basedOn w:val="Fuentedeprrafopredeter"/>
    <w:link w:val="Piedepgina"/>
    <w:uiPriority w:val="99"/>
    <w:rsid w:val="00667AA0"/>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7AA0"/>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667AA0"/>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667AA0"/>
    <w:rPr>
      <w:color w:val="0563C1"/>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67AA0"/>
    <w:rPr>
      <w:rFonts w:ascii="Calibri" w:eastAsia="Calibri" w:hAnsi="Calibr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667AA0"/>
    <w:rPr>
      <w:rFonts w:ascii="Calibri" w:eastAsia="Calibri" w:hAnsi="Calibri" w:cs="Times New Roman"/>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667AA0"/>
    <w:rPr>
      <w:vertAlign w:val="superscript"/>
    </w:rPr>
  </w:style>
  <w:style w:type="paragraph" w:customStyle="1" w:styleId="Default">
    <w:name w:val="Default"/>
    <w:rsid w:val="008E515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206">
      <w:bodyDiv w:val="1"/>
      <w:marLeft w:val="0"/>
      <w:marRight w:val="0"/>
      <w:marTop w:val="0"/>
      <w:marBottom w:val="0"/>
      <w:divBdr>
        <w:top w:val="none" w:sz="0" w:space="0" w:color="auto"/>
        <w:left w:val="none" w:sz="0" w:space="0" w:color="auto"/>
        <w:bottom w:val="none" w:sz="0" w:space="0" w:color="auto"/>
        <w:right w:val="none" w:sz="0" w:space="0" w:color="auto"/>
      </w:divBdr>
    </w:div>
    <w:div w:id="267087318">
      <w:bodyDiv w:val="1"/>
      <w:marLeft w:val="0"/>
      <w:marRight w:val="0"/>
      <w:marTop w:val="0"/>
      <w:marBottom w:val="0"/>
      <w:divBdr>
        <w:top w:val="none" w:sz="0" w:space="0" w:color="auto"/>
        <w:left w:val="none" w:sz="0" w:space="0" w:color="auto"/>
        <w:bottom w:val="none" w:sz="0" w:space="0" w:color="auto"/>
        <w:right w:val="none" w:sz="0" w:space="0" w:color="auto"/>
      </w:divBdr>
    </w:div>
    <w:div w:id="202901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64035.page" TargetMode="Externa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aimex.org.mx/saimex/solicitud/downloadAttach/2261927.page" TargetMode="External"/><Relationship Id="rId12" Type="http://schemas.openxmlformats.org/officeDocument/2006/relationships/hyperlink" Target="https://infoem2.ipomex.org.mx/ipome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em2.ipomex.org.mx/ipome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aimex.org.mx/saimex/solicitud/downloadAttach/2304878.pag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aimex.org.mx/saimex/solicitud/downloadAttach/2304877.page"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3896</Words>
  <Characters>21434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INFOEM416</cp:lastModifiedBy>
  <cp:revision>4</cp:revision>
  <cp:lastPrinted>2025-02-07T16:04:00Z</cp:lastPrinted>
  <dcterms:created xsi:type="dcterms:W3CDTF">2025-01-30T17:40:00Z</dcterms:created>
  <dcterms:modified xsi:type="dcterms:W3CDTF">2025-02-07T16:04:00Z</dcterms:modified>
</cp:coreProperties>
</file>