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B3" w:rsidRPr="00D6619A" w:rsidRDefault="00BF65D5">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Pr="00D6619A">
        <w:rPr>
          <w:rFonts w:ascii="Palatino Linotype" w:eastAsia="Palatino Linotype" w:hAnsi="Palatino Linotype" w:cs="Palatino Linotype"/>
        </w:rPr>
        <w:t xml:space="preserve">doce </w:t>
      </w:r>
      <w:r w:rsidRPr="00D6619A">
        <w:rPr>
          <w:rFonts w:ascii="Palatino Linotype" w:eastAsia="Palatino Linotype" w:hAnsi="Palatino Linotype" w:cs="Palatino Linotype"/>
          <w:color w:val="000000"/>
        </w:rPr>
        <w:t>(</w:t>
      </w:r>
      <w:r w:rsidRPr="00D6619A">
        <w:rPr>
          <w:rFonts w:ascii="Palatino Linotype" w:eastAsia="Palatino Linotype" w:hAnsi="Palatino Linotype" w:cs="Palatino Linotype"/>
        </w:rPr>
        <w:t>12</w:t>
      </w:r>
      <w:r w:rsidRPr="00D6619A">
        <w:rPr>
          <w:rFonts w:ascii="Palatino Linotype" w:eastAsia="Palatino Linotype" w:hAnsi="Palatino Linotype" w:cs="Palatino Linotype"/>
          <w:color w:val="000000"/>
        </w:rPr>
        <w:t>) de febrero de dos mil veinticinco.</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BF65D5">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bookmarkStart w:id="0" w:name="_heading=h.gjdgxs" w:colFirst="0" w:colLast="0"/>
      <w:bookmarkEnd w:id="0"/>
      <w:r w:rsidRPr="00D6619A">
        <w:rPr>
          <w:rFonts w:ascii="Palatino Linotype" w:eastAsia="Palatino Linotype" w:hAnsi="Palatino Linotype" w:cs="Palatino Linotype"/>
          <w:b/>
          <w:color w:val="000000"/>
        </w:rPr>
        <w:t>VISTO</w:t>
      </w:r>
      <w:r w:rsidRPr="00D6619A">
        <w:rPr>
          <w:rFonts w:ascii="Palatino Linotype" w:eastAsia="Palatino Linotype" w:hAnsi="Palatino Linotype" w:cs="Palatino Linotype"/>
          <w:color w:val="000000"/>
        </w:rPr>
        <w:t xml:space="preserve"> el expediente electrónico formado con motivo   del Recursos de Revisión </w:t>
      </w:r>
      <w:r w:rsidRPr="00D6619A">
        <w:rPr>
          <w:rFonts w:ascii="Palatino Linotype" w:eastAsia="Palatino Linotype" w:hAnsi="Palatino Linotype" w:cs="Palatino Linotype"/>
          <w:b/>
          <w:color w:val="000000"/>
        </w:rPr>
        <w:t xml:space="preserve">0008/INFOEM/IP/RR/2025 </w:t>
      </w:r>
      <w:r w:rsidRPr="00D6619A">
        <w:rPr>
          <w:rFonts w:ascii="Palatino Linotype" w:eastAsia="Palatino Linotype" w:hAnsi="Palatino Linotype" w:cs="Palatino Linotype"/>
          <w:color w:val="000000"/>
        </w:rPr>
        <w:t xml:space="preserve">promovido por </w:t>
      </w:r>
      <w:r w:rsidR="00DC188F">
        <w:rPr>
          <w:rFonts w:ascii="Palatino Linotype" w:eastAsia="Palatino Linotype" w:hAnsi="Palatino Linotype" w:cs="Palatino Linotype"/>
          <w:color w:val="000000" w:themeColor="text1"/>
          <w:sz w:val="22"/>
          <w:szCs w:val="22"/>
        </w:rPr>
        <w:t>XXXXXXXXXX</w:t>
      </w:r>
      <w:bookmarkStart w:id="1" w:name="_GoBack"/>
      <w:bookmarkEnd w:id="1"/>
      <w:r w:rsidRPr="00D6619A">
        <w:rPr>
          <w:rFonts w:ascii="Palatino Linotype" w:eastAsia="Palatino Linotype" w:hAnsi="Palatino Linotype" w:cs="Palatino Linotype"/>
          <w:color w:val="000000"/>
        </w:rPr>
        <w:t>, por medio del Sistema de Acceso a la Información Mexiquense (SAIMEX), a quien en lo sucesivo se le identificará como</w:t>
      </w:r>
      <w:r w:rsidRPr="00D6619A">
        <w:rPr>
          <w:rFonts w:ascii="Palatino Linotype" w:eastAsia="Palatino Linotype" w:hAnsi="Palatino Linotype" w:cs="Palatino Linotype"/>
          <w:b/>
          <w:color w:val="000000"/>
        </w:rPr>
        <w:t xml:space="preserve"> RECURRENTE</w:t>
      </w:r>
      <w:r w:rsidRPr="00D6619A">
        <w:rPr>
          <w:rFonts w:ascii="Palatino Linotype" w:eastAsia="Palatino Linotype" w:hAnsi="Palatino Linotype" w:cs="Palatino Linotype"/>
          <w:color w:val="000000"/>
        </w:rPr>
        <w:t xml:space="preserve">, en contra de la respuesta de la </w:t>
      </w:r>
      <w:r w:rsidRPr="00D6619A">
        <w:rPr>
          <w:rFonts w:ascii="Palatino Linotype" w:eastAsia="Palatino Linotype" w:hAnsi="Palatino Linotype" w:cs="Palatino Linotype"/>
          <w:b/>
          <w:color w:val="000000"/>
        </w:rPr>
        <w:t>Secretaría de Educación, Ciencia, Tecnología e Innovación</w:t>
      </w:r>
      <w:r w:rsidRPr="00D6619A">
        <w:rPr>
          <w:rFonts w:ascii="Palatino Linotype" w:eastAsia="Palatino Linotype" w:hAnsi="Palatino Linotype" w:cs="Palatino Linotype"/>
          <w:color w:val="000000"/>
        </w:rPr>
        <w:t xml:space="preserve">, en </w:t>
      </w:r>
      <w:r w:rsidRPr="00D6619A">
        <w:rPr>
          <w:rFonts w:ascii="Palatino Linotype" w:eastAsia="Palatino Linotype" w:hAnsi="Palatino Linotype" w:cs="Palatino Linotype"/>
        </w:rPr>
        <w:t>adelante</w:t>
      </w:r>
      <w:r w:rsidRPr="00D6619A">
        <w:rPr>
          <w:rFonts w:ascii="Palatino Linotype" w:eastAsia="Palatino Linotype" w:hAnsi="Palatino Linotype" w:cs="Palatino Linotype"/>
          <w:color w:val="000000"/>
        </w:rPr>
        <w:t xml:space="preserve"> </w:t>
      </w:r>
      <w:r w:rsidRPr="00D6619A">
        <w:rPr>
          <w:rFonts w:ascii="Palatino Linotype" w:eastAsia="Palatino Linotype" w:hAnsi="Palatino Linotype" w:cs="Palatino Linotype"/>
          <w:b/>
          <w:color w:val="000000"/>
        </w:rPr>
        <w:t>EL SUJETO OBLIGADO</w:t>
      </w:r>
      <w:r w:rsidRPr="00D6619A">
        <w:rPr>
          <w:rFonts w:ascii="Palatino Linotype" w:eastAsia="Palatino Linotype" w:hAnsi="Palatino Linotype" w:cs="Palatino Linotype"/>
          <w:color w:val="000000"/>
        </w:rPr>
        <w:t>, se procede a dictar la presente resolución, con base en los siguientes:</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BF65D5">
      <w:pPr>
        <w:pBdr>
          <w:top w:val="nil"/>
          <w:left w:val="nil"/>
          <w:bottom w:val="nil"/>
          <w:right w:val="nil"/>
          <w:between w:val="nil"/>
        </w:pBdr>
        <w:spacing w:line="360" w:lineRule="auto"/>
        <w:ind w:right="-1417"/>
        <w:jc w:val="center"/>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A N T E C E D E N T E S</w:t>
      </w:r>
    </w:p>
    <w:p w:rsidR="004875B3" w:rsidRPr="00D6619A" w:rsidRDefault="004875B3">
      <w:pPr>
        <w:spacing w:line="360" w:lineRule="auto"/>
        <w:ind w:right="-1417"/>
        <w:rPr>
          <w:rFonts w:ascii="Palatino Linotype" w:eastAsia="Palatino Linotype" w:hAnsi="Palatino Linotype" w:cs="Palatino Linotype"/>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 xml:space="preserve">veintiocho de noviembre de dos mil veinticuatro, </w:t>
      </w:r>
      <w:r w:rsidRPr="00D6619A">
        <w:rPr>
          <w:rFonts w:ascii="Palatino Linotype" w:eastAsia="Palatino Linotype" w:hAnsi="Palatino Linotype" w:cs="Palatino Linotype"/>
          <w:color w:val="000000"/>
        </w:rPr>
        <w:t xml:space="preserve">se presentó ante 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xml:space="preserve"> vía Sistema de Acceso a la  Información, la solicitud de información pública registrada con el número </w:t>
      </w:r>
      <w:r w:rsidRPr="00D6619A">
        <w:rPr>
          <w:rFonts w:ascii="Palatino Linotype" w:eastAsia="Palatino Linotype" w:hAnsi="Palatino Linotype" w:cs="Palatino Linotype"/>
          <w:b/>
          <w:color w:val="000000"/>
        </w:rPr>
        <w:t xml:space="preserve">00819/SECTI/IP/2024, </w:t>
      </w:r>
      <w:r w:rsidRPr="00D6619A">
        <w:rPr>
          <w:rFonts w:ascii="Palatino Linotype" w:eastAsia="Palatino Linotype" w:hAnsi="Palatino Linotype" w:cs="Palatino Linotype"/>
        </w:rPr>
        <w:t xml:space="preserve">en la que </w:t>
      </w:r>
      <w:r w:rsidRPr="00D6619A">
        <w:rPr>
          <w:rFonts w:ascii="Palatino Linotype" w:eastAsia="Palatino Linotype" w:hAnsi="Palatino Linotype" w:cs="Palatino Linotype"/>
          <w:color w:val="000000"/>
        </w:rPr>
        <w:t>se solicitó la siguiente información:</w:t>
      </w:r>
    </w:p>
    <w:p w:rsidR="004875B3" w:rsidRPr="00D6619A" w:rsidRDefault="004875B3">
      <w:pPr>
        <w:ind w:right="-1417"/>
        <w:jc w:val="both"/>
        <w:rPr>
          <w:rFonts w:ascii="Palatino Linotype" w:eastAsia="Palatino Linotype" w:hAnsi="Palatino Linotype" w:cs="Palatino Linotype"/>
          <w:i/>
        </w:rPr>
      </w:pPr>
    </w:p>
    <w:p w:rsidR="004875B3" w:rsidRPr="00D6619A" w:rsidRDefault="00BF65D5">
      <w:pPr>
        <w:pBdr>
          <w:top w:val="nil"/>
          <w:left w:val="nil"/>
          <w:bottom w:val="nil"/>
          <w:right w:val="nil"/>
          <w:between w:val="nil"/>
        </w:pBdr>
        <w:spacing w:line="360" w:lineRule="auto"/>
        <w:ind w:left="1134" w:right="-1417"/>
        <w:jc w:val="both"/>
        <w:rPr>
          <w:rFonts w:ascii="Palatino Linotype" w:eastAsia="Palatino Linotype" w:hAnsi="Palatino Linotype" w:cs="Palatino Linotype"/>
          <w:i/>
          <w:color w:val="000000"/>
        </w:rPr>
      </w:pPr>
      <w:r w:rsidRPr="00D6619A">
        <w:rPr>
          <w:rFonts w:ascii="Palatino Linotype" w:eastAsia="Palatino Linotype" w:hAnsi="Palatino Linotype" w:cs="Palatino Linotype"/>
          <w:i/>
          <w:color w:val="000000"/>
        </w:rPr>
        <w:t>"Por medio de la presente, solicito de manera respetuosa los comprobantes correspondientes, así como el soporte documental de los ingresos recibidos por la Asociación Estatal de Ajedrez A.C., desde el año 2019 hasta la fecha. Esta solicitud tiene como finalidad llevar a cabo una investigación documental..”</w:t>
      </w:r>
    </w:p>
    <w:p w:rsidR="004875B3" w:rsidRPr="00D6619A" w:rsidRDefault="004875B3">
      <w:pPr>
        <w:pBdr>
          <w:top w:val="nil"/>
          <w:left w:val="nil"/>
          <w:bottom w:val="nil"/>
          <w:right w:val="nil"/>
          <w:between w:val="nil"/>
        </w:pBdr>
        <w:spacing w:line="360" w:lineRule="auto"/>
        <w:ind w:left="1134" w:right="-1417"/>
        <w:jc w:val="both"/>
        <w:rPr>
          <w:rFonts w:ascii="Palatino Linotype" w:eastAsia="Palatino Linotype" w:hAnsi="Palatino Linotype" w:cs="Palatino Linotype"/>
          <w:i/>
        </w:rPr>
      </w:pPr>
    </w:p>
    <w:p w:rsidR="004875B3" w:rsidRPr="00D6619A" w:rsidRDefault="00BF65D5">
      <w:pPr>
        <w:numPr>
          <w:ilvl w:val="0"/>
          <w:numId w:val="1"/>
        </w:numPr>
        <w:pBdr>
          <w:top w:val="nil"/>
          <w:left w:val="nil"/>
          <w:bottom w:val="nil"/>
          <w:right w:val="nil"/>
          <w:between w:val="nil"/>
        </w:pBdr>
        <w:spacing w:line="360" w:lineRule="auto"/>
        <w:ind w:left="709" w:right="-1417"/>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b/>
          <w:color w:val="000000"/>
        </w:rPr>
        <w:lastRenderedPageBreak/>
        <w:t>Modalidad de entrega</w:t>
      </w:r>
      <w:r w:rsidRPr="00D6619A">
        <w:rPr>
          <w:rFonts w:ascii="Palatino Linotype" w:eastAsia="Palatino Linotype" w:hAnsi="Palatino Linotype" w:cs="Palatino Linotype"/>
          <w:color w:val="000000"/>
        </w:rPr>
        <w:t>: Sistema de Acceso a la Información</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 xml:space="preserve">veintinueve de noviembre de dos mil veinticuatro, </w:t>
      </w:r>
      <w:r w:rsidRPr="00D6619A">
        <w:rPr>
          <w:rFonts w:ascii="Palatino Linotype" w:eastAsia="Palatino Linotype" w:hAnsi="Palatino Linotype" w:cs="Palatino Linotype"/>
          <w:color w:val="000000"/>
        </w:rPr>
        <w:t xml:space="preserve">el Titular de la Unidad de Transparencia </w:t>
      </w:r>
      <w:r w:rsidRPr="00D6619A">
        <w:rPr>
          <w:rFonts w:ascii="Palatino Linotype" w:eastAsia="Palatino Linotype" w:hAnsi="Palatino Linotype" w:cs="Palatino Linotype"/>
        </w:rPr>
        <w:t>giró</w:t>
      </w:r>
      <w:r w:rsidRPr="00D6619A">
        <w:rPr>
          <w:rFonts w:ascii="Palatino Linotype" w:eastAsia="Palatino Linotype" w:hAnsi="Palatino Linotype" w:cs="Palatino Linotype"/>
          <w:color w:val="000000"/>
        </w:rPr>
        <w:t xml:space="preserve"> el requerimiento de información para que fuera atendida la solicitud de información  </w:t>
      </w:r>
      <w:r w:rsidRPr="00D6619A">
        <w:rPr>
          <w:rFonts w:ascii="Palatino Linotype" w:eastAsia="Palatino Linotype" w:hAnsi="Palatino Linotype" w:cs="Palatino Linotype"/>
          <w:b/>
          <w:color w:val="000000"/>
        </w:rPr>
        <w:t xml:space="preserve">00819/SECTI/IP/2024.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 xml:space="preserve">diecinueve de diciembre de dos mil veinticuatro </w:t>
      </w:r>
      <w:r w:rsidRPr="00D6619A">
        <w:rPr>
          <w:rFonts w:ascii="Palatino Linotype" w:eastAsia="Palatino Linotype" w:hAnsi="Palatino Linotype" w:cs="Palatino Linotype"/>
          <w:color w:val="000000"/>
        </w:rPr>
        <w:t xml:space="preserve">el Titular de la Unidad de Transparencia </w:t>
      </w:r>
      <w:r w:rsidRPr="00D6619A">
        <w:rPr>
          <w:rFonts w:ascii="Palatino Linotype" w:eastAsia="Palatino Linotype" w:hAnsi="Palatino Linotype" w:cs="Palatino Linotype"/>
        </w:rPr>
        <w:t>entregó</w:t>
      </w:r>
      <w:r w:rsidRPr="00D6619A">
        <w:rPr>
          <w:rFonts w:ascii="Palatino Linotype" w:eastAsia="Palatino Linotype" w:hAnsi="Palatino Linotype" w:cs="Palatino Linotype"/>
          <w:color w:val="000000"/>
        </w:rPr>
        <w:t xml:space="preserve"> dos  archivos electrónicos en formato pdf, cuyo contenido grosso modo es el siguiente.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RESPUESTA_UT_00819.pdf: </w:t>
      </w:r>
      <w:r w:rsidRPr="00D6619A">
        <w:rPr>
          <w:rFonts w:ascii="Palatino Linotype" w:eastAsia="Palatino Linotype" w:hAnsi="Palatino Linotype" w:cs="Palatino Linotype"/>
          <w:i/>
          <w:color w:val="000000"/>
          <w:sz w:val="22"/>
          <w:szCs w:val="22"/>
        </w:rPr>
        <w:t xml:space="preserve">oficio de la Titular de la Unidad de Transparencia,  mediante el cual refiere que anexa la respuesta del servidor público habilitado.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b/>
          <w:i/>
          <w:color w:val="000000"/>
          <w:sz w:val="22"/>
          <w:szCs w:val="22"/>
        </w:rPr>
        <w:t xml:space="preserve">RESPUESTA_SPH_00819.pdf: </w:t>
      </w:r>
      <w:r w:rsidRPr="00D6619A">
        <w:rPr>
          <w:rFonts w:ascii="Palatino Linotype" w:eastAsia="Palatino Linotype" w:hAnsi="Palatino Linotype" w:cs="Palatino Linotype"/>
          <w:i/>
          <w:color w:val="000000"/>
          <w:sz w:val="22"/>
          <w:szCs w:val="22"/>
        </w:rPr>
        <w:t xml:space="preserve">oficio del Director General de Cultura Física y Deporte, mediante el cual informa que lo solicitado es información confidencial, toda vez que corresponde exclusivamente a la Asociación referida en la solicitud de información. </w:t>
      </w:r>
    </w:p>
    <w:p w:rsidR="004875B3" w:rsidRPr="00D6619A" w:rsidRDefault="004875B3">
      <w:pPr>
        <w:ind w:right="-1417"/>
        <w:jc w:val="both"/>
        <w:rPr>
          <w:rFonts w:ascii="Palatino Linotype" w:eastAsia="Palatino Linotype" w:hAnsi="Palatino Linotype" w:cs="Palatino Linotype"/>
          <w:i/>
        </w:rPr>
      </w:pPr>
    </w:p>
    <w:p w:rsidR="004875B3" w:rsidRPr="00D6619A" w:rsidRDefault="004875B3">
      <w:pPr>
        <w:pBdr>
          <w:top w:val="nil"/>
          <w:left w:val="nil"/>
          <w:bottom w:val="nil"/>
          <w:right w:val="nil"/>
          <w:between w:val="nil"/>
        </w:pBdr>
        <w:ind w:left="1134"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trece de enero de dos mil veinticinco</w:t>
      </w:r>
      <w:r w:rsidRPr="00D6619A">
        <w:rPr>
          <w:rFonts w:ascii="Palatino Linotype" w:eastAsia="Palatino Linotype" w:hAnsi="Palatino Linotype" w:cs="Palatino Linotype"/>
          <w:color w:val="000000"/>
        </w:rPr>
        <w:t xml:space="preserve">, el solicitante interpuso recurso de revisión en contra de la respuestas emitida por 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señalando las siguientes razones o motivos de inconformidad:</w:t>
      </w:r>
    </w:p>
    <w:p w:rsidR="004875B3" w:rsidRPr="00D6619A" w:rsidRDefault="00BF65D5">
      <w:pPr>
        <w:numPr>
          <w:ilvl w:val="0"/>
          <w:numId w:val="2"/>
        </w:numPr>
        <w:pBdr>
          <w:top w:val="nil"/>
          <w:left w:val="nil"/>
          <w:bottom w:val="nil"/>
          <w:right w:val="nil"/>
          <w:between w:val="nil"/>
        </w:pBdr>
        <w:ind w:right="-850"/>
        <w:jc w:val="both"/>
        <w:rPr>
          <w:rFonts w:ascii="Palatino Linotype" w:eastAsia="Palatino Linotype" w:hAnsi="Palatino Linotype" w:cs="Palatino Linotype"/>
          <w:color w:val="000000"/>
          <w:sz w:val="22"/>
          <w:szCs w:val="22"/>
        </w:rPr>
      </w:pPr>
      <w:bookmarkStart w:id="2" w:name="_heading=h.1fob9te" w:colFirst="0" w:colLast="0"/>
      <w:bookmarkEnd w:id="2"/>
      <w:r w:rsidRPr="00D6619A">
        <w:rPr>
          <w:rFonts w:ascii="Palatino Linotype" w:eastAsia="Palatino Linotype" w:hAnsi="Palatino Linotype" w:cs="Palatino Linotype"/>
          <w:b/>
          <w:color w:val="000000"/>
          <w:sz w:val="22"/>
          <w:szCs w:val="22"/>
        </w:rPr>
        <w:t xml:space="preserve">Acto impugnado: </w:t>
      </w:r>
      <w:r w:rsidRPr="00D6619A">
        <w:rPr>
          <w:rFonts w:ascii="Palatino Linotype" w:eastAsia="Palatino Linotype" w:hAnsi="Palatino Linotype" w:cs="Palatino Linotype"/>
          <w:i/>
          <w:color w:val="000000"/>
          <w:sz w:val="22"/>
          <w:szCs w:val="22"/>
        </w:rPr>
        <w:t>“Quiero información de todos los recursos públicos que recibió la Asociación Estatal de Ajedrez del Estado de México, y los conceptos por los cuales fueron asignados”</w:t>
      </w:r>
    </w:p>
    <w:p w:rsidR="004875B3" w:rsidRPr="00D6619A" w:rsidRDefault="00BF65D5">
      <w:pPr>
        <w:numPr>
          <w:ilvl w:val="0"/>
          <w:numId w:val="2"/>
        </w:numPr>
        <w:pBdr>
          <w:top w:val="nil"/>
          <w:left w:val="nil"/>
          <w:bottom w:val="nil"/>
          <w:right w:val="nil"/>
          <w:between w:val="nil"/>
        </w:pBdr>
        <w:ind w:right="-850"/>
        <w:jc w:val="both"/>
        <w:rPr>
          <w:rFonts w:ascii="Palatino Linotype" w:eastAsia="Palatino Linotype" w:hAnsi="Palatino Linotype" w:cs="Palatino Linotype"/>
          <w:color w:val="000000"/>
          <w:sz w:val="22"/>
          <w:szCs w:val="22"/>
        </w:rPr>
      </w:pPr>
      <w:bookmarkStart w:id="3" w:name="_heading=h.3znysh7" w:colFirst="0" w:colLast="0"/>
      <w:bookmarkEnd w:id="3"/>
      <w:r w:rsidRPr="00D6619A">
        <w:rPr>
          <w:rFonts w:ascii="Palatino Linotype" w:eastAsia="Palatino Linotype" w:hAnsi="Palatino Linotype" w:cs="Palatino Linotype"/>
          <w:b/>
          <w:color w:val="000000"/>
          <w:sz w:val="22"/>
          <w:szCs w:val="22"/>
        </w:rPr>
        <w:t xml:space="preserve">Razones o Motivos de inconformidad: </w:t>
      </w:r>
      <w:r w:rsidRPr="00D6619A">
        <w:rPr>
          <w:rFonts w:ascii="Palatino Linotype" w:eastAsia="Palatino Linotype" w:hAnsi="Palatino Linotype" w:cs="Palatino Linotype"/>
          <w:i/>
          <w:color w:val="000000"/>
          <w:sz w:val="22"/>
          <w:szCs w:val="22"/>
        </w:rPr>
        <w:t>“no me brindaron la información necesaria, la Asociación Estatal de Ajedrez del Estado de México recibió recursos públicos del gobierno del estado de México en la pasada Administración estatal..”</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4875B3">
      <w:pPr>
        <w:ind w:right="-1417"/>
        <w:jc w:val="both"/>
        <w:rPr>
          <w:rFonts w:ascii="Palatino Linotype" w:eastAsia="Palatino Linotype" w:hAnsi="Palatino Linotype" w:cs="Palatino Linotype"/>
          <w:b/>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Consecutivamente</w:t>
      </w:r>
      <w:r w:rsidRPr="00D6619A">
        <w:rPr>
          <w:rFonts w:ascii="Palatino Linotype" w:eastAsia="Palatino Linotype" w:hAnsi="Palatino Linotype" w:cs="Palatino Linotype"/>
          <w:i/>
          <w:color w:val="000000"/>
        </w:rPr>
        <w:t xml:space="preserve">, </w:t>
      </w:r>
      <w:r w:rsidRPr="00D6619A">
        <w:rPr>
          <w:rFonts w:ascii="Palatino Linotype" w:eastAsia="Palatino Linotype" w:hAnsi="Palatino Linotype" w:cs="Palatino Linotype"/>
          <w:color w:val="000000"/>
        </w:rPr>
        <w:t xml:space="preserve">con fundamento en lo dispuesto por el artículo 185 fracción I de la Ley de Transparencia y Acceso a la Información Pública del Estado de México y </w:t>
      </w:r>
      <w:r w:rsidRPr="00D6619A">
        <w:rPr>
          <w:rFonts w:ascii="Palatino Linotype" w:eastAsia="Palatino Linotype" w:hAnsi="Palatino Linotype" w:cs="Palatino Linotype"/>
          <w:color w:val="000000"/>
        </w:rPr>
        <w:lastRenderedPageBreak/>
        <w:t xml:space="preserve">Municipios, el recurso fue turnado a la ponencia de la </w:t>
      </w:r>
      <w:r w:rsidRPr="00D6619A">
        <w:rPr>
          <w:rFonts w:ascii="Palatino Linotype" w:eastAsia="Palatino Linotype" w:hAnsi="Palatino Linotype" w:cs="Palatino Linotype"/>
          <w:b/>
          <w:color w:val="000000"/>
        </w:rPr>
        <w:t>Comisionada</w:t>
      </w:r>
      <w:r w:rsidRPr="00D6619A">
        <w:rPr>
          <w:rFonts w:ascii="Palatino Linotype" w:eastAsia="Palatino Linotype" w:hAnsi="Palatino Linotype" w:cs="Palatino Linotype"/>
          <w:color w:val="000000"/>
        </w:rPr>
        <w:t xml:space="preserve"> </w:t>
      </w:r>
      <w:r w:rsidRPr="00D6619A">
        <w:rPr>
          <w:rFonts w:ascii="Palatino Linotype" w:eastAsia="Palatino Linotype" w:hAnsi="Palatino Linotype" w:cs="Palatino Linotype"/>
          <w:b/>
          <w:color w:val="000000"/>
        </w:rPr>
        <w:t>María del Rosario Mejía Ayala</w:t>
      </w:r>
      <w:r w:rsidRPr="00D6619A">
        <w:rPr>
          <w:rFonts w:ascii="Palatino Linotype" w:eastAsia="Palatino Linotype" w:hAnsi="Palatino Linotype" w:cs="Palatino Linotype"/>
          <w:color w:val="000000"/>
        </w:rPr>
        <w:t>,</w:t>
      </w:r>
      <w:r w:rsidRPr="00D6619A">
        <w:rPr>
          <w:rFonts w:ascii="Palatino Linotype" w:eastAsia="Palatino Linotype" w:hAnsi="Palatino Linotype" w:cs="Palatino Linotype"/>
          <w:b/>
          <w:color w:val="000000"/>
        </w:rPr>
        <w:t xml:space="preserve"> </w:t>
      </w:r>
      <w:r w:rsidRPr="00D6619A">
        <w:rPr>
          <w:rFonts w:ascii="Palatino Linotype" w:eastAsia="Palatino Linotype" w:hAnsi="Palatino Linotype" w:cs="Palatino Linotype"/>
        </w:rPr>
        <w:t xml:space="preserve">para </w:t>
      </w:r>
      <w:r w:rsidRPr="00D6619A">
        <w:rPr>
          <w:rFonts w:ascii="Palatino Linotype" w:eastAsia="Palatino Linotype" w:hAnsi="Palatino Linotype" w:cs="Palatino Linotype"/>
          <w:color w:val="000000"/>
        </w:rPr>
        <w:t>su análisis.</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D6619A">
        <w:rPr>
          <w:rFonts w:ascii="Palatino Linotype" w:eastAsia="Palatino Linotype" w:hAnsi="Palatino Linotype" w:cs="Palatino Linotype"/>
          <w:b/>
          <w:color w:val="000000"/>
        </w:rPr>
        <w:t xml:space="preserve">acuerdo de admisión </w:t>
      </w:r>
      <w:r w:rsidRPr="00D6619A">
        <w:rPr>
          <w:rFonts w:ascii="Palatino Linotype" w:eastAsia="Palatino Linotype" w:hAnsi="Palatino Linotype" w:cs="Palatino Linotype"/>
          <w:color w:val="000000"/>
        </w:rPr>
        <w:t xml:space="preserve">del </w:t>
      </w:r>
      <w:r w:rsidRPr="00D6619A">
        <w:rPr>
          <w:rFonts w:ascii="Palatino Linotype" w:eastAsia="Palatino Linotype" w:hAnsi="Palatino Linotype" w:cs="Palatino Linotype"/>
          <w:b/>
          <w:color w:val="000000"/>
        </w:rPr>
        <w:t xml:space="preserve">diecisiete de enero de dos mil veinticinco, </w:t>
      </w:r>
      <w:r w:rsidRPr="00D6619A">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D6619A">
        <w:rPr>
          <w:rFonts w:ascii="Palatino Linotype" w:eastAsia="Palatino Linotype" w:hAnsi="Palatino Linotype" w:cs="Palatino Linotype"/>
        </w:rPr>
        <w:t>manifestara</w:t>
      </w:r>
      <w:r w:rsidRPr="00D6619A">
        <w:rPr>
          <w:rFonts w:ascii="Palatino Linotype" w:eastAsia="Palatino Linotype" w:hAnsi="Palatino Linotype" w:cs="Palatino Linotype"/>
          <w:color w:val="000000"/>
        </w:rPr>
        <w:t xml:space="preserve"> lo que a su derecho conviniera, </w:t>
      </w:r>
      <w:r w:rsidRPr="00D6619A">
        <w:rPr>
          <w:rFonts w:ascii="Palatino Linotype" w:eastAsia="Palatino Linotype" w:hAnsi="Palatino Linotype" w:cs="Palatino Linotype"/>
        </w:rPr>
        <w:t>ofreciera</w:t>
      </w:r>
      <w:r w:rsidRPr="00D6619A">
        <w:rPr>
          <w:rFonts w:ascii="Palatino Linotype" w:eastAsia="Palatino Linotype" w:hAnsi="Palatino Linotype" w:cs="Palatino Linotype"/>
          <w:color w:val="000000"/>
        </w:rPr>
        <w:t xml:space="preserve"> pruebas y alegatos según corresponda al caso concreto, de esta forma para que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rPr>
        <w:t>presentará</w:t>
      </w:r>
      <w:r w:rsidRPr="00D6619A">
        <w:rPr>
          <w:rFonts w:ascii="Palatino Linotype" w:eastAsia="Palatino Linotype" w:hAnsi="Palatino Linotype" w:cs="Palatino Linotype"/>
          <w:color w:val="000000"/>
        </w:rPr>
        <w:t xml:space="preserve"> el Informe Justificado procedente.</w:t>
      </w:r>
    </w:p>
    <w:p w:rsidR="004875B3" w:rsidRPr="00D6619A" w:rsidRDefault="004875B3">
      <w:pPr>
        <w:pBdr>
          <w:top w:val="nil"/>
          <w:left w:val="nil"/>
          <w:bottom w:val="nil"/>
          <w:right w:val="nil"/>
          <w:between w:val="nil"/>
        </w:pBdr>
        <w:ind w:left="708" w:right="-1417"/>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En esa línea, tal y como se observa en el expediente electrónico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 xml:space="preserve">veintiocho de enero de dos mil veinticinco </w:t>
      </w:r>
      <w:r w:rsidRPr="00D6619A">
        <w:rPr>
          <w:rFonts w:ascii="Palatino Linotype" w:eastAsia="Palatino Linotype" w:hAnsi="Palatino Linotype" w:cs="Palatino Linotype"/>
        </w:rPr>
        <w:t>agregó</w:t>
      </w:r>
      <w:r w:rsidRPr="00D6619A">
        <w:rPr>
          <w:rFonts w:ascii="Palatino Linotype" w:eastAsia="Palatino Linotype" w:hAnsi="Palatino Linotype" w:cs="Palatino Linotype"/>
          <w:color w:val="000000"/>
        </w:rPr>
        <w:t xml:space="preserve"> un archivo electrónico en formato pdf, cuyo contenido grosso modo es el siguiente. </w:t>
      </w:r>
    </w:p>
    <w:p w:rsidR="004875B3" w:rsidRPr="00D6619A" w:rsidRDefault="00BF65D5">
      <w:pPr>
        <w:pBdr>
          <w:top w:val="nil"/>
          <w:left w:val="nil"/>
          <w:bottom w:val="nil"/>
          <w:right w:val="nil"/>
          <w:between w:val="nil"/>
        </w:pBdr>
        <w:ind w:left="1134" w:right="-1417"/>
        <w:jc w:val="both"/>
        <w:rPr>
          <w:rFonts w:ascii="Palatino Linotype" w:eastAsia="Palatino Linotype" w:hAnsi="Palatino Linotype" w:cs="Palatino Linotype"/>
          <w:i/>
          <w:color w:val="000000"/>
        </w:rPr>
      </w:pPr>
      <w:r w:rsidRPr="00D6619A">
        <w:rPr>
          <w:rFonts w:ascii="Palatino Linotype" w:eastAsia="Palatino Linotype" w:hAnsi="Palatino Linotype" w:cs="Palatino Linotype"/>
          <w:b/>
          <w:i/>
          <w:color w:val="000000"/>
        </w:rPr>
        <w:t>INFORME_JUSTIFICADO_00819.pdf:</w:t>
      </w:r>
      <w:r w:rsidRPr="00D6619A">
        <w:rPr>
          <w:rFonts w:ascii="Palatino Linotype" w:eastAsia="Palatino Linotype" w:hAnsi="Palatino Linotype" w:cs="Palatino Linotype"/>
          <w:i/>
          <w:color w:val="000000"/>
        </w:rPr>
        <w:t xml:space="preserve"> informe justificado mediante el cual la Titular de la Unidad de Transparencia ratifica la respuesta, además de señalar que el solicitante realiza plus Petitio. </w:t>
      </w:r>
    </w:p>
    <w:p w:rsidR="004875B3" w:rsidRPr="00D6619A" w:rsidRDefault="004875B3">
      <w:pPr>
        <w:pBdr>
          <w:top w:val="nil"/>
          <w:left w:val="nil"/>
          <w:bottom w:val="nil"/>
          <w:right w:val="nil"/>
          <w:between w:val="nil"/>
        </w:pBdr>
        <w:ind w:right="-1417"/>
        <w:jc w:val="both"/>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b/>
          <w:color w:val="000000"/>
        </w:rPr>
      </w:pPr>
      <w:r w:rsidRPr="00D6619A">
        <w:rPr>
          <w:rFonts w:ascii="Palatino Linotype" w:eastAsia="Palatino Linotype" w:hAnsi="Palatino Linotype" w:cs="Palatino Linotype"/>
          <w:color w:val="000000"/>
        </w:rPr>
        <w:t xml:space="preserve">Por su parte el </w:t>
      </w:r>
      <w:r w:rsidRPr="00D6619A">
        <w:rPr>
          <w:rFonts w:ascii="Palatino Linotype" w:eastAsia="Palatino Linotype" w:hAnsi="Palatino Linotype" w:cs="Palatino Linotype"/>
          <w:b/>
          <w:color w:val="000000"/>
        </w:rPr>
        <w:t xml:space="preserve">RECURRENTE </w:t>
      </w:r>
      <w:r w:rsidRPr="00D6619A">
        <w:rPr>
          <w:rFonts w:ascii="Palatino Linotype" w:eastAsia="Palatino Linotype" w:hAnsi="Palatino Linotype" w:cs="Palatino Linotype"/>
        </w:rPr>
        <w:t>dejó</w:t>
      </w:r>
      <w:r w:rsidRPr="00D6619A">
        <w:rPr>
          <w:rFonts w:ascii="Palatino Linotype" w:eastAsia="Palatino Linotype" w:hAnsi="Palatino Linotype" w:cs="Palatino Linotype"/>
          <w:color w:val="000000"/>
        </w:rPr>
        <w:t xml:space="preserve"> de realizar manifestaciones que a su derecho conviniera. </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b/>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b/>
          <w:color w:val="000000"/>
        </w:rPr>
      </w:pPr>
      <w:bookmarkStart w:id="4" w:name="_heading=h.2et92p0" w:colFirst="0" w:colLast="0"/>
      <w:bookmarkEnd w:id="4"/>
      <w:r w:rsidRPr="00D6619A">
        <w:rPr>
          <w:rFonts w:ascii="Palatino Linotype" w:eastAsia="Palatino Linotype" w:hAnsi="Palatino Linotype" w:cs="Palatino Linotype"/>
          <w:color w:val="000000"/>
        </w:rPr>
        <w:t>Finalmente, la Comisionada Ponente mediante acuerdo de fecha</w:t>
      </w:r>
      <w:r w:rsidRPr="00D6619A">
        <w:rPr>
          <w:rFonts w:ascii="Palatino Linotype" w:eastAsia="Palatino Linotype" w:hAnsi="Palatino Linotype" w:cs="Palatino Linotype"/>
          <w:b/>
          <w:color w:val="000000"/>
        </w:rPr>
        <w:t xml:space="preserve">  cinco de febrero de dos mil veinticuatro</w:t>
      </w:r>
      <w:r w:rsidRPr="00D6619A">
        <w:rPr>
          <w:rFonts w:ascii="Palatino Linotype" w:eastAsia="Palatino Linotype" w:hAnsi="Palatino Linotype" w:cs="Palatino Linotype"/>
          <w:color w:val="000000"/>
        </w:rPr>
        <w:t>, decretó el cierre de instrucción de los expedientes, por lo que no habiendo más que hacer constar, y --------------------------------------------------------------------------</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rPr>
      </w:pPr>
      <w:bookmarkStart w:id="5" w:name="_heading=h.162m1m3fkzl6" w:colFirst="0" w:colLast="0"/>
      <w:bookmarkEnd w:id="5"/>
    </w:p>
    <w:p w:rsidR="004875B3" w:rsidRPr="00D6619A" w:rsidRDefault="004875B3">
      <w:pPr>
        <w:spacing w:line="360" w:lineRule="auto"/>
        <w:ind w:right="-1417"/>
        <w:rPr>
          <w:rFonts w:ascii="Palatino Linotype" w:eastAsia="Palatino Linotype" w:hAnsi="Palatino Linotype" w:cs="Palatino Linotype"/>
          <w:b/>
          <w:color w:val="000000"/>
        </w:rPr>
      </w:pPr>
    </w:p>
    <w:p w:rsidR="004875B3" w:rsidRPr="00D6619A" w:rsidRDefault="00BF65D5">
      <w:pPr>
        <w:pBdr>
          <w:top w:val="nil"/>
          <w:left w:val="nil"/>
          <w:bottom w:val="nil"/>
          <w:right w:val="nil"/>
          <w:between w:val="nil"/>
        </w:pBdr>
        <w:spacing w:line="360" w:lineRule="auto"/>
        <w:ind w:right="-1417"/>
        <w:jc w:val="center"/>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lastRenderedPageBreak/>
        <w:t>C O N S I D E R A N D O</w:t>
      </w:r>
    </w:p>
    <w:p w:rsidR="004875B3" w:rsidRPr="00D6619A" w:rsidRDefault="00BF65D5">
      <w:pPr>
        <w:pBdr>
          <w:top w:val="nil"/>
          <w:left w:val="nil"/>
          <w:bottom w:val="nil"/>
          <w:right w:val="nil"/>
          <w:between w:val="nil"/>
        </w:pBdr>
        <w:spacing w:line="360" w:lineRule="auto"/>
        <w:ind w:right="-1417"/>
        <w:jc w:val="center"/>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 xml:space="preserve"> </w:t>
      </w:r>
    </w:p>
    <w:p w:rsidR="004875B3" w:rsidRPr="00D6619A" w:rsidRDefault="00BF65D5">
      <w:pPr>
        <w:keepNext/>
        <w:keepLines/>
        <w:pBdr>
          <w:top w:val="nil"/>
          <w:left w:val="nil"/>
          <w:bottom w:val="nil"/>
          <w:right w:val="nil"/>
          <w:between w:val="nil"/>
        </w:pBdr>
        <w:spacing w:line="360" w:lineRule="auto"/>
        <w:ind w:right="-1417"/>
        <w:rPr>
          <w:rFonts w:ascii="Palatino Linotype" w:eastAsia="Palatino Linotype" w:hAnsi="Palatino Linotype" w:cs="Palatino Linotype"/>
          <w:b/>
          <w:color w:val="000000"/>
        </w:rPr>
      </w:pPr>
      <w:bookmarkStart w:id="6" w:name="_heading=h.tyjcwt" w:colFirst="0" w:colLast="0"/>
      <w:bookmarkEnd w:id="6"/>
      <w:r w:rsidRPr="00D6619A">
        <w:rPr>
          <w:rFonts w:ascii="Palatino Linotype" w:eastAsia="Palatino Linotype" w:hAnsi="Palatino Linotype" w:cs="Palatino Linotype"/>
          <w:b/>
          <w:color w:val="000000"/>
        </w:rPr>
        <w:t>PRIMERO. De la competencia</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875B3" w:rsidRPr="00D6619A" w:rsidRDefault="004875B3">
      <w:pPr>
        <w:pBdr>
          <w:top w:val="nil"/>
          <w:left w:val="nil"/>
          <w:bottom w:val="nil"/>
          <w:right w:val="nil"/>
          <w:between w:val="nil"/>
        </w:pBdr>
        <w:tabs>
          <w:tab w:val="left" w:pos="426"/>
        </w:tabs>
        <w:spacing w:line="360" w:lineRule="auto"/>
        <w:ind w:right="-1417"/>
        <w:jc w:val="both"/>
        <w:rPr>
          <w:rFonts w:ascii="Palatino Linotype" w:eastAsia="Palatino Linotype" w:hAnsi="Palatino Linotype" w:cs="Palatino Linotype"/>
          <w:b/>
          <w:color w:val="000000"/>
        </w:rPr>
      </w:pPr>
      <w:bookmarkStart w:id="7" w:name="_heading=h.3dy6vkm" w:colFirst="0" w:colLast="0"/>
      <w:bookmarkEnd w:id="7"/>
    </w:p>
    <w:p w:rsidR="004875B3" w:rsidRPr="00D6619A" w:rsidRDefault="00BF65D5">
      <w:pPr>
        <w:pBdr>
          <w:top w:val="nil"/>
          <w:left w:val="nil"/>
          <w:bottom w:val="nil"/>
          <w:right w:val="nil"/>
          <w:between w:val="nil"/>
        </w:pBdr>
        <w:tabs>
          <w:tab w:val="left" w:pos="426"/>
        </w:tabs>
        <w:spacing w:line="360" w:lineRule="auto"/>
        <w:ind w:right="-1417"/>
        <w:jc w:val="both"/>
        <w:rPr>
          <w:rFonts w:ascii="Palatino Linotype" w:eastAsia="Palatino Linotype" w:hAnsi="Palatino Linotype" w:cs="Palatino Linotype"/>
          <w:b/>
          <w:color w:val="000000"/>
        </w:rPr>
      </w:pPr>
      <w:bookmarkStart w:id="8" w:name="_heading=h.1t3h5sf" w:colFirst="0" w:colLast="0"/>
      <w:bookmarkEnd w:id="8"/>
      <w:r w:rsidRPr="00D6619A">
        <w:rPr>
          <w:rFonts w:ascii="Palatino Linotype" w:eastAsia="Palatino Linotype" w:hAnsi="Palatino Linotype" w:cs="Palatino Linotype"/>
          <w:b/>
          <w:color w:val="000000"/>
        </w:rPr>
        <w:t>SEGUNDO. De la oportunidad y procedencia.</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bookmarkStart w:id="9" w:name="_heading=h.4d34og8" w:colFirst="0" w:colLast="0"/>
      <w:bookmarkEnd w:id="9"/>
      <w:r w:rsidRPr="00D6619A">
        <w:rPr>
          <w:rFonts w:ascii="Palatino Linotype" w:eastAsia="Palatino Linotype" w:hAnsi="Palatino Linotype" w:cs="Palatino Linotype"/>
          <w:color w:val="000000"/>
        </w:rPr>
        <w:t xml:space="preserve">Los medios de impugnación fueron presentados a través del </w:t>
      </w:r>
      <w:r w:rsidRPr="00D6619A">
        <w:rPr>
          <w:rFonts w:ascii="Palatino Linotype" w:eastAsia="Palatino Linotype" w:hAnsi="Palatino Linotype" w:cs="Palatino Linotype"/>
          <w:b/>
          <w:color w:val="000000"/>
        </w:rPr>
        <w:t>SAIMEX,</w:t>
      </w:r>
      <w:r w:rsidRPr="00D6619A">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xml:space="preserve"> entregó su respuesta el </w:t>
      </w:r>
      <w:r w:rsidRPr="00D6619A">
        <w:rPr>
          <w:rFonts w:ascii="Palatino Linotype" w:eastAsia="Palatino Linotype" w:hAnsi="Palatino Linotype" w:cs="Palatino Linotype"/>
          <w:b/>
          <w:color w:val="000000"/>
        </w:rPr>
        <w:t>diecinueve de diciembre de dos mil veinticuatro</w:t>
      </w:r>
      <w:r w:rsidRPr="00D6619A">
        <w:rPr>
          <w:rFonts w:ascii="Palatino Linotype" w:eastAsia="Palatino Linotype" w:hAnsi="Palatino Linotype" w:cs="Palatino Linotype"/>
          <w:color w:val="000000"/>
        </w:rPr>
        <w:t xml:space="preserve">, de tal forma que el plazo para interponer el recurso de revisión transcurrió del día </w:t>
      </w:r>
      <w:r w:rsidRPr="00D6619A">
        <w:rPr>
          <w:rFonts w:ascii="Palatino Linotype" w:eastAsia="Palatino Linotype" w:hAnsi="Palatino Linotype" w:cs="Palatino Linotype"/>
          <w:b/>
          <w:color w:val="000000"/>
        </w:rPr>
        <w:t>veinte de diciembre de dos mil veinticuatro al treinta de enero de dos mil veinticinco</w:t>
      </w:r>
      <w:r w:rsidRPr="00D6619A">
        <w:rPr>
          <w:rFonts w:ascii="Palatino Linotype" w:eastAsia="Palatino Linotype" w:hAnsi="Palatino Linotype" w:cs="Palatino Linotype"/>
          <w:color w:val="000000"/>
        </w:rPr>
        <w:t xml:space="preserve">; en consecuencia, el ahora </w:t>
      </w:r>
      <w:r w:rsidRPr="00D6619A">
        <w:rPr>
          <w:rFonts w:ascii="Palatino Linotype" w:eastAsia="Palatino Linotype" w:hAnsi="Palatino Linotype" w:cs="Palatino Linotype"/>
          <w:b/>
          <w:color w:val="000000"/>
        </w:rPr>
        <w:t>RECURRENTE</w:t>
      </w:r>
      <w:r w:rsidRPr="00D6619A">
        <w:rPr>
          <w:rFonts w:ascii="Palatino Linotype" w:eastAsia="Palatino Linotype" w:hAnsi="Palatino Linotype" w:cs="Palatino Linotype"/>
          <w:color w:val="000000"/>
        </w:rPr>
        <w:t xml:space="preserve"> presentó sus inconformidades el día </w:t>
      </w:r>
      <w:r w:rsidRPr="00D6619A">
        <w:rPr>
          <w:rFonts w:ascii="Palatino Linotype" w:eastAsia="Palatino Linotype" w:hAnsi="Palatino Linotype" w:cs="Palatino Linotype"/>
          <w:b/>
          <w:color w:val="000000"/>
        </w:rPr>
        <w:t>trece de enero de dos mil veinticinco</w:t>
      </w:r>
      <w:r w:rsidRPr="00D6619A">
        <w:rPr>
          <w:rFonts w:ascii="Palatino Linotype" w:eastAsia="Palatino Linotype" w:hAnsi="Palatino Linotype" w:cs="Palatino Linotype"/>
          <w:color w:val="000000"/>
        </w:rPr>
        <w:t>; es decir dentro del lapso legalmente establecido para tal efecto.</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lastRenderedPageBreak/>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w:t>
      </w:r>
      <w:r w:rsidRPr="00D6619A">
        <w:rPr>
          <w:rFonts w:ascii="Palatino Linotype" w:eastAsia="Palatino Linotype" w:hAnsi="Palatino Linotype" w:cs="Palatino Linotype"/>
          <w:b/>
          <w:i/>
          <w:color w:val="000000"/>
          <w:sz w:val="22"/>
          <w:szCs w:val="22"/>
        </w:rPr>
        <w:t>Las solicitudes anónimas</w:t>
      </w:r>
      <w:r w:rsidRPr="00D6619A">
        <w:rPr>
          <w:rFonts w:ascii="Palatino Linotype" w:eastAsia="Palatino Linotype" w:hAnsi="Palatino Linotype" w:cs="Palatino Linotype"/>
          <w:i/>
          <w:color w:val="000000"/>
          <w:sz w:val="22"/>
          <w:szCs w:val="22"/>
        </w:rPr>
        <w:t xml:space="preserve">, con nombre incompleto o seudónimo </w:t>
      </w:r>
      <w:r w:rsidRPr="00D6619A">
        <w:rPr>
          <w:rFonts w:ascii="Palatino Linotype" w:eastAsia="Palatino Linotype" w:hAnsi="Palatino Linotype" w:cs="Palatino Linotype"/>
          <w:b/>
          <w:i/>
          <w:color w:val="000000"/>
          <w:sz w:val="22"/>
          <w:szCs w:val="22"/>
        </w:rPr>
        <w:t>serán procedentes para su trámite por parte del sujeto obligado ante quien se presente</w:t>
      </w:r>
      <w:r w:rsidRPr="00D6619A">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4875B3" w:rsidRPr="00D6619A" w:rsidRDefault="004875B3">
      <w:pPr>
        <w:pBdr>
          <w:top w:val="nil"/>
          <w:left w:val="nil"/>
          <w:bottom w:val="nil"/>
          <w:right w:val="nil"/>
          <w:between w:val="nil"/>
        </w:pBdr>
        <w:ind w:right="-1417"/>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w:t>
      </w:r>
      <w:r w:rsidRPr="00D6619A">
        <w:rPr>
          <w:rFonts w:ascii="Palatino Linotype" w:eastAsia="Palatino Linotype" w:hAnsi="Palatino Linotype" w:cs="Palatino Linotype"/>
          <w:b/>
          <w:i/>
          <w:color w:val="000000"/>
          <w:sz w:val="22"/>
          <w:szCs w:val="22"/>
        </w:rPr>
        <w:t>Artículo 6.-</w:t>
      </w:r>
      <w:r w:rsidRPr="00D6619A">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875B3" w:rsidRPr="00D6619A" w:rsidRDefault="00BF65D5">
      <w:pPr>
        <w:pBdr>
          <w:top w:val="nil"/>
          <w:left w:val="nil"/>
          <w:bottom w:val="nil"/>
          <w:right w:val="nil"/>
          <w:between w:val="nil"/>
        </w:pBdr>
        <w:spacing w:after="120"/>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Para efectos de lo dispuesto en el presente artículo se observará lo siguiente: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4875B3" w:rsidRPr="00D6619A" w:rsidRDefault="004875B3">
      <w:pPr>
        <w:pBdr>
          <w:top w:val="nil"/>
          <w:left w:val="nil"/>
          <w:bottom w:val="nil"/>
          <w:right w:val="nil"/>
          <w:between w:val="nil"/>
        </w:pBdr>
        <w:ind w:left="360" w:right="-1417" w:hanging="76"/>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w:t>
      </w:r>
      <w:r w:rsidRPr="00D6619A">
        <w:rPr>
          <w:rFonts w:ascii="Palatino Linotype" w:eastAsia="Palatino Linotype" w:hAnsi="Palatino Linotype" w:cs="Palatino Linotype"/>
          <w:b/>
          <w:i/>
          <w:color w:val="000000"/>
          <w:sz w:val="22"/>
          <w:szCs w:val="22"/>
        </w:rPr>
        <w:t>Artículo 5.-</w:t>
      </w:r>
      <w:r w:rsidRPr="00D6619A">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w:t>
      </w:r>
      <w:r w:rsidRPr="00D6619A">
        <w:rPr>
          <w:rFonts w:ascii="Palatino Linotype" w:eastAsia="Palatino Linotype" w:hAnsi="Palatino Linotype" w:cs="Palatino Linotype"/>
          <w:i/>
          <w:color w:val="000000"/>
          <w:sz w:val="22"/>
          <w:szCs w:val="22"/>
        </w:rPr>
        <w:lastRenderedPageBreak/>
        <w:t>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4875B3" w:rsidRPr="00D6619A" w:rsidRDefault="004875B3">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4875B3" w:rsidRPr="00D6619A" w:rsidRDefault="004875B3">
      <w:pPr>
        <w:pBdr>
          <w:top w:val="nil"/>
          <w:left w:val="nil"/>
          <w:bottom w:val="nil"/>
          <w:right w:val="nil"/>
          <w:between w:val="nil"/>
        </w:pBdr>
        <w:ind w:left="360" w:right="-850" w:hanging="76"/>
        <w:rPr>
          <w:rFonts w:ascii="Palatino Linotype" w:eastAsia="Palatino Linotype" w:hAnsi="Palatino Linotype" w:cs="Palatino Linotype"/>
          <w:i/>
          <w:color w:val="000000"/>
          <w:sz w:val="22"/>
          <w:szCs w:val="22"/>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w:t>
      </w:r>
      <w:r w:rsidRPr="00D6619A">
        <w:rPr>
          <w:rFonts w:ascii="Palatino Linotype" w:eastAsia="Palatino Linotype" w:hAnsi="Palatino Linotype" w:cs="Palatino Linotype"/>
          <w:b/>
          <w:i/>
          <w:color w:val="000000"/>
          <w:sz w:val="22"/>
          <w:szCs w:val="22"/>
        </w:rPr>
        <w:t>Artículo 1</w:t>
      </w:r>
      <w:r w:rsidRPr="00D6619A">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4875B3" w:rsidRPr="00D6619A" w:rsidRDefault="004875B3">
      <w:pPr>
        <w:pBdr>
          <w:top w:val="nil"/>
          <w:left w:val="nil"/>
          <w:bottom w:val="nil"/>
          <w:right w:val="nil"/>
          <w:between w:val="nil"/>
        </w:pBdr>
        <w:ind w:left="360" w:right="-1417" w:firstLine="66"/>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sidRPr="00D6619A">
        <w:rPr>
          <w:rFonts w:ascii="Palatino Linotype" w:eastAsia="Palatino Linotype" w:hAnsi="Palatino Linotype" w:cs="Palatino Linotype"/>
          <w:i/>
          <w:color w:val="000000"/>
        </w:rPr>
        <w:t>derecho fundamental exime a quien lo ejerce</w:t>
      </w:r>
      <w:r w:rsidRPr="00D6619A">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w:t>
      </w:r>
      <w:r w:rsidRPr="00D6619A">
        <w:rPr>
          <w:rFonts w:ascii="Palatino Linotype" w:eastAsia="Palatino Linotype" w:hAnsi="Palatino Linotype" w:cs="Palatino Linotype"/>
          <w:i/>
          <w:color w:val="000000"/>
          <w:sz w:val="22"/>
          <w:szCs w:val="22"/>
        </w:rPr>
        <w:lastRenderedPageBreak/>
        <w:t>caso, se haya cubierto el pago de reproducción y envío de la información, mediante la exhibición del recibo correspondiente.”(Sic)</w:t>
      </w:r>
    </w:p>
    <w:p w:rsidR="004875B3" w:rsidRPr="00D6619A" w:rsidRDefault="004875B3">
      <w:pPr>
        <w:pBdr>
          <w:top w:val="nil"/>
          <w:left w:val="nil"/>
          <w:bottom w:val="nil"/>
          <w:right w:val="nil"/>
          <w:between w:val="nil"/>
        </w:pBdr>
        <w:ind w:left="360" w:right="-1417" w:hanging="76"/>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keepNext/>
        <w:keepLines/>
        <w:pBdr>
          <w:top w:val="nil"/>
          <w:left w:val="nil"/>
          <w:bottom w:val="nil"/>
          <w:right w:val="nil"/>
          <w:between w:val="nil"/>
        </w:pBdr>
        <w:spacing w:line="360" w:lineRule="auto"/>
        <w:ind w:right="-1417"/>
        <w:rPr>
          <w:rFonts w:ascii="Palatino Linotype" w:eastAsia="Palatino Linotype" w:hAnsi="Palatino Linotype" w:cs="Palatino Linotype"/>
          <w:b/>
          <w:color w:val="000000"/>
        </w:rPr>
      </w:pPr>
      <w:bookmarkStart w:id="10" w:name="_heading=h.2s8eyo1" w:colFirst="0" w:colLast="0"/>
      <w:bookmarkEnd w:id="10"/>
      <w:r w:rsidRPr="00D6619A">
        <w:rPr>
          <w:rFonts w:ascii="Palatino Linotype" w:eastAsia="Palatino Linotype" w:hAnsi="Palatino Linotype" w:cs="Palatino Linotype"/>
          <w:b/>
          <w:color w:val="000000"/>
        </w:rPr>
        <w:t xml:space="preserve">TERCERO. Del planteamiento de la </w:t>
      </w:r>
      <w:r w:rsidRPr="00D6619A">
        <w:rPr>
          <w:rFonts w:ascii="Palatino Linotype" w:eastAsia="Palatino Linotype" w:hAnsi="Palatino Linotype" w:cs="Palatino Linotype"/>
          <w:b/>
          <w:i/>
          <w:color w:val="000000"/>
        </w:rPr>
        <w:t>Litis</w:t>
      </w:r>
      <w:r w:rsidRPr="00D6619A">
        <w:rPr>
          <w:rFonts w:ascii="Palatino Linotype" w:eastAsia="Palatino Linotype" w:hAnsi="Palatino Linotype" w:cs="Palatino Linotype"/>
          <w:b/>
          <w:color w:val="000000"/>
        </w:rPr>
        <w:t>.</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b/>
          <w:color w:val="000000"/>
        </w:rPr>
      </w:pPr>
      <w:r w:rsidRPr="00D6619A">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4875B3" w:rsidRPr="00D6619A" w:rsidRDefault="00BF65D5">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comprobantes correspondientes, así como el soporte documental de los ingresos recibidos por la Asociación Estatal de Ajedrez A.C., desde el año 2019 hasta el veintiocho de noviembre de dos mil veinticuatro. </w:t>
      </w:r>
    </w:p>
    <w:p w:rsidR="004875B3" w:rsidRPr="00D6619A" w:rsidRDefault="004875B3">
      <w:pPr>
        <w:pBdr>
          <w:top w:val="nil"/>
          <w:left w:val="nil"/>
          <w:bottom w:val="nil"/>
          <w:right w:val="nil"/>
          <w:between w:val="nil"/>
        </w:pBdr>
        <w:spacing w:line="360" w:lineRule="auto"/>
        <w:ind w:left="1440" w:right="-1417"/>
        <w:jc w:val="both"/>
        <w:rPr>
          <w:rFonts w:ascii="Palatino Linotype" w:eastAsia="Palatino Linotype" w:hAnsi="Palatino Linotype" w:cs="Palatino Linotype"/>
          <w:b/>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En respuesta,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por medio del Director General de Cultura Física y Deporte, </w:t>
      </w:r>
      <w:r w:rsidRPr="00D6619A">
        <w:rPr>
          <w:rFonts w:ascii="Palatino Linotype" w:eastAsia="Palatino Linotype" w:hAnsi="Palatino Linotype" w:cs="Palatino Linotype"/>
        </w:rPr>
        <w:t>informó</w:t>
      </w:r>
      <w:r w:rsidRPr="00D6619A">
        <w:rPr>
          <w:rFonts w:ascii="Palatino Linotype" w:eastAsia="Palatino Linotype" w:hAnsi="Palatino Linotype" w:cs="Palatino Linotype"/>
          <w:color w:val="000000"/>
        </w:rPr>
        <w:t xml:space="preserve"> que la información solicitada era confidencial, toda vez que solo le correspondía a la Asociación referida en la solicitud de información tener esa información. </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En dichas condiciones, la </w:t>
      </w:r>
      <w:r w:rsidRPr="00D6619A">
        <w:rPr>
          <w:rFonts w:ascii="Palatino Linotype" w:eastAsia="Palatino Linotype" w:hAnsi="Palatino Linotype" w:cs="Palatino Linotype"/>
          <w:i/>
          <w:color w:val="000000"/>
        </w:rPr>
        <w:t>Litis</w:t>
      </w:r>
      <w:r w:rsidRPr="00D6619A">
        <w:rPr>
          <w:rFonts w:ascii="Palatino Linotype" w:eastAsia="Palatino Linotype" w:hAnsi="Palatino Linotype" w:cs="Palatino Linotype"/>
          <w:color w:val="000000"/>
        </w:rPr>
        <w:t xml:space="preserve"> a resolver en estos recursos se circunscribe a determinar si se actualizan las causales de procedencia previstas en el artículo 179, </w:t>
      </w:r>
      <w:r w:rsidRPr="00D6619A">
        <w:rPr>
          <w:rFonts w:ascii="Palatino Linotype" w:eastAsia="Palatino Linotype" w:hAnsi="Palatino Linotype" w:cs="Palatino Linotype"/>
          <w:b/>
          <w:color w:val="000000"/>
        </w:rPr>
        <w:t xml:space="preserve">fracción I </w:t>
      </w:r>
      <w:r w:rsidRPr="00D6619A">
        <w:rPr>
          <w:rFonts w:ascii="Palatino Linotype" w:eastAsia="Palatino Linotype" w:hAnsi="Palatino Linotype" w:cs="Palatino Linotype"/>
          <w:color w:val="000000"/>
        </w:rPr>
        <w:t>de la Ley</w:t>
      </w:r>
      <w:r w:rsidRPr="00D6619A">
        <w:rPr>
          <w:rFonts w:ascii="Palatino Linotype" w:eastAsia="Palatino Linotype" w:hAnsi="Palatino Linotype" w:cs="Palatino Linotype"/>
          <w:b/>
          <w:color w:val="000000"/>
        </w:rPr>
        <w:t xml:space="preserve"> de Transparencia y Acceso a la Información Pública del Estado de </w:t>
      </w:r>
      <w:r w:rsidRPr="00D6619A">
        <w:rPr>
          <w:rFonts w:ascii="Palatino Linotype" w:eastAsia="Palatino Linotype" w:hAnsi="Palatino Linotype" w:cs="Palatino Linotype"/>
          <w:color w:val="000000"/>
        </w:rPr>
        <w:t>México</w:t>
      </w:r>
      <w:r w:rsidRPr="00D6619A">
        <w:rPr>
          <w:rFonts w:ascii="Palatino Linotype" w:eastAsia="Palatino Linotype" w:hAnsi="Palatino Linotype" w:cs="Palatino Linotype"/>
          <w:b/>
          <w:color w:val="000000"/>
        </w:rPr>
        <w:t xml:space="preserve"> y Municipios</w:t>
      </w:r>
      <w:r w:rsidRPr="00D6619A">
        <w:rPr>
          <w:rFonts w:ascii="Palatino Linotype" w:eastAsia="Palatino Linotype" w:hAnsi="Palatino Linotype" w:cs="Palatino Linotype"/>
          <w:color w:val="000000"/>
        </w:rPr>
        <w:t xml:space="preserve">; fracción que determina la hipótesis jurídica relativa a la negativa de información por parte del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xml:space="preserve">; contexto del cual se dolió </w:t>
      </w:r>
      <w:r w:rsidRPr="00D6619A">
        <w:rPr>
          <w:rFonts w:ascii="Palatino Linotype" w:eastAsia="Palatino Linotype" w:hAnsi="Palatino Linotype" w:cs="Palatino Linotype"/>
          <w:b/>
          <w:color w:val="000000"/>
        </w:rPr>
        <w:t xml:space="preserve">EL RECURRENTE </w:t>
      </w:r>
      <w:r w:rsidRPr="00D6619A">
        <w:rPr>
          <w:rFonts w:ascii="Palatino Linotype" w:eastAsia="Palatino Linotype" w:hAnsi="Palatino Linotype" w:cs="Palatino Linotype"/>
          <w:color w:val="000000"/>
        </w:rPr>
        <w:t>al momento de interponer su inconformidad.</w:t>
      </w:r>
    </w:p>
    <w:p w:rsidR="004875B3" w:rsidRPr="00D6619A" w:rsidRDefault="004875B3">
      <w:pPr>
        <w:pBdr>
          <w:top w:val="nil"/>
          <w:left w:val="nil"/>
          <w:bottom w:val="nil"/>
          <w:right w:val="nil"/>
          <w:between w:val="nil"/>
        </w:pBd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modo tal que los presentes recursos de revisión se </w:t>
      </w:r>
      <w:r w:rsidRPr="00D6619A">
        <w:rPr>
          <w:rFonts w:ascii="Palatino Linotype" w:eastAsia="Palatino Linotype" w:hAnsi="Palatino Linotype" w:cs="Palatino Linotype"/>
        </w:rPr>
        <w:t>abocaron</w:t>
      </w:r>
      <w:r w:rsidRPr="00D6619A">
        <w:rPr>
          <w:rFonts w:ascii="Palatino Linotype" w:eastAsia="Palatino Linotype" w:hAnsi="Palatino Linotype" w:cs="Palatino Linotype"/>
          <w:color w:val="000000"/>
        </w:rPr>
        <w:t xml:space="preserve"> en determinar si 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xml:space="preserve"> con su respuesta ciertamente actualiza la causal de procedencia</w:t>
      </w:r>
      <w:r w:rsidRPr="00D6619A">
        <w:rPr>
          <w:rFonts w:ascii="Palatino Linotype" w:eastAsia="Palatino Linotype" w:hAnsi="Palatino Linotype" w:cs="Palatino Linotype"/>
          <w:b/>
          <w:color w:val="000000"/>
        </w:rPr>
        <w:t xml:space="preserve"> </w:t>
      </w:r>
      <w:r w:rsidRPr="00D6619A">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4875B3" w:rsidRPr="00D6619A" w:rsidRDefault="004875B3">
      <w:pPr>
        <w:pBdr>
          <w:top w:val="nil"/>
          <w:left w:val="nil"/>
          <w:bottom w:val="nil"/>
          <w:right w:val="nil"/>
          <w:between w:val="nil"/>
        </w:pBdr>
        <w:spacing w:line="360" w:lineRule="auto"/>
        <w:ind w:left="709" w:right="-1417"/>
        <w:rPr>
          <w:rFonts w:ascii="Palatino Linotype" w:eastAsia="Palatino Linotype" w:hAnsi="Palatino Linotype" w:cs="Palatino Linotype"/>
          <w:color w:val="000000"/>
        </w:rPr>
      </w:pPr>
    </w:p>
    <w:p w:rsidR="004875B3" w:rsidRPr="00D6619A" w:rsidRDefault="00BF65D5">
      <w:pPr>
        <w:keepNext/>
        <w:keepLines/>
        <w:spacing w:line="360" w:lineRule="auto"/>
        <w:ind w:right="-1417"/>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CUARTO. Del estudio y resolución del estudio.</w:t>
      </w:r>
    </w:p>
    <w:p w:rsidR="004875B3" w:rsidRPr="00D6619A" w:rsidRDefault="00BF65D5">
      <w:pPr>
        <w:keepNext/>
        <w:keepLines/>
        <w:numPr>
          <w:ilvl w:val="0"/>
          <w:numId w:val="7"/>
        </w:numPr>
        <w:spacing w:after="240" w:line="360" w:lineRule="auto"/>
        <w:ind w:left="786" w:right="-1417"/>
        <w:rPr>
          <w:rFonts w:ascii="Palatino Linotype" w:eastAsia="Palatino Linotype" w:hAnsi="Palatino Linotype" w:cs="Palatino Linotype"/>
          <w:b/>
          <w:color w:val="000000"/>
        </w:rPr>
      </w:pPr>
      <w:bookmarkStart w:id="11" w:name="_heading=h.17dp8vu" w:colFirst="0" w:colLast="0"/>
      <w:bookmarkEnd w:id="11"/>
      <w:r w:rsidRPr="00D6619A">
        <w:rPr>
          <w:rFonts w:ascii="Palatino Linotype" w:eastAsia="Palatino Linotype" w:hAnsi="Palatino Linotype" w:cs="Palatino Linotype"/>
          <w:b/>
          <w:color w:val="000000"/>
        </w:rPr>
        <w:t>Del derecho de acceso a la información.</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4875B3" w:rsidRPr="00D6619A" w:rsidRDefault="00BF65D5">
      <w:pPr>
        <w:numPr>
          <w:ilvl w:val="0"/>
          <w:numId w:val="6"/>
        </w:numPr>
        <w:spacing w:before="240" w:line="360" w:lineRule="auto"/>
        <w:ind w:left="0" w:right="-1417" w:firstLine="0"/>
        <w:jc w:val="both"/>
      </w:pPr>
      <w:r w:rsidRPr="00D6619A">
        <w:rPr>
          <w:rFonts w:ascii="Palatino Linotype" w:eastAsia="Palatino Linotype" w:hAnsi="Palatino Linotype" w:cs="Palatino Linotype"/>
        </w:rPr>
        <w:t xml:space="preserve">Definiendo el Derecho de Acceso a la Información Pública como: </w:t>
      </w:r>
      <w:r w:rsidRPr="00D6619A">
        <w:rPr>
          <w:rFonts w:ascii="Palatino Linotype" w:eastAsia="Palatino Linotype" w:hAnsi="Palatino Linotype" w:cs="Palatino Linotype"/>
          <w:i/>
          <w:color w:val="000000"/>
        </w:rPr>
        <w:t>La igualdad de oportunidades para recibir, buscar e impartir información</w:t>
      </w:r>
      <w:r w:rsidRPr="00D6619A">
        <w:rPr>
          <w:rFonts w:ascii="Palatino Linotype" w:eastAsia="Palatino Linotype" w:hAnsi="Palatino Linotype" w:cs="Palatino Linotype"/>
          <w:i/>
          <w:vertAlign w:val="superscript"/>
        </w:rPr>
        <w:footnoteReference w:id="1"/>
      </w:r>
      <w:r w:rsidRPr="00D6619A">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D6619A">
        <w:rPr>
          <w:rFonts w:ascii="Palatino Linotype" w:eastAsia="Palatino Linotype" w:hAnsi="Palatino Linotype" w:cs="Palatino Linotype"/>
          <w:i/>
          <w:color w:val="000000"/>
        </w:rPr>
        <w:lastRenderedPageBreak/>
        <w:t>y municipal,</w:t>
      </w:r>
      <w:r w:rsidRPr="00D6619A">
        <w:rPr>
          <w:rFonts w:ascii="Palatino Linotype" w:eastAsia="Palatino Linotype" w:hAnsi="Palatino Linotype" w:cs="Palatino Linotype"/>
          <w:i/>
          <w:vertAlign w:val="superscript"/>
        </w:rPr>
        <w:footnoteReference w:id="2"/>
      </w:r>
      <w:r w:rsidRPr="00D6619A">
        <w:rPr>
          <w:rFonts w:ascii="Palatino Linotype" w:eastAsia="Palatino Linotype" w:hAnsi="Palatino Linotype" w:cs="Palatino Linotype"/>
          <w:color w:val="000000"/>
        </w:rPr>
        <w:t>que se constituye como una herramienta fundamental para ejercer</w:t>
      </w:r>
      <w:r w:rsidRPr="00D6619A">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6619A">
        <w:rPr>
          <w:rFonts w:ascii="Palatino Linotype" w:eastAsia="Palatino Linotype" w:hAnsi="Palatino Linotype" w:cs="Palatino Linotype"/>
          <w:i/>
          <w:vertAlign w:val="superscript"/>
        </w:rPr>
        <w:footnoteReference w:id="3"/>
      </w:r>
      <w:r w:rsidRPr="00D6619A">
        <w:rPr>
          <w:rFonts w:ascii="Palatino Linotype" w:eastAsia="Palatino Linotype" w:hAnsi="Palatino Linotype" w:cs="Palatino Linotype"/>
          <w:color w:val="000000"/>
        </w:rPr>
        <w:t>fomentando</w:t>
      </w:r>
      <w:r w:rsidRPr="00D6619A">
        <w:rPr>
          <w:rFonts w:ascii="Palatino Linotype" w:eastAsia="Palatino Linotype" w:hAnsi="Palatino Linotype" w:cs="Palatino Linotype"/>
          <w:i/>
          <w:color w:val="000000"/>
        </w:rPr>
        <w:t xml:space="preserve"> la transparencia de las actividades estatales y </w:t>
      </w:r>
      <w:r w:rsidRPr="00D6619A">
        <w:rPr>
          <w:rFonts w:ascii="Palatino Linotype" w:eastAsia="Palatino Linotype" w:hAnsi="Palatino Linotype" w:cs="Palatino Linotype"/>
          <w:color w:val="000000"/>
        </w:rPr>
        <w:t>promoviendo</w:t>
      </w:r>
      <w:r w:rsidRPr="00D6619A">
        <w:rPr>
          <w:rFonts w:ascii="Palatino Linotype" w:eastAsia="Palatino Linotype" w:hAnsi="Palatino Linotype" w:cs="Palatino Linotype"/>
          <w:i/>
          <w:color w:val="000000"/>
        </w:rPr>
        <w:t xml:space="preserve"> la responsabilidad de los funcionarios sobre su gestión pública,</w:t>
      </w:r>
      <w:r w:rsidRPr="00D6619A">
        <w:rPr>
          <w:rFonts w:ascii="Palatino Linotype" w:eastAsia="Palatino Linotype" w:hAnsi="Palatino Linotype" w:cs="Palatino Linotype"/>
          <w:i/>
          <w:vertAlign w:val="superscript"/>
        </w:rPr>
        <w:footnoteReference w:id="4"/>
      </w:r>
      <w:r w:rsidRPr="00D6619A">
        <w:rPr>
          <w:rFonts w:ascii="Palatino Linotype" w:eastAsia="Palatino Linotype" w:hAnsi="Palatino Linotype" w:cs="Palatino Linotype"/>
          <w:color w:val="000000"/>
        </w:rPr>
        <w:t>que permite</w:t>
      </w:r>
      <w:r w:rsidRPr="00D6619A">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r w:rsidRPr="00D6619A">
        <w:rPr>
          <w:rFonts w:ascii="Palatino Linotype" w:eastAsia="Palatino Linotype" w:hAnsi="Palatino Linotype" w:cs="Palatino Linotype"/>
          <w:b/>
          <w:i/>
          <w:sz w:val="22"/>
          <w:szCs w:val="22"/>
        </w:rPr>
        <w:t>Artículo 1.-</w:t>
      </w:r>
      <w:r w:rsidRPr="00D6619A">
        <w:rPr>
          <w:rFonts w:ascii="Palatino Linotype" w:eastAsia="Palatino Linotype" w:hAnsi="Palatino Linotype" w:cs="Palatino Linotype"/>
          <w:i/>
          <w:sz w:val="22"/>
          <w:szCs w:val="22"/>
        </w:rPr>
        <w:t xml:space="preserve"> </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Todas las</w:t>
      </w:r>
      <w:r w:rsidRPr="00D6619A">
        <w:rPr>
          <w:rFonts w:ascii="Palatino Linotype" w:eastAsia="Palatino Linotype" w:hAnsi="Palatino Linotype" w:cs="Palatino Linotype"/>
          <w:sz w:val="22"/>
          <w:szCs w:val="22"/>
        </w:rPr>
        <w:t xml:space="preserve"> </w:t>
      </w:r>
      <w:r w:rsidRPr="00D6619A">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875B3" w:rsidRPr="00D6619A" w:rsidRDefault="00BF65D5">
      <w:pPr>
        <w:ind w:left="1134" w:right="-850"/>
        <w:jc w:val="both"/>
        <w:rPr>
          <w:rFonts w:ascii="Palatino Linotype" w:eastAsia="Palatino Linotype" w:hAnsi="Palatino Linotype" w:cs="Palatino Linotype"/>
          <w:sz w:val="22"/>
          <w:szCs w:val="22"/>
        </w:rPr>
      </w:pPr>
      <w:r w:rsidRPr="00D6619A">
        <w:rPr>
          <w:rFonts w:ascii="Palatino Linotype" w:eastAsia="Palatino Linotype" w:hAnsi="Palatino Linotype" w:cs="Palatino Linotype"/>
          <w:i/>
          <w:sz w:val="22"/>
          <w:szCs w:val="22"/>
        </w:rPr>
        <w:t>(…)</w:t>
      </w:r>
      <w:r w:rsidRPr="00D6619A">
        <w:rPr>
          <w:rFonts w:ascii="Palatino Linotype" w:eastAsia="Palatino Linotype" w:hAnsi="Palatino Linotype" w:cs="Palatino Linotype"/>
          <w:sz w:val="22"/>
          <w:szCs w:val="22"/>
        </w:rPr>
        <w:t>”.</w:t>
      </w:r>
    </w:p>
    <w:p w:rsidR="004875B3" w:rsidRPr="00D6619A" w:rsidRDefault="004875B3">
      <w:pPr>
        <w:ind w:right="-1417"/>
        <w:jc w:val="both"/>
        <w:rPr>
          <w:rFonts w:ascii="Palatino Linotype" w:eastAsia="Palatino Linotype" w:hAnsi="Palatino Linotype" w:cs="Palatino Linotype"/>
          <w:b/>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4875B3" w:rsidRPr="00D6619A" w:rsidRDefault="00BF65D5">
      <w:pPr>
        <w:spacing w:after="240"/>
        <w:ind w:left="1134"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Constitución Política de los Estados Unidos Mexicanos</w:t>
      </w:r>
    </w:p>
    <w:p w:rsidR="004875B3" w:rsidRPr="00D6619A" w:rsidRDefault="00BF65D5">
      <w:pPr>
        <w:spacing w:before="240" w:after="240"/>
        <w:ind w:left="1134"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“Artículo 6.</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Para efectos de lo dispuesto en el presente artículo se observará lo siguiente:</w:t>
      </w:r>
    </w:p>
    <w:p w:rsidR="004875B3" w:rsidRPr="00D6619A" w:rsidRDefault="00BF65D5">
      <w:pPr>
        <w:spacing w:before="240" w:after="240"/>
        <w:ind w:left="1134"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A</w:t>
      </w:r>
      <w:r w:rsidRPr="00D6619A">
        <w:rPr>
          <w:rFonts w:ascii="Palatino Linotype" w:eastAsia="Palatino Linotype" w:hAnsi="Palatino Linotype" w:cs="Palatino Linotype"/>
          <w:i/>
          <w:sz w:val="22"/>
          <w:szCs w:val="22"/>
        </w:rPr>
        <w:t xml:space="preserve">. </w:t>
      </w:r>
      <w:r w:rsidRPr="00D6619A">
        <w:rPr>
          <w:rFonts w:ascii="Palatino Linotype" w:eastAsia="Palatino Linotype" w:hAnsi="Palatino Linotype" w:cs="Palatino Linotype"/>
          <w:b/>
          <w:i/>
          <w:sz w:val="22"/>
          <w:szCs w:val="22"/>
        </w:rPr>
        <w:t>Para el ejercicio del derecho de acceso a la información</w:t>
      </w:r>
      <w:r w:rsidRPr="00D6619A">
        <w:rPr>
          <w:rFonts w:ascii="Palatino Linotype" w:eastAsia="Palatino Linotype" w:hAnsi="Palatino Linotype" w:cs="Palatino Linotype"/>
          <w:i/>
          <w:sz w:val="22"/>
          <w:szCs w:val="22"/>
        </w:rPr>
        <w:t xml:space="preserve">, la Federación y </w:t>
      </w:r>
      <w:r w:rsidRPr="00D6619A">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 xml:space="preserve">I. </w:t>
      </w:r>
      <w:r w:rsidRPr="00D6619A">
        <w:rPr>
          <w:rFonts w:ascii="Palatino Linotype" w:eastAsia="Palatino Linotype" w:hAnsi="Palatino Linotype" w:cs="Palatino Linotype"/>
          <w:b/>
          <w:i/>
          <w:sz w:val="22"/>
          <w:szCs w:val="22"/>
        </w:rPr>
        <w:tab/>
        <w:t>Toda la información en posesión de cualquier</w:t>
      </w:r>
      <w:r w:rsidRPr="00D6619A">
        <w:rPr>
          <w:rFonts w:ascii="Palatino Linotype" w:eastAsia="Palatino Linotype" w:hAnsi="Palatino Linotype" w:cs="Palatino Linotype"/>
          <w:i/>
          <w:sz w:val="22"/>
          <w:szCs w:val="22"/>
        </w:rPr>
        <w:t xml:space="preserve"> </w:t>
      </w:r>
      <w:r w:rsidRPr="00D6619A">
        <w:rPr>
          <w:rFonts w:ascii="Palatino Linotype" w:eastAsia="Palatino Linotype" w:hAnsi="Palatino Linotype" w:cs="Palatino Linotype"/>
          <w:b/>
          <w:i/>
          <w:sz w:val="22"/>
          <w:szCs w:val="22"/>
        </w:rPr>
        <w:t>autoridad</w:t>
      </w:r>
      <w:r w:rsidRPr="00D6619A">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6619A">
        <w:rPr>
          <w:rFonts w:ascii="Palatino Linotype" w:eastAsia="Palatino Linotype" w:hAnsi="Palatino Linotype" w:cs="Palatino Linotype"/>
          <w:b/>
          <w:i/>
          <w:sz w:val="22"/>
          <w:szCs w:val="22"/>
        </w:rPr>
        <w:t>municipal</w:t>
      </w:r>
      <w:r w:rsidRPr="00D6619A">
        <w:rPr>
          <w:rFonts w:ascii="Palatino Linotype" w:eastAsia="Palatino Linotype" w:hAnsi="Palatino Linotype" w:cs="Palatino Linotype"/>
          <w:i/>
          <w:sz w:val="22"/>
          <w:szCs w:val="22"/>
        </w:rPr>
        <w:t xml:space="preserve">, </w:t>
      </w:r>
      <w:r w:rsidRPr="00D6619A">
        <w:rPr>
          <w:rFonts w:ascii="Palatino Linotype" w:eastAsia="Palatino Linotype" w:hAnsi="Palatino Linotype" w:cs="Palatino Linotype"/>
          <w:b/>
          <w:i/>
          <w:sz w:val="22"/>
          <w:szCs w:val="22"/>
        </w:rPr>
        <w:t>es pública</w:t>
      </w:r>
      <w:r w:rsidRPr="00D6619A">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D6619A">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D6619A">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875B3" w:rsidRPr="00D6619A" w:rsidRDefault="004875B3">
      <w:pPr>
        <w:pBdr>
          <w:top w:val="nil"/>
          <w:left w:val="nil"/>
          <w:bottom w:val="nil"/>
          <w:right w:val="nil"/>
          <w:between w:val="nil"/>
        </w:pBdr>
        <w:tabs>
          <w:tab w:val="left" w:pos="567"/>
        </w:tabs>
        <w:spacing w:before="240" w:after="240"/>
        <w:ind w:left="1134" w:right="-850"/>
        <w:jc w:val="both"/>
        <w:rPr>
          <w:rFonts w:ascii="Palatino Linotype" w:eastAsia="Palatino Linotype" w:hAnsi="Palatino Linotype" w:cs="Palatino Linotype"/>
          <w:b/>
          <w:i/>
          <w:color w:val="000000"/>
          <w:sz w:val="22"/>
          <w:szCs w:val="22"/>
        </w:rPr>
      </w:pPr>
    </w:p>
    <w:p w:rsidR="004875B3" w:rsidRPr="00D6619A" w:rsidRDefault="00BF65D5">
      <w:pPr>
        <w:spacing w:before="240" w:after="240"/>
        <w:ind w:left="1134"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Constitución Política del Estado Libre y Soberano de México</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“Artículo 5</w:t>
      </w:r>
      <w:r w:rsidRPr="00D6619A">
        <w:rPr>
          <w:rFonts w:ascii="Palatino Linotype" w:eastAsia="Palatino Linotype" w:hAnsi="Palatino Linotype" w:cs="Palatino Linotype"/>
          <w:i/>
          <w:sz w:val="22"/>
          <w:szCs w:val="22"/>
        </w:rPr>
        <w:t xml:space="preserve">.- </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D6619A">
        <w:rPr>
          <w:rFonts w:ascii="Palatino Linotype" w:eastAsia="Palatino Linotype" w:hAnsi="Palatino Linotype" w:cs="Palatino Linotype"/>
          <w:i/>
          <w:sz w:val="22"/>
          <w:szCs w:val="22"/>
        </w:rPr>
        <w:t>.</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Este derecho se regirá por los principios y bases siguientes</w:t>
      </w:r>
      <w:r w:rsidRPr="00D6619A">
        <w:rPr>
          <w:rFonts w:ascii="Palatino Linotype" w:eastAsia="Palatino Linotype" w:hAnsi="Palatino Linotype" w:cs="Palatino Linotype"/>
          <w:i/>
          <w:sz w:val="22"/>
          <w:szCs w:val="22"/>
        </w:rPr>
        <w:t>:</w:t>
      </w:r>
    </w:p>
    <w:p w:rsidR="004875B3" w:rsidRPr="00D6619A" w:rsidRDefault="00BF65D5">
      <w:pPr>
        <w:spacing w:before="240" w:after="240"/>
        <w:ind w:left="1134"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I. Toda la información en posesión de cualquier autoridad, entidad, órgano y organismos de los</w:t>
      </w:r>
      <w:r w:rsidRPr="00D6619A">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D6619A">
        <w:rPr>
          <w:rFonts w:ascii="Palatino Linotype" w:eastAsia="Palatino Linotype" w:hAnsi="Palatino Linotype" w:cs="Palatino Linotype"/>
          <w:b/>
          <w:i/>
          <w:sz w:val="22"/>
          <w:szCs w:val="22"/>
        </w:rPr>
        <w:t>municipales</w:t>
      </w:r>
      <w:r w:rsidRPr="00D6619A">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6619A">
        <w:rPr>
          <w:rFonts w:ascii="Palatino Linotype" w:eastAsia="Palatino Linotype" w:hAnsi="Palatino Linotype" w:cs="Palatino Linotype"/>
          <w:b/>
          <w:i/>
          <w:sz w:val="22"/>
          <w:szCs w:val="22"/>
        </w:rPr>
        <w:t>es pública</w:t>
      </w:r>
      <w:r w:rsidRPr="00D6619A">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D6619A">
        <w:rPr>
          <w:rFonts w:ascii="Palatino Linotype" w:eastAsia="Palatino Linotype" w:hAnsi="Palatino Linotype" w:cs="Palatino Linotype"/>
          <w:b/>
          <w:i/>
          <w:sz w:val="22"/>
          <w:szCs w:val="22"/>
        </w:rPr>
        <w:t>En la interpretación de este derecho deberá prevalecer el principio de máxima publicidad</w:t>
      </w:r>
      <w:r w:rsidRPr="00D6619A">
        <w:rPr>
          <w:rFonts w:ascii="Palatino Linotype" w:eastAsia="Palatino Linotype" w:hAnsi="Palatino Linotype" w:cs="Palatino Linotype"/>
          <w:i/>
          <w:sz w:val="22"/>
          <w:szCs w:val="22"/>
        </w:rPr>
        <w:t xml:space="preserve">. </w:t>
      </w:r>
      <w:r w:rsidRPr="00D6619A">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D6619A">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875B3" w:rsidRPr="00D6619A" w:rsidRDefault="004875B3">
      <w:pPr>
        <w:tabs>
          <w:tab w:val="left" w:pos="567"/>
        </w:tabs>
        <w:spacing w:before="240" w:after="240"/>
        <w:ind w:right="-1417"/>
        <w:jc w:val="both"/>
        <w:rPr>
          <w:rFonts w:ascii="Palatino Linotype" w:eastAsia="Palatino Linotype" w:hAnsi="Palatino Linotype" w:cs="Palatino Linotype"/>
          <w:b/>
          <w:i/>
        </w:rPr>
      </w:pPr>
    </w:p>
    <w:p w:rsidR="004875B3" w:rsidRPr="00D6619A" w:rsidRDefault="00BF65D5">
      <w:pPr>
        <w:numPr>
          <w:ilvl w:val="0"/>
          <w:numId w:val="6"/>
        </w:numPr>
        <w:spacing w:before="240" w:line="360" w:lineRule="auto"/>
        <w:ind w:left="0" w:right="-1417" w:firstLine="0"/>
        <w:jc w:val="both"/>
      </w:pPr>
      <w:r w:rsidRPr="00D6619A">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D6619A">
        <w:rPr>
          <w:rFonts w:ascii="Palatino Linotype" w:eastAsia="Palatino Linotype" w:hAnsi="Palatino Linotype" w:cs="Palatino Linotype"/>
          <w:i/>
        </w:rPr>
        <w:t>por los principios de simplicidad, rapidez gratuidad del procedimiento, auxilio y orientación a los particulares</w:t>
      </w:r>
      <w:r w:rsidRPr="00D6619A">
        <w:rPr>
          <w:rFonts w:ascii="Palatino Linotype" w:eastAsia="Palatino Linotype" w:hAnsi="Palatino Linotype" w:cs="Palatino Linotype"/>
        </w:rPr>
        <w:t>, contemplando el derecho de las personas con discapacidad y hablantes de lengua indígena.</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t xml:space="preserve">El Derecho de Acceso a la Información se garantiza y respeta oportunamente, y según lo que dispone la Ley, las </w:t>
      </w:r>
      <w:r w:rsidRPr="00D6619A">
        <w:rPr>
          <w:rFonts w:ascii="Palatino Linotype" w:eastAsia="Palatino Linotype" w:hAnsi="Palatino Linotype" w:cs="Palatino Linotype"/>
          <w:i/>
        </w:rPr>
        <w:t>solicitudes de acceso a la información</w:t>
      </w:r>
      <w:r w:rsidRPr="00D6619A">
        <w:rPr>
          <w:rFonts w:ascii="Palatino Linotype" w:eastAsia="Palatino Linotype" w:hAnsi="Palatino Linotype" w:cs="Palatino Linotype"/>
        </w:rPr>
        <w:t>.</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pPr>
      <w:bookmarkStart w:id="12" w:name="_heading=h.3rdcrjn" w:colFirst="0" w:colLast="0"/>
      <w:bookmarkEnd w:id="12"/>
      <w:r w:rsidRPr="00D6619A">
        <w:rPr>
          <w:rFonts w:ascii="Palatino Linotype" w:eastAsia="Palatino Linotype" w:hAnsi="Palatino Linotype" w:cs="Palatino Linotype"/>
        </w:rPr>
        <w:t xml:space="preserve">Así entonces, se procede analizar, en primer lugar, si el </w:t>
      </w:r>
      <w:r w:rsidRPr="00D6619A">
        <w:rPr>
          <w:rFonts w:ascii="Palatino Linotype" w:eastAsia="Palatino Linotype" w:hAnsi="Palatino Linotype" w:cs="Palatino Linotype"/>
          <w:b/>
        </w:rPr>
        <w:t>SUJETO OBLIGADO</w:t>
      </w:r>
      <w:r w:rsidRPr="00D6619A">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keepNext/>
        <w:keepLines/>
        <w:pBdr>
          <w:top w:val="nil"/>
          <w:left w:val="nil"/>
          <w:bottom w:val="nil"/>
          <w:right w:val="nil"/>
          <w:between w:val="nil"/>
        </w:pBdr>
        <w:spacing w:after="240" w:line="360" w:lineRule="auto"/>
        <w:ind w:right="-1417"/>
        <w:rPr>
          <w:rFonts w:ascii="Palatino Linotype" w:eastAsia="Palatino Linotype" w:hAnsi="Palatino Linotype" w:cs="Palatino Linotype"/>
          <w:b/>
          <w:color w:val="000000"/>
        </w:rPr>
      </w:pPr>
      <w:bookmarkStart w:id="13" w:name="_heading=h.26in1rg" w:colFirst="0" w:colLast="0"/>
      <w:bookmarkEnd w:id="13"/>
      <w:r w:rsidRPr="00D6619A">
        <w:rPr>
          <w:rFonts w:ascii="Palatino Linotype" w:eastAsia="Palatino Linotype" w:hAnsi="Palatino Linotype" w:cs="Palatino Linotype"/>
          <w:b/>
          <w:color w:val="000000"/>
        </w:rPr>
        <w:t>II. II. De la información solicitada y la respuesta del SUJETO OBLIGADO</w:t>
      </w: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color w:val="000000"/>
        </w:rPr>
        <w:t xml:space="preserve">Acotada la </w:t>
      </w:r>
      <w:r w:rsidRPr="00D6619A">
        <w:rPr>
          <w:rFonts w:ascii="Palatino Linotype" w:eastAsia="Palatino Linotype" w:hAnsi="Palatino Linotype" w:cs="Palatino Linotype"/>
          <w:i/>
          <w:color w:val="000000"/>
        </w:rPr>
        <w:t>Litis</w:t>
      </w:r>
      <w:r w:rsidRPr="00D6619A">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por parte del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situación que será el motivo de análisis del presente recurso de revisión</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t xml:space="preserve">En ese sentido, es importante recordar la información que fue solicitada por el </w:t>
      </w:r>
      <w:r w:rsidRPr="00D6619A">
        <w:rPr>
          <w:rFonts w:ascii="Palatino Linotype" w:eastAsia="Palatino Linotype" w:hAnsi="Palatino Linotype" w:cs="Palatino Linotype"/>
          <w:b/>
        </w:rPr>
        <w:t xml:space="preserve">RECURRENTE </w:t>
      </w:r>
      <w:r w:rsidRPr="00D6619A">
        <w:rPr>
          <w:rFonts w:ascii="Palatino Linotype" w:eastAsia="Palatino Linotype" w:hAnsi="Palatino Linotype" w:cs="Palatino Linotype"/>
        </w:rPr>
        <w:t xml:space="preserve">consiste en lo siguiente: </w:t>
      </w:r>
    </w:p>
    <w:p w:rsidR="004875B3" w:rsidRPr="00D6619A" w:rsidRDefault="00BF65D5">
      <w:pPr>
        <w:numPr>
          <w:ilvl w:val="0"/>
          <w:numId w:val="4"/>
        </w:numPr>
        <w:pBdr>
          <w:top w:val="nil"/>
          <w:left w:val="nil"/>
          <w:bottom w:val="nil"/>
          <w:right w:val="nil"/>
          <w:between w:val="nil"/>
        </w:pBdr>
        <w:spacing w:line="360" w:lineRule="auto"/>
        <w:ind w:left="1134" w:right="-850" w:firstLine="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Comprobantes correspondientes, así como el soporte documental de los ingresos recibidos por la Asociación Estatal de Ajedrez A.C., desde el año 2019 hasta el veintiocho de noviembre de dos mil veinticuatro.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lo solicitado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por medio del Director General de Cultura Física y Deporte, </w:t>
      </w:r>
      <w:r w:rsidRPr="00D6619A">
        <w:rPr>
          <w:rFonts w:ascii="Palatino Linotype" w:eastAsia="Palatino Linotype" w:hAnsi="Palatino Linotype" w:cs="Palatino Linotype"/>
        </w:rPr>
        <w:t>informó</w:t>
      </w:r>
      <w:r w:rsidRPr="00D6619A">
        <w:rPr>
          <w:rFonts w:ascii="Palatino Linotype" w:eastAsia="Palatino Linotype" w:hAnsi="Palatino Linotype" w:cs="Palatino Linotype"/>
          <w:color w:val="000000"/>
        </w:rPr>
        <w:t xml:space="preserve"> que es información de carácter confidencial y que corresponde exclusivamente a la Asociación referida en la solicitud de información.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la respuesta proporcionada el entonces </w:t>
      </w:r>
      <w:r w:rsidRPr="00D6619A">
        <w:rPr>
          <w:rFonts w:ascii="Palatino Linotype" w:eastAsia="Palatino Linotype" w:hAnsi="Palatino Linotype" w:cs="Palatino Linotype"/>
          <w:b/>
          <w:color w:val="000000"/>
        </w:rPr>
        <w:t xml:space="preserve">SOLICITANTE </w:t>
      </w:r>
      <w:r w:rsidRPr="00D6619A">
        <w:rPr>
          <w:rFonts w:ascii="Palatino Linotype" w:eastAsia="Palatino Linotype" w:hAnsi="Palatino Linotype" w:cs="Palatino Linotype"/>
          <w:color w:val="000000"/>
        </w:rPr>
        <w:t xml:space="preserve">interpuso el recurso de revisión, manifestando que la Asociación Estatal de Ajedrez A.C, había recibido recursos </w:t>
      </w:r>
      <w:r w:rsidRPr="00D6619A">
        <w:rPr>
          <w:rFonts w:ascii="Palatino Linotype" w:eastAsia="Palatino Linotype" w:hAnsi="Palatino Linotype" w:cs="Palatino Linotype"/>
        </w:rPr>
        <w:t>públicos</w:t>
      </w:r>
      <w:r w:rsidRPr="00D6619A">
        <w:rPr>
          <w:rFonts w:ascii="Palatino Linotype" w:eastAsia="Palatino Linotype" w:hAnsi="Palatino Linotype" w:cs="Palatino Linotype"/>
          <w:color w:val="000000"/>
        </w:rPr>
        <w:t xml:space="preserve"> por parte del Gobierno del Estado de México que le dio la administración anterior.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la inconformidad del </w:t>
      </w:r>
      <w:r w:rsidRPr="00D6619A">
        <w:rPr>
          <w:rFonts w:ascii="Palatino Linotype" w:eastAsia="Palatino Linotype" w:hAnsi="Palatino Linotype" w:cs="Palatino Linotype"/>
          <w:b/>
          <w:color w:val="000000"/>
        </w:rPr>
        <w:t xml:space="preserve">RECURRENTE </w:t>
      </w: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rPr>
        <w:t>entregó</w:t>
      </w:r>
      <w:r w:rsidRPr="00D6619A">
        <w:rPr>
          <w:rFonts w:ascii="Palatino Linotype" w:eastAsia="Palatino Linotype" w:hAnsi="Palatino Linotype" w:cs="Palatino Linotype"/>
          <w:color w:val="000000"/>
        </w:rPr>
        <w:t xml:space="preserve"> su informe justificado mediante el cual </w:t>
      </w:r>
      <w:r w:rsidRPr="00D6619A">
        <w:rPr>
          <w:rFonts w:ascii="Palatino Linotype" w:eastAsia="Palatino Linotype" w:hAnsi="Palatino Linotype" w:cs="Palatino Linotype"/>
        </w:rPr>
        <w:t>ratificó</w:t>
      </w:r>
      <w:r w:rsidRPr="00D6619A">
        <w:rPr>
          <w:rFonts w:ascii="Palatino Linotype" w:eastAsia="Palatino Linotype" w:hAnsi="Palatino Linotype" w:cs="Palatino Linotype"/>
          <w:color w:val="000000"/>
        </w:rPr>
        <w:t xml:space="preserve"> su respuesta inicial, señalando también que el </w:t>
      </w:r>
      <w:r w:rsidRPr="00D6619A">
        <w:rPr>
          <w:rFonts w:ascii="Palatino Linotype" w:eastAsia="Palatino Linotype" w:hAnsi="Palatino Linotype" w:cs="Palatino Linotype"/>
          <w:b/>
          <w:color w:val="000000"/>
        </w:rPr>
        <w:t xml:space="preserve">RECURRENTE </w:t>
      </w:r>
      <w:r w:rsidRPr="00D6619A">
        <w:rPr>
          <w:rFonts w:ascii="Palatino Linotype" w:eastAsia="Palatino Linotype" w:hAnsi="Palatino Linotype" w:cs="Palatino Linotype"/>
          <w:color w:val="000000"/>
        </w:rPr>
        <w:t xml:space="preserve">había realizado ampliado su solicitud de información. </w:t>
      </w: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lo anterior, se debe de señalar que la interposición del </w:t>
      </w:r>
      <w:r w:rsidRPr="00D6619A">
        <w:rPr>
          <w:rFonts w:ascii="Palatino Linotype" w:eastAsia="Palatino Linotype" w:hAnsi="Palatino Linotype" w:cs="Palatino Linotype"/>
          <w:b/>
          <w:color w:val="000000"/>
        </w:rPr>
        <w:t xml:space="preserve">RECURRENTE </w:t>
      </w:r>
      <w:r w:rsidRPr="00D6619A">
        <w:rPr>
          <w:rFonts w:ascii="Palatino Linotype" w:eastAsia="Palatino Linotype" w:hAnsi="Palatino Linotype" w:cs="Palatino Linotype"/>
          <w:color w:val="000000"/>
        </w:rPr>
        <w:t xml:space="preserve">versa sobre los ingresos solicitados de manera inicial, por lo que la plus Petitio solo aplica para </w:t>
      </w:r>
      <w:r w:rsidRPr="00D6619A">
        <w:rPr>
          <w:rFonts w:ascii="Palatino Linotype" w:eastAsia="Palatino Linotype" w:hAnsi="Palatino Linotype" w:cs="Palatino Linotype"/>
          <w:b/>
          <w:color w:val="000000"/>
          <w:u w:val="single"/>
        </w:rPr>
        <w:t xml:space="preserve">los conceptos por los cuales fueron asignados,  </w:t>
      </w:r>
      <w:r w:rsidRPr="00D6619A">
        <w:rPr>
          <w:rFonts w:ascii="Palatino Linotype" w:eastAsia="Palatino Linotype" w:hAnsi="Palatino Linotype" w:cs="Palatino Linotype"/>
          <w:color w:val="000000"/>
          <w:u w:val="single"/>
        </w:rPr>
        <w:t>situación por la cual se señala porque se considera plus Petitio en los siguientes párrafos.</w:t>
      </w: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u w:val="single"/>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Robusteciendo lo anterior,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shd w:val="clear" w:color="auto" w:fill="FFFFFF"/>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b/>
          <w:i/>
          <w:color w:val="000000"/>
          <w:sz w:val="22"/>
          <w:szCs w:val="22"/>
        </w:rPr>
        <w:t>“TRANSPARENCIA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w:t>
      </w:r>
    </w:p>
    <w:p w:rsidR="004875B3" w:rsidRPr="00D6619A" w:rsidRDefault="00BF65D5">
      <w:pPr>
        <w:shd w:val="clear" w:color="auto" w:fill="FFFFFF"/>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w:t>
      </w:r>
      <w:r w:rsidRPr="00D6619A">
        <w:rPr>
          <w:rFonts w:ascii="Palatino Linotype" w:eastAsia="Palatino Linotype" w:hAnsi="Palatino Linotype" w:cs="Palatino Linotype"/>
          <w:i/>
          <w:color w:val="000000"/>
          <w:sz w:val="22"/>
          <w:szCs w:val="22"/>
        </w:rPr>
        <w:lastRenderedPageBreak/>
        <w:t>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rsidR="004875B3" w:rsidRPr="00D6619A" w:rsidRDefault="004875B3">
      <w:pPr>
        <w:shd w:val="clear" w:color="auto" w:fill="FFFFFF"/>
        <w:spacing w:line="360" w:lineRule="auto"/>
        <w:ind w:left="567"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Asimismo, ha sido criterio del Instituto Nacional de Transparencia, Acceso a la Información y Protección de Datos Personales bajo el criterio número 01/17 que resulta improcedente ampliar las solicitudes de información pública o de datos personales a través de la interposición del recurso de revisión, como se estima acontece en el presente asunto, al aumentar datos a la solicitud inicial, por lo que se insiste no se puede entrar al estudio de la información novedosa, criterio que es de la literalidad siguiente:</w:t>
      </w:r>
    </w:p>
    <w:p w:rsidR="004875B3" w:rsidRPr="00D6619A" w:rsidRDefault="00BF65D5">
      <w:pPr>
        <w:ind w:left="708"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D6619A">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4875B3" w:rsidRPr="00D6619A" w:rsidRDefault="004875B3">
      <w:pPr>
        <w:ind w:left="708" w:right="-850"/>
        <w:jc w:val="both"/>
        <w:rPr>
          <w:rFonts w:ascii="Palatino Linotype" w:eastAsia="Palatino Linotype" w:hAnsi="Palatino Linotype" w:cs="Palatino Linotype"/>
          <w:b/>
          <w:i/>
          <w:sz w:val="22"/>
          <w:szCs w:val="22"/>
        </w:rPr>
      </w:pPr>
    </w:p>
    <w:p w:rsidR="004875B3" w:rsidRPr="00D6619A" w:rsidRDefault="00BF65D5">
      <w:pPr>
        <w:ind w:left="708" w:right="-850"/>
        <w:jc w:val="both"/>
        <w:rPr>
          <w:rFonts w:ascii="Palatino Linotype" w:eastAsia="Palatino Linotype" w:hAnsi="Palatino Linotype" w:cs="Palatino Linotype"/>
          <w:b/>
          <w:i/>
          <w:sz w:val="22"/>
          <w:szCs w:val="22"/>
        </w:rPr>
      </w:pPr>
      <w:r w:rsidRPr="00D6619A">
        <w:rPr>
          <w:rFonts w:ascii="Palatino Linotype" w:eastAsia="Palatino Linotype" w:hAnsi="Palatino Linotype" w:cs="Palatino Linotype"/>
          <w:b/>
          <w:i/>
          <w:sz w:val="22"/>
          <w:szCs w:val="22"/>
        </w:rPr>
        <w:t>Resoluciones:</w:t>
      </w:r>
    </w:p>
    <w:p w:rsidR="004875B3" w:rsidRPr="00D6619A" w:rsidRDefault="00BF65D5">
      <w:pPr>
        <w:numPr>
          <w:ilvl w:val="0"/>
          <w:numId w:val="5"/>
        </w:numPr>
        <w:ind w:left="708" w:right="-850" w:firstLine="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RRA 0196/16.</w:t>
      </w:r>
      <w:r w:rsidRPr="00D6619A">
        <w:rPr>
          <w:rFonts w:ascii="Palatino Linotype" w:eastAsia="Palatino Linotype" w:hAnsi="Palatino Linotype" w:cs="Palatino Linotype"/>
          <w:i/>
          <w:sz w:val="22"/>
          <w:szCs w:val="22"/>
        </w:rPr>
        <w:t xml:space="preserve"> Secretaría de Agricultura, Ganadería, Desarrollo Rural, Pesca y Alimentación. 13 de julio de 2016. Por unanimidad. Comisionado Ponente Joel Salas Suárez.</w:t>
      </w:r>
    </w:p>
    <w:p w:rsidR="004875B3" w:rsidRPr="00D6619A" w:rsidRDefault="00BF65D5">
      <w:pPr>
        <w:numPr>
          <w:ilvl w:val="0"/>
          <w:numId w:val="5"/>
        </w:numPr>
        <w:ind w:left="708" w:right="-850" w:firstLine="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lastRenderedPageBreak/>
        <w:t xml:space="preserve">RRA 0130/16. </w:t>
      </w:r>
      <w:r w:rsidRPr="00D6619A">
        <w:rPr>
          <w:rFonts w:ascii="Palatino Linotype" w:eastAsia="Palatino Linotype" w:hAnsi="Palatino Linotype" w:cs="Palatino Linotype"/>
          <w:i/>
          <w:sz w:val="22"/>
          <w:szCs w:val="22"/>
        </w:rPr>
        <w:t xml:space="preserve">Comisión Nacional del Agua. 09 de agosto de 2016. Por unanimidad. Comisionado Ponente </w:t>
      </w:r>
      <w:r w:rsidRPr="00D6619A">
        <w:rPr>
          <w:rFonts w:ascii="Palatino Linotype" w:eastAsia="Palatino Linotype" w:hAnsi="Palatino Linotype" w:cs="Palatino Linotype"/>
          <w:i/>
          <w:color w:val="000000"/>
          <w:sz w:val="22"/>
          <w:szCs w:val="22"/>
        </w:rPr>
        <w:t>María Patricia Kurczyn Villalobos.</w:t>
      </w:r>
    </w:p>
    <w:p w:rsidR="004875B3" w:rsidRPr="00D6619A" w:rsidRDefault="00BF65D5">
      <w:pPr>
        <w:ind w:left="708" w:right="-850"/>
        <w:jc w:val="both"/>
        <w:rPr>
          <w:rFonts w:ascii="Palatino Linotype" w:eastAsia="Palatino Linotype" w:hAnsi="Palatino Linotype" w:cs="Palatino Linotype"/>
          <w:i/>
          <w:sz w:val="22"/>
          <w:szCs w:val="22"/>
        </w:rPr>
      </w:pPr>
      <w:r w:rsidRPr="00D6619A">
        <w:rPr>
          <w:rFonts w:ascii="Palatino Linotype" w:eastAsia="Palatino Linotype" w:hAnsi="Palatino Linotype" w:cs="Palatino Linotype"/>
          <w:b/>
          <w:i/>
          <w:sz w:val="22"/>
          <w:szCs w:val="22"/>
        </w:rPr>
        <w:t>RRA 0342/16.</w:t>
      </w:r>
      <w:r w:rsidRPr="00D6619A">
        <w:rPr>
          <w:rFonts w:ascii="Palatino Linotype" w:eastAsia="Palatino Linotype" w:hAnsi="Palatino Linotype" w:cs="Palatino Linotype"/>
          <w:i/>
          <w:sz w:val="22"/>
          <w:szCs w:val="22"/>
        </w:rPr>
        <w:t xml:space="preserve"> Colegio de Bachilleres. 24 de agosto de 2016. Por unanimidad. Comisionada Ponente </w:t>
      </w:r>
      <w:r w:rsidRPr="00D6619A">
        <w:rPr>
          <w:rFonts w:ascii="Palatino Linotype" w:eastAsia="Palatino Linotype" w:hAnsi="Palatino Linotype" w:cs="Palatino Linotype"/>
          <w:sz w:val="22"/>
          <w:szCs w:val="22"/>
        </w:rPr>
        <w:t>Ximena</w:t>
      </w:r>
      <w:r w:rsidRPr="00D6619A">
        <w:rPr>
          <w:rFonts w:ascii="Palatino Linotype" w:eastAsia="Palatino Linotype" w:hAnsi="Palatino Linotype" w:cs="Palatino Linotype"/>
          <w:i/>
          <w:sz w:val="22"/>
          <w:szCs w:val="22"/>
        </w:rPr>
        <w:t xml:space="preserve"> Puente de la Mora.”</w:t>
      </w:r>
    </w:p>
    <w:p w:rsidR="004875B3" w:rsidRPr="00D6619A" w:rsidRDefault="00BF65D5">
      <w:pPr>
        <w:pBdr>
          <w:top w:val="nil"/>
          <w:left w:val="nil"/>
          <w:bottom w:val="nil"/>
          <w:right w:val="nil"/>
          <w:between w:val="nil"/>
        </w:pBdr>
        <w:spacing w:line="360" w:lineRule="auto"/>
        <w:ind w:right="-1417"/>
        <w:jc w:val="both"/>
        <w:rPr>
          <w:color w:val="000000"/>
        </w:rPr>
      </w:pPr>
      <w:r w:rsidRPr="00D6619A">
        <w:rPr>
          <w:rFonts w:ascii="Palatino Linotype" w:eastAsia="Palatino Linotype" w:hAnsi="Palatino Linotype" w:cs="Palatino Linotype"/>
          <w:color w:val="000000"/>
          <w:u w:val="single"/>
        </w:rPr>
        <w:t xml:space="preserve"> </w:t>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Sin embargo, se debe de señalar que una vez que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entregue el soporte documental que contenga los ingresos de la Asociación referida en la solicitud pudiera contener el concepto por el cual se otorgó el apoyo económico por parte del Gobierno del Estado de México, aunque se tenga como plus Petitio.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Ahora bien, de conformidad con el Manual de Organización de la Secretaría de Educación, Ciencia y Tecnología, se observa que dentro de su estructura se integra por la Dirección General de Cultura Física y Deporte, quien cuenta con el siguiente objetivo y funciones.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22800010000000L DIRECCIÓN GENERAL DE CULTURA FÍSICA Y DEPORTE OBJETIVO: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Impulsar las políticas para la planeación, operación y evaluación de las técnicas y mecanismos para desarrollar la cultura física, el deporte, así como promover y fomentar el turismo deportivo en la entidad, a través del establecimiento y desarrollo de programas y procedimientos encaminados al fomento organizado de estas actividades.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FUNCIONES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 Apoyar a la persona titular de la Secretaría de Educación, Ciencia, Tecnología e Innovación en las modificaciones a las políticas y lineamientos generales que deban regir a la Dirección General de Cultura Física y Deporte. </w:t>
      </w:r>
    </w:p>
    <w:p w:rsidR="004875B3" w:rsidRPr="00D6619A" w:rsidRDefault="00BF65D5">
      <w:pPr>
        <w:pBdr>
          <w:top w:val="nil"/>
          <w:left w:val="nil"/>
          <w:bottom w:val="nil"/>
          <w:right w:val="nil"/>
          <w:between w:val="nil"/>
        </w:pBdr>
        <w:ind w:left="720" w:right="-850"/>
        <w:jc w:val="both"/>
        <w:rPr>
          <w:i/>
          <w:color w:val="000000"/>
          <w:sz w:val="22"/>
          <w:szCs w:val="22"/>
        </w:rPr>
      </w:pPr>
      <w:r w:rsidRPr="00D6619A">
        <w:rPr>
          <w:rFonts w:ascii="Palatino Linotype" w:eastAsia="Palatino Linotype" w:hAnsi="Palatino Linotype" w:cs="Palatino Linotype"/>
          <w:i/>
          <w:color w:val="000000"/>
          <w:sz w:val="22"/>
          <w:szCs w:val="22"/>
        </w:rPr>
        <w:t>2. Avalar y vigilar el cumplimiento de las políticas, normas y lineamientos que rijan la operación de la Dirección General de Cultura Física y Deporte y las unidades administrativas que la integran.</w:t>
      </w:r>
      <w:r w:rsidRPr="00D6619A">
        <w:rPr>
          <w:i/>
          <w:color w:val="000000"/>
          <w:sz w:val="22"/>
          <w:szCs w:val="22"/>
        </w:rPr>
        <w:t xml:space="preserve">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3. Vigilar el cumplimiento del objeto, atribuciones y programas encomendados a la Dirección General de Cultura Física y Deporte, así como la operación de las unidades administrativas que la integran.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lastRenderedPageBreak/>
        <w:t xml:space="preserve">4. Impulsar programas institucionales de corto, mediano y largo plazo en materia de cultura física y deporte y presentarlos para su aprobación a la persona titular de la Secretaría de Educación, Ciencia, Tecnología e Innovación.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5. Dirigir permanentemente las acciones que en materia de cultura física y deporte benefician al Estado, a través de los programas de la Comisión Nacional de Cultura Física y Deporte (CONADE).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6. Avalar en el ámbito de su competencia, las atribuciones que corresponden al Estado en materia de cultura física y deporte, de conformidad con las bases de coordinación previstas en la Ley General de Cultura Física y Deporte y la normatividad estatal aplicable.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7. Impulsar mecanismos de coordinación y concertación con las autoridades federales, estatales y municipales, a fin de promover el desarrollo de la cultura física y el deporte en la entidad y dar una mejor atención al gremio deportivo.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8. Apoyar el seguimiento de la práctica del deporte estudiantil, federado, social, turístico y de alto rendimiento.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9. Dirigir los proyectos que en materia de cultura física y deporte darán atención a la operación programática presupuestal que se integrarán a la Secretaría de Educación, Ciencia, Tecnología e Innovación.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10. Dirigir los programas de preparación, participación y seguimiento de atletas representativos estatales, en eventos deportivos nacionales e internacionales.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11. Participar en la elaboración de los diferentes programas a nivel Estatal de cultura física y deporte, así como en los diferentes programas de la administración pública.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b/>
          <w:i/>
          <w:color w:val="000000"/>
          <w:sz w:val="22"/>
          <w:szCs w:val="22"/>
        </w:rPr>
        <w:t>12. Coordinar con las asociaciones y federaciones deportivas, el seguimiento de programas para el desarrollo del deporte, en materia de actualización y capacitación.</w:t>
      </w:r>
      <w:r w:rsidRPr="00D6619A">
        <w:rPr>
          <w:rFonts w:ascii="Palatino Linotype" w:eastAsia="Palatino Linotype" w:hAnsi="Palatino Linotype" w:cs="Palatino Linotype"/>
          <w:i/>
          <w:color w:val="000000"/>
          <w:sz w:val="22"/>
          <w:szCs w:val="22"/>
        </w:rPr>
        <w:t xml:space="preserve">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13. Promover con los sectores público, social y privado, la creación de las escuelas de enseñanza, desarrollo y práctica del deporte, para la ejecución de la cultura física y el deporte.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14. Fomentar, impulsar y coordinar las distintas actividades y eventos relacionados con el turismo deportivo.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15. Formular, diseñar y asegurar el cumplimiento de objetivos y metas del Programa Operativo Anual (POA).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16. Trabajar en coordinación con las unidades administrativas que integran la Secretaría de Educación, Ciencia, Tecnología e Innovación para consolidar al Estado de México como un referente de la cultura fisca y el deporte en sus distintas vertientes. 17. -Dar seguimiento al cumplimiento de los convenios o instrumentos jurídicos en los que asista al representante legal de la Secretaría e informar a la persona titular de la dependencia la conclusión de los mismos. </w:t>
      </w:r>
    </w:p>
    <w:p w:rsidR="004875B3" w:rsidRPr="00D6619A" w:rsidRDefault="00BF65D5">
      <w:pPr>
        <w:pBdr>
          <w:top w:val="nil"/>
          <w:left w:val="nil"/>
          <w:bottom w:val="nil"/>
          <w:right w:val="nil"/>
          <w:between w:val="nil"/>
        </w:pBdr>
        <w:ind w:left="720"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18. Desarrollar las demás funciones inherentes al área de su competencia.</w:t>
      </w:r>
    </w:p>
    <w:p w:rsidR="004875B3" w:rsidRPr="00D6619A" w:rsidRDefault="004875B3">
      <w:pPr>
        <w:pBdr>
          <w:top w:val="nil"/>
          <w:left w:val="nil"/>
          <w:bottom w:val="nil"/>
          <w:right w:val="nil"/>
          <w:between w:val="nil"/>
        </w:pBdr>
        <w:ind w:left="720"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lastRenderedPageBreak/>
        <w:t xml:space="preserve">De lo anterior, se colige que la Dirección General de Cultura Física y Deporte, es el área encargada del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de gestionar y programar lo relacionado en materia de cultura física y deporte.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En esa línea, se debe de señalar que  la asociación referida en la </w:t>
      </w:r>
      <w:r w:rsidRPr="00D6619A">
        <w:rPr>
          <w:rFonts w:ascii="Palatino Linotype" w:eastAsia="Palatino Linotype" w:hAnsi="Palatino Linotype" w:cs="Palatino Linotype"/>
        </w:rPr>
        <w:t>solicitud de</w:t>
      </w:r>
      <w:r w:rsidRPr="00D6619A">
        <w:rPr>
          <w:rFonts w:ascii="Palatino Linotype" w:eastAsia="Palatino Linotype" w:hAnsi="Palatino Linotype" w:cs="Palatino Linotype"/>
          <w:color w:val="000000"/>
        </w:rPr>
        <w:t xml:space="preserve"> información tiene relación con el Ajedrez como deporte, del cual se puede referir que puede ser considerado como un deporte adaptado. </w:t>
      </w:r>
    </w:p>
    <w:p w:rsidR="004875B3" w:rsidRPr="00D6619A" w:rsidRDefault="004875B3">
      <w:pPr>
        <w:pBdr>
          <w:top w:val="nil"/>
          <w:left w:val="nil"/>
          <w:bottom w:val="nil"/>
          <w:right w:val="nil"/>
          <w:between w:val="nil"/>
        </w:pBdr>
        <w:ind w:left="1134" w:right="-1417"/>
        <w:jc w:val="both"/>
        <w:rPr>
          <w:rFonts w:ascii="Palatino Linotype" w:eastAsia="Palatino Linotype" w:hAnsi="Palatino Linotype" w:cs="Palatino Linotype"/>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En ese sentido,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cuenta dentro su estructura con la Subdirección del Deporte Adaptado, misma que tiene las siguientes funciones.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i/>
          <w:color w:val="000000"/>
          <w:sz w:val="22"/>
          <w:szCs w:val="22"/>
        </w:rPr>
        <w:t xml:space="preserve">22800010010300L </w:t>
      </w:r>
      <w:r w:rsidRPr="00D6619A">
        <w:rPr>
          <w:rFonts w:ascii="Palatino Linotype" w:eastAsia="Palatino Linotype" w:hAnsi="Palatino Linotype" w:cs="Palatino Linotype"/>
          <w:b/>
          <w:i/>
          <w:color w:val="000000"/>
          <w:sz w:val="22"/>
          <w:szCs w:val="22"/>
        </w:rPr>
        <w:t xml:space="preserve">SUBDIRECCIÓN DE DEPORTE ADAPTADO OBJETIVO: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Establecer acciones de atención a la población con discapacidad en materia de cultura física y deporte, así como gestionar apoyos económicos, instalaciones deportivas a para deportistas, entrenadores y personal técnico del deporte adaptado, con la finalidad de mejorar el nivel y resultados deportivos. FUNCIONES: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i/>
          <w:color w:val="000000"/>
          <w:sz w:val="22"/>
          <w:szCs w:val="22"/>
        </w:rPr>
        <w:t>1</w:t>
      </w:r>
      <w:r w:rsidRPr="00D6619A">
        <w:rPr>
          <w:rFonts w:ascii="Palatino Linotype" w:eastAsia="Palatino Linotype" w:hAnsi="Palatino Linotype" w:cs="Palatino Linotype"/>
          <w:b/>
          <w:i/>
          <w:color w:val="000000"/>
          <w:sz w:val="22"/>
          <w:szCs w:val="22"/>
        </w:rPr>
        <w:t xml:space="preserve">. Coordinar y promover al deporte adaptado desde las diferentes áreas de operación como son las actividades de cultura física, fomento y la atención al deporte con nivel de alto rendimiento y paralímpico.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2. Implementar programas y proyectos que incentiven la recreación y actividad física en personas con discapacidad.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3. Orientar a los organismos deportivos del deporte adaptado, para la elaboración de su programa anual de actividades, en coordinación con el Departamento de Deporte Paralímpico, priorizando los relacionados con paradeportistas y entrenadores del sistema nacional de competencias, alto rendimiento y paralímpico.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4. Coordinar las estrategias de difusión, enseñanza y perfeccionamiento de las diferentes disciplinas del deporte adaptado.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5. Coordinar las acciones de detección de talento deportivo, para las distintas disciplinas del deporte adaptado.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b/>
          <w:i/>
          <w:color w:val="000000"/>
          <w:sz w:val="22"/>
          <w:szCs w:val="22"/>
        </w:rPr>
      </w:pPr>
      <w:r w:rsidRPr="00D6619A">
        <w:rPr>
          <w:rFonts w:ascii="Palatino Linotype" w:eastAsia="Palatino Linotype" w:hAnsi="Palatino Linotype" w:cs="Palatino Linotype"/>
          <w:b/>
          <w:i/>
          <w:color w:val="000000"/>
          <w:sz w:val="22"/>
          <w:szCs w:val="22"/>
        </w:rPr>
        <w:t xml:space="preserve">6. Coordinar el proceso de atención a las solicitudes de apoyos económicos presentadas por las asociaciones deportivas del deporte adaptado.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lastRenderedPageBreak/>
        <w:t xml:space="preserve">7. Verificar que se realicen las gestiones para que la y el deportista del deporte adaptado reciba los apoyos especializados integrales, estímulos económicos y en especie, que permitan desarrollar sus programas de preparación en las mejores condiciones posibles.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8. Supervisar que los organismos deportivos atiendan los criterios técnicos que permitan mejorar el nivel competitivo y los resultados del deporte adaptado. 9. Coordinar las actividades para la integración de las delegaciones mexiquenses que participan en eventos como Juegos Parapanamericanos, Juegos Paralímpicos y Campeonatos Mundiales, del deporte adaptado.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 xml:space="preserve">10. Supervisar la elaboración del dictamen para la propuesta del otorgamiento de apoyos económicos para competencias preparatorias, clasificatorias y fundamentales del deporte adaptado. </w:t>
      </w:r>
    </w:p>
    <w:p w:rsidR="004875B3" w:rsidRPr="00D6619A" w:rsidRDefault="00BF65D5">
      <w:pPr>
        <w:pBdr>
          <w:top w:val="nil"/>
          <w:left w:val="nil"/>
          <w:bottom w:val="nil"/>
          <w:right w:val="nil"/>
          <w:between w:val="nil"/>
        </w:pBd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t>11. Desarrollar las demás funciones inherentes al área de su competencia</w:t>
      </w:r>
    </w:p>
    <w:p w:rsidR="004875B3" w:rsidRPr="00D6619A" w:rsidRDefault="004875B3">
      <w:pPr>
        <w:pBdr>
          <w:top w:val="nil"/>
          <w:left w:val="nil"/>
          <w:bottom w:val="nil"/>
          <w:right w:val="nil"/>
          <w:between w:val="nil"/>
        </w:pBdr>
        <w:spacing w:line="360" w:lineRule="auto"/>
        <w:ind w:right="-850"/>
        <w:jc w:val="both"/>
        <w:rPr>
          <w:color w:val="000000"/>
          <w:sz w:val="22"/>
          <w:szCs w:val="22"/>
        </w:rPr>
      </w:pP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lo anterior, se observa que si se otorgan apoyos económicos a las asociaciones que lo solicitan, por lo que se colige que al ser apoyos que provienen del recurso público que se entregan por medio del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es que no se puede considerar como información confidencial.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Robustece lo anterior, el artículo 92 fracción XIV de la Ley de Transparencia y Acceso a la Información Pública del Estado de México y Municipios, que regula que forma parte de las obligaciones de transparencia común lo relacionado con los apoyos entregados.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6619A">
        <w:rPr>
          <w:i/>
        </w:rPr>
        <w:t xml:space="preserve"> </w:t>
      </w:r>
      <w:r w:rsidRPr="00D6619A">
        <w:rPr>
          <w:rFonts w:ascii="Palatino Linotype" w:eastAsia="Palatino Linotype" w:hAnsi="Palatino Linotype" w:cs="Palatino Linotype"/>
          <w:i/>
        </w:rPr>
        <w:t xml:space="preserve">XIV. La información de los programas de subsidios, </w:t>
      </w:r>
      <w:r w:rsidRPr="00D6619A">
        <w:rPr>
          <w:rFonts w:ascii="Palatino Linotype" w:eastAsia="Palatino Linotype" w:hAnsi="Palatino Linotype" w:cs="Palatino Linotype"/>
          <w:b/>
          <w:i/>
        </w:rPr>
        <w:t>estímulos y apoyos</w:t>
      </w:r>
      <w:r w:rsidRPr="00D6619A">
        <w:rPr>
          <w:rFonts w:ascii="Palatino Linotype" w:eastAsia="Palatino Linotype" w:hAnsi="Palatino Linotype" w:cs="Palatino Linotype"/>
          <w:i/>
        </w:rPr>
        <w:t xml:space="preserve">, en el que se deberá informar respecto de los programas de transferencia, de servicios, de infraestructura social y de subsidio, en los que se deberá contener lo siguiente: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a) Área;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b) Denominación del programa; </w:t>
      </w:r>
    </w:p>
    <w:p w:rsidR="004875B3" w:rsidRPr="00D6619A" w:rsidRDefault="00BF65D5">
      <w:pPr>
        <w:pBdr>
          <w:top w:val="nil"/>
          <w:left w:val="nil"/>
          <w:bottom w:val="nil"/>
          <w:right w:val="nil"/>
          <w:between w:val="nil"/>
        </w:pBdr>
        <w:ind w:left="566" w:right="-850" w:hanging="6"/>
        <w:jc w:val="both"/>
        <w:rPr>
          <w:i/>
        </w:rPr>
      </w:pPr>
      <w:r w:rsidRPr="00D6619A">
        <w:rPr>
          <w:rFonts w:ascii="Palatino Linotype" w:eastAsia="Palatino Linotype" w:hAnsi="Palatino Linotype" w:cs="Palatino Linotype"/>
          <w:i/>
        </w:rPr>
        <w:lastRenderedPageBreak/>
        <w:t>c) Periodo de vigencia;</w:t>
      </w:r>
      <w:r w:rsidRPr="00D6619A">
        <w:rPr>
          <w:i/>
        </w:rPr>
        <w:t xml:space="preserve">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d) Diseño, objetivos y alcances;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e) Metas físicas;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f) Población beneficiada estimada;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b/>
          <w:i/>
        </w:rPr>
      </w:pPr>
      <w:r w:rsidRPr="00D6619A">
        <w:rPr>
          <w:rFonts w:ascii="Palatino Linotype" w:eastAsia="Palatino Linotype" w:hAnsi="Palatino Linotype" w:cs="Palatino Linotype"/>
          <w:b/>
          <w:i/>
        </w:rPr>
        <w:t xml:space="preserve">g) Monto aprobado, modificado y ejercido, así como los calendarios de su programación presupuestal;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h) Requisitos y procedimientos de acceso;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i) Procedimiento de queja o inconformidad ciudadana;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j) Mecanismos de exigibilidad;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k) Mecanismos e informes de evaluación y seguimiento de recomendaciones; l) Indicadores con nombre, definición, método de cálculo, unidad de medida; dimensión, frecuencia de medición, nombre de las bases de datos utilizadas para su cálculo;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m) Formas de participación social;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n) Articulación con otros programas sociales;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ñ) Vínculo a las reglas de operación o documento equivalente;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i/>
        </w:rPr>
      </w:pPr>
      <w:r w:rsidRPr="00D6619A">
        <w:rPr>
          <w:rFonts w:ascii="Palatino Linotype" w:eastAsia="Palatino Linotype" w:hAnsi="Palatino Linotype" w:cs="Palatino Linotype"/>
          <w:i/>
        </w:rPr>
        <w:t xml:space="preserve">o) Informes periódicos sobre la ejecución y los resultados de las evaluaciones realizadas; y </w:t>
      </w:r>
    </w:p>
    <w:p w:rsidR="004875B3" w:rsidRPr="00D6619A" w:rsidRDefault="00BF65D5">
      <w:pPr>
        <w:pBdr>
          <w:top w:val="nil"/>
          <w:left w:val="nil"/>
          <w:bottom w:val="nil"/>
          <w:right w:val="nil"/>
          <w:between w:val="nil"/>
        </w:pBdr>
        <w:ind w:left="566" w:right="-850" w:hanging="6"/>
        <w:jc w:val="both"/>
        <w:rPr>
          <w:rFonts w:ascii="Palatino Linotype" w:eastAsia="Palatino Linotype" w:hAnsi="Palatino Linotype" w:cs="Palatino Linotype"/>
          <w:b/>
          <w:i/>
        </w:rPr>
      </w:pPr>
      <w:r w:rsidRPr="00D6619A">
        <w:rPr>
          <w:rFonts w:ascii="Palatino Linotype" w:eastAsia="Palatino Linotype" w:hAnsi="Palatino Linotype" w:cs="Palatino Linotype"/>
          <w:b/>
          <w:i/>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rsidR="004875B3" w:rsidRPr="00D6619A" w:rsidRDefault="004875B3">
      <w:pPr>
        <w:pBdr>
          <w:top w:val="nil"/>
          <w:left w:val="nil"/>
          <w:bottom w:val="nil"/>
          <w:right w:val="nil"/>
          <w:between w:val="nil"/>
        </w:pBdr>
        <w:ind w:left="1134" w:right="-1417"/>
        <w:jc w:val="both"/>
        <w:rPr>
          <w:rFonts w:ascii="Palatino Linotype" w:eastAsia="Palatino Linotype" w:hAnsi="Palatino Linotype" w:cs="Palatino Linotype"/>
          <w:b/>
          <w:i/>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 xml:space="preserve">Para dar cumplimiento a dicha obligación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señalan que los Sujetos Obligados deberán organizar y publicar la información relativa a todos los programas que desarrolla o regula y </w:t>
      </w:r>
      <w:r w:rsidRPr="00D6619A">
        <w:rPr>
          <w:rFonts w:ascii="Palatino Linotype" w:eastAsia="Palatino Linotype" w:hAnsi="Palatino Linotype" w:cs="Palatino Linotype"/>
          <w:b/>
          <w:u w:val="single"/>
        </w:rPr>
        <w:t>que impliquen subsidios, estímulos y apoyos en efectivo o en especie.</w:t>
      </w:r>
      <w:r w:rsidRPr="00D6619A">
        <w:rPr>
          <w:rFonts w:ascii="Palatino Linotype" w:eastAsia="Palatino Linotype" w:hAnsi="Palatino Linotype" w:cs="Palatino Linotype"/>
        </w:rPr>
        <w:t xml:space="preserve"> Se trata de los programas que, de acuerdo con la correspondiente </w:t>
      </w:r>
      <w:r w:rsidRPr="00D6619A">
        <w:rPr>
          <w:rFonts w:ascii="Palatino Linotype" w:eastAsia="Palatino Linotype" w:hAnsi="Palatino Linotype" w:cs="Palatino Linotype"/>
        </w:rPr>
        <w:lastRenderedPageBreak/>
        <w:t xml:space="preserve">normatividad, los sujetos obligados dirijan a la población para incidir en su bienestar y hacer efectivos sus derechos. </w:t>
      </w:r>
    </w:p>
    <w:p w:rsidR="004875B3" w:rsidRPr="00D6619A" w:rsidRDefault="004875B3">
      <w:pPr>
        <w:ind w:right="-1417"/>
        <w:rPr>
          <w:rFonts w:ascii="Palatino Linotype" w:eastAsia="Palatino Linotype" w:hAnsi="Palatino Linotype" w:cs="Palatino Linotype"/>
        </w:rPr>
      </w:pP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 lo anterior, se colige que el  otorgar recursos económicos a asociaciones por medio de recursos públicos se tiene como un apoyo del cual en el caso en particular el beneficiado sería la Asociación referida en la solicitud de información, a la que se le estaría dando un monto de apoyo, por lo que  se determina que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si tiene acceso a la información donde se refleje el monto de ingresos que ha recibido la Asociación Estatal de Ajedrez A.C por parte del Gobierno del Estado de México. </w:t>
      </w: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Por lo que, se debe de referir que de manera enunciativa más no limitativa la información solicitada pudiera encontrarse en los programas que desarrolle la Secretaría de Educación, Ciencia, Tecnología e Innovación con la Asociación Estatal de Ajedrez A.C. </w:t>
      </w: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Sirve de reforzamiento a lo anterior la siguiente captura de pantalla en la que se observa que la Asociación referida en la solicitud de información, forma parte del directorio de Asociaciones Deportivas que se encuentra publicado en la página oficial del </w:t>
      </w:r>
      <w:r w:rsidRPr="00D6619A">
        <w:rPr>
          <w:rFonts w:ascii="Palatino Linotype" w:eastAsia="Palatino Linotype" w:hAnsi="Palatino Linotype" w:cs="Palatino Linotype"/>
          <w:b/>
          <w:color w:val="000000"/>
        </w:rPr>
        <w:t xml:space="preserve">SUJETO OBLIGADO. </w:t>
      </w:r>
    </w:p>
    <w:p w:rsidR="004875B3" w:rsidRPr="00D6619A" w:rsidRDefault="00BF65D5">
      <w:pPr>
        <w:pBdr>
          <w:top w:val="nil"/>
          <w:left w:val="nil"/>
          <w:bottom w:val="nil"/>
          <w:right w:val="nil"/>
          <w:between w:val="nil"/>
        </w:pBdr>
        <w:ind w:left="720" w:right="-1417"/>
        <w:jc w:val="center"/>
        <w:rPr>
          <w:rFonts w:ascii="Palatino Linotype" w:eastAsia="Palatino Linotype" w:hAnsi="Palatino Linotype" w:cs="Palatino Linotype"/>
          <w:color w:val="000000"/>
        </w:rPr>
      </w:pPr>
      <w:r w:rsidRPr="00D6619A">
        <w:rPr>
          <w:rFonts w:ascii="Palatino Linotype" w:eastAsia="Palatino Linotype" w:hAnsi="Palatino Linotype" w:cs="Palatino Linotype"/>
          <w:noProof/>
          <w:color w:val="000000"/>
        </w:rPr>
        <w:drawing>
          <wp:inline distT="0" distB="0" distL="0" distR="0">
            <wp:extent cx="3727560" cy="746873"/>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27560" cy="746873"/>
                    </a:xfrm>
                    <a:prstGeom prst="rect">
                      <a:avLst/>
                    </a:prstGeom>
                    <a:ln/>
                  </pic:spPr>
                </pic:pic>
              </a:graphicData>
            </a:graphic>
          </wp:inline>
        </w:drawing>
      </w:r>
    </w:p>
    <w:p w:rsidR="004875B3" w:rsidRPr="00D6619A" w:rsidRDefault="00BF65D5">
      <w:pPr>
        <w:pBdr>
          <w:top w:val="nil"/>
          <w:left w:val="nil"/>
          <w:bottom w:val="nil"/>
          <w:right w:val="nil"/>
          <w:between w:val="nil"/>
        </w:pBdr>
        <w:ind w:left="720" w:right="-1417"/>
        <w:jc w:val="center"/>
        <w:rPr>
          <w:rFonts w:ascii="Palatino Linotype" w:eastAsia="Palatino Linotype" w:hAnsi="Palatino Linotype" w:cs="Palatino Linotype"/>
          <w:color w:val="000000"/>
        </w:rPr>
      </w:pPr>
      <w:r w:rsidRPr="00D6619A">
        <w:rPr>
          <w:rFonts w:ascii="Palatino Linotype" w:eastAsia="Palatino Linotype" w:hAnsi="Palatino Linotype" w:cs="Palatino Linotype"/>
          <w:noProof/>
          <w:color w:val="000000"/>
        </w:rPr>
        <w:lastRenderedPageBreak/>
        <w:drawing>
          <wp:inline distT="0" distB="0" distL="0" distR="0">
            <wp:extent cx="3284151" cy="1676719"/>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84151" cy="1676719"/>
                    </a:xfrm>
                    <a:prstGeom prst="rect">
                      <a:avLst/>
                    </a:prstGeom>
                    <a:ln/>
                  </pic:spPr>
                </pic:pic>
              </a:graphicData>
            </a:graphic>
          </wp:inline>
        </w:drawing>
      </w:r>
    </w:p>
    <w:p w:rsidR="004875B3" w:rsidRPr="00D6619A" w:rsidRDefault="00BF65D5">
      <w:pPr>
        <w:numPr>
          <w:ilvl w:val="0"/>
          <w:numId w:val="6"/>
        </w:numPr>
        <w:pBdr>
          <w:top w:val="nil"/>
          <w:left w:val="nil"/>
          <w:bottom w:val="nil"/>
          <w:right w:val="nil"/>
          <w:between w:val="nil"/>
        </w:pBd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Ahora bien, de ser el caso que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no hubiera otorgado apoyos por medio del recurso público a la Asociación referida en la solicitud de información, deberá de hacerlo del conocimiento al </w:t>
      </w:r>
      <w:r w:rsidRPr="00D6619A">
        <w:rPr>
          <w:rFonts w:ascii="Palatino Linotype" w:eastAsia="Palatino Linotype" w:hAnsi="Palatino Linotype" w:cs="Palatino Linotype"/>
          <w:b/>
          <w:color w:val="000000"/>
        </w:rPr>
        <w:t xml:space="preserve">RECURRENTE </w:t>
      </w:r>
      <w:r w:rsidRPr="00D6619A">
        <w:rPr>
          <w:rFonts w:ascii="Palatino Linotype" w:eastAsia="Palatino Linotype" w:hAnsi="Palatino Linotype" w:cs="Palatino Linotype"/>
          <w:color w:val="000000"/>
        </w:rPr>
        <w:t xml:space="preserve">de conformidad con el artículo 19 párrafo segundo de la Ley de Transparencia y Acceso a la Información Pública del Estado de México y Municipios. </w:t>
      </w:r>
    </w:p>
    <w:p w:rsidR="004875B3" w:rsidRPr="00D6619A" w:rsidRDefault="004875B3">
      <w:pPr>
        <w:pBdr>
          <w:top w:val="nil"/>
          <w:left w:val="nil"/>
          <w:bottom w:val="nil"/>
          <w:right w:val="nil"/>
          <w:between w:val="nil"/>
        </w:pBdr>
        <w:spacing w:line="360" w:lineRule="auto"/>
        <w:ind w:right="-1417"/>
        <w:jc w:val="center"/>
        <w:rPr>
          <w:color w:val="000000"/>
        </w:rPr>
      </w:pPr>
    </w:p>
    <w:p w:rsidR="004875B3" w:rsidRPr="00D6619A" w:rsidRDefault="004875B3">
      <w:pPr>
        <w:pBdr>
          <w:top w:val="nil"/>
          <w:left w:val="nil"/>
          <w:bottom w:val="nil"/>
          <w:right w:val="nil"/>
          <w:between w:val="nil"/>
        </w:pBdr>
        <w:spacing w:line="360" w:lineRule="auto"/>
        <w:ind w:right="-1417"/>
        <w:jc w:val="both"/>
        <w:rPr>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Seguidamente,  se debe de mencionar que de la información que se ordene se pudiera contener datos personales  que deban de ser clasificados como confidenciales, de los cuales de manera enunciativa más no limitativa pudieran ser los siguientes.</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spacing w:line="360" w:lineRule="auto"/>
        <w:ind w:right="-1417"/>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b/>
          <w:color w:val="000000"/>
        </w:rPr>
        <w:t>Registro Federal de Contribuyentes</w:t>
      </w:r>
      <w:r w:rsidRPr="00D6619A">
        <w:rPr>
          <w:rFonts w:ascii="Palatino Linotype" w:eastAsia="Palatino Linotype" w:hAnsi="Palatino Linotype" w:cs="Palatino Linotype"/>
          <w:color w:val="000000"/>
        </w:rPr>
        <w:t xml:space="preserve"> (RFC)</w:t>
      </w: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Las</w:t>
      </w:r>
      <w:r w:rsidRPr="00D6619A">
        <w:rPr>
          <w:rFonts w:ascii="Palatino Linotype" w:eastAsia="Palatino Linotype" w:hAnsi="Palatino Linotype" w:cs="Palatino Linotype"/>
          <w:color w:val="000000"/>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Ahora</w:t>
      </w:r>
      <w:r w:rsidRPr="00D6619A">
        <w:rPr>
          <w:rFonts w:ascii="Palatino Linotype" w:eastAsia="Palatino Linotype" w:hAnsi="Palatino Linotype" w:cs="Palatino Linotype"/>
          <w:color w:val="000000"/>
        </w:rPr>
        <w:t xml:space="preserve">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Conforme</w:t>
      </w:r>
      <w:r w:rsidRPr="00D6619A">
        <w:rPr>
          <w:rFonts w:ascii="Palatino Linotype" w:eastAsia="Palatino Linotype" w:hAnsi="Palatino Linotype" w:cs="Palatino Linotype"/>
          <w:color w:val="000000"/>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Lo</w:t>
      </w:r>
      <w:r w:rsidRPr="00D6619A">
        <w:rPr>
          <w:rFonts w:ascii="Palatino Linotype" w:eastAsia="Palatino Linotype" w:hAnsi="Palatino Linotype" w:cs="Palatino Linotype"/>
          <w:color w:val="000000"/>
        </w:rPr>
        <w:t xml:space="preserve"> anterior, resulta congruente con el Criterio 19/17 emitido por el Instituto Nacional de Transparencia, Acceso a la Información y Protección de Datos Personales, en el cual se señala lo siguiente:</w:t>
      </w:r>
    </w:p>
    <w:p w:rsidR="004875B3" w:rsidRPr="00D6619A" w:rsidRDefault="00BF65D5">
      <w:pP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i/>
          <w:color w:val="000000"/>
          <w:sz w:val="22"/>
          <w:szCs w:val="22"/>
        </w:rPr>
        <w:lastRenderedPageBreak/>
        <w:t>“</w:t>
      </w:r>
      <w:r w:rsidRPr="00D6619A">
        <w:rPr>
          <w:rFonts w:ascii="Palatino Linotype" w:eastAsia="Palatino Linotype" w:hAnsi="Palatino Linotype" w:cs="Palatino Linotype"/>
          <w:b/>
          <w:i/>
          <w:color w:val="000000"/>
          <w:sz w:val="22"/>
          <w:szCs w:val="22"/>
        </w:rPr>
        <w:t>Registro Federal de Contribuyentes (RFC) de personas físicas</w:t>
      </w:r>
      <w:r w:rsidRPr="00D6619A">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rsidR="004875B3" w:rsidRPr="00D6619A" w:rsidRDefault="004875B3">
      <w:pPr>
        <w:ind w:left="1134"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De</w:t>
      </w:r>
      <w:r w:rsidRPr="00D6619A">
        <w:rPr>
          <w:rFonts w:ascii="Palatino Linotype" w:eastAsia="Palatino Linotype" w:hAnsi="Palatino Linotype" w:cs="Palatino Linotype"/>
          <w:color w:val="000000"/>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spacing w:line="360" w:lineRule="auto"/>
        <w:ind w:right="-1417"/>
        <w:jc w:val="both"/>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Clave única de Registro de Población –CURP-</w:t>
      </w: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Acorde con lo anterior, el artículo 22 del Reglamento Interior de la Secretaría de </w:t>
      </w:r>
      <w:r w:rsidRPr="00D6619A">
        <w:rPr>
          <w:rFonts w:ascii="Palatino Linotype" w:eastAsia="Palatino Linotype" w:hAnsi="Palatino Linotype" w:cs="Palatino Linotype"/>
        </w:rPr>
        <w:t>Gobernación</w:t>
      </w:r>
      <w:r w:rsidRPr="00D6619A">
        <w:rPr>
          <w:rFonts w:ascii="Palatino Linotype" w:eastAsia="Palatino Linotype" w:hAnsi="Palatino Linotype" w:cs="Palatino Linotype"/>
          <w:color w:val="000000"/>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4875B3" w:rsidRPr="00D6619A" w:rsidRDefault="004875B3">
      <w:pPr>
        <w:spacing w:line="360" w:lineRule="auto"/>
        <w:ind w:right="-1417"/>
        <w:jc w:val="both"/>
        <w:rPr>
          <w:rFonts w:ascii="Palatino Linotype" w:eastAsia="Palatino Linotype" w:hAnsi="Palatino Linotype" w:cs="Palatino Linotype"/>
          <w:b/>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lastRenderedPageBreak/>
        <w:t xml:space="preserve">De conformidad con lo precisado por la propia Secretaría de Gobernación en la dirección </w:t>
      </w:r>
      <w:hyperlink r:id="rId10">
        <w:r w:rsidRPr="00D6619A">
          <w:rPr>
            <w:rFonts w:ascii="Palatino Linotype" w:eastAsia="Palatino Linotype" w:hAnsi="Palatino Linotype" w:cs="Palatino Linotype"/>
            <w:color w:val="0563C1"/>
            <w:u w:val="single"/>
          </w:rPr>
          <w:t>https://consultas.curp.gob.mx/CurpSP/html/informacionecurpPS.html</w:t>
        </w:r>
      </w:hyperlink>
      <w:r w:rsidRPr="00D6619A">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D6619A">
        <w:rPr>
          <w:rFonts w:ascii="Palatino Linotype" w:eastAsia="Palatino Linotype" w:hAnsi="Palatino Linotype" w:cs="Palatino Linotype"/>
          <w:b/>
          <w:color w:val="000000"/>
        </w:rPr>
        <w:t xml:space="preserve">se generan a partir de los datos contenidos en el documento probatorio de la identidad del interesado </w:t>
      </w:r>
      <w:r w:rsidRPr="00D6619A">
        <w:rPr>
          <w:rFonts w:ascii="Palatino Linotype" w:eastAsia="Palatino Linotype" w:hAnsi="Palatino Linotype" w:cs="Palatino Linotype"/>
          <w:color w:val="000000"/>
        </w:rPr>
        <w:t>(acta de nacimiento, carta de naturalización o documento migratorio) de la siguiente forma:</w:t>
      </w:r>
    </w:p>
    <w:p w:rsidR="004875B3" w:rsidRPr="00D6619A" w:rsidRDefault="00BF65D5">
      <w:pPr>
        <w:spacing w:line="360" w:lineRule="auto"/>
        <w:ind w:right="-850"/>
        <w:jc w:val="both"/>
        <w:rPr>
          <w:rFonts w:ascii="Palatino Linotype" w:eastAsia="Palatino Linotype" w:hAnsi="Palatino Linotype" w:cs="Palatino Linotype"/>
          <w:color w:val="000000"/>
          <w:sz w:val="22"/>
          <w:szCs w:val="22"/>
        </w:rPr>
      </w:pPr>
      <w:r w:rsidRPr="00D6619A">
        <w:rPr>
          <w:rFonts w:ascii="Palatino Linotype" w:eastAsia="Palatino Linotype" w:hAnsi="Palatino Linotype" w:cs="Palatino Linotype"/>
          <w:color w:val="000000"/>
        </w:rPr>
        <w:t xml:space="preserve"> •</w:t>
      </w:r>
      <w:r w:rsidRPr="00D6619A">
        <w:rPr>
          <w:rFonts w:ascii="Palatino Linotype" w:eastAsia="Palatino Linotype" w:hAnsi="Palatino Linotype" w:cs="Palatino Linotype"/>
          <w:color w:val="000000"/>
          <w:sz w:val="22"/>
          <w:szCs w:val="22"/>
        </w:rPr>
        <w:t xml:space="preserve"> El primero y segundo apellidos, así como al nombre de pila.</w:t>
      </w:r>
    </w:p>
    <w:p w:rsidR="004875B3" w:rsidRPr="00D6619A" w:rsidRDefault="00BF65D5">
      <w:pPr>
        <w:spacing w:line="360" w:lineRule="auto"/>
        <w:ind w:right="-850"/>
        <w:jc w:val="both"/>
        <w:rPr>
          <w:rFonts w:ascii="Palatino Linotype" w:eastAsia="Palatino Linotype" w:hAnsi="Palatino Linotype" w:cs="Palatino Linotype"/>
          <w:color w:val="000000"/>
          <w:sz w:val="22"/>
          <w:szCs w:val="22"/>
        </w:rPr>
      </w:pPr>
      <w:r w:rsidRPr="00D6619A">
        <w:rPr>
          <w:rFonts w:ascii="Palatino Linotype" w:eastAsia="Palatino Linotype" w:hAnsi="Palatino Linotype" w:cs="Palatino Linotype"/>
          <w:color w:val="000000"/>
          <w:sz w:val="22"/>
          <w:szCs w:val="22"/>
        </w:rPr>
        <w:t xml:space="preserve"> • La fecha de nacimiento.</w:t>
      </w:r>
    </w:p>
    <w:p w:rsidR="004875B3" w:rsidRPr="00D6619A" w:rsidRDefault="00BF65D5">
      <w:pPr>
        <w:spacing w:line="360" w:lineRule="auto"/>
        <w:ind w:right="-850"/>
        <w:jc w:val="both"/>
        <w:rPr>
          <w:rFonts w:ascii="Palatino Linotype" w:eastAsia="Palatino Linotype" w:hAnsi="Palatino Linotype" w:cs="Palatino Linotype"/>
          <w:color w:val="000000"/>
          <w:sz w:val="22"/>
          <w:szCs w:val="22"/>
        </w:rPr>
      </w:pPr>
      <w:r w:rsidRPr="00D6619A">
        <w:rPr>
          <w:rFonts w:ascii="Palatino Linotype" w:eastAsia="Palatino Linotype" w:hAnsi="Palatino Linotype" w:cs="Palatino Linotype"/>
          <w:color w:val="000000"/>
          <w:sz w:val="22"/>
          <w:szCs w:val="22"/>
        </w:rPr>
        <w:t xml:space="preserve"> • El sexo.</w:t>
      </w:r>
    </w:p>
    <w:p w:rsidR="004875B3" w:rsidRPr="00D6619A" w:rsidRDefault="00BF65D5">
      <w:pPr>
        <w:spacing w:line="360" w:lineRule="auto"/>
        <w:ind w:right="-850"/>
        <w:jc w:val="both"/>
        <w:rPr>
          <w:rFonts w:ascii="Palatino Linotype" w:eastAsia="Palatino Linotype" w:hAnsi="Palatino Linotype" w:cs="Palatino Linotype"/>
          <w:color w:val="000000"/>
          <w:sz w:val="22"/>
          <w:szCs w:val="22"/>
        </w:rPr>
      </w:pPr>
      <w:r w:rsidRPr="00D6619A">
        <w:rPr>
          <w:rFonts w:ascii="Palatino Linotype" w:eastAsia="Palatino Linotype" w:hAnsi="Palatino Linotype" w:cs="Palatino Linotype"/>
          <w:color w:val="000000"/>
          <w:sz w:val="22"/>
          <w:szCs w:val="22"/>
        </w:rPr>
        <w:t xml:space="preserve"> • La entidad federativa de nacimiento.</w:t>
      </w:r>
    </w:p>
    <w:p w:rsidR="004875B3" w:rsidRPr="00D6619A" w:rsidRDefault="00BF65D5">
      <w:pPr>
        <w:spacing w:line="360" w:lineRule="auto"/>
        <w:ind w:right="-850"/>
        <w:jc w:val="both"/>
        <w:rPr>
          <w:rFonts w:ascii="Palatino Linotype" w:eastAsia="Palatino Linotype" w:hAnsi="Palatino Linotype" w:cs="Palatino Linotype"/>
          <w:color w:val="000000"/>
          <w:sz w:val="22"/>
          <w:szCs w:val="22"/>
        </w:rPr>
      </w:pPr>
      <w:r w:rsidRPr="00D6619A">
        <w:rPr>
          <w:rFonts w:ascii="Palatino Linotype" w:eastAsia="Palatino Linotype" w:hAnsi="Palatino Linotype" w:cs="Palatino Linotype"/>
          <w:color w:val="000000"/>
          <w:sz w:val="22"/>
          <w:szCs w:val="22"/>
        </w:rPr>
        <w:t xml:space="preserve">Los dos últimos elementos de la CURP evitan la duplicidad de la </w:t>
      </w:r>
      <w:r w:rsidRPr="00D6619A">
        <w:rPr>
          <w:rFonts w:ascii="Palatino Linotype" w:eastAsia="Palatino Linotype" w:hAnsi="Palatino Linotype" w:cs="Palatino Linotype"/>
          <w:sz w:val="22"/>
          <w:szCs w:val="22"/>
        </w:rPr>
        <w:t>clave</w:t>
      </w:r>
      <w:r w:rsidRPr="00D6619A">
        <w:rPr>
          <w:rFonts w:ascii="Palatino Linotype" w:eastAsia="Palatino Linotype" w:hAnsi="Palatino Linotype" w:cs="Palatino Linotype"/>
          <w:color w:val="000000"/>
          <w:sz w:val="22"/>
          <w:szCs w:val="22"/>
        </w:rPr>
        <w:t xml:space="preserve"> y garantizan su correcta integración.</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rPr>
        <w:t>Como</w:t>
      </w:r>
      <w:r w:rsidRPr="00D6619A">
        <w:rPr>
          <w:rFonts w:ascii="Palatino Linotype" w:eastAsia="Palatino Linotype" w:hAnsi="Palatino Linotype" w:cs="Palatino Linotype"/>
          <w:color w:val="000000"/>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Resulta aplicable en la especie, como argumento orientador, el Criterio 3/10, emitido por el INAI.</w:t>
      </w:r>
    </w:p>
    <w:p w:rsidR="004875B3" w:rsidRPr="00D6619A" w:rsidRDefault="00BF65D5">
      <w:pPr>
        <w:ind w:left="1134" w:right="-850"/>
        <w:jc w:val="both"/>
        <w:rPr>
          <w:rFonts w:ascii="Palatino Linotype" w:eastAsia="Palatino Linotype" w:hAnsi="Palatino Linotype" w:cs="Palatino Linotype"/>
          <w:i/>
          <w:color w:val="000000"/>
          <w:sz w:val="22"/>
          <w:szCs w:val="22"/>
        </w:rPr>
      </w:pPr>
      <w:r w:rsidRPr="00D6619A">
        <w:rPr>
          <w:rFonts w:ascii="Palatino Linotype" w:eastAsia="Palatino Linotype" w:hAnsi="Palatino Linotype" w:cs="Palatino Linotype"/>
          <w:b/>
          <w:i/>
          <w:color w:val="000000"/>
          <w:sz w:val="22"/>
          <w:szCs w:val="22"/>
        </w:rPr>
        <w:lastRenderedPageBreak/>
        <w:t xml:space="preserve">Clave Única de Registro de Población (CURP) es un dato personal confidencial. </w:t>
      </w:r>
      <w:r w:rsidRPr="00D6619A">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4875B3" w:rsidRPr="00D6619A" w:rsidRDefault="004875B3">
      <w:pPr>
        <w:ind w:left="1134"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De acuerdo con lo anterior, la clave CURP, es un dato personal confidencial, en términos del artículo 143, fracción I, de la Ley de Transparencia y Acceso a la Información Pública del Estado de México y Municipios.</w:t>
      </w: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4875B3">
      <w:pPr>
        <w:ind w:right="-1417"/>
        <w:rPr>
          <w:rFonts w:ascii="Palatino Linotype" w:eastAsia="Palatino Linotype" w:hAnsi="Palatino Linotype" w:cs="Palatino Linotype"/>
          <w:color w:val="000000"/>
        </w:rPr>
      </w:pPr>
    </w:p>
    <w:p w:rsidR="004875B3" w:rsidRPr="00D6619A" w:rsidRDefault="00BF65D5">
      <w:pPr>
        <w:spacing w:line="360" w:lineRule="auto"/>
        <w:ind w:right="-1417"/>
        <w:jc w:val="both"/>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Domicilio de particulares</w:t>
      </w: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D6619A">
        <w:rPr>
          <w:rFonts w:ascii="Palatino Linotype" w:eastAsia="Palatino Linotype" w:hAnsi="Palatino Linotype" w:cs="Palatino Linotype"/>
          <w:b/>
          <w:color w:val="000000"/>
        </w:rPr>
        <w:t>el domicilio particular</w:t>
      </w:r>
      <w:r w:rsidRPr="00D6619A">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rsidR="004875B3" w:rsidRPr="00D6619A" w:rsidRDefault="004875B3">
      <w:pPr>
        <w:pBdr>
          <w:top w:val="nil"/>
          <w:left w:val="nil"/>
          <w:bottom w:val="nil"/>
          <w:right w:val="nil"/>
          <w:between w:val="nil"/>
        </w:pBdr>
        <w:ind w:right="-1417"/>
        <w:rPr>
          <w:rFonts w:ascii="Palatino Linotype" w:eastAsia="Palatino Linotype" w:hAnsi="Palatino Linotype" w:cs="Palatino Linotype"/>
          <w:color w:val="000000"/>
        </w:rPr>
      </w:pPr>
    </w:p>
    <w:p w:rsidR="004875B3" w:rsidRPr="00D6619A" w:rsidRDefault="00BF65D5">
      <w:pPr>
        <w:spacing w:line="360" w:lineRule="auto"/>
        <w:ind w:right="-1417"/>
        <w:jc w:val="both"/>
        <w:rPr>
          <w:rFonts w:ascii="Palatino Linotype" w:eastAsia="Palatino Linotype" w:hAnsi="Palatino Linotype" w:cs="Palatino Linotype"/>
        </w:rPr>
      </w:pPr>
      <w:r w:rsidRPr="00D6619A">
        <w:rPr>
          <w:rFonts w:ascii="Palatino Linotype" w:eastAsia="Palatino Linotype" w:hAnsi="Palatino Linotype" w:cs="Palatino Linotype"/>
          <w:b/>
        </w:rPr>
        <w:lastRenderedPageBreak/>
        <w:t>Teléfono y celular particular.</w:t>
      </w: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rPr>
          <w:rFonts w:ascii="Palatino Linotype" w:eastAsia="Palatino Linotype" w:hAnsi="Palatino Linotype" w:cs="Palatino Linotype"/>
        </w:rPr>
      </w:pPr>
      <w:r w:rsidRPr="00D6619A">
        <w:rPr>
          <w:rFonts w:ascii="Palatino Linotype" w:eastAsia="Palatino Linotype" w:hAnsi="Palatino Linotype" w:cs="Palatino Linotype"/>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4875B3" w:rsidRPr="00D6619A" w:rsidRDefault="004875B3">
      <w:pPr>
        <w:pBdr>
          <w:top w:val="nil"/>
          <w:left w:val="nil"/>
          <w:bottom w:val="nil"/>
          <w:right w:val="nil"/>
          <w:between w:val="nil"/>
        </w:pBdr>
        <w:ind w:left="720" w:right="-1417"/>
        <w:rPr>
          <w:rFonts w:ascii="Palatino Linotype" w:eastAsia="Palatino Linotype" w:hAnsi="Palatino Linotype" w:cs="Palatino Linotype"/>
          <w:color w:val="000000"/>
        </w:rPr>
      </w:pPr>
    </w:p>
    <w:p w:rsidR="004875B3" w:rsidRPr="00D6619A" w:rsidRDefault="00BF65D5">
      <w:pPr>
        <w:keepNext/>
        <w:keepLines/>
        <w:spacing w:after="160" w:line="360" w:lineRule="auto"/>
        <w:ind w:right="-1417"/>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QUINTO. De la versión pública.</w:t>
      </w:r>
    </w:p>
    <w:p w:rsidR="004875B3" w:rsidRPr="00D6619A" w:rsidRDefault="00BF65D5">
      <w:pPr>
        <w:keepNext/>
        <w:keepLines/>
        <w:numPr>
          <w:ilvl w:val="0"/>
          <w:numId w:val="8"/>
        </w:numPr>
        <w:tabs>
          <w:tab w:val="left" w:pos="284"/>
        </w:tabs>
        <w:spacing w:after="160" w:line="360" w:lineRule="auto"/>
        <w:ind w:left="0" w:right="-1417" w:firstLine="0"/>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 xml:space="preserve">Nociones generales. </w:t>
      </w:r>
    </w:p>
    <w:p w:rsidR="004875B3" w:rsidRPr="00D6619A" w:rsidRDefault="00BF65D5">
      <w:pPr>
        <w:numPr>
          <w:ilvl w:val="0"/>
          <w:numId w:val="6"/>
        </w:numPr>
        <w:spacing w:line="360" w:lineRule="auto"/>
        <w:ind w:left="0" w:right="-1417" w:firstLine="0"/>
        <w:jc w:val="both"/>
        <w:rPr>
          <w:color w:val="000000"/>
        </w:rPr>
      </w:pPr>
      <w:r w:rsidRPr="00D6619A">
        <w:rPr>
          <w:rFonts w:ascii="Palatino Linotype" w:eastAsia="Palatino Linotype" w:hAnsi="Palatino Linotype" w:cs="Palatino Linotype"/>
          <w:color w:val="000000"/>
        </w:rPr>
        <w:t xml:space="preserve">Debe destacarse, que debido a la información solicitada por el </w:t>
      </w:r>
      <w:r w:rsidRPr="00D6619A">
        <w:rPr>
          <w:rFonts w:ascii="Palatino Linotype" w:eastAsia="Palatino Linotype" w:hAnsi="Palatino Linotype" w:cs="Palatino Linotype"/>
          <w:b/>
          <w:color w:val="000000"/>
        </w:rPr>
        <w:t xml:space="preserve">RECURRENTE, pueden obrar </w:t>
      </w:r>
      <w:r w:rsidRPr="00D6619A">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D6619A">
        <w:rPr>
          <w:rFonts w:ascii="Palatino Linotype" w:eastAsia="Palatino Linotype" w:hAnsi="Palatino Linotype" w:cs="Palatino Linotype"/>
          <w:b/>
          <w:color w:val="000000"/>
        </w:rPr>
        <w:t xml:space="preserve">SUJETO OBLIGADO </w:t>
      </w:r>
      <w:r w:rsidRPr="00D6619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4875B3" w:rsidRPr="00D6619A" w:rsidRDefault="004875B3">
      <w:pPr>
        <w:tabs>
          <w:tab w:val="left" w:pos="0"/>
          <w:tab w:val="left" w:pos="284"/>
        </w:tabs>
        <w:spacing w:line="360" w:lineRule="auto"/>
        <w:ind w:right="-1417"/>
        <w:jc w:val="both"/>
        <w:rPr>
          <w:rFonts w:ascii="Palatino Linotype" w:eastAsia="Palatino Linotype" w:hAnsi="Palatino Linotype" w:cs="Palatino Linotype"/>
        </w:rPr>
      </w:pPr>
    </w:p>
    <w:p w:rsidR="004875B3" w:rsidRPr="00D6619A" w:rsidRDefault="00BF65D5">
      <w:pPr>
        <w:numPr>
          <w:ilvl w:val="0"/>
          <w:numId w:val="6"/>
        </w:numPr>
        <w:spacing w:line="360" w:lineRule="auto"/>
        <w:ind w:left="0" w:right="-1417" w:firstLine="0"/>
        <w:jc w:val="both"/>
        <w:rPr>
          <w:color w:val="000000"/>
        </w:rPr>
      </w:pPr>
      <w:r w:rsidRPr="00D6619A">
        <w:rPr>
          <w:rFonts w:ascii="Palatino Linotype" w:eastAsia="Palatino Linotype" w:hAnsi="Palatino Linotype" w:cs="Palatino Linotype"/>
          <w:color w:val="000000"/>
        </w:rPr>
        <w:t>No pasa desapercibido para este Órgano Garante que los sujetos obligados</w:t>
      </w:r>
      <w:r w:rsidRPr="00D6619A">
        <w:rPr>
          <w:rFonts w:ascii="Palatino Linotype" w:eastAsia="Palatino Linotype" w:hAnsi="Palatino Linotype" w:cs="Palatino Linotype"/>
          <w:b/>
          <w:color w:val="000000"/>
        </w:rPr>
        <w:t xml:space="preserve"> </w:t>
      </w:r>
      <w:r w:rsidRPr="00D6619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875B3" w:rsidRPr="00D6619A" w:rsidRDefault="004875B3">
      <w:pPr>
        <w:tabs>
          <w:tab w:val="left" w:pos="284"/>
        </w:tabs>
        <w:spacing w:after="160" w:line="360" w:lineRule="auto"/>
        <w:ind w:right="-1417"/>
        <w:jc w:val="both"/>
        <w:rPr>
          <w:rFonts w:ascii="Palatino Linotype" w:eastAsia="Palatino Linotype" w:hAnsi="Palatino Linotype" w:cs="Palatino Linotype"/>
          <w:color w:val="000000"/>
        </w:rPr>
      </w:pPr>
    </w:p>
    <w:tbl>
      <w:tblPr>
        <w:tblStyle w:val="a2"/>
        <w:tblW w:w="961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10"/>
      </w:tblGrid>
      <w:tr w:rsidR="004875B3" w:rsidRPr="00D6619A">
        <w:tc>
          <w:tcPr>
            <w:tcW w:w="2805" w:type="dxa"/>
          </w:tcPr>
          <w:p w:rsidR="004875B3" w:rsidRPr="00D6619A" w:rsidRDefault="00BF65D5">
            <w:pPr>
              <w:tabs>
                <w:tab w:val="left" w:pos="284"/>
              </w:tabs>
              <w:spacing w:line="360" w:lineRule="auto"/>
              <w:ind w:right="13"/>
              <w:rPr>
                <w:rFonts w:ascii="Palatino Linotype" w:eastAsia="Palatino Linotype" w:hAnsi="Palatino Linotype" w:cs="Palatino Linotype"/>
              </w:rPr>
            </w:pPr>
            <w:r w:rsidRPr="00D6619A">
              <w:rPr>
                <w:rFonts w:ascii="Palatino Linotype" w:eastAsia="Palatino Linotype" w:hAnsi="Palatino Linotype" w:cs="Palatino Linotype"/>
              </w:rPr>
              <w:t>a) Requisitos previos.</w:t>
            </w:r>
          </w:p>
        </w:tc>
        <w:tc>
          <w:tcPr>
            <w:tcW w:w="6810" w:type="dxa"/>
          </w:tcPr>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4875B3" w:rsidRPr="00D6619A" w:rsidRDefault="00BF65D5">
            <w:pPr>
              <w:tabs>
                <w:tab w:val="left" w:pos="284"/>
              </w:tabs>
              <w:spacing w:line="360" w:lineRule="auto"/>
              <w:ind w:right="20"/>
              <w:jc w:val="both"/>
              <w:rPr>
                <w:rFonts w:ascii="Palatino Linotype" w:eastAsia="Palatino Linotype" w:hAnsi="Palatino Linotype" w:cs="Palatino Linotype"/>
              </w:rPr>
            </w:pPr>
            <w:r w:rsidRPr="00D6619A">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D6619A">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D6619A">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4875B3" w:rsidRPr="00D6619A">
        <w:tc>
          <w:tcPr>
            <w:tcW w:w="2805" w:type="dxa"/>
          </w:tcPr>
          <w:p w:rsidR="004875B3" w:rsidRPr="00D6619A" w:rsidRDefault="00BF65D5">
            <w:pPr>
              <w:tabs>
                <w:tab w:val="left" w:pos="284"/>
              </w:tabs>
              <w:spacing w:line="360" w:lineRule="auto"/>
              <w:ind w:right="13"/>
              <w:rPr>
                <w:rFonts w:ascii="Palatino Linotype" w:eastAsia="Palatino Linotype" w:hAnsi="Palatino Linotype" w:cs="Palatino Linotype"/>
              </w:rPr>
            </w:pPr>
            <w:r w:rsidRPr="00D6619A">
              <w:rPr>
                <w:rFonts w:ascii="Palatino Linotype" w:eastAsia="Palatino Linotype" w:hAnsi="Palatino Linotype" w:cs="Palatino Linotype"/>
              </w:rPr>
              <w:t>b) Supuestos de clasificación.</w:t>
            </w:r>
          </w:p>
        </w:tc>
        <w:tc>
          <w:tcPr>
            <w:tcW w:w="6810" w:type="dxa"/>
          </w:tcPr>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875B3" w:rsidRPr="00D6619A" w:rsidRDefault="00BF65D5">
            <w:pPr>
              <w:tabs>
                <w:tab w:val="left" w:pos="284"/>
              </w:tabs>
              <w:spacing w:line="360" w:lineRule="auto"/>
              <w:ind w:right="20"/>
              <w:jc w:val="both"/>
              <w:rPr>
                <w:rFonts w:ascii="Palatino Linotype" w:eastAsia="Palatino Linotype" w:hAnsi="Palatino Linotype" w:cs="Palatino Linotype"/>
              </w:rPr>
            </w:pPr>
            <w:r w:rsidRPr="00D6619A">
              <w:rPr>
                <w:rFonts w:ascii="Palatino Linotype" w:eastAsia="Palatino Linotype" w:hAnsi="Palatino Linotype" w:cs="Palatino Linotype"/>
                <w:color w:val="000000"/>
              </w:rPr>
              <w:t xml:space="preserve">El </w:t>
            </w:r>
            <w:r w:rsidRPr="00D6619A">
              <w:rPr>
                <w:rFonts w:ascii="Palatino Linotype" w:eastAsia="Palatino Linotype" w:hAnsi="Palatino Linotype" w:cs="Palatino Linotype"/>
                <w:b/>
                <w:color w:val="000000"/>
              </w:rPr>
              <w:t>Sujeto Obligado</w:t>
            </w:r>
            <w:r w:rsidRPr="00D6619A">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875B3" w:rsidRPr="00D6619A">
        <w:tc>
          <w:tcPr>
            <w:tcW w:w="2805" w:type="dxa"/>
          </w:tcPr>
          <w:p w:rsidR="004875B3" w:rsidRPr="00D6619A" w:rsidRDefault="00BF65D5">
            <w:pPr>
              <w:tabs>
                <w:tab w:val="left" w:pos="284"/>
              </w:tabs>
              <w:spacing w:line="360" w:lineRule="auto"/>
              <w:ind w:right="13"/>
              <w:rPr>
                <w:rFonts w:ascii="Palatino Linotype" w:eastAsia="Palatino Linotype" w:hAnsi="Palatino Linotype" w:cs="Palatino Linotype"/>
              </w:rPr>
            </w:pPr>
            <w:r w:rsidRPr="00D6619A">
              <w:rPr>
                <w:rFonts w:ascii="Palatino Linotype" w:eastAsia="Palatino Linotype" w:hAnsi="Palatino Linotype" w:cs="Palatino Linotype"/>
              </w:rPr>
              <w:lastRenderedPageBreak/>
              <w:t>c) Formalidades para emitir el acuerdo de clasificación.</w:t>
            </w:r>
          </w:p>
        </w:tc>
        <w:tc>
          <w:tcPr>
            <w:tcW w:w="6810" w:type="dxa"/>
          </w:tcPr>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Es necesario que </w:t>
            </w:r>
            <w:r w:rsidRPr="00D6619A">
              <w:rPr>
                <w:rFonts w:ascii="Palatino Linotype" w:eastAsia="Palatino Linotype" w:hAnsi="Palatino Linotype" w:cs="Palatino Linotype"/>
                <w:b/>
                <w:color w:val="000000"/>
                <w:u w:val="single"/>
              </w:rPr>
              <w:t>el acto reúna con los requisitos elementales</w:t>
            </w:r>
            <w:r w:rsidRPr="00D6619A">
              <w:rPr>
                <w:rFonts w:ascii="Palatino Linotype" w:eastAsia="Palatino Linotype" w:hAnsi="Palatino Linotype" w:cs="Palatino Linotype"/>
                <w:color w:val="000000"/>
              </w:rPr>
              <w:t>, entre ellos, que la autoridad que va a emitir el acto de autoridad sea la legalmente facultada para ello.</w:t>
            </w:r>
          </w:p>
          <w:p w:rsidR="004875B3" w:rsidRPr="00D6619A" w:rsidRDefault="00BF65D5">
            <w:pPr>
              <w:tabs>
                <w:tab w:val="left" w:pos="284"/>
              </w:tabs>
              <w:spacing w:line="360" w:lineRule="auto"/>
              <w:ind w:right="20"/>
              <w:jc w:val="both"/>
              <w:rPr>
                <w:rFonts w:ascii="Palatino Linotype" w:eastAsia="Palatino Linotype" w:hAnsi="Palatino Linotype" w:cs="Palatino Linotype"/>
              </w:rPr>
            </w:pPr>
            <w:r w:rsidRPr="00D6619A">
              <w:rPr>
                <w:rFonts w:ascii="Palatino Linotype" w:eastAsia="Palatino Linotype" w:hAnsi="Palatino Linotype" w:cs="Palatino Linotype"/>
                <w:color w:val="000000"/>
              </w:rPr>
              <w:t xml:space="preserve">La decisión de aprobar, modificar o revocar la clasificación deberá de asentarse en un documento que registre la </w:t>
            </w:r>
            <w:r w:rsidRPr="00D6619A">
              <w:rPr>
                <w:rFonts w:ascii="Palatino Linotype" w:eastAsia="Palatino Linotype" w:hAnsi="Palatino Linotype" w:cs="Palatino Linotype"/>
                <w:color w:val="000000"/>
              </w:rPr>
              <w:lastRenderedPageBreak/>
              <w:t xml:space="preserve">determinación a la que se llegue después de un análisis minucioso a partir de lo propuesto por el Titular del I. </w:t>
            </w:r>
            <w:r w:rsidRPr="00D6619A">
              <w:rPr>
                <w:rFonts w:ascii="Palatino Linotype" w:eastAsia="Palatino Linotype" w:hAnsi="Palatino Linotype" w:cs="Palatino Linotype"/>
              </w:rPr>
              <w:t>El área</w:t>
            </w:r>
            <w:r w:rsidRPr="00D6619A">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875B3" w:rsidRPr="00D6619A">
        <w:tc>
          <w:tcPr>
            <w:tcW w:w="2805" w:type="dxa"/>
          </w:tcPr>
          <w:p w:rsidR="004875B3" w:rsidRPr="00D6619A" w:rsidRDefault="004875B3">
            <w:pPr>
              <w:tabs>
                <w:tab w:val="left" w:pos="284"/>
              </w:tabs>
              <w:spacing w:line="360" w:lineRule="auto"/>
              <w:ind w:right="13"/>
              <w:rPr>
                <w:rFonts w:ascii="Palatino Linotype" w:eastAsia="Palatino Linotype" w:hAnsi="Palatino Linotype" w:cs="Palatino Linotype"/>
              </w:rPr>
            </w:pPr>
          </w:p>
          <w:p w:rsidR="004875B3" w:rsidRPr="00D6619A" w:rsidRDefault="00BF65D5">
            <w:pPr>
              <w:tabs>
                <w:tab w:val="left" w:pos="284"/>
              </w:tabs>
              <w:spacing w:line="360" w:lineRule="auto"/>
              <w:ind w:right="13"/>
              <w:jc w:val="both"/>
              <w:rPr>
                <w:rFonts w:ascii="Palatino Linotype" w:eastAsia="Palatino Linotype" w:hAnsi="Palatino Linotype" w:cs="Palatino Linotype"/>
              </w:rPr>
            </w:pPr>
            <w:r w:rsidRPr="00D6619A">
              <w:rPr>
                <w:rFonts w:ascii="Palatino Linotype" w:eastAsia="Palatino Linotype" w:hAnsi="Palatino Linotype" w:cs="Palatino Linotype"/>
                <w:color w:val="000000"/>
              </w:rPr>
              <w:t xml:space="preserve">d) Requisitos de fondo del acuerdo de clasificación. </w:t>
            </w:r>
          </w:p>
        </w:tc>
        <w:tc>
          <w:tcPr>
            <w:tcW w:w="6810" w:type="dxa"/>
          </w:tcPr>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6619A">
              <w:rPr>
                <w:rFonts w:ascii="Palatino Linotype" w:eastAsia="Palatino Linotype" w:hAnsi="Palatino Linotype" w:cs="Palatino Linotype"/>
                <w:b/>
                <w:color w:val="000000"/>
              </w:rPr>
              <w:t>Sujetos Obligados</w:t>
            </w:r>
            <w:r w:rsidRPr="00D6619A">
              <w:rPr>
                <w:rFonts w:ascii="Palatino Linotype" w:eastAsia="Palatino Linotype" w:hAnsi="Palatino Linotype" w:cs="Palatino Linotype"/>
                <w:color w:val="000000"/>
              </w:rPr>
              <w:t xml:space="preserve">, por lo que deberán fundar y motivar debidamente la clasificación. </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De lo anterior, se desprende que para una correcta </w:t>
            </w:r>
            <w:r w:rsidRPr="00D6619A">
              <w:rPr>
                <w:rFonts w:ascii="Palatino Linotype" w:eastAsia="Palatino Linotype" w:hAnsi="Palatino Linotype" w:cs="Palatino Linotype"/>
                <w:b/>
                <w:color w:val="000000"/>
              </w:rPr>
              <w:t>clasificación total o parcial</w:t>
            </w:r>
            <w:r w:rsidRPr="00D6619A">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Ahora bien, </w:t>
            </w:r>
            <w:r w:rsidRPr="00D6619A">
              <w:rPr>
                <w:rFonts w:ascii="Palatino Linotype" w:eastAsia="Palatino Linotype" w:hAnsi="Palatino Linotype" w:cs="Palatino Linotype"/>
                <w:b/>
                <w:color w:val="000000"/>
                <w:u w:val="single"/>
              </w:rPr>
              <w:t>para cada caso además de fundar y motivar</w:t>
            </w:r>
            <w:r w:rsidRPr="00D6619A">
              <w:rPr>
                <w:rFonts w:ascii="Palatino Linotype" w:eastAsia="Palatino Linotype" w:hAnsi="Palatino Linotype" w:cs="Palatino Linotype"/>
                <w:color w:val="000000"/>
              </w:rPr>
              <w:t xml:space="preserve">, se debe identificar con claridad </w:t>
            </w:r>
            <w:r w:rsidRPr="00D6619A">
              <w:rPr>
                <w:rFonts w:ascii="Palatino Linotype" w:eastAsia="Palatino Linotype" w:hAnsi="Palatino Linotype" w:cs="Palatino Linotype"/>
              </w:rPr>
              <w:t>qué</w:t>
            </w:r>
            <w:r w:rsidRPr="00D6619A">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875B3" w:rsidRPr="00D6619A">
        <w:tc>
          <w:tcPr>
            <w:tcW w:w="2805" w:type="dxa"/>
          </w:tcPr>
          <w:p w:rsidR="004875B3" w:rsidRPr="00D6619A" w:rsidRDefault="00BF65D5">
            <w:pPr>
              <w:tabs>
                <w:tab w:val="left" w:pos="284"/>
              </w:tabs>
              <w:spacing w:line="360" w:lineRule="auto"/>
              <w:ind w:right="13"/>
              <w:jc w:val="both"/>
              <w:rPr>
                <w:rFonts w:ascii="Palatino Linotype" w:eastAsia="Palatino Linotype" w:hAnsi="Palatino Linotype" w:cs="Palatino Linotype"/>
              </w:rPr>
            </w:pPr>
            <w:r w:rsidRPr="00D6619A">
              <w:rPr>
                <w:rFonts w:ascii="Palatino Linotype" w:eastAsia="Palatino Linotype" w:hAnsi="Palatino Linotype" w:cs="Palatino Linotype"/>
              </w:rPr>
              <w:lastRenderedPageBreak/>
              <w:t xml:space="preserve">e) Condiciones especiales de la clasificación de la </w:t>
            </w:r>
            <w:r w:rsidRPr="00D6619A">
              <w:rPr>
                <w:rFonts w:ascii="Palatino Linotype" w:eastAsia="Palatino Linotype" w:hAnsi="Palatino Linotype" w:cs="Palatino Linotype"/>
              </w:rPr>
              <w:lastRenderedPageBreak/>
              <w:t xml:space="preserve">información como confidencial. </w:t>
            </w:r>
          </w:p>
        </w:tc>
        <w:tc>
          <w:tcPr>
            <w:tcW w:w="6810" w:type="dxa"/>
          </w:tcPr>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sidRPr="00D6619A">
              <w:rPr>
                <w:rFonts w:ascii="Palatino Linotype" w:eastAsia="Palatino Linotype" w:hAnsi="Palatino Linotype" w:cs="Palatino Linotype"/>
                <w:color w:val="000000"/>
              </w:rPr>
              <w:lastRenderedPageBreak/>
              <w:t xml:space="preserve">personales, se podrán proporcionar, incluso sin solicitar el consentimiento de su titular. </w:t>
            </w:r>
          </w:p>
          <w:p w:rsidR="004875B3" w:rsidRPr="00D6619A" w:rsidRDefault="00BF65D5">
            <w:pPr>
              <w:tabs>
                <w:tab w:val="left" w:pos="284"/>
              </w:tabs>
              <w:spacing w:line="360" w:lineRule="auto"/>
              <w:ind w:right="20"/>
              <w:jc w:val="both"/>
              <w:rPr>
                <w:rFonts w:ascii="Palatino Linotype" w:eastAsia="Palatino Linotype" w:hAnsi="Palatino Linotype" w:cs="Palatino Linotype"/>
                <w:color w:val="000000"/>
              </w:rPr>
            </w:pPr>
            <w:r w:rsidRPr="00D6619A">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875B3" w:rsidRPr="00D6619A" w:rsidRDefault="00BF65D5">
            <w:pPr>
              <w:tabs>
                <w:tab w:val="left" w:pos="284"/>
              </w:tabs>
              <w:spacing w:line="360" w:lineRule="auto"/>
              <w:ind w:right="20"/>
              <w:rPr>
                <w:rFonts w:ascii="Palatino Linotype" w:eastAsia="Palatino Linotype" w:hAnsi="Palatino Linotype" w:cs="Palatino Linotype"/>
              </w:rPr>
            </w:pPr>
            <w:r w:rsidRPr="00D6619A">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875B3" w:rsidRPr="00D6619A" w:rsidRDefault="004875B3">
      <w:pPr>
        <w:tabs>
          <w:tab w:val="left" w:pos="284"/>
        </w:tabs>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pPr>
      <w:r w:rsidRPr="00D6619A">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4875B3" w:rsidRPr="00D6619A" w:rsidRDefault="004875B3">
      <w:pPr>
        <w:spacing w:line="360" w:lineRule="auto"/>
        <w:ind w:right="-1417"/>
        <w:jc w:val="both"/>
        <w:rPr>
          <w:rFonts w:ascii="Palatino Linotype" w:eastAsia="Palatino Linotype" w:hAnsi="Palatino Linotype" w:cs="Palatino Linotype"/>
          <w:color w:val="000000"/>
        </w:rPr>
      </w:pPr>
    </w:p>
    <w:p w:rsidR="004875B3" w:rsidRPr="00D6619A" w:rsidRDefault="00BF65D5">
      <w:pPr>
        <w:numPr>
          <w:ilvl w:val="0"/>
          <w:numId w:val="6"/>
        </w:numPr>
        <w:spacing w:line="360" w:lineRule="auto"/>
        <w:ind w:left="0" w:right="-1417" w:firstLine="0"/>
        <w:jc w:val="both"/>
        <w:rPr>
          <w:color w:val="000000"/>
        </w:rPr>
      </w:pPr>
      <w:r w:rsidRPr="00D6619A">
        <w:rPr>
          <w:rFonts w:ascii="Palatino Linotype" w:eastAsia="Palatino Linotype" w:hAnsi="Palatino Linotype" w:cs="Palatino Linotype"/>
        </w:rPr>
        <w:t>Por lo anteriormente expuesto, este Órgano Garante considera fundadas las razones o motivos de inconformidad que plantea el</w:t>
      </w:r>
      <w:r w:rsidRPr="00D6619A">
        <w:rPr>
          <w:rFonts w:ascii="Palatino Linotype" w:eastAsia="Palatino Linotype" w:hAnsi="Palatino Linotype" w:cs="Palatino Linotype"/>
          <w:b/>
        </w:rPr>
        <w:t xml:space="preserve"> RECURRENTE</w:t>
      </w:r>
      <w:r w:rsidRPr="00D6619A">
        <w:rPr>
          <w:rFonts w:ascii="Palatino Linotype" w:eastAsia="Palatino Linotype" w:hAnsi="Palatino Linotype" w:cs="Palatino Linotype"/>
        </w:rPr>
        <w:t xml:space="preserve">, determinando </w:t>
      </w:r>
      <w:r w:rsidRPr="00D6619A">
        <w:rPr>
          <w:rFonts w:ascii="Palatino Linotype" w:eastAsia="Palatino Linotype" w:hAnsi="Palatino Linotype" w:cs="Palatino Linotype"/>
          <w:b/>
          <w:smallCaps/>
        </w:rPr>
        <w:t xml:space="preserve">REVOCAR </w:t>
      </w:r>
      <w:r w:rsidRPr="00D6619A">
        <w:rPr>
          <w:rFonts w:ascii="Palatino Linotype" w:eastAsia="Palatino Linotype" w:hAnsi="Palatino Linotype" w:cs="Palatino Linotype"/>
          <w:b/>
        </w:rPr>
        <w:t xml:space="preserve"> </w:t>
      </w:r>
      <w:r w:rsidRPr="00D6619A">
        <w:rPr>
          <w:rFonts w:ascii="Palatino Linotype" w:eastAsia="Palatino Linotype" w:hAnsi="Palatino Linotype" w:cs="Palatino Linotype"/>
        </w:rPr>
        <w:t xml:space="preserve">la respuesta del </w:t>
      </w:r>
      <w:r w:rsidRPr="00D6619A">
        <w:rPr>
          <w:rFonts w:ascii="Palatino Linotype" w:eastAsia="Palatino Linotype" w:hAnsi="Palatino Linotype" w:cs="Palatino Linotype"/>
          <w:b/>
        </w:rPr>
        <w:t>SUJETO OBLIGADO</w:t>
      </w:r>
      <w:r w:rsidRPr="00D6619A">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w:t>
      </w:r>
      <w:r w:rsidRPr="00D6619A">
        <w:rPr>
          <w:rFonts w:ascii="Palatino Linotype" w:eastAsia="Palatino Linotype" w:hAnsi="Palatino Linotype" w:cs="Palatino Linotype"/>
        </w:rPr>
        <w:lastRenderedPageBreak/>
        <w:t xml:space="preserve">I y II; 176, 178, 181, 185 de la Ley de Transparencia y Acceso a la Información Pública del Estado de México y Municipios, </w:t>
      </w:r>
      <w:r w:rsidRPr="00D6619A">
        <w:rPr>
          <w:rFonts w:ascii="Palatino Linotype" w:eastAsia="Palatino Linotype" w:hAnsi="Palatino Linotype" w:cs="Palatino Linotype"/>
          <w:color w:val="000000"/>
        </w:rPr>
        <w:t xml:space="preserve">este </w:t>
      </w:r>
      <w:r w:rsidRPr="00D6619A">
        <w:rPr>
          <w:rFonts w:ascii="Palatino Linotype" w:eastAsia="Palatino Linotype" w:hAnsi="Palatino Linotype" w:cs="Palatino Linotype"/>
          <w:b/>
          <w:color w:val="000000"/>
        </w:rPr>
        <w:t>ÓRGANO GARANTE</w:t>
      </w:r>
      <w:r w:rsidRPr="00D6619A">
        <w:rPr>
          <w:rFonts w:ascii="Palatino Linotype" w:eastAsia="Palatino Linotype" w:hAnsi="Palatino Linotype" w:cs="Palatino Linotype"/>
          <w:color w:val="000000"/>
        </w:rPr>
        <w:t xml:space="preserve"> emite los siguientes.</w:t>
      </w:r>
    </w:p>
    <w:p w:rsidR="004875B3" w:rsidRPr="00D6619A" w:rsidRDefault="004875B3">
      <w:pPr>
        <w:pBdr>
          <w:top w:val="nil"/>
          <w:left w:val="nil"/>
          <w:bottom w:val="nil"/>
          <w:right w:val="nil"/>
          <w:between w:val="nil"/>
        </w:pBdr>
        <w:tabs>
          <w:tab w:val="left" w:pos="426"/>
        </w:tabs>
        <w:spacing w:line="360" w:lineRule="auto"/>
        <w:ind w:right="-1417"/>
        <w:jc w:val="both"/>
        <w:rPr>
          <w:rFonts w:ascii="Palatino Linotype" w:eastAsia="Palatino Linotype" w:hAnsi="Palatino Linotype" w:cs="Palatino Linotype"/>
          <w:color w:val="000000"/>
        </w:rPr>
      </w:pPr>
    </w:p>
    <w:p w:rsidR="004875B3" w:rsidRPr="00D6619A" w:rsidRDefault="00BF65D5">
      <w:pPr>
        <w:keepNext/>
        <w:keepLines/>
        <w:pBdr>
          <w:top w:val="nil"/>
          <w:left w:val="nil"/>
          <w:bottom w:val="nil"/>
          <w:right w:val="nil"/>
          <w:between w:val="nil"/>
        </w:pBdr>
        <w:spacing w:line="360" w:lineRule="auto"/>
        <w:ind w:right="-1417"/>
        <w:jc w:val="center"/>
        <w:rPr>
          <w:rFonts w:ascii="Palatino Linotype" w:eastAsia="Palatino Linotype" w:hAnsi="Palatino Linotype" w:cs="Palatino Linotype"/>
          <w:b/>
          <w:color w:val="000000"/>
        </w:rPr>
      </w:pPr>
      <w:r w:rsidRPr="00D6619A">
        <w:rPr>
          <w:rFonts w:ascii="Palatino Linotype" w:eastAsia="Palatino Linotype" w:hAnsi="Palatino Linotype" w:cs="Palatino Linotype"/>
          <w:b/>
          <w:color w:val="000000"/>
        </w:rPr>
        <w:t>R E S O L U T I V O S</w:t>
      </w:r>
    </w:p>
    <w:p w:rsidR="004875B3" w:rsidRPr="00D6619A" w:rsidRDefault="004875B3">
      <w:pPr>
        <w:spacing w:line="360" w:lineRule="auto"/>
        <w:ind w:right="-1417"/>
        <w:rPr>
          <w:rFonts w:ascii="Palatino Linotype" w:eastAsia="Palatino Linotype" w:hAnsi="Palatino Linotype" w:cs="Palatino Linotype"/>
        </w:rPr>
      </w:pPr>
    </w:p>
    <w:p w:rsidR="004875B3" w:rsidRPr="00D6619A" w:rsidRDefault="00BF65D5">
      <w:pPr>
        <w:spacing w:line="360" w:lineRule="auto"/>
        <w:ind w:right="-1417"/>
        <w:jc w:val="both"/>
        <w:rPr>
          <w:rFonts w:ascii="Palatino Linotype" w:eastAsia="Palatino Linotype" w:hAnsi="Palatino Linotype" w:cs="Palatino Linotype"/>
        </w:rPr>
      </w:pPr>
      <w:r w:rsidRPr="00D6619A">
        <w:rPr>
          <w:rFonts w:ascii="Palatino Linotype" w:eastAsia="Palatino Linotype" w:hAnsi="Palatino Linotype" w:cs="Palatino Linotype"/>
          <w:b/>
        </w:rPr>
        <w:t>PRIMERO</w:t>
      </w:r>
      <w:r w:rsidRPr="00D6619A">
        <w:rPr>
          <w:rFonts w:ascii="Palatino Linotype" w:eastAsia="Palatino Linotype" w:hAnsi="Palatino Linotype" w:cs="Palatino Linotype"/>
        </w:rPr>
        <w:t xml:space="preserve">. Resultan fundadas las razones o motivos de inconformidad hechos valer en los Recursos de Revisión </w:t>
      </w:r>
      <w:r w:rsidRPr="00D6619A">
        <w:rPr>
          <w:rFonts w:ascii="Palatino Linotype" w:eastAsia="Palatino Linotype" w:hAnsi="Palatino Linotype" w:cs="Palatino Linotype"/>
          <w:b/>
        </w:rPr>
        <w:t xml:space="preserve">0008/INFOEM/IP/RR/2025, </w:t>
      </w:r>
      <w:r w:rsidRPr="00D6619A">
        <w:rPr>
          <w:rFonts w:ascii="Palatino Linotype" w:eastAsia="Palatino Linotype" w:hAnsi="Palatino Linotype" w:cs="Palatino Linotype"/>
        </w:rPr>
        <w:t xml:space="preserve">en términos del Considerando </w:t>
      </w:r>
      <w:r w:rsidRPr="00D6619A">
        <w:rPr>
          <w:rFonts w:ascii="Palatino Linotype" w:eastAsia="Palatino Linotype" w:hAnsi="Palatino Linotype" w:cs="Palatino Linotype"/>
          <w:b/>
        </w:rPr>
        <w:t xml:space="preserve">Cuarto y Quinto </w:t>
      </w:r>
      <w:r w:rsidRPr="00D6619A">
        <w:rPr>
          <w:rFonts w:ascii="Palatino Linotype" w:eastAsia="Palatino Linotype" w:hAnsi="Palatino Linotype" w:cs="Palatino Linotype"/>
        </w:rPr>
        <w:t xml:space="preserve">de la presente resolución. </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spacing w:line="360" w:lineRule="auto"/>
        <w:ind w:right="-1417"/>
        <w:jc w:val="both"/>
        <w:rPr>
          <w:rFonts w:ascii="Palatino Linotype" w:eastAsia="Palatino Linotype" w:hAnsi="Palatino Linotype" w:cs="Palatino Linotype"/>
        </w:rPr>
      </w:pPr>
      <w:bookmarkStart w:id="14" w:name="_heading=h.1ksv4uv" w:colFirst="0" w:colLast="0"/>
      <w:bookmarkEnd w:id="14"/>
      <w:r w:rsidRPr="00D6619A">
        <w:rPr>
          <w:rFonts w:ascii="Palatino Linotype" w:eastAsia="Palatino Linotype" w:hAnsi="Palatino Linotype" w:cs="Palatino Linotype"/>
          <w:b/>
        </w:rPr>
        <w:t xml:space="preserve">SEGUNDO. </w:t>
      </w:r>
      <w:r w:rsidRPr="00D6619A">
        <w:rPr>
          <w:rFonts w:ascii="Palatino Linotype" w:eastAsia="Palatino Linotype" w:hAnsi="Palatino Linotype" w:cs="Palatino Linotype"/>
          <w:color w:val="000000"/>
        </w:rPr>
        <w:t xml:space="preserve">Se </w:t>
      </w:r>
      <w:r w:rsidRPr="00D6619A">
        <w:rPr>
          <w:rFonts w:ascii="Palatino Linotype" w:eastAsia="Palatino Linotype" w:hAnsi="Palatino Linotype" w:cs="Palatino Linotype"/>
          <w:b/>
          <w:color w:val="000000"/>
        </w:rPr>
        <w:t xml:space="preserve">REVOCA </w:t>
      </w:r>
      <w:r w:rsidRPr="00D6619A">
        <w:rPr>
          <w:rFonts w:ascii="Palatino Linotype" w:eastAsia="Palatino Linotype" w:hAnsi="Palatino Linotype" w:cs="Palatino Linotype"/>
          <w:color w:val="000000"/>
        </w:rPr>
        <w:t xml:space="preserve">la respuesta emitida por la </w:t>
      </w:r>
      <w:r w:rsidRPr="00D6619A">
        <w:rPr>
          <w:rFonts w:ascii="Palatino Linotype" w:eastAsia="Palatino Linotype" w:hAnsi="Palatino Linotype" w:cs="Palatino Linotype"/>
          <w:b/>
          <w:color w:val="000000"/>
        </w:rPr>
        <w:t xml:space="preserve">Secretaría de Educación, Ciencia, Tecnología e Innovación </w:t>
      </w:r>
      <w:r w:rsidRPr="00D6619A">
        <w:rPr>
          <w:rFonts w:ascii="Palatino Linotype" w:eastAsia="Palatino Linotype" w:hAnsi="Palatino Linotype" w:cs="Palatino Linotype"/>
          <w:color w:val="000000"/>
        </w:rPr>
        <w:t xml:space="preserve">y se </w:t>
      </w:r>
      <w:r w:rsidRPr="00D6619A">
        <w:rPr>
          <w:rFonts w:ascii="Palatino Linotype" w:eastAsia="Palatino Linotype" w:hAnsi="Palatino Linotype" w:cs="Palatino Linotype"/>
          <w:b/>
          <w:color w:val="000000"/>
        </w:rPr>
        <w:t>ORDENA</w:t>
      </w:r>
      <w:r w:rsidRPr="00D6619A">
        <w:rPr>
          <w:rFonts w:ascii="Palatino Linotype" w:eastAsia="Palatino Linotype" w:hAnsi="Palatino Linotype" w:cs="Palatino Linotype"/>
          <w:color w:val="000000"/>
        </w:rPr>
        <w:t xml:space="preserve"> entregar vía Sistema de Acceso a la Información,</w:t>
      </w:r>
      <w:r w:rsidRPr="00D6619A">
        <w:rPr>
          <w:rFonts w:ascii="Palatino Linotype" w:eastAsia="Palatino Linotype" w:hAnsi="Palatino Linotype" w:cs="Palatino Linotype"/>
        </w:rPr>
        <w:t xml:space="preserve"> de ser el caso en versión pública:</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numPr>
          <w:ilvl w:val="0"/>
          <w:numId w:val="3"/>
        </w:numPr>
        <w:pBdr>
          <w:top w:val="nil"/>
          <w:left w:val="nil"/>
          <w:bottom w:val="nil"/>
          <w:right w:val="nil"/>
          <w:between w:val="nil"/>
        </w:pBdr>
        <w:spacing w:line="360" w:lineRule="auto"/>
        <w:ind w:right="-1417"/>
        <w:jc w:val="both"/>
        <w:rPr>
          <w:rFonts w:ascii="Palatino Linotype" w:eastAsia="Palatino Linotype" w:hAnsi="Palatino Linotype" w:cs="Palatino Linotype"/>
          <w:b/>
          <w:color w:val="000000"/>
        </w:rPr>
      </w:pPr>
      <w:bookmarkStart w:id="15" w:name="_heading=h.lnxbz9" w:colFirst="0" w:colLast="0"/>
      <w:bookmarkEnd w:id="15"/>
      <w:r w:rsidRPr="00D6619A">
        <w:rPr>
          <w:rFonts w:ascii="Palatino Linotype" w:eastAsia="Palatino Linotype" w:hAnsi="Palatino Linotype" w:cs="Palatino Linotype"/>
          <w:b/>
          <w:i/>
          <w:color w:val="000000"/>
        </w:rPr>
        <w:t>Soporte documental que contenga los ingresos</w:t>
      </w:r>
      <w:r w:rsidR="00F26BCE" w:rsidRPr="00D6619A">
        <w:rPr>
          <w:rFonts w:ascii="Palatino Linotype" w:eastAsia="Palatino Linotype" w:hAnsi="Palatino Linotype" w:cs="Palatino Linotype"/>
          <w:b/>
          <w:i/>
          <w:color w:val="000000"/>
        </w:rPr>
        <w:t xml:space="preserve"> públicos</w:t>
      </w:r>
      <w:r w:rsidRPr="00D6619A">
        <w:rPr>
          <w:rFonts w:ascii="Palatino Linotype" w:eastAsia="Palatino Linotype" w:hAnsi="Palatino Linotype" w:cs="Palatino Linotype"/>
          <w:b/>
          <w:i/>
          <w:color w:val="000000"/>
        </w:rPr>
        <w:t xml:space="preserve"> recibidos </w:t>
      </w:r>
      <w:r w:rsidR="00F26BCE" w:rsidRPr="00D6619A">
        <w:rPr>
          <w:rFonts w:ascii="Palatino Linotype" w:eastAsia="Palatino Linotype" w:hAnsi="Palatino Linotype" w:cs="Palatino Linotype"/>
          <w:b/>
          <w:i/>
          <w:color w:val="000000"/>
        </w:rPr>
        <w:t xml:space="preserve">por </w:t>
      </w:r>
      <w:r w:rsidRPr="00D6619A">
        <w:rPr>
          <w:rFonts w:ascii="Palatino Linotype" w:eastAsia="Palatino Linotype" w:hAnsi="Palatino Linotype" w:cs="Palatino Linotype"/>
          <w:b/>
          <w:i/>
          <w:color w:val="000000"/>
        </w:rPr>
        <w:t>la Asociación Estatal de Ajedrez A.C</w:t>
      </w:r>
      <w:r w:rsidR="00F26BCE" w:rsidRPr="00D6619A">
        <w:rPr>
          <w:rFonts w:ascii="Palatino Linotype" w:eastAsia="Palatino Linotype" w:hAnsi="Palatino Linotype" w:cs="Palatino Linotype"/>
          <w:b/>
          <w:i/>
          <w:color w:val="000000"/>
        </w:rPr>
        <w:t xml:space="preserve"> por parte de la Secretaría de Educación, Ciencia, Tecnología e Innovación</w:t>
      </w:r>
      <w:r w:rsidRPr="00D6619A">
        <w:rPr>
          <w:rFonts w:ascii="Palatino Linotype" w:eastAsia="Palatino Linotype" w:hAnsi="Palatino Linotype" w:cs="Palatino Linotype"/>
          <w:b/>
          <w:i/>
          <w:color w:val="000000"/>
        </w:rPr>
        <w:t xml:space="preserve">, del dos mil diecinueve al veintiocho de noviembre de dos mil veinticuatro. </w:t>
      </w:r>
    </w:p>
    <w:p w:rsidR="004875B3" w:rsidRPr="00D6619A" w:rsidRDefault="004875B3">
      <w:pPr>
        <w:pBdr>
          <w:top w:val="nil"/>
          <w:left w:val="nil"/>
          <w:bottom w:val="nil"/>
          <w:right w:val="nil"/>
          <w:between w:val="nil"/>
        </w:pBdr>
        <w:spacing w:line="360" w:lineRule="auto"/>
        <w:ind w:left="1440" w:right="-1417"/>
        <w:jc w:val="both"/>
        <w:rPr>
          <w:rFonts w:ascii="Palatino Linotype" w:eastAsia="Palatino Linotype" w:hAnsi="Palatino Linotype" w:cs="Palatino Linotype"/>
          <w:b/>
          <w:i/>
        </w:rPr>
      </w:pPr>
      <w:bookmarkStart w:id="16" w:name="_heading=h.hkxmgyr6crv9" w:colFirst="0" w:colLast="0"/>
      <w:bookmarkEnd w:id="16"/>
    </w:p>
    <w:p w:rsidR="004875B3" w:rsidRPr="00D6619A" w:rsidRDefault="00BF65D5">
      <w:pPr>
        <w:tabs>
          <w:tab w:val="left" w:pos="8080"/>
        </w:tabs>
        <w:spacing w:line="360" w:lineRule="auto"/>
        <w:ind w:right="-1417"/>
        <w:jc w:val="both"/>
        <w:rPr>
          <w:rFonts w:ascii="Palatino Linotype" w:eastAsia="Palatino Linotype" w:hAnsi="Palatino Linotype" w:cs="Palatino Linotype"/>
          <w:b/>
        </w:rPr>
      </w:pPr>
      <w:r w:rsidRPr="00D6619A">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D6619A">
        <w:rPr>
          <w:rFonts w:ascii="Palatino Linotype" w:eastAsia="Palatino Linotype" w:hAnsi="Palatino Linotype" w:cs="Palatino Linotype"/>
        </w:rPr>
        <w:lastRenderedPageBreak/>
        <w:t xml:space="preserve">documental respectivo objeto de las versiones públicas que se formulen y se pongan a disposición del </w:t>
      </w:r>
      <w:r w:rsidRPr="00D6619A">
        <w:rPr>
          <w:rFonts w:ascii="Palatino Linotype" w:eastAsia="Palatino Linotype" w:hAnsi="Palatino Linotype" w:cs="Palatino Linotype"/>
          <w:b/>
        </w:rPr>
        <w:t>RECURRENTE.</w:t>
      </w:r>
    </w:p>
    <w:p w:rsidR="004875B3" w:rsidRPr="00D6619A" w:rsidRDefault="004875B3">
      <w:pPr>
        <w:tabs>
          <w:tab w:val="left" w:pos="8080"/>
        </w:tabs>
        <w:spacing w:line="360" w:lineRule="auto"/>
        <w:ind w:right="-1417"/>
        <w:jc w:val="both"/>
        <w:rPr>
          <w:rFonts w:ascii="Palatino Linotype" w:eastAsia="Palatino Linotype" w:hAnsi="Palatino Linotype" w:cs="Palatino Linotype"/>
          <w:b/>
        </w:rPr>
      </w:pPr>
    </w:p>
    <w:p w:rsidR="004875B3" w:rsidRPr="00D6619A" w:rsidRDefault="00BF65D5">
      <w:pPr>
        <w:tabs>
          <w:tab w:val="left" w:pos="8080"/>
        </w:tabs>
        <w:spacing w:line="360" w:lineRule="auto"/>
        <w:ind w:right="-1417"/>
        <w:jc w:val="both"/>
        <w:rPr>
          <w:rFonts w:ascii="Palatino Linotype" w:eastAsia="Palatino Linotype" w:hAnsi="Palatino Linotype" w:cs="Palatino Linotype"/>
        </w:rPr>
      </w:pPr>
      <w:r w:rsidRPr="00D6619A">
        <w:rPr>
          <w:rFonts w:ascii="Palatino Linotype" w:eastAsia="Palatino Linotype" w:hAnsi="Palatino Linotype" w:cs="Palatino Linotype"/>
        </w:rPr>
        <w:t xml:space="preserve">De ser el caso que después de una nueva búsqueda exhaustiva y razonable el </w:t>
      </w:r>
      <w:r w:rsidRPr="00D6619A">
        <w:rPr>
          <w:rFonts w:ascii="Palatino Linotype" w:eastAsia="Palatino Linotype" w:hAnsi="Palatino Linotype" w:cs="Palatino Linotype"/>
          <w:b/>
        </w:rPr>
        <w:t>SUJETO OBLIGADO</w:t>
      </w:r>
      <w:r w:rsidRPr="00D6619A">
        <w:rPr>
          <w:rFonts w:ascii="Palatino Linotype" w:eastAsia="Palatino Linotype" w:hAnsi="Palatino Linotype" w:cs="Palatino Linotype"/>
        </w:rPr>
        <w:t xml:space="preserve"> refiere no contar con la información solicitada, por no haberse otorgado apoyo económico a la Asociación referida en la solicitud de información, se deberá de hacer del conocimiento del </w:t>
      </w:r>
      <w:r w:rsidRPr="00D6619A">
        <w:rPr>
          <w:rFonts w:ascii="Palatino Linotype" w:eastAsia="Palatino Linotype" w:hAnsi="Palatino Linotype" w:cs="Palatino Linotype"/>
          <w:b/>
        </w:rPr>
        <w:t xml:space="preserve">RECURRENTE </w:t>
      </w:r>
      <w:r w:rsidRPr="00D6619A">
        <w:rPr>
          <w:rFonts w:ascii="Palatino Linotype" w:eastAsia="Palatino Linotype" w:hAnsi="Palatino Linotype" w:cs="Palatino Linotype"/>
        </w:rPr>
        <w:t xml:space="preserve">de conformidad con el artículo 19 párrafo segundo de la Ley de Acceso a la Información Pública del Estado de México y Municipios. </w:t>
      </w:r>
    </w:p>
    <w:p w:rsidR="004875B3" w:rsidRPr="00D6619A" w:rsidRDefault="004875B3">
      <w:pPr>
        <w:tabs>
          <w:tab w:val="left" w:pos="8080"/>
        </w:tabs>
        <w:spacing w:line="360" w:lineRule="auto"/>
        <w:ind w:right="-1417"/>
        <w:jc w:val="both"/>
        <w:rPr>
          <w:rFonts w:ascii="Palatino Linotype" w:eastAsia="Palatino Linotype" w:hAnsi="Palatino Linotype" w:cs="Palatino Linotype"/>
        </w:rPr>
      </w:pPr>
    </w:p>
    <w:p w:rsidR="004875B3" w:rsidRPr="00D6619A" w:rsidRDefault="00BF65D5">
      <w:pPr>
        <w:tabs>
          <w:tab w:val="left" w:pos="8080"/>
        </w:tabs>
        <w:spacing w:line="360" w:lineRule="auto"/>
        <w:ind w:right="-1417"/>
        <w:jc w:val="both"/>
        <w:rPr>
          <w:rFonts w:ascii="Palatino Linotype" w:eastAsia="Palatino Linotype" w:hAnsi="Palatino Linotype" w:cs="Palatino Linotype"/>
          <w:color w:val="222222"/>
        </w:rPr>
      </w:pPr>
      <w:r w:rsidRPr="00D6619A">
        <w:rPr>
          <w:rFonts w:ascii="Palatino Linotype" w:eastAsia="Palatino Linotype" w:hAnsi="Palatino Linotype" w:cs="Palatino Linotype"/>
          <w:b/>
        </w:rPr>
        <w:t xml:space="preserve">TERCERO. </w:t>
      </w:r>
      <w:r w:rsidRPr="00D6619A">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6619A">
        <w:rPr>
          <w:rFonts w:ascii="Palatino Linotype" w:eastAsia="Palatino Linotype" w:hAnsi="Palatino Linotype" w:cs="Palatino Linotype"/>
          <w:b/>
          <w:color w:val="222222"/>
        </w:rPr>
        <w:t xml:space="preserve">dé cumplimiento a lo ordenado dentro del plazo de diez días hábiles, </w:t>
      </w:r>
      <w:r w:rsidRPr="00D6619A">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4875B3" w:rsidRPr="00D6619A" w:rsidRDefault="004875B3">
      <w:pPr>
        <w:tabs>
          <w:tab w:val="left" w:pos="8080"/>
        </w:tabs>
        <w:spacing w:line="360" w:lineRule="auto"/>
        <w:ind w:right="-1417"/>
        <w:jc w:val="both"/>
        <w:rPr>
          <w:rFonts w:ascii="Palatino Linotype" w:eastAsia="Palatino Linotype" w:hAnsi="Palatino Linotype" w:cs="Palatino Linotype"/>
          <w:color w:val="222222"/>
        </w:rPr>
      </w:pPr>
    </w:p>
    <w:p w:rsidR="004875B3" w:rsidRPr="00D6619A" w:rsidRDefault="00BF65D5">
      <w:pPr>
        <w:spacing w:line="360" w:lineRule="auto"/>
        <w:ind w:right="-1417"/>
        <w:jc w:val="both"/>
        <w:rPr>
          <w:rFonts w:ascii="Palatino Linotype" w:eastAsia="Palatino Linotype" w:hAnsi="Palatino Linotype" w:cs="Palatino Linotype"/>
        </w:rPr>
      </w:pPr>
      <w:r w:rsidRPr="00D6619A">
        <w:rPr>
          <w:rFonts w:ascii="Palatino Linotype" w:eastAsia="Palatino Linotype" w:hAnsi="Palatino Linotype" w:cs="Palatino Linotype"/>
          <w:b/>
        </w:rPr>
        <w:t xml:space="preserve">CUARTO. </w:t>
      </w:r>
      <w:r w:rsidRPr="00D6619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D6619A">
        <w:rPr>
          <w:rFonts w:ascii="Palatino Linotype" w:eastAsia="Palatino Linotype" w:hAnsi="Palatino Linotype" w:cs="Palatino Linotype"/>
          <w:b/>
        </w:rPr>
        <w:t>SUJETO OBLIGADO</w:t>
      </w:r>
      <w:r w:rsidRPr="00D6619A">
        <w:rPr>
          <w:rFonts w:ascii="Palatino Linotype" w:eastAsia="Palatino Linotype" w:hAnsi="Palatino Linotype" w:cs="Palatino Linotype"/>
        </w:rPr>
        <w:t xml:space="preserve"> de manera fundada y motivada, podrá solicitar una ampliación de plazo para el cumplimiento de la presente resolución.</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BF65D5">
      <w:pPr>
        <w:shd w:val="clear" w:color="auto" w:fill="FFFFFF"/>
        <w:spacing w:line="360" w:lineRule="auto"/>
        <w:ind w:right="-1417"/>
        <w:jc w:val="both"/>
        <w:rPr>
          <w:rFonts w:ascii="Palatino Linotype" w:eastAsia="Palatino Linotype" w:hAnsi="Palatino Linotype" w:cs="Palatino Linotype"/>
        </w:rPr>
      </w:pPr>
      <w:bookmarkStart w:id="17" w:name="_heading=h.2jxsxqh" w:colFirst="0" w:colLast="0"/>
      <w:bookmarkEnd w:id="17"/>
      <w:r w:rsidRPr="00D6619A">
        <w:rPr>
          <w:rFonts w:ascii="Palatino Linotype" w:eastAsia="Palatino Linotype" w:hAnsi="Palatino Linotype" w:cs="Palatino Linotype"/>
          <w:b/>
        </w:rPr>
        <w:t xml:space="preserve">QUINTO. </w:t>
      </w:r>
      <w:r w:rsidRPr="00D6619A">
        <w:rPr>
          <w:rFonts w:ascii="Palatino Linotype" w:eastAsia="Palatino Linotype" w:hAnsi="Palatino Linotype" w:cs="Palatino Linotype"/>
        </w:rPr>
        <w:t xml:space="preserve">Notifíquese a </w:t>
      </w:r>
      <w:r w:rsidRPr="00D6619A">
        <w:rPr>
          <w:rFonts w:ascii="Palatino Linotype" w:eastAsia="Palatino Linotype" w:hAnsi="Palatino Linotype" w:cs="Palatino Linotype"/>
          <w:b/>
        </w:rPr>
        <w:t>EL RECURRENTE</w:t>
      </w:r>
      <w:r w:rsidRPr="00D6619A">
        <w:rPr>
          <w:rFonts w:ascii="Palatino Linotype" w:eastAsia="Palatino Linotype" w:hAnsi="Palatino Linotype" w:cs="Palatino Linotype"/>
        </w:rPr>
        <w:t xml:space="preserve"> la presente resolución, vía SAIMEX.</w:t>
      </w:r>
    </w:p>
    <w:p w:rsidR="004875B3" w:rsidRPr="00D6619A" w:rsidRDefault="004875B3">
      <w:pPr>
        <w:shd w:val="clear" w:color="auto" w:fill="FFFFFF"/>
        <w:spacing w:line="360" w:lineRule="auto"/>
        <w:ind w:right="-1417"/>
        <w:jc w:val="both"/>
        <w:rPr>
          <w:rFonts w:ascii="Palatino Linotype" w:eastAsia="Palatino Linotype" w:hAnsi="Palatino Linotype" w:cs="Palatino Linotype"/>
        </w:rPr>
      </w:pPr>
    </w:p>
    <w:p w:rsidR="004875B3" w:rsidRPr="00D6619A" w:rsidRDefault="00BF65D5">
      <w:pPr>
        <w:shd w:val="clear" w:color="auto" w:fill="FFFFFF"/>
        <w:spacing w:line="360" w:lineRule="auto"/>
        <w:ind w:right="-1417"/>
        <w:jc w:val="both"/>
        <w:rPr>
          <w:rFonts w:ascii="Palatino Linotype" w:eastAsia="Palatino Linotype" w:hAnsi="Palatino Linotype" w:cs="Palatino Linotype"/>
        </w:rPr>
      </w:pPr>
      <w:r w:rsidRPr="00D6619A">
        <w:rPr>
          <w:rFonts w:ascii="Palatino Linotype" w:eastAsia="Palatino Linotype" w:hAnsi="Palatino Linotype" w:cs="Palatino Linotype"/>
          <w:b/>
        </w:rPr>
        <w:t>SEXTO.</w:t>
      </w:r>
      <w:r w:rsidRPr="00D6619A">
        <w:rPr>
          <w:rFonts w:ascii="Palatino Linotype" w:eastAsia="Palatino Linotype" w:hAnsi="Palatino Linotype" w:cs="Palatino Linotype"/>
        </w:rPr>
        <w:t xml:space="preserve"> Se hace del conocimiento de </w:t>
      </w:r>
      <w:r w:rsidRPr="00D6619A">
        <w:rPr>
          <w:rFonts w:ascii="Palatino Linotype" w:eastAsia="Palatino Linotype" w:hAnsi="Palatino Linotype" w:cs="Palatino Linotype"/>
          <w:b/>
        </w:rPr>
        <w:t>EL RECURRENTE</w:t>
      </w:r>
      <w:r w:rsidRPr="00D6619A">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875B3" w:rsidRPr="00D6619A" w:rsidRDefault="004875B3">
      <w:pPr>
        <w:spacing w:line="360" w:lineRule="auto"/>
        <w:ind w:right="-1417"/>
        <w:jc w:val="both"/>
        <w:rPr>
          <w:rFonts w:ascii="Palatino Linotype" w:eastAsia="Palatino Linotype" w:hAnsi="Palatino Linotype" w:cs="Palatino Linotype"/>
        </w:rPr>
      </w:pPr>
    </w:p>
    <w:p w:rsidR="004875B3" w:rsidRPr="00D6619A" w:rsidRDefault="004875B3">
      <w:pPr>
        <w:shd w:val="clear" w:color="auto" w:fill="FFFFFF"/>
        <w:spacing w:line="360" w:lineRule="auto"/>
        <w:ind w:right="-1417"/>
        <w:jc w:val="both"/>
        <w:rPr>
          <w:rFonts w:ascii="Palatino Linotype" w:eastAsia="Palatino Linotype" w:hAnsi="Palatino Linotype" w:cs="Palatino Linotype"/>
        </w:rPr>
      </w:pPr>
    </w:p>
    <w:p w:rsidR="00C97A7A" w:rsidRPr="003C7186" w:rsidRDefault="00C97A7A" w:rsidP="00C97A7A">
      <w:pPr>
        <w:spacing w:line="360" w:lineRule="auto"/>
        <w:ind w:left="-142" w:right="-1424" w:firstLine="1"/>
        <w:jc w:val="both"/>
        <w:rPr>
          <w:rFonts w:ascii="Palatino Linotype" w:hAnsi="Palatino Linotype"/>
        </w:rPr>
      </w:pPr>
      <w:r w:rsidRPr="00D6619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spacing w:before="240" w:after="240" w:line="360" w:lineRule="auto"/>
        <w:ind w:right="-1417"/>
        <w:jc w:val="both"/>
        <w:rPr>
          <w:rFonts w:ascii="Palatino Linotype" w:eastAsia="Palatino Linotype" w:hAnsi="Palatino Linotype" w:cs="Palatino Linotype"/>
        </w:rPr>
      </w:pPr>
    </w:p>
    <w:p w:rsidR="004875B3" w:rsidRDefault="004875B3">
      <w:pPr>
        <w:ind w:right="-1417"/>
      </w:pPr>
    </w:p>
    <w:sectPr w:rsidR="004875B3">
      <w:headerReference w:type="default" r:id="rId11"/>
      <w:footerReference w:type="default" r:id="rId12"/>
      <w:headerReference w:type="first" r:id="rId13"/>
      <w:footerReference w:type="first" r:id="rId14"/>
      <w:pgSz w:w="12240" w:h="15840"/>
      <w:pgMar w:top="2410" w:right="2324"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57" w:rsidRDefault="00FE2F57">
      <w:r>
        <w:separator/>
      </w:r>
    </w:p>
  </w:endnote>
  <w:endnote w:type="continuationSeparator" w:id="0">
    <w:p w:rsidR="00FE2F57" w:rsidRDefault="00FE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B3" w:rsidRDefault="00BF65D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188F">
      <w:rPr>
        <w:rFonts w:ascii="Arial" w:eastAsia="Arial" w:hAnsi="Arial" w:cs="Arial"/>
        <w:b/>
        <w:noProof/>
        <w:color w:val="000000"/>
        <w:sz w:val="20"/>
        <w:szCs w:val="20"/>
      </w:rPr>
      <w:t>35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188F">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rsidR="004875B3" w:rsidRDefault="004875B3">
    <w:pPr>
      <w:pBdr>
        <w:top w:val="nil"/>
        <w:left w:val="nil"/>
        <w:bottom w:val="nil"/>
        <w:right w:val="nil"/>
        <w:between w:val="nil"/>
      </w:pBdr>
      <w:tabs>
        <w:tab w:val="center" w:pos="4252"/>
        <w:tab w:val="right" w:pos="8504"/>
      </w:tabs>
      <w:rPr>
        <w:color w:val="000000"/>
      </w:rPr>
    </w:pPr>
  </w:p>
  <w:p w:rsidR="004875B3" w:rsidRDefault="004875B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B3" w:rsidRDefault="00BF65D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188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188F">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rsidR="004875B3" w:rsidRDefault="004875B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57" w:rsidRDefault="00FE2F57">
      <w:r>
        <w:separator/>
      </w:r>
    </w:p>
  </w:footnote>
  <w:footnote w:type="continuationSeparator" w:id="0">
    <w:p w:rsidR="00FE2F57" w:rsidRDefault="00FE2F57">
      <w:r>
        <w:continuationSeparator/>
      </w:r>
    </w:p>
  </w:footnote>
  <w:footnote w:id="1">
    <w:p w:rsidR="004875B3" w:rsidRDefault="00BF65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4875B3" w:rsidRDefault="00BF65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4875B3" w:rsidRDefault="00BF65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4875B3" w:rsidRDefault="00BF65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B3" w:rsidRDefault="004875B3">
    <w:pPr>
      <w:widowControl w:val="0"/>
      <w:pBdr>
        <w:top w:val="nil"/>
        <w:left w:val="nil"/>
        <w:bottom w:val="nil"/>
        <w:right w:val="nil"/>
        <w:between w:val="nil"/>
      </w:pBdr>
      <w:spacing w:line="276" w:lineRule="auto"/>
      <w:rPr>
        <w:color w:val="000000"/>
        <w:sz w:val="20"/>
        <w:szCs w:val="20"/>
      </w:rPr>
    </w:pPr>
  </w:p>
  <w:tbl>
    <w:tblPr>
      <w:tblStyle w:val="a3"/>
      <w:tblW w:w="7655" w:type="dxa"/>
      <w:tblInd w:w="2835" w:type="dxa"/>
      <w:tblLayout w:type="fixed"/>
      <w:tblLook w:val="0400" w:firstRow="0" w:lastRow="0" w:firstColumn="0" w:lastColumn="0" w:noHBand="0" w:noVBand="1"/>
    </w:tblPr>
    <w:tblGrid>
      <w:gridCol w:w="2834"/>
      <w:gridCol w:w="4821"/>
    </w:tblGrid>
    <w:tr w:rsidR="004875B3">
      <w:tc>
        <w:tcPr>
          <w:tcW w:w="2834" w:type="dxa"/>
          <w:vAlign w:val="center"/>
        </w:tcPr>
        <w:p w:rsidR="004875B3" w:rsidRDefault="00BF65D5">
          <w:pPr>
            <w:ind w:left="42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821" w:type="dxa"/>
          <w:vAlign w:val="center"/>
        </w:tcPr>
        <w:p w:rsidR="004875B3" w:rsidRDefault="00BF65D5">
          <w:pPr>
            <w:ind w:right="46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0008/INFOEM/IP/RR/2025 </w:t>
          </w:r>
        </w:p>
      </w:tc>
    </w:tr>
    <w:tr w:rsidR="004875B3">
      <w:trPr>
        <w:trHeight w:val="228"/>
      </w:trPr>
      <w:tc>
        <w:tcPr>
          <w:tcW w:w="2834" w:type="dxa"/>
          <w:vAlign w:val="center"/>
        </w:tcPr>
        <w:p w:rsidR="004875B3" w:rsidRDefault="00BF65D5">
          <w:pPr>
            <w:ind w:left="42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821" w:type="dxa"/>
          <w:shd w:val="clear" w:color="auto" w:fill="auto"/>
          <w:vAlign w:val="center"/>
        </w:tcPr>
        <w:p w:rsidR="004875B3" w:rsidRDefault="00BF65D5">
          <w:pPr>
            <w:ind w:right="46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Secretaría de Educación, Ciencia, Tecnología e Innovación</w:t>
          </w:r>
        </w:p>
      </w:tc>
    </w:tr>
    <w:tr w:rsidR="004875B3">
      <w:tc>
        <w:tcPr>
          <w:tcW w:w="2834" w:type="dxa"/>
          <w:vAlign w:val="center"/>
        </w:tcPr>
        <w:p w:rsidR="004875B3" w:rsidRDefault="00BF65D5">
          <w:pPr>
            <w:ind w:left="42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821" w:type="dxa"/>
          <w:vAlign w:val="center"/>
        </w:tcPr>
        <w:p w:rsidR="004875B3" w:rsidRDefault="00BF65D5">
          <w:pPr>
            <w:ind w:right="46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4875B3" w:rsidRDefault="00BF65D5">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r>
      <w:rPr>
        <w:noProof/>
      </w:rPr>
      <w:drawing>
        <wp:anchor distT="0" distB="0" distL="0" distR="0" simplePos="0" relativeHeight="251658240" behindDoc="1" locked="0" layoutInCell="1" hidden="0" allowOverlap="1">
          <wp:simplePos x="0" y="0"/>
          <wp:positionH relativeFrom="column">
            <wp:posOffset>-1213482</wp:posOffset>
          </wp:positionH>
          <wp:positionV relativeFrom="paragraph">
            <wp:posOffset>-1219832</wp:posOffset>
          </wp:positionV>
          <wp:extent cx="7813085" cy="1017000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B3" w:rsidRDefault="00BF65D5">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simplePos x="0" y="0"/>
          <wp:positionH relativeFrom="column">
            <wp:posOffset>-1078862</wp:posOffset>
          </wp:positionH>
          <wp:positionV relativeFrom="paragraph">
            <wp:posOffset>-411476</wp:posOffset>
          </wp:positionV>
          <wp:extent cx="7813085" cy="101700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4"/>
      <w:tblW w:w="6660" w:type="dxa"/>
      <w:tblInd w:w="3495" w:type="dxa"/>
      <w:tblLayout w:type="fixed"/>
      <w:tblLook w:val="0400" w:firstRow="0" w:lastRow="0" w:firstColumn="0" w:lastColumn="0" w:noHBand="0" w:noVBand="1"/>
    </w:tblPr>
    <w:tblGrid>
      <w:gridCol w:w="2977"/>
      <w:gridCol w:w="3683"/>
    </w:tblGrid>
    <w:tr w:rsidR="004875B3">
      <w:trPr>
        <w:trHeight w:val="227"/>
      </w:trPr>
      <w:tc>
        <w:tcPr>
          <w:tcW w:w="2977" w:type="dxa"/>
          <w:vAlign w:val="center"/>
        </w:tcPr>
        <w:p w:rsidR="004875B3" w:rsidRDefault="00BF65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4875B3" w:rsidRDefault="00BF65D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00008/INFOEM/IP/RR/2025</w:t>
          </w:r>
        </w:p>
      </w:tc>
    </w:tr>
    <w:tr w:rsidR="004875B3">
      <w:trPr>
        <w:trHeight w:val="242"/>
      </w:trPr>
      <w:tc>
        <w:tcPr>
          <w:tcW w:w="2977" w:type="dxa"/>
          <w:vAlign w:val="center"/>
        </w:tcPr>
        <w:p w:rsidR="004875B3" w:rsidRDefault="00BF65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4875B3" w:rsidRDefault="00DC188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color w:val="000000" w:themeColor="text1"/>
              <w:sz w:val="22"/>
              <w:szCs w:val="22"/>
            </w:rPr>
            <w:t>XXXXXXXX</w:t>
          </w:r>
        </w:p>
      </w:tc>
    </w:tr>
    <w:tr w:rsidR="004875B3">
      <w:trPr>
        <w:trHeight w:val="342"/>
      </w:trPr>
      <w:tc>
        <w:tcPr>
          <w:tcW w:w="2977" w:type="dxa"/>
          <w:vAlign w:val="center"/>
        </w:tcPr>
        <w:p w:rsidR="004875B3" w:rsidRDefault="00BF65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4875B3" w:rsidRDefault="00BF65D5">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4875B3">
      <w:trPr>
        <w:trHeight w:val="342"/>
      </w:trPr>
      <w:tc>
        <w:tcPr>
          <w:tcW w:w="2977" w:type="dxa"/>
          <w:vAlign w:val="center"/>
        </w:tcPr>
        <w:p w:rsidR="004875B3" w:rsidRDefault="00BF65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4875B3" w:rsidRDefault="00BF65D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875B3" w:rsidRDefault="004875B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54E"/>
    <w:multiLevelType w:val="multilevel"/>
    <w:tmpl w:val="05000C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F140B"/>
    <w:multiLevelType w:val="multilevel"/>
    <w:tmpl w:val="217CDD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35123F"/>
    <w:multiLevelType w:val="multilevel"/>
    <w:tmpl w:val="5A76F59C"/>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1C744520"/>
    <w:multiLevelType w:val="multilevel"/>
    <w:tmpl w:val="2702DF2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228B792E"/>
    <w:multiLevelType w:val="multilevel"/>
    <w:tmpl w:val="6774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CE121E"/>
    <w:multiLevelType w:val="multilevel"/>
    <w:tmpl w:val="8124C230"/>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D12AF6"/>
    <w:multiLevelType w:val="multilevel"/>
    <w:tmpl w:val="A6B88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4416C5"/>
    <w:multiLevelType w:val="multilevel"/>
    <w:tmpl w:val="7E5A9F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B3"/>
    <w:rsid w:val="004875B3"/>
    <w:rsid w:val="004967DC"/>
    <w:rsid w:val="00864B17"/>
    <w:rsid w:val="00AD1F1D"/>
    <w:rsid w:val="00BF65D5"/>
    <w:rsid w:val="00C97A7A"/>
    <w:rsid w:val="00D6619A"/>
    <w:rsid w:val="00DC188F"/>
    <w:rsid w:val="00E2034A"/>
    <w:rsid w:val="00F26BCE"/>
    <w:rsid w:val="00FE2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DA695-3ADF-4388-BE15-E9324E5D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45"/>
  </w:style>
  <w:style w:type="paragraph" w:styleId="Ttulo1">
    <w:name w:val="heading 1"/>
    <w:basedOn w:val="Normal"/>
    <w:next w:val="Normal"/>
    <w:link w:val="Ttulo1Car"/>
    <w:uiPriority w:val="9"/>
    <w:qFormat/>
    <w:rsid w:val="00891B45"/>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891B45"/>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91B4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891B4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91B45"/>
    <w:pPr>
      <w:tabs>
        <w:tab w:val="center" w:pos="4419"/>
        <w:tab w:val="right" w:pos="8838"/>
      </w:tabs>
    </w:pPr>
  </w:style>
  <w:style w:type="character" w:customStyle="1" w:styleId="EncabezadoCar">
    <w:name w:val="Encabezado Car"/>
    <w:basedOn w:val="Fuentedeprrafopredeter"/>
    <w:link w:val="Encabezado"/>
    <w:uiPriority w:val="99"/>
    <w:rsid w:val="00891B4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91B45"/>
    <w:pPr>
      <w:tabs>
        <w:tab w:val="center" w:pos="4419"/>
        <w:tab w:val="right" w:pos="8838"/>
      </w:tabs>
    </w:pPr>
  </w:style>
  <w:style w:type="character" w:customStyle="1" w:styleId="PiedepginaCar">
    <w:name w:val="Pie de página Car"/>
    <w:basedOn w:val="Fuentedeprrafopredeter"/>
    <w:link w:val="Piedepgina"/>
    <w:uiPriority w:val="99"/>
    <w:rsid w:val="00891B4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91B45"/>
    <w:rPr>
      <w:color w:val="0563C1" w:themeColor="hyperlink"/>
      <w:u w:val="single"/>
    </w:rPr>
  </w:style>
  <w:style w:type="paragraph" w:styleId="Textodeglobo">
    <w:name w:val="Balloon Text"/>
    <w:basedOn w:val="Normal"/>
    <w:link w:val="TextodegloboCar"/>
    <w:uiPriority w:val="99"/>
    <w:semiHidden/>
    <w:unhideWhenUsed/>
    <w:rsid w:val="00891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B45"/>
    <w:rPr>
      <w:rFonts w:ascii="Segoe UI" w:eastAsia="Times New Roman" w:hAnsi="Segoe UI" w:cs="Segoe UI"/>
      <w:sz w:val="18"/>
      <w:szCs w:val="18"/>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91B45"/>
    <w:pPr>
      <w:ind w:left="720"/>
      <w:contextualSpacing/>
    </w:pPr>
  </w:style>
  <w:style w:type="paragraph" w:styleId="NormalWeb">
    <w:name w:val="Normal (Web)"/>
    <w:basedOn w:val="Normal"/>
    <w:uiPriority w:val="99"/>
    <w:semiHidden/>
    <w:unhideWhenUsed/>
    <w:rsid w:val="00891B45"/>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91B45"/>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eObF2R29dOXBgPL7oCADTUxMRw==">CgMxLjAyCGguZ2pkZ3hzMgloLjFmb2I5dGUyCWguM3pueXNoNzIJaC4yZXQ5MnAwMg5oLjE2Mm0xbTNma3psNjIIaC50eWpjd3QyCWguM2R5NnZrbTIJaC4xdDNoNXNmMgloLjRkMzRvZzgyCWguMnM4ZXlvMTIJaC4xN2RwOHZ1MgloLjNyZGNyam4yCWguMjZpbjFyZzIJaC4xa3N2NHV2MghoLmxueGJ6OTIOaC5oa3htZ3lyNmNydjkyCWguMmp4c3hxaDgAciExWnE1NnhUWVgtSkpnSG94ZE1Zc0Y3LVpFVWg3cmlve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8865</Words>
  <Characters>48760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cp:lastPrinted>2025-02-13T15:53:00Z</cp:lastPrinted>
  <dcterms:created xsi:type="dcterms:W3CDTF">2025-02-13T15:53:00Z</dcterms:created>
  <dcterms:modified xsi:type="dcterms:W3CDTF">2025-03-25T01:30:00Z</dcterms:modified>
</cp:coreProperties>
</file>