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2E2F2" w14:textId="77777777" w:rsidR="00154C33" w:rsidRPr="00AF2D72" w:rsidRDefault="00900E12">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AF2D7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de abril de dos mil veinticinco. </w:t>
      </w:r>
    </w:p>
    <w:p w14:paraId="7D89247E" w14:textId="77777777" w:rsidR="00154C33" w:rsidRPr="00AF2D72" w:rsidRDefault="00900E12">
      <w:pPr>
        <w:tabs>
          <w:tab w:val="left" w:pos="5812"/>
        </w:tabs>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b/>
        </w:rPr>
        <w:t>VISTO</w:t>
      </w:r>
      <w:r w:rsidRPr="00AF2D72">
        <w:rPr>
          <w:rFonts w:ascii="Palatino Linotype" w:eastAsia="Palatino Linotype" w:hAnsi="Palatino Linotype" w:cs="Palatino Linotype"/>
        </w:rPr>
        <w:t xml:space="preserve"> el expediente formado con motivo del recurso de revisión </w:t>
      </w:r>
      <w:r w:rsidRPr="00AF2D72">
        <w:rPr>
          <w:rFonts w:ascii="Palatino Linotype" w:eastAsia="Palatino Linotype" w:hAnsi="Palatino Linotype" w:cs="Palatino Linotype"/>
          <w:b/>
        </w:rPr>
        <w:t>02099/INFOEM/IP/RR/2025</w:t>
      </w:r>
      <w:r w:rsidRPr="00AF2D72">
        <w:rPr>
          <w:rFonts w:ascii="Palatino Linotype" w:eastAsia="Palatino Linotype" w:hAnsi="Palatino Linotype" w:cs="Palatino Linotype"/>
        </w:rPr>
        <w:t>, interpuesto por</w:t>
      </w:r>
      <w:r w:rsidRPr="00AF2D72">
        <w:rPr>
          <w:rFonts w:ascii="Palatino Linotype" w:eastAsia="Palatino Linotype" w:hAnsi="Palatino Linotype" w:cs="Palatino Linotype"/>
          <w:b/>
        </w:rPr>
        <w:t xml:space="preserve"> una persona que no proporcionó nombre o seudónimo,</w:t>
      </w:r>
      <w:r w:rsidRPr="00AF2D72">
        <w:rPr>
          <w:rFonts w:ascii="Palatino Linotype" w:eastAsia="Palatino Linotype" w:hAnsi="Palatino Linotype" w:cs="Palatino Linotype"/>
        </w:rPr>
        <w:t xml:space="preserve"> en lo sucesivo</w:t>
      </w:r>
      <w:r w:rsidRPr="00AF2D72">
        <w:rPr>
          <w:rFonts w:ascii="Palatino Linotype" w:eastAsia="Palatino Linotype" w:hAnsi="Palatino Linotype" w:cs="Palatino Linotype"/>
          <w:b/>
        </w:rPr>
        <w:t xml:space="preserve"> </w:t>
      </w:r>
      <w:r w:rsidRPr="00AF2D72">
        <w:rPr>
          <w:rFonts w:ascii="Palatino Linotype" w:eastAsia="Palatino Linotype" w:hAnsi="Palatino Linotype" w:cs="Palatino Linotype"/>
        </w:rPr>
        <w:t xml:space="preserve">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xml:space="preserve"> en contra de la respuesta a la solicitud de información con número de folio</w:t>
      </w:r>
      <w:r w:rsidRPr="00AF2D72">
        <w:rPr>
          <w:rFonts w:ascii="Palatino Linotype" w:eastAsia="Palatino Linotype" w:hAnsi="Palatino Linotype" w:cs="Palatino Linotype"/>
          <w:b/>
        </w:rPr>
        <w:t xml:space="preserve"> 00120/DIFTOLUCA/IP/2025, </w:t>
      </w:r>
      <w:r w:rsidRPr="00AF2D72">
        <w:rPr>
          <w:rFonts w:ascii="Palatino Linotype" w:eastAsia="Palatino Linotype" w:hAnsi="Palatino Linotype" w:cs="Palatino Linotype"/>
        </w:rPr>
        <w:t xml:space="preserve">por parte del </w:t>
      </w:r>
      <w:r w:rsidRPr="00AF2D72">
        <w:rPr>
          <w:rFonts w:ascii="Palatino Linotype" w:eastAsia="Palatino Linotype" w:hAnsi="Palatino Linotype" w:cs="Palatino Linotype"/>
          <w:b/>
        </w:rPr>
        <w:t xml:space="preserve">Sistema Municipal Para el Desarrollo Integral de la Familia de Toluca, </w:t>
      </w:r>
      <w:r w:rsidRPr="00AF2D72">
        <w:rPr>
          <w:rFonts w:ascii="Palatino Linotype" w:eastAsia="Palatino Linotype" w:hAnsi="Palatino Linotype" w:cs="Palatino Linotype"/>
        </w:rPr>
        <w:t xml:space="preserve">en lo sucesivo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se procede a dictar la presente resolución con base en los siguientes: </w:t>
      </w:r>
      <w:r w:rsidR="003270B8" w:rsidRPr="00AF2D72">
        <w:rPr>
          <w:rFonts w:ascii="Palatino Linotype" w:eastAsia="Palatino Linotype" w:hAnsi="Palatino Linotype" w:cs="Palatino Linotype"/>
        </w:rPr>
        <w:t>e</w:t>
      </w:r>
    </w:p>
    <w:p w14:paraId="1149FA06" w14:textId="77777777" w:rsidR="00154C33" w:rsidRPr="00AF2D72" w:rsidRDefault="00900E12">
      <w:pPr>
        <w:spacing w:before="240" w:after="240" w:line="360" w:lineRule="auto"/>
        <w:jc w:val="center"/>
        <w:rPr>
          <w:rFonts w:ascii="Palatino Linotype" w:eastAsia="Palatino Linotype" w:hAnsi="Palatino Linotype" w:cs="Palatino Linotype"/>
          <w:b/>
        </w:rPr>
      </w:pPr>
      <w:r w:rsidRPr="00AF2D72">
        <w:rPr>
          <w:rFonts w:ascii="Palatino Linotype" w:eastAsia="Palatino Linotype" w:hAnsi="Palatino Linotype" w:cs="Palatino Linotype"/>
          <w:b/>
        </w:rPr>
        <w:t>I. A N T E C E D E N T E S</w:t>
      </w:r>
    </w:p>
    <w:p w14:paraId="5E098295" w14:textId="77777777" w:rsidR="00154C33" w:rsidRPr="00AF2D72" w:rsidRDefault="00900E12">
      <w:pPr>
        <w:spacing w:before="240" w:after="240" w:line="360" w:lineRule="auto"/>
        <w:jc w:val="both"/>
        <w:rPr>
          <w:rFonts w:ascii="Palatino Linotype" w:eastAsia="Palatino Linotype" w:hAnsi="Palatino Linotype" w:cs="Palatino Linotype"/>
        </w:rPr>
      </w:pPr>
      <w:bookmarkStart w:id="1" w:name="_heading=h.4d34og8" w:colFirst="0" w:colLast="0"/>
      <w:bookmarkEnd w:id="1"/>
      <w:r w:rsidRPr="00AF2D72">
        <w:rPr>
          <w:rFonts w:ascii="Palatino Linotype" w:eastAsia="Palatino Linotype" w:hAnsi="Palatino Linotype" w:cs="Palatino Linotype"/>
          <w:b/>
        </w:rPr>
        <w:t>1. Solicitud de acceso a la información.</w:t>
      </w:r>
      <w:r w:rsidRPr="00AF2D72">
        <w:rPr>
          <w:rFonts w:ascii="Palatino Linotype" w:eastAsia="Palatino Linotype" w:hAnsi="Palatino Linotype" w:cs="Palatino Linotype"/>
        </w:rPr>
        <w:t xml:space="preserve"> El </w:t>
      </w:r>
      <w:r w:rsidRPr="00AF2D72">
        <w:rPr>
          <w:rFonts w:ascii="Palatino Linotype" w:eastAsia="Palatino Linotype" w:hAnsi="Palatino Linotype" w:cs="Palatino Linotype"/>
          <w:b/>
        </w:rPr>
        <w:t>seis de febrero de dos mil veinticinco,</w:t>
      </w:r>
      <w:r w:rsidRPr="00AF2D72">
        <w:rPr>
          <w:rFonts w:ascii="Palatino Linotype" w:eastAsia="Palatino Linotype" w:hAnsi="Palatino Linotype" w:cs="Palatino Linotype"/>
        </w:rPr>
        <w:t xml:space="preserve"> la parte </w:t>
      </w:r>
      <w:r w:rsidRPr="00AF2D72">
        <w:rPr>
          <w:rFonts w:ascii="Palatino Linotype" w:eastAsia="Palatino Linotype" w:hAnsi="Palatino Linotype" w:cs="Palatino Linotype"/>
          <w:b/>
        </w:rPr>
        <w:t xml:space="preserve">Recurrente </w:t>
      </w:r>
      <w:r w:rsidRPr="00AF2D72">
        <w:rPr>
          <w:rFonts w:ascii="Palatino Linotype" w:eastAsia="Palatino Linotype" w:hAnsi="Palatino Linotype" w:cs="Palatino Linotype"/>
        </w:rPr>
        <w:t xml:space="preserve">presentó, a través del Sistema de Acceso a la Información Mexiquense, en lo subsecuente el </w:t>
      </w:r>
      <w:r w:rsidRPr="00AF2D72">
        <w:rPr>
          <w:rFonts w:ascii="Palatino Linotype" w:eastAsia="Palatino Linotype" w:hAnsi="Palatino Linotype" w:cs="Palatino Linotype"/>
          <w:b/>
        </w:rPr>
        <w:t>SAIMEX,</w:t>
      </w:r>
      <w:r w:rsidRPr="00AF2D72">
        <w:rPr>
          <w:rFonts w:ascii="Palatino Linotype" w:eastAsia="Palatino Linotype" w:hAnsi="Palatino Linotype" w:cs="Palatino Linotype"/>
        </w:rPr>
        <w:t xml:space="preserve"> ante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la solicitud de acceso a la información pública, mediante la cual requirió la información siguiente: </w:t>
      </w:r>
    </w:p>
    <w:p w14:paraId="2DE37621" w14:textId="77777777" w:rsidR="00154C33" w:rsidRPr="00AF2D72" w:rsidRDefault="00900E12">
      <w:pPr>
        <w:spacing w:before="120" w:after="120"/>
        <w:ind w:left="851" w:right="902"/>
        <w:jc w:val="both"/>
        <w:rPr>
          <w:rFonts w:ascii="Palatino Linotype" w:eastAsia="Palatino Linotype" w:hAnsi="Palatino Linotype" w:cs="Palatino Linotype"/>
          <w:b/>
          <w:i/>
          <w:sz w:val="22"/>
          <w:szCs w:val="22"/>
        </w:rPr>
      </w:pPr>
      <w:bookmarkStart w:id="2" w:name="_heading=h.gjdgxs" w:colFirst="0" w:colLast="0"/>
      <w:bookmarkEnd w:id="2"/>
      <w:r w:rsidRPr="00AF2D72">
        <w:rPr>
          <w:rFonts w:ascii="Palatino Linotype" w:eastAsia="Palatino Linotype" w:hAnsi="Palatino Linotype" w:cs="Palatino Linotype"/>
          <w:i/>
          <w:sz w:val="22"/>
          <w:szCs w:val="22"/>
        </w:rPr>
        <w:t xml:space="preserve"> “quiero saber las condiciones bajo las cuales se llevan a </w:t>
      </w:r>
      <w:proofErr w:type="spellStart"/>
      <w:r w:rsidRPr="00AF2D72">
        <w:rPr>
          <w:rFonts w:ascii="Palatino Linotype" w:eastAsia="Palatino Linotype" w:hAnsi="Palatino Linotype" w:cs="Palatino Linotype"/>
          <w:i/>
          <w:sz w:val="22"/>
          <w:szCs w:val="22"/>
        </w:rPr>
        <w:t>acabo</w:t>
      </w:r>
      <w:proofErr w:type="spellEnd"/>
      <w:r w:rsidRPr="00AF2D72">
        <w:rPr>
          <w:rFonts w:ascii="Palatino Linotype" w:eastAsia="Palatino Linotype" w:hAnsi="Palatino Linotype" w:cs="Palatino Linotype"/>
          <w:i/>
          <w:sz w:val="22"/>
          <w:szCs w:val="22"/>
        </w:rPr>
        <w:t xml:space="preserve"> despidos masivos en Toluca en 2025 y sus diferentes organismos </w:t>
      </w:r>
      <w:proofErr w:type="spellStart"/>
      <w:r w:rsidRPr="00AF2D72">
        <w:rPr>
          <w:rFonts w:ascii="Palatino Linotype" w:eastAsia="Palatino Linotype" w:hAnsi="Palatino Linotype" w:cs="Palatino Linotype"/>
          <w:i/>
          <w:sz w:val="22"/>
          <w:szCs w:val="22"/>
        </w:rPr>
        <w:t>desentralizados</w:t>
      </w:r>
      <w:proofErr w:type="spellEnd"/>
      <w:r w:rsidRPr="00AF2D72">
        <w:rPr>
          <w:rFonts w:ascii="Palatino Linotype" w:eastAsia="Palatino Linotype" w:hAnsi="Palatino Linotype" w:cs="Palatino Linotype"/>
          <w:i/>
          <w:sz w:val="22"/>
          <w:szCs w:val="22"/>
        </w:rPr>
        <w:t xml:space="preserve"> y desconcentrados Servidores públicos que han Renunciado de 01 de enero a la fecha, cargo, puesto, sueldo, adscripción el </w:t>
      </w:r>
      <w:proofErr w:type="spellStart"/>
      <w:r w:rsidRPr="00AF2D72">
        <w:rPr>
          <w:rFonts w:ascii="Palatino Linotype" w:eastAsia="Palatino Linotype" w:hAnsi="Palatino Linotype" w:cs="Palatino Linotype"/>
          <w:i/>
          <w:sz w:val="22"/>
          <w:szCs w:val="22"/>
        </w:rPr>
        <w:t>el</w:t>
      </w:r>
      <w:proofErr w:type="spellEnd"/>
      <w:r w:rsidRPr="00AF2D72">
        <w:rPr>
          <w:rFonts w:ascii="Palatino Linotype" w:eastAsia="Palatino Linotype" w:hAnsi="Palatino Linotype" w:cs="Palatino Linotype"/>
          <w:i/>
          <w:sz w:val="22"/>
          <w:szCs w:val="22"/>
        </w:rPr>
        <w:t xml:space="preserve"> nombre de la persona que ingresa ocupando su plaza o cargo, </w:t>
      </w:r>
      <w:proofErr w:type="spellStart"/>
      <w:r w:rsidRPr="00AF2D72">
        <w:rPr>
          <w:rFonts w:ascii="Palatino Linotype" w:eastAsia="Palatino Linotype" w:hAnsi="Palatino Linotype" w:cs="Palatino Linotype"/>
          <w:i/>
          <w:sz w:val="22"/>
          <w:szCs w:val="22"/>
        </w:rPr>
        <w:t>asi</w:t>
      </w:r>
      <w:proofErr w:type="spellEnd"/>
      <w:r w:rsidRPr="00AF2D72">
        <w:rPr>
          <w:rFonts w:ascii="Palatino Linotype" w:eastAsia="Palatino Linotype" w:hAnsi="Palatino Linotype" w:cs="Palatino Linotype"/>
          <w:i/>
          <w:sz w:val="22"/>
          <w:szCs w:val="22"/>
        </w:rPr>
        <w:t xml:space="preserve"> como su sueldo</w:t>
      </w:r>
      <w:r w:rsidRPr="00AF2D72">
        <w:rPr>
          <w:rFonts w:ascii="Palatino Linotype" w:eastAsia="Palatino Linotype" w:hAnsi="Palatino Linotype" w:cs="Palatino Linotype"/>
          <w:b/>
          <w:i/>
          <w:sz w:val="22"/>
          <w:szCs w:val="22"/>
        </w:rPr>
        <w:t>”</w:t>
      </w:r>
      <w:r w:rsidRPr="00AF2D72">
        <w:rPr>
          <w:rFonts w:ascii="Palatino Linotype" w:eastAsia="Palatino Linotype" w:hAnsi="Palatino Linotype" w:cs="Palatino Linotype"/>
          <w:i/>
          <w:sz w:val="22"/>
          <w:szCs w:val="22"/>
        </w:rPr>
        <w:t xml:space="preserve"> (sic) </w:t>
      </w:r>
    </w:p>
    <w:p w14:paraId="0A37AE54" w14:textId="77777777" w:rsidR="00154C33" w:rsidRPr="00AF2D72" w:rsidRDefault="00900E12">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AF2D72">
        <w:rPr>
          <w:rFonts w:ascii="Palatino Linotype" w:eastAsia="Palatino Linotype" w:hAnsi="Palatino Linotype" w:cs="Palatino Linotype"/>
          <w:b/>
        </w:rPr>
        <w:t>Modalidad de Entrega:</w:t>
      </w:r>
      <w:r w:rsidRPr="00AF2D72">
        <w:rPr>
          <w:rFonts w:ascii="Palatino Linotype" w:eastAsia="Palatino Linotype" w:hAnsi="Palatino Linotype" w:cs="Palatino Linotype"/>
        </w:rPr>
        <w:t xml:space="preserve"> a través del</w:t>
      </w:r>
      <w:r w:rsidRPr="00AF2D72">
        <w:rPr>
          <w:rFonts w:ascii="Palatino Linotype" w:eastAsia="Palatino Linotype" w:hAnsi="Palatino Linotype" w:cs="Palatino Linotype"/>
          <w:b/>
        </w:rPr>
        <w:t xml:space="preserve"> SAIMEX.</w:t>
      </w:r>
    </w:p>
    <w:p w14:paraId="152773EE" w14:textId="77777777" w:rsidR="00154C33" w:rsidRPr="00AF2D72" w:rsidRDefault="00900E12">
      <w:pPr>
        <w:spacing w:before="240" w:after="240" w:line="360" w:lineRule="auto"/>
        <w:jc w:val="both"/>
        <w:rPr>
          <w:rFonts w:ascii="Palatino Linotype" w:eastAsia="Palatino Linotype" w:hAnsi="Palatino Linotype" w:cs="Palatino Linotype"/>
          <w:b/>
        </w:rPr>
      </w:pPr>
      <w:r w:rsidRPr="00AF2D72">
        <w:rPr>
          <w:rFonts w:ascii="Palatino Linotype" w:eastAsia="Palatino Linotype" w:hAnsi="Palatino Linotype" w:cs="Palatino Linotype"/>
          <w:b/>
        </w:rPr>
        <w:lastRenderedPageBreak/>
        <w:t xml:space="preserve">2. Respuesta. </w:t>
      </w:r>
      <w:r w:rsidRPr="00AF2D72">
        <w:rPr>
          <w:rFonts w:ascii="Palatino Linotype" w:eastAsia="Palatino Linotype" w:hAnsi="Palatino Linotype" w:cs="Palatino Linotype"/>
        </w:rPr>
        <w:t xml:space="preserve">El </w:t>
      </w:r>
      <w:r w:rsidRPr="00AF2D72">
        <w:rPr>
          <w:rFonts w:ascii="Palatino Linotype" w:eastAsia="Palatino Linotype" w:hAnsi="Palatino Linotype" w:cs="Palatino Linotype"/>
          <w:b/>
        </w:rPr>
        <w:t>dieciocho de febrero de dos mil veinticinco,</w:t>
      </w:r>
      <w:r w:rsidRPr="00AF2D72">
        <w:rPr>
          <w:rFonts w:ascii="Palatino Linotype" w:eastAsia="Palatino Linotype" w:hAnsi="Palatino Linotype" w:cs="Palatino Linotype"/>
        </w:rPr>
        <w:t xml:space="preserve">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59739C5" w14:textId="77777777" w:rsidR="00154C33" w:rsidRPr="00AF2D72" w:rsidRDefault="00900E12">
      <w:pPr>
        <w:spacing w:before="240" w:after="24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“…En cumplimiento a lo dispuesto en el artículo 53 fracción II, IV, V y VI de la Ley de Transparencia y Acceso a la Información Pública del Estado de México y Municipios, adjunto a la presente la información y los elementos necesarios para la atención de la solicitud de información de este Sujeto Obligado...” (sic)</w:t>
      </w:r>
    </w:p>
    <w:p w14:paraId="358FF8E8"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adjuntó lo siguiente: </w:t>
      </w:r>
    </w:p>
    <w:p w14:paraId="6F4CBAEA"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 Oficio número 200B10100/374/2025, del dieciocho de febrero de dos mil veinticinco, mediante el cual el titular de la Unidad de Información, Planeación, Programación y Evaluación notificó a la persona solicitante la respuesta proporcionada por el Departamento de Capital Humano.</w:t>
      </w:r>
    </w:p>
    <w:p w14:paraId="6DAB8CA7"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 Oficio número 200B10900/293/2025, del diecisiete de febrero de dos mil veinticinco, mediante el cual el </w:t>
      </w:r>
      <w:proofErr w:type="gramStart"/>
      <w:r w:rsidRPr="00AF2D72">
        <w:rPr>
          <w:rFonts w:ascii="Palatino Linotype" w:eastAsia="Palatino Linotype" w:hAnsi="Palatino Linotype" w:cs="Palatino Linotype"/>
        </w:rPr>
        <w:t>Director</w:t>
      </w:r>
      <w:proofErr w:type="gramEnd"/>
      <w:r w:rsidRPr="00AF2D72">
        <w:rPr>
          <w:rFonts w:ascii="Palatino Linotype" w:eastAsia="Palatino Linotype" w:hAnsi="Palatino Linotype" w:cs="Palatino Linotype"/>
        </w:rPr>
        <w:t xml:space="preserve"> de Administración y Tesorería manifestó que la información objeto de la solicitud se encuentra publicada en el artículo 92, fracción XX denominada “Las condiciones generales de trabajo” del Sistema de Información Pública de Oficio Mexiquense, IPOMEX, del Sujeto Obligado, que puede ser consultado en la siguiente dirección electrónica en formato cerrado: </w:t>
      </w:r>
    </w:p>
    <w:p w14:paraId="693FE75D" w14:textId="77777777" w:rsidR="00154C33" w:rsidRPr="00AF2D72" w:rsidRDefault="00900E12">
      <w:pPr>
        <w:spacing w:before="240" w:after="240" w:line="360" w:lineRule="auto"/>
        <w:ind w:right="49"/>
        <w:jc w:val="center"/>
        <w:rPr>
          <w:rFonts w:ascii="Palatino Linotype" w:eastAsia="Palatino Linotype" w:hAnsi="Palatino Linotype" w:cs="Palatino Linotype"/>
        </w:rPr>
      </w:pPr>
      <w:r w:rsidRPr="00AF2D72">
        <w:rPr>
          <w:noProof/>
        </w:rPr>
        <w:drawing>
          <wp:inline distT="0" distB="0" distL="0" distR="0" wp14:anchorId="7D39CBC5" wp14:editId="2D4B431F">
            <wp:extent cx="3896269" cy="219106"/>
            <wp:effectExtent l="0" t="0" r="0" b="0"/>
            <wp:docPr id="20832964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896269" cy="219106"/>
                    </a:xfrm>
                    <a:prstGeom prst="rect">
                      <a:avLst/>
                    </a:prstGeom>
                    <a:ln/>
                  </pic:spPr>
                </pic:pic>
              </a:graphicData>
            </a:graphic>
          </wp:inline>
        </w:drawing>
      </w:r>
      <w:r w:rsidRPr="00AF2D72">
        <w:rPr>
          <w:rFonts w:ascii="Palatino Linotype" w:eastAsia="Palatino Linotype" w:hAnsi="Palatino Linotype" w:cs="Palatino Linotype"/>
        </w:rPr>
        <w:t xml:space="preserve"> </w:t>
      </w:r>
    </w:p>
    <w:p w14:paraId="539BCF00"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b/>
        </w:rPr>
        <w:t xml:space="preserve">3. Interposición del recurso de revisión. </w:t>
      </w:r>
      <w:r w:rsidRPr="00AF2D72">
        <w:rPr>
          <w:rFonts w:ascii="Palatino Linotype" w:eastAsia="Palatino Linotype" w:hAnsi="Palatino Linotype" w:cs="Palatino Linotype"/>
        </w:rPr>
        <w:t xml:space="preserve">Inconforme con los términos de la respuesta emitida por parte del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el </w:t>
      </w:r>
      <w:r w:rsidRPr="00AF2D72">
        <w:rPr>
          <w:rFonts w:ascii="Palatino Linotype" w:eastAsia="Palatino Linotype" w:hAnsi="Palatino Linotype" w:cs="Palatino Linotype"/>
          <w:b/>
        </w:rPr>
        <w:t xml:space="preserve">veintiséis de febrero de dos </w:t>
      </w:r>
      <w:r w:rsidRPr="00AF2D72">
        <w:rPr>
          <w:rFonts w:ascii="Palatino Linotype" w:eastAsia="Palatino Linotype" w:hAnsi="Palatino Linotype" w:cs="Palatino Linotype"/>
          <w:b/>
        </w:rPr>
        <w:lastRenderedPageBreak/>
        <w:t xml:space="preserve">mil veinticinco, </w:t>
      </w:r>
      <w:r w:rsidRPr="00AF2D72">
        <w:rPr>
          <w:rFonts w:ascii="Palatino Linotype" w:eastAsia="Palatino Linotype" w:hAnsi="Palatino Linotype" w:cs="Palatino Linotype"/>
        </w:rPr>
        <w:t xml:space="preserve">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xml:space="preserve"> interpuso el recurso de revisión a través de </w:t>
      </w:r>
      <w:r w:rsidRPr="00AF2D72">
        <w:rPr>
          <w:rFonts w:ascii="Palatino Linotype" w:eastAsia="Palatino Linotype" w:hAnsi="Palatino Linotype" w:cs="Palatino Linotype"/>
          <w:b/>
        </w:rPr>
        <w:t xml:space="preserve">SAIMEX, </w:t>
      </w:r>
      <w:r w:rsidRPr="00AF2D72">
        <w:rPr>
          <w:rFonts w:ascii="Palatino Linotype" w:eastAsia="Palatino Linotype" w:hAnsi="Palatino Linotype" w:cs="Palatino Linotype"/>
        </w:rPr>
        <w:t>en donde se manifestó de la siguiente manera:</w:t>
      </w:r>
    </w:p>
    <w:p w14:paraId="1B610247" w14:textId="77777777" w:rsidR="00154C33" w:rsidRPr="00AF2D72" w:rsidRDefault="00900E12">
      <w:pPr>
        <w:tabs>
          <w:tab w:val="left" w:pos="2745"/>
        </w:tabs>
        <w:spacing w:before="240" w:after="240" w:line="360" w:lineRule="auto"/>
        <w:jc w:val="both"/>
        <w:rPr>
          <w:rFonts w:ascii="Palatino Linotype" w:eastAsia="Palatino Linotype" w:hAnsi="Palatino Linotype" w:cs="Palatino Linotype"/>
          <w:b/>
        </w:rPr>
      </w:pPr>
      <w:r w:rsidRPr="00AF2D72">
        <w:rPr>
          <w:rFonts w:ascii="Palatino Linotype" w:eastAsia="Palatino Linotype" w:hAnsi="Palatino Linotype" w:cs="Palatino Linotype"/>
          <w:b/>
        </w:rPr>
        <w:t xml:space="preserve">Acto impugnado: </w:t>
      </w:r>
    </w:p>
    <w:p w14:paraId="73A11802" w14:textId="77777777" w:rsidR="00154C33" w:rsidRPr="00AF2D72" w:rsidRDefault="00900E12">
      <w:pPr>
        <w:tabs>
          <w:tab w:val="left" w:pos="2745"/>
        </w:tabs>
        <w:spacing w:before="240" w:after="24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“No </w:t>
      </w:r>
      <w:proofErr w:type="spellStart"/>
      <w:r w:rsidRPr="00AF2D72">
        <w:rPr>
          <w:rFonts w:ascii="Palatino Linotype" w:eastAsia="Palatino Linotype" w:hAnsi="Palatino Linotype" w:cs="Palatino Linotype"/>
          <w:i/>
          <w:sz w:val="22"/>
          <w:szCs w:val="22"/>
        </w:rPr>
        <w:t>rersponde</w:t>
      </w:r>
      <w:proofErr w:type="spellEnd"/>
      <w:r w:rsidRPr="00AF2D72">
        <w:rPr>
          <w:rFonts w:ascii="Palatino Linotype" w:eastAsia="Palatino Linotype" w:hAnsi="Palatino Linotype" w:cs="Palatino Linotype"/>
          <w:i/>
          <w:sz w:val="22"/>
          <w:szCs w:val="22"/>
        </w:rPr>
        <w:t xml:space="preserve"> a la solicitud de información” (sic)</w:t>
      </w:r>
    </w:p>
    <w:p w14:paraId="06230A1A" w14:textId="77777777" w:rsidR="00154C33" w:rsidRPr="00AF2D72" w:rsidRDefault="00900E12">
      <w:pPr>
        <w:spacing w:line="360" w:lineRule="auto"/>
        <w:jc w:val="both"/>
        <w:rPr>
          <w:rFonts w:ascii="Palatino Linotype" w:eastAsia="Palatino Linotype" w:hAnsi="Palatino Linotype" w:cs="Palatino Linotype"/>
        </w:rPr>
      </w:pPr>
      <w:bookmarkStart w:id="4" w:name="_heading=h.30j0zll" w:colFirst="0" w:colLast="0"/>
      <w:bookmarkEnd w:id="4"/>
      <w:r w:rsidRPr="00AF2D72">
        <w:rPr>
          <w:rFonts w:ascii="Palatino Linotype" w:eastAsia="Palatino Linotype" w:hAnsi="Palatino Linotype" w:cs="Palatino Linotype"/>
          <w:b/>
        </w:rPr>
        <w:t>Y, Razones o motivos de inconformidad</w:t>
      </w:r>
      <w:r w:rsidRPr="00AF2D72">
        <w:rPr>
          <w:rFonts w:ascii="Palatino Linotype" w:eastAsia="Palatino Linotype" w:hAnsi="Palatino Linotype" w:cs="Palatino Linotype"/>
        </w:rPr>
        <w:t>:</w:t>
      </w:r>
    </w:p>
    <w:p w14:paraId="09474737" w14:textId="77777777" w:rsidR="00154C33" w:rsidRPr="00AF2D72" w:rsidRDefault="00900E12">
      <w:pPr>
        <w:tabs>
          <w:tab w:val="left" w:pos="2745"/>
        </w:tabs>
        <w:spacing w:before="240" w:after="24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“No </w:t>
      </w:r>
      <w:proofErr w:type="spellStart"/>
      <w:r w:rsidRPr="00AF2D72">
        <w:rPr>
          <w:rFonts w:ascii="Palatino Linotype" w:eastAsia="Palatino Linotype" w:hAnsi="Palatino Linotype" w:cs="Palatino Linotype"/>
          <w:i/>
          <w:sz w:val="22"/>
          <w:szCs w:val="22"/>
        </w:rPr>
        <w:t>rersponde</w:t>
      </w:r>
      <w:proofErr w:type="spellEnd"/>
      <w:r w:rsidRPr="00AF2D72">
        <w:rPr>
          <w:rFonts w:ascii="Palatino Linotype" w:eastAsia="Palatino Linotype" w:hAnsi="Palatino Linotype" w:cs="Palatino Linotype"/>
          <w:i/>
          <w:sz w:val="22"/>
          <w:szCs w:val="22"/>
        </w:rPr>
        <w:t xml:space="preserve"> a la solicitud de información” (sic)</w:t>
      </w:r>
    </w:p>
    <w:p w14:paraId="0E83AC33"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b/>
        </w:rPr>
        <w:t xml:space="preserve">4. Turno. </w:t>
      </w:r>
      <w:r w:rsidRPr="00AF2D7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F2D72">
        <w:rPr>
          <w:rFonts w:ascii="Palatino Linotype" w:eastAsia="Palatino Linotype" w:hAnsi="Palatino Linotype" w:cs="Palatino Linotype"/>
          <w:b/>
        </w:rPr>
        <w:t xml:space="preserve">Guadalupe Ramírez Peña, </w:t>
      </w:r>
      <w:r w:rsidRPr="00AF2D72">
        <w:rPr>
          <w:rFonts w:ascii="Palatino Linotype" w:eastAsia="Palatino Linotype" w:hAnsi="Palatino Linotype" w:cs="Palatino Linotype"/>
        </w:rPr>
        <w:t xml:space="preserve">a efecto de que analizara sobre su admisión o su </w:t>
      </w:r>
      <w:proofErr w:type="spellStart"/>
      <w:r w:rsidRPr="00AF2D72">
        <w:rPr>
          <w:rFonts w:ascii="Palatino Linotype" w:eastAsia="Palatino Linotype" w:hAnsi="Palatino Linotype" w:cs="Palatino Linotype"/>
        </w:rPr>
        <w:t>desechamiento</w:t>
      </w:r>
      <w:proofErr w:type="spellEnd"/>
      <w:r w:rsidRPr="00AF2D72">
        <w:rPr>
          <w:rFonts w:ascii="Palatino Linotype" w:eastAsia="Palatino Linotype" w:hAnsi="Palatino Linotype" w:cs="Palatino Linotype"/>
        </w:rPr>
        <w:t>.</w:t>
      </w:r>
    </w:p>
    <w:p w14:paraId="6C71E23D"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b/>
        </w:rPr>
        <w:t>5. Admisión del Recurso de revisión.</w:t>
      </w:r>
      <w:r w:rsidRPr="00AF2D72">
        <w:rPr>
          <w:rFonts w:ascii="Palatino Linotype" w:eastAsia="Palatino Linotype" w:hAnsi="Palatino Linotype" w:cs="Palatino Linotype"/>
        </w:rPr>
        <w:t xml:space="preserve"> El</w:t>
      </w:r>
      <w:r w:rsidRPr="00AF2D72">
        <w:rPr>
          <w:rFonts w:ascii="Palatino Linotype" w:eastAsia="Palatino Linotype" w:hAnsi="Palatino Linotype" w:cs="Palatino Linotype"/>
          <w:b/>
        </w:rPr>
        <w:t xml:space="preserve"> cuatro de marzo de dos mil veinticinco, </w:t>
      </w:r>
      <w:r w:rsidRPr="00AF2D7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presentara su informe justificado.</w:t>
      </w:r>
    </w:p>
    <w:p w14:paraId="68012376" w14:textId="77777777" w:rsidR="00154C33" w:rsidRPr="00AF2D72" w:rsidRDefault="00900E12">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AF2D72">
        <w:rPr>
          <w:rFonts w:ascii="Palatino Linotype" w:eastAsia="Palatino Linotype" w:hAnsi="Palatino Linotype" w:cs="Palatino Linotype"/>
          <w:b/>
        </w:rPr>
        <w:t>6. Manifestaciones</w:t>
      </w:r>
      <w:r w:rsidRPr="00AF2D72">
        <w:rPr>
          <w:rFonts w:ascii="Palatino Linotype" w:eastAsia="Palatino Linotype" w:hAnsi="Palatino Linotype" w:cs="Palatino Linotype"/>
        </w:rPr>
        <w:t xml:space="preserve">.  El </w:t>
      </w:r>
      <w:r w:rsidRPr="00AF2D72">
        <w:rPr>
          <w:rFonts w:ascii="Palatino Linotype" w:eastAsia="Palatino Linotype" w:hAnsi="Palatino Linotype" w:cs="Palatino Linotype"/>
          <w:b/>
        </w:rPr>
        <w:t>siete de marzo dos mil veinticinco</w:t>
      </w:r>
      <w:r w:rsidRPr="00AF2D72">
        <w:rPr>
          <w:rFonts w:ascii="Palatino Linotype" w:eastAsia="Palatino Linotype" w:hAnsi="Palatino Linotype" w:cs="Palatino Linotype"/>
        </w:rPr>
        <w:t xml:space="preserve">,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remitió, a través de SAIMEX, su informe justificado, mediante el cual ratificó en lo </w:t>
      </w:r>
      <w:r w:rsidRPr="00AF2D72">
        <w:rPr>
          <w:rFonts w:ascii="Palatino Linotype" w:eastAsia="Palatino Linotype" w:hAnsi="Palatino Linotype" w:cs="Palatino Linotype"/>
        </w:rPr>
        <w:lastRenderedPageBreak/>
        <w:t>sustancial la respuesta emitida en primera instancia, manifestando que la solicitud fue atendida en tiempo y forma.</w:t>
      </w:r>
    </w:p>
    <w:p w14:paraId="0EBA55E3" w14:textId="77777777" w:rsidR="00154C33" w:rsidRPr="00AF2D72" w:rsidRDefault="00900E12">
      <w:pPr>
        <w:spacing w:before="240" w:after="240" w:line="360" w:lineRule="auto"/>
        <w:jc w:val="both"/>
        <w:rPr>
          <w:rFonts w:ascii="Palatino Linotype" w:eastAsia="Palatino Linotype" w:hAnsi="Palatino Linotype" w:cs="Palatino Linotype"/>
          <w:b/>
        </w:rPr>
      </w:pPr>
      <w:r w:rsidRPr="00AF2D72">
        <w:rPr>
          <w:rFonts w:ascii="Palatino Linotype" w:eastAsia="Palatino Linotype" w:hAnsi="Palatino Linotype" w:cs="Palatino Linotype"/>
        </w:rPr>
        <w:t xml:space="preserve">Una vez analizada la información, se hizo del conocimiento de la parte </w:t>
      </w:r>
      <w:r w:rsidRPr="00AF2D72">
        <w:rPr>
          <w:rFonts w:ascii="Palatino Linotype" w:eastAsia="Palatino Linotype" w:hAnsi="Palatino Linotype" w:cs="Palatino Linotype"/>
          <w:b/>
        </w:rPr>
        <w:t xml:space="preserve">Recurrente </w:t>
      </w:r>
      <w:r w:rsidRPr="00AF2D72">
        <w:rPr>
          <w:rFonts w:ascii="Palatino Linotype" w:eastAsia="Palatino Linotype" w:hAnsi="Palatino Linotype" w:cs="Palatino Linotype"/>
        </w:rPr>
        <w:t>con la finalidad de que manifestara lo que a su derecho estimara conveniente, sin embargo, fue omisa en ejercer dicha prerrogativa.</w:t>
      </w:r>
    </w:p>
    <w:p w14:paraId="1D7DAE26"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b/>
        </w:rPr>
        <w:t xml:space="preserve">7. Cierre de instrucción. </w:t>
      </w:r>
      <w:r w:rsidRPr="00AF2D7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AF2D72">
        <w:rPr>
          <w:rFonts w:ascii="Palatino Linotype" w:eastAsia="Palatino Linotype" w:hAnsi="Palatino Linotype" w:cs="Palatino Linotype"/>
          <w:b/>
        </w:rPr>
        <w:t>catorce de marzo de dos mil veinticinco</w:t>
      </w:r>
      <w:r w:rsidRPr="00AF2D7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98EA29F"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b/>
        </w:rPr>
        <w:t>8</w:t>
      </w:r>
      <w:r w:rsidRPr="00AF2D72">
        <w:rPr>
          <w:rFonts w:ascii="Palatino Linotype" w:eastAsia="Palatino Linotype" w:hAnsi="Palatino Linotype" w:cs="Palatino Linotype"/>
        </w:rPr>
        <w:t xml:space="preserve">. </w:t>
      </w:r>
      <w:r w:rsidRPr="00AF2D72">
        <w:rPr>
          <w:rFonts w:ascii="Palatino Linotype" w:eastAsia="Palatino Linotype" w:hAnsi="Palatino Linotype" w:cs="Palatino Linotype"/>
          <w:b/>
        </w:rPr>
        <w:t>Ampliación del término para resolver</w:t>
      </w:r>
      <w:r w:rsidRPr="00AF2D72">
        <w:rPr>
          <w:rFonts w:ascii="Palatino Linotype" w:eastAsia="Palatino Linotype" w:hAnsi="Palatino Linotype" w:cs="Palatino Linotype"/>
        </w:rPr>
        <w:t xml:space="preserve">. El </w:t>
      </w:r>
      <w:r w:rsidRPr="00AF2D72">
        <w:rPr>
          <w:rFonts w:ascii="Palatino Linotype" w:eastAsia="Palatino Linotype" w:hAnsi="Palatino Linotype" w:cs="Palatino Linotype"/>
          <w:b/>
        </w:rPr>
        <w:t>veintiuno de abril de dos mil veinticinco</w:t>
      </w:r>
      <w:r w:rsidRPr="00AF2D7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0019E27"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91D29B2" w14:textId="77777777" w:rsidR="00154C33" w:rsidRPr="00AF2D72" w:rsidRDefault="00900E12">
      <w:pPr>
        <w:widowControl w:val="0"/>
        <w:spacing w:before="240" w:after="240" w:line="360" w:lineRule="auto"/>
        <w:jc w:val="center"/>
        <w:rPr>
          <w:rFonts w:ascii="Palatino Linotype" w:eastAsia="Palatino Linotype" w:hAnsi="Palatino Linotype" w:cs="Palatino Linotype"/>
          <w:b/>
        </w:rPr>
      </w:pPr>
      <w:r w:rsidRPr="00AF2D72">
        <w:rPr>
          <w:rFonts w:ascii="Palatino Linotype" w:eastAsia="Palatino Linotype" w:hAnsi="Palatino Linotype" w:cs="Palatino Linotype"/>
          <w:b/>
        </w:rPr>
        <w:t>II. C O N S I D E R A N D O S</w:t>
      </w:r>
    </w:p>
    <w:p w14:paraId="3ED537F4"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b/>
        </w:rPr>
        <w:t>Primero. Competencia.</w:t>
      </w:r>
      <w:r w:rsidRPr="00AF2D72">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AF2D72">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D05E84" w14:textId="77777777" w:rsidR="00154C33" w:rsidRPr="00AF2D72" w:rsidRDefault="00900E12">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AF2D72">
        <w:rPr>
          <w:rFonts w:ascii="Palatino Linotype" w:eastAsia="Palatino Linotype" w:hAnsi="Palatino Linotype" w:cs="Palatino Linotype"/>
          <w:b/>
        </w:rPr>
        <w:t>Segundo. Oportunidad y Procedibilidad del Recurso de Revisión</w:t>
      </w:r>
      <w:r w:rsidRPr="00AF2D7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8C69D63"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remitió la respuesta a la solicitud de información el día </w:t>
      </w:r>
      <w:r w:rsidRPr="00AF2D72">
        <w:rPr>
          <w:rFonts w:ascii="Palatino Linotype" w:eastAsia="Palatino Linotype" w:hAnsi="Palatino Linotype" w:cs="Palatino Linotype"/>
          <w:b/>
        </w:rPr>
        <w:t xml:space="preserve">dieciocho de febrero de dos mil veinticinco, </w:t>
      </w:r>
      <w:r w:rsidRPr="00AF2D72">
        <w:rPr>
          <w:rFonts w:ascii="Palatino Linotype" w:eastAsia="Palatino Linotype" w:hAnsi="Palatino Linotype" w:cs="Palatino Linotype"/>
        </w:rPr>
        <w:t xml:space="preserve">mientras que el recurso de revisión interpuesto por la parte </w:t>
      </w:r>
      <w:r w:rsidRPr="00AF2D72">
        <w:rPr>
          <w:rFonts w:ascii="Palatino Linotype" w:eastAsia="Palatino Linotype" w:hAnsi="Palatino Linotype" w:cs="Palatino Linotype"/>
          <w:b/>
        </w:rPr>
        <w:t xml:space="preserve">Recurrente, </w:t>
      </w:r>
      <w:r w:rsidRPr="00AF2D72">
        <w:rPr>
          <w:rFonts w:ascii="Palatino Linotype" w:eastAsia="Palatino Linotype" w:hAnsi="Palatino Linotype" w:cs="Palatino Linotype"/>
        </w:rPr>
        <w:t xml:space="preserve">se tuvo por presentado el día </w:t>
      </w:r>
      <w:r w:rsidRPr="00AF2D72">
        <w:rPr>
          <w:rFonts w:ascii="Palatino Linotype" w:eastAsia="Palatino Linotype" w:hAnsi="Palatino Linotype" w:cs="Palatino Linotype"/>
          <w:b/>
        </w:rPr>
        <w:t xml:space="preserve">veintiséis de febrero de dos mil veinticinco, </w:t>
      </w:r>
      <w:r w:rsidRPr="00AF2D72">
        <w:rPr>
          <w:rFonts w:ascii="Palatino Linotype" w:eastAsia="Palatino Linotype" w:hAnsi="Palatino Linotype" w:cs="Palatino Linotype"/>
        </w:rPr>
        <w:t xml:space="preserve">esto es al sexto día hábil posterior a aquel en el que tuvo conocimiento de la respuesta impugnada. En este sentido, se concluye que el presente recurso de revisión se </w:t>
      </w:r>
      <w:r w:rsidRPr="00AF2D72">
        <w:rPr>
          <w:rFonts w:ascii="Palatino Linotype" w:eastAsia="Palatino Linotype" w:hAnsi="Palatino Linotype" w:cs="Palatino Linotype"/>
        </w:rPr>
        <w:lastRenderedPageBreak/>
        <w:t>encuentra dentro de los márgenes temporales previstos en las disposiciones legales referidas.</w:t>
      </w:r>
    </w:p>
    <w:p w14:paraId="1690919F" w14:textId="77777777" w:rsidR="00154C33" w:rsidRPr="00AF2D72" w:rsidRDefault="00900E12">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AF2D72">
        <w:rPr>
          <w:rFonts w:ascii="Palatino Linotype" w:eastAsia="Palatino Linotype" w:hAnsi="Palatino Linotype" w:cs="Palatino Linotype"/>
        </w:rPr>
        <w:t>Además, por cuanto hace a la procedibilidad del recurso de revisión, es de suma importancia señalar que la parte</w:t>
      </w:r>
      <w:r w:rsidRPr="00AF2D72">
        <w:rPr>
          <w:rFonts w:ascii="Palatino Linotype" w:eastAsia="Palatino Linotype" w:hAnsi="Palatino Linotype" w:cs="Palatino Linotype"/>
          <w:b/>
        </w:rPr>
        <w:t xml:space="preserve"> Recurrente</w:t>
      </w:r>
      <w:r w:rsidRPr="00AF2D72">
        <w:rPr>
          <w:rFonts w:ascii="Palatino Linotype" w:eastAsia="Palatino Linotype" w:hAnsi="Palatino Linotype" w:cs="Palatino Linotype"/>
        </w:rPr>
        <w:t xml:space="preserve">, no señaló un </w:t>
      </w:r>
      <w:r w:rsidRPr="00AF2D72">
        <w:rPr>
          <w:rFonts w:ascii="Palatino Linotype" w:eastAsia="Palatino Linotype" w:hAnsi="Palatino Linotype" w:cs="Palatino Linotype"/>
          <w:b/>
        </w:rPr>
        <w:t>nombre</w:t>
      </w:r>
      <w:r w:rsidRPr="00AF2D72">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2F2C25"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r w:rsidRPr="00AF2D72">
        <w:rPr>
          <w:rFonts w:ascii="Palatino Linotype" w:eastAsia="Palatino Linotype" w:hAnsi="Palatino Linotype" w:cs="Palatino Linotype"/>
          <w:b/>
          <w:i/>
          <w:sz w:val="22"/>
          <w:szCs w:val="22"/>
        </w:rPr>
        <w:t>Las solicitudes anónimas</w:t>
      </w:r>
      <w:r w:rsidRPr="00AF2D72">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03BD67CE" w14:textId="77777777" w:rsidR="00154C33" w:rsidRPr="00AF2D72" w:rsidRDefault="00900E12">
      <w:pPr>
        <w:spacing w:before="240" w:after="240" w:line="360" w:lineRule="auto"/>
        <w:jc w:val="both"/>
        <w:rPr>
          <w:rFonts w:ascii="Palatino Linotype" w:eastAsia="Palatino Linotype" w:hAnsi="Palatino Linotype" w:cs="Palatino Linotype"/>
          <w:b/>
        </w:rPr>
      </w:pPr>
      <w:r w:rsidRPr="00AF2D72">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AF2D72">
        <w:rPr>
          <w:rFonts w:ascii="Palatino Linotype" w:eastAsia="Palatino Linotype" w:hAnsi="Palatino Linotype" w:cs="Palatino Linotype"/>
          <w:b/>
        </w:rPr>
        <w:t xml:space="preserve"> SAIMEX.</w:t>
      </w:r>
    </w:p>
    <w:p w14:paraId="1443ED94"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Finalmente, se advierte que resulta procedente la interposición del recurso, según lo manifestado por 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xml:space="preserve"> en sus motivos de inconformidad, de acuerdo al artículo 179, fracción I del ordenamiento legal citado, que a la letra dice: </w:t>
      </w:r>
    </w:p>
    <w:p w14:paraId="0CFE12E5" w14:textId="77777777" w:rsidR="00154C33" w:rsidRPr="00AF2D72" w:rsidRDefault="00900E12">
      <w:pPr>
        <w:tabs>
          <w:tab w:val="left" w:pos="7938"/>
        </w:tabs>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lastRenderedPageBreak/>
        <w:t>“</w:t>
      </w:r>
      <w:r w:rsidRPr="00AF2D72">
        <w:rPr>
          <w:rFonts w:ascii="Palatino Linotype" w:eastAsia="Palatino Linotype" w:hAnsi="Palatino Linotype" w:cs="Palatino Linotype"/>
          <w:b/>
          <w:i/>
          <w:sz w:val="22"/>
          <w:szCs w:val="22"/>
        </w:rPr>
        <w:t>Artículo 179.</w:t>
      </w:r>
      <w:r w:rsidRPr="00AF2D7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A27A3A7" w14:textId="77777777" w:rsidR="00154C33" w:rsidRPr="00AF2D72" w:rsidRDefault="00900E12">
      <w:pPr>
        <w:tabs>
          <w:tab w:val="left" w:pos="7938"/>
        </w:tabs>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w:t>
      </w:r>
      <w:r w:rsidRPr="00AF2D72">
        <w:rPr>
          <w:rFonts w:ascii="Palatino Linotype" w:eastAsia="Palatino Linotype" w:hAnsi="Palatino Linotype" w:cs="Palatino Linotype"/>
          <w:i/>
          <w:sz w:val="22"/>
          <w:szCs w:val="22"/>
        </w:rPr>
        <w:t xml:space="preserve">. La negativa a la información solicitada; </w:t>
      </w:r>
    </w:p>
    <w:p w14:paraId="2DBDE395" w14:textId="77777777" w:rsidR="00154C33" w:rsidRPr="00AF2D72" w:rsidRDefault="00900E12">
      <w:pPr>
        <w:tabs>
          <w:tab w:val="left" w:pos="7938"/>
        </w:tabs>
        <w:ind w:left="1134" w:right="902"/>
        <w:jc w:val="both"/>
        <w:rPr>
          <w:rFonts w:ascii="Palatino Linotype" w:eastAsia="Palatino Linotype" w:hAnsi="Palatino Linotype" w:cs="Palatino Linotype"/>
          <w:b/>
          <w:i/>
          <w:sz w:val="22"/>
          <w:szCs w:val="22"/>
        </w:rPr>
      </w:pPr>
      <w:r w:rsidRPr="00AF2D72">
        <w:rPr>
          <w:rFonts w:ascii="Palatino Linotype" w:eastAsia="Palatino Linotype" w:hAnsi="Palatino Linotype" w:cs="Palatino Linotype"/>
          <w:b/>
          <w:i/>
          <w:sz w:val="22"/>
          <w:szCs w:val="22"/>
        </w:rPr>
        <w:t>...”</w:t>
      </w:r>
    </w:p>
    <w:p w14:paraId="68D0A185" w14:textId="77777777" w:rsidR="00154C33" w:rsidRPr="00AF2D72" w:rsidRDefault="00900E12">
      <w:pPr>
        <w:spacing w:before="240" w:after="240" w:line="360" w:lineRule="auto"/>
        <w:jc w:val="both"/>
        <w:rPr>
          <w:rFonts w:ascii="Palatino Linotype" w:eastAsia="Palatino Linotype" w:hAnsi="Palatino Linotype" w:cs="Palatino Linotype"/>
          <w:b/>
        </w:rPr>
      </w:pPr>
      <w:r w:rsidRPr="00AF2D72">
        <w:rPr>
          <w:rFonts w:ascii="Palatino Linotype" w:eastAsia="Palatino Linotype" w:hAnsi="Palatino Linotype" w:cs="Palatino Linotype"/>
          <w:b/>
        </w:rPr>
        <w:t xml:space="preserve">Tercero. Materia de la revisión. </w:t>
      </w:r>
      <w:r w:rsidRPr="00AF2D7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F2D72">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AF2D72">
        <w:rPr>
          <w:rFonts w:ascii="Palatino Linotype" w:eastAsia="Palatino Linotype" w:hAnsi="Palatino Linotype" w:cs="Palatino Linotype"/>
        </w:rPr>
        <w:t xml:space="preserve">de 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o en su defecto, en caso de ser procedente, ordenar la entrega de información.</w:t>
      </w:r>
    </w:p>
    <w:p w14:paraId="26D155B7" w14:textId="77777777" w:rsidR="00154C33" w:rsidRPr="00AF2D72" w:rsidRDefault="00900E12">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AF2D72">
        <w:rPr>
          <w:rFonts w:ascii="Palatino Linotype" w:eastAsia="Palatino Linotype" w:hAnsi="Palatino Linotype" w:cs="Palatino Linotype"/>
          <w:b/>
        </w:rPr>
        <w:t xml:space="preserve">Cuarto. Estudio del asunto. </w:t>
      </w:r>
      <w:r w:rsidRPr="00AF2D72">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7D2249F"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r w:rsidRPr="00AF2D72">
        <w:rPr>
          <w:rFonts w:ascii="Palatino Linotype" w:eastAsia="Palatino Linotype" w:hAnsi="Palatino Linotype" w:cs="Palatino Linotype"/>
          <w:b/>
          <w:i/>
          <w:sz w:val="22"/>
          <w:szCs w:val="22"/>
        </w:rPr>
        <w:t>Artículo 4</w:t>
      </w:r>
      <w:r w:rsidRPr="00AF2D7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3D3CB1D"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F2D72">
        <w:rPr>
          <w:rFonts w:ascii="Palatino Linotype" w:eastAsia="Palatino Linotype" w:hAnsi="Palatino Linotype" w:cs="Palatino Linotype"/>
          <w:i/>
          <w:sz w:val="22"/>
          <w:szCs w:val="22"/>
        </w:rPr>
        <w:t xml:space="preserve">, en los términos y condiciones </w:t>
      </w:r>
      <w:r w:rsidRPr="00AF2D72">
        <w:rPr>
          <w:rFonts w:ascii="Palatino Linotype" w:eastAsia="Palatino Linotype" w:hAnsi="Palatino Linotype" w:cs="Palatino Linotype"/>
          <w:i/>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F241231"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F2D72">
        <w:rPr>
          <w:rFonts w:ascii="Palatino Linotype" w:eastAsia="Palatino Linotype" w:hAnsi="Palatino Linotype" w:cs="Palatino Linotype"/>
          <w:i/>
          <w:sz w:val="22"/>
          <w:szCs w:val="22"/>
        </w:rPr>
        <w:t>.”</w:t>
      </w:r>
    </w:p>
    <w:p w14:paraId="35DAC8E7"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55A1D5C"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“Artículo 12.-</w:t>
      </w:r>
      <w:r w:rsidRPr="00AF2D7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D252B4A"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F2D72">
        <w:rPr>
          <w:rFonts w:ascii="Palatino Linotype" w:eastAsia="Palatino Linotype" w:hAnsi="Palatino Linotype" w:cs="Palatino Linotype"/>
          <w:i/>
          <w:sz w:val="22"/>
          <w:szCs w:val="22"/>
        </w:rPr>
        <w:t xml:space="preserve">. </w:t>
      </w:r>
      <w:r w:rsidRPr="00AF2D7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65FA79B1" w14:textId="77777777" w:rsidR="00154C33" w:rsidRPr="00AF2D72" w:rsidRDefault="00900E12">
      <w:pPr>
        <w:spacing w:before="240" w:after="240" w:line="360" w:lineRule="auto"/>
        <w:ind w:right="-93"/>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w:t>
      </w:r>
      <w:r w:rsidRPr="00AF2D72">
        <w:rPr>
          <w:rFonts w:ascii="Palatino Linotype" w:eastAsia="Palatino Linotype" w:hAnsi="Palatino Linotype" w:cs="Palatino Linotype"/>
        </w:rPr>
        <w:lastRenderedPageBreak/>
        <w:t>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51B63E6" w14:textId="77777777" w:rsidR="00154C33" w:rsidRPr="00AF2D72" w:rsidRDefault="00900E12">
      <w:pPr>
        <w:spacing w:before="240" w:after="240" w:line="360" w:lineRule="auto"/>
        <w:jc w:val="both"/>
        <w:rPr>
          <w:rFonts w:ascii="Palatino Linotype" w:eastAsia="Palatino Linotype" w:hAnsi="Palatino Linotype" w:cs="Palatino Linotype"/>
          <w:b/>
        </w:rPr>
      </w:pPr>
      <w:r w:rsidRPr="00AF2D72">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AF2D72">
        <w:rPr>
          <w:rFonts w:ascii="Palatino Linotype" w:eastAsia="Palatino Linotype" w:hAnsi="Palatino Linotype" w:cs="Palatino Linotype"/>
        </w:rPr>
        <w:t>que</w:t>
      </w:r>
      <w:proofErr w:type="gramEnd"/>
      <w:r w:rsidRPr="00AF2D72">
        <w:rPr>
          <w:rFonts w:ascii="Palatino Linotype" w:eastAsia="Palatino Linotype" w:hAnsi="Palatino Linotype" w:cs="Palatino Linotype"/>
        </w:rPr>
        <w:t xml:space="preserve"> por rubro y texto, dispone lo siguiente:</w:t>
      </w:r>
      <w:r w:rsidRPr="00AF2D72">
        <w:rPr>
          <w:rFonts w:ascii="Palatino Linotype" w:eastAsia="Palatino Linotype" w:hAnsi="Palatino Linotype" w:cs="Palatino Linotype"/>
          <w:b/>
        </w:rPr>
        <w:t xml:space="preserve"> </w:t>
      </w:r>
    </w:p>
    <w:p w14:paraId="16D45E47"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 “</w:t>
      </w:r>
      <w:r w:rsidRPr="00AF2D72">
        <w:rPr>
          <w:rFonts w:ascii="Palatino Linotype" w:eastAsia="Palatino Linotype" w:hAnsi="Palatino Linotype" w:cs="Palatino Linotype"/>
          <w:b/>
          <w:i/>
          <w:sz w:val="22"/>
          <w:szCs w:val="22"/>
        </w:rPr>
        <w:t>No existe obligación de elaborar documentos ad hoc para atender las solicitudes de acceso a la información.</w:t>
      </w:r>
      <w:r w:rsidRPr="00AF2D7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C317699" w14:textId="77777777" w:rsidR="00154C33" w:rsidRPr="00AF2D72" w:rsidRDefault="00900E12">
      <w:pPr>
        <w:spacing w:before="120" w:after="12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09FBD40" w14:textId="77777777" w:rsidR="00154C33" w:rsidRPr="00AF2D72" w:rsidRDefault="00900E12">
      <w:pPr>
        <w:spacing w:before="120" w:after="12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B2C08DB"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r w:rsidRPr="00AF2D72">
        <w:rPr>
          <w:rFonts w:ascii="Palatino Linotype" w:eastAsia="Palatino Linotype" w:hAnsi="Palatino Linotype" w:cs="Palatino Linotype"/>
          <w:b/>
          <w:i/>
          <w:sz w:val="22"/>
          <w:szCs w:val="22"/>
        </w:rPr>
        <w:t xml:space="preserve">Artículo 3. </w:t>
      </w:r>
      <w:r w:rsidRPr="00AF2D72">
        <w:rPr>
          <w:rFonts w:ascii="Palatino Linotype" w:eastAsia="Palatino Linotype" w:hAnsi="Palatino Linotype" w:cs="Palatino Linotype"/>
          <w:i/>
          <w:sz w:val="22"/>
          <w:szCs w:val="22"/>
        </w:rPr>
        <w:t>Para los efectos de la presente Ley se entenderá por:</w:t>
      </w:r>
    </w:p>
    <w:p w14:paraId="735C93C5"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p>
    <w:p w14:paraId="419DE115"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XI. Documento:</w:t>
      </w:r>
      <w:r w:rsidRPr="00AF2D72">
        <w:rPr>
          <w:rFonts w:ascii="Palatino Linotype" w:eastAsia="Palatino Linotype" w:hAnsi="Palatino Linotype" w:cs="Palatino Linotype"/>
          <w:i/>
          <w:sz w:val="22"/>
          <w:szCs w:val="22"/>
        </w:rPr>
        <w:t xml:space="preserve"> Los expedientes, reportes, estudios, actas</w:t>
      </w:r>
      <w:r w:rsidRPr="00AF2D72">
        <w:rPr>
          <w:rFonts w:ascii="Palatino Linotype" w:eastAsia="Palatino Linotype" w:hAnsi="Palatino Linotype" w:cs="Palatino Linotype"/>
          <w:b/>
          <w:i/>
          <w:sz w:val="22"/>
          <w:szCs w:val="22"/>
        </w:rPr>
        <w:t>,</w:t>
      </w:r>
      <w:r w:rsidRPr="00AF2D7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0D0A77D"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B63D7A"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sz w:val="22"/>
          <w:szCs w:val="22"/>
        </w:rPr>
        <w:t>“</w:t>
      </w:r>
      <w:r w:rsidRPr="00AF2D72">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AF2D72">
        <w:rPr>
          <w:rFonts w:ascii="Palatino Linotype" w:eastAsia="Palatino Linotype" w:hAnsi="Palatino Linotype" w:cs="Palatino Linotype"/>
          <w:b/>
          <w:i/>
          <w:sz w:val="22"/>
          <w:szCs w:val="22"/>
        </w:rPr>
        <w:lastRenderedPageBreak/>
        <w:t>ARTÍCULOS 2°, FRACCIÓN V, XV, Y XVI, 3°, 4°, 11 Y 41.</w:t>
      </w:r>
      <w:r w:rsidRPr="00AF2D7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614DB5"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En </w:t>
      </w:r>
      <w:proofErr w:type="gramStart"/>
      <w:r w:rsidRPr="00AF2D72">
        <w:rPr>
          <w:rFonts w:ascii="Palatino Linotype" w:eastAsia="Palatino Linotype" w:hAnsi="Palatino Linotype" w:cs="Palatino Linotype"/>
          <w:i/>
          <w:sz w:val="22"/>
          <w:szCs w:val="22"/>
        </w:rPr>
        <w:t>consecuencia</w:t>
      </w:r>
      <w:proofErr w:type="gramEnd"/>
      <w:r w:rsidRPr="00AF2D7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8EEF12C"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F2D72">
        <w:rPr>
          <w:rFonts w:ascii="Palatino Linotype" w:eastAsia="Palatino Linotype" w:hAnsi="Palatino Linotype" w:cs="Palatino Linotype"/>
          <w:i/>
          <w:sz w:val="22"/>
          <w:szCs w:val="22"/>
        </w:rPr>
        <w:t>que</w:t>
      </w:r>
      <w:proofErr w:type="gramEnd"/>
      <w:r w:rsidRPr="00AF2D72">
        <w:rPr>
          <w:rFonts w:ascii="Palatino Linotype" w:eastAsia="Palatino Linotype" w:hAnsi="Palatino Linotype" w:cs="Palatino Linotype"/>
          <w:i/>
          <w:sz w:val="22"/>
          <w:szCs w:val="22"/>
        </w:rPr>
        <w:t xml:space="preserve"> en ejercicio de las atribuciones conferidas, sea generada por los Sujetos Obligados;</w:t>
      </w:r>
    </w:p>
    <w:p w14:paraId="71A6E558"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AF2D72">
        <w:rPr>
          <w:rFonts w:ascii="Palatino Linotype" w:eastAsia="Palatino Linotype" w:hAnsi="Palatino Linotype" w:cs="Palatino Linotype"/>
          <w:i/>
          <w:sz w:val="22"/>
          <w:szCs w:val="22"/>
        </w:rPr>
        <w:t>que</w:t>
      </w:r>
      <w:proofErr w:type="gramEnd"/>
      <w:r w:rsidRPr="00AF2D72">
        <w:rPr>
          <w:rFonts w:ascii="Palatino Linotype" w:eastAsia="Palatino Linotype" w:hAnsi="Palatino Linotype" w:cs="Palatino Linotype"/>
          <w:i/>
          <w:sz w:val="22"/>
          <w:szCs w:val="22"/>
        </w:rPr>
        <w:t xml:space="preserve"> en ejercicio de las atribuciones conferidas, sea administrada por los Sujetos Obligados, y</w:t>
      </w:r>
    </w:p>
    <w:p w14:paraId="2AB9624C"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AF2D72">
        <w:rPr>
          <w:rFonts w:ascii="Palatino Linotype" w:eastAsia="Palatino Linotype" w:hAnsi="Palatino Linotype" w:cs="Palatino Linotype"/>
          <w:i/>
          <w:sz w:val="22"/>
          <w:szCs w:val="22"/>
        </w:rPr>
        <w:t>que</w:t>
      </w:r>
      <w:proofErr w:type="gramEnd"/>
      <w:r w:rsidRPr="00AF2D72">
        <w:rPr>
          <w:rFonts w:ascii="Palatino Linotype" w:eastAsia="Palatino Linotype" w:hAnsi="Palatino Linotype" w:cs="Palatino Linotype"/>
          <w:i/>
          <w:sz w:val="22"/>
          <w:szCs w:val="22"/>
        </w:rPr>
        <w:t xml:space="preserve"> en ejercicio de las atribuciones conferidas, se encuentre en posesión de los Sujetos Obligados.”</w:t>
      </w:r>
    </w:p>
    <w:p w14:paraId="24FCC4DE" w14:textId="77777777" w:rsidR="00154C33" w:rsidRPr="00AF2D72" w:rsidRDefault="00900E12">
      <w:pPr>
        <w:spacing w:before="240" w:after="240" w:line="360" w:lineRule="auto"/>
        <w:ind w:right="51"/>
        <w:jc w:val="both"/>
        <w:rPr>
          <w:rFonts w:ascii="Palatino Linotype" w:eastAsia="Palatino Linotype" w:hAnsi="Palatino Linotype" w:cs="Palatino Linotype"/>
        </w:rPr>
      </w:pPr>
      <w:r w:rsidRPr="00AF2D72">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0194886"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w:t>
      </w:r>
      <w:r w:rsidRPr="00AF2D72">
        <w:rPr>
          <w:rFonts w:ascii="Palatino Linotype" w:eastAsia="Palatino Linotype" w:hAnsi="Palatino Linotype" w:cs="Palatino Linotype"/>
        </w:rPr>
        <w:lastRenderedPageBreak/>
        <w:t>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5000849" w14:textId="77777777" w:rsidR="00154C33" w:rsidRPr="00AF2D72" w:rsidRDefault="00900E12">
      <w:pPr>
        <w:spacing w:before="240" w:after="240" w:line="360" w:lineRule="auto"/>
        <w:ind w:right="51"/>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xml:space="preserve"> requirió al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le proporcione, información consistente en lo siguiente:</w:t>
      </w:r>
    </w:p>
    <w:p w14:paraId="5D4A968F" w14:textId="77777777" w:rsidR="00154C33" w:rsidRPr="00AF2D72" w:rsidRDefault="00900E12">
      <w:pPr>
        <w:tabs>
          <w:tab w:val="left" w:pos="567"/>
        </w:tabs>
        <w:spacing w:before="240" w:after="240" w:line="360" w:lineRule="auto"/>
        <w:ind w:left="284" w:right="51"/>
        <w:jc w:val="both"/>
        <w:rPr>
          <w:rFonts w:ascii="Palatino Linotype" w:eastAsia="Palatino Linotype" w:hAnsi="Palatino Linotype" w:cs="Palatino Linotype"/>
          <w:sz w:val="28"/>
          <w:szCs w:val="28"/>
        </w:rPr>
      </w:pPr>
      <w:r w:rsidRPr="00AF2D72">
        <w:rPr>
          <w:rFonts w:ascii="Palatino Linotype" w:eastAsia="Palatino Linotype" w:hAnsi="Palatino Linotype" w:cs="Palatino Linotype"/>
        </w:rPr>
        <w:t>1.  Se informen las condiciones bajo las cuales se llevan a cabo despidos masivos en Toluca en 2025 y sus diferentes organismos descentralizados y desconcentrados.</w:t>
      </w:r>
    </w:p>
    <w:p w14:paraId="117ED514" w14:textId="77777777" w:rsidR="00154C33" w:rsidRPr="00AF2D72" w:rsidRDefault="00900E12">
      <w:pPr>
        <w:tabs>
          <w:tab w:val="left" w:pos="567"/>
        </w:tabs>
        <w:spacing w:before="240" w:after="240" w:line="360" w:lineRule="auto"/>
        <w:ind w:left="284" w:right="51"/>
        <w:jc w:val="both"/>
        <w:rPr>
          <w:rFonts w:ascii="Palatino Linotype" w:eastAsia="Palatino Linotype" w:hAnsi="Palatino Linotype" w:cs="Palatino Linotype"/>
          <w:sz w:val="28"/>
          <w:szCs w:val="28"/>
        </w:rPr>
      </w:pPr>
      <w:r w:rsidRPr="00AF2D72">
        <w:rPr>
          <w:rFonts w:ascii="Palatino Linotype" w:eastAsia="Palatino Linotype" w:hAnsi="Palatino Linotype" w:cs="Palatino Linotype"/>
        </w:rPr>
        <w:t>2. El nombre, cargo, puesto, sueldo y área de adscripción de los servidores públicos que han renunciado del uno de enero al seis de febrero de dos mil veinticinco.</w:t>
      </w:r>
    </w:p>
    <w:p w14:paraId="49C10DAC" w14:textId="77777777" w:rsidR="00154C33" w:rsidRPr="00AF2D72" w:rsidRDefault="00900E12">
      <w:pPr>
        <w:tabs>
          <w:tab w:val="left" w:pos="567"/>
        </w:tabs>
        <w:spacing w:before="240" w:after="240" w:line="360" w:lineRule="auto"/>
        <w:ind w:left="284" w:right="51"/>
        <w:jc w:val="both"/>
        <w:rPr>
          <w:rFonts w:ascii="Palatino Linotype" w:eastAsia="Palatino Linotype" w:hAnsi="Palatino Linotype" w:cs="Palatino Linotype"/>
          <w:sz w:val="28"/>
          <w:szCs w:val="28"/>
        </w:rPr>
      </w:pPr>
      <w:r w:rsidRPr="00AF2D72">
        <w:rPr>
          <w:rFonts w:ascii="Palatino Linotype" w:eastAsia="Palatino Linotype" w:hAnsi="Palatino Linotype" w:cs="Palatino Linotype"/>
        </w:rPr>
        <w:t>3. El nombre y sueldo de la persona que ingresó para ocupar dichas plazas o cargos.</w:t>
      </w:r>
    </w:p>
    <w:p w14:paraId="0E365C2D"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por conducto de la Unidad de Información, Planeación, Programación y Evaluación hizo del conocimiento de la persona solicitante la </w:t>
      </w:r>
      <w:r w:rsidRPr="00AF2D72">
        <w:rPr>
          <w:rFonts w:ascii="Palatino Linotype" w:eastAsia="Palatino Linotype" w:hAnsi="Palatino Linotype" w:cs="Palatino Linotype"/>
        </w:rPr>
        <w:lastRenderedPageBreak/>
        <w:t>respuesta emitida por el servidor público habilitado de la Dirección de Administración y Tesorería, quien manifestó que la información objeto de la solicitud se encuentra publicada en el artículo 92, fracción XX de la Ley de Transparencia y Acceso a la Información Pública del Estado de México y Municipios, denominada “Las condiciones generales de trabajo” del Sistema de Información Pública de Oficio Mexiquense, IPOMEX, del Sujeto Obligado, y, para efectos de la consulta proporcionó una dirección electrónica en formato cerrado.</w:t>
      </w:r>
    </w:p>
    <w:p w14:paraId="567AD1E9"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Al no estar conforme con los términos de la respuesta emitida, la parte </w:t>
      </w:r>
      <w:r w:rsidRPr="00AF2D72">
        <w:rPr>
          <w:rFonts w:ascii="Palatino Linotype" w:eastAsia="Palatino Linotype" w:hAnsi="Palatino Linotype" w:cs="Palatino Linotype"/>
          <w:b/>
        </w:rPr>
        <w:t xml:space="preserve">Recurrente </w:t>
      </w:r>
      <w:r w:rsidRPr="00AF2D72">
        <w:rPr>
          <w:rFonts w:ascii="Palatino Linotype" w:eastAsia="Palatino Linotype" w:hAnsi="Palatino Linotype" w:cs="Palatino Linotype"/>
        </w:rPr>
        <w:t>interpuso el recurso de revisión que nos ocupa, donde señaló como motivo de inconformidad, en lo medular que no se respondió lo solicitado.</w:t>
      </w:r>
    </w:p>
    <w:p w14:paraId="40D3ADE3"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Durante el periodo de manifestaciones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ratificó en lo sustancial la respuesta proporcionada en primera instancia, y la parte </w:t>
      </w:r>
      <w:r w:rsidRPr="00AF2D72">
        <w:rPr>
          <w:rFonts w:ascii="Palatino Linotype" w:eastAsia="Palatino Linotype" w:hAnsi="Palatino Linotype" w:cs="Palatino Linotype"/>
          <w:b/>
        </w:rPr>
        <w:t xml:space="preserve">Recurrente </w:t>
      </w:r>
      <w:r w:rsidRPr="00AF2D72">
        <w:rPr>
          <w:rFonts w:ascii="Palatino Linotype" w:eastAsia="Palatino Linotype" w:hAnsi="Palatino Linotype" w:cs="Palatino Linotype"/>
        </w:rPr>
        <w:t xml:space="preserve">fue omisa en hacer valer manifestaciones o rendir alegatos que conforme a derecho resultaran procedentes, por lo </w:t>
      </w:r>
      <w:proofErr w:type="gramStart"/>
      <w:r w:rsidRPr="00AF2D72">
        <w:rPr>
          <w:rFonts w:ascii="Palatino Linotype" w:eastAsia="Palatino Linotype" w:hAnsi="Palatino Linotype" w:cs="Palatino Linotype"/>
        </w:rPr>
        <w:t>tanto</w:t>
      </w:r>
      <w:proofErr w:type="gramEnd"/>
      <w:r w:rsidRPr="00AF2D72">
        <w:rPr>
          <w:rFonts w:ascii="Palatino Linotype" w:eastAsia="Palatino Linotype" w:hAnsi="Palatino Linotype" w:cs="Palatino Linotype"/>
        </w:rPr>
        <w:t xml:space="preserve"> se tiene por precluido su derecho.</w:t>
      </w:r>
    </w:p>
    <w:p w14:paraId="13C2B9EE" w14:textId="77777777" w:rsidR="00154C33" w:rsidRPr="00AF2D72" w:rsidRDefault="00900E12">
      <w:pPr>
        <w:spacing w:before="280" w:after="28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en contraposición con el motivo de inconformidad alegado por la parte </w:t>
      </w:r>
      <w:r w:rsidRPr="00AF2D72">
        <w:rPr>
          <w:rFonts w:ascii="Palatino Linotype" w:eastAsia="Palatino Linotype" w:hAnsi="Palatino Linotype" w:cs="Palatino Linotype"/>
          <w:b/>
        </w:rPr>
        <w:t xml:space="preserve">Recurrente, </w:t>
      </w:r>
      <w:r w:rsidRPr="00AF2D72">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3063987C"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lastRenderedPageBreak/>
        <w:t xml:space="preserve">En este tenor, por lo que se refiere al </w:t>
      </w:r>
      <w:r w:rsidRPr="00AF2D72">
        <w:rPr>
          <w:rFonts w:ascii="Palatino Linotype" w:eastAsia="Palatino Linotype" w:hAnsi="Palatino Linotype" w:cs="Palatino Linotype"/>
          <w:b/>
        </w:rPr>
        <w:t>punto 1</w:t>
      </w:r>
      <w:r w:rsidRPr="00AF2D72">
        <w:rPr>
          <w:rFonts w:ascii="Palatino Linotype" w:eastAsia="Palatino Linotype" w:hAnsi="Palatino Linotype" w:cs="Palatino Linotype"/>
        </w:rPr>
        <w:t xml:space="preserve"> de la solicitud, debe apuntarse que la persona solicitante planteó una cuestión con la que pretendió </w:t>
      </w:r>
      <w:r w:rsidRPr="00AF2D72">
        <w:rPr>
          <w:rFonts w:ascii="Palatino Linotype" w:eastAsia="Palatino Linotype" w:hAnsi="Palatino Linotype" w:cs="Palatino Linotype"/>
          <w:b/>
        </w:rPr>
        <w:t>se le informara sobre las condiciones bajo las cuales se llevan a cabo despidos masivos en el Ayuntamiento de Toluca en el año 2025 y sus diferentes organismos descentralizados –</w:t>
      </w:r>
      <w:r w:rsidRPr="00AF2D72">
        <w:rPr>
          <w:rFonts w:ascii="Palatino Linotype" w:eastAsia="Palatino Linotype" w:hAnsi="Palatino Linotype" w:cs="Palatino Linotype"/>
          <w:b/>
          <w:sz w:val="22"/>
          <w:szCs w:val="22"/>
        </w:rPr>
        <w:t>entre ellos el Sujeto Obligado</w:t>
      </w:r>
      <w:r w:rsidRPr="00AF2D72">
        <w:rPr>
          <w:rFonts w:ascii="Palatino Linotype" w:eastAsia="Palatino Linotype" w:hAnsi="Palatino Linotype" w:cs="Palatino Linotype"/>
          <w:b/>
        </w:rPr>
        <w:t xml:space="preserve">- y desconcentrados, </w:t>
      </w:r>
      <w:r w:rsidRPr="00AF2D72">
        <w:rPr>
          <w:rFonts w:ascii="Palatino Linotype" w:eastAsia="Palatino Linotype" w:hAnsi="Palatino Linotype" w:cs="Palatino Linotype"/>
        </w:rPr>
        <w:t xml:space="preserve">que, además de corresponder con diversos Sujetos Obligados, de conformidad con el  Padrón de Sujetos Obligados en materia de Transparencia y Acceso a la Información Pública del Estado de México y Municipios aprobado por el Pleno de este Instituto el veintisiete de enero de dos mil diecisiete y sus modificaciones posteriores, conlleva a precisar que con tal pronunciamiento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del Ayuntamiento, o de los demás organismos descentralizados de éste.</w:t>
      </w:r>
    </w:p>
    <w:p w14:paraId="77DD8949"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Por lo anterior, del análisis realizado al expediente electrónico, se advierte que el requerimiento en cuestión no constituye un derecho de acceso a la información y por lo tanto no es atendible mediante una solicitud de acceso a la información pública, porque se tratan de manifestaciones subjetivas vertidas por el particular, interrogantes y declaraciones, situación que conlleva a afirmar que se está en presencia del ejercicio del derecho a la libre expresión y en todo caso a un derecho de petición. </w:t>
      </w:r>
    </w:p>
    <w:p w14:paraId="08E8B739" w14:textId="77777777" w:rsidR="00154C33" w:rsidRPr="00AF2D72" w:rsidRDefault="00900E12">
      <w:pPr>
        <w:spacing w:before="240" w:after="240" w:line="360" w:lineRule="auto"/>
        <w:jc w:val="both"/>
        <w:rPr>
          <w:rFonts w:ascii="Palatino Linotype" w:eastAsia="Palatino Linotype" w:hAnsi="Palatino Linotype" w:cs="Palatino Linotype"/>
          <w:i/>
        </w:rPr>
      </w:pPr>
      <w:r w:rsidRPr="00AF2D72">
        <w:rPr>
          <w:rFonts w:ascii="Palatino Linotype" w:eastAsia="Palatino Linotype" w:hAnsi="Palatino Linotype" w:cs="Palatino Linotype"/>
        </w:rPr>
        <w:lastRenderedPageBreak/>
        <w:t xml:space="preserve">A efecto de sustentar lo anterior, es preciso mencionar que David Cienfuegos Salgado, concibe al derecho de petición como </w:t>
      </w:r>
      <w:r w:rsidRPr="00AF2D72">
        <w:rPr>
          <w:rFonts w:ascii="Palatino Linotype" w:eastAsia="Palatino Linotype" w:hAnsi="Palatino Linotype" w:cs="Palatino Linotype"/>
          <w:i/>
        </w:rPr>
        <w:t>“</w:t>
      </w:r>
      <w:r w:rsidRPr="00AF2D72">
        <w:rPr>
          <w:rFonts w:ascii="Palatino Linotype" w:eastAsia="Palatino Linotype" w:hAnsi="Palatino Linotype" w:cs="Palatino Linotype"/>
          <w:b/>
          <w:i/>
          <w:u w:val="single"/>
        </w:rPr>
        <w:t>el derecho de toda persona a ser escuchado por quienes ejercen el poder públic</w:t>
      </w:r>
      <w:r w:rsidRPr="00AF2D72">
        <w:rPr>
          <w:rFonts w:ascii="Palatino Linotype" w:eastAsia="Palatino Linotype" w:hAnsi="Palatino Linotype" w:cs="Palatino Linotype"/>
          <w:i/>
        </w:rPr>
        <w:t>o.</w:t>
      </w:r>
      <w:r w:rsidRPr="00AF2D72">
        <w:rPr>
          <w:rFonts w:ascii="Palatino Linotype" w:eastAsia="Palatino Linotype" w:hAnsi="Palatino Linotype" w:cs="Palatino Linotype"/>
          <w:i/>
          <w:vertAlign w:val="superscript"/>
        </w:rPr>
        <w:t xml:space="preserve"> </w:t>
      </w:r>
      <w:r w:rsidRPr="00AF2D72">
        <w:rPr>
          <w:rFonts w:ascii="Palatino Linotype" w:eastAsia="Palatino Linotype" w:hAnsi="Palatino Linotype" w:cs="Palatino Linotype"/>
          <w:i/>
          <w:vertAlign w:val="superscript"/>
        </w:rPr>
        <w:footnoteReference w:id="1"/>
      </w:r>
      <w:r w:rsidRPr="00AF2D72">
        <w:rPr>
          <w:rFonts w:ascii="Palatino Linotype" w:eastAsia="Palatino Linotype" w:hAnsi="Palatino Linotype" w:cs="Palatino Linotype"/>
          <w:i/>
        </w:rPr>
        <w:t xml:space="preserve">” (Sic) </w:t>
      </w:r>
    </w:p>
    <w:p w14:paraId="62C9C95E"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De la misma manera, Miguel Carbonell en su libro “Los derechos fundamentales” refiere que el </w:t>
      </w:r>
      <w:r w:rsidRPr="00AF2D72">
        <w:rPr>
          <w:rFonts w:ascii="Palatino Linotype" w:eastAsia="Palatino Linotype" w:hAnsi="Palatino Linotype" w:cs="Palatino Linotype"/>
          <w:u w:val="single"/>
        </w:rPr>
        <w:t>derecho de petición se ha entendido de dos distintitas maneras</w:t>
      </w:r>
      <w:r w:rsidRPr="00AF2D72">
        <w:rPr>
          <w:rFonts w:ascii="Palatino Linotype" w:eastAsia="Palatino Linotype" w:hAnsi="Palatino Linotype" w:cs="Palatino Linotype"/>
        </w:rPr>
        <w:t xml:space="preserve">, a saber: como un derecho fundamental de participación política ya que </w:t>
      </w:r>
      <w:r w:rsidRPr="00AF2D72">
        <w:rPr>
          <w:rFonts w:ascii="Palatino Linotype" w:eastAsia="Palatino Linotype" w:hAnsi="Palatino Linotype" w:cs="Palatino Linotype"/>
          <w:u w:val="single"/>
        </w:rPr>
        <w:t xml:space="preserve">permite a los particulares trasladar a las autoridades sus </w:t>
      </w:r>
      <w:r w:rsidRPr="00AF2D72">
        <w:rPr>
          <w:rFonts w:ascii="Palatino Linotype" w:eastAsia="Palatino Linotype" w:hAnsi="Palatino Linotype" w:cs="Palatino Linotype"/>
          <w:b/>
          <w:u w:val="single"/>
        </w:rPr>
        <w:t>inquietudes, quejas</w:t>
      </w:r>
      <w:r w:rsidRPr="00AF2D72">
        <w:rPr>
          <w:rFonts w:ascii="Palatino Linotype" w:eastAsia="Palatino Linotype" w:hAnsi="Palatino Linotype" w:cs="Palatino Linotype"/>
          <w:u w:val="single"/>
        </w:rPr>
        <w:t>, sugerencias</w:t>
      </w:r>
      <w:r w:rsidRPr="00AF2D72">
        <w:rPr>
          <w:rFonts w:ascii="Palatino Linotype" w:eastAsia="Palatino Linotype" w:hAnsi="Palatino Linotype" w:cs="Palatino Linotype"/>
        </w:rPr>
        <w:t xml:space="preserve"> y requerimientos en cualquier materia o asunto; y como una </w:t>
      </w:r>
      <w:r w:rsidRPr="00AF2D72">
        <w:rPr>
          <w:rFonts w:ascii="Palatino Linotype" w:eastAsia="Palatino Linotype" w:hAnsi="Palatino Linotype" w:cs="Palatino Linotype"/>
          <w:b/>
        </w:rPr>
        <w:t>forma específica de la libertad de expresión</w:t>
      </w:r>
      <w:r w:rsidRPr="00AF2D72">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AF2D72">
        <w:rPr>
          <w:rFonts w:ascii="Palatino Linotype" w:eastAsia="Palatino Linotype" w:hAnsi="Palatino Linotype" w:cs="Palatino Linotype"/>
          <w:vertAlign w:val="superscript"/>
        </w:rPr>
        <w:footnoteReference w:id="2"/>
      </w:r>
    </w:p>
    <w:p w14:paraId="723EF5CF" w14:textId="77777777" w:rsidR="00154C33" w:rsidRPr="00AF2D72" w:rsidRDefault="00900E1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Por otro lado, el autor anteriormente citado, indica que el </w:t>
      </w:r>
      <w:r w:rsidRPr="00AF2D72">
        <w:rPr>
          <w:rFonts w:ascii="Palatino Linotype" w:eastAsia="Palatino Linotype" w:hAnsi="Palatino Linotype" w:cs="Palatino Linotype"/>
          <w:b/>
          <w:u w:val="single"/>
        </w:rPr>
        <w:t>derecho de acceso a la información pública</w:t>
      </w:r>
      <w:r w:rsidRPr="00AF2D72">
        <w:rPr>
          <w:rFonts w:ascii="Palatino Linotype" w:eastAsia="Palatino Linotype" w:hAnsi="Palatino Linotype" w:cs="Palatino Linotype"/>
        </w:rPr>
        <w:t xml:space="preserve"> es el derecho de conocer la </w:t>
      </w:r>
      <w:r w:rsidRPr="00AF2D72">
        <w:rPr>
          <w:rFonts w:ascii="Palatino Linotype" w:eastAsia="Palatino Linotype" w:hAnsi="Palatino Linotype" w:cs="Palatino Linotype"/>
          <w:u w:val="single"/>
        </w:rPr>
        <w:t>información de carácter público que se genera o está en posesión de los órganos del poder público</w:t>
      </w:r>
      <w:r w:rsidRPr="00AF2D72">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7468FE28" w14:textId="77777777" w:rsidR="00154C33" w:rsidRPr="00AF2D72" w:rsidRDefault="00900E1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F2D72">
        <w:rPr>
          <w:rFonts w:ascii="Palatino Linotype" w:eastAsia="Palatino Linotype" w:hAnsi="Palatino Linotype" w:cs="Palatino Linotype"/>
        </w:rPr>
        <w:lastRenderedPageBreak/>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AF2D72">
        <w:rPr>
          <w:rFonts w:ascii="Palatino Linotype" w:eastAsia="Palatino Linotype" w:hAnsi="Palatino Linotype" w:cs="Palatino Linotype"/>
          <w:vertAlign w:val="superscript"/>
        </w:rPr>
        <w:footnoteReference w:id="3"/>
      </w:r>
    </w:p>
    <w:p w14:paraId="7AEB3D63" w14:textId="77777777" w:rsidR="00154C33" w:rsidRPr="00AF2D72" w:rsidRDefault="00900E1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De lo anterior se puede concluir que la distinción entre el </w:t>
      </w:r>
      <w:r w:rsidRPr="00AF2D72">
        <w:rPr>
          <w:rFonts w:ascii="Palatino Linotype" w:eastAsia="Palatino Linotype" w:hAnsi="Palatino Linotype" w:cs="Palatino Linotype"/>
          <w:b/>
        </w:rPr>
        <w:t>derecho de petición</w:t>
      </w:r>
      <w:r w:rsidRPr="00AF2D72">
        <w:rPr>
          <w:rFonts w:ascii="Palatino Linotype" w:eastAsia="Palatino Linotype" w:hAnsi="Palatino Linotype" w:cs="Palatino Linotype"/>
        </w:rPr>
        <w:t xml:space="preserve"> y el derecho de acceso a la información descansa, principalmente, en que </w:t>
      </w:r>
      <w:r w:rsidRPr="00AF2D72">
        <w:rPr>
          <w:rFonts w:ascii="Palatino Linotype" w:eastAsia="Palatino Linotype" w:hAnsi="Palatino Linotype" w:cs="Palatino Linotype"/>
          <w:u w:val="single"/>
        </w:rPr>
        <w:t xml:space="preserve">la pretensión del peticionario consiste generalmente en obligar a la autoridad responsable a que actúe </w:t>
      </w:r>
      <w:r w:rsidRPr="00AF2D72">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2D9EFEB8" w14:textId="77777777" w:rsidR="00154C33" w:rsidRPr="00AF2D72" w:rsidRDefault="00900E1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Con base a lo anterior, tenemos que 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xml:space="preserve">, a través de un planteamiento subjetivo basado en una percepción personal, requirió conocer  las condiciones bajo las cuales se llevan a cabo despidos masivos en el ayuntamiento y sus organismos descentralizados y desconcentrados, es decir, pretende que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exponga las razones, circunstancias o los motivos que justifican o permiten llevar a cabo, una gran cantidad de despidos al mismo tiempo, por consiguiente, la entrega de una razón o la respuesta o atención a pronunciamientos que no encuentren en soporte documental alguno, no es algo que la Ley de la </w:t>
      </w:r>
      <w:r w:rsidRPr="00AF2D72">
        <w:rPr>
          <w:rFonts w:ascii="Palatino Linotype" w:eastAsia="Palatino Linotype" w:hAnsi="Palatino Linotype" w:cs="Palatino Linotype"/>
        </w:rPr>
        <w:lastRenderedPageBreak/>
        <w:t xml:space="preserve">Materia establezca como atribución, derecho o facultad; pues ello implicaría emitir un juicio de valor referente a cuestionamientos realizados, los cuales como ha quedado explicado, al constituir </w:t>
      </w:r>
      <w:r w:rsidRPr="00AF2D72">
        <w:rPr>
          <w:rFonts w:ascii="Palatino Linotype" w:eastAsia="Palatino Linotype" w:hAnsi="Palatino Linotype" w:cs="Palatino Linotype"/>
          <w:b/>
          <w:u w:val="single"/>
        </w:rPr>
        <w:t>interrogantes, inquietudes, quejas y manifestaciones</w:t>
      </w:r>
      <w:r w:rsidRPr="00AF2D72">
        <w:rPr>
          <w:rFonts w:ascii="Palatino Linotype" w:eastAsia="Palatino Linotype" w:hAnsi="Palatino Linotype" w:cs="Palatino Linotype"/>
        </w:rPr>
        <w:t xml:space="preserve"> resultan estar encaminadas a ser satisfechas en ejercicio del derecho de petición.</w:t>
      </w:r>
    </w:p>
    <w:p w14:paraId="479EA725" w14:textId="77777777" w:rsidR="00154C33" w:rsidRPr="00AF2D72" w:rsidRDefault="00900E1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bookmarkStart w:id="9" w:name="_heading=h.pwjmwy4dbfsf" w:colFirst="0" w:colLast="0"/>
      <w:bookmarkEnd w:id="9"/>
      <w:r w:rsidRPr="00AF2D72">
        <w:rPr>
          <w:rFonts w:ascii="Palatino Linotype" w:eastAsia="Palatino Linotype" w:hAnsi="Palatino Linotype" w:cs="Palatino Linotype"/>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xml:space="preserve"> esencialmente en virtud de </w:t>
      </w:r>
      <w:r w:rsidRPr="00AF2D72">
        <w:rPr>
          <w:rFonts w:ascii="Palatino Linotype" w:eastAsia="Palatino Linotype" w:hAnsi="Palatino Linotype" w:cs="Palatino Linotype"/>
        </w:rPr>
        <w:lastRenderedPageBreak/>
        <w:t xml:space="preserve">que se advierte que las mismas se tratan de aseveraciones que pudieran ser consideradas de carácter subjetivo hechas sin un soporte que las sustente; es decir, la solicitud de la persona solicitante es tendente a que se le aclare o actué sobre una inquietud, en consecuencia no es procedente ordenar la entrega de documento alguno, toda vez que no se pretendió el acceso a documentos previamente generados, sino un pronunciamiento del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el Ayuntamiento o los demás organismos descentralizados de éste.</w:t>
      </w:r>
    </w:p>
    <w:p w14:paraId="2C7F092A"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Una vez aclarado lo anterior, por lo que se refiere a los puntos 2 y 3, mediante los cuales se requirió la entrega del </w:t>
      </w:r>
      <w:r w:rsidRPr="00AF2D72">
        <w:rPr>
          <w:rFonts w:ascii="Palatino Linotype" w:eastAsia="Palatino Linotype" w:hAnsi="Palatino Linotype" w:cs="Palatino Linotype"/>
          <w:b/>
        </w:rPr>
        <w:t>nombre, cargo, puesto, sueldo y área de adscripción de los servidores públicos que renunciaron del uno de enero al seis de febrero de dos mil veinticinco,</w:t>
      </w:r>
      <w:r w:rsidRPr="00AF2D72">
        <w:rPr>
          <w:rFonts w:ascii="Palatino Linotype" w:eastAsia="Palatino Linotype" w:hAnsi="Palatino Linotype" w:cs="Palatino Linotype"/>
        </w:rPr>
        <w:t xml:space="preserve"> así como el </w:t>
      </w:r>
      <w:r w:rsidRPr="00AF2D72">
        <w:rPr>
          <w:rFonts w:ascii="Palatino Linotype" w:eastAsia="Palatino Linotype" w:hAnsi="Palatino Linotype" w:cs="Palatino Linotype"/>
          <w:b/>
        </w:rPr>
        <w:t xml:space="preserve">nombre y sueldo de la persona que ingresó para ocupar dichas plazas o cargos, </w:t>
      </w:r>
      <w:r w:rsidRPr="00AF2D72">
        <w:rPr>
          <w:rFonts w:ascii="Palatino Linotype" w:eastAsia="Palatino Linotype" w:hAnsi="Palatino Linotype" w:cs="Palatino Linotype"/>
        </w:rPr>
        <w:t xml:space="preserve">es oportuno mencionar que para dar atención al requerimiento de información, la Unidad de Información, Planeación, Programación y Evaluación, en cumplimiento a lo dispuesto en los artículos 53, fracciones II y IV y 162 de la Ley de Transparencia y Acceso a la Información Pública del Estado de México y Municipios, turnó la solicitud de información a Dirección de Administración y Tesorería, como el área competente para conocer de la información que es del interés de la persona solicitante, al ser responsable de analizar y en su caso proveer a las unidades administrativas de los recursos humanos necesarios para su buen funcionamiento, así como supervisar en conjunto con el Departamento de Capital Humano los movimientos del personal como altas y bajas, de conformidad con el código estructural 200B10900 del Manual de </w:t>
      </w:r>
      <w:r w:rsidRPr="00AF2D72">
        <w:rPr>
          <w:rFonts w:ascii="Palatino Linotype" w:eastAsia="Palatino Linotype" w:hAnsi="Palatino Linotype" w:cs="Palatino Linotype"/>
        </w:rPr>
        <w:lastRenderedPageBreak/>
        <w:t>Organización del Sistema Municipal para el Desarrollo Integral de la Familia de Toluca.</w:t>
      </w:r>
    </w:p>
    <w:p w14:paraId="208F581E"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Mientras que el Departamento de Capital Humano, adscrito a la Dirección de Administración y Tesorería, de conformidad con el código estructural 200b10901 del Manual de Organización tiene a su cargo la selección, contratación y formación de los trabajadores que integran el Sistema Municipal para el Desarrollo Integral de la Familia de Toluca, teniendo entre sus atribuciones, las siguientes:</w:t>
      </w:r>
    </w:p>
    <w:p w14:paraId="363431CB" w14:textId="77777777" w:rsidR="00154C33" w:rsidRPr="00AF2D72" w:rsidRDefault="00900E12">
      <w:pPr>
        <w:spacing w:before="240" w:after="240" w:line="360" w:lineRule="auto"/>
        <w:jc w:val="center"/>
        <w:rPr>
          <w:rFonts w:ascii="Palatino Linotype" w:eastAsia="Palatino Linotype" w:hAnsi="Palatino Linotype" w:cs="Palatino Linotype"/>
        </w:rPr>
      </w:pPr>
      <w:r w:rsidRPr="00AF2D72">
        <w:rPr>
          <w:rFonts w:ascii="Palatino Linotype" w:eastAsia="Palatino Linotype" w:hAnsi="Palatino Linotype" w:cs="Palatino Linotype"/>
          <w:noProof/>
        </w:rPr>
        <w:drawing>
          <wp:inline distT="0" distB="0" distL="0" distR="0" wp14:anchorId="3B5ACE29" wp14:editId="25A3C2D4">
            <wp:extent cx="4500000" cy="4659517"/>
            <wp:effectExtent l="0" t="0" r="0" b="0"/>
            <wp:docPr id="20832964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00000" cy="4659517"/>
                    </a:xfrm>
                    <a:prstGeom prst="rect">
                      <a:avLst/>
                    </a:prstGeom>
                    <a:ln/>
                  </pic:spPr>
                </pic:pic>
              </a:graphicData>
            </a:graphic>
          </wp:inline>
        </w:drawing>
      </w:r>
    </w:p>
    <w:p w14:paraId="0B6709BF" w14:textId="77777777" w:rsidR="00154C33" w:rsidRPr="00AF2D72" w:rsidRDefault="00900E12">
      <w:pPr>
        <w:tabs>
          <w:tab w:val="left" w:pos="3544"/>
        </w:tabs>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lastRenderedPageBreak/>
        <w:t xml:space="preserve">Con base en lo anterior, se colige que la  Dirección de Administración y Tesorería, a través del Departamento de Capital Humano, cuenta con atribuciones para conocer de la información solicitada por 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0AEDA56E" w14:textId="77777777" w:rsidR="00154C33" w:rsidRPr="00AF2D72" w:rsidRDefault="00900E12">
      <w:pPr>
        <w:spacing w:before="240" w:after="360" w:line="360" w:lineRule="auto"/>
        <w:ind w:right="18"/>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En este sentido, la persona servidora pública habilitada manifestó que la información que objeto de la solicitud se encuentra publicada en el artículo 92, fracción XX de la Ley de Transparencia y Acceso a la Información Pública del Estado de México y Municipios, denominada “Las condiciones generales de trabajo” del Sistema de Información Pública de Oficio Mexiquense, IPOMEX, del Sujeto Obligado, y, para efectos de la consulta proporcionó una dirección electrónica en formato cerrado, esto es, a través de un documento digitalizado que al no permitir editar, modificar o procesar su contenido, requiere que la liga electrónica sea capturada carácter por carácter, tarea que se dificulta en gran medida ya que al componerse de diversos caracteres, es decir, letras, números, signos, espacios, etcétera, como se observa en el antecedente 2 de la presente resolución, existe una gran probabilidad de cometer errores en la captura, lo cual implicaría </w:t>
      </w:r>
      <w:r w:rsidRPr="00AF2D72">
        <w:rPr>
          <w:rFonts w:ascii="Palatino Linotype" w:eastAsia="Palatino Linotype" w:hAnsi="Palatino Linotype" w:cs="Palatino Linotype"/>
        </w:rPr>
        <w:lastRenderedPageBreak/>
        <w:t>invariablemente la imposibilidad de acceder a la información, razón por la cual no puede tenerse por válida la dirección electrónica proporcionada.</w:t>
      </w:r>
    </w:p>
    <w:p w14:paraId="59F0138C" w14:textId="77777777" w:rsidR="00154C33" w:rsidRPr="00AF2D72" w:rsidRDefault="00900E12">
      <w:pPr>
        <w:tabs>
          <w:tab w:val="left" w:pos="1140"/>
        </w:tabs>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Para sustentar dicha determinación es oportuno referir que de conformidad con el artículo 24, fracción V de la Ley de Transparencia y Acceso a la Información Pública del Estado de México y Municipios, los entes públicos se encuentran obligados </w:t>
      </w:r>
      <w:r w:rsidRPr="00AF2D72">
        <w:rPr>
          <w:rFonts w:ascii="Palatino Linotype" w:eastAsia="Palatino Linotype" w:hAnsi="Palatino Linotype" w:cs="Palatino Linotype"/>
          <w:b/>
          <w:u w:val="single"/>
        </w:rPr>
        <w:t>a promover</w:t>
      </w:r>
      <w:r w:rsidRPr="00AF2D72">
        <w:rPr>
          <w:rFonts w:ascii="Palatino Linotype" w:eastAsia="Palatino Linotype" w:hAnsi="Palatino Linotype" w:cs="Palatino Linotype"/>
        </w:rPr>
        <w:t xml:space="preserve"> la generación, documentación y publicación de la información </w:t>
      </w:r>
      <w:r w:rsidRPr="00AF2D72">
        <w:rPr>
          <w:rFonts w:ascii="Palatino Linotype" w:eastAsia="Palatino Linotype" w:hAnsi="Palatino Linotype" w:cs="Palatino Linotype"/>
          <w:b/>
          <w:u w:val="single"/>
        </w:rPr>
        <w:t>en formatos abiertos y accesibles</w:t>
      </w:r>
      <w:r w:rsidRPr="00AF2D72">
        <w:rPr>
          <w:rFonts w:ascii="Palatino Linotype" w:eastAsia="Palatino Linotype" w:hAnsi="Palatino Linotype" w:cs="Palatino Linotype"/>
        </w:rPr>
        <w:t xml:space="preserve">, es decir, se debe procurar, en la medida de lo posible, que la información que se genere permita su reproducción y reutilización electrónica, de manera libre sin ninguna restricción. </w:t>
      </w:r>
    </w:p>
    <w:p w14:paraId="6A2AD09A" w14:textId="77777777" w:rsidR="00154C33" w:rsidRPr="00AF2D72" w:rsidRDefault="00900E12">
      <w:pPr>
        <w:tabs>
          <w:tab w:val="left" w:pos="1140"/>
        </w:tabs>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Atento a lo anterior se insta al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Pr="00AF2D72">
        <w:rPr>
          <w:rFonts w:ascii="Palatino Linotype" w:eastAsia="Palatino Linotype" w:hAnsi="Palatino Linotype" w:cs="Palatino Linotype"/>
          <w:b/>
          <w:u w:val="single"/>
        </w:rPr>
        <w:t>preferentemente a través de enlaces o hipervínculos, que permitan la conexión directa a la página o sitio en el que se aloja la información, al dar clic al mismo</w:t>
      </w:r>
      <w:r w:rsidRPr="00AF2D72">
        <w:rPr>
          <w:rFonts w:ascii="Palatino Linotype" w:eastAsia="Palatino Linotype" w:hAnsi="Palatino Linotype" w:cs="Palatino Linotype"/>
        </w:rPr>
        <w:t>, con la finalidad de asegurar el acceso a la información que es de su interés.</w:t>
      </w:r>
    </w:p>
    <w:p w14:paraId="07918F9F" w14:textId="77777777" w:rsidR="00154C33" w:rsidRPr="00AF2D72" w:rsidRDefault="00900E12">
      <w:pPr>
        <w:tabs>
          <w:tab w:val="left" w:pos="1140"/>
        </w:tabs>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Con base en lo anterior, cobra relevancia el motivo de inconformidad alegado por 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xml:space="preserve">, ya que al haber proporcionado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un documento que no permite reutilizar la información, no puede garantizarse que la persona solicitante hubiera consultado la información, y por ello considere que la solicitud no fue respondida, como lo hizo valer en el recurso de revisión.</w:t>
      </w:r>
    </w:p>
    <w:p w14:paraId="763F7AE9" w14:textId="77777777" w:rsidR="00154C33" w:rsidRPr="00AF2D72" w:rsidRDefault="00900E12">
      <w:pPr>
        <w:tabs>
          <w:tab w:val="left" w:pos="1140"/>
        </w:tabs>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lastRenderedPageBreak/>
        <w:t xml:space="preserve">En esta tesitura, se estima que para tener por satisfechos los puntos en análisis, es necesario que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previa búsqueda exhaustiva y razonable, haga entrega del o los documentos que den cuenta de la información solicitada, en versión pública de ser necesario, de conformidad con el considerando siguiente.</w:t>
      </w:r>
    </w:p>
    <w:p w14:paraId="7C5B26AA"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Para efectos de lo anterior no obsta mencionar que la Ley del Trabajo de los Servidores Públicos del Estado de México y Municipios, como el ordenamiento, de conformidad con su artículo 1º, es de orden público e interés social y tiene por objeto consiste en regular las relaciones de trabajo comprendidas entre los poderes públicos del Estado y los Municipios, y sus respectivos servidores públicos, establece, en su artículo 89, como causas de terminación de la relación laboral sin responsabilidad para las instituciones públicas, entendidas estas como cada uno de los poderes públicos del Estado, los municipios y los tribunales administrativos; así como los organismos descentralizados, fideicomisos de carácter estatal y municipal, y los órganos autónomos que sus leyes de creación así lo determinen, las siguientes:</w:t>
      </w:r>
    </w:p>
    <w:p w14:paraId="4FE748DC" w14:textId="77777777" w:rsidR="00154C33" w:rsidRPr="00AF2D72" w:rsidRDefault="00900E12">
      <w:pPr>
        <w:spacing w:before="240" w:after="240" w:line="276" w:lineRule="auto"/>
        <w:ind w:left="284"/>
        <w:jc w:val="both"/>
        <w:rPr>
          <w:rFonts w:ascii="Palatino Linotype" w:eastAsia="Palatino Linotype" w:hAnsi="Palatino Linotype" w:cs="Palatino Linotype"/>
          <w:b/>
          <w:u w:val="single"/>
        </w:rPr>
      </w:pPr>
      <w:r w:rsidRPr="00AF2D72">
        <w:rPr>
          <w:rFonts w:ascii="Palatino Linotype" w:eastAsia="Palatino Linotype" w:hAnsi="Palatino Linotype" w:cs="Palatino Linotype"/>
          <w:b/>
          <w:u w:val="single"/>
        </w:rPr>
        <w:t>I. La renuncia del servidor público;</w:t>
      </w:r>
    </w:p>
    <w:p w14:paraId="76E2F88F" w14:textId="77777777" w:rsidR="00154C33" w:rsidRPr="00AF2D72" w:rsidRDefault="00900E12">
      <w:pPr>
        <w:spacing w:before="240" w:after="240" w:line="276" w:lineRule="auto"/>
        <w:ind w:left="284"/>
        <w:jc w:val="both"/>
        <w:rPr>
          <w:rFonts w:ascii="Palatino Linotype" w:eastAsia="Palatino Linotype" w:hAnsi="Palatino Linotype" w:cs="Palatino Linotype"/>
        </w:rPr>
      </w:pPr>
      <w:r w:rsidRPr="00AF2D72">
        <w:rPr>
          <w:rFonts w:ascii="Palatino Linotype" w:eastAsia="Palatino Linotype" w:hAnsi="Palatino Linotype" w:cs="Palatino Linotype"/>
          <w:b/>
        </w:rPr>
        <w:t>II.</w:t>
      </w:r>
      <w:r w:rsidRPr="00AF2D72">
        <w:rPr>
          <w:rFonts w:ascii="Palatino Linotype" w:eastAsia="Palatino Linotype" w:hAnsi="Palatino Linotype" w:cs="Palatino Linotype"/>
        </w:rPr>
        <w:t xml:space="preserve"> El mutuo consentimiento de las partes; </w:t>
      </w:r>
    </w:p>
    <w:p w14:paraId="7C668194" w14:textId="77777777" w:rsidR="00154C33" w:rsidRPr="00AF2D72" w:rsidRDefault="00900E12">
      <w:pPr>
        <w:spacing w:before="240" w:after="240" w:line="276" w:lineRule="auto"/>
        <w:ind w:left="284"/>
        <w:jc w:val="both"/>
        <w:rPr>
          <w:rFonts w:ascii="Palatino Linotype" w:eastAsia="Palatino Linotype" w:hAnsi="Palatino Linotype" w:cs="Palatino Linotype"/>
        </w:rPr>
      </w:pPr>
      <w:r w:rsidRPr="00AF2D72">
        <w:rPr>
          <w:rFonts w:ascii="Palatino Linotype" w:eastAsia="Palatino Linotype" w:hAnsi="Palatino Linotype" w:cs="Palatino Linotype"/>
          <w:b/>
        </w:rPr>
        <w:t>III.</w:t>
      </w:r>
      <w:r w:rsidRPr="00AF2D72">
        <w:rPr>
          <w:rFonts w:ascii="Palatino Linotype" w:eastAsia="Palatino Linotype" w:hAnsi="Palatino Linotype" w:cs="Palatino Linotype"/>
        </w:rPr>
        <w:t xml:space="preserve"> El vencimiento del término o conclusión de la obra determinantes de la contratación; </w:t>
      </w:r>
    </w:p>
    <w:p w14:paraId="0385FFE2" w14:textId="77777777" w:rsidR="00154C33" w:rsidRPr="00AF2D72" w:rsidRDefault="00900E12">
      <w:pPr>
        <w:spacing w:before="240" w:after="240" w:line="276" w:lineRule="auto"/>
        <w:ind w:left="284"/>
        <w:jc w:val="both"/>
        <w:rPr>
          <w:rFonts w:ascii="Palatino Linotype" w:eastAsia="Palatino Linotype" w:hAnsi="Palatino Linotype" w:cs="Palatino Linotype"/>
        </w:rPr>
      </w:pPr>
      <w:r w:rsidRPr="00AF2D72">
        <w:rPr>
          <w:rFonts w:ascii="Palatino Linotype" w:eastAsia="Palatino Linotype" w:hAnsi="Palatino Linotype" w:cs="Palatino Linotype"/>
          <w:b/>
        </w:rPr>
        <w:t>IV.</w:t>
      </w:r>
      <w:r w:rsidRPr="00AF2D72">
        <w:rPr>
          <w:rFonts w:ascii="Palatino Linotype" w:eastAsia="Palatino Linotype" w:hAnsi="Palatino Linotype" w:cs="Palatino Linotype"/>
        </w:rPr>
        <w:t xml:space="preserve"> El término o conclusión de la administración en la cual fue contratado el servidor público a que se refiere el artículo 8 de </w:t>
      </w:r>
      <w:proofErr w:type="gramStart"/>
      <w:r w:rsidRPr="00AF2D72">
        <w:rPr>
          <w:rFonts w:ascii="Palatino Linotype" w:eastAsia="Palatino Linotype" w:hAnsi="Palatino Linotype" w:cs="Palatino Linotype"/>
        </w:rPr>
        <w:t>ésta</w:t>
      </w:r>
      <w:proofErr w:type="gramEnd"/>
      <w:r w:rsidRPr="00AF2D72">
        <w:rPr>
          <w:rFonts w:ascii="Palatino Linotype" w:eastAsia="Palatino Linotype" w:hAnsi="Palatino Linotype" w:cs="Palatino Linotype"/>
        </w:rPr>
        <w:t xml:space="preserve"> Ley; </w:t>
      </w:r>
    </w:p>
    <w:p w14:paraId="46B630FB" w14:textId="77777777" w:rsidR="00154C33" w:rsidRPr="00AF2D72" w:rsidRDefault="00900E12">
      <w:pPr>
        <w:spacing w:before="240" w:after="240" w:line="276" w:lineRule="auto"/>
        <w:ind w:left="284"/>
        <w:jc w:val="both"/>
        <w:rPr>
          <w:rFonts w:ascii="Palatino Linotype" w:eastAsia="Palatino Linotype" w:hAnsi="Palatino Linotype" w:cs="Palatino Linotype"/>
        </w:rPr>
      </w:pPr>
      <w:r w:rsidRPr="00AF2D72">
        <w:rPr>
          <w:rFonts w:ascii="Palatino Linotype" w:eastAsia="Palatino Linotype" w:hAnsi="Palatino Linotype" w:cs="Palatino Linotype"/>
          <w:b/>
        </w:rPr>
        <w:t>V</w:t>
      </w:r>
      <w:r w:rsidRPr="00AF2D72">
        <w:rPr>
          <w:rFonts w:ascii="Palatino Linotype" w:eastAsia="Palatino Linotype" w:hAnsi="Palatino Linotype" w:cs="Palatino Linotype"/>
        </w:rPr>
        <w:t xml:space="preserve">. La muerte del servidor público; y </w:t>
      </w:r>
    </w:p>
    <w:p w14:paraId="5681E9A5" w14:textId="77777777" w:rsidR="00154C33" w:rsidRPr="00AF2D72" w:rsidRDefault="00900E12">
      <w:pPr>
        <w:spacing w:before="240" w:after="240" w:line="276" w:lineRule="auto"/>
        <w:ind w:left="284"/>
        <w:jc w:val="both"/>
        <w:rPr>
          <w:rFonts w:ascii="Palatino Linotype" w:eastAsia="Palatino Linotype" w:hAnsi="Palatino Linotype" w:cs="Palatino Linotype"/>
        </w:rPr>
      </w:pPr>
      <w:r w:rsidRPr="00AF2D72">
        <w:rPr>
          <w:rFonts w:ascii="Palatino Linotype" w:eastAsia="Palatino Linotype" w:hAnsi="Palatino Linotype" w:cs="Palatino Linotype"/>
          <w:b/>
        </w:rPr>
        <w:lastRenderedPageBreak/>
        <w:t>VI</w:t>
      </w:r>
      <w:r w:rsidRPr="00AF2D72">
        <w:rPr>
          <w:rFonts w:ascii="Palatino Linotype" w:eastAsia="Palatino Linotype" w:hAnsi="Palatino Linotype" w:cs="Palatino Linotype"/>
        </w:rPr>
        <w:t>. La incapacidad permanente del servidor público que le impida el desempeño de sus labores.</w:t>
      </w:r>
    </w:p>
    <w:p w14:paraId="50ED3E53"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Por lo que se refiere a la renuncia, es de señalar que se trata de un acto libre y unilateral de la voluntad del trabajador, por el que decide dar por terminada la relación laboral, ya sea por motivos de carácter personal, profesional, o por causas distintas. </w:t>
      </w:r>
    </w:p>
    <w:p w14:paraId="387CD8C2"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Por otro lado, por lo que se refiere a las personas que ocuparon las plazas que quedaron vacantes con motivo de la renuncia, es preciso hacer referencia al Procedimiento: Reclutamiento, selección e inducción del personal que regula el Manual de Procedimientos del Sistema Municipal para el Desarrollo Integral de la Familia de Toluca, el cual consiste en lo siguiente:</w:t>
      </w:r>
    </w:p>
    <w:p w14:paraId="289465D1" w14:textId="77777777" w:rsidR="00154C33" w:rsidRPr="00AF2D72" w:rsidRDefault="00900E12">
      <w:pPr>
        <w:spacing w:before="240" w:after="240" w:line="360" w:lineRule="auto"/>
        <w:jc w:val="center"/>
        <w:rPr>
          <w:rFonts w:ascii="Palatino Linotype" w:eastAsia="Palatino Linotype" w:hAnsi="Palatino Linotype" w:cs="Palatino Linotype"/>
        </w:rPr>
      </w:pPr>
      <w:r w:rsidRPr="00AF2D72">
        <w:rPr>
          <w:rFonts w:ascii="Palatino Linotype" w:eastAsia="Palatino Linotype" w:hAnsi="Palatino Linotype" w:cs="Palatino Linotype"/>
          <w:noProof/>
        </w:rPr>
        <w:lastRenderedPageBreak/>
        <w:drawing>
          <wp:inline distT="0" distB="0" distL="0" distR="0" wp14:anchorId="167600E1" wp14:editId="480C849D">
            <wp:extent cx="4860000" cy="4000784"/>
            <wp:effectExtent l="0" t="0" r="0" b="0"/>
            <wp:docPr id="20832964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43087"/>
                    <a:stretch>
                      <a:fillRect/>
                    </a:stretch>
                  </pic:blipFill>
                  <pic:spPr>
                    <a:xfrm>
                      <a:off x="0" y="0"/>
                      <a:ext cx="4860000" cy="4000784"/>
                    </a:xfrm>
                    <a:prstGeom prst="rect">
                      <a:avLst/>
                    </a:prstGeom>
                    <a:ln/>
                  </pic:spPr>
                </pic:pic>
              </a:graphicData>
            </a:graphic>
          </wp:inline>
        </w:drawing>
      </w:r>
    </w:p>
    <w:p w14:paraId="6012C682" w14:textId="77777777" w:rsidR="00154C33" w:rsidRPr="00AF2D72" w:rsidRDefault="00154C33">
      <w:pPr>
        <w:spacing w:before="240" w:after="240" w:line="360" w:lineRule="auto"/>
        <w:jc w:val="both"/>
        <w:rPr>
          <w:rFonts w:ascii="Palatino Linotype" w:eastAsia="Palatino Linotype" w:hAnsi="Palatino Linotype" w:cs="Palatino Linotype"/>
        </w:rPr>
      </w:pPr>
    </w:p>
    <w:p w14:paraId="4B566349" w14:textId="77777777" w:rsidR="00154C33" w:rsidRPr="00AF2D72" w:rsidRDefault="00900E12">
      <w:pPr>
        <w:spacing w:before="240" w:after="240" w:line="360" w:lineRule="auto"/>
        <w:ind w:right="49"/>
        <w:jc w:val="center"/>
        <w:rPr>
          <w:rFonts w:ascii="Palatino Linotype" w:eastAsia="Palatino Linotype" w:hAnsi="Palatino Linotype" w:cs="Palatino Linotype"/>
        </w:rPr>
      </w:pPr>
      <w:r w:rsidRPr="00AF2D72">
        <w:rPr>
          <w:rFonts w:ascii="Palatino Linotype" w:eastAsia="Palatino Linotype" w:hAnsi="Palatino Linotype" w:cs="Palatino Linotype"/>
          <w:noProof/>
        </w:rPr>
        <w:lastRenderedPageBreak/>
        <w:drawing>
          <wp:inline distT="0" distB="0" distL="0" distR="0" wp14:anchorId="234862D0" wp14:editId="2B038EFE">
            <wp:extent cx="4860000" cy="3029016"/>
            <wp:effectExtent l="0" t="0" r="0" b="0"/>
            <wp:docPr id="20832964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56910"/>
                    <a:stretch>
                      <a:fillRect/>
                    </a:stretch>
                  </pic:blipFill>
                  <pic:spPr>
                    <a:xfrm>
                      <a:off x="0" y="0"/>
                      <a:ext cx="4860000" cy="3029016"/>
                    </a:xfrm>
                    <a:prstGeom prst="rect">
                      <a:avLst/>
                    </a:prstGeom>
                    <a:ln/>
                  </pic:spPr>
                </pic:pic>
              </a:graphicData>
            </a:graphic>
          </wp:inline>
        </w:drawing>
      </w:r>
    </w:p>
    <w:p w14:paraId="4C2BBD3D" w14:textId="77777777" w:rsidR="00154C33" w:rsidRPr="00AF2D72" w:rsidRDefault="00900E12">
      <w:pPr>
        <w:spacing w:before="240" w:after="240" w:line="360" w:lineRule="auto"/>
        <w:ind w:right="49"/>
        <w:jc w:val="center"/>
        <w:rPr>
          <w:rFonts w:ascii="Palatino Linotype" w:eastAsia="Palatino Linotype" w:hAnsi="Palatino Linotype" w:cs="Palatino Linotype"/>
        </w:rPr>
      </w:pPr>
      <w:r w:rsidRPr="00AF2D72">
        <w:rPr>
          <w:rFonts w:ascii="Palatino Linotype" w:eastAsia="Palatino Linotype" w:hAnsi="Palatino Linotype" w:cs="Palatino Linotype"/>
          <w:noProof/>
        </w:rPr>
        <w:drawing>
          <wp:inline distT="0" distB="0" distL="0" distR="0" wp14:anchorId="4291806A" wp14:editId="62F829B0">
            <wp:extent cx="4860000" cy="3086319"/>
            <wp:effectExtent l="0" t="0" r="0" b="0"/>
            <wp:docPr id="20832964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48690"/>
                    <a:stretch>
                      <a:fillRect/>
                    </a:stretch>
                  </pic:blipFill>
                  <pic:spPr>
                    <a:xfrm>
                      <a:off x="0" y="0"/>
                      <a:ext cx="4860000" cy="3086319"/>
                    </a:xfrm>
                    <a:prstGeom prst="rect">
                      <a:avLst/>
                    </a:prstGeom>
                    <a:ln/>
                  </pic:spPr>
                </pic:pic>
              </a:graphicData>
            </a:graphic>
          </wp:inline>
        </w:drawing>
      </w:r>
    </w:p>
    <w:p w14:paraId="45079F35" w14:textId="77777777" w:rsidR="00154C33" w:rsidRPr="00AF2D72" w:rsidRDefault="00154C33">
      <w:pPr>
        <w:spacing w:before="240" w:after="240" w:line="360" w:lineRule="auto"/>
        <w:ind w:right="49"/>
        <w:jc w:val="both"/>
        <w:rPr>
          <w:rFonts w:ascii="Palatino Linotype" w:eastAsia="Palatino Linotype" w:hAnsi="Palatino Linotype" w:cs="Palatino Linotype"/>
        </w:rPr>
      </w:pPr>
    </w:p>
    <w:p w14:paraId="50738A1F" w14:textId="77777777" w:rsidR="00154C33" w:rsidRPr="00AF2D72" w:rsidRDefault="00900E12">
      <w:pPr>
        <w:spacing w:before="240" w:after="240" w:line="360" w:lineRule="auto"/>
        <w:ind w:right="49"/>
        <w:jc w:val="center"/>
        <w:rPr>
          <w:rFonts w:ascii="Palatino Linotype" w:eastAsia="Palatino Linotype" w:hAnsi="Palatino Linotype" w:cs="Palatino Linotype"/>
        </w:rPr>
      </w:pPr>
      <w:r w:rsidRPr="00AF2D72">
        <w:rPr>
          <w:rFonts w:ascii="Palatino Linotype" w:eastAsia="Palatino Linotype" w:hAnsi="Palatino Linotype" w:cs="Palatino Linotype"/>
          <w:noProof/>
        </w:rPr>
        <w:lastRenderedPageBreak/>
        <w:drawing>
          <wp:inline distT="0" distB="0" distL="0" distR="0" wp14:anchorId="65643434" wp14:editId="5033A4FA">
            <wp:extent cx="4860000" cy="2900210"/>
            <wp:effectExtent l="0" t="0" r="0" b="0"/>
            <wp:docPr id="20832964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51784"/>
                    <a:stretch>
                      <a:fillRect/>
                    </a:stretch>
                  </pic:blipFill>
                  <pic:spPr>
                    <a:xfrm>
                      <a:off x="0" y="0"/>
                      <a:ext cx="4860000" cy="2900210"/>
                    </a:xfrm>
                    <a:prstGeom prst="rect">
                      <a:avLst/>
                    </a:prstGeom>
                    <a:ln/>
                  </pic:spPr>
                </pic:pic>
              </a:graphicData>
            </a:graphic>
          </wp:inline>
        </w:drawing>
      </w:r>
      <w:r w:rsidRPr="00AF2D72">
        <w:rPr>
          <w:rFonts w:ascii="Palatino Linotype" w:eastAsia="Palatino Linotype" w:hAnsi="Palatino Linotype" w:cs="Palatino Linotype"/>
          <w:noProof/>
        </w:rPr>
        <w:drawing>
          <wp:inline distT="0" distB="0" distL="0" distR="0" wp14:anchorId="684CEED9" wp14:editId="6A73E77A">
            <wp:extent cx="4860000" cy="3067669"/>
            <wp:effectExtent l="0" t="0" r="0" b="0"/>
            <wp:docPr id="20832964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1" b="39415"/>
                    <a:stretch>
                      <a:fillRect/>
                    </a:stretch>
                  </pic:blipFill>
                  <pic:spPr>
                    <a:xfrm>
                      <a:off x="0" y="0"/>
                      <a:ext cx="4860000" cy="3067669"/>
                    </a:xfrm>
                    <a:prstGeom prst="rect">
                      <a:avLst/>
                    </a:prstGeom>
                    <a:ln/>
                  </pic:spPr>
                </pic:pic>
              </a:graphicData>
            </a:graphic>
          </wp:inline>
        </w:drawing>
      </w:r>
      <w:r w:rsidRPr="00AF2D72">
        <w:rPr>
          <w:noProof/>
        </w:rPr>
        <mc:AlternateContent>
          <mc:Choice Requires="wpg">
            <w:drawing>
              <wp:anchor distT="0" distB="0" distL="114300" distR="114300" simplePos="0" relativeHeight="251658240" behindDoc="0" locked="0" layoutInCell="1" hidden="0" allowOverlap="1" wp14:anchorId="7B841BB1" wp14:editId="1627567B">
                <wp:simplePos x="0" y="0"/>
                <wp:positionH relativeFrom="column">
                  <wp:posOffset>254000</wp:posOffset>
                </wp:positionH>
                <wp:positionV relativeFrom="paragraph">
                  <wp:posOffset>4546600</wp:posOffset>
                </wp:positionV>
                <wp:extent cx="4410075" cy="809625"/>
                <wp:effectExtent l="0" t="0" r="0" b="0"/>
                <wp:wrapNone/>
                <wp:docPr id="2083296448" name="Rectángulo 2083296448"/>
                <wp:cNvGraphicFramePr/>
                <a:graphic xmlns:a="http://schemas.openxmlformats.org/drawingml/2006/main">
                  <a:graphicData uri="http://schemas.microsoft.com/office/word/2010/wordprocessingShape">
                    <wps:wsp>
                      <wps:cNvSpPr/>
                      <wps:spPr>
                        <a:xfrm>
                          <a:off x="3179063" y="3413288"/>
                          <a:ext cx="4333875" cy="733425"/>
                        </a:xfrm>
                        <a:prstGeom prst="rect">
                          <a:avLst/>
                        </a:prstGeom>
                        <a:noFill/>
                        <a:ln w="38100" cap="flat" cmpd="sng">
                          <a:solidFill>
                            <a:srgbClr val="C00000"/>
                          </a:solidFill>
                          <a:prstDash val="solid"/>
                          <a:round/>
                          <a:headEnd type="none" w="sm" len="sm"/>
                          <a:tailEnd type="none" w="sm" len="sm"/>
                        </a:ln>
                      </wps:spPr>
                      <wps:txbx>
                        <w:txbxContent>
                          <w:p w14:paraId="780F4407" w14:textId="77777777" w:rsidR="00154C33" w:rsidRDefault="00154C3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4546600</wp:posOffset>
                </wp:positionV>
                <wp:extent cx="4410075" cy="809625"/>
                <wp:effectExtent b="0" l="0" r="0" t="0"/>
                <wp:wrapNone/>
                <wp:docPr id="2083296448"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4410075" cy="809625"/>
                        </a:xfrm>
                        <a:prstGeom prst="rect"/>
                        <a:ln/>
                      </pic:spPr>
                    </pic:pic>
                  </a:graphicData>
                </a:graphic>
              </wp:anchor>
            </w:drawing>
          </mc:Fallback>
        </mc:AlternateContent>
      </w:r>
    </w:p>
    <w:p w14:paraId="7B86A73E" w14:textId="77777777" w:rsidR="00154C33" w:rsidRPr="00AF2D72" w:rsidRDefault="00900E12">
      <w:pPr>
        <w:spacing w:before="240" w:after="240" w:line="360" w:lineRule="auto"/>
        <w:ind w:right="49"/>
        <w:jc w:val="center"/>
        <w:rPr>
          <w:rFonts w:ascii="Palatino Linotype" w:eastAsia="Palatino Linotype" w:hAnsi="Palatino Linotype" w:cs="Palatino Linotype"/>
        </w:rPr>
      </w:pPr>
      <w:r w:rsidRPr="00AF2D72">
        <w:rPr>
          <w:rFonts w:ascii="Palatino Linotype" w:eastAsia="Palatino Linotype" w:hAnsi="Palatino Linotype" w:cs="Palatino Linotype"/>
          <w:noProof/>
        </w:rPr>
        <w:lastRenderedPageBreak/>
        <w:drawing>
          <wp:inline distT="0" distB="0" distL="0" distR="0" wp14:anchorId="7E2D65DA" wp14:editId="2EA94CBD">
            <wp:extent cx="4860000" cy="1996044"/>
            <wp:effectExtent l="0" t="0" r="0" b="0"/>
            <wp:docPr id="20832964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60579"/>
                    <a:stretch>
                      <a:fillRect/>
                    </a:stretch>
                  </pic:blipFill>
                  <pic:spPr>
                    <a:xfrm>
                      <a:off x="0" y="0"/>
                      <a:ext cx="4860000" cy="1996044"/>
                    </a:xfrm>
                    <a:prstGeom prst="rect">
                      <a:avLst/>
                    </a:prstGeom>
                    <a:ln/>
                  </pic:spPr>
                </pic:pic>
              </a:graphicData>
            </a:graphic>
          </wp:inline>
        </w:drawing>
      </w:r>
    </w:p>
    <w:p w14:paraId="77CAE982"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Como se logra vislumbrar, el procedimiento para cubrir una vacante implica, entre otras cosas, que el área interesada solicite al Departamento de Capital Humano, la contratación de personal, para lo cual dicho Departamento cuenta con el deber de seleccionar a las personas candidatas de acuerdo con sus habilidades y aptitudes,  a fin de que cubran el perfil del puesto vacante, y una vez concluido el proceso de selección, debe informar al nuevo servidor público el lugar de adscripción, funciones, así como </w:t>
      </w:r>
      <w:proofErr w:type="spellStart"/>
      <w:r w:rsidRPr="00AF2D72">
        <w:rPr>
          <w:rFonts w:ascii="Palatino Linotype" w:eastAsia="Palatino Linotype" w:hAnsi="Palatino Linotype" w:cs="Palatino Linotype"/>
        </w:rPr>
        <w:t>requisitar</w:t>
      </w:r>
      <w:proofErr w:type="spellEnd"/>
      <w:r w:rsidRPr="00AF2D72">
        <w:rPr>
          <w:rFonts w:ascii="Palatino Linotype" w:eastAsia="Palatino Linotype" w:hAnsi="Palatino Linotype" w:cs="Palatino Linotype"/>
        </w:rPr>
        <w:t xml:space="preserve"> y hacer entrega del Formato Único de Movimiento (FUM).</w:t>
      </w:r>
    </w:p>
    <w:p w14:paraId="3E6D2753"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En este orden de ideas, se concluye que para dar cumplimiento a la presente resolución,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deberá hacer entrega del soporte documental  que dé cuenta del nombre, cargo, puesto, sueldo bruto y neto mensual vigente a la fecha de renuncia y área de adscripción de los servidores públicos que renunciaron del uno de enero al seis de febrero de dos mil veinticinco, así como el nombre y sueldo bruto y neto mensual vigente a la fecha de alta de los servidores públicos que cubrieron las plazas vacantes con motivo de la renuncia, pudiendo ser, de manera </w:t>
      </w:r>
      <w:r w:rsidRPr="00AF2D72">
        <w:rPr>
          <w:rFonts w:ascii="Palatino Linotype" w:eastAsia="Palatino Linotype" w:hAnsi="Palatino Linotype" w:cs="Palatino Linotype"/>
        </w:rPr>
        <w:lastRenderedPageBreak/>
        <w:t xml:space="preserve">enunciativa, más no limitativa, los Formatos Únicos de Movimiento o </w:t>
      </w:r>
      <w:proofErr w:type="spellStart"/>
      <w:r w:rsidRPr="00AF2D72">
        <w:rPr>
          <w:rFonts w:ascii="Palatino Linotype" w:eastAsia="Palatino Linotype" w:hAnsi="Palatino Linotype" w:cs="Palatino Linotype"/>
        </w:rPr>
        <w:t>FUMs</w:t>
      </w:r>
      <w:proofErr w:type="spellEnd"/>
      <w:r w:rsidRPr="00AF2D72">
        <w:rPr>
          <w:rFonts w:ascii="Palatino Linotype" w:eastAsia="Palatino Linotype" w:hAnsi="Palatino Linotype" w:cs="Palatino Linotype"/>
        </w:rPr>
        <w:t xml:space="preserve"> de baja de los primeros y de alta de los segundos, al contener dicho documentos entre otra información, el nombre completo del servidor público, el cargo y lugar de adscripción, así como la remuneración correspondiente, como se desprende del artículo 49 de la Ley del Trabajo de los Servidores Públicos del Estado de México y Municipios, a saber:</w:t>
      </w:r>
    </w:p>
    <w:p w14:paraId="7C8A61CE"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“ARTÍCULO 49</w:t>
      </w:r>
      <w:r w:rsidRPr="00AF2D72">
        <w:rPr>
          <w:rFonts w:ascii="Palatino Linotype" w:eastAsia="Palatino Linotype" w:hAnsi="Palatino Linotype" w:cs="Palatino Linotype"/>
          <w:i/>
          <w:sz w:val="22"/>
          <w:szCs w:val="22"/>
        </w:rPr>
        <w:t>.- Los nombramientos, contratos o formato único de Movimientos de Personal de los servidores públicos deberán contener:</w:t>
      </w:r>
    </w:p>
    <w:p w14:paraId="63D7270D" w14:textId="77777777" w:rsidR="00154C33" w:rsidRPr="00AF2D72" w:rsidRDefault="00900E12">
      <w:pPr>
        <w:spacing w:before="120" w:after="120"/>
        <w:ind w:left="1134" w:right="902"/>
        <w:jc w:val="both"/>
        <w:rPr>
          <w:rFonts w:ascii="Palatino Linotype" w:eastAsia="Palatino Linotype" w:hAnsi="Palatino Linotype" w:cs="Palatino Linotype"/>
          <w:b/>
          <w:i/>
          <w:sz w:val="22"/>
          <w:szCs w:val="22"/>
        </w:rPr>
      </w:pPr>
      <w:r w:rsidRPr="00AF2D72">
        <w:rPr>
          <w:rFonts w:ascii="Palatino Linotype" w:eastAsia="Palatino Linotype" w:hAnsi="Palatino Linotype" w:cs="Palatino Linotype"/>
          <w:b/>
          <w:i/>
          <w:sz w:val="22"/>
          <w:szCs w:val="22"/>
        </w:rPr>
        <w:t>I. Nombre completo del servidor público;</w:t>
      </w:r>
    </w:p>
    <w:p w14:paraId="50020A71" w14:textId="77777777" w:rsidR="00154C33" w:rsidRPr="00AF2D72" w:rsidRDefault="00900E12">
      <w:pPr>
        <w:spacing w:before="120" w:after="120"/>
        <w:ind w:left="1134" w:right="902"/>
        <w:jc w:val="both"/>
        <w:rPr>
          <w:rFonts w:ascii="Palatino Linotype" w:eastAsia="Palatino Linotype" w:hAnsi="Palatino Linotype" w:cs="Palatino Linotype"/>
          <w:b/>
          <w:i/>
          <w:sz w:val="22"/>
          <w:szCs w:val="22"/>
        </w:rPr>
      </w:pPr>
      <w:r w:rsidRPr="00AF2D72">
        <w:rPr>
          <w:rFonts w:ascii="Palatino Linotype" w:eastAsia="Palatino Linotype" w:hAnsi="Palatino Linotype" w:cs="Palatino Linotype"/>
          <w:b/>
          <w:i/>
          <w:sz w:val="22"/>
          <w:szCs w:val="22"/>
        </w:rPr>
        <w:t xml:space="preserve">II. Cargo para el que es designado, fecha de inicio de sus servicios y lugar de adscripción; </w:t>
      </w:r>
    </w:p>
    <w:p w14:paraId="79578064"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III</w:t>
      </w:r>
      <w:r w:rsidRPr="00AF2D72">
        <w:rPr>
          <w:rFonts w:ascii="Palatino Linotype" w:eastAsia="Palatino Linotype" w:hAnsi="Palatino Linotype" w:cs="Palatino Linotype"/>
          <w:i/>
          <w:sz w:val="22"/>
          <w:szCs w:val="22"/>
        </w:rPr>
        <w:t xml:space="preserve">. Carácter del nombramiento, ya sea de servidores públicos generales o de confianza, así como la temporalidad del mismo; </w:t>
      </w:r>
    </w:p>
    <w:p w14:paraId="2CE57963" w14:textId="77777777" w:rsidR="00154C33" w:rsidRPr="00AF2D72" w:rsidRDefault="00900E12">
      <w:pPr>
        <w:spacing w:before="120" w:after="120"/>
        <w:ind w:left="1134" w:right="902"/>
        <w:jc w:val="both"/>
        <w:rPr>
          <w:rFonts w:ascii="Palatino Linotype" w:eastAsia="Palatino Linotype" w:hAnsi="Palatino Linotype" w:cs="Palatino Linotype"/>
          <w:b/>
          <w:i/>
          <w:sz w:val="22"/>
          <w:szCs w:val="22"/>
        </w:rPr>
      </w:pPr>
      <w:r w:rsidRPr="00AF2D72">
        <w:rPr>
          <w:rFonts w:ascii="Palatino Linotype" w:eastAsia="Palatino Linotype" w:hAnsi="Palatino Linotype" w:cs="Palatino Linotype"/>
          <w:b/>
          <w:i/>
          <w:sz w:val="22"/>
          <w:szCs w:val="22"/>
        </w:rPr>
        <w:t xml:space="preserve">IV. Remuneración correspondiente al puesto; </w:t>
      </w:r>
    </w:p>
    <w:p w14:paraId="7A6E8495"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V</w:t>
      </w:r>
      <w:r w:rsidRPr="00AF2D72">
        <w:rPr>
          <w:rFonts w:ascii="Palatino Linotype" w:eastAsia="Palatino Linotype" w:hAnsi="Palatino Linotype" w:cs="Palatino Linotype"/>
          <w:i/>
          <w:sz w:val="22"/>
          <w:szCs w:val="22"/>
        </w:rPr>
        <w:t xml:space="preserve">. Jornada de trabajo; </w:t>
      </w:r>
    </w:p>
    <w:p w14:paraId="7CE13C1D"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VI.</w:t>
      </w:r>
      <w:r w:rsidRPr="00AF2D72">
        <w:rPr>
          <w:rFonts w:ascii="Palatino Linotype" w:eastAsia="Palatino Linotype" w:hAnsi="Palatino Linotype" w:cs="Palatino Linotype"/>
          <w:i/>
          <w:sz w:val="22"/>
          <w:szCs w:val="22"/>
        </w:rPr>
        <w:t xml:space="preserve"> Derogada; </w:t>
      </w:r>
    </w:p>
    <w:p w14:paraId="67CC2BA1"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VII.</w:t>
      </w:r>
      <w:r w:rsidRPr="00AF2D72">
        <w:rPr>
          <w:rFonts w:ascii="Palatino Linotype" w:eastAsia="Palatino Linotype" w:hAnsi="Palatino Linotype" w:cs="Palatino Linotype"/>
          <w:i/>
          <w:sz w:val="22"/>
          <w:szCs w:val="22"/>
        </w:rPr>
        <w:t xml:space="preserve"> Firma del servidor público autorizado para emitir el nombramiento, contrato o formato único de Movimientos de Personal, así como el fundamento legal de esa atribución.</w:t>
      </w:r>
    </w:p>
    <w:p w14:paraId="1EB2AC83"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Asimismo, se menciona que en los Formatos Únicos de Movimiento se asienta entre otra información, los datos del servidor público sustituido, y los motivos de la baja como se ilustra a continuación de manera ejemplificativa:</w:t>
      </w:r>
    </w:p>
    <w:p w14:paraId="4790DC14"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noProof/>
        </w:rPr>
        <w:lastRenderedPageBreak/>
        <w:drawing>
          <wp:inline distT="0" distB="0" distL="0" distR="0" wp14:anchorId="2FF1C1E8" wp14:editId="68A8B38D">
            <wp:extent cx="5600700" cy="1323975"/>
            <wp:effectExtent l="0" t="0" r="0" b="0"/>
            <wp:docPr id="20832964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00700" cy="1323975"/>
                    </a:xfrm>
                    <a:prstGeom prst="rect">
                      <a:avLst/>
                    </a:prstGeom>
                    <a:ln/>
                  </pic:spPr>
                </pic:pic>
              </a:graphicData>
            </a:graphic>
          </wp:inline>
        </w:drawing>
      </w:r>
      <w:r w:rsidRPr="00AF2D72">
        <w:rPr>
          <w:noProof/>
        </w:rPr>
        <mc:AlternateContent>
          <mc:Choice Requires="wpg">
            <w:drawing>
              <wp:anchor distT="0" distB="0" distL="114300" distR="114300" simplePos="0" relativeHeight="251659264" behindDoc="0" locked="0" layoutInCell="1" hidden="0" allowOverlap="1" wp14:anchorId="2AFD12FF" wp14:editId="49CE9442">
                <wp:simplePos x="0" y="0"/>
                <wp:positionH relativeFrom="column">
                  <wp:posOffset>469900</wp:posOffset>
                </wp:positionH>
                <wp:positionV relativeFrom="paragraph">
                  <wp:posOffset>673100</wp:posOffset>
                </wp:positionV>
                <wp:extent cx="552450" cy="219075"/>
                <wp:effectExtent l="0" t="0" r="0" b="0"/>
                <wp:wrapNone/>
                <wp:docPr id="2083296447" name="Rectángulo 2083296447"/>
                <wp:cNvGraphicFramePr/>
                <a:graphic xmlns:a="http://schemas.openxmlformats.org/drawingml/2006/main">
                  <a:graphicData uri="http://schemas.microsoft.com/office/word/2010/wordprocessingShape">
                    <wps:wsp>
                      <wps:cNvSpPr/>
                      <wps:spPr>
                        <a:xfrm>
                          <a:off x="5098350" y="3699038"/>
                          <a:ext cx="495300" cy="161925"/>
                        </a:xfrm>
                        <a:prstGeom prst="rect">
                          <a:avLst/>
                        </a:prstGeom>
                        <a:noFill/>
                        <a:ln w="28575" cap="flat" cmpd="sng">
                          <a:solidFill>
                            <a:srgbClr val="C00000"/>
                          </a:solidFill>
                          <a:prstDash val="solid"/>
                          <a:round/>
                          <a:headEnd type="none" w="sm" len="sm"/>
                          <a:tailEnd type="none" w="sm" len="sm"/>
                        </a:ln>
                      </wps:spPr>
                      <wps:txbx>
                        <w:txbxContent>
                          <w:p w14:paraId="4AC06B2F" w14:textId="77777777" w:rsidR="00154C33" w:rsidRDefault="00154C3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673100</wp:posOffset>
                </wp:positionV>
                <wp:extent cx="552450" cy="219075"/>
                <wp:effectExtent b="0" l="0" r="0" t="0"/>
                <wp:wrapNone/>
                <wp:docPr id="2083296447"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52450" cy="219075"/>
                        </a:xfrm>
                        <a:prstGeom prst="rect"/>
                        <a:ln/>
                      </pic:spPr>
                    </pic:pic>
                  </a:graphicData>
                </a:graphic>
              </wp:anchor>
            </w:drawing>
          </mc:Fallback>
        </mc:AlternateContent>
      </w:r>
      <w:r w:rsidRPr="00AF2D72">
        <w:rPr>
          <w:noProof/>
        </w:rPr>
        <mc:AlternateContent>
          <mc:Choice Requires="wpg">
            <w:drawing>
              <wp:anchor distT="0" distB="0" distL="114300" distR="114300" simplePos="0" relativeHeight="251660288" behindDoc="0" locked="0" layoutInCell="1" hidden="0" allowOverlap="1" wp14:anchorId="151A76BB" wp14:editId="334993BD">
                <wp:simplePos x="0" y="0"/>
                <wp:positionH relativeFrom="column">
                  <wp:posOffset>-12699</wp:posOffset>
                </wp:positionH>
                <wp:positionV relativeFrom="paragraph">
                  <wp:posOffset>-63499</wp:posOffset>
                </wp:positionV>
                <wp:extent cx="5553075" cy="495300"/>
                <wp:effectExtent l="0" t="0" r="0" b="0"/>
                <wp:wrapNone/>
                <wp:docPr id="2083296449" name="Rectángulo 2083296449"/>
                <wp:cNvGraphicFramePr/>
                <a:graphic xmlns:a="http://schemas.openxmlformats.org/drawingml/2006/main">
                  <a:graphicData uri="http://schemas.microsoft.com/office/word/2010/wordprocessingShape">
                    <wps:wsp>
                      <wps:cNvSpPr/>
                      <wps:spPr>
                        <a:xfrm>
                          <a:off x="2598038" y="3560925"/>
                          <a:ext cx="5495925" cy="438150"/>
                        </a:xfrm>
                        <a:prstGeom prst="rect">
                          <a:avLst/>
                        </a:prstGeom>
                        <a:noFill/>
                        <a:ln w="28575" cap="flat" cmpd="sng">
                          <a:solidFill>
                            <a:srgbClr val="C00000"/>
                          </a:solidFill>
                          <a:prstDash val="solid"/>
                          <a:round/>
                          <a:headEnd type="none" w="sm" len="sm"/>
                          <a:tailEnd type="none" w="sm" len="sm"/>
                        </a:ln>
                      </wps:spPr>
                      <wps:txbx>
                        <w:txbxContent>
                          <w:p w14:paraId="7BA7EA6A" w14:textId="77777777" w:rsidR="00154C33" w:rsidRDefault="00154C3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-63499</wp:posOffset>
                </wp:positionV>
                <wp:extent cx="5553075" cy="495300"/>
                <wp:effectExtent b="0" l="0" r="0" t="0"/>
                <wp:wrapNone/>
                <wp:docPr id="2083296449"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553075" cy="495300"/>
                        </a:xfrm>
                        <a:prstGeom prst="rect"/>
                        <a:ln/>
                      </pic:spPr>
                    </pic:pic>
                  </a:graphicData>
                </a:graphic>
              </wp:anchor>
            </w:drawing>
          </mc:Fallback>
        </mc:AlternateContent>
      </w:r>
    </w:p>
    <w:p w14:paraId="1B57D7D7"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Así como el tabulador de sueldos, al ser el formato en el que se registran las remuneraciones que se perciben por el empleo, cargo o comisión de cualquier naturaleza por los servidores públicos municipales, como se ilustra a continuación:</w:t>
      </w:r>
    </w:p>
    <w:p w14:paraId="14000E27"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noProof/>
        </w:rPr>
        <w:drawing>
          <wp:inline distT="0" distB="0" distL="0" distR="0" wp14:anchorId="28B58F28" wp14:editId="5841AEAC">
            <wp:extent cx="5612130" cy="3571875"/>
            <wp:effectExtent l="0" t="0" r="0" b="0"/>
            <wp:docPr id="20832964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612130" cy="3571875"/>
                    </a:xfrm>
                    <a:prstGeom prst="rect">
                      <a:avLst/>
                    </a:prstGeom>
                    <a:ln/>
                  </pic:spPr>
                </pic:pic>
              </a:graphicData>
            </a:graphic>
          </wp:inline>
        </w:drawing>
      </w:r>
    </w:p>
    <w:p w14:paraId="612BA6BD"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noProof/>
        </w:rPr>
        <w:lastRenderedPageBreak/>
        <w:drawing>
          <wp:inline distT="0" distB="0" distL="0" distR="0" wp14:anchorId="6AD6DEB7" wp14:editId="502AF157">
            <wp:extent cx="5612130" cy="3983990"/>
            <wp:effectExtent l="0" t="0" r="0" b="0"/>
            <wp:docPr id="20832964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3983990"/>
                    </a:xfrm>
                    <a:prstGeom prst="rect">
                      <a:avLst/>
                    </a:prstGeom>
                    <a:ln/>
                  </pic:spPr>
                </pic:pic>
              </a:graphicData>
            </a:graphic>
          </wp:inline>
        </w:drawing>
      </w:r>
    </w:p>
    <w:p w14:paraId="62A87FD1"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En cuyo caso será indispensable que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proporcione los datos necesarios que permitan a la persona solicitante hacer el cruce de información a efecto de conocer las remuneraciones vigentes a fecha de renuncia y/o alta.</w:t>
      </w:r>
    </w:p>
    <w:p w14:paraId="753C68FD"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No obstante, para el caso de que derivado de la búsqueda que se ordena no se llegara a localizar información por no haber renuncias en el plazo solicitado, y/o por que aún no se cubran plazas vacantes con motivo de renuncias, bastará con que así se haga del conocimiento de la persona solicitante para tener por colmado su derecho de acceso a la información, en términos de lo dispuesto por el artículo 19, párrafo </w:t>
      </w:r>
      <w:r w:rsidRPr="00AF2D72">
        <w:rPr>
          <w:rFonts w:ascii="Palatino Linotype" w:eastAsia="Palatino Linotype" w:hAnsi="Palatino Linotype" w:cs="Palatino Linotype"/>
        </w:rPr>
        <w:lastRenderedPageBreak/>
        <w:t>segundo de la Ley de Transparencia y Acceso a la Información Pública del Estado de México y Municipios, a saber:</w:t>
      </w:r>
    </w:p>
    <w:p w14:paraId="2994999D"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r w:rsidRPr="00AF2D72">
        <w:rPr>
          <w:rFonts w:ascii="Palatino Linotype" w:eastAsia="Palatino Linotype" w:hAnsi="Palatino Linotype" w:cs="Palatino Linotype"/>
          <w:b/>
          <w:i/>
          <w:sz w:val="22"/>
          <w:szCs w:val="22"/>
        </w:rPr>
        <w:t>Artículo 19</w:t>
      </w:r>
      <w:r w:rsidRPr="00AF2D72">
        <w:rPr>
          <w:rFonts w:ascii="Palatino Linotype" w:eastAsia="Palatino Linotype" w:hAnsi="Palatino Linotype" w:cs="Palatino Linotype"/>
          <w:i/>
          <w:sz w:val="22"/>
          <w:szCs w:val="22"/>
        </w:rPr>
        <w:t>…</w:t>
      </w:r>
    </w:p>
    <w:p w14:paraId="44D5DE7F"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BC58C65"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De lo hasta aquí expuesto, se concluye que los motivos de inconformidad de la parte </w:t>
      </w:r>
      <w:r w:rsidRPr="00AF2D72">
        <w:rPr>
          <w:rFonts w:ascii="Palatino Linotype" w:eastAsia="Palatino Linotype" w:hAnsi="Palatino Linotype" w:cs="Palatino Linotype"/>
          <w:b/>
        </w:rPr>
        <w:t xml:space="preserve">Recurrente </w:t>
      </w:r>
      <w:r w:rsidRPr="00AF2D72">
        <w:rPr>
          <w:rFonts w:ascii="Palatino Linotype" w:eastAsia="Palatino Linotype" w:hAnsi="Palatino Linotype" w:cs="Palatino Linotype"/>
        </w:rPr>
        <w:t xml:space="preserve">devienen parcialmente fundados, siendo procedente </w:t>
      </w:r>
      <w:r w:rsidRPr="00AF2D72">
        <w:rPr>
          <w:rFonts w:ascii="Palatino Linotype" w:eastAsia="Palatino Linotype" w:hAnsi="Palatino Linotype" w:cs="Palatino Linotype"/>
          <w:i/>
        </w:rPr>
        <w:t xml:space="preserve">Modificar </w:t>
      </w:r>
      <w:r w:rsidRPr="00AF2D72">
        <w:rPr>
          <w:rFonts w:ascii="Palatino Linotype" w:eastAsia="Palatino Linotype" w:hAnsi="Palatino Linotype" w:cs="Palatino Linotype"/>
        </w:rPr>
        <w:t xml:space="preserve">la respuesta proporcionada por el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4A7EBDD" w14:textId="77777777" w:rsidR="00154C33" w:rsidRPr="00AF2D72" w:rsidRDefault="00900E12">
      <w:pPr>
        <w:spacing w:before="240" w:after="240" w:line="360" w:lineRule="auto"/>
        <w:ind w:right="51"/>
        <w:jc w:val="both"/>
        <w:rPr>
          <w:rFonts w:ascii="Palatino Linotype" w:eastAsia="Palatino Linotype" w:hAnsi="Palatino Linotype" w:cs="Palatino Linotype"/>
        </w:rPr>
      </w:pPr>
      <w:r w:rsidRPr="00AF2D72">
        <w:rPr>
          <w:rFonts w:ascii="Palatino Linotype" w:eastAsia="Palatino Linotype" w:hAnsi="Palatino Linotype" w:cs="Palatino Linotype"/>
          <w:b/>
        </w:rPr>
        <w:t xml:space="preserve">Quinto. Versión Pública. </w:t>
      </w:r>
      <w:r w:rsidRPr="00AF2D72">
        <w:rPr>
          <w:rFonts w:ascii="Palatino Linotype" w:eastAsia="Palatino Linotype" w:hAnsi="Palatino Linotype" w:cs="Palatino Linotype"/>
        </w:rPr>
        <w:t>Como fue debidamente apuntado,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91049B5"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0E8AF73"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99F8AA4"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7896BACC"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rPr>
        <w:t> </w:t>
      </w:r>
      <w:r w:rsidRPr="00AF2D72">
        <w:rPr>
          <w:rFonts w:ascii="Palatino Linotype" w:eastAsia="Palatino Linotype" w:hAnsi="Palatino Linotype" w:cs="Palatino Linotype"/>
          <w:i/>
          <w:sz w:val="22"/>
          <w:szCs w:val="22"/>
        </w:rPr>
        <w:t>“</w:t>
      </w:r>
      <w:r w:rsidRPr="00AF2D72">
        <w:rPr>
          <w:rFonts w:ascii="Palatino Linotype" w:eastAsia="Palatino Linotype" w:hAnsi="Palatino Linotype" w:cs="Palatino Linotype"/>
          <w:b/>
          <w:i/>
          <w:sz w:val="22"/>
          <w:szCs w:val="22"/>
        </w:rPr>
        <w:t>Artículo 3.</w:t>
      </w:r>
      <w:r w:rsidRPr="00AF2D72">
        <w:rPr>
          <w:rFonts w:ascii="Palatino Linotype" w:eastAsia="Palatino Linotype" w:hAnsi="Palatino Linotype" w:cs="Palatino Linotype"/>
          <w:i/>
          <w:sz w:val="22"/>
          <w:szCs w:val="22"/>
        </w:rPr>
        <w:t xml:space="preserve"> Para los efectos de la presente Ley se entenderá por:</w:t>
      </w:r>
    </w:p>
    <w:p w14:paraId="49892E34"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p>
    <w:p w14:paraId="2EBE51BD"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IX. Datos personales</w:t>
      </w:r>
      <w:r w:rsidRPr="00AF2D7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6529920"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p>
    <w:p w14:paraId="39C935D2"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XX. Información clasificada</w:t>
      </w:r>
      <w:r w:rsidRPr="00AF2D72">
        <w:rPr>
          <w:rFonts w:ascii="Palatino Linotype" w:eastAsia="Palatino Linotype" w:hAnsi="Palatino Linotype" w:cs="Palatino Linotype"/>
          <w:i/>
          <w:sz w:val="22"/>
          <w:szCs w:val="22"/>
        </w:rPr>
        <w:t>: Aquella considerada por la presente Ley como reservada o confidencial;</w:t>
      </w:r>
    </w:p>
    <w:p w14:paraId="772280EB"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XXI. Información confidencial</w:t>
      </w:r>
      <w:r w:rsidRPr="00AF2D7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B8AA17"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p>
    <w:p w14:paraId="2461EB6E"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XXXII. Protección de Datos Personales</w:t>
      </w:r>
      <w:r w:rsidRPr="00AF2D7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B91A1D8"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p>
    <w:p w14:paraId="7CFAC5DD" w14:textId="77777777" w:rsidR="00154C33" w:rsidRPr="00AF2D72" w:rsidRDefault="00900E12">
      <w:pPr>
        <w:tabs>
          <w:tab w:val="left" w:pos="1276"/>
        </w:tabs>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XLV. Versión pública</w:t>
      </w:r>
      <w:r w:rsidRPr="00AF2D7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B85ACCA"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lastRenderedPageBreak/>
        <w:t> Artículo 6</w:t>
      </w:r>
      <w:r w:rsidRPr="00AF2D7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242A4D1"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p>
    <w:p w14:paraId="21B99AD4"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Artículo 91.</w:t>
      </w:r>
      <w:r w:rsidRPr="00AF2D7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AF2D72">
        <w:rPr>
          <w:rFonts w:ascii="Palatino Linotype" w:eastAsia="Palatino Linotype" w:hAnsi="Palatino Linotype" w:cs="Palatino Linotype"/>
          <w:i/>
          <w:sz w:val="22"/>
          <w:szCs w:val="22"/>
        </w:rPr>
        <w:br/>
        <w:t>…</w:t>
      </w:r>
    </w:p>
    <w:p w14:paraId="687573A1"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Artículo 132.</w:t>
      </w:r>
      <w:r w:rsidRPr="00AF2D72">
        <w:rPr>
          <w:rFonts w:ascii="Palatino Linotype" w:eastAsia="Palatino Linotype" w:hAnsi="Palatino Linotype" w:cs="Palatino Linotype"/>
          <w:i/>
          <w:sz w:val="22"/>
          <w:szCs w:val="22"/>
        </w:rPr>
        <w:t xml:space="preserve"> La clasificación de la información se llevará a cabo en el momento en que:</w:t>
      </w:r>
    </w:p>
    <w:p w14:paraId="7CE1E5AA"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w:t>
      </w:r>
      <w:r w:rsidRPr="00AF2D72">
        <w:rPr>
          <w:rFonts w:ascii="Palatino Linotype" w:eastAsia="Palatino Linotype" w:hAnsi="Palatino Linotype" w:cs="Palatino Linotype"/>
          <w:i/>
          <w:sz w:val="22"/>
          <w:szCs w:val="22"/>
        </w:rPr>
        <w:t>. Se reciba una solicitud de acceso a la información;</w:t>
      </w:r>
    </w:p>
    <w:p w14:paraId="0134A678"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II.</w:t>
      </w:r>
      <w:r w:rsidRPr="00AF2D72">
        <w:rPr>
          <w:rFonts w:ascii="Palatino Linotype" w:eastAsia="Palatino Linotype" w:hAnsi="Palatino Linotype" w:cs="Palatino Linotype"/>
          <w:i/>
          <w:sz w:val="22"/>
          <w:szCs w:val="22"/>
        </w:rPr>
        <w:t xml:space="preserve"> Se determine mediante resolución de autoridad competente; o</w:t>
      </w:r>
    </w:p>
    <w:p w14:paraId="5BE2F8DF"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III.</w:t>
      </w:r>
      <w:r w:rsidRPr="00AF2D7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D727475"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w:t>
      </w:r>
    </w:p>
    <w:p w14:paraId="1AEA6B99"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Artículo 137.</w:t>
      </w:r>
      <w:r w:rsidRPr="00AF2D7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E2E7DD0"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 Artículo 143.</w:t>
      </w:r>
      <w:r w:rsidRPr="00AF2D7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89D5500"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w:t>
      </w:r>
      <w:r w:rsidRPr="00AF2D7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6D2C2EE" w14:textId="77777777" w:rsidR="00154C33" w:rsidRPr="00AF2D72" w:rsidRDefault="00900E12">
      <w:pPr>
        <w:spacing w:before="240" w:after="240" w:line="360" w:lineRule="auto"/>
        <w:ind w:right="50"/>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AF2D72">
        <w:rPr>
          <w:rFonts w:ascii="Palatino Linotype" w:eastAsia="Palatino Linotype" w:hAnsi="Palatino Linotype" w:cs="Palatino Linotype"/>
        </w:rPr>
        <w:lastRenderedPageBreak/>
        <w:t xml:space="preserve">mismo, testando las secciones o datos que deban ser clasificados; por ende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E8D0DCF" w14:textId="77777777" w:rsidR="00154C33" w:rsidRPr="00AF2D72" w:rsidRDefault="00900E12">
      <w:pPr>
        <w:spacing w:before="240" w:after="240" w:line="360" w:lineRule="auto"/>
        <w:ind w:right="50"/>
        <w:jc w:val="both"/>
        <w:rPr>
          <w:rFonts w:ascii="Palatino Linotype" w:eastAsia="Palatino Linotype" w:hAnsi="Palatino Linotype" w:cs="Palatino Linotype"/>
        </w:rPr>
      </w:pPr>
      <w:r w:rsidRPr="00AF2D7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457A6E0"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w:t>
      </w:r>
      <w:r w:rsidRPr="00AF2D72">
        <w:rPr>
          <w:rFonts w:ascii="Palatino Linotype" w:eastAsia="Palatino Linotype" w:hAnsi="Palatino Linotype" w:cs="Palatino Linotype"/>
        </w:rPr>
        <w:lastRenderedPageBreak/>
        <w:t>la elaboración de versiones públicas, el Registro Federal de Contribuyentes (RFC), la Clave Única de Registro de Población (CURP), la Clave de cualquier tipo de seguridad social (ISSEMYM, u otros), domicilio particular, teléfono particular, correo electrónico particular, número de empleado, entre otros.</w:t>
      </w:r>
    </w:p>
    <w:p w14:paraId="21A9AFC6" w14:textId="77777777" w:rsidR="00154C33" w:rsidRPr="00AF2D72" w:rsidRDefault="00900E12">
      <w:pPr>
        <w:spacing w:before="240" w:after="240" w:line="360" w:lineRule="auto"/>
        <w:ind w:right="50"/>
        <w:jc w:val="both"/>
        <w:rPr>
          <w:rFonts w:ascii="Palatino Linotype" w:eastAsia="Palatino Linotype" w:hAnsi="Palatino Linotype" w:cs="Palatino Linotype"/>
        </w:rPr>
      </w:pPr>
      <w:r w:rsidRPr="00AF2D7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5C914F4"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Por cuanto hace al </w:t>
      </w:r>
      <w:r w:rsidRPr="00AF2D72">
        <w:rPr>
          <w:rFonts w:ascii="Palatino Linotype" w:eastAsia="Palatino Linotype" w:hAnsi="Palatino Linotype" w:cs="Palatino Linotype"/>
          <w:b/>
        </w:rPr>
        <w:t>Registro Federal de Contribuyentes, RFC</w:t>
      </w:r>
      <w:r w:rsidRPr="00AF2D72">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AF2D72">
        <w:rPr>
          <w:rFonts w:ascii="Palatino Linotype" w:eastAsia="Palatino Linotype" w:hAnsi="Palatino Linotype" w:cs="Palatino Linotype"/>
        </w:rPr>
        <w:t>homoclave</w:t>
      </w:r>
      <w:proofErr w:type="spellEnd"/>
      <w:r w:rsidRPr="00AF2D72">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0E3575D6"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3F65820"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Lo anterior se apoya del criterio orientador con clave de control SO/019/2017, emitido por el entonces Instituto Nacional de Transparencia, Acceso a la Información y Protección de Datos Personales, INAI, el cual es del tenor literal siguiente:</w:t>
      </w:r>
    </w:p>
    <w:p w14:paraId="0C9FA51C" w14:textId="77777777" w:rsidR="00154C33" w:rsidRPr="00AF2D72" w:rsidRDefault="00900E12">
      <w:pPr>
        <w:ind w:left="851" w:right="900"/>
        <w:jc w:val="both"/>
        <w:rPr>
          <w:rFonts w:ascii="Palatino Linotype" w:eastAsia="Palatino Linotype" w:hAnsi="Palatino Linotype" w:cs="Palatino Linotype"/>
          <w:i/>
          <w:sz w:val="21"/>
          <w:szCs w:val="21"/>
        </w:rPr>
      </w:pPr>
      <w:r w:rsidRPr="00AF2D72">
        <w:rPr>
          <w:rFonts w:ascii="Palatino Linotype" w:eastAsia="Palatino Linotype" w:hAnsi="Palatino Linotype" w:cs="Palatino Linotype"/>
          <w:b/>
          <w:i/>
          <w:sz w:val="21"/>
          <w:szCs w:val="21"/>
        </w:rPr>
        <w:lastRenderedPageBreak/>
        <w:t>“Registro Federal de Contribuyentes (RFC) de personas físicas</w:t>
      </w:r>
      <w:r w:rsidRPr="00AF2D72">
        <w:rPr>
          <w:rFonts w:ascii="Palatino Linotype" w:eastAsia="Palatino Linotype" w:hAnsi="Palatino Linotype" w:cs="Palatino Linotype"/>
          <w:i/>
          <w:sz w:val="21"/>
          <w:szCs w:val="21"/>
        </w:rPr>
        <w:t>. El RFC es una clave de carácter fiscal, única e irrepetible, que permite identificar al titular, su edad y fecha de nacimiento, por lo que es un dato personal de carácter confidencial.”</w:t>
      </w:r>
    </w:p>
    <w:p w14:paraId="638DE2B6"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AF2D72">
        <w:rPr>
          <w:rFonts w:ascii="Palatino Linotype" w:eastAsia="Palatino Linotype" w:hAnsi="Palatino Linotype" w:cs="Palatino Linotype"/>
        </w:rPr>
        <w:t>homoclave</w:t>
      </w:r>
      <w:proofErr w:type="spellEnd"/>
      <w:r w:rsidRPr="00AF2D72">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53F3B27"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5CD3B9B"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Argumento se apoya del criterio orientador con Clave de control SO/018/2017, emitido por el entonces Instituto Nacional de Transparencia, Acceso a la Información y Protección de Datos Personales, INAI, el cual refiere:</w:t>
      </w:r>
    </w:p>
    <w:p w14:paraId="5D748D7C" w14:textId="77777777" w:rsidR="00154C33" w:rsidRPr="00AF2D72" w:rsidRDefault="00900E12">
      <w:pPr>
        <w:ind w:left="851" w:right="851"/>
        <w:jc w:val="both"/>
        <w:rPr>
          <w:rFonts w:ascii="Palatino Linotype" w:eastAsia="Palatino Linotype" w:hAnsi="Palatino Linotype" w:cs="Palatino Linotype"/>
          <w:i/>
          <w:sz w:val="21"/>
          <w:szCs w:val="21"/>
        </w:rPr>
      </w:pPr>
      <w:r w:rsidRPr="00AF2D72">
        <w:rPr>
          <w:rFonts w:ascii="Palatino Linotype" w:eastAsia="Palatino Linotype" w:hAnsi="Palatino Linotype" w:cs="Palatino Linotype"/>
          <w:b/>
          <w:i/>
          <w:sz w:val="21"/>
          <w:szCs w:val="21"/>
        </w:rPr>
        <w:lastRenderedPageBreak/>
        <w:t xml:space="preserve">“Clave Única de Registro de Población (CURP). </w:t>
      </w:r>
      <w:r w:rsidRPr="00AF2D72">
        <w:rPr>
          <w:rFonts w:ascii="Palatino Linotype" w:eastAsia="Palatino Linotype" w:hAnsi="Palatino Linotype" w:cs="Palatino Linotype"/>
          <w:i/>
          <w:sz w:val="21"/>
          <w:szCs w:val="2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B64C8B4"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474887E" w14:textId="77777777" w:rsidR="00154C33" w:rsidRPr="00AF2D72" w:rsidRDefault="00900E12">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bookmarkStart w:id="10" w:name="_heading=h.3j2qqm3" w:colFirst="0" w:colLast="0"/>
      <w:bookmarkEnd w:id="10"/>
      <w:r w:rsidRPr="00AF2D72">
        <w:rPr>
          <w:rFonts w:ascii="Palatino Linotype" w:eastAsia="Palatino Linotype" w:hAnsi="Palatino Linotype" w:cs="Palatino Linotype"/>
        </w:rPr>
        <w:t xml:space="preserve">El </w:t>
      </w:r>
      <w:r w:rsidRPr="00AF2D72">
        <w:rPr>
          <w:rFonts w:ascii="Palatino Linotype" w:eastAsia="Palatino Linotype" w:hAnsi="Palatino Linotype" w:cs="Palatino Linotype"/>
          <w:b/>
        </w:rPr>
        <w:t>domicilio particular</w:t>
      </w:r>
      <w:r w:rsidRPr="00AF2D72">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5A52137" w14:textId="77777777" w:rsidR="00154C33" w:rsidRPr="00AF2D72" w:rsidRDefault="00900E12">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rPr>
      </w:pPr>
      <w:r w:rsidRPr="00AF2D72">
        <w:rPr>
          <w:rFonts w:ascii="Palatino Linotype" w:eastAsia="Palatino Linotype" w:hAnsi="Palatino Linotype" w:cs="Palatino Linotype"/>
        </w:rPr>
        <w:t>De la misma manera, lo establece el artículo 29 del Código Civil Federal, al precisar que el domicilio de personas físicas</w:t>
      </w:r>
      <w:r w:rsidRPr="00AF2D72">
        <w:rPr>
          <w:rFonts w:ascii="Palatino Linotype" w:eastAsia="Palatino Linotype" w:hAnsi="Palatino Linotype" w:cs="Palatino Linotype"/>
          <w:b/>
        </w:rPr>
        <w:t xml:space="preserve">, </w:t>
      </w:r>
      <w:r w:rsidRPr="00AF2D72">
        <w:rPr>
          <w:rFonts w:ascii="Palatino Linotype" w:eastAsia="Palatino Linotype" w:hAnsi="Palatino Linotype" w:cs="Palatino Linotype"/>
        </w:rPr>
        <w:t>es el lugar donde residen habitualmente, el lugar del centro principal de sus negocios, donde residan o el lugar donde se encuentren.</w:t>
      </w:r>
    </w:p>
    <w:p w14:paraId="6AF813D8" w14:textId="77777777" w:rsidR="00154C33" w:rsidRPr="00AF2D72" w:rsidRDefault="00900E12">
      <w:pPr>
        <w:spacing w:before="240" w:after="240" w:line="360" w:lineRule="auto"/>
        <w:ind w:right="-93"/>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w:t>
      </w:r>
      <w:r w:rsidRPr="00AF2D72">
        <w:rPr>
          <w:rFonts w:ascii="Palatino Linotype" w:eastAsia="Palatino Linotype" w:hAnsi="Palatino Linotype" w:cs="Palatino Linotype"/>
        </w:rPr>
        <w:lastRenderedPageBreak/>
        <w:t xml:space="preserve">directamente en la privacidad de personas físicas identificadas y su difusión podría afectar la esfera privada de las mismas. </w:t>
      </w:r>
    </w:p>
    <w:p w14:paraId="4A1E2FA4" w14:textId="77777777" w:rsidR="00154C33" w:rsidRPr="00AF2D72" w:rsidRDefault="00900E12">
      <w:pPr>
        <w:spacing w:before="240" w:after="240" w:line="360" w:lineRule="auto"/>
        <w:ind w:right="-93"/>
        <w:jc w:val="both"/>
        <w:rPr>
          <w:rFonts w:ascii="Palatino Linotype" w:eastAsia="Palatino Linotype" w:hAnsi="Palatino Linotype" w:cs="Palatino Linotype"/>
        </w:rPr>
      </w:pPr>
      <w:r w:rsidRPr="00AF2D72">
        <w:rPr>
          <w:rFonts w:ascii="Palatino Linotype" w:eastAsia="Palatino Linotype" w:hAnsi="Palatino Linotype" w:cs="Palatino Linotype"/>
        </w:rPr>
        <w:t>Por lo tanto, se actualiza la clasificación del domicilio y su comprobante, de conformidad con la fracción I, del artículo 143 de la Ley de Transparencia y Acceso a la Información Pública del Estado de México y Municipios.</w:t>
      </w:r>
    </w:p>
    <w:p w14:paraId="03168F42" w14:textId="77777777" w:rsidR="00154C33" w:rsidRPr="00AF2D72" w:rsidRDefault="00900E12">
      <w:pPr>
        <w:spacing w:before="240" w:after="240" w:line="360" w:lineRule="auto"/>
        <w:ind w:right="-93"/>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El </w:t>
      </w:r>
      <w:r w:rsidRPr="00AF2D72">
        <w:rPr>
          <w:rFonts w:ascii="Palatino Linotype" w:eastAsia="Palatino Linotype" w:hAnsi="Palatino Linotype" w:cs="Palatino Linotype"/>
          <w:b/>
        </w:rPr>
        <w:t>teléfono particular</w:t>
      </w:r>
      <w:r w:rsidRPr="00AF2D72">
        <w:rPr>
          <w:rFonts w:ascii="Palatino Linotype" w:eastAsia="Palatino Linotype" w:hAnsi="Palatino Linotype" w:cs="Palatino Linotype"/>
        </w:rPr>
        <w:t>,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14:paraId="138280F0"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Con relación al </w:t>
      </w:r>
      <w:r w:rsidRPr="00AF2D72">
        <w:rPr>
          <w:rFonts w:ascii="Palatino Linotype" w:eastAsia="Palatino Linotype" w:hAnsi="Palatino Linotype" w:cs="Palatino Linotype"/>
          <w:b/>
        </w:rPr>
        <w:t>número de empleado</w:t>
      </w:r>
      <w:r w:rsidRPr="00AF2D72">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1099463E"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w:t>
      </w:r>
    </w:p>
    <w:p w14:paraId="632874D7"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El entonces Instituto Nacional de Transparencia, Acceso a la Información, y Protección de Datos Personales, </w:t>
      </w:r>
      <w:proofErr w:type="gramStart"/>
      <w:r w:rsidRPr="00AF2D72">
        <w:rPr>
          <w:rFonts w:ascii="Palatino Linotype" w:eastAsia="Palatino Linotype" w:hAnsi="Palatino Linotype" w:cs="Palatino Linotype"/>
        </w:rPr>
        <w:t>INAI  se</w:t>
      </w:r>
      <w:proofErr w:type="gramEnd"/>
      <w:r w:rsidRPr="00AF2D72">
        <w:rPr>
          <w:rFonts w:ascii="Palatino Linotype" w:eastAsia="Palatino Linotype" w:hAnsi="Palatino Linotype" w:cs="Palatino Linotype"/>
        </w:rPr>
        <w:t xml:space="preserve"> pronunció sobre la publicidad del número </w:t>
      </w:r>
      <w:r w:rsidRPr="00AF2D72">
        <w:rPr>
          <w:rFonts w:ascii="Palatino Linotype" w:eastAsia="Palatino Linotype" w:hAnsi="Palatino Linotype" w:cs="Palatino Linotype"/>
        </w:rPr>
        <w:lastRenderedPageBreak/>
        <w:t>de empleado, a través del criterio orientador con clave de control SO/006/2019, que indica lo siguiente:</w:t>
      </w:r>
    </w:p>
    <w:p w14:paraId="22173E6A" w14:textId="77777777" w:rsidR="00154C33" w:rsidRPr="00AF2D72" w:rsidRDefault="00900E12">
      <w:pPr>
        <w:tabs>
          <w:tab w:val="left" w:pos="7655"/>
        </w:tabs>
        <w:spacing w:before="240" w:after="240"/>
        <w:ind w:left="993" w:right="99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 xml:space="preserve">“Número de empleado. </w:t>
      </w:r>
      <w:r w:rsidRPr="00AF2D72">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0C227F8"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Del criterio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63844F86" w14:textId="77777777" w:rsidR="00154C33" w:rsidRPr="00AF2D72" w:rsidRDefault="00900E12">
      <w:pPr>
        <w:spacing w:before="240" w:after="240" w:line="360" w:lineRule="auto"/>
        <w:ind w:right="50"/>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AF2D72">
        <w:rPr>
          <w:rFonts w:ascii="Palatino Linotype" w:eastAsia="Palatino Linotype" w:hAnsi="Palatino Linotype" w:cs="Palatino Linotype"/>
        </w:rPr>
        <w:t>Responsable</w:t>
      </w:r>
      <w:proofErr w:type="gramEnd"/>
      <w:r w:rsidRPr="00AF2D72">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5EBC063" w14:textId="77777777" w:rsidR="00154C33" w:rsidRPr="00AF2D72" w:rsidRDefault="00900E12">
      <w:pPr>
        <w:spacing w:before="120" w:after="12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lastRenderedPageBreak/>
        <w:t>“Artículo 49.</w:t>
      </w:r>
      <w:r w:rsidRPr="00AF2D72">
        <w:rPr>
          <w:rFonts w:ascii="Palatino Linotype" w:eastAsia="Palatino Linotype" w:hAnsi="Palatino Linotype" w:cs="Palatino Linotype"/>
          <w:i/>
          <w:sz w:val="22"/>
          <w:szCs w:val="22"/>
        </w:rPr>
        <w:t xml:space="preserve"> </w:t>
      </w:r>
      <w:r w:rsidRPr="00AF2D72">
        <w:rPr>
          <w:rFonts w:ascii="Palatino Linotype" w:eastAsia="Palatino Linotype" w:hAnsi="Palatino Linotype" w:cs="Palatino Linotype"/>
          <w:b/>
          <w:i/>
          <w:sz w:val="22"/>
          <w:szCs w:val="22"/>
        </w:rPr>
        <w:t>Los Comités de Transparencia</w:t>
      </w:r>
      <w:r w:rsidRPr="00AF2D72">
        <w:rPr>
          <w:rFonts w:ascii="Palatino Linotype" w:eastAsia="Palatino Linotype" w:hAnsi="Palatino Linotype" w:cs="Palatino Linotype"/>
          <w:i/>
          <w:sz w:val="22"/>
          <w:szCs w:val="22"/>
        </w:rPr>
        <w:t xml:space="preserve"> tendrán las siguientes atribuciones:</w:t>
      </w:r>
    </w:p>
    <w:p w14:paraId="204087B5" w14:textId="77777777" w:rsidR="00154C33" w:rsidRPr="00AF2D72" w:rsidRDefault="00900E12">
      <w:pPr>
        <w:spacing w:before="120" w:after="120"/>
        <w:ind w:left="1134"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VIII. Aprobar, modificar o revocar la clasificación de la información</w:t>
      </w:r>
      <w:r w:rsidRPr="00AF2D72">
        <w:rPr>
          <w:rFonts w:ascii="Palatino Linotype" w:eastAsia="Palatino Linotype" w:hAnsi="Palatino Linotype" w:cs="Palatino Linotype"/>
          <w:i/>
          <w:sz w:val="22"/>
          <w:szCs w:val="22"/>
        </w:rPr>
        <w:t>…”</w:t>
      </w:r>
    </w:p>
    <w:p w14:paraId="66A2FA40" w14:textId="77777777" w:rsidR="00154C33" w:rsidRPr="00AF2D72" w:rsidRDefault="00900E12">
      <w:pPr>
        <w:spacing w:before="120" w:after="12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r w:rsidRPr="00AF2D72">
        <w:rPr>
          <w:rFonts w:ascii="Palatino Linotype" w:eastAsia="Palatino Linotype" w:hAnsi="Palatino Linotype" w:cs="Palatino Linotype"/>
          <w:b/>
          <w:i/>
          <w:sz w:val="22"/>
          <w:szCs w:val="22"/>
        </w:rPr>
        <w:t>Artículo 53.</w:t>
      </w:r>
      <w:r w:rsidRPr="00AF2D72">
        <w:rPr>
          <w:rFonts w:ascii="Palatino Linotype" w:eastAsia="Palatino Linotype" w:hAnsi="Palatino Linotype" w:cs="Palatino Linotype"/>
          <w:i/>
          <w:sz w:val="22"/>
          <w:szCs w:val="22"/>
        </w:rPr>
        <w:t xml:space="preserve"> Las </w:t>
      </w:r>
      <w:r w:rsidRPr="00AF2D72">
        <w:rPr>
          <w:rFonts w:ascii="Palatino Linotype" w:eastAsia="Palatino Linotype" w:hAnsi="Palatino Linotype" w:cs="Palatino Linotype"/>
          <w:b/>
          <w:i/>
          <w:sz w:val="22"/>
          <w:szCs w:val="22"/>
        </w:rPr>
        <w:t>Unidades de Transparencia</w:t>
      </w:r>
      <w:r w:rsidRPr="00AF2D72">
        <w:rPr>
          <w:rFonts w:ascii="Palatino Linotype" w:eastAsia="Palatino Linotype" w:hAnsi="Palatino Linotype" w:cs="Palatino Linotype"/>
          <w:i/>
          <w:sz w:val="22"/>
          <w:szCs w:val="22"/>
        </w:rPr>
        <w:t xml:space="preserve"> tendrán las siguientes </w:t>
      </w:r>
      <w:r w:rsidRPr="00AF2D72">
        <w:rPr>
          <w:rFonts w:ascii="Palatino Linotype" w:eastAsia="Palatino Linotype" w:hAnsi="Palatino Linotype" w:cs="Palatino Linotype"/>
          <w:b/>
          <w:i/>
          <w:sz w:val="22"/>
          <w:szCs w:val="22"/>
        </w:rPr>
        <w:t>funciones</w:t>
      </w:r>
      <w:r w:rsidRPr="00AF2D72">
        <w:rPr>
          <w:rFonts w:ascii="Palatino Linotype" w:eastAsia="Palatino Linotype" w:hAnsi="Palatino Linotype" w:cs="Palatino Linotype"/>
          <w:i/>
          <w:sz w:val="22"/>
          <w:szCs w:val="22"/>
        </w:rPr>
        <w:t>:</w:t>
      </w:r>
    </w:p>
    <w:p w14:paraId="15675EBE" w14:textId="77777777" w:rsidR="00154C33" w:rsidRPr="00AF2D72" w:rsidRDefault="00900E12">
      <w:pPr>
        <w:spacing w:before="120" w:after="120"/>
        <w:ind w:left="1134"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X. Presentar ante el Comité, el proyecto de clasificación de información</w:t>
      </w:r>
      <w:r w:rsidRPr="00AF2D72">
        <w:rPr>
          <w:rFonts w:ascii="Palatino Linotype" w:eastAsia="Palatino Linotype" w:hAnsi="Palatino Linotype" w:cs="Palatino Linotype"/>
          <w:i/>
          <w:sz w:val="22"/>
          <w:szCs w:val="22"/>
        </w:rPr>
        <w:t xml:space="preserve">…” </w:t>
      </w:r>
    </w:p>
    <w:p w14:paraId="39AA4B4F" w14:textId="77777777" w:rsidR="00154C33" w:rsidRPr="00AF2D72" w:rsidRDefault="00900E12">
      <w:pPr>
        <w:spacing w:before="120" w:after="12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“Artículo 59.</w:t>
      </w:r>
      <w:r w:rsidRPr="00AF2D72">
        <w:rPr>
          <w:rFonts w:ascii="Palatino Linotype" w:eastAsia="Palatino Linotype" w:hAnsi="Palatino Linotype" w:cs="Palatino Linotype"/>
          <w:i/>
          <w:sz w:val="22"/>
          <w:szCs w:val="22"/>
        </w:rPr>
        <w:t xml:space="preserve"> Los </w:t>
      </w:r>
      <w:r w:rsidRPr="00AF2D72">
        <w:rPr>
          <w:rFonts w:ascii="Palatino Linotype" w:eastAsia="Palatino Linotype" w:hAnsi="Palatino Linotype" w:cs="Palatino Linotype"/>
          <w:b/>
          <w:i/>
          <w:sz w:val="22"/>
          <w:szCs w:val="22"/>
        </w:rPr>
        <w:t>servidores públicos habilitados</w:t>
      </w:r>
      <w:r w:rsidRPr="00AF2D72">
        <w:rPr>
          <w:rFonts w:ascii="Palatino Linotype" w:eastAsia="Palatino Linotype" w:hAnsi="Palatino Linotype" w:cs="Palatino Linotype"/>
          <w:i/>
          <w:sz w:val="22"/>
          <w:szCs w:val="22"/>
        </w:rPr>
        <w:t xml:space="preserve"> tendrán las </w:t>
      </w:r>
      <w:r w:rsidRPr="00AF2D72">
        <w:rPr>
          <w:rFonts w:ascii="Palatino Linotype" w:eastAsia="Palatino Linotype" w:hAnsi="Palatino Linotype" w:cs="Palatino Linotype"/>
          <w:b/>
          <w:i/>
          <w:sz w:val="22"/>
          <w:szCs w:val="22"/>
        </w:rPr>
        <w:t>funciones</w:t>
      </w:r>
      <w:r w:rsidRPr="00AF2D72">
        <w:rPr>
          <w:rFonts w:ascii="Palatino Linotype" w:eastAsia="Palatino Linotype" w:hAnsi="Palatino Linotype" w:cs="Palatino Linotype"/>
          <w:i/>
          <w:sz w:val="22"/>
          <w:szCs w:val="22"/>
        </w:rPr>
        <w:t xml:space="preserve"> siguientes:</w:t>
      </w:r>
    </w:p>
    <w:p w14:paraId="5517D696" w14:textId="77777777" w:rsidR="00154C33" w:rsidRPr="00AF2D72" w:rsidRDefault="00900E12">
      <w:pPr>
        <w:spacing w:before="120" w:after="120"/>
        <w:ind w:left="1134" w:right="900"/>
        <w:jc w:val="both"/>
        <w:rPr>
          <w:rFonts w:ascii="Palatino Linotype" w:eastAsia="Palatino Linotype" w:hAnsi="Palatino Linotype" w:cs="Palatino Linotype"/>
          <w:i/>
        </w:rPr>
      </w:pPr>
      <w:r w:rsidRPr="00AF2D7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F2D72">
        <w:rPr>
          <w:rFonts w:ascii="Palatino Linotype" w:eastAsia="Palatino Linotype" w:hAnsi="Palatino Linotype" w:cs="Palatino Linotype"/>
          <w:i/>
          <w:sz w:val="22"/>
          <w:szCs w:val="22"/>
        </w:rPr>
        <w:t xml:space="preserve">, la cual </w:t>
      </w:r>
      <w:r w:rsidRPr="00AF2D72">
        <w:rPr>
          <w:rFonts w:ascii="Palatino Linotype" w:eastAsia="Palatino Linotype" w:hAnsi="Palatino Linotype" w:cs="Palatino Linotype"/>
          <w:i/>
        </w:rPr>
        <w:t>tendrá los fundamentos y argumentos en que se basa dicha propuesta…”</w:t>
      </w:r>
    </w:p>
    <w:p w14:paraId="0E901DE0"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9D6C4A2"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F4265C6"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lastRenderedPageBreak/>
        <w:t>“</w:t>
      </w:r>
      <w:r w:rsidRPr="00AF2D72">
        <w:rPr>
          <w:rFonts w:ascii="Palatino Linotype" w:eastAsia="Palatino Linotype" w:hAnsi="Palatino Linotype" w:cs="Palatino Linotype"/>
          <w:b/>
          <w:i/>
          <w:sz w:val="22"/>
          <w:szCs w:val="22"/>
        </w:rPr>
        <w:t>Artículo 149.</w:t>
      </w:r>
      <w:r w:rsidRPr="00AF2D72">
        <w:rPr>
          <w:rFonts w:ascii="Palatino Linotype" w:eastAsia="Palatino Linotype" w:hAnsi="Palatino Linotype" w:cs="Palatino Linotype"/>
          <w:i/>
          <w:sz w:val="22"/>
          <w:szCs w:val="22"/>
        </w:rPr>
        <w:t xml:space="preserve"> El </w:t>
      </w:r>
      <w:r w:rsidRPr="00AF2D72">
        <w:rPr>
          <w:rFonts w:ascii="Palatino Linotype" w:eastAsia="Palatino Linotype" w:hAnsi="Palatino Linotype" w:cs="Palatino Linotype"/>
          <w:b/>
          <w:i/>
          <w:sz w:val="22"/>
          <w:szCs w:val="22"/>
        </w:rPr>
        <w:t>acuerdo que clasifique la información como confidencial</w:t>
      </w:r>
      <w:r w:rsidRPr="00AF2D7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1473E7D" w14:textId="77777777" w:rsidR="00154C33" w:rsidRPr="00AF2D72" w:rsidRDefault="00900E12">
      <w:pPr>
        <w:spacing w:before="240" w:after="240" w:line="360" w:lineRule="auto"/>
        <w:ind w:right="51"/>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Es decir,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53507EA" w14:textId="77777777" w:rsidR="00154C33" w:rsidRPr="00AF2D72" w:rsidRDefault="00900E1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Asimismo, respecto a las formalidades que deberá llevar el acuerdo de clasificación que deberá emitir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3E7D994A"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 xml:space="preserve"> “Quincuagésimo. </w:t>
      </w:r>
      <w:r w:rsidRPr="00AF2D72">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36E7A54" w14:textId="77777777" w:rsidR="00154C33" w:rsidRPr="00AF2D72" w:rsidRDefault="00900E1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 xml:space="preserve">Quincuagésimo primero. </w:t>
      </w:r>
      <w:r w:rsidRPr="00AF2D72">
        <w:rPr>
          <w:rFonts w:ascii="Palatino Linotype" w:eastAsia="Palatino Linotype" w:hAnsi="Palatino Linotype" w:cs="Palatino Linotype"/>
          <w:i/>
          <w:sz w:val="22"/>
          <w:szCs w:val="22"/>
        </w:rPr>
        <w:t xml:space="preserve">Toda acta del Comité de Transparencia deberá contener: </w:t>
      </w:r>
    </w:p>
    <w:p w14:paraId="7057EF89"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w:t>
      </w:r>
      <w:r w:rsidRPr="00AF2D72">
        <w:rPr>
          <w:rFonts w:ascii="Palatino Linotype" w:eastAsia="Palatino Linotype" w:hAnsi="Palatino Linotype" w:cs="Palatino Linotype"/>
          <w:i/>
          <w:sz w:val="22"/>
          <w:szCs w:val="22"/>
        </w:rPr>
        <w:t xml:space="preserve"> El número de sesión y fecha; </w:t>
      </w:r>
    </w:p>
    <w:p w14:paraId="788D40E5"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lastRenderedPageBreak/>
        <w:t>II</w:t>
      </w:r>
      <w:r w:rsidRPr="00AF2D72">
        <w:rPr>
          <w:rFonts w:ascii="Palatino Linotype" w:eastAsia="Palatino Linotype" w:hAnsi="Palatino Linotype" w:cs="Palatino Linotype"/>
          <w:i/>
          <w:sz w:val="22"/>
          <w:szCs w:val="22"/>
        </w:rPr>
        <w:t xml:space="preserve">. El nombre del área que solicitó la clasificación de información; </w:t>
      </w:r>
    </w:p>
    <w:p w14:paraId="5DFF8135"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III</w:t>
      </w:r>
      <w:r w:rsidRPr="00AF2D72">
        <w:rPr>
          <w:rFonts w:ascii="Palatino Linotype" w:eastAsia="Palatino Linotype" w:hAnsi="Palatino Linotype" w:cs="Palatino Linotype"/>
          <w:i/>
          <w:sz w:val="22"/>
          <w:szCs w:val="22"/>
        </w:rPr>
        <w:t xml:space="preserve">. La fundamentación legal y motivación correspondiente; </w:t>
      </w:r>
    </w:p>
    <w:p w14:paraId="2E0CBD60"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IV</w:t>
      </w:r>
      <w:r w:rsidRPr="00AF2D72">
        <w:rPr>
          <w:rFonts w:ascii="Palatino Linotype" w:eastAsia="Palatino Linotype" w:hAnsi="Palatino Linotype" w:cs="Palatino Linotype"/>
          <w:i/>
          <w:sz w:val="22"/>
          <w:szCs w:val="22"/>
        </w:rPr>
        <w:t xml:space="preserve">. La resolución o resoluciones aprobadas; y </w:t>
      </w:r>
    </w:p>
    <w:p w14:paraId="39C9CDAA"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V</w:t>
      </w:r>
      <w:r w:rsidRPr="00AF2D72">
        <w:rPr>
          <w:rFonts w:ascii="Palatino Linotype" w:eastAsia="Palatino Linotype" w:hAnsi="Palatino Linotype" w:cs="Palatino Linotype"/>
          <w:i/>
          <w:sz w:val="22"/>
          <w:szCs w:val="22"/>
        </w:rPr>
        <w:t xml:space="preserve">. La rúbrica o firma digital de cada integrante del Comité de Transparencia. </w:t>
      </w:r>
    </w:p>
    <w:p w14:paraId="0DE3B8AB" w14:textId="77777777" w:rsidR="00154C33" w:rsidRPr="00AF2D72" w:rsidRDefault="00900E1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4303DA7"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w:t>
      </w:r>
      <w:r w:rsidRPr="00AF2D72">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9BA1F15"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F2D72">
        <w:rPr>
          <w:rFonts w:ascii="Palatino Linotype" w:eastAsia="Palatino Linotype" w:hAnsi="Palatino Linotype" w:cs="Palatino Linotype"/>
          <w:b/>
          <w:i/>
          <w:sz w:val="22"/>
          <w:szCs w:val="22"/>
        </w:rPr>
        <w:t>II</w:t>
      </w:r>
      <w:r w:rsidRPr="00AF2D72">
        <w:rPr>
          <w:rFonts w:ascii="Palatino Linotype" w:eastAsia="Palatino Linotype" w:hAnsi="Palatino Linotype" w:cs="Palatino Linotype"/>
          <w:i/>
          <w:sz w:val="22"/>
          <w:szCs w:val="22"/>
        </w:rPr>
        <w:t>. Descripción de las partes o secciones reservadas, en caso de clasificación parcial</w:t>
      </w:r>
      <w:r w:rsidRPr="00AF2D72">
        <w:rPr>
          <w:rFonts w:ascii="Palatino Linotype" w:eastAsia="Palatino Linotype" w:hAnsi="Palatino Linotype" w:cs="Palatino Linotype"/>
          <w:b/>
          <w:i/>
          <w:sz w:val="22"/>
          <w:szCs w:val="22"/>
        </w:rPr>
        <w:t xml:space="preserve">; </w:t>
      </w:r>
    </w:p>
    <w:p w14:paraId="74476CBA"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III.</w:t>
      </w:r>
      <w:r w:rsidRPr="00AF2D72">
        <w:rPr>
          <w:rFonts w:ascii="Palatino Linotype" w:eastAsia="Palatino Linotype" w:hAnsi="Palatino Linotype" w:cs="Palatino Linotype"/>
          <w:i/>
          <w:sz w:val="22"/>
          <w:szCs w:val="22"/>
        </w:rPr>
        <w:t xml:space="preserve"> El periodo por el que mantendrá su clasificación y fecha de expiración; y </w:t>
      </w:r>
    </w:p>
    <w:p w14:paraId="7322FE66" w14:textId="77777777" w:rsidR="00154C33" w:rsidRPr="00AF2D72" w:rsidRDefault="00900E1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IV.</w:t>
      </w:r>
      <w:r w:rsidRPr="00AF2D72">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0867F60" w14:textId="77777777" w:rsidR="00154C33" w:rsidRPr="00AF2D72" w:rsidRDefault="00900E1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2D14423" w14:textId="77777777" w:rsidR="00154C33" w:rsidRPr="00AF2D72" w:rsidRDefault="00900E1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12FF0BF"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73396CA" w14:textId="77777777" w:rsidR="00154C33" w:rsidRPr="00AF2D72" w:rsidRDefault="00900E12">
      <w:pPr>
        <w:spacing w:before="120" w:after="12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r w:rsidRPr="00AF2D72">
        <w:rPr>
          <w:rFonts w:ascii="Palatino Linotype" w:eastAsia="Palatino Linotype" w:hAnsi="Palatino Linotype" w:cs="Palatino Linotype"/>
          <w:b/>
          <w:i/>
          <w:sz w:val="22"/>
          <w:szCs w:val="22"/>
        </w:rPr>
        <w:t>Quincuagésimo segundo</w:t>
      </w:r>
      <w:r w:rsidRPr="00AF2D7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12CC78F" w14:textId="77777777" w:rsidR="00154C33" w:rsidRPr="00AF2D72" w:rsidRDefault="00900E12">
      <w:pPr>
        <w:spacing w:before="120" w:after="12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lastRenderedPageBreak/>
        <w:t xml:space="preserve">En el caso específico de la clasificación y elaboración de versiones públicas de documentos que contengan información confidencial, las áreas de los sujetos obligados deberán: </w:t>
      </w:r>
    </w:p>
    <w:p w14:paraId="7DF07C4E" w14:textId="77777777" w:rsidR="00154C33" w:rsidRPr="00AF2D72" w:rsidRDefault="00900E12">
      <w:pPr>
        <w:spacing w:before="120" w:after="120"/>
        <w:ind w:left="1134"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w:t>
      </w:r>
      <w:r w:rsidRPr="00AF2D7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DDDC7DB" w14:textId="77777777" w:rsidR="00154C33" w:rsidRPr="00AF2D72" w:rsidRDefault="00900E12">
      <w:pPr>
        <w:spacing w:before="120" w:after="120"/>
        <w:ind w:left="1134"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II.</w:t>
      </w:r>
      <w:r w:rsidRPr="00AF2D7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048D86E" w14:textId="77777777" w:rsidR="00154C33" w:rsidRPr="00AF2D72" w:rsidRDefault="00900E12">
      <w:pPr>
        <w:spacing w:before="120" w:after="120"/>
        <w:ind w:left="1134"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III.</w:t>
      </w:r>
      <w:r w:rsidRPr="00AF2D72">
        <w:rPr>
          <w:rFonts w:ascii="Palatino Linotype" w:eastAsia="Palatino Linotype" w:hAnsi="Palatino Linotype" w:cs="Palatino Linotype"/>
          <w:i/>
          <w:sz w:val="22"/>
          <w:szCs w:val="22"/>
        </w:rPr>
        <w:t xml:space="preserve"> Señalar las personas o instancias autorizadas a acceder a la información clasificada.</w:t>
      </w:r>
    </w:p>
    <w:p w14:paraId="55A3AC75" w14:textId="77777777" w:rsidR="00154C33" w:rsidRPr="00AF2D72" w:rsidRDefault="00900E12">
      <w:pPr>
        <w:spacing w:before="120" w:after="12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31BDCB3" w14:textId="77777777" w:rsidR="00154C33" w:rsidRPr="00AF2D72" w:rsidRDefault="00900E12">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w:t>
      </w:r>
    </w:p>
    <w:p w14:paraId="5EEE6A7C" w14:textId="77777777" w:rsidR="00154C33" w:rsidRPr="00AF2D72" w:rsidRDefault="00900E12">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F2D72">
        <w:rPr>
          <w:rFonts w:ascii="Palatino Linotype" w:eastAsia="Palatino Linotype" w:hAnsi="Palatino Linotype" w:cs="Palatino Linotype"/>
          <w:b/>
          <w:i/>
          <w:sz w:val="22"/>
          <w:szCs w:val="22"/>
        </w:rPr>
        <w:t xml:space="preserve">Quincuagésimo cuarto. </w:t>
      </w:r>
      <w:r w:rsidRPr="00AF2D7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F2D72">
        <w:rPr>
          <w:rFonts w:ascii="Palatino Linotype" w:eastAsia="Palatino Linotype" w:hAnsi="Palatino Linotype" w:cs="Palatino Linotype"/>
          <w:b/>
          <w:i/>
          <w:sz w:val="22"/>
          <w:szCs w:val="22"/>
        </w:rPr>
        <w:t xml:space="preserve"> </w:t>
      </w:r>
    </w:p>
    <w:p w14:paraId="7B77FE5F"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 xml:space="preserve">Quincuagésimo quinto. </w:t>
      </w:r>
      <w:r w:rsidRPr="00AF2D7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F2D72">
        <w:rPr>
          <w:rFonts w:ascii="Palatino Linotype" w:eastAsia="Palatino Linotype" w:hAnsi="Palatino Linotype" w:cs="Palatino Linotype"/>
          <w:i/>
          <w:sz w:val="22"/>
          <w:szCs w:val="22"/>
        </w:rPr>
        <w:t>testado</w:t>
      </w:r>
      <w:proofErr w:type="spellEnd"/>
      <w:r w:rsidRPr="00AF2D7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56685DC" w14:textId="77777777" w:rsidR="00154C33" w:rsidRPr="00AF2D72" w:rsidRDefault="00900E12">
      <w:pPr>
        <w:spacing w:before="120" w:after="120"/>
        <w:ind w:left="851" w:right="902"/>
        <w:jc w:val="both"/>
        <w:rPr>
          <w:rFonts w:ascii="Palatino Linotype" w:eastAsia="Palatino Linotype" w:hAnsi="Palatino Linotype" w:cs="Palatino Linotype"/>
          <w:b/>
          <w:i/>
          <w:sz w:val="22"/>
          <w:szCs w:val="22"/>
        </w:rPr>
      </w:pPr>
      <w:r w:rsidRPr="00AF2D72">
        <w:rPr>
          <w:rFonts w:ascii="Palatino Linotype" w:eastAsia="Palatino Linotype" w:hAnsi="Palatino Linotype" w:cs="Palatino Linotype"/>
          <w:b/>
          <w:i/>
          <w:sz w:val="22"/>
          <w:szCs w:val="22"/>
        </w:rPr>
        <w:t>...</w:t>
      </w:r>
    </w:p>
    <w:p w14:paraId="092A32CD"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Quincuagésimo séptimo</w:t>
      </w:r>
      <w:r w:rsidRPr="00AF2D7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2EB88D6"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w:t>
      </w:r>
      <w:r w:rsidRPr="00AF2D7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0ED5396"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lastRenderedPageBreak/>
        <w:t>II.</w:t>
      </w:r>
      <w:r w:rsidRPr="00AF2D7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BAC4CCC" w14:textId="77777777" w:rsidR="00154C33" w:rsidRPr="00AF2D72" w:rsidRDefault="00900E12">
      <w:pPr>
        <w:spacing w:before="120" w:after="120"/>
        <w:ind w:left="1134"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III</w:t>
      </w:r>
      <w:r w:rsidRPr="00AF2D7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C0B2DDD"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3EB4595" w14:textId="77777777" w:rsidR="00154C33" w:rsidRPr="00AF2D72" w:rsidRDefault="00900E12">
      <w:pPr>
        <w:spacing w:before="120" w:after="120"/>
        <w:ind w:left="851" w:right="902"/>
        <w:jc w:val="both"/>
        <w:rPr>
          <w:rFonts w:ascii="Palatino Linotype" w:eastAsia="Palatino Linotype" w:hAnsi="Palatino Linotype" w:cs="Palatino Linotype"/>
          <w:i/>
          <w:sz w:val="22"/>
          <w:szCs w:val="22"/>
        </w:rPr>
      </w:pPr>
      <w:r w:rsidRPr="00AF2D72">
        <w:rPr>
          <w:rFonts w:ascii="Palatino Linotype" w:eastAsia="Palatino Linotype" w:hAnsi="Palatino Linotype" w:cs="Palatino Linotype"/>
          <w:b/>
          <w:i/>
          <w:sz w:val="22"/>
          <w:szCs w:val="22"/>
        </w:rPr>
        <w:t>Quincuagésimo octavo</w:t>
      </w:r>
      <w:r w:rsidRPr="00AF2D7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3D95E37"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65002BD6" w14:textId="77777777" w:rsidR="00154C33" w:rsidRPr="00AF2D72" w:rsidRDefault="00900E1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F2D72">
        <w:rPr>
          <w:rFonts w:ascii="Palatino Linotype" w:eastAsia="Palatino Linotype" w:hAnsi="Palatino Linotype" w:cs="Palatino Linotype"/>
          <w:b/>
        </w:rPr>
        <w:t>III. R E S U E L V E</w:t>
      </w:r>
    </w:p>
    <w:p w14:paraId="529E9200"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b/>
        </w:rPr>
        <w:t xml:space="preserve">Primero. </w:t>
      </w:r>
      <w:r w:rsidRPr="00AF2D72">
        <w:rPr>
          <w:rFonts w:ascii="Palatino Linotype" w:eastAsia="Palatino Linotype" w:hAnsi="Palatino Linotype" w:cs="Palatino Linotype"/>
        </w:rPr>
        <w:t>Resultan</w:t>
      </w:r>
      <w:r w:rsidRPr="00AF2D72">
        <w:rPr>
          <w:rFonts w:ascii="Palatino Linotype" w:eastAsia="Palatino Linotype" w:hAnsi="Palatino Linotype" w:cs="Palatino Linotype"/>
          <w:b/>
        </w:rPr>
        <w:t xml:space="preserve"> parcialmente fundadas</w:t>
      </w:r>
      <w:r w:rsidRPr="00AF2D72">
        <w:rPr>
          <w:rFonts w:ascii="Palatino Linotype" w:eastAsia="Palatino Linotype" w:hAnsi="Palatino Linotype" w:cs="Palatino Linotype"/>
        </w:rPr>
        <w:t xml:space="preserve"> las razones o motivos de inconformidad hechos valer por la parte</w:t>
      </w:r>
      <w:r w:rsidRPr="00AF2D72">
        <w:rPr>
          <w:rFonts w:ascii="Palatino Linotype" w:eastAsia="Palatino Linotype" w:hAnsi="Palatino Linotype" w:cs="Palatino Linotype"/>
          <w:b/>
        </w:rPr>
        <w:t xml:space="preserve"> Recurrente</w:t>
      </w:r>
      <w:r w:rsidRPr="00AF2D72">
        <w:rPr>
          <w:rFonts w:ascii="Palatino Linotype" w:eastAsia="Palatino Linotype" w:hAnsi="Palatino Linotype" w:cs="Palatino Linotype"/>
        </w:rPr>
        <w:t xml:space="preserve"> en el recurso de revisión </w:t>
      </w:r>
      <w:r w:rsidRPr="00AF2D72">
        <w:rPr>
          <w:rFonts w:ascii="Palatino Linotype" w:eastAsia="Palatino Linotype" w:hAnsi="Palatino Linotype" w:cs="Palatino Linotype"/>
          <w:b/>
        </w:rPr>
        <w:t>02099/INFOEM/IP/RR/2025</w:t>
      </w:r>
      <w:r w:rsidRPr="00AF2D72">
        <w:rPr>
          <w:rFonts w:ascii="Palatino Linotype" w:eastAsia="Palatino Linotype" w:hAnsi="Palatino Linotype" w:cs="Palatino Linotype"/>
        </w:rPr>
        <w:t xml:space="preserve">; por lo que, en términos del </w:t>
      </w:r>
      <w:r w:rsidRPr="00AF2D72">
        <w:rPr>
          <w:rFonts w:ascii="Palatino Linotype" w:eastAsia="Palatino Linotype" w:hAnsi="Palatino Linotype" w:cs="Palatino Linotype"/>
          <w:b/>
        </w:rPr>
        <w:t>Considerando</w:t>
      </w:r>
      <w:r w:rsidRPr="00AF2D72">
        <w:rPr>
          <w:rFonts w:ascii="Palatino Linotype" w:eastAsia="Palatino Linotype" w:hAnsi="Palatino Linotype" w:cs="Palatino Linotype"/>
        </w:rPr>
        <w:t xml:space="preserve"> </w:t>
      </w:r>
      <w:r w:rsidRPr="00AF2D72">
        <w:rPr>
          <w:rFonts w:ascii="Palatino Linotype" w:eastAsia="Palatino Linotype" w:hAnsi="Palatino Linotype" w:cs="Palatino Linotype"/>
          <w:b/>
        </w:rPr>
        <w:t xml:space="preserve">Cuarto </w:t>
      </w:r>
      <w:r w:rsidRPr="00AF2D72">
        <w:rPr>
          <w:rFonts w:ascii="Palatino Linotype" w:eastAsia="Palatino Linotype" w:hAnsi="Palatino Linotype" w:cs="Palatino Linotype"/>
        </w:rPr>
        <w:t xml:space="preserve">de esta resolución, se </w:t>
      </w:r>
      <w:r w:rsidRPr="00AF2D72">
        <w:rPr>
          <w:rFonts w:ascii="Palatino Linotype" w:eastAsia="Palatino Linotype" w:hAnsi="Palatino Linotype" w:cs="Palatino Linotype"/>
          <w:b/>
        </w:rPr>
        <w:t xml:space="preserve">Modifica </w:t>
      </w:r>
      <w:r w:rsidRPr="00AF2D72">
        <w:rPr>
          <w:rFonts w:ascii="Palatino Linotype" w:eastAsia="Palatino Linotype" w:hAnsi="Palatino Linotype" w:cs="Palatino Linotype"/>
        </w:rPr>
        <w:t xml:space="preserve">la respuesta emitida por el </w:t>
      </w:r>
      <w:r w:rsidRPr="00AF2D72">
        <w:rPr>
          <w:rFonts w:ascii="Palatino Linotype" w:eastAsia="Palatino Linotype" w:hAnsi="Palatino Linotype" w:cs="Palatino Linotype"/>
          <w:b/>
        </w:rPr>
        <w:t xml:space="preserve">Sujeto Obligado. </w:t>
      </w:r>
    </w:p>
    <w:p w14:paraId="2853DB00" w14:textId="77777777" w:rsidR="00154C33" w:rsidRPr="00AF2D72" w:rsidRDefault="00900E12">
      <w:pPr>
        <w:spacing w:before="240" w:after="240" w:line="360" w:lineRule="auto"/>
        <w:ind w:right="49"/>
        <w:jc w:val="both"/>
        <w:rPr>
          <w:rFonts w:ascii="Palatino Linotype" w:eastAsia="Palatino Linotype" w:hAnsi="Palatino Linotype" w:cs="Palatino Linotype"/>
        </w:rPr>
      </w:pPr>
      <w:r w:rsidRPr="00AF2D72">
        <w:rPr>
          <w:rFonts w:ascii="Palatino Linotype" w:eastAsia="Palatino Linotype" w:hAnsi="Palatino Linotype" w:cs="Palatino Linotype"/>
          <w:b/>
        </w:rPr>
        <w:t xml:space="preserve">Segundo. </w:t>
      </w:r>
      <w:r w:rsidRPr="00AF2D72">
        <w:rPr>
          <w:rFonts w:ascii="Palatino Linotype" w:eastAsia="Palatino Linotype" w:hAnsi="Palatino Linotype" w:cs="Palatino Linotype"/>
        </w:rPr>
        <w:t xml:space="preserve">Se </w:t>
      </w:r>
      <w:r w:rsidRPr="00AF2D72">
        <w:rPr>
          <w:rFonts w:ascii="Palatino Linotype" w:eastAsia="Palatino Linotype" w:hAnsi="Palatino Linotype" w:cs="Palatino Linotype"/>
          <w:b/>
        </w:rPr>
        <w:t xml:space="preserve">Ordena </w:t>
      </w:r>
      <w:r w:rsidRPr="00AF2D72">
        <w:rPr>
          <w:rFonts w:ascii="Palatino Linotype" w:eastAsia="Palatino Linotype" w:hAnsi="Palatino Linotype" w:cs="Palatino Linotype"/>
        </w:rPr>
        <w:t xml:space="preserve">al </w:t>
      </w:r>
      <w:r w:rsidRPr="00AF2D72">
        <w:rPr>
          <w:rFonts w:ascii="Palatino Linotype" w:eastAsia="Palatino Linotype" w:hAnsi="Palatino Linotype" w:cs="Palatino Linotype"/>
          <w:b/>
        </w:rPr>
        <w:t xml:space="preserve">Sujeto Obligado, </w:t>
      </w:r>
      <w:r w:rsidRPr="00AF2D72">
        <w:rPr>
          <w:rFonts w:ascii="Palatino Linotype" w:eastAsia="Palatino Linotype" w:hAnsi="Palatino Linotype" w:cs="Palatino Linotype"/>
        </w:rPr>
        <w:t xml:space="preserve">en términos de los </w:t>
      </w:r>
      <w:r w:rsidRPr="00AF2D72">
        <w:rPr>
          <w:rFonts w:ascii="Palatino Linotype" w:eastAsia="Palatino Linotype" w:hAnsi="Palatino Linotype" w:cs="Palatino Linotype"/>
          <w:b/>
        </w:rPr>
        <w:t>Considerandos</w:t>
      </w:r>
      <w:r w:rsidRPr="00AF2D72">
        <w:rPr>
          <w:rFonts w:ascii="Palatino Linotype" w:eastAsia="Palatino Linotype" w:hAnsi="Palatino Linotype" w:cs="Palatino Linotype"/>
        </w:rPr>
        <w:t xml:space="preserve"> </w:t>
      </w:r>
      <w:r w:rsidRPr="00AF2D72">
        <w:rPr>
          <w:rFonts w:ascii="Palatino Linotype" w:eastAsia="Palatino Linotype" w:hAnsi="Palatino Linotype" w:cs="Palatino Linotype"/>
          <w:b/>
        </w:rPr>
        <w:t xml:space="preserve">Cuarto </w:t>
      </w:r>
      <w:r w:rsidRPr="00AF2D72">
        <w:rPr>
          <w:rFonts w:ascii="Palatino Linotype" w:eastAsia="Palatino Linotype" w:hAnsi="Palatino Linotype" w:cs="Palatino Linotype"/>
        </w:rPr>
        <w:t xml:space="preserve">y </w:t>
      </w:r>
      <w:r w:rsidRPr="00AF2D72">
        <w:rPr>
          <w:rFonts w:ascii="Palatino Linotype" w:eastAsia="Palatino Linotype" w:hAnsi="Palatino Linotype" w:cs="Palatino Linotype"/>
          <w:b/>
        </w:rPr>
        <w:t xml:space="preserve">Quinto </w:t>
      </w:r>
      <w:r w:rsidRPr="00AF2D72">
        <w:rPr>
          <w:rFonts w:ascii="Palatino Linotype" w:eastAsia="Palatino Linotype" w:hAnsi="Palatino Linotype" w:cs="Palatino Linotype"/>
        </w:rPr>
        <w:t xml:space="preserve">de esta resolución, haga entrega, vía </w:t>
      </w:r>
      <w:r w:rsidRPr="00AF2D72">
        <w:rPr>
          <w:rFonts w:ascii="Palatino Linotype" w:eastAsia="Palatino Linotype" w:hAnsi="Palatino Linotype" w:cs="Palatino Linotype"/>
          <w:b/>
        </w:rPr>
        <w:t>SAIMEX</w:t>
      </w:r>
      <w:r w:rsidRPr="00AF2D72">
        <w:rPr>
          <w:rFonts w:ascii="Palatino Linotype" w:eastAsia="Palatino Linotype" w:hAnsi="Palatino Linotype" w:cs="Palatino Linotype"/>
        </w:rPr>
        <w:t xml:space="preserve">, previa búsqueda </w:t>
      </w:r>
      <w:r w:rsidRPr="00AF2D72">
        <w:rPr>
          <w:rFonts w:ascii="Palatino Linotype" w:eastAsia="Palatino Linotype" w:hAnsi="Palatino Linotype" w:cs="Palatino Linotype"/>
        </w:rPr>
        <w:lastRenderedPageBreak/>
        <w:t>exhaustiva y razonable, en versión pública de ser necesario, del o los documentos donde conste lo siguiente:</w:t>
      </w:r>
    </w:p>
    <w:p w14:paraId="3405500A" w14:textId="77777777" w:rsidR="00154C33" w:rsidRPr="00AF2D72" w:rsidRDefault="00900E12">
      <w:pPr>
        <w:tabs>
          <w:tab w:val="left" w:pos="567"/>
        </w:tabs>
        <w:spacing w:before="240" w:after="240" w:line="360" w:lineRule="auto"/>
        <w:ind w:left="426" w:right="51"/>
        <w:jc w:val="both"/>
        <w:rPr>
          <w:rFonts w:ascii="Palatino Linotype" w:eastAsia="Palatino Linotype" w:hAnsi="Palatino Linotype" w:cs="Palatino Linotype"/>
          <w:sz w:val="28"/>
          <w:szCs w:val="28"/>
        </w:rPr>
      </w:pPr>
      <w:r w:rsidRPr="00AF2D72">
        <w:rPr>
          <w:rFonts w:ascii="Palatino Linotype" w:eastAsia="Palatino Linotype" w:hAnsi="Palatino Linotype" w:cs="Palatino Linotype"/>
        </w:rPr>
        <w:t>1. El nombre, cargo, puesto, sueldo bruto y neto mensual vigente a la fecha de renuncia y área de adscripción de los servidores públicos que renunciaron del uno de enero al seis de febrero de dos mil veinticinco.</w:t>
      </w:r>
    </w:p>
    <w:p w14:paraId="4ADC5C95" w14:textId="77777777" w:rsidR="00154C33" w:rsidRPr="00AF2D72" w:rsidRDefault="00900E12">
      <w:pPr>
        <w:tabs>
          <w:tab w:val="left" w:pos="567"/>
        </w:tabs>
        <w:spacing w:before="240" w:after="240" w:line="360" w:lineRule="auto"/>
        <w:ind w:left="426" w:right="51"/>
        <w:jc w:val="both"/>
        <w:rPr>
          <w:rFonts w:ascii="Palatino Linotype" w:eastAsia="Palatino Linotype" w:hAnsi="Palatino Linotype" w:cs="Palatino Linotype"/>
          <w:sz w:val="28"/>
          <w:szCs w:val="28"/>
        </w:rPr>
      </w:pPr>
      <w:r w:rsidRPr="00AF2D72">
        <w:rPr>
          <w:rFonts w:ascii="Palatino Linotype" w:eastAsia="Palatino Linotype" w:hAnsi="Palatino Linotype" w:cs="Palatino Linotype"/>
        </w:rPr>
        <w:t>2. El nombre y sueldo bruto y neto mensual vigente a la fecha de alta de las personas que ocuparon las plazas vacantes con motivo de las renuncias referidas en el punto anterior.</w:t>
      </w:r>
    </w:p>
    <w:p w14:paraId="02D8AEE1" w14:textId="77777777" w:rsidR="00154C33" w:rsidRPr="00AF2D72" w:rsidRDefault="00900E12">
      <w:pPr>
        <w:tabs>
          <w:tab w:val="left" w:pos="851"/>
        </w:tabs>
        <w:spacing w:before="120" w:after="120"/>
        <w:ind w:left="426" w:right="49"/>
        <w:jc w:val="both"/>
        <w:rPr>
          <w:rFonts w:ascii="Palatino Linotype" w:eastAsia="Palatino Linotype" w:hAnsi="Palatino Linotype" w:cs="Palatino Linotype"/>
          <w:i/>
          <w:sz w:val="20"/>
          <w:szCs w:val="20"/>
        </w:rPr>
      </w:pPr>
      <w:r w:rsidRPr="00AF2D72">
        <w:rPr>
          <w:rFonts w:ascii="Palatino Linotype" w:eastAsia="Palatino Linotype" w:hAnsi="Palatino Linotype" w:cs="Palatino Linotype"/>
          <w:i/>
          <w:sz w:val="20"/>
          <w:szCs w:val="20"/>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4DB98CAF" w14:textId="77777777" w:rsidR="00154C33" w:rsidRPr="00AF2D72" w:rsidRDefault="00900E12">
      <w:pPr>
        <w:tabs>
          <w:tab w:val="left" w:pos="851"/>
        </w:tabs>
        <w:spacing w:before="120" w:after="120"/>
        <w:ind w:left="426" w:right="49"/>
        <w:jc w:val="both"/>
        <w:rPr>
          <w:rFonts w:ascii="Palatino Linotype" w:eastAsia="Palatino Linotype" w:hAnsi="Palatino Linotype" w:cs="Palatino Linotype"/>
          <w:i/>
          <w:sz w:val="20"/>
          <w:szCs w:val="20"/>
        </w:rPr>
      </w:pPr>
      <w:r w:rsidRPr="00AF2D72">
        <w:rPr>
          <w:rFonts w:ascii="Palatino Linotype" w:eastAsia="Palatino Linotype" w:hAnsi="Palatino Linotype" w:cs="Palatino Linotype"/>
          <w:i/>
          <w:sz w:val="20"/>
          <w:szCs w:val="20"/>
        </w:rPr>
        <w:t xml:space="preserve">En el supuesto que la información ordenada no obre en los archivos del </w:t>
      </w:r>
      <w:r w:rsidRPr="00AF2D72">
        <w:rPr>
          <w:rFonts w:ascii="Palatino Linotype" w:eastAsia="Palatino Linotype" w:hAnsi="Palatino Linotype" w:cs="Palatino Linotype"/>
          <w:b/>
          <w:i/>
          <w:sz w:val="20"/>
          <w:szCs w:val="20"/>
        </w:rPr>
        <w:t xml:space="preserve">Sujeto Obligado </w:t>
      </w:r>
      <w:r w:rsidRPr="00AF2D72">
        <w:rPr>
          <w:rFonts w:ascii="Palatino Linotype" w:eastAsia="Palatino Linotype" w:hAnsi="Palatino Linotype" w:cs="Palatino Linotype"/>
          <w:i/>
          <w:sz w:val="20"/>
          <w:szCs w:val="20"/>
        </w:rPr>
        <w:t xml:space="preserve">por no haberse generado, bastará con que así lo haga del conocimiento de la parte </w:t>
      </w:r>
      <w:r w:rsidRPr="00AF2D72">
        <w:rPr>
          <w:rFonts w:ascii="Palatino Linotype" w:eastAsia="Palatino Linotype" w:hAnsi="Palatino Linotype" w:cs="Palatino Linotype"/>
          <w:b/>
          <w:i/>
          <w:sz w:val="20"/>
          <w:szCs w:val="20"/>
        </w:rPr>
        <w:t>Recurrente</w:t>
      </w:r>
      <w:r w:rsidRPr="00AF2D72">
        <w:rPr>
          <w:rFonts w:ascii="Palatino Linotype" w:eastAsia="Palatino Linotype" w:hAnsi="Palatino Linotype" w:cs="Palatino Linotype"/>
          <w:i/>
          <w:sz w:val="20"/>
          <w:szCs w:val="20"/>
        </w:rPr>
        <w:t>, de manera fundada y motivada, en términos del artículo 19, párrafo segundo de la Ley de Transparencia y Acceso a la Información Pública del Estado de México y Municipios, para tener por colmado el requerimiento de información.</w:t>
      </w:r>
    </w:p>
    <w:p w14:paraId="6256F017"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b/>
        </w:rPr>
        <w:t xml:space="preserve">Tercero. Notifíquese, </w:t>
      </w:r>
      <w:r w:rsidRPr="00AF2D72">
        <w:rPr>
          <w:rFonts w:ascii="Palatino Linotype" w:eastAsia="Palatino Linotype" w:hAnsi="Palatino Linotype" w:cs="Palatino Linotype"/>
        </w:rPr>
        <w:t xml:space="preserve">vía </w:t>
      </w:r>
      <w:r w:rsidRPr="00AF2D72">
        <w:rPr>
          <w:rFonts w:ascii="Palatino Linotype" w:eastAsia="Palatino Linotype" w:hAnsi="Palatino Linotype" w:cs="Palatino Linotype"/>
          <w:b/>
        </w:rPr>
        <w:t>SAIMEX</w:t>
      </w:r>
      <w:r w:rsidRPr="00AF2D72">
        <w:rPr>
          <w:rFonts w:ascii="Palatino Linotype" w:eastAsia="Palatino Linotype" w:hAnsi="Palatino Linotype" w:cs="Palatino Linotype"/>
        </w:rPr>
        <w:t xml:space="preserve">, al Titular de la Unidad de Transparencia del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AF2D72">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3C457D05" w14:textId="77777777" w:rsidR="00154C33" w:rsidRPr="00AF2D72" w:rsidRDefault="00900E12">
      <w:pPr>
        <w:spacing w:before="240" w:after="240" w:line="360" w:lineRule="auto"/>
        <w:jc w:val="both"/>
        <w:rPr>
          <w:rFonts w:ascii="Palatino Linotype" w:eastAsia="Palatino Linotype" w:hAnsi="Palatino Linotype" w:cs="Palatino Linotype"/>
        </w:rPr>
      </w:pPr>
      <w:r w:rsidRPr="00AF2D7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F2D72">
        <w:rPr>
          <w:rFonts w:ascii="Palatino Linotype" w:eastAsia="Palatino Linotype" w:hAnsi="Palatino Linotype" w:cs="Palatino Linotype"/>
          <w:b/>
        </w:rPr>
        <w:t>Sujeto Obligado</w:t>
      </w:r>
      <w:r w:rsidRPr="00AF2D72">
        <w:rPr>
          <w:rFonts w:ascii="Palatino Linotype" w:eastAsia="Palatino Linotype" w:hAnsi="Palatino Linotype" w:cs="Palatino Linotype"/>
        </w:rPr>
        <w:t xml:space="preserve"> de manera fundada y motivada, podrá solicitar una ampliación de plazo para el cumplimiento de la presente resolución.</w:t>
      </w:r>
    </w:p>
    <w:p w14:paraId="50D9FA6A" w14:textId="77777777" w:rsidR="00154C33" w:rsidRPr="00AF2D72" w:rsidRDefault="00900E12">
      <w:pPr>
        <w:spacing w:before="240" w:after="240" w:line="360" w:lineRule="auto"/>
        <w:jc w:val="both"/>
        <w:rPr>
          <w:rFonts w:ascii="Palatino Linotype" w:eastAsia="Palatino Linotype" w:hAnsi="Palatino Linotype" w:cs="Palatino Linotype"/>
        </w:rPr>
      </w:pPr>
      <w:bookmarkStart w:id="11" w:name="_heading=h.ot3qq6vxa08f" w:colFirst="0" w:colLast="0"/>
      <w:bookmarkEnd w:id="11"/>
      <w:r w:rsidRPr="00AF2D72">
        <w:rPr>
          <w:rFonts w:ascii="Palatino Linotype" w:eastAsia="Palatino Linotype" w:hAnsi="Palatino Linotype" w:cs="Palatino Linotype"/>
          <w:b/>
        </w:rPr>
        <w:t xml:space="preserve">Cuarto.  Notifíquese, </w:t>
      </w:r>
      <w:r w:rsidRPr="00AF2D72">
        <w:rPr>
          <w:rFonts w:ascii="Palatino Linotype" w:eastAsia="Palatino Linotype" w:hAnsi="Palatino Linotype" w:cs="Palatino Linotype"/>
        </w:rPr>
        <w:t xml:space="preserve">vía </w:t>
      </w:r>
      <w:r w:rsidRPr="00AF2D72">
        <w:rPr>
          <w:rFonts w:ascii="Palatino Linotype" w:eastAsia="Palatino Linotype" w:hAnsi="Palatino Linotype" w:cs="Palatino Linotype"/>
          <w:b/>
        </w:rPr>
        <w:t>SAIMEX</w:t>
      </w:r>
      <w:r w:rsidRPr="00AF2D72">
        <w:rPr>
          <w:rFonts w:ascii="Palatino Linotype" w:eastAsia="Palatino Linotype" w:hAnsi="Palatino Linotype" w:cs="Palatino Linotype"/>
        </w:rPr>
        <w:t xml:space="preserve"> a la parte </w:t>
      </w:r>
      <w:r w:rsidRPr="00AF2D72">
        <w:rPr>
          <w:rFonts w:ascii="Palatino Linotype" w:eastAsia="Palatino Linotype" w:hAnsi="Palatino Linotype" w:cs="Palatino Linotype"/>
          <w:b/>
        </w:rPr>
        <w:t>Recurrente</w:t>
      </w:r>
      <w:r w:rsidRPr="00AF2D7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56886EE" w14:textId="77777777" w:rsidR="00154C33" w:rsidRPr="003270B8" w:rsidRDefault="00900E12">
      <w:pPr>
        <w:spacing w:before="240" w:after="240" w:line="360" w:lineRule="auto"/>
        <w:jc w:val="both"/>
        <w:rPr>
          <w:rFonts w:ascii="Palatino Linotype" w:eastAsia="Palatino Linotype" w:hAnsi="Palatino Linotype" w:cs="Palatino Linotype"/>
        </w:rPr>
      </w:pPr>
      <w:bookmarkStart w:id="12" w:name="_heading=h.6i0av6u6758a" w:colFirst="0" w:colLast="0"/>
      <w:bookmarkEnd w:id="12"/>
      <w:r w:rsidRPr="00AF2D7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w:t>
      </w:r>
    </w:p>
    <w:p w14:paraId="260D2ACF" w14:textId="77777777" w:rsidR="00154C33" w:rsidRPr="003270B8" w:rsidRDefault="00154C33">
      <w:pPr>
        <w:spacing w:line="360" w:lineRule="auto"/>
        <w:jc w:val="both"/>
        <w:rPr>
          <w:rFonts w:ascii="Palatino Linotype" w:eastAsia="Palatino Linotype" w:hAnsi="Palatino Linotype" w:cs="Palatino Linotype"/>
        </w:rPr>
      </w:pPr>
    </w:p>
    <w:p w14:paraId="62301293" w14:textId="77777777" w:rsidR="00154C33" w:rsidRPr="003270B8" w:rsidRDefault="00154C33">
      <w:pPr>
        <w:spacing w:line="360" w:lineRule="auto"/>
        <w:jc w:val="both"/>
        <w:rPr>
          <w:rFonts w:ascii="Palatino Linotype" w:eastAsia="Palatino Linotype" w:hAnsi="Palatino Linotype" w:cs="Palatino Linotype"/>
        </w:rPr>
      </w:pPr>
    </w:p>
    <w:p w14:paraId="69458743" w14:textId="77777777" w:rsidR="00154C33" w:rsidRPr="003270B8" w:rsidRDefault="00154C33">
      <w:pPr>
        <w:spacing w:line="360" w:lineRule="auto"/>
        <w:jc w:val="both"/>
        <w:rPr>
          <w:rFonts w:ascii="Palatino Linotype" w:eastAsia="Palatino Linotype" w:hAnsi="Palatino Linotype" w:cs="Palatino Linotype"/>
        </w:rPr>
      </w:pPr>
    </w:p>
    <w:p w14:paraId="2B630AD4" w14:textId="77777777" w:rsidR="00154C33" w:rsidRPr="003270B8" w:rsidRDefault="00154C33">
      <w:pPr>
        <w:spacing w:line="360" w:lineRule="auto"/>
        <w:jc w:val="both"/>
        <w:rPr>
          <w:rFonts w:ascii="Palatino Linotype" w:eastAsia="Palatino Linotype" w:hAnsi="Palatino Linotype" w:cs="Palatino Linotype"/>
        </w:rPr>
      </w:pPr>
    </w:p>
    <w:p w14:paraId="11A339AA" w14:textId="77777777" w:rsidR="00154C33" w:rsidRPr="003270B8" w:rsidRDefault="00154C33">
      <w:pPr>
        <w:spacing w:line="360" w:lineRule="auto"/>
        <w:jc w:val="both"/>
        <w:rPr>
          <w:rFonts w:ascii="Palatino Linotype" w:eastAsia="Palatino Linotype" w:hAnsi="Palatino Linotype" w:cs="Palatino Linotype"/>
        </w:rPr>
      </w:pPr>
    </w:p>
    <w:p w14:paraId="3DE7EFA5" w14:textId="77777777" w:rsidR="00154C33" w:rsidRPr="003270B8" w:rsidRDefault="00154C33">
      <w:pPr>
        <w:spacing w:line="360" w:lineRule="auto"/>
        <w:jc w:val="both"/>
        <w:rPr>
          <w:rFonts w:ascii="Palatino Linotype" w:eastAsia="Palatino Linotype" w:hAnsi="Palatino Linotype" w:cs="Palatino Linotype"/>
        </w:rPr>
      </w:pPr>
    </w:p>
    <w:p w14:paraId="05E17253" w14:textId="77777777" w:rsidR="00154C33" w:rsidRPr="003270B8" w:rsidRDefault="00154C33">
      <w:pPr>
        <w:spacing w:line="360" w:lineRule="auto"/>
        <w:jc w:val="both"/>
        <w:rPr>
          <w:rFonts w:ascii="Palatino Linotype" w:eastAsia="Palatino Linotype" w:hAnsi="Palatino Linotype" w:cs="Palatino Linotype"/>
        </w:rPr>
      </w:pPr>
    </w:p>
    <w:p w14:paraId="34EB846A" w14:textId="77777777" w:rsidR="00154C33" w:rsidRPr="003270B8" w:rsidRDefault="00154C33">
      <w:pPr>
        <w:spacing w:line="360" w:lineRule="auto"/>
        <w:jc w:val="both"/>
        <w:rPr>
          <w:rFonts w:ascii="Palatino Linotype" w:eastAsia="Palatino Linotype" w:hAnsi="Palatino Linotype" w:cs="Palatino Linotype"/>
        </w:rPr>
      </w:pPr>
    </w:p>
    <w:p w14:paraId="4A439B11" w14:textId="77777777" w:rsidR="00154C33" w:rsidRPr="003270B8" w:rsidRDefault="00154C33">
      <w:pPr>
        <w:spacing w:line="360" w:lineRule="auto"/>
        <w:jc w:val="both"/>
        <w:rPr>
          <w:rFonts w:ascii="Palatino Linotype" w:eastAsia="Palatino Linotype" w:hAnsi="Palatino Linotype" w:cs="Palatino Linotype"/>
        </w:rPr>
      </w:pPr>
    </w:p>
    <w:p w14:paraId="1EA0BCBC" w14:textId="77777777" w:rsidR="00154C33" w:rsidRPr="003270B8" w:rsidRDefault="00154C33">
      <w:pPr>
        <w:spacing w:line="360" w:lineRule="auto"/>
        <w:jc w:val="both"/>
        <w:rPr>
          <w:rFonts w:ascii="Palatino Linotype" w:eastAsia="Palatino Linotype" w:hAnsi="Palatino Linotype" w:cs="Palatino Linotype"/>
        </w:rPr>
      </w:pPr>
    </w:p>
    <w:p w14:paraId="17753ECF" w14:textId="77777777" w:rsidR="00154C33" w:rsidRPr="003270B8" w:rsidRDefault="00154C33">
      <w:pPr>
        <w:spacing w:line="360" w:lineRule="auto"/>
        <w:jc w:val="both"/>
        <w:rPr>
          <w:rFonts w:ascii="Palatino Linotype" w:eastAsia="Palatino Linotype" w:hAnsi="Palatino Linotype" w:cs="Palatino Linotype"/>
        </w:rPr>
      </w:pPr>
    </w:p>
    <w:p w14:paraId="07F73BC2" w14:textId="77777777" w:rsidR="00154C33" w:rsidRPr="003270B8" w:rsidRDefault="00154C33">
      <w:pPr>
        <w:spacing w:line="360" w:lineRule="auto"/>
        <w:jc w:val="both"/>
        <w:rPr>
          <w:rFonts w:ascii="Palatino Linotype" w:eastAsia="Palatino Linotype" w:hAnsi="Palatino Linotype" w:cs="Palatino Linotype"/>
        </w:rPr>
      </w:pPr>
    </w:p>
    <w:p w14:paraId="32BC2990" w14:textId="77777777" w:rsidR="00154C33" w:rsidRPr="003270B8" w:rsidRDefault="00154C33">
      <w:pPr>
        <w:spacing w:line="360" w:lineRule="auto"/>
        <w:jc w:val="both"/>
        <w:rPr>
          <w:rFonts w:ascii="Palatino Linotype" w:eastAsia="Palatino Linotype" w:hAnsi="Palatino Linotype" w:cs="Palatino Linotype"/>
        </w:rPr>
      </w:pPr>
    </w:p>
    <w:p w14:paraId="779359F8" w14:textId="77777777" w:rsidR="00154C33" w:rsidRPr="003270B8" w:rsidRDefault="00154C33">
      <w:pPr>
        <w:spacing w:line="360" w:lineRule="auto"/>
        <w:jc w:val="both"/>
        <w:rPr>
          <w:rFonts w:ascii="Palatino Linotype" w:eastAsia="Palatino Linotype" w:hAnsi="Palatino Linotype" w:cs="Palatino Linotype"/>
        </w:rPr>
      </w:pPr>
    </w:p>
    <w:p w14:paraId="6AEF6512" w14:textId="77777777" w:rsidR="00154C33" w:rsidRPr="003270B8" w:rsidRDefault="00154C33">
      <w:pPr>
        <w:spacing w:line="360" w:lineRule="auto"/>
        <w:jc w:val="both"/>
        <w:rPr>
          <w:rFonts w:ascii="Palatino Linotype" w:eastAsia="Palatino Linotype" w:hAnsi="Palatino Linotype" w:cs="Palatino Linotype"/>
        </w:rPr>
      </w:pPr>
    </w:p>
    <w:p w14:paraId="7D05459E" w14:textId="77777777" w:rsidR="00154C33" w:rsidRPr="003270B8" w:rsidRDefault="00154C33">
      <w:pPr>
        <w:spacing w:line="360" w:lineRule="auto"/>
        <w:jc w:val="both"/>
        <w:rPr>
          <w:rFonts w:ascii="Palatino Linotype" w:eastAsia="Palatino Linotype" w:hAnsi="Palatino Linotype" w:cs="Palatino Linotype"/>
        </w:rPr>
      </w:pPr>
    </w:p>
    <w:p w14:paraId="4E4CB5C2" w14:textId="77777777" w:rsidR="00154C33" w:rsidRPr="003270B8" w:rsidRDefault="00154C33">
      <w:pPr>
        <w:spacing w:line="360" w:lineRule="auto"/>
        <w:jc w:val="both"/>
        <w:rPr>
          <w:rFonts w:ascii="Palatino Linotype" w:eastAsia="Palatino Linotype" w:hAnsi="Palatino Linotype" w:cs="Palatino Linotype"/>
        </w:rPr>
      </w:pPr>
    </w:p>
    <w:p w14:paraId="6FE5BAF3" w14:textId="77777777" w:rsidR="00154C33" w:rsidRPr="003270B8" w:rsidRDefault="00154C33">
      <w:pPr>
        <w:spacing w:line="360" w:lineRule="auto"/>
        <w:jc w:val="both"/>
        <w:rPr>
          <w:rFonts w:ascii="Palatino Linotype" w:eastAsia="Palatino Linotype" w:hAnsi="Palatino Linotype" w:cs="Palatino Linotype"/>
        </w:rPr>
      </w:pPr>
    </w:p>
    <w:p w14:paraId="5B41F68F" w14:textId="77777777" w:rsidR="00154C33" w:rsidRPr="003270B8" w:rsidRDefault="00154C33">
      <w:pPr>
        <w:spacing w:line="360" w:lineRule="auto"/>
        <w:jc w:val="both"/>
        <w:rPr>
          <w:rFonts w:ascii="Palatino Linotype" w:eastAsia="Palatino Linotype" w:hAnsi="Palatino Linotype" w:cs="Palatino Linotype"/>
        </w:rPr>
      </w:pPr>
    </w:p>
    <w:p w14:paraId="0C9CB693" w14:textId="77777777" w:rsidR="00154C33" w:rsidRPr="003270B8" w:rsidRDefault="00154C33">
      <w:pPr>
        <w:spacing w:line="360" w:lineRule="auto"/>
        <w:jc w:val="both"/>
        <w:rPr>
          <w:rFonts w:ascii="Palatino Linotype" w:eastAsia="Palatino Linotype" w:hAnsi="Palatino Linotype" w:cs="Palatino Linotype"/>
        </w:rPr>
      </w:pPr>
    </w:p>
    <w:p w14:paraId="7314EB15" w14:textId="77777777" w:rsidR="00154C33" w:rsidRPr="003270B8" w:rsidRDefault="00154C33">
      <w:pPr>
        <w:spacing w:line="360" w:lineRule="auto"/>
        <w:jc w:val="both"/>
        <w:rPr>
          <w:rFonts w:ascii="Palatino Linotype" w:eastAsia="Palatino Linotype" w:hAnsi="Palatino Linotype" w:cs="Palatino Linotype"/>
        </w:rPr>
      </w:pPr>
    </w:p>
    <w:p w14:paraId="048B81FD" w14:textId="77777777" w:rsidR="00154C33" w:rsidRPr="003270B8" w:rsidRDefault="00154C33">
      <w:pPr>
        <w:spacing w:line="360" w:lineRule="auto"/>
        <w:jc w:val="both"/>
        <w:rPr>
          <w:rFonts w:ascii="Palatino Linotype" w:eastAsia="Palatino Linotype" w:hAnsi="Palatino Linotype" w:cs="Palatino Linotype"/>
        </w:rPr>
      </w:pPr>
    </w:p>
    <w:p w14:paraId="77067609" w14:textId="77777777" w:rsidR="00154C33" w:rsidRPr="003270B8" w:rsidRDefault="00154C33">
      <w:pPr>
        <w:spacing w:line="360" w:lineRule="auto"/>
        <w:jc w:val="both"/>
        <w:rPr>
          <w:rFonts w:ascii="Palatino Linotype" w:eastAsia="Palatino Linotype" w:hAnsi="Palatino Linotype" w:cs="Palatino Linotype"/>
        </w:rPr>
      </w:pPr>
    </w:p>
    <w:p w14:paraId="4DEB4123" w14:textId="77777777" w:rsidR="00154C33" w:rsidRPr="003270B8" w:rsidRDefault="00154C33">
      <w:pPr>
        <w:spacing w:line="360" w:lineRule="auto"/>
        <w:jc w:val="both"/>
        <w:rPr>
          <w:rFonts w:ascii="Palatino Linotype" w:eastAsia="Palatino Linotype" w:hAnsi="Palatino Linotype" w:cs="Palatino Linotype"/>
        </w:rPr>
      </w:pPr>
    </w:p>
    <w:p w14:paraId="552EBDF2" w14:textId="77777777" w:rsidR="00154C33" w:rsidRPr="003270B8" w:rsidRDefault="00154C33">
      <w:pPr>
        <w:spacing w:line="360" w:lineRule="auto"/>
        <w:jc w:val="both"/>
        <w:rPr>
          <w:rFonts w:ascii="Palatino Linotype" w:eastAsia="Palatino Linotype" w:hAnsi="Palatino Linotype" w:cs="Palatino Linotype"/>
        </w:rPr>
      </w:pPr>
    </w:p>
    <w:sectPr w:rsidR="00154C33" w:rsidRPr="003270B8">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62664" w14:textId="77777777" w:rsidR="00EA6243" w:rsidRDefault="00EA6243">
      <w:r>
        <w:separator/>
      </w:r>
    </w:p>
  </w:endnote>
  <w:endnote w:type="continuationSeparator" w:id="0">
    <w:p w14:paraId="12A9802A" w14:textId="77777777" w:rsidR="00EA6243" w:rsidRDefault="00EA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0E4A" w14:textId="77777777" w:rsidR="00154C33" w:rsidRDefault="00900E1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4B59">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4B59">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6418FFC0" w14:textId="77777777" w:rsidR="00154C33" w:rsidRDefault="00154C3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4197" w14:textId="77777777" w:rsidR="00154C33" w:rsidRDefault="00900E1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4B5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4B59">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3FFB2196" w14:textId="77777777" w:rsidR="00154C33" w:rsidRDefault="00154C3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6EF3" w14:textId="77777777" w:rsidR="00EA6243" w:rsidRDefault="00EA6243">
      <w:r>
        <w:separator/>
      </w:r>
    </w:p>
  </w:footnote>
  <w:footnote w:type="continuationSeparator" w:id="0">
    <w:p w14:paraId="48BFBA91" w14:textId="77777777" w:rsidR="00EA6243" w:rsidRDefault="00EA6243">
      <w:r>
        <w:continuationSeparator/>
      </w:r>
    </w:p>
  </w:footnote>
  <w:footnote w:id="1">
    <w:p w14:paraId="24EE36DC" w14:textId="77777777" w:rsidR="00154C33" w:rsidRDefault="00900E12">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61BB58AE" w14:textId="77777777" w:rsidR="00154C33" w:rsidRDefault="00900E12">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6B460557" w14:textId="77777777" w:rsidR="00154C33" w:rsidRDefault="00900E1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085F" w14:textId="77777777" w:rsidR="00154C33" w:rsidRDefault="00900E12">
    <w:pPr>
      <w:rPr>
        <w:rFonts w:ascii="Cambria" w:eastAsia="Cambria" w:hAnsi="Cambria" w:cs="Cambria"/>
        <w:color w:val="000000"/>
      </w:rPr>
    </w:pPr>
    <w:r>
      <w:rPr>
        <w:noProof/>
      </w:rPr>
      <w:drawing>
        <wp:anchor distT="0" distB="0" distL="0" distR="0" simplePos="0" relativeHeight="251658240" behindDoc="1" locked="0" layoutInCell="1" hidden="0" allowOverlap="1" wp14:anchorId="53A71CD7" wp14:editId="4D0A51BA">
          <wp:simplePos x="0" y="0"/>
          <wp:positionH relativeFrom="column">
            <wp:posOffset>-1080096</wp:posOffset>
          </wp:positionH>
          <wp:positionV relativeFrom="paragraph">
            <wp:posOffset>-488267</wp:posOffset>
          </wp:positionV>
          <wp:extent cx="7809865" cy="10165715"/>
          <wp:effectExtent l="0" t="0" r="0" b="0"/>
          <wp:wrapNone/>
          <wp:docPr id="20832964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2"/>
      <w:tblW w:w="5953" w:type="dxa"/>
      <w:tblInd w:w="3261" w:type="dxa"/>
      <w:tblLayout w:type="fixed"/>
      <w:tblLook w:val="0400" w:firstRow="0" w:lastRow="0" w:firstColumn="0" w:lastColumn="0" w:noHBand="0" w:noVBand="1"/>
    </w:tblPr>
    <w:tblGrid>
      <w:gridCol w:w="2489"/>
      <w:gridCol w:w="3464"/>
    </w:tblGrid>
    <w:tr w:rsidR="00154C33" w14:paraId="1462CFCA" w14:textId="77777777">
      <w:tc>
        <w:tcPr>
          <w:tcW w:w="2489" w:type="dxa"/>
          <w:shd w:val="clear" w:color="auto" w:fill="auto"/>
        </w:tcPr>
        <w:p w14:paraId="7C08CA33" w14:textId="77777777" w:rsidR="00154C33" w:rsidRDefault="00900E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841EE60" w14:textId="77777777" w:rsidR="00154C33" w:rsidRDefault="00900E1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02099/INFOEM/IP/RR/2025</w:t>
          </w:r>
        </w:p>
      </w:tc>
    </w:tr>
    <w:tr w:rsidR="00154C33" w14:paraId="267EA9BE" w14:textId="77777777">
      <w:trPr>
        <w:trHeight w:val="228"/>
      </w:trPr>
      <w:tc>
        <w:tcPr>
          <w:tcW w:w="2489" w:type="dxa"/>
          <w:shd w:val="clear" w:color="auto" w:fill="auto"/>
          <w:vAlign w:val="center"/>
        </w:tcPr>
        <w:p w14:paraId="2DCA360D" w14:textId="77777777" w:rsidR="00154C33" w:rsidRDefault="00900E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1885701" w14:textId="77777777" w:rsidR="00154C33" w:rsidRDefault="00900E1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Toluca</w:t>
          </w:r>
        </w:p>
      </w:tc>
    </w:tr>
    <w:tr w:rsidR="00154C33" w14:paraId="5B97AAF3" w14:textId="77777777">
      <w:tc>
        <w:tcPr>
          <w:tcW w:w="2489" w:type="dxa"/>
          <w:shd w:val="clear" w:color="auto" w:fill="auto"/>
          <w:vAlign w:val="center"/>
        </w:tcPr>
        <w:p w14:paraId="64429279" w14:textId="77777777" w:rsidR="00154C33" w:rsidRDefault="00900E1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8FA0B7D" w14:textId="77777777" w:rsidR="00154C33" w:rsidRDefault="00900E1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8625BC" w14:textId="77777777" w:rsidR="00154C33" w:rsidRDefault="00900E1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F14B" w14:textId="77777777" w:rsidR="00154C33" w:rsidRDefault="00900E1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FEE1C72" wp14:editId="0CC60D05">
          <wp:simplePos x="0" y="0"/>
          <wp:positionH relativeFrom="column">
            <wp:posOffset>-1080121</wp:posOffset>
          </wp:positionH>
          <wp:positionV relativeFrom="paragraph">
            <wp:posOffset>-369897</wp:posOffset>
          </wp:positionV>
          <wp:extent cx="7809865" cy="10165715"/>
          <wp:effectExtent l="0" t="0" r="0" b="0"/>
          <wp:wrapNone/>
          <wp:docPr id="20832964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3"/>
      <w:tblW w:w="5953" w:type="dxa"/>
      <w:tblInd w:w="3261" w:type="dxa"/>
      <w:tblLayout w:type="fixed"/>
      <w:tblLook w:val="0400" w:firstRow="0" w:lastRow="0" w:firstColumn="0" w:lastColumn="0" w:noHBand="0" w:noVBand="1"/>
    </w:tblPr>
    <w:tblGrid>
      <w:gridCol w:w="2489"/>
      <w:gridCol w:w="3464"/>
    </w:tblGrid>
    <w:tr w:rsidR="00154C33" w14:paraId="27119BD9" w14:textId="77777777">
      <w:tc>
        <w:tcPr>
          <w:tcW w:w="2489" w:type="dxa"/>
          <w:shd w:val="clear" w:color="auto" w:fill="auto"/>
        </w:tcPr>
        <w:p w14:paraId="5BACC25B" w14:textId="77777777" w:rsidR="00154C33" w:rsidRDefault="00900E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DA8FD7F" w14:textId="77777777" w:rsidR="00154C33" w:rsidRDefault="00900E1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02099/INFOEM/IP/RR/2025</w:t>
          </w:r>
        </w:p>
      </w:tc>
    </w:tr>
    <w:tr w:rsidR="00154C33" w14:paraId="69A672F1" w14:textId="77777777">
      <w:tc>
        <w:tcPr>
          <w:tcW w:w="2489" w:type="dxa"/>
          <w:shd w:val="clear" w:color="auto" w:fill="auto"/>
        </w:tcPr>
        <w:p w14:paraId="69949BD6" w14:textId="77777777" w:rsidR="00154C33" w:rsidRDefault="00900E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052B4FF1" w14:textId="77777777" w:rsidR="00154C33" w:rsidRDefault="00154C33">
          <w:pPr>
            <w:ind w:right="175"/>
            <w:jc w:val="both"/>
            <w:rPr>
              <w:rFonts w:ascii="Palatino Linotype" w:eastAsia="Palatino Linotype" w:hAnsi="Palatino Linotype" w:cs="Palatino Linotype"/>
              <w:b/>
              <w:sz w:val="22"/>
              <w:szCs w:val="22"/>
            </w:rPr>
          </w:pPr>
        </w:p>
      </w:tc>
    </w:tr>
    <w:tr w:rsidR="00154C33" w14:paraId="3360D982" w14:textId="77777777">
      <w:trPr>
        <w:trHeight w:val="228"/>
      </w:trPr>
      <w:tc>
        <w:tcPr>
          <w:tcW w:w="2489" w:type="dxa"/>
          <w:shd w:val="clear" w:color="auto" w:fill="auto"/>
          <w:vAlign w:val="center"/>
        </w:tcPr>
        <w:p w14:paraId="31946FB4" w14:textId="77777777" w:rsidR="00154C33" w:rsidRDefault="00900E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68E124D" w14:textId="77777777" w:rsidR="00154C33" w:rsidRDefault="00900E1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Toluca</w:t>
          </w:r>
        </w:p>
      </w:tc>
    </w:tr>
    <w:tr w:rsidR="00154C33" w14:paraId="558379B6" w14:textId="77777777">
      <w:tc>
        <w:tcPr>
          <w:tcW w:w="2489" w:type="dxa"/>
          <w:shd w:val="clear" w:color="auto" w:fill="auto"/>
          <w:vAlign w:val="center"/>
        </w:tcPr>
        <w:p w14:paraId="25851949" w14:textId="77777777" w:rsidR="00154C33" w:rsidRDefault="00900E1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E27BCD0" w14:textId="77777777" w:rsidR="00154C33" w:rsidRDefault="00900E1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E12897" w14:textId="77777777" w:rsidR="00154C33" w:rsidRDefault="00154C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5412"/>
    <w:multiLevelType w:val="multilevel"/>
    <w:tmpl w:val="FB6871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C33"/>
    <w:rsid w:val="00154C33"/>
    <w:rsid w:val="003270B8"/>
    <w:rsid w:val="00374B59"/>
    <w:rsid w:val="00900E12"/>
    <w:rsid w:val="00AF2D72"/>
    <w:rsid w:val="00CC76E6"/>
    <w:rsid w:val="00EA62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54D5D"/>
  <w15:docId w15:val="{190DAEE0-2659-4510-BF76-EC822F3B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d"/>
    <w:tblPr>
      <w:tblStyleRowBandSize w:val="1"/>
      <w:tblStyleColBandSize w:val="1"/>
      <w:tblCellMar>
        <w:left w:w="115" w:type="dxa"/>
        <w:right w:w="115" w:type="dxa"/>
      </w:tblCellMar>
    </w:tblPr>
  </w:style>
  <w:style w:type="table" w:customStyle="1" w:styleId="a0">
    <w:basedOn w:val="TableNormald"/>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806B5C"/>
    <w:rPr>
      <w:vertAlign w:val="superscript"/>
    </w:rPr>
  </w:style>
  <w:style w:type="table" w:customStyle="1" w:styleId="a1">
    <w:basedOn w:val="TableNormald"/>
    <w:tblPr>
      <w:tblStyleRowBandSize w:val="1"/>
      <w:tblStyleColBandSize w:val="1"/>
      <w:tblCellMar>
        <w:left w:w="115" w:type="dxa"/>
        <w:right w:w="115" w:type="dxa"/>
      </w:tblCellMar>
    </w:tblPr>
  </w:style>
  <w:style w:type="table" w:customStyle="1" w:styleId="a2">
    <w:basedOn w:val="TableNormald"/>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c"/>
    <w:tblPr>
      <w:tblStyleRowBandSize w:val="1"/>
      <w:tblStyleColBandSize w:val="1"/>
      <w:tblCellMar>
        <w:left w:w="115" w:type="dxa"/>
        <w:right w:w="115" w:type="dxa"/>
      </w:tblCellMar>
    </w:tblPr>
  </w:style>
  <w:style w:type="table" w:customStyle="1" w:styleId="a4">
    <w:basedOn w:val="TableNormalc"/>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b"/>
    <w:tblPr>
      <w:tblStyleRowBandSize w:val="1"/>
      <w:tblStyleColBandSize w:val="1"/>
      <w:tblCellMar>
        <w:left w:w="108" w:type="dxa"/>
        <w:right w:w="108" w:type="dxa"/>
      </w:tblCellMar>
    </w:tblPr>
  </w:style>
  <w:style w:type="table" w:customStyle="1" w:styleId="a6">
    <w:basedOn w:val="TableNormalb"/>
    <w:tblPr>
      <w:tblStyleRowBandSize w:val="1"/>
      <w:tblStyleColBandSize w:val="1"/>
      <w:tblCellMar>
        <w:left w:w="108" w:type="dxa"/>
        <w:right w:w="108" w:type="dxa"/>
      </w:tblCellMar>
    </w:tblPr>
  </w:style>
  <w:style w:type="table" w:customStyle="1" w:styleId="a7">
    <w:basedOn w:val="TableNormalb"/>
    <w:tblPr>
      <w:tblStyleRowBandSize w:val="1"/>
      <w:tblStyleColBandSize w:val="1"/>
      <w:tblCellMar>
        <w:left w:w="108" w:type="dxa"/>
        <w:right w:w="108" w:type="dxa"/>
      </w:tblCellMar>
    </w:tblPr>
  </w:style>
  <w:style w:type="table" w:customStyle="1" w:styleId="a8">
    <w:basedOn w:val="TableNormalb"/>
    <w:tblPr>
      <w:tblStyleRowBandSize w:val="1"/>
      <w:tblStyleColBandSize w:val="1"/>
      <w:tblCellMar>
        <w:left w:w="108" w:type="dxa"/>
        <w:right w:w="108" w:type="dxa"/>
      </w:tblCellMar>
    </w:tblPr>
  </w:style>
  <w:style w:type="table" w:customStyle="1" w:styleId="a9">
    <w:basedOn w:val="TableNormalb"/>
    <w:tblPr>
      <w:tblStyleRowBandSize w:val="1"/>
      <w:tblStyleColBandSize w:val="1"/>
      <w:tblCellMar>
        <w:left w:w="108" w:type="dxa"/>
        <w:right w:w="108" w:type="dxa"/>
      </w:tblCellMar>
    </w:tblPr>
  </w:style>
  <w:style w:type="table" w:customStyle="1" w:styleId="aa">
    <w:basedOn w:val="TableNormalb"/>
    <w:tblPr>
      <w:tblStyleRowBandSize w:val="1"/>
      <w:tblStyleColBandSize w:val="1"/>
      <w:tblCellMar>
        <w:left w:w="115" w:type="dxa"/>
        <w:right w:w="115" w:type="dxa"/>
      </w:tblCellMar>
    </w:tblPr>
  </w:style>
  <w:style w:type="table" w:customStyle="1" w:styleId="ab">
    <w:basedOn w:val="TableNormalb"/>
    <w:tblPr>
      <w:tblStyleRowBandSize w:val="1"/>
      <w:tblStyleColBandSize w:val="1"/>
      <w:tblCellMar>
        <w:left w:w="115" w:type="dxa"/>
        <w:right w:w="115" w:type="dxa"/>
      </w:tblCellMar>
    </w:tblPr>
  </w:style>
  <w:style w:type="table" w:customStyle="1" w:styleId="ac">
    <w:basedOn w:val="TableNormala"/>
    <w:tblPr>
      <w:tblStyleRowBandSize w:val="1"/>
      <w:tblStyleColBandSize w:val="1"/>
      <w:tblCellMar>
        <w:left w:w="108" w:type="dxa"/>
        <w:right w:w="108" w:type="dxa"/>
      </w:tblCellMar>
    </w:tblPr>
  </w:style>
  <w:style w:type="table" w:customStyle="1" w:styleId="ad">
    <w:basedOn w:val="TableNormala"/>
    <w:tblPr>
      <w:tblStyleRowBandSize w:val="1"/>
      <w:tblStyleColBandSize w:val="1"/>
      <w:tblCellMar>
        <w:left w:w="115" w:type="dxa"/>
        <w:right w:w="115" w:type="dxa"/>
      </w:tblCellMar>
    </w:tblPr>
  </w:style>
  <w:style w:type="table" w:customStyle="1" w:styleId="ae">
    <w:basedOn w:val="TableNormala"/>
    <w:tblPr>
      <w:tblStyleRowBandSize w:val="1"/>
      <w:tblStyleColBandSize w:val="1"/>
      <w:tblCellMar>
        <w:left w:w="115" w:type="dxa"/>
        <w:right w:w="115" w:type="dxa"/>
      </w:tblCellMar>
    </w:tblPr>
  </w:style>
  <w:style w:type="table" w:customStyle="1" w:styleId="af">
    <w:basedOn w:val="TableNormal9"/>
    <w:tblPr>
      <w:tblStyleRowBandSize w:val="1"/>
      <w:tblStyleColBandSize w:val="1"/>
      <w:tblCellMar>
        <w:left w:w="115" w:type="dxa"/>
        <w:right w:w="115" w:type="dxa"/>
      </w:tblCellMar>
    </w:tblPr>
  </w:style>
  <w:style w:type="table" w:customStyle="1" w:styleId="af0">
    <w:basedOn w:val="TableNormal9"/>
    <w:tblPr>
      <w:tblStyleRowBandSize w:val="1"/>
      <w:tblStyleColBandSize w:val="1"/>
      <w:tblCellMar>
        <w:left w:w="115" w:type="dxa"/>
        <w:right w:w="115" w:type="dxa"/>
      </w:tblCellMar>
    </w:tblPr>
  </w:style>
  <w:style w:type="table" w:customStyle="1" w:styleId="af1">
    <w:basedOn w:val="TableNormal9"/>
    <w:tblPr>
      <w:tblStyleRowBandSize w:val="1"/>
      <w:tblStyleColBandSize w:val="1"/>
      <w:tblCellMar>
        <w:left w:w="115" w:type="dxa"/>
        <w:right w:w="115" w:type="dxa"/>
      </w:tblCellMar>
    </w:tblPr>
  </w:style>
  <w:style w:type="table" w:customStyle="1" w:styleId="af2">
    <w:basedOn w:val="TableNormal8"/>
    <w:tblPr>
      <w:tblStyleRowBandSize w:val="1"/>
      <w:tblStyleColBandSize w:val="1"/>
      <w:tblCellMar>
        <w:left w:w="115" w:type="dxa"/>
        <w:right w:w="115" w:type="dxa"/>
      </w:tblCellMar>
    </w:tblPr>
  </w:style>
  <w:style w:type="table" w:customStyle="1" w:styleId="af3">
    <w:basedOn w:val="TableNormal8"/>
    <w:tblPr>
      <w:tblStyleRowBandSize w:val="1"/>
      <w:tblStyleColBandSize w:val="1"/>
      <w:tblCellMar>
        <w:left w:w="115" w:type="dxa"/>
        <w:right w:w="115" w:type="dxa"/>
      </w:tblCellMar>
    </w:tblPr>
  </w:style>
  <w:style w:type="table" w:customStyle="1" w:styleId="af4">
    <w:basedOn w:val="TableNormal7"/>
    <w:tblPr>
      <w:tblStyleRowBandSize w:val="1"/>
      <w:tblStyleColBandSize w:val="1"/>
      <w:tblCellMar>
        <w:left w:w="115" w:type="dxa"/>
        <w:right w:w="115" w:type="dxa"/>
      </w:tblCellMar>
    </w:tblPr>
  </w:style>
  <w:style w:type="table" w:customStyle="1" w:styleId="af5">
    <w:basedOn w:val="TableNormal7"/>
    <w:tblPr>
      <w:tblStyleRowBandSize w:val="1"/>
      <w:tblStyleColBandSize w:val="1"/>
      <w:tblCellMar>
        <w:left w:w="115" w:type="dxa"/>
        <w:right w:w="115" w:type="dxa"/>
      </w:tblCellMar>
    </w:tblPr>
  </w:style>
  <w:style w:type="table" w:customStyle="1" w:styleId="af6">
    <w:basedOn w:val="TableNormal6"/>
    <w:tblPr>
      <w:tblStyleRowBandSize w:val="1"/>
      <w:tblStyleColBandSize w:val="1"/>
      <w:tblCellMar>
        <w:left w:w="115" w:type="dxa"/>
        <w:right w:w="115" w:type="dxa"/>
      </w:tblCellMar>
    </w:tblPr>
  </w:style>
  <w:style w:type="table" w:customStyle="1" w:styleId="af7">
    <w:basedOn w:val="TableNormal6"/>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3"/>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ZuQTmZWEj+ZlYAEvasGTA4RJg==">CgMxLjAyCWguM3JkY3JqbjIJaC40ZDM0b2c4MghoLmdqZGd4czIJaC4zZHk2dmttMgloLjMwajB6bGwyCWguMnM4ZXlvMTIIaC50eWpjd3QyCWguM3pueXNoNzIJaC4yZXQ5MnAwMg5oLnB3am13eTRkYmZzZjIJaC4zajJxcW0zMg5oLm90M3FxNnZ4YTA4ZjIOaC42aTBhdjZ1Njc1OGE4AHIhMS1KMzZxOVEzcFB2V1ZSYXY1ZXByeW4zVklFT3ZFYlZj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10189</Words>
  <Characters>56040</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2025-05-06T17:14:00Z</cp:lastPrinted>
  <dcterms:created xsi:type="dcterms:W3CDTF">2025-05-08T18:16:00Z</dcterms:created>
  <dcterms:modified xsi:type="dcterms:W3CDTF">2025-05-08T18:16:00Z</dcterms:modified>
</cp:coreProperties>
</file>