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63EDE" w14:textId="48C8A9B2" w:rsidR="00A50615" w:rsidRDefault="00A50615" w:rsidP="00C4008C">
      <w:pPr>
        <w:spacing w:after="0" w:line="360" w:lineRule="auto"/>
      </w:pPr>
    </w:p>
    <w:sdt>
      <w:sdtPr>
        <w:rPr>
          <w:rFonts w:ascii="Times New Roman" w:eastAsia="Times New Roman" w:hAnsi="Times New Roman" w:cs="Times New Roman"/>
          <w:color w:val="auto"/>
          <w:sz w:val="20"/>
          <w:lang w:val="es-ES" w:eastAsia="es-ES"/>
        </w:rPr>
        <w:id w:val="309064069"/>
        <w:docPartObj>
          <w:docPartGallery w:val="Table of Contents"/>
          <w:docPartUnique/>
        </w:docPartObj>
      </w:sdtPr>
      <w:sdtEndPr>
        <w:rPr>
          <w:bCs/>
          <w:szCs w:val="20"/>
        </w:rPr>
      </w:sdtEndPr>
      <w:sdtContent>
        <w:p w14:paraId="3AE694FD" w14:textId="729CB82F" w:rsidR="00DF3081" w:rsidRPr="00DF3081" w:rsidRDefault="00DF3081" w:rsidP="00DF3081">
          <w:pPr>
            <w:keepNext/>
            <w:keepLines/>
            <w:spacing w:after="0" w:line="360" w:lineRule="auto"/>
            <w:jc w:val="center"/>
            <w:rPr>
              <w:rFonts w:eastAsiaTheme="majorEastAsia" w:cstheme="majorBidi"/>
              <w:bCs/>
              <w:lang w:val="es-ES"/>
            </w:rPr>
          </w:pPr>
          <w:r w:rsidRPr="00DF3081">
            <w:rPr>
              <w:rFonts w:eastAsiaTheme="majorEastAsia" w:cstheme="majorBidi"/>
              <w:bCs/>
              <w:lang w:val="es-ES"/>
            </w:rPr>
            <w:t xml:space="preserve">RESOLUCIÓN DEL RECURSO DE REVISIÓN </w:t>
          </w:r>
          <w:r>
            <w:rPr>
              <w:rFonts w:eastAsiaTheme="majorEastAsia" w:cstheme="majorBidi"/>
              <w:bCs/>
              <w:lang w:val="es-ES"/>
            </w:rPr>
            <w:t>01576</w:t>
          </w:r>
          <w:r w:rsidRPr="00DF3081">
            <w:rPr>
              <w:rFonts w:eastAsiaTheme="majorEastAsia" w:cstheme="majorBidi"/>
              <w:bCs/>
              <w:lang w:val="es-ES"/>
            </w:rPr>
            <w:t>/INFOEM/IP/RR/2025</w:t>
          </w:r>
        </w:p>
        <w:p w14:paraId="3AEE722C" w14:textId="77777777" w:rsidR="00DF3081" w:rsidRPr="00DF3081" w:rsidRDefault="00DF3081" w:rsidP="00DF3081">
          <w:pPr>
            <w:spacing w:after="0" w:line="360" w:lineRule="auto"/>
            <w:jc w:val="left"/>
            <w:rPr>
              <w:rFonts w:eastAsia="Times New Roman" w:cs="Times New Roman"/>
              <w:color w:val="auto"/>
              <w:lang w:val="es-ES"/>
            </w:rPr>
          </w:pPr>
        </w:p>
        <w:p w14:paraId="35526C07" w14:textId="77777777" w:rsidR="00B00822" w:rsidRDefault="00DF3081">
          <w:pPr>
            <w:pStyle w:val="TDC1"/>
            <w:tabs>
              <w:tab w:val="right" w:leader="dot" w:pos="9204"/>
            </w:tabs>
            <w:rPr>
              <w:rFonts w:asciiTheme="minorHAnsi" w:eastAsiaTheme="minorEastAsia" w:hAnsiTheme="minorHAnsi" w:cstheme="minorBidi"/>
              <w:noProof/>
              <w:color w:val="auto"/>
            </w:rPr>
          </w:pPr>
          <w:r w:rsidRPr="00DF3081">
            <w:rPr>
              <w:rFonts w:eastAsia="Times New Roman" w:cs="Times New Roman"/>
              <w:bCs/>
              <w:color w:val="auto"/>
              <w:lang w:eastAsia="es-ES"/>
            </w:rPr>
            <w:fldChar w:fldCharType="begin"/>
          </w:r>
          <w:r w:rsidRPr="00DF3081">
            <w:rPr>
              <w:rFonts w:eastAsia="Times New Roman" w:cs="Times New Roman"/>
              <w:bCs/>
              <w:color w:val="auto"/>
              <w:lang w:eastAsia="es-ES"/>
            </w:rPr>
            <w:instrText xml:space="preserve"> TOC \o "1-3" \h \z \u </w:instrText>
          </w:r>
          <w:r w:rsidRPr="00DF3081">
            <w:rPr>
              <w:rFonts w:eastAsia="Times New Roman" w:cs="Times New Roman"/>
              <w:bCs/>
              <w:color w:val="auto"/>
              <w:lang w:eastAsia="es-ES"/>
            </w:rPr>
            <w:fldChar w:fldCharType="separate"/>
          </w:r>
          <w:hyperlink w:anchor="_Toc194592519" w:history="1">
            <w:r w:rsidR="00B00822" w:rsidRPr="00FC049E">
              <w:rPr>
                <w:rStyle w:val="Hipervnculo"/>
                <w:noProof/>
              </w:rPr>
              <w:t>A N T E C E D E N T E S</w:t>
            </w:r>
            <w:r w:rsidR="00B00822">
              <w:rPr>
                <w:noProof/>
                <w:webHidden/>
              </w:rPr>
              <w:tab/>
            </w:r>
            <w:r w:rsidR="00B00822">
              <w:rPr>
                <w:noProof/>
                <w:webHidden/>
              </w:rPr>
              <w:fldChar w:fldCharType="begin"/>
            </w:r>
            <w:r w:rsidR="00B00822">
              <w:rPr>
                <w:noProof/>
                <w:webHidden/>
              </w:rPr>
              <w:instrText xml:space="preserve"> PAGEREF _Toc194592519 \h </w:instrText>
            </w:r>
            <w:r w:rsidR="00B00822">
              <w:rPr>
                <w:noProof/>
                <w:webHidden/>
              </w:rPr>
            </w:r>
            <w:r w:rsidR="00B00822">
              <w:rPr>
                <w:noProof/>
                <w:webHidden/>
              </w:rPr>
              <w:fldChar w:fldCharType="separate"/>
            </w:r>
            <w:r w:rsidR="00CA3ACE">
              <w:rPr>
                <w:noProof/>
                <w:webHidden/>
              </w:rPr>
              <w:t>2</w:t>
            </w:r>
            <w:r w:rsidR="00B00822">
              <w:rPr>
                <w:noProof/>
                <w:webHidden/>
              </w:rPr>
              <w:fldChar w:fldCharType="end"/>
            </w:r>
          </w:hyperlink>
        </w:p>
        <w:p w14:paraId="360705C3"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0" w:history="1">
            <w:r w:rsidR="00B00822" w:rsidRPr="00FC049E">
              <w:rPr>
                <w:rStyle w:val="Hipervnculo"/>
                <w:noProof/>
                <w:lang w:eastAsia="es-ES"/>
              </w:rPr>
              <w:t>I. Presentación de la solicitud de información</w:t>
            </w:r>
            <w:r w:rsidR="00B00822">
              <w:rPr>
                <w:noProof/>
                <w:webHidden/>
              </w:rPr>
              <w:tab/>
            </w:r>
            <w:r w:rsidR="00B00822">
              <w:rPr>
                <w:noProof/>
                <w:webHidden/>
              </w:rPr>
              <w:fldChar w:fldCharType="begin"/>
            </w:r>
            <w:r w:rsidR="00B00822">
              <w:rPr>
                <w:noProof/>
                <w:webHidden/>
              </w:rPr>
              <w:instrText xml:space="preserve"> PAGEREF _Toc194592520 \h </w:instrText>
            </w:r>
            <w:r w:rsidR="00B00822">
              <w:rPr>
                <w:noProof/>
                <w:webHidden/>
              </w:rPr>
            </w:r>
            <w:r w:rsidR="00B00822">
              <w:rPr>
                <w:noProof/>
                <w:webHidden/>
              </w:rPr>
              <w:fldChar w:fldCharType="separate"/>
            </w:r>
            <w:r w:rsidR="00CA3ACE">
              <w:rPr>
                <w:noProof/>
                <w:webHidden/>
              </w:rPr>
              <w:t>2</w:t>
            </w:r>
            <w:r w:rsidR="00B00822">
              <w:rPr>
                <w:noProof/>
                <w:webHidden/>
              </w:rPr>
              <w:fldChar w:fldCharType="end"/>
            </w:r>
          </w:hyperlink>
        </w:p>
        <w:p w14:paraId="4674CCAD"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1" w:history="1">
            <w:r w:rsidR="00B00822" w:rsidRPr="00FC049E">
              <w:rPr>
                <w:rStyle w:val="Hipervnculo"/>
                <w:rFonts w:cs="Tahoma"/>
                <w:noProof/>
              </w:rPr>
              <w:t>II.</w:t>
            </w:r>
            <w:r w:rsidR="00B00822" w:rsidRPr="00FC049E">
              <w:rPr>
                <w:rStyle w:val="Hipervnculo"/>
                <w:noProof/>
              </w:rPr>
              <w:t xml:space="preserve"> Respuesta del Sujeto Obligado</w:t>
            </w:r>
            <w:r w:rsidR="00B00822">
              <w:rPr>
                <w:noProof/>
                <w:webHidden/>
              </w:rPr>
              <w:tab/>
            </w:r>
            <w:r w:rsidR="00B00822">
              <w:rPr>
                <w:noProof/>
                <w:webHidden/>
              </w:rPr>
              <w:fldChar w:fldCharType="begin"/>
            </w:r>
            <w:r w:rsidR="00B00822">
              <w:rPr>
                <w:noProof/>
                <w:webHidden/>
              </w:rPr>
              <w:instrText xml:space="preserve"> PAGEREF _Toc194592521 \h </w:instrText>
            </w:r>
            <w:r w:rsidR="00B00822">
              <w:rPr>
                <w:noProof/>
                <w:webHidden/>
              </w:rPr>
            </w:r>
            <w:r w:rsidR="00B00822">
              <w:rPr>
                <w:noProof/>
                <w:webHidden/>
              </w:rPr>
              <w:fldChar w:fldCharType="separate"/>
            </w:r>
            <w:r w:rsidR="00CA3ACE">
              <w:rPr>
                <w:noProof/>
                <w:webHidden/>
              </w:rPr>
              <w:t>3</w:t>
            </w:r>
            <w:r w:rsidR="00B00822">
              <w:rPr>
                <w:noProof/>
                <w:webHidden/>
              </w:rPr>
              <w:fldChar w:fldCharType="end"/>
            </w:r>
          </w:hyperlink>
        </w:p>
        <w:p w14:paraId="09DCE397"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2" w:history="1">
            <w:r w:rsidR="00B00822" w:rsidRPr="00FC049E">
              <w:rPr>
                <w:rStyle w:val="Hipervnculo"/>
                <w:noProof/>
              </w:rPr>
              <w:t>III. Interposición del Recurso de Revisión</w:t>
            </w:r>
            <w:r w:rsidR="00B00822">
              <w:rPr>
                <w:noProof/>
                <w:webHidden/>
              </w:rPr>
              <w:tab/>
            </w:r>
            <w:r w:rsidR="00B00822">
              <w:rPr>
                <w:noProof/>
                <w:webHidden/>
              </w:rPr>
              <w:fldChar w:fldCharType="begin"/>
            </w:r>
            <w:r w:rsidR="00B00822">
              <w:rPr>
                <w:noProof/>
                <w:webHidden/>
              </w:rPr>
              <w:instrText xml:space="preserve"> PAGEREF _Toc194592522 \h </w:instrText>
            </w:r>
            <w:r w:rsidR="00B00822">
              <w:rPr>
                <w:noProof/>
                <w:webHidden/>
              </w:rPr>
            </w:r>
            <w:r w:rsidR="00B00822">
              <w:rPr>
                <w:noProof/>
                <w:webHidden/>
              </w:rPr>
              <w:fldChar w:fldCharType="separate"/>
            </w:r>
            <w:r w:rsidR="00CA3ACE">
              <w:rPr>
                <w:noProof/>
                <w:webHidden/>
              </w:rPr>
              <w:t>3</w:t>
            </w:r>
            <w:r w:rsidR="00B00822">
              <w:rPr>
                <w:noProof/>
                <w:webHidden/>
              </w:rPr>
              <w:fldChar w:fldCharType="end"/>
            </w:r>
          </w:hyperlink>
        </w:p>
        <w:p w14:paraId="7A13CA0E"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3" w:history="1">
            <w:r w:rsidR="00B00822" w:rsidRPr="00FC049E">
              <w:rPr>
                <w:rStyle w:val="Hipervnculo"/>
                <w:noProof/>
              </w:rPr>
              <w:t>IV. Trámite del Recurso de Revisión ante este Instituto</w:t>
            </w:r>
            <w:r w:rsidR="00B00822">
              <w:rPr>
                <w:noProof/>
                <w:webHidden/>
              </w:rPr>
              <w:tab/>
            </w:r>
            <w:r w:rsidR="00B00822">
              <w:rPr>
                <w:noProof/>
                <w:webHidden/>
              </w:rPr>
              <w:fldChar w:fldCharType="begin"/>
            </w:r>
            <w:r w:rsidR="00B00822">
              <w:rPr>
                <w:noProof/>
                <w:webHidden/>
              </w:rPr>
              <w:instrText xml:space="preserve"> PAGEREF _Toc194592523 \h </w:instrText>
            </w:r>
            <w:r w:rsidR="00B00822">
              <w:rPr>
                <w:noProof/>
                <w:webHidden/>
              </w:rPr>
            </w:r>
            <w:r w:rsidR="00B00822">
              <w:rPr>
                <w:noProof/>
                <w:webHidden/>
              </w:rPr>
              <w:fldChar w:fldCharType="separate"/>
            </w:r>
            <w:r w:rsidR="00CA3ACE">
              <w:rPr>
                <w:noProof/>
                <w:webHidden/>
              </w:rPr>
              <w:t>3</w:t>
            </w:r>
            <w:r w:rsidR="00B00822">
              <w:rPr>
                <w:noProof/>
                <w:webHidden/>
              </w:rPr>
              <w:fldChar w:fldCharType="end"/>
            </w:r>
          </w:hyperlink>
        </w:p>
        <w:p w14:paraId="643B6FBF"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4" w:history="1">
            <w:r w:rsidR="00B00822" w:rsidRPr="00FC049E">
              <w:rPr>
                <w:rStyle w:val="Hipervnculo"/>
                <w:noProof/>
                <w:lang w:val="es-ES" w:eastAsia="es-ES"/>
              </w:rPr>
              <w:t>C O N S I D E R A N D O S</w:t>
            </w:r>
            <w:r w:rsidR="00B00822">
              <w:rPr>
                <w:noProof/>
                <w:webHidden/>
              </w:rPr>
              <w:tab/>
            </w:r>
            <w:r w:rsidR="00B00822">
              <w:rPr>
                <w:noProof/>
                <w:webHidden/>
              </w:rPr>
              <w:fldChar w:fldCharType="begin"/>
            </w:r>
            <w:r w:rsidR="00B00822">
              <w:rPr>
                <w:noProof/>
                <w:webHidden/>
              </w:rPr>
              <w:instrText xml:space="preserve"> PAGEREF _Toc194592524 \h </w:instrText>
            </w:r>
            <w:r w:rsidR="00B00822">
              <w:rPr>
                <w:noProof/>
                <w:webHidden/>
              </w:rPr>
            </w:r>
            <w:r w:rsidR="00B00822">
              <w:rPr>
                <w:noProof/>
                <w:webHidden/>
              </w:rPr>
              <w:fldChar w:fldCharType="separate"/>
            </w:r>
            <w:r w:rsidR="00CA3ACE">
              <w:rPr>
                <w:noProof/>
                <w:webHidden/>
              </w:rPr>
              <w:t>5</w:t>
            </w:r>
            <w:r w:rsidR="00B00822">
              <w:rPr>
                <w:noProof/>
                <w:webHidden/>
              </w:rPr>
              <w:fldChar w:fldCharType="end"/>
            </w:r>
          </w:hyperlink>
        </w:p>
        <w:p w14:paraId="573AEB8B"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5" w:history="1">
            <w:r w:rsidR="00B00822" w:rsidRPr="00FC049E">
              <w:rPr>
                <w:rStyle w:val="Hipervnculo"/>
                <w:rFonts w:eastAsia="Calibri" w:cs="Tahoma"/>
                <w:noProof/>
                <w:lang w:val="es-ES"/>
              </w:rPr>
              <w:t xml:space="preserve">PRIMERO. </w:t>
            </w:r>
            <w:r w:rsidR="00B00822" w:rsidRPr="00FC049E">
              <w:rPr>
                <w:rStyle w:val="Hipervnculo"/>
                <w:rFonts w:eastAsia="Times New Roman" w:cs="Tahoma"/>
                <w:noProof/>
                <w:lang w:val="es-ES" w:eastAsia="es-ES"/>
              </w:rPr>
              <w:t>Competencia</w:t>
            </w:r>
            <w:r w:rsidR="00B00822">
              <w:rPr>
                <w:noProof/>
                <w:webHidden/>
              </w:rPr>
              <w:tab/>
            </w:r>
            <w:r w:rsidR="00B00822">
              <w:rPr>
                <w:noProof/>
                <w:webHidden/>
              </w:rPr>
              <w:fldChar w:fldCharType="begin"/>
            </w:r>
            <w:r w:rsidR="00B00822">
              <w:rPr>
                <w:noProof/>
                <w:webHidden/>
              </w:rPr>
              <w:instrText xml:space="preserve"> PAGEREF _Toc194592525 \h </w:instrText>
            </w:r>
            <w:r w:rsidR="00B00822">
              <w:rPr>
                <w:noProof/>
                <w:webHidden/>
              </w:rPr>
            </w:r>
            <w:r w:rsidR="00B00822">
              <w:rPr>
                <w:noProof/>
                <w:webHidden/>
              </w:rPr>
              <w:fldChar w:fldCharType="separate"/>
            </w:r>
            <w:r w:rsidR="00CA3ACE">
              <w:rPr>
                <w:noProof/>
                <w:webHidden/>
              </w:rPr>
              <w:t>5</w:t>
            </w:r>
            <w:r w:rsidR="00B00822">
              <w:rPr>
                <w:noProof/>
                <w:webHidden/>
              </w:rPr>
              <w:fldChar w:fldCharType="end"/>
            </w:r>
          </w:hyperlink>
        </w:p>
        <w:p w14:paraId="0A6B28B0"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6" w:history="1">
            <w:r w:rsidR="00B00822" w:rsidRPr="00FC049E">
              <w:rPr>
                <w:rStyle w:val="Hipervnculo"/>
                <w:rFonts w:eastAsia="Calibri"/>
                <w:noProof/>
                <w:lang w:val="es-ES"/>
              </w:rPr>
              <w:t xml:space="preserve">SEGUNDO. </w:t>
            </w:r>
            <w:r w:rsidR="00B00822" w:rsidRPr="00FC049E">
              <w:rPr>
                <w:rStyle w:val="Hipervnculo"/>
                <w:noProof/>
                <w:lang w:val="es-ES" w:eastAsia="es-ES"/>
              </w:rPr>
              <w:t>Causales de improcedencia y sobreseimiento</w:t>
            </w:r>
            <w:r w:rsidR="00B00822">
              <w:rPr>
                <w:noProof/>
                <w:webHidden/>
              </w:rPr>
              <w:tab/>
            </w:r>
            <w:r w:rsidR="00B00822">
              <w:rPr>
                <w:noProof/>
                <w:webHidden/>
              </w:rPr>
              <w:fldChar w:fldCharType="begin"/>
            </w:r>
            <w:r w:rsidR="00B00822">
              <w:rPr>
                <w:noProof/>
                <w:webHidden/>
              </w:rPr>
              <w:instrText xml:space="preserve"> PAGEREF _Toc194592526 \h </w:instrText>
            </w:r>
            <w:r w:rsidR="00B00822">
              <w:rPr>
                <w:noProof/>
                <w:webHidden/>
              </w:rPr>
            </w:r>
            <w:r w:rsidR="00B00822">
              <w:rPr>
                <w:noProof/>
                <w:webHidden/>
              </w:rPr>
              <w:fldChar w:fldCharType="separate"/>
            </w:r>
            <w:r w:rsidR="00CA3ACE">
              <w:rPr>
                <w:noProof/>
                <w:webHidden/>
              </w:rPr>
              <w:t>6</w:t>
            </w:r>
            <w:r w:rsidR="00B00822">
              <w:rPr>
                <w:noProof/>
                <w:webHidden/>
              </w:rPr>
              <w:fldChar w:fldCharType="end"/>
            </w:r>
          </w:hyperlink>
        </w:p>
        <w:p w14:paraId="4C049EB6"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7" w:history="1">
            <w:r w:rsidR="00B00822" w:rsidRPr="00FC049E">
              <w:rPr>
                <w:rStyle w:val="Hipervnculo"/>
                <w:noProof/>
                <w:lang w:eastAsia="es-ES"/>
              </w:rPr>
              <w:t>TERCERO. Causales de sobreseimiento</w:t>
            </w:r>
            <w:r w:rsidR="00B00822">
              <w:rPr>
                <w:noProof/>
                <w:webHidden/>
              </w:rPr>
              <w:tab/>
            </w:r>
            <w:r w:rsidR="00B00822">
              <w:rPr>
                <w:noProof/>
                <w:webHidden/>
              </w:rPr>
              <w:fldChar w:fldCharType="begin"/>
            </w:r>
            <w:r w:rsidR="00B00822">
              <w:rPr>
                <w:noProof/>
                <w:webHidden/>
              </w:rPr>
              <w:instrText xml:space="preserve"> PAGEREF _Toc194592527 \h </w:instrText>
            </w:r>
            <w:r w:rsidR="00B00822">
              <w:rPr>
                <w:noProof/>
                <w:webHidden/>
              </w:rPr>
            </w:r>
            <w:r w:rsidR="00B00822">
              <w:rPr>
                <w:noProof/>
                <w:webHidden/>
              </w:rPr>
              <w:fldChar w:fldCharType="separate"/>
            </w:r>
            <w:r w:rsidR="00CA3ACE">
              <w:rPr>
                <w:noProof/>
                <w:webHidden/>
              </w:rPr>
              <w:t>7</w:t>
            </w:r>
            <w:r w:rsidR="00B00822">
              <w:rPr>
                <w:noProof/>
                <w:webHidden/>
              </w:rPr>
              <w:fldChar w:fldCharType="end"/>
            </w:r>
          </w:hyperlink>
        </w:p>
        <w:p w14:paraId="68497D7D"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8" w:history="1">
            <w:r w:rsidR="00B00822" w:rsidRPr="00FC049E">
              <w:rPr>
                <w:rStyle w:val="Hipervnculo"/>
                <w:noProof/>
                <w:lang w:val="es-ES"/>
              </w:rPr>
              <w:t>CUARTO. Decisión</w:t>
            </w:r>
            <w:r w:rsidR="00B00822">
              <w:rPr>
                <w:noProof/>
                <w:webHidden/>
              </w:rPr>
              <w:tab/>
            </w:r>
            <w:r w:rsidR="00B00822">
              <w:rPr>
                <w:noProof/>
                <w:webHidden/>
              </w:rPr>
              <w:fldChar w:fldCharType="begin"/>
            </w:r>
            <w:r w:rsidR="00B00822">
              <w:rPr>
                <w:noProof/>
                <w:webHidden/>
              </w:rPr>
              <w:instrText xml:space="preserve"> PAGEREF _Toc194592528 \h </w:instrText>
            </w:r>
            <w:r w:rsidR="00B00822">
              <w:rPr>
                <w:noProof/>
                <w:webHidden/>
              </w:rPr>
            </w:r>
            <w:r w:rsidR="00B00822">
              <w:rPr>
                <w:noProof/>
                <w:webHidden/>
              </w:rPr>
              <w:fldChar w:fldCharType="separate"/>
            </w:r>
            <w:r w:rsidR="00CA3ACE">
              <w:rPr>
                <w:noProof/>
                <w:webHidden/>
              </w:rPr>
              <w:t>14</w:t>
            </w:r>
            <w:r w:rsidR="00B00822">
              <w:rPr>
                <w:noProof/>
                <w:webHidden/>
              </w:rPr>
              <w:fldChar w:fldCharType="end"/>
            </w:r>
          </w:hyperlink>
        </w:p>
        <w:p w14:paraId="6660084A"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29" w:history="1">
            <w:r w:rsidR="00B00822" w:rsidRPr="00FC049E">
              <w:rPr>
                <w:rStyle w:val="Hipervnculo"/>
                <w:noProof/>
              </w:rPr>
              <w:t>Términos de la Resolución para conocimiento del Particular</w:t>
            </w:r>
            <w:r w:rsidR="00B00822">
              <w:rPr>
                <w:noProof/>
                <w:webHidden/>
              </w:rPr>
              <w:tab/>
            </w:r>
            <w:r w:rsidR="00B00822">
              <w:rPr>
                <w:noProof/>
                <w:webHidden/>
              </w:rPr>
              <w:fldChar w:fldCharType="begin"/>
            </w:r>
            <w:r w:rsidR="00B00822">
              <w:rPr>
                <w:noProof/>
                <w:webHidden/>
              </w:rPr>
              <w:instrText xml:space="preserve"> PAGEREF _Toc194592529 \h </w:instrText>
            </w:r>
            <w:r w:rsidR="00B00822">
              <w:rPr>
                <w:noProof/>
                <w:webHidden/>
              </w:rPr>
            </w:r>
            <w:r w:rsidR="00B00822">
              <w:rPr>
                <w:noProof/>
                <w:webHidden/>
              </w:rPr>
              <w:fldChar w:fldCharType="separate"/>
            </w:r>
            <w:r w:rsidR="00CA3ACE">
              <w:rPr>
                <w:noProof/>
                <w:webHidden/>
              </w:rPr>
              <w:t>14</w:t>
            </w:r>
            <w:r w:rsidR="00B00822">
              <w:rPr>
                <w:noProof/>
                <w:webHidden/>
              </w:rPr>
              <w:fldChar w:fldCharType="end"/>
            </w:r>
          </w:hyperlink>
        </w:p>
        <w:p w14:paraId="0D2ADD98" w14:textId="77777777" w:rsidR="00B00822" w:rsidRDefault="00BF5DBB">
          <w:pPr>
            <w:pStyle w:val="TDC1"/>
            <w:tabs>
              <w:tab w:val="right" w:leader="dot" w:pos="9204"/>
            </w:tabs>
            <w:rPr>
              <w:rFonts w:asciiTheme="minorHAnsi" w:eastAsiaTheme="minorEastAsia" w:hAnsiTheme="minorHAnsi" w:cstheme="minorBidi"/>
              <w:noProof/>
              <w:color w:val="auto"/>
            </w:rPr>
          </w:pPr>
          <w:hyperlink w:anchor="_Toc194592530" w:history="1">
            <w:r w:rsidR="00B00822" w:rsidRPr="00FC049E">
              <w:rPr>
                <w:rStyle w:val="Hipervnculo"/>
                <w:noProof/>
              </w:rPr>
              <w:t>R E S U E L V E</w:t>
            </w:r>
            <w:r w:rsidR="00B00822">
              <w:rPr>
                <w:noProof/>
                <w:webHidden/>
              </w:rPr>
              <w:tab/>
            </w:r>
            <w:r w:rsidR="00B00822">
              <w:rPr>
                <w:noProof/>
                <w:webHidden/>
              </w:rPr>
              <w:fldChar w:fldCharType="begin"/>
            </w:r>
            <w:r w:rsidR="00B00822">
              <w:rPr>
                <w:noProof/>
                <w:webHidden/>
              </w:rPr>
              <w:instrText xml:space="preserve"> PAGEREF _Toc194592530 \h </w:instrText>
            </w:r>
            <w:r w:rsidR="00B00822">
              <w:rPr>
                <w:noProof/>
                <w:webHidden/>
              </w:rPr>
            </w:r>
            <w:r w:rsidR="00B00822">
              <w:rPr>
                <w:noProof/>
                <w:webHidden/>
              </w:rPr>
              <w:fldChar w:fldCharType="separate"/>
            </w:r>
            <w:r w:rsidR="00CA3ACE">
              <w:rPr>
                <w:noProof/>
                <w:webHidden/>
              </w:rPr>
              <w:t>14</w:t>
            </w:r>
            <w:r w:rsidR="00B00822">
              <w:rPr>
                <w:noProof/>
                <w:webHidden/>
              </w:rPr>
              <w:fldChar w:fldCharType="end"/>
            </w:r>
          </w:hyperlink>
        </w:p>
        <w:p w14:paraId="1A87FCC7" w14:textId="77777777" w:rsidR="00DF3081" w:rsidRPr="00DF3081" w:rsidRDefault="00DF3081" w:rsidP="00DF3081">
          <w:pPr>
            <w:spacing w:after="0" w:line="360" w:lineRule="auto"/>
            <w:rPr>
              <w:rFonts w:ascii="Times New Roman" w:eastAsia="Times New Roman" w:hAnsi="Times New Roman" w:cs="Times New Roman"/>
              <w:bCs/>
              <w:color w:val="auto"/>
              <w:sz w:val="20"/>
              <w:szCs w:val="20"/>
              <w:lang w:val="es-ES" w:eastAsia="es-ES"/>
            </w:rPr>
          </w:pPr>
          <w:r w:rsidRPr="00DF3081">
            <w:rPr>
              <w:rFonts w:eastAsia="Times New Roman" w:cs="Times New Roman"/>
              <w:bCs/>
              <w:color w:val="auto"/>
              <w:lang w:val="es-ES" w:eastAsia="es-ES"/>
            </w:rPr>
            <w:fldChar w:fldCharType="end"/>
          </w:r>
        </w:p>
      </w:sdtContent>
    </w:sdt>
    <w:p w14:paraId="3C32443E" w14:textId="1FE4D093" w:rsidR="00A50615" w:rsidRDefault="00A50615" w:rsidP="00C4008C">
      <w:pPr>
        <w:spacing w:after="0" w:line="360" w:lineRule="auto"/>
      </w:pPr>
    </w:p>
    <w:p w14:paraId="00F284F4" w14:textId="77777777" w:rsidR="003A3101" w:rsidRDefault="003A3101" w:rsidP="00C4008C">
      <w:pPr>
        <w:spacing w:after="0" w:line="360" w:lineRule="auto"/>
        <w:rPr>
          <w:rFonts w:eastAsia="Calibri" w:cs="Tahoma"/>
          <w:bCs/>
          <w:color w:val="FF0000"/>
        </w:rPr>
      </w:pPr>
    </w:p>
    <w:p w14:paraId="72E33EA2" w14:textId="77777777" w:rsidR="003A3101" w:rsidRDefault="003A3101" w:rsidP="00C4008C">
      <w:pPr>
        <w:spacing w:after="0" w:line="360" w:lineRule="auto"/>
        <w:rPr>
          <w:rFonts w:eastAsia="Calibri" w:cs="Tahoma"/>
          <w:bCs/>
          <w:color w:val="auto"/>
        </w:rPr>
      </w:pPr>
    </w:p>
    <w:p w14:paraId="12E6BD53" w14:textId="77777777" w:rsidR="003A3101" w:rsidRDefault="003A3101" w:rsidP="00C4008C">
      <w:pPr>
        <w:spacing w:after="0" w:line="360" w:lineRule="auto"/>
        <w:rPr>
          <w:rFonts w:eastAsia="Calibri" w:cs="Tahoma"/>
          <w:bCs/>
          <w:color w:val="auto"/>
        </w:rPr>
      </w:pPr>
    </w:p>
    <w:p w14:paraId="38F9CA88" w14:textId="77777777" w:rsidR="003A3101" w:rsidRDefault="003A3101" w:rsidP="00C4008C">
      <w:pPr>
        <w:spacing w:after="0" w:line="360" w:lineRule="auto"/>
        <w:rPr>
          <w:rFonts w:eastAsia="Calibri" w:cs="Tahoma"/>
          <w:bCs/>
          <w:color w:val="auto"/>
        </w:rPr>
      </w:pPr>
    </w:p>
    <w:p w14:paraId="61DB91C8" w14:textId="77777777" w:rsidR="003A3101" w:rsidRDefault="003A3101" w:rsidP="00C4008C">
      <w:pPr>
        <w:spacing w:after="0" w:line="360" w:lineRule="auto"/>
        <w:rPr>
          <w:rFonts w:eastAsia="Calibri" w:cs="Tahoma"/>
          <w:bCs/>
          <w:color w:val="auto"/>
        </w:rPr>
      </w:pPr>
    </w:p>
    <w:p w14:paraId="0152DEA3" w14:textId="77777777" w:rsidR="00DF3081" w:rsidRDefault="00DF3081" w:rsidP="00C4008C">
      <w:pPr>
        <w:spacing w:after="0" w:line="360" w:lineRule="auto"/>
        <w:rPr>
          <w:rFonts w:eastAsia="Calibri" w:cs="Tahoma"/>
          <w:bCs/>
          <w:color w:val="auto"/>
        </w:rPr>
      </w:pPr>
    </w:p>
    <w:p w14:paraId="6333B48E" w14:textId="77777777" w:rsidR="00DF3081" w:rsidRDefault="00DF3081" w:rsidP="00C4008C">
      <w:pPr>
        <w:spacing w:after="0" w:line="360" w:lineRule="auto"/>
        <w:rPr>
          <w:rFonts w:eastAsia="Calibri" w:cs="Tahoma"/>
          <w:bCs/>
          <w:color w:val="auto"/>
        </w:rPr>
      </w:pPr>
    </w:p>
    <w:p w14:paraId="51A2A545" w14:textId="77777777" w:rsidR="00DF3081" w:rsidRDefault="00DF3081" w:rsidP="00C4008C">
      <w:pPr>
        <w:spacing w:after="0" w:line="360" w:lineRule="auto"/>
        <w:rPr>
          <w:rFonts w:eastAsia="Calibri" w:cs="Tahoma"/>
          <w:bCs/>
          <w:color w:val="auto"/>
        </w:rPr>
      </w:pPr>
    </w:p>
    <w:p w14:paraId="67AB2CC5" w14:textId="77777777" w:rsidR="00DF3081" w:rsidRDefault="00DF3081" w:rsidP="00C4008C">
      <w:pPr>
        <w:spacing w:after="0" w:line="360" w:lineRule="auto"/>
        <w:rPr>
          <w:rFonts w:eastAsia="Calibri" w:cs="Tahoma"/>
          <w:bCs/>
          <w:color w:val="auto"/>
        </w:rPr>
      </w:pPr>
    </w:p>
    <w:p w14:paraId="3F747F59" w14:textId="77777777" w:rsidR="003A3101" w:rsidRDefault="003A3101" w:rsidP="00C4008C">
      <w:pPr>
        <w:spacing w:after="0" w:line="360" w:lineRule="auto"/>
        <w:rPr>
          <w:rFonts w:eastAsia="Calibri" w:cs="Tahoma"/>
          <w:bCs/>
          <w:color w:val="auto"/>
        </w:rPr>
      </w:pPr>
    </w:p>
    <w:p w14:paraId="59C7AA23" w14:textId="70114CA4" w:rsidR="003A3101" w:rsidRDefault="003A3101" w:rsidP="00C4008C">
      <w:pPr>
        <w:spacing w:after="0" w:line="360" w:lineRule="auto"/>
        <w:rPr>
          <w:rFonts w:eastAsia="Times New Roman" w:cs="Tahoma"/>
          <w:bCs/>
          <w:color w:val="auto"/>
          <w:lang w:eastAsia="es-ES"/>
        </w:rPr>
      </w:pPr>
      <w:r>
        <w:rPr>
          <w:rFonts w:eastAsia="Calibri" w:cs="Tahoma"/>
          <w:bCs/>
          <w:color w:val="auto"/>
        </w:rPr>
        <w:lastRenderedPageBreak/>
        <w:t xml:space="preserve">Resolución del Pleno del Instituto de Transparencia, Acceso a la Información Pública y </w:t>
      </w:r>
      <w:r>
        <w:rPr>
          <w:rFonts w:eastAsia="Times New Roman" w:cs="Tahoma"/>
          <w:bCs/>
          <w:color w:val="auto"/>
          <w:lang w:eastAsia="es-ES"/>
        </w:rPr>
        <w:t xml:space="preserve">Protección de Datos Personales del Estado de México y Municipios, con domicilio en Metepec, Estado de </w:t>
      </w:r>
      <w:r w:rsidR="00564C15">
        <w:rPr>
          <w:rFonts w:eastAsia="Times New Roman" w:cs="Tahoma"/>
          <w:bCs/>
          <w:color w:val="auto"/>
          <w:lang w:eastAsia="es-ES"/>
        </w:rPr>
        <w:t>México, a</w:t>
      </w:r>
      <w:r>
        <w:rPr>
          <w:rFonts w:eastAsia="Times New Roman" w:cs="Tahoma"/>
          <w:bCs/>
          <w:color w:val="auto"/>
          <w:lang w:eastAsia="es-ES"/>
        </w:rPr>
        <w:t xml:space="preserve"> dos de abril de dos mil veinticinco.</w:t>
      </w:r>
    </w:p>
    <w:p w14:paraId="5BD6F288" w14:textId="77777777" w:rsidR="003A3101" w:rsidRDefault="003A3101" w:rsidP="00C4008C">
      <w:pPr>
        <w:spacing w:after="0" w:line="360" w:lineRule="auto"/>
        <w:rPr>
          <w:rFonts w:eastAsia="Times New Roman" w:cs="Tahoma"/>
          <w:b/>
          <w:bCs/>
          <w:color w:val="auto"/>
          <w:lang w:eastAsia="es-ES"/>
        </w:rPr>
      </w:pPr>
    </w:p>
    <w:p w14:paraId="6500C7E4" w14:textId="31E8CD4A" w:rsidR="00DF3081" w:rsidRDefault="003A3101" w:rsidP="00C4008C">
      <w:pPr>
        <w:spacing w:after="0" w:line="360" w:lineRule="auto"/>
        <w:rPr>
          <w:rFonts w:eastAsia="Calibri" w:cs="Tahoma"/>
          <w:color w:val="auto"/>
          <w:lang w:eastAsia="en-US"/>
        </w:rPr>
      </w:pPr>
      <w:r>
        <w:rPr>
          <w:rFonts w:eastAsia="Times New Roman" w:cs="Tahoma"/>
          <w:b/>
          <w:bCs/>
          <w:color w:val="auto"/>
          <w:lang w:eastAsia="es-ES"/>
        </w:rPr>
        <w:t>VISTO</w:t>
      </w:r>
      <w:r>
        <w:rPr>
          <w:rFonts w:eastAsia="Calibri" w:cs="Tahoma"/>
          <w:bCs/>
          <w:color w:val="auto"/>
        </w:rPr>
        <w:t xml:space="preserve"> el expediente conformado con motivo del Recurso de Revisión </w:t>
      </w:r>
      <w:r w:rsidR="009A4B9D" w:rsidRPr="006B2B9D">
        <w:rPr>
          <w:rFonts w:eastAsia="Calibri" w:cs="Tahoma"/>
          <w:b/>
          <w:bCs/>
          <w:color w:val="auto"/>
        </w:rPr>
        <w:t>01576/INFOEM/IP/RR/2025</w:t>
      </w:r>
      <w:r w:rsidRPr="00564C15">
        <w:rPr>
          <w:rFonts w:eastAsia="Calibri" w:cs="Tahoma"/>
          <w:bCs/>
          <w:color w:val="auto"/>
        </w:rPr>
        <w:t>, interpuesto por</w:t>
      </w:r>
      <w:r w:rsidRPr="00564C15">
        <w:rPr>
          <w:bCs/>
        </w:rPr>
        <w:t xml:space="preserve"> </w:t>
      </w:r>
      <w:r w:rsidR="00FB4B43" w:rsidRPr="00FB4B43">
        <w:rPr>
          <w:highlight w:val="black"/>
        </w:rPr>
        <w:t>XXXXXXXXXXXXX</w:t>
      </w:r>
      <w:r w:rsidRPr="00564C15">
        <w:rPr>
          <w:rFonts w:eastAsia="Calibri" w:cs="Tahoma"/>
          <w:bCs/>
          <w:color w:val="auto"/>
        </w:rPr>
        <w:t xml:space="preserve">, en adelante </w:t>
      </w:r>
      <w:r w:rsidR="00564C15">
        <w:rPr>
          <w:rFonts w:eastAsia="Calibri" w:cs="Tahoma"/>
          <w:bCs/>
          <w:color w:val="auto"/>
        </w:rPr>
        <w:t>la perso</w:t>
      </w:r>
      <w:bookmarkStart w:id="0" w:name="_GoBack"/>
      <w:bookmarkEnd w:id="0"/>
      <w:r w:rsidR="00564C15">
        <w:rPr>
          <w:rFonts w:eastAsia="Calibri" w:cs="Tahoma"/>
          <w:bCs/>
          <w:color w:val="auto"/>
        </w:rPr>
        <w:t>na</w:t>
      </w:r>
      <w:r w:rsidRPr="00564C15">
        <w:rPr>
          <w:rFonts w:eastAsia="Calibri" w:cs="Tahoma"/>
          <w:bCs/>
          <w:color w:val="auto"/>
        </w:rPr>
        <w:t xml:space="preserve"> Recurrente o</w:t>
      </w:r>
      <w:r>
        <w:rPr>
          <w:rFonts w:eastAsia="Calibri" w:cs="Tahoma"/>
          <w:color w:val="auto"/>
        </w:rPr>
        <w:t xml:space="preserve"> Particular, en contra de la respuesta del Sujeto Obligado, </w:t>
      </w:r>
      <w:r w:rsidRPr="006B2B9D">
        <w:rPr>
          <w:rFonts w:eastAsia="Calibri" w:cs="Tahoma"/>
          <w:b/>
          <w:color w:val="auto"/>
        </w:rPr>
        <w:t xml:space="preserve">Ayuntamiento de Cuautitlán Izcalli, </w:t>
      </w:r>
      <w:r>
        <w:rPr>
          <w:rFonts w:eastAsia="Calibri" w:cs="Tahoma"/>
          <w:color w:val="auto"/>
        </w:rPr>
        <w:t xml:space="preserve">a la solicitud de acceso a la información </w:t>
      </w:r>
      <w:r w:rsidR="00564C15">
        <w:rPr>
          <w:rFonts w:eastAsia="Calibri" w:cs="Tahoma"/>
          <w:color w:val="auto"/>
        </w:rPr>
        <w:t>pública</w:t>
      </w:r>
      <w:r w:rsidR="00564C15">
        <w:rPr>
          <w:color w:val="auto"/>
        </w:rPr>
        <w:t xml:space="preserve"> </w:t>
      </w:r>
      <w:r w:rsidR="00564C15" w:rsidRPr="00564C15">
        <w:rPr>
          <w:bCs/>
          <w:color w:val="auto"/>
        </w:rPr>
        <w:t>00400</w:t>
      </w:r>
      <w:r w:rsidR="00AA2126" w:rsidRPr="00564C15">
        <w:rPr>
          <w:bCs/>
          <w:color w:val="auto"/>
        </w:rPr>
        <w:t>/CUAUTIZC/IP/2025</w:t>
      </w:r>
      <w:r>
        <w:rPr>
          <w:rFonts w:eastAsia="Calibri" w:cs="Tahoma"/>
          <w:color w:val="auto"/>
        </w:rPr>
        <w:t>, se emite la presente Resolución, con base en los Antecedentes y Considerandos que se exponen a continuación:</w:t>
      </w:r>
    </w:p>
    <w:p w14:paraId="2A003F2F" w14:textId="6684AEA9" w:rsidR="00DF3081" w:rsidRPr="00DF3081" w:rsidRDefault="003A3101" w:rsidP="00DF3081">
      <w:pPr>
        <w:pStyle w:val="Ttulo1"/>
        <w:rPr>
          <w:sz w:val="22"/>
          <w:szCs w:val="22"/>
        </w:rPr>
      </w:pPr>
      <w:bookmarkStart w:id="1" w:name="_Toc194592519"/>
      <w:r w:rsidRPr="00DF3081">
        <w:rPr>
          <w:sz w:val="22"/>
          <w:szCs w:val="22"/>
        </w:rPr>
        <w:t>A N T E C E D E N T E S</w:t>
      </w:r>
      <w:bookmarkEnd w:id="1"/>
    </w:p>
    <w:p w14:paraId="461C3487" w14:textId="77777777" w:rsidR="003A3101" w:rsidRPr="00DF3081" w:rsidRDefault="003A3101" w:rsidP="00DF3081">
      <w:pPr>
        <w:pStyle w:val="Ttulo1"/>
        <w:jc w:val="left"/>
        <w:rPr>
          <w:sz w:val="22"/>
          <w:szCs w:val="22"/>
          <w:lang w:eastAsia="es-ES"/>
        </w:rPr>
      </w:pPr>
      <w:bookmarkStart w:id="2" w:name="_Toc194592520"/>
      <w:r w:rsidRPr="00DF3081">
        <w:rPr>
          <w:sz w:val="22"/>
          <w:szCs w:val="22"/>
          <w:lang w:eastAsia="es-ES"/>
        </w:rPr>
        <w:t>I. Presentación de la solicitud de información</w:t>
      </w:r>
      <w:bookmarkEnd w:id="2"/>
    </w:p>
    <w:p w14:paraId="4317F18A" w14:textId="77777777" w:rsidR="003A3101" w:rsidRDefault="003A3101" w:rsidP="00C4008C">
      <w:pPr>
        <w:tabs>
          <w:tab w:val="left" w:pos="567"/>
        </w:tabs>
        <w:spacing w:after="0" w:line="360" w:lineRule="auto"/>
        <w:rPr>
          <w:rFonts w:eastAsia="Times New Roman" w:cs="Tahoma"/>
          <w:color w:val="FF0000"/>
          <w:lang w:eastAsia="es-ES"/>
        </w:rPr>
      </w:pPr>
    </w:p>
    <w:p w14:paraId="089A1473" w14:textId="3EB804EA" w:rsidR="003A3101" w:rsidRDefault="003A3101" w:rsidP="00C4008C">
      <w:pPr>
        <w:spacing w:after="0" w:line="360" w:lineRule="auto"/>
        <w:contextualSpacing/>
        <w:rPr>
          <w:rFonts w:eastAsiaTheme="minorHAnsi" w:cs="Tahoma"/>
          <w:color w:val="auto"/>
          <w:lang w:eastAsia="en-US"/>
        </w:rPr>
      </w:pPr>
      <w:r>
        <w:rPr>
          <w:rFonts w:eastAsia="Calibri" w:cs="Tahoma"/>
          <w:color w:val="auto"/>
          <w:lang w:val="es-ES"/>
        </w:rPr>
        <w:t xml:space="preserve">El cuatro de febrero </w:t>
      </w:r>
      <w:r w:rsidR="00564C15">
        <w:rPr>
          <w:rFonts w:eastAsia="Calibri" w:cs="Tahoma"/>
          <w:color w:val="auto"/>
          <w:lang w:val="es-ES"/>
        </w:rPr>
        <w:t>de dos</w:t>
      </w:r>
      <w:r>
        <w:rPr>
          <w:rFonts w:eastAsia="Calibri" w:cs="Tahoma"/>
          <w:color w:val="auto"/>
          <w:lang w:val="es-ES"/>
        </w:rPr>
        <w:t xml:space="preserve"> mil veinticinco, el Particular presentó una solicitud de acceso a la información, </w:t>
      </w:r>
      <w:r w:rsidR="00564C15">
        <w:rPr>
          <w:rFonts w:eastAsia="Calibri" w:cs="Tahoma"/>
          <w:color w:val="auto"/>
          <w:lang w:val="es-ES"/>
        </w:rPr>
        <w:t>a través del Sistema de Acceso a la Información Mexiquense (SAIMEX)</w:t>
      </w:r>
      <w:r>
        <w:rPr>
          <w:rFonts w:eastAsia="Calibri" w:cs="Tahoma"/>
          <w:color w:val="auto"/>
          <w:lang w:val="es-ES"/>
        </w:rPr>
        <w:t>, ante el Sujeto Obligado</w:t>
      </w:r>
      <w:r>
        <w:rPr>
          <w:rFonts w:eastAsia="Calibri" w:cs="Tahoma"/>
          <w:color w:val="auto"/>
        </w:rPr>
        <w:t xml:space="preserve">, </w:t>
      </w:r>
      <w:r>
        <w:rPr>
          <w:rFonts w:cs="Tahoma"/>
          <w:color w:val="auto"/>
        </w:rPr>
        <w:t>mediante la cual requirió:</w:t>
      </w:r>
    </w:p>
    <w:p w14:paraId="1A0F4709" w14:textId="77777777" w:rsidR="003A3101" w:rsidRDefault="003A3101" w:rsidP="00C4008C">
      <w:pPr>
        <w:spacing w:after="0" w:line="360" w:lineRule="auto"/>
        <w:contextualSpacing/>
        <w:rPr>
          <w:rFonts w:cs="Tahoma"/>
          <w:bCs/>
          <w:i/>
          <w:color w:val="FF0000"/>
        </w:rPr>
      </w:pPr>
    </w:p>
    <w:p w14:paraId="5724F424" w14:textId="77777777" w:rsidR="003A3101" w:rsidRDefault="003A3101" w:rsidP="00C4008C">
      <w:pPr>
        <w:tabs>
          <w:tab w:val="left" w:pos="4667"/>
        </w:tabs>
        <w:spacing w:after="0" w:line="360" w:lineRule="auto"/>
        <w:ind w:left="567" w:right="567"/>
        <w:contextualSpacing/>
        <w:rPr>
          <w:rFonts w:eastAsia="Times New Roman" w:cs="Tahoma"/>
          <w:b/>
          <w:i/>
          <w:iCs/>
          <w:color w:val="auto"/>
          <w:sz w:val="20"/>
          <w:szCs w:val="20"/>
          <w:lang w:eastAsia="es-ES"/>
        </w:rPr>
      </w:pPr>
      <w:r>
        <w:rPr>
          <w:rFonts w:eastAsia="Times New Roman" w:cs="Tahoma"/>
          <w:b/>
          <w:i/>
          <w:iCs/>
          <w:color w:val="auto"/>
          <w:sz w:val="20"/>
          <w:szCs w:val="20"/>
          <w:lang w:eastAsia="es-ES"/>
        </w:rPr>
        <w:t>“DESCRIPCIÓN CLARA Y PRECISA DE LA INFORMACIÓN SOLICITADA.</w:t>
      </w:r>
    </w:p>
    <w:p w14:paraId="3FB6FB0B" w14:textId="77777777" w:rsidR="003A3101" w:rsidRDefault="003A3101" w:rsidP="00C4008C">
      <w:pPr>
        <w:spacing w:after="0" w:line="360" w:lineRule="auto"/>
        <w:ind w:left="567" w:right="567"/>
        <w:contextualSpacing/>
        <w:rPr>
          <w:rFonts w:eastAsia="Times New Roman" w:cs="Arial"/>
          <w:bCs/>
          <w:i/>
          <w:iCs/>
          <w:color w:val="auto"/>
          <w:sz w:val="20"/>
          <w:lang w:eastAsia="es-ES"/>
        </w:rPr>
      </w:pPr>
      <w:proofErr w:type="gramStart"/>
      <w:r>
        <w:rPr>
          <w:rFonts w:eastAsia="Times New Roman" w:cs="Arial"/>
          <w:bCs/>
          <w:i/>
          <w:iCs/>
          <w:color w:val="auto"/>
          <w:sz w:val="20"/>
          <w:lang w:eastAsia="es-ES"/>
        </w:rPr>
        <w:t>1.¿</w:t>
      </w:r>
      <w:proofErr w:type="gramEnd"/>
      <w:r>
        <w:rPr>
          <w:rFonts w:eastAsia="Times New Roman" w:cs="Arial"/>
          <w:bCs/>
          <w:i/>
          <w:iCs/>
          <w:color w:val="auto"/>
          <w:sz w:val="20"/>
          <w:lang w:eastAsia="es-ES"/>
        </w:rPr>
        <w:t xml:space="preserve">Existe un convenio de recaudación del Derecho de Alumbrado Público (DAP) entre el municipio y la paraestatal CFE? 2 En caso que la respuesta sea positiva, quiero se me otorgue copia electrónica (PDF) de ese convenio mencionado anteriormente.” (Sic) </w:t>
      </w:r>
    </w:p>
    <w:p w14:paraId="69C9B966" w14:textId="77777777" w:rsidR="003A3101" w:rsidRDefault="003A3101" w:rsidP="00C4008C">
      <w:pPr>
        <w:tabs>
          <w:tab w:val="left" w:pos="4667"/>
        </w:tabs>
        <w:spacing w:after="0" w:line="360" w:lineRule="auto"/>
        <w:ind w:left="567" w:right="567"/>
        <w:contextualSpacing/>
        <w:rPr>
          <w:rFonts w:eastAsia="Times New Roman" w:cs="Tahoma"/>
          <w:b/>
          <w:bCs/>
          <w:i/>
          <w:iCs/>
          <w:color w:val="auto"/>
          <w:sz w:val="20"/>
          <w:szCs w:val="20"/>
          <w:lang w:eastAsia="es-ES"/>
        </w:rPr>
      </w:pPr>
    </w:p>
    <w:p w14:paraId="7ADA672D" w14:textId="77777777" w:rsidR="003A3101" w:rsidRDefault="003A3101" w:rsidP="00C4008C">
      <w:pPr>
        <w:tabs>
          <w:tab w:val="left" w:pos="4667"/>
        </w:tabs>
        <w:spacing w:after="0" w:line="360" w:lineRule="auto"/>
        <w:ind w:left="567" w:right="567"/>
        <w:contextualSpacing/>
        <w:rPr>
          <w:rFonts w:eastAsia="Times New Roman" w:cs="Tahoma"/>
          <w:b/>
          <w:i/>
          <w:iCs/>
          <w:color w:val="auto"/>
          <w:sz w:val="20"/>
          <w:szCs w:val="20"/>
          <w:lang w:eastAsia="es-ES"/>
        </w:rPr>
      </w:pPr>
      <w:r>
        <w:rPr>
          <w:rFonts w:eastAsia="Times New Roman" w:cs="Tahoma"/>
          <w:b/>
          <w:i/>
          <w:iCs/>
          <w:color w:val="auto"/>
          <w:sz w:val="20"/>
          <w:szCs w:val="20"/>
          <w:lang w:eastAsia="es-ES"/>
        </w:rPr>
        <w:t xml:space="preserve">“Modalidad de Entrega: </w:t>
      </w:r>
    </w:p>
    <w:p w14:paraId="27B5237C" w14:textId="77777777" w:rsidR="003A3101" w:rsidRDefault="003A3101" w:rsidP="00C4008C">
      <w:pPr>
        <w:tabs>
          <w:tab w:val="left" w:pos="4667"/>
        </w:tabs>
        <w:spacing w:after="0" w:line="360" w:lineRule="auto"/>
        <w:ind w:left="567" w:right="567"/>
        <w:rPr>
          <w:rFonts w:eastAsia="Times New Roman" w:cs="Tahoma"/>
          <w:i/>
          <w:iCs/>
          <w:color w:val="auto"/>
          <w:sz w:val="20"/>
          <w:lang w:eastAsia="es-ES"/>
        </w:rPr>
      </w:pPr>
      <w:r>
        <w:rPr>
          <w:rFonts w:eastAsia="Times New Roman" w:cs="Tahoma"/>
          <w:i/>
          <w:iCs/>
          <w:color w:val="auto"/>
          <w:sz w:val="20"/>
          <w:lang w:eastAsia="es-ES"/>
        </w:rPr>
        <w:t>A través del SAIMEX”</w:t>
      </w:r>
    </w:p>
    <w:p w14:paraId="6B1F0284" w14:textId="77777777" w:rsidR="003A3101" w:rsidRDefault="003A3101" w:rsidP="00C4008C">
      <w:pPr>
        <w:tabs>
          <w:tab w:val="left" w:pos="567"/>
        </w:tabs>
        <w:spacing w:after="0" w:line="360" w:lineRule="auto"/>
        <w:rPr>
          <w:rFonts w:eastAsia="Times New Roman" w:cs="Tahoma"/>
          <w:color w:val="auto"/>
          <w:lang w:eastAsia="es-ES"/>
        </w:rPr>
      </w:pPr>
    </w:p>
    <w:p w14:paraId="51CBA6DC" w14:textId="77777777" w:rsidR="003A3101" w:rsidRPr="00DF3081" w:rsidRDefault="003A3101" w:rsidP="00DF3081">
      <w:pPr>
        <w:pStyle w:val="Ttulo1"/>
        <w:jc w:val="left"/>
        <w:rPr>
          <w:rFonts w:cstheme="minorBidi"/>
          <w:sz w:val="22"/>
          <w:szCs w:val="22"/>
        </w:rPr>
      </w:pPr>
      <w:bookmarkStart w:id="3" w:name="_Toc194592521"/>
      <w:r w:rsidRPr="00DF3081">
        <w:rPr>
          <w:rFonts w:cs="Tahoma"/>
          <w:sz w:val="22"/>
          <w:szCs w:val="22"/>
        </w:rPr>
        <w:lastRenderedPageBreak/>
        <w:t>II.</w:t>
      </w:r>
      <w:r w:rsidRPr="00DF3081">
        <w:rPr>
          <w:sz w:val="22"/>
          <w:szCs w:val="22"/>
        </w:rPr>
        <w:t xml:space="preserve"> Respuesta del Sujeto Obligado</w:t>
      </w:r>
      <w:bookmarkEnd w:id="3"/>
    </w:p>
    <w:p w14:paraId="0CCD3113" w14:textId="77777777" w:rsidR="003A3101" w:rsidRDefault="003A3101" w:rsidP="00C4008C">
      <w:pPr>
        <w:autoSpaceDE w:val="0"/>
        <w:autoSpaceDN w:val="0"/>
        <w:adjustRightInd w:val="0"/>
        <w:spacing w:after="0" w:line="360" w:lineRule="auto"/>
        <w:rPr>
          <w:b/>
          <w:bCs/>
          <w:color w:val="auto"/>
        </w:rPr>
      </w:pPr>
    </w:p>
    <w:p w14:paraId="36E04FA3" w14:textId="77777777" w:rsidR="003A3101" w:rsidRDefault="003A3101" w:rsidP="00C4008C">
      <w:pPr>
        <w:autoSpaceDE w:val="0"/>
        <w:autoSpaceDN w:val="0"/>
        <w:adjustRightInd w:val="0"/>
        <w:spacing w:after="0" w:line="360" w:lineRule="auto"/>
        <w:rPr>
          <w:rFonts w:cs="Tahoma"/>
          <w:bCs/>
          <w:color w:val="auto"/>
          <w:lang w:val="es-ES_tradnl"/>
        </w:rPr>
      </w:pPr>
      <w:r>
        <w:rPr>
          <w:rFonts w:cs="Tahoma"/>
          <w:bCs/>
          <w:color w:val="auto"/>
          <w:lang w:val="es-ES_tradnl"/>
        </w:rPr>
        <w:t xml:space="preserve">El trece de febrero de dos mil veinticinco, el Sujeto Obligado, notificó la respuesta a la solicitud, a través del Sistema de Acceso a la Información Mexiquense (SAIMEX), por medio de oficio del Director </w:t>
      </w:r>
      <w:bookmarkStart w:id="4" w:name="_Hlk180050207"/>
      <w:r>
        <w:rPr>
          <w:rFonts w:cs="Tahoma"/>
          <w:bCs/>
          <w:color w:val="auto"/>
          <w:lang w:val="es-ES_tradnl"/>
        </w:rPr>
        <w:t xml:space="preserve">Servicios Públicos, quien refirió que después de una búsqueda en sus archivos, no se localizó la información requerida. </w:t>
      </w:r>
    </w:p>
    <w:bookmarkEnd w:id="4"/>
    <w:p w14:paraId="22949140" w14:textId="77777777" w:rsidR="003A3101" w:rsidRDefault="003A3101" w:rsidP="00C4008C">
      <w:pPr>
        <w:autoSpaceDE w:val="0"/>
        <w:autoSpaceDN w:val="0"/>
        <w:adjustRightInd w:val="0"/>
        <w:spacing w:after="0" w:line="360" w:lineRule="auto"/>
        <w:rPr>
          <w:rFonts w:cs="Tahoma"/>
          <w:bCs/>
          <w:color w:val="auto"/>
          <w:lang w:val="es-ES_tradnl"/>
        </w:rPr>
      </w:pPr>
    </w:p>
    <w:p w14:paraId="38950823" w14:textId="77777777" w:rsidR="003A3101" w:rsidRPr="00DF3081" w:rsidRDefault="003A3101" w:rsidP="00DF3081">
      <w:pPr>
        <w:pStyle w:val="Ttulo1"/>
        <w:jc w:val="left"/>
        <w:rPr>
          <w:rFonts w:cstheme="minorBidi"/>
          <w:sz w:val="22"/>
          <w:szCs w:val="22"/>
        </w:rPr>
      </w:pPr>
      <w:bookmarkStart w:id="5" w:name="_Toc194592522"/>
      <w:r w:rsidRPr="00DF3081">
        <w:rPr>
          <w:sz w:val="22"/>
          <w:szCs w:val="22"/>
        </w:rPr>
        <w:t>III. Interposición del Recurso de Revisión</w:t>
      </w:r>
      <w:bookmarkEnd w:id="5"/>
    </w:p>
    <w:p w14:paraId="4865EFEB" w14:textId="77777777" w:rsidR="003A3101" w:rsidRDefault="003A3101" w:rsidP="00C4008C">
      <w:pPr>
        <w:spacing w:after="0" w:line="360" w:lineRule="auto"/>
        <w:rPr>
          <w:b/>
          <w:color w:val="auto"/>
        </w:rPr>
      </w:pPr>
    </w:p>
    <w:p w14:paraId="09B1F5F9" w14:textId="77777777" w:rsidR="003A3101" w:rsidRDefault="003A3101" w:rsidP="00C4008C">
      <w:pPr>
        <w:widowControl w:val="0"/>
        <w:spacing w:after="0" w:line="360" w:lineRule="auto"/>
        <w:contextualSpacing/>
        <w:rPr>
          <w:rFonts w:eastAsia="Calibri" w:cs="Times New Roman"/>
          <w:bCs/>
          <w:color w:val="auto"/>
        </w:rPr>
      </w:pPr>
      <w:r>
        <w:rPr>
          <w:rFonts w:eastAsia="Calibri" w:cs="Times New Roman"/>
          <w:bCs/>
          <w:color w:val="auto"/>
        </w:rPr>
        <w:t xml:space="preserve">El dieciocho de febrero de dos mil veinticinco, </w:t>
      </w:r>
      <w:r>
        <w:rPr>
          <w:rFonts w:eastAsia="Calibri" w:cs="Times New Roman"/>
          <w:bCs/>
          <w:color w:val="auto"/>
          <w:lang w:val="es-ES"/>
        </w:rPr>
        <w:t>se recibió en este Instituto, a través del Sistema de Acceso a la Información Mexiquense (SAIMEX), el Recurso de Revisión interpuesto por la parte Recurrente, en contra de la respuesta del Sujeto Obligado</w:t>
      </w:r>
      <w:r>
        <w:rPr>
          <w:rFonts w:eastAsia="Calibri" w:cs="Times New Roman"/>
          <w:b/>
          <w:bCs/>
          <w:color w:val="auto"/>
        </w:rPr>
        <w:t>,</w:t>
      </w:r>
      <w:r>
        <w:rPr>
          <w:rFonts w:eastAsia="Calibri" w:cs="Times New Roman"/>
          <w:bCs/>
          <w:color w:val="auto"/>
        </w:rPr>
        <w:t xml:space="preserve"> </w:t>
      </w:r>
      <w:r>
        <w:rPr>
          <w:rFonts w:eastAsia="Times New Roman" w:cs="Tahoma"/>
          <w:bCs/>
          <w:color w:val="auto"/>
          <w:lang w:val="es-ES" w:eastAsia="es-ES"/>
        </w:rPr>
        <w:t>en los siguientes términos:</w:t>
      </w:r>
    </w:p>
    <w:p w14:paraId="0B35FEA4" w14:textId="77777777" w:rsidR="003A3101" w:rsidRDefault="003A3101" w:rsidP="00C4008C">
      <w:pPr>
        <w:tabs>
          <w:tab w:val="left" w:pos="4667"/>
        </w:tabs>
        <w:spacing w:after="0" w:line="360" w:lineRule="auto"/>
        <w:ind w:left="567" w:right="567"/>
        <w:contextualSpacing/>
        <w:rPr>
          <w:rFonts w:eastAsiaTheme="minorHAnsi" w:cs="Tahoma"/>
          <w:b/>
          <w:bCs/>
          <w:i/>
          <w:color w:val="FF0000"/>
          <w:sz w:val="20"/>
          <w:szCs w:val="20"/>
        </w:rPr>
      </w:pPr>
    </w:p>
    <w:p w14:paraId="3176A15C" w14:textId="77777777" w:rsidR="003A3101" w:rsidRDefault="003A3101" w:rsidP="00C4008C">
      <w:pPr>
        <w:tabs>
          <w:tab w:val="left" w:pos="4667"/>
        </w:tabs>
        <w:spacing w:after="0" w:line="360" w:lineRule="auto"/>
        <w:ind w:left="567" w:right="567"/>
        <w:rPr>
          <w:rFonts w:cstheme="minorBidi"/>
          <w:b/>
          <w:i/>
          <w:iCs/>
          <w:color w:val="auto"/>
          <w:sz w:val="20"/>
          <w:szCs w:val="20"/>
        </w:rPr>
      </w:pPr>
      <w:r>
        <w:rPr>
          <w:b/>
          <w:i/>
          <w:iCs/>
          <w:color w:val="auto"/>
          <w:sz w:val="20"/>
          <w:szCs w:val="20"/>
        </w:rPr>
        <w:t>“ACTO IMPUGNADO</w:t>
      </w:r>
    </w:p>
    <w:p w14:paraId="2F1920B6" w14:textId="77777777" w:rsidR="003A3101" w:rsidRDefault="003A3101" w:rsidP="00C4008C">
      <w:pPr>
        <w:tabs>
          <w:tab w:val="left" w:pos="4667"/>
        </w:tabs>
        <w:spacing w:after="0" w:line="360" w:lineRule="auto"/>
        <w:ind w:left="567" w:right="567"/>
        <w:rPr>
          <w:i/>
          <w:iCs/>
          <w:color w:val="auto"/>
          <w:sz w:val="20"/>
          <w:szCs w:val="20"/>
        </w:rPr>
      </w:pPr>
      <w:r>
        <w:rPr>
          <w:i/>
          <w:iCs/>
          <w:color w:val="auto"/>
          <w:sz w:val="20"/>
          <w:szCs w:val="20"/>
        </w:rPr>
        <w:t>Falta de información, el sujeto obligado no es la área que tiene conocimiento.” (Sic)</w:t>
      </w:r>
    </w:p>
    <w:p w14:paraId="7208BB3C" w14:textId="77777777" w:rsidR="003A3101" w:rsidRDefault="003A3101" w:rsidP="00C4008C">
      <w:pPr>
        <w:tabs>
          <w:tab w:val="left" w:pos="4667"/>
        </w:tabs>
        <w:spacing w:after="0" w:line="360" w:lineRule="auto"/>
        <w:ind w:left="567" w:right="567"/>
        <w:rPr>
          <w:i/>
          <w:iCs/>
          <w:color w:val="auto"/>
          <w:sz w:val="20"/>
          <w:szCs w:val="20"/>
        </w:rPr>
      </w:pPr>
    </w:p>
    <w:p w14:paraId="5403D3D3" w14:textId="77777777" w:rsidR="003A3101" w:rsidRDefault="003A3101" w:rsidP="00C4008C">
      <w:pPr>
        <w:tabs>
          <w:tab w:val="left" w:pos="4667"/>
        </w:tabs>
        <w:spacing w:after="0" w:line="360" w:lineRule="auto"/>
        <w:ind w:left="567" w:right="567"/>
        <w:rPr>
          <w:b/>
          <w:i/>
          <w:iCs/>
          <w:color w:val="auto"/>
          <w:sz w:val="20"/>
          <w:szCs w:val="20"/>
        </w:rPr>
      </w:pPr>
      <w:r>
        <w:rPr>
          <w:b/>
          <w:i/>
          <w:iCs/>
          <w:color w:val="auto"/>
          <w:sz w:val="20"/>
          <w:szCs w:val="20"/>
        </w:rPr>
        <w:t>“RAZONES O MOTIVOS DE LA INCONFORMIDAD</w:t>
      </w:r>
      <w:r>
        <w:rPr>
          <w:b/>
          <w:i/>
          <w:iCs/>
          <w:color w:val="auto"/>
          <w:sz w:val="20"/>
          <w:szCs w:val="20"/>
        </w:rPr>
        <w:tab/>
      </w:r>
    </w:p>
    <w:p w14:paraId="497A867B" w14:textId="7976CF22" w:rsidR="003A3101" w:rsidRPr="00DF3081" w:rsidRDefault="003A3101" w:rsidP="00DF3081">
      <w:pPr>
        <w:tabs>
          <w:tab w:val="left" w:pos="4667"/>
        </w:tabs>
        <w:spacing w:after="0" w:line="360" w:lineRule="auto"/>
        <w:ind w:left="567" w:right="567"/>
        <w:rPr>
          <w:bCs/>
          <w:color w:val="auto"/>
        </w:rPr>
      </w:pPr>
      <w:r>
        <w:rPr>
          <w:bCs/>
          <w:i/>
          <w:iCs/>
          <w:color w:val="auto"/>
          <w:sz w:val="20"/>
          <w:szCs w:val="20"/>
        </w:rPr>
        <w:t xml:space="preserve">Al ser un convenio firmado por el Presidente municipal y avalado por el secretario del ayuntamiento, es el lugar donde obra la información solicitada.” </w:t>
      </w:r>
      <w:r>
        <w:rPr>
          <w:bCs/>
          <w:color w:val="auto"/>
          <w:sz w:val="20"/>
          <w:szCs w:val="20"/>
        </w:rPr>
        <w:t>(Sic)</w:t>
      </w:r>
    </w:p>
    <w:p w14:paraId="7C86025C" w14:textId="77777777" w:rsidR="003A3101" w:rsidRPr="00DF3081" w:rsidRDefault="003A3101" w:rsidP="00DF3081">
      <w:pPr>
        <w:pStyle w:val="Ttulo1"/>
        <w:jc w:val="left"/>
        <w:rPr>
          <w:sz w:val="22"/>
          <w:szCs w:val="22"/>
        </w:rPr>
      </w:pPr>
      <w:bookmarkStart w:id="6" w:name="_Toc194592523"/>
      <w:r w:rsidRPr="00DF3081">
        <w:rPr>
          <w:sz w:val="22"/>
          <w:szCs w:val="22"/>
        </w:rPr>
        <w:t>IV. Trámite del Recurso de Revisión ante este Instituto</w:t>
      </w:r>
      <w:bookmarkEnd w:id="6"/>
    </w:p>
    <w:p w14:paraId="3C156FEB" w14:textId="77777777" w:rsidR="003A3101" w:rsidRDefault="003A3101" w:rsidP="00C4008C">
      <w:pPr>
        <w:spacing w:after="0" w:line="360" w:lineRule="auto"/>
        <w:rPr>
          <w:b/>
          <w:bCs/>
          <w:color w:val="FF0000"/>
        </w:rPr>
      </w:pPr>
    </w:p>
    <w:p w14:paraId="1D7364D0" w14:textId="77777777" w:rsidR="003A3101" w:rsidRDefault="003A3101" w:rsidP="00C4008C">
      <w:pPr>
        <w:spacing w:after="0" w:line="360" w:lineRule="auto"/>
        <w:rPr>
          <w:bCs/>
          <w:color w:val="auto"/>
        </w:rPr>
      </w:pPr>
      <w:r>
        <w:rPr>
          <w:b/>
          <w:bCs/>
          <w:color w:val="auto"/>
        </w:rPr>
        <w:t xml:space="preserve">a) Turno del Medio de Impugnación. </w:t>
      </w:r>
      <w:r>
        <w:rPr>
          <w:bCs/>
          <w:color w:val="auto"/>
        </w:rPr>
        <w:t xml:space="preserve">El dieciocho de febrero de dos mil veinticinco, el </w:t>
      </w:r>
      <w:r>
        <w:rPr>
          <w:color w:val="auto"/>
          <w:lang w:val="es-ES"/>
        </w:rPr>
        <w:t>Sistema de Acceso a la Información Mexiquense (SAIMEX),</w:t>
      </w:r>
      <w:r>
        <w:rPr>
          <w:bCs/>
          <w:color w:val="auto"/>
        </w:rPr>
        <w:t xml:space="preserve"> asignó el número de expediente </w:t>
      </w:r>
      <w:r>
        <w:rPr>
          <w:b/>
          <w:bCs/>
          <w:color w:val="auto"/>
        </w:rPr>
        <w:t>01576/INFOEM/IP/RR/2025</w:t>
      </w:r>
      <w:r>
        <w:rPr>
          <w:bCs/>
          <w:color w:val="auto"/>
        </w:rPr>
        <w:t xml:space="preserve">, al medio de impugnación que nos ocupa, con base en el sistema </w:t>
      </w:r>
      <w:r>
        <w:rPr>
          <w:bCs/>
          <w:color w:val="auto"/>
        </w:rPr>
        <w:lastRenderedPageBreak/>
        <w:t>aprobado por el Pleno de este Órgano Garante y lo turnó al Comisionado Ponente Luis Gustavo Parra Noriega, para los efectos del artículo 185, fracción I de la Ley de Transparencia y Acceso a la Información Pública del Estado de México y Municipios.</w:t>
      </w:r>
    </w:p>
    <w:p w14:paraId="6EEF3C40" w14:textId="77777777" w:rsidR="003A3101" w:rsidRDefault="003A3101" w:rsidP="00C4008C">
      <w:pPr>
        <w:spacing w:after="0" w:line="360" w:lineRule="auto"/>
        <w:ind w:left="360"/>
        <w:rPr>
          <w:b/>
          <w:bCs/>
          <w:color w:val="FF0000"/>
        </w:rPr>
      </w:pPr>
    </w:p>
    <w:p w14:paraId="6AE76865" w14:textId="77777777" w:rsidR="003A3101" w:rsidRDefault="003A3101" w:rsidP="00C4008C">
      <w:pPr>
        <w:spacing w:after="0" w:line="360" w:lineRule="auto"/>
        <w:rPr>
          <w:color w:val="auto"/>
        </w:rPr>
      </w:pPr>
      <w:r>
        <w:rPr>
          <w:b/>
          <w:bCs/>
          <w:color w:val="auto"/>
        </w:rPr>
        <w:t>b) Admisión del Recurso de Revisión</w:t>
      </w:r>
      <w:r>
        <w:rPr>
          <w:b/>
          <w:bCs/>
          <w:color w:val="auto"/>
          <w:lang w:val="es-ES_tradnl"/>
        </w:rPr>
        <w:t xml:space="preserve">. </w:t>
      </w:r>
      <w:r>
        <w:rPr>
          <w:bCs/>
          <w:color w:val="auto"/>
          <w:lang w:val="es-ES_tradnl"/>
        </w:rPr>
        <w:t xml:space="preserve">El </w:t>
      </w:r>
      <w:r>
        <w:rPr>
          <w:rFonts w:eastAsia="Times New Roman" w:cs="Tahoma"/>
          <w:bCs/>
          <w:color w:val="auto"/>
          <w:lang w:val="es-ES_tradnl" w:eastAsia="es-ES"/>
        </w:rPr>
        <w:t>veintiuno de febrero de dos mil veinticinco</w:t>
      </w:r>
      <w:r>
        <w:rPr>
          <w:bCs/>
          <w:color w:val="auto"/>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veintiocho de dicho mes y año, a través del Sistema de Acceso a la Información Mexiquense (SAIMEX), en el que se les otorgó un plazo de siete días hábiles posteriores a la misma, para que manifestaran lo que a su derecho conviniera y formularan alegatos.</w:t>
      </w:r>
    </w:p>
    <w:p w14:paraId="4A9CE25A" w14:textId="77777777" w:rsidR="003A3101" w:rsidRDefault="003A3101" w:rsidP="00C4008C">
      <w:pPr>
        <w:spacing w:after="0" w:line="360" w:lineRule="auto"/>
        <w:rPr>
          <w:b/>
          <w:color w:val="FF0000"/>
        </w:rPr>
      </w:pPr>
    </w:p>
    <w:p w14:paraId="7FA473AE" w14:textId="70EE50D0" w:rsidR="003A3101" w:rsidRDefault="003A3101" w:rsidP="00C4008C">
      <w:pPr>
        <w:spacing w:after="0" w:line="360" w:lineRule="auto"/>
        <w:rPr>
          <w:rFonts w:cs="Tahoma"/>
          <w:color w:val="auto"/>
          <w:lang w:val="es-ES_tradnl"/>
        </w:rPr>
      </w:pPr>
      <w:r>
        <w:rPr>
          <w:b/>
          <w:color w:val="auto"/>
        </w:rPr>
        <w:t xml:space="preserve">c) Informe Justificado. </w:t>
      </w:r>
      <w:r>
        <w:rPr>
          <w:bCs/>
          <w:color w:val="auto"/>
        </w:rPr>
        <w:t xml:space="preserve">El veintiuno de febrero de dos mil veinticinco, </w:t>
      </w:r>
      <w:r>
        <w:rPr>
          <w:rFonts w:cs="Tahoma"/>
          <w:color w:val="auto"/>
          <w:lang w:val="es-ES_tradnl"/>
        </w:rPr>
        <w:t xml:space="preserve">se recibió, a través del Sistema de Acceso a la Información Mexiquense (SAIMEX), el Informe Justificado del Sujeto Obligado, donde </w:t>
      </w:r>
      <w:r w:rsidR="00564C15">
        <w:rPr>
          <w:rFonts w:cs="Tahoma"/>
          <w:color w:val="auto"/>
          <w:lang w:val="es-ES_tradnl"/>
        </w:rPr>
        <w:t>modificó su</w:t>
      </w:r>
      <w:r>
        <w:rPr>
          <w:rFonts w:cs="Tahoma"/>
          <w:color w:val="auto"/>
          <w:lang w:val="es-ES_tradnl"/>
        </w:rPr>
        <w:t xml:space="preserve"> respuesta, </w:t>
      </w:r>
      <w:r w:rsidR="00564C15">
        <w:rPr>
          <w:rFonts w:cs="Tahoma"/>
          <w:color w:val="auto"/>
          <w:lang w:val="es-ES_tradnl"/>
        </w:rPr>
        <w:t xml:space="preserve">y remitió el </w:t>
      </w:r>
      <w:r w:rsidRPr="00564C15">
        <w:rPr>
          <w:rFonts w:cs="Tahoma"/>
          <w:iCs/>
          <w:color w:val="auto"/>
          <w:lang w:val="es-ES_tradnl"/>
        </w:rPr>
        <w:t>Convenio de Colaboración por el que se establecen los términos y condiciones a los que se sujetará la recaudación del derecho por concepto de Alumbrado Público 2022-2024.</w:t>
      </w:r>
      <w:r>
        <w:rPr>
          <w:rFonts w:cs="Tahoma"/>
          <w:color w:val="auto"/>
          <w:lang w:val="es-ES_tradnl"/>
        </w:rPr>
        <w:t xml:space="preserve"> </w:t>
      </w:r>
    </w:p>
    <w:p w14:paraId="5118C13E" w14:textId="77777777" w:rsidR="00564C15" w:rsidRDefault="00564C15" w:rsidP="00C4008C">
      <w:pPr>
        <w:spacing w:after="0" w:line="360" w:lineRule="auto"/>
        <w:rPr>
          <w:rFonts w:cs="Tahoma"/>
          <w:color w:val="auto"/>
          <w:lang w:val="es-ES_tradnl"/>
        </w:rPr>
      </w:pPr>
    </w:p>
    <w:p w14:paraId="1B62AB06" w14:textId="77777777" w:rsidR="00564C15" w:rsidRDefault="003A3101" w:rsidP="00C4008C">
      <w:pPr>
        <w:spacing w:after="0" w:line="360" w:lineRule="auto"/>
        <w:rPr>
          <w:rFonts w:eastAsia="Calibri" w:cs="Times New Roman"/>
          <w:b/>
          <w:bCs/>
          <w:color w:val="auto"/>
        </w:rPr>
      </w:pPr>
      <w:r>
        <w:rPr>
          <w:rFonts w:eastAsia="Times New Roman" w:cs="Tahoma"/>
          <w:b/>
          <w:color w:val="auto"/>
          <w:szCs w:val="24"/>
          <w:lang w:eastAsia="es-ES"/>
        </w:rPr>
        <w:t xml:space="preserve">d) </w:t>
      </w:r>
      <w:bookmarkStart w:id="7" w:name="_Toc192777755"/>
      <w:r w:rsidR="00564C15">
        <w:rPr>
          <w:rStyle w:val="Ttulo2Car"/>
          <w:bCs/>
          <w:color w:val="auto"/>
        </w:rPr>
        <w:t>Vista del Informe Justificado</w:t>
      </w:r>
      <w:bookmarkEnd w:id="7"/>
      <w:r w:rsidR="00564C15">
        <w:rPr>
          <w:rStyle w:val="Ttulo1Car"/>
          <w:bCs/>
          <w:color w:val="auto"/>
        </w:rPr>
        <w:t>.</w:t>
      </w:r>
      <w:r w:rsidR="00564C15">
        <w:rPr>
          <w:rFonts w:eastAsia="Calibri" w:cs="Times New Roman"/>
          <w:b/>
          <w:color w:val="auto"/>
        </w:rPr>
        <w:t xml:space="preserve"> </w:t>
      </w:r>
      <w:r w:rsidR="00564C15">
        <w:rPr>
          <w:rFonts w:eastAsia="Calibri" w:cs="Times New Roman"/>
          <w:color w:val="auto"/>
        </w:rPr>
        <w:t xml:space="preserve">El veinticuatro de marzo de dos mil veinticinco, se notificó a través del Sistema de Acceso a la Información Mexiquense (SAIMEX), el acuerdo mediante el cual se puso a la vista del Particular el Informe Justificado del Recurso de Revisión, proveído por el cual se le otorgó un término de tres días hábiles contados a partir del día siguiente a la notificación, a fin de emitir las manifestaciones que conforme a sus intereses convinieran. </w:t>
      </w:r>
      <w:r w:rsidR="00564C15">
        <w:rPr>
          <w:rFonts w:eastAsia="Calibri" w:cs="Times New Roman"/>
          <w:b/>
          <w:bCs/>
          <w:color w:val="auto"/>
        </w:rPr>
        <w:t>Cabe señalar que el Particular fue omiso en realizar manifestación alguna.</w:t>
      </w:r>
    </w:p>
    <w:p w14:paraId="0F8395A9" w14:textId="77777777" w:rsidR="00564C15" w:rsidRDefault="00564C15" w:rsidP="00C4008C">
      <w:pPr>
        <w:spacing w:after="0" w:line="360" w:lineRule="auto"/>
        <w:rPr>
          <w:rFonts w:eastAsia="Times New Roman" w:cs="Tahoma"/>
          <w:b/>
          <w:color w:val="auto"/>
          <w:szCs w:val="24"/>
          <w:lang w:eastAsia="es-ES"/>
        </w:rPr>
      </w:pPr>
    </w:p>
    <w:p w14:paraId="2FCA6CD9" w14:textId="679BEA04" w:rsidR="003A3101" w:rsidRDefault="00564C15" w:rsidP="00C4008C">
      <w:pPr>
        <w:spacing w:after="0" w:line="360" w:lineRule="auto"/>
        <w:rPr>
          <w:b/>
          <w:bCs/>
          <w:color w:val="auto"/>
        </w:rPr>
      </w:pPr>
      <w:r>
        <w:rPr>
          <w:rFonts w:eastAsia="Times New Roman" w:cs="Tahoma"/>
          <w:b/>
          <w:color w:val="auto"/>
          <w:szCs w:val="24"/>
          <w:lang w:eastAsia="es-ES"/>
        </w:rPr>
        <w:t xml:space="preserve">e) </w:t>
      </w:r>
      <w:r w:rsidR="003A3101">
        <w:rPr>
          <w:rFonts w:eastAsia="Times New Roman" w:cs="Tahoma"/>
          <w:b/>
          <w:color w:val="auto"/>
          <w:szCs w:val="24"/>
          <w:lang w:eastAsia="es-ES"/>
        </w:rPr>
        <w:t>Cierre de instrucción.</w:t>
      </w:r>
      <w:r w:rsidR="003A3101">
        <w:rPr>
          <w:rFonts w:eastAsia="Times New Roman" w:cs="Tahoma"/>
          <w:color w:val="auto"/>
          <w:szCs w:val="24"/>
          <w:lang w:eastAsia="es-ES"/>
        </w:rPr>
        <w:t xml:space="preserve"> El </w:t>
      </w:r>
      <w:r w:rsidR="00B00822">
        <w:rPr>
          <w:rFonts w:eastAsia="Times New Roman" w:cs="Tahoma"/>
          <w:color w:val="auto"/>
          <w:szCs w:val="24"/>
          <w:lang w:eastAsia="es-ES"/>
        </w:rPr>
        <w:t xml:space="preserve">primero de abril </w:t>
      </w:r>
      <w:r w:rsidR="003A3101">
        <w:rPr>
          <w:rFonts w:eastAsia="Times New Roman" w:cs="Tahoma"/>
          <w:color w:val="auto"/>
          <w:szCs w:val="24"/>
          <w:lang w:eastAsia="es-ES"/>
        </w:rPr>
        <w:t xml:space="preserve">de dos mil veinticinco, al no existir diligencias pendientes por desahogar, se emitió el acuerdo por medio del cual se declaró cerrada la </w:t>
      </w:r>
      <w:r w:rsidR="003A3101">
        <w:rPr>
          <w:rFonts w:eastAsia="Times New Roman" w:cs="Tahoma"/>
          <w:color w:val="auto"/>
          <w:szCs w:val="24"/>
          <w:lang w:eastAsia="es-ES"/>
        </w:rPr>
        <w:lastRenderedPageBreak/>
        <w:t xml:space="preserve">instrucción y se determinó pasar los expedientes a resolución, en términos de lo dispuesto en los artículos 185, fracciones VI y VIII, de la Ley de Transparencia y Acceso a la Información Pública del Estado de México y Municipios, </w:t>
      </w:r>
      <w:r w:rsidR="003A3101">
        <w:rPr>
          <w:color w:val="auto"/>
          <w:lang w:val="es-ES"/>
        </w:rPr>
        <w:t>acto que fue notificado a las partes, mediante el Sistema de Acceso a la Información Mexiquense (SAIMEX).</w:t>
      </w:r>
    </w:p>
    <w:p w14:paraId="03BE9ECC" w14:textId="77777777" w:rsidR="003A3101" w:rsidRDefault="003A3101" w:rsidP="00C4008C">
      <w:pPr>
        <w:spacing w:after="0" w:line="360" w:lineRule="auto"/>
        <w:rPr>
          <w:rFonts w:eastAsia="Times New Roman" w:cs="Tahoma"/>
          <w:color w:val="auto"/>
          <w:szCs w:val="24"/>
          <w:lang w:eastAsia="es-ES"/>
        </w:rPr>
      </w:pPr>
    </w:p>
    <w:p w14:paraId="42DEA30B" w14:textId="77777777" w:rsidR="003A3101" w:rsidRDefault="003A3101" w:rsidP="00C4008C">
      <w:pPr>
        <w:spacing w:after="0" w:line="360" w:lineRule="auto"/>
        <w:rPr>
          <w:rFonts w:eastAsia="Times New Roman" w:cs="Tahoma"/>
          <w:color w:val="auto"/>
          <w:szCs w:val="24"/>
          <w:lang w:eastAsia="es-ES"/>
        </w:rPr>
      </w:pPr>
      <w:r>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7221B9E8" w14:textId="77777777" w:rsidR="003A3101" w:rsidRDefault="003A3101" w:rsidP="00C4008C">
      <w:pPr>
        <w:spacing w:after="0" w:line="360" w:lineRule="auto"/>
        <w:rPr>
          <w:rFonts w:eastAsia="Times New Roman" w:cs="Tahoma"/>
          <w:bCs/>
          <w:iCs/>
          <w:color w:val="auto"/>
          <w:lang w:val="es-ES" w:eastAsia="es-ES"/>
        </w:rPr>
      </w:pPr>
    </w:p>
    <w:p w14:paraId="173A0E7E" w14:textId="0138DDAD" w:rsidR="003A3101" w:rsidRPr="00B00822" w:rsidRDefault="003A3101" w:rsidP="00B00822">
      <w:pPr>
        <w:pStyle w:val="Ttulo1"/>
        <w:rPr>
          <w:sz w:val="22"/>
          <w:szCs w:val="22"/>
          <w:lang w:val="es-ES" w:eastAsia="es-ES"/>
        </w:rPr>
      </w:pPr>
      <w:bookmarkStart w:id="8" w:name="_Toc194592524"/>
      <w:r w:rsidRPr="00B00822">
        <w:rPr>
          <w:sz w:val="22"/>
          <w:szCs w:val="22"/>
          <w:lang w:val="es-ES" w:eastAsia="es-ES"/>
        </w:rPr>
        <w:t>C O N S I D E R A N D O S</w:t>
      </w:r>
      <w:bookmarkEnd w:id="8"/>
    </w:p>
    <w:p w14:paraId="294AB5F7" w14:textId="77777777" w:rsidR="003A3101" w:rsidRPr="00B00822" w:rsidRDefault="003A3101" w:rsidP="00B00822">
      <w:pPr>
        <w:pStyle w:val="Ttulo1"/>
        <w:jc w:val="left"/>
        <w:rPr>
          <w:rFonts w:eastAsia="Times New Roman" w:cs="Tahoma"/>
          <w:sz w:val="22"/>
          <w:szCs w:val="22"/>
          <w:lang w:val="es-ES" w:eastAsia="es-ES"/>
        </w:rPr>
      </w:pPr>
      <w:bookmarkStart w:id="9" w:name="_Toc194592525"/>
      <w:r w:rsidRPr="00B00822">
        <w:rPr>
          <w:rFonts w:eastAsia="Calibri" w:cs="Tahoma"/>
          <w:sz w:val="22"/>
          <w:szCs w:val="22"/>
          <w:lang w:val="es-ES"/>
        </w:rPr>
        <w:t xml:space="preserve">PRIMERO. </w:t>
      </w:r>
      <w:r w:rsidRPr="00B00822">
        <w:rPr>
          <w:rFonts w:eastAsia="Times New Roman" w:cs="Tahoma"/>
          <w:sz w:val="22"/>
          <w:szCs w:val="22"/>
          <w:lang w:val="es-ES" w:eastAsia="es-ES"/>
        </w:rPr>
        <w:t>Competencia</w:t>
      </w:r>
      <w:bookmarkEnd w:id="9"/>
    </w:p>
    <w:p w14:paraId="3233956E" w14:textId="77777777" w:rsidR="003A3101" w:rsidRDefault="003A3101" w:rsidP="00C4008C">
      <w:pPr>
        <w:autoSpaceDE w:val="0"/>
        <w:autoSpaceDN w:val="0"/>
        <w:adjustRightInd w:val="0"/>
        <w:spacing w:after="0" w:line="360" w:lineRule="auto"/>
        <w:rPr>
          <w:rFonts w:eastAsia="Times New Roman" w:cs="Tahoma"/>
          <w:b/>
          <w:color w:val="auto"/>
          <w:szCs w:val="24"/>
          <w:lang w:val="es-ES" w:eastAsia="es-ES"/>
        </w:rPr>
      </w:pPr>
    </w:p>
    <w:p w14:paraId="7FF8687C" w14:textId="620C8383" w:rsidR="003A3101" w:rsidRDefault="003A3101" w:rsidP="00C4008C">
      <w:pPr>
        <w:spacing w:after="0" w:line="360" w:lineRule="auto"/>
        <w:rPr>
          <w:rFonts w:eastAsia="Times New Roman" w:cs="Tahoma"/>
          <w:bCs/>
          <w:color w:val="auto"/>
          <w:lang w:eastAsia="es-ES"/>
        </w:rPr>
      </w:pPr>
      <w:r>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564C15">
        <w:rPr>
          <w:rFonts w:eastAsia="Times New Roman" w:cs="Tahoma"/>
          <w:bCs/>
          <w:color w:val="auto"/>
          <w:lang w:eastAsia="es-ES"/>
        </w:rPr>
        <w:t>séptimo</w:t>
      </w:r>
      <w:r>
        <w:rPr>
          <w:rFonts w:eastAsia="Times New Roman" w:cs="Tahoma"/>
          <w:bCs/>
          <w:color w:val="auto"/>
          <w:lang w:eastAsia="es-ES"/>
        </w:rPr>
        <w:t xml:space="preserve">, trigésimo </w:t>
      </w:r>
      <w:r w:rsidR="00564C15">
        <w:rPr>
          <w:rFonts w:eastAsia="Times New Roman" w:cs="Tahoma"/>
          <w:bCs/>
          <w:color w:val="auto"/>
          <w:lang w:eastAsia="es-ES"/>
        </w:rPr>
        <w:t>octavo</w:t>
      </w:r>
      <w:r>
        <w:rPr>
          <w:rFonts w:eastAsia="Times New Roman" w:cs="Tahoma"/>
          <w:bCs/>
          <w:color w:val="auto"/>
          <w:lang w:eastAsia="es-ES"/>
        </w:rPr>
        <w:t xml:space="preserve"> y trigésimo </w:t>
      </w:r>
      <w:r w:rsidR="00564C15">
        <w:rPr>
          <w:rFonts w:eastAsia="Times New Roman" w:cs="Tahoma"/>
          <w:bCs/>
          <w:color w:val="auto"/>
          <w:lang w:eastAsia="es-ES"/>
        </w:rPr>
        <w:t>noveno</w:t>
      </w:r>
      <w:r>
        <w:rPr>
          <w:rFonts w:eastAsia="Times New Roman" w:cs="Tahoma"/>
          <w:bCs/>
          <w:color w:val="auto"/>
          <w:lang w:eastAsia="es-ES"/>
        </w:rPr>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w:t>
      </w:r>
      <w:r>
        <w:rPr>
          <w:rFonts w:eastAsia="Times New Roman" w:cs="Times New Roman"/>
          <w:bCs/>
          <w:color w:val="auto"/>
          <w:lang w:eastAsia="es-ES"/>
        </w:rPr>
        <w:t xml:space="preserve"> 7°, </w:t>
      </w:r>
      <w:r>
        <w:rPr>
          <w:rFonts w:eastAsia="Times New Roman" w:cs="Tahoma"/>
          <w:bCs/>
          <w:color w:val="auto"/>
          <w:lang w:eastAsia="es-ES"/>
        </w:rPr>
        <w:t>9°, fracciones I y XXIII y 11 del Reglamento Interior del Instituto de Transparencia, Acceso a la Información Pública y Protección de Datos Personales del Estado de México y Municipios.</w:t>
      </w:r>
    </w:p>
    <w:p w14:paraId="77CD60D8" w14:textId="77777777" w:rsidR="003A3101" w:rsidRPr="00B00822" w:rsidRDefault="003A3101" w:rsidP="00B00822">
      <w:pPr>
        <w:pStyle w:val="Ttulo1"/>
        <w:jc w:val="left"/>
        <w:rPr>
          <w:sz w:val="22"/>
          <w:szCs w:val="22"/>
          <w:lang w:eastAsia="es-ES"/>
        </w:rPr>
      </w:pPr>
    </w:p>
    <w:p w14:paraId="03E1BED3" w14:textId="77777777" w:rsidR="003A3101" w:rsidRPr="00B00822" w:rsidRDefault="003A3101" w:rsidP="00B00822">
      <w:pPr>
        <w:pStyle w:val="Ttulo1"/>
        <w:jc w:val="left"/>
        <w:rPr>
          <w:sz w:val="22"/>
          <w:szCs w:val="22"/>
          <w:lang w:val="es-ES" w:eastAsia="es-ES"/>
        </w:rPr>
      </w:pPr>
      <w:bookmarkStart w:id="10" w:name="_Toc194592526"/>
      <w:r w:rsidRPr="00B00822">
        <w:rPr>
          <w:rFonts w:eastAsia="Calibri"/>
          <w:sz w:val="22"/>
          <w:szCs w:val="22"/>
          <w:lang w:val="es-ES"/>
        </w:rPr>
        <w:t xml:space="preserve">SEGUNDO. </w:t>
      </w:r>
      <w:r w:rsidRPr="00B00822">
        <w:rPr>
          <w:sz w:val="22"/>
          <w:szCs w:val="22"/>
          <w:lang w:val="es-ES" w:eastAsia="es-ES"/>
        </w:rPr>
        <w:t>Causales de improcedencia y sobreseimiento</w:t>
      </w:r>
      <w:bookmarkEnd w:id="10"/>
    </w:p>
    <w:p w14:paraId="06626159" w14:textId="77777777" w:rsidR="003A3101" w:rsidRDefault="003A3101" w:rsidP="00C4008C">
      <w:pPr>
        <w:autoSpaceDE w:val="0"/>
        <w:autoSpaceDN w:val="0"/>
        <w:adjustRightInd w:val="0"/>
        <w:spacing w:after="0" w:line="360" w:lineRule="auto"/>
        <w:rPr>
          <w:rFonts w:eastAsia="Times New Roman" w:cs="Tahoma"/>
          <w:color w:val="auto"/>
          <w:szCs w:val="24"/>
          <w:lang w:val="es-ES" w:eastAsia="es-ES"/>
        </w:rPr>
      </w:pPr>
    </w:p>
    <w:p w14:paraId="073D4BC2" w14:textId="77777777" w:rsidR="003A3101" w:rsidRDefault="003A3101" w:rsidP="00C4008C">
      <w:pPr>
        <w:autoSpaceDE w:val="0"/>
        <w:autoSpaceDN w:val="0"/>
        <w:adjustRightInd w:val="0"/>
        <w:spacing w:after="0" w:line="360" w:lineRule="auto"/>
        <w:rPr>
          <w:rFonts w:eastAsia="Times New Roman" w:cs="Tahoma"/>
          <w:color w:val="auto"/>
          <w:szCs w:val="24"/>
          <w:lang w:val="es-ES" w:eastAsia="es-ES"/>
        </w:rPr>
      </w:pPr>
      <w:r>
        <w:rPr>
          <w:rFonts w:eastAsia="Times New Roman" w:cs="Tahoma"/>
          <w:color w:val="auto"/>
          <w:szCs w:val="24"/>
          <w:lang w:val="es-ES" w:eastAsia="es-ES"/>
        </w:rPr>
        <w:t xml:space="preserve">De las constancias que forma parte del Recurso de Revisión que se analiza, se advierte que previo al estudio del fondo de la </w:t>
      </w:r>
      <w:r>
        <w:rPr>
          <w:rFonts w:eastAsia="Times New Roman" w:cs="Tahoma"/>
          <w:i/>
          <w:color w:val="auto"/>
          <w:szCs w:val="24"/>
          <w:lang w:val="es-ES" w:eastAsia="es-ES"/>
        </w:rPr>
        <w:t>litis</w:t>
      </w:r>
      <w:r>
        <w:rPr>
          <w:rFonts w:eastAsia="Times New Roman" w:cs="Tahoma"/>
          <w:color w:val="auto"/>
          <w:szCs w:val="24"/>
          <w:lang w:val="es-ES" w:eastAsia="es-ES"/>
        </w:rPr>
        <w:t>, es necesario estudiar las causales de improcedencia y sobreseimiento que se adviertan, para determinar lo que en Derecho proceda.</w:t>
      </w:r>
    </w:p>
    <w:p w14:paraId="0FD04530" w14:textId="77777777" w:rsidR="003A3101" w:rsidRDefault="003A3101" w:rsidP="00C4008C">
      <w:pPr>
        <w:autoSpaceDE w:val="0"/>
        <w:autoSpaceDN w:val="0"/>
        <w:adjustRightInd w:val="0"/>
        <w:spacing w:after="0" w:line="360" w:lineRule="auto"/>
        <w:rPr>
          <w:rFonts w:eastAsia="Calibri" w:cs="Tahoma"/>
          <w:color w:val="auto"/>
          <w:szCs w:val="24"/>
          <w:lang w:val="es-ES"/>
        </w:rPr>
      </w:pPr>
      <w:r>
        <w:rPr>
          <w:rFonts w:eastAsia="Calibri" w:cs="Tahoma"/>
          <w:b/>
          <w:color w:val="auto"/>
          <w:szCs w:val="24"/>
          <w:lang w:val="es-ES"/>
        </w:rPr>
        <w:t>Causales de improcedencia</w:t>
      </w:r>
    </w:p>
    <w:p w14:paraId="43FB0307" w14:textId="77777777" w:rsidR="003A3101" w:rsidRDefault="003A3101" w:rsidP="00C4008C">
      <w:pPr>
        <w:autoSpaceDE w:val="0"/>
        <w:autoSpaceDN w:val="0"/>
        <w:adjustRightInd w:val="0"/>
        <w:spacing w:after="0" w:line="360" w:lineRule="auto"/>
        <w:rPr>
          <w:rFonts w:eastAsia="Calibri" w:cs="Tahoma"/>
          <w:color w:val="FF0000"/>
          <w:szCs w:val="24"/>
          <w:lang w:val="es-ES"/>
        </w:rPr>
      </w:pPr>
    </w:p>
    <w:p w14:paraId="0FAFED0D" w14:textId="77777777" w:rsidR="003A3101" w:rsidRDefault="003A3101" w:rsidP="00C4008C">
      <w:pPr>
        <w:autoSpaceDE w:val="0"/>
        <w:autoSpaceDN w:val="0"/>
        <w:adjustRightInd w:val="0"/>
        <w:spacing w:after="0" w:line="360" w:lineRule="auto"/>
        <w:rPr>
          <w:rFonts w:eastAsia="Calibri" w:cs="Tahoma"/>
          <w:color w:val="auto"/>
          <w:lang w:val="es-ES"/>
        </w:rPr>
      </w:pPr>
      <w:r>
        <w:rPr>
          <w:rFonts w:eastAsia="Calibri" w:cs="Tahoma"/>
          <w:color w:val="auto"/>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Pr>
          <w:rFonts w:eastAsia="Calibri" w:cs="Tahoma"/>
          <w:b/>
          <w:bCs/>
          <w:color w:val="auto"/>
        </w:rPr>
        <w:t xml:space="preserve"> </w:t>
      </w:r>
      <w:r>
        <w:rPr>
          <w:rFonts w:eastAsia="Calibri" w:cs="Tahoma"/>
          <w:color w:val="auto"/>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B25C677" w14:textId="77777777" w:rsidR="003A3101" w:rsidRDefault="003A3101" w:rsidP="00C4008C">
      <w:pPr>
        <w:autoSpaceDE w:val="0"/>
        <w:autoSpaceDN w:val="0"/>
        <w:adjustRightInd w:val="0"/>
        <w:spacing w:after="0" w:line="360" w:lineRule="auto"/>
        <w:rPr>
          <w:rFonts w:eastAsia="Calibri" w:cs="Tahoma"/>
          <w:color w:val="auto"/>
        </w:rPr>
      </w:pPr>
    </w:p>
    <w:p w14:paraId="233BACA8" w14:textId="77777777" w:rsidR="003A3101" w:rsidRDefault="003A3101" w:rsidP="00C4008C">
      <w:pPr>
        <w:autoSpaceDE w:val="0"/>
        <w:autoSpaceDN w:val="0"/>
        <w:adjustRightInd w:val="0"/>
        <w:spacing w:after="0" w:line="360" w:lineRule="auto"/>
        <w:rPr>
          <w:rFonts w:eastAsia="Calibri" w:cs="Tahoma"/>
          <w:color w:val="auto"/>
        </w:rPr>
      </w:pPr>
      <w:r>
        <w:rPr>
          <w:rFonts w:eastAsia="Calibri" w:cs="Tahoma"/>
          <w:color w:val="auto"/>
        </w:rPr>
        <w:t xml:space="preserve">En el presente caso, </w:t>
      </w:r>
      <w:r>
        <w:rPr>
          <w:rFonts w:eastAsia="Calibri" w:cs="Tahoma"/>
          <w:b/>
          <w:color w:val="auto"/>
        </w:rPr>
        <w:t>no se actualiza ninguna de las causales de improcedencia</w:t>
      </w:r>
      <w:r>
        <w:rPr>
          <w:rFonts w:eastAsia="Calibri" w:cs="Tahoma"/>
          <w:color w:val="auto"/>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35B7263" w14:textId="77777777" w:rsidR="003A3101" w:rsidRDefault="003A3101" w:rsidP="00C4008C">
      <w:pPr>
        <w:spacing w:after="0" w:line="360" w:lineRule="auto"/>
        <w:rPr>
          <w:rFonts w:eastAsia="Times New Roman" w:cs="Tahoma"/>
          <w:b/>
          <w:bCs/>
          <w:color w:val="FF0000"/>
          <w:lang w:eastAsia="es-ES"/>
        </w:rPr>
      </w:pPr>
    </w:p>
    <w:p w14:paraId="032AF106" w14:textId="2431DC29" w:rsidR="003A3101" w:rsidRPr="00B00822" w:rsidRDefault="003A3101" w:rsidP="00C4008C">
      <w:pPr>
        <w:spacing w:after="0" w:line="360" w:lineRule="auto"/>
        <w:rPr>
          <w:rFonts w:eastAsia="Times New Roman" w:cs="Tahoma"/>
          <w:color w:val="auto"/>
          <w:lang w:val="es-ES" w:eastAsia="es-ES"/>
        </w:rPr>
      </w:pPr>
      <w:r>
        <w:rPr>
          <w:rFonts w:eastAsia="Times New Roman" w:cs="Tahoma"/>
          <w:color w:val="auto"/>
          <w:lang w:eastAsia="es-ES"/>
        </w:rPr>
        <w:lastRenderedPageBreak/>
        <w:t xml:space="preserve">Asimismo, se actualiza la causal de procedencia del Recurso de Revisión señalada en el artículo 179, fracción </w:t>
      </w:r>
      <w:r w:rsidR="00564C15">
        <w:rPr>
          <w:rFonts w:eastAsia="Times New Roman" w:cs="Tahoma"/>
          <w:color w:val="auto"/>
          <w:lang w:eastAsia="es-ES"/>
        </w:rPr>
        <w:t>II</w:t>
      </w:r>
      <w:r>
        <w:rPr>
          <w:rFonts w:eastAsia="Times New Roman" w:cs="Tahoma"/>
          <w:color w:val="auto"/>
          <w:lang w:eastAsia="es-ES"/>
        </w:rPr>
        <w:t xml:space="preserve">I, de la Ley en cita, </w:t>
      </w:r>
      <w:r>
        <w:rPr>
          <w:rFonts w:eastAsia="Calibri" w:cs="Tahoma"/>
          <w:color w:val="auto"/>
        </w:rPr>
        <w:t xml:space="preserve">pues la Recurrente se inconformó </w:t>
      </w:r>
      <w:r w:rsidR="00564C15">
        <w:rPr>
          <w:rFonts w:eastAsia="Times New Roman" w:cs="Tahoma"/>
          <w:color w:val="auto"/>
          <w:lang w:val="es-ES" w:eastAsia="es-ES"/>
        </w:rPr>
        <w:t>de la inexistencia de lo peticionado.</w:t>
      </w:r>
    </w:p>
    <w:p w14:paraId="216D1559" w14:textId="77777777" w:rsidR="003A3101" w:rsidRPr="00B00822" w:rsidRDefault="003A3101" w:rsidP="00B00822">
      <w:pPr>
        <w:pStyle w:val="Ttulo1"/>
        <w:jc w:val="left"/>
        <w:rPr>
          <w:sz w:val="22"/>
          <w:szCs w:val="22"/>
          <w:lang w:eastAsia="es-ES"/>
        </w:rPr>
      </w:pPr>
      <w:bookmarkStart w:id="11" w:name="_Toc194592527"/>
      <w:r w:rsidRPr="00B00822">
        <w:rPr>
          <w:sz w:val="22"/>
          <w:szCs w:val="22"/>
          <w:lang w:eastAsia="es-ES"/>
        </w:rPr>
        <w:t>TERCERO. Causales de sobreseimiento</w:t>
      </w:r>
      <w:bookmarkEnd w:id="11"/>
    </w:p>
    <w:p w14:paraId="70D8CA94" w14:textId="77777777" w:rsidR="003A3101" w:rsidRDefault="003A3101" w:rsidP="00C4008C">
      <w:pPr>
        <w:spacing w:after="0" w:line="360" w:lineRule="auto"/>
        <w:rPr>
          <w:rFonts w:eastAsia="Times New Roman" w:cs="Tahoma"/>
          <w:b/>
          <w:bCs/>
          <w:color w:val="FF0000"/>
          <w:lang w:eastAsia="es-ES"/>
        </w:rPr>
      </w:pPr>
    </w:p>
    <w:p w14:paraId="47E0790A" w14:textId="77777777" w:rsidR="003A3101" w:rsidRDefault="003A3101" w:rsidP="00C4008C">
      <w:pPr>
        <w:spacing w:after="0" w:line="360" w:lineRule="auto"/>
        <w:rPr>
          <w:rFonts w:eastAsia="Times New Roman" w:cs="Tahoma"/>
          <w:color w:val="auto"/>
          <w:lang w:eastAsia="es-ES"/>
        </w:rPr>
      </w:pPr>
      <w:r>
        <w:rPr>
          <w:rFonts w:eastAsia="Times New Roman" w:cs="Tahoma"/>
          <w:color w:val="auto"/>
          <w:lang w:eastAsia="es-ES"/>
        </w:rPr>
        <w:t>Por ser de previo y especial pronunciamiento, este Instituto analiza si se actualiza alguna causal de sobreseimiento.</w:t>
      </w:r>
    </w:p>
    <w:p w14:paraId="0990566B" w14:textId="77777777" w:rsidR="003A3101" w:rsidRDefault="003A3101" w:rsidP="00C4008C">
      <w:pPr>
        <w:spacing w:after="0" w:line="360" w:lineRule="auto"/>
        <w:rPr>
          <w:rFonts w:eastAsia="Times New Roman" w:cs="Tahoma"/>
          <w:color w:val="auto"/>
          <w:lang w:eastAsia="es-ES"/>
        </w:rPr>
      </w:pPr>
    </w:p>
    <w:p w14:paraId="014FFBED" w14:textId="77777777" w:rsidR="003A3101" w:rsidRDefault="003A3101" w:rsidP="00C4008C">
      <w:pPr>
        <w:spacing w:after="0" w:line="360" w:lineRule="auto"/>
        <w:rPr>
          <w:rFonts w:eastAsia="Times New Roman" w:cs="Tahoma"/>
          <w:color w:val="auto"/>
          <w:lang w:eastAsia="es-ES"/>
        </w:rPr>
      </w:pPr>
      <w:r>
        <w:rPr>
          <w:rFonts w:eastAsia="Times New Roman" w:cs="Tahoma"/>
          <w:color w:val="auto"/>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rFonts w:eastAsia="Times New Roman" w:cs="Tahoma"/>
          <w:b/>
          <w:bCs/>
          <w:color w:val="auto"/>
          <w:lang w:eastAsia="es-ES"/>
        </w:rPr>
        <w:t>que no se actualizan los supuestos de sobreseimiento previstos en las fracciones I, II, IV y V</w:t>
      </w:r>
      <w:r>
        <w:rPr>
          <w:rFonts w:eastAsia="Times New Roman" w:cs="Tahoma"/>
          <w:color w:val="auto"/>
          <w:lang w:eastAsia="es-ES"/>
        </w:rPr>
        <w:t xml:space="preserve">, del artículo en comento, lo anterior, en virtud de que no hay constancias en el expediente en que se actúa, de que el Recurrente se haya desistido del recurso, haya fallecido, o bien, se haya actualizado alguna causal de improcedencia. </w:t>
      </w:r>
    </w:p>
    <w:p w14:paraId="74805749" w14:textId="77777777" w:rsidR="003A3101" w:rsidRDefault="003A3101" w:rsidP="00C4008C">
      <w:pPr>
        <w:spacing w:after="0" w:line="360" w:lineRule="auto"/>
        <w:rPr>
          <w:rFonts w:eastAsia="Times New Roman" w:cs="Tahoma"/>
          <w:color w:val="FF0000"/>
          <w:lang w:eastAsia="es-ES"/>
        </w:rPr>
      </w:pPr>
    </w:p>
    <w:p w14:paraId="077CA52E" w14:textId="395021F9" w:rsidR="00564C15" w:rsidRDefault="003A3101" w:rsidP="00C4008C">
      <w:pPr>
        <w:spacing w:after="0" w:line="360" w:lineRule="auto"/>
        <w:rPr>
          <w:rFonts w:cs="Tahoma"/>
          <w:color w:val="auto"/>
        </w:rPr>
      </w:pPr>
      <w:r>
        <w:rPr>
          <w:rFonts w:eastAsia="Calibri" w:cs="Tahoma"/>
          <w:color w:val="auto"/>
          <w:szCs w:val="24"/>
        </w:rPr>
        <w:t>No obstante</w:t>
      </w:r>
      <w:r>
        <w:rPr>
          <w:rFonts w:eastAsia="Calibri" w:cs="Tahoma"/>
          <w:color w:val="auto"/>
          <w:szCs w:val="24"/>
          <w:lang w:val="es-ES"/>
        </w:rPr>
        <w:t xml:space="preserve">, por lo que hace a la fracción III, del artículo 192, de la Ley de la materia, es de señalar que el Sujeto Obligado modificó su respuesta, durante la sustanciación del Medio de Impugnación; por lo que, se estima procedente entrar al estudio de dicha causal de sobreseimiento, para lo cual, es necesario precisar que el Particular </w:t>
      </w:r>
      <w:r>
        <w:rPr>
          <w:rFonts w:cs="Tahoma"/>
          <w:color w:val="auto"/>
        </w:rPr>
        <w:t xml:space="preserve">requirió </w:t>
      </w:r>
      <w:r w:rsidR="00564C15">
        <w:rPr>
          <w:rFonts w:cs="Tahoma"/>
          <w:color w:val="auto"/>
        </w:rPr>
        <w:t>C</w:t>
      </w:r>
      <w:r>
        <w:rPr>
          <w:rFonts w:cs="Tahoma"/>
          <w:color w:val="auto"/>
        </w:rPr>
        <w:t xml:space="preserve">onvenio de </w:t>
      </w:r>
      <w:r w:rsidR="00564C15">
        <w:rPr>
          <w:rFonts w:cs="Tahoma"/>
          <w:color w:val="auto"/>
        </w:rPr>
        <w:t>R</w:t>
      </w:r>
      <w:r>
        <w:rPr>
          <w:rFonts w:cs="Tahoma"/>
          <w:color w:val="auto"/>
        </w:rPr>
        <w:t>ecaudación del Derecho de Alumbrado Público</w:t>
      </w:r>
      <w:r w:rsidR="00564C15">
        <w:rPr>
          <w:rFonts w:cs="Tahoma"/>
          <w:color w:val="auto"/>
        </w:rPr>
        <w:t xml:space="preserve">, suscrito </w:t>
      </w:r>
      <w:r>
        <w:rPr>
          <w:rFonts w:cs="Tahoma"/>
          <w:color w:val="auto"/>
        </w:rPr>
        <w:t xml:space="preserve">entre el </w:t>
      </w:r>
      <w:r w:rsidR="00F24F9B">
        <w:rPr>
          <w:rFonts w:cs="Tahoma"/>
          <w:color w:val="auto"/>
        </w:rPr>
        <w:t>M</w:t>
      </w:r>
      <w:r>
        <w:rPr>
          <w:rFonts w:cs="Tahoma"/>
          <w:color w:val="auto"/>
        </w:rPr>
        <w:t xml:space="preserve">unicipio y la </w:t>
      </w:r>
      <w:r w:rsidR="00564C15">
        <w:rPr>
          <w:rFonts w:cs="Tahoma"/>
          <w:color w:val="auto"/>
        </w:rPr>
        <w:t>Comisión Federal de Electricidad</w:t>
      </w:r>
      <w:r>
        <w:rPr>
          <w:rFonts w:cs="Tahoma"/>
          <w:color w:val="auto"/>
        </w:rPr>
        <w:t xml:space="preserve">. </w:t>
      </w:r>
    </w:p>
    <w:p w14:paraId="5C28BFD5" w14:textId="77777777" w:rsidR="00564C15" w:rsidRDefault="00564C15" w:rsidP="00C4008C">
      <w:pPr>
        <w:spacing w:after="0" w:line="360" w:lineRule="auto"/>
        <w:rPr>
          <w:rFonts w:cs="Tahoma"/>
          <w:color w:val="auto"/>
        </w:rPr>
      </w:pPr>
    </w:p>
    <w:p w14:paraId="7AA18174" w14:textId="3222AAD5" w:rsidR="003A3101" w:rsidRDefault="003A3101" w:rsidP="00C4008C">
      <w:pPr>
        <w:spacing w:after="0" w:line="360" w:lineRule="auto"/>
        <w:rPr>
          <w:rFonts w:eastAsiaTheme="minorHAnsi" w:cs="Tahoma"/>
          <w:color w:val="auto"/>
          <w:lang w:eastAsia="en-US"/>
        </w:rPr>
      </w:pPr>
      <w:r>
        <w:rPr>
          <w:rFonts w:cs="Tahoma"/>
          <w:color w:val="auto"/>
        </w:rPr>
        <w:t>En respuesta, el Director de Servicios Públicos refirió que después de una búsqueda en sus archivos no se localizó la información requerida</w:t>
      </w:r>
      <w:r w:rsidR="00564C15">
        <w:rPr>
          <w:rFonts w:cs="Tahoma"/>
          <w:color w:val="auto"/>
        </w:rPr>
        <w:t>; a</w:t>
      </w:r>
      <w:r>
        <w:rPr>
          <w:rFonts w:cs="Tahoma"/>
          <w:color w:val="auto"/>
        </w:rPr>
        <w:t xml:space="preserve">nte tal circunstancia, la parte Recurrente se </w:t>
      </w:r>
      <w:r>
        <w:rPr>
          <w:rFonts w:cs="Tahoma"/>
          <w:color w:val="auto"/>
        </w:rPr>
        <w:lastRenderedPageBreak/>
        <w:t xml:space="preserve">inconformó </w:t>
      </w:r>
      <w:r w:rsidR="00564C15">
        <w:rPr>
          <w:rFonts w:cs="Tahoma"/>
          <w:color w:val="auto"/>
        </w:rPr>
        <w:t>de la inexistencia, al señalar que no se había realizado una búsqueda en todas las áreas</w:t>
      </w:r>
      <w:r>
        <w:rPr>
          <w:rFonts w:cs="Tahoma"/>
          <w:color w:val="auto"/>
        </w:rPr>
        <w:t xml:space="preserve">, lo cual actualiza el supuesto previsto en el artículo 179, fracción </w:t>
      </w:r>
      <w:r w:rsidR="00F24F9B">
        <w:rPr>
          <w:rFonts w:cs="Tahoma"/>
          <w:color w:val="auto"/>
        </w:rPr>
        <w:t>II</w:t>
      </w:r>
      <w:r>
        <w:rPr>
          <w:rFonts w:cs="Tahoma"/>
          <w:color w:val="auto"/>
        </w:rPr>
        <w:t>I, de la Ley de Transparencia y Acceso a la Información Pública del Estado de México y Municipios.</w:t>
      </w:r>
    </w:p>
    <w:p w14:paraId="20F04723" w14:textId="77777777" w:rsidR="003A3101" w:rsidRDefault="003A3101" w:rsidP="00C4008C">
      <w:pPr>
        <w:spacing w:after="0" w:line="360" w:lineRule="auto"/>
        <w:rPr>
          <w:rFonts w:cs="Tahoma"/>
          <w:color w:val="auto"/>
        </w:rPr>
      </w:pPr>
    </w:p>
    <w:p w14:paraId="3CE5D744" w14:textId="02EF8A99" w:rsidR="003A3101" w:rsidRDefault="003A3101" w:rsidP="00C4008C">
      <w:pPr>
        <w:spacing w:after="0" w:line="360" w:lineRule="auto"/>
        <w:contextualSpacing/>
        <w:rPr>
          <w:rFonts w:cs="Tahoma"/>
          <w:color w:val="auto"/>
        </w:rPr>
      </w:pPr>
      <w:r>
        <w:rPr>
          <w:rFonts w:cs="Tahoma"/>
          <w:color w:val="auto"/>
        </w:rPr>
        <w:t xml:space="preserve">Así las cosas, una vez admitido y notificado el Recurso de Revisión a las partes, el Sujeto Obligado </w:t>
      </w:r>
      <w:r w:rsidR="00564C15">
        <w:rPr>
          <w:rFonts w:cs="Tahoma"/>
          <w:color w:val="auto"/>
        </w:rPr>
        <w:t>remitió</w:t>
      </w:r>
      <w:r>
        <w:rPr>
          <w:rFonts w:cs="Tahoma"/>
          <w:color w:val="auto"/>
        </w:rPr>
        <w:t xml:space="preserve"> el “Convenio de Colaboración por el que se establecen los términos y condiciones a los que se sujetará la recaudación del derecho por concepto de Alumbrado Público 2022-2024”.</w:t>
      </w:r>
    </w:p>
    <w:p w14:paraId="58802577" w14:textId="77777777" w:rsidR="003A3101" w:rsidRDefault="003A3101" w:rsidP="00C4008C">
      <w:pPr>
        <w:spacing w:after="0" w:line="360" w:lineRule="auto"/>
        <w:contextualSpacing/>
        <w:rPr>
          <w:rFonts w:cs="Tahoma"/>
          <w:color w:val="auto"/>
        </w:rPr>
      </w:pPr>
    </w:p>
    <w:p w14:paraId="39983C1F" w14:textId="77777777" w:rsidR="003A3101" w:rsidRDefault="003A3101" w:rsidP="00C4008C">
      <w:pPr>
        <w:spacing w:after="0" w:line="360" w:lineRule="auto"/>
        <w:rPr>
          <w:rFonts w:cs="Tahoma"/>
          <w:bCs/>
          <w:iCs/>
          <w:color w:val="auto"/>
          <w:lang w:val="es-ES_tradnl"/>
        </w:rPr>
      </w:pPr>
      <w:r>
        <w:rPr>
          <w:rFonts w:cs="Tahoma"/>
          <w:bCs/>
          <w:iCs/>
          <w:color w:val="auto"/>
          <w:lang w:val="es-ES_tradnl"/>
        </w:rPr>
        <w:t xml:space="preserve">Lo anterior, se desprende de las documentales que obran en el expediente de referencia, materia de la presente resolución, consistentes en: la solicitud de acceso a la información; la respuesta proporcionada, el escrito </w:t>
      </w:r>
      <w:proofErr w:type="spellStart"/>
      <w:r>
        <w:rPr>
          <w:rFonts w:cs="Tahoma"/>
          <w:bCs/>
          <w:iCs/>
          <w:color w:val="auto"/>
          <w:lang w:val="es-ES_tradnl"/>
        </w:rPr>
        <w:t>recursal</w:t>
      </w:r>
      <w:proofErr w:type="spellEnd"/>
      <w:r>
        <w:rPr>
          <w:rFonts w:cs="Tahoma"/>
          <w:bCs/>
          <w:iCs/>
          <w:color w:val="auto"/>
          <w:lang w:val="es-ES_tradnl"/>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20473F1D" w14:textId="77777777" w:rsidR="003A3101" w:rsidRDefault="003A3101" w:rsidP="00C4008C">
      <w:pPr>
        <w:spacing w:after="0" w:line="360" w:lineRule="auto"/>
        <w:rPr>
          <w:rFonts w:cstheme="minorBidi"/>
          <w:bCs/>
          <w:color w:val="FF0000"/>
        </w:rPr>
      </w:pPr>
    </w:p>
    <w:p w14:paraId="684D0ACF" w14:textId="77777777" w:rsidR="003A3101" w:rsidRDefault="003A3101" w:rsidP="00C4008C">
      <w:pPr>
        <w:spacing w:after="0" w:line="360" w:lineRule="auto"/>
        <w:rPr>
          <w:rFonts w:eastAsia="Times New Roman" w:cs="Tahoma"/>
          <w:bCs/>
          <w:iCs/>
          <w:color w:val="auto"/>
          <w:lang w:eastAsia="es-ES"/>
        </w:rPr>
      </w:pPr>
      <w:r w:rsidRPr="002E16EE">
        <w:rPr>
          <w:rFonts w:eastAsia="Times New Roman" w:cs="Tahoma"/>
          <w:bCs/>
          <w:iCs/>
          <w:color w:val="auto"/>
          <w:lang w:eastAsia="es-ES"/>
        </w:rPr>
        <w:t>Expuesto lo anterior, se procede al análisis del agravio hecho valer por el ahora Recurrente, concerniente a la negativa de la información; por lo que, en principio es necesario contextualizar la solicitud de información.</w:t>
      </w:r>
    </w:p>
    <w:p w14:paraId="6EA487C7" w14:textId="77777777" w:rsidR="003A3101" w:rsidRDefault="003A3101" w:rsidP="00C4008C">
      <w:pPr>
        <w:spacing w:after="0" w:line="360" w:lineRule="auto"/>
        <w:rPr>
          <w:rFonts w:eastAsia="Times New Roman" w:cs="Tahoma"/>
          <w:bCs/>
          <w:iCs/>
          <w:color w:val="auto"/>
          <w:lang w:eastAsia="es-ES"/>
        </w:rPr>
      </w:pPr>
    </w:p>
    <w:p w14:paraId="457C2A9D" w14:textId="77777777" w:rsidR="00427391" w:rsidRPr="006054F8" w:rsidRDefault="00427391" w:rsidP="00C4008C">
      <w:pPr>
        <w:spacing w:after="0" w:line="360" w:lineRule="auto"/>
        <w:rPr>
          <w:rFonts w:eastAsia="Times New Roman" w:cs="Times New Roman"/>
          <w:b/>
          <w:lang w:eastAsia="es-ES"/>
        </w:rPr>
      </w:pPr>
      <w:r w:rsidRPr="006054F8">
        <w:rPr>
          <w:rFonts w:eastAsia="Times New Roman" w:cs="Times New Roman"/>
          <w:lang w:eastAsia="es-ES"/>
        </w:rPr>
        <w:t xml:space="preserve">Al respecto, el artículo 115 de la Constitución Política de los Estados Unidos Mexicanos, en sus fracciones I, II y II establece que  los municipios son gobernados por ayuntamientos de elección popular directa, integrados por un Presidente o Presidenta Municipal, regidurías y sindicaturas que la ley determine, ayuntamientos que estarán investidos de personalidad jurídica y manejaran su patrimonio conforme a ley, mismos que dentro de sus funciones tienen a su cargo servicios públicos tal como el </w:t>
      </w:r>
      <w:r w:rsidRPr="006054F8">
        <w:rPr>
          <w:rFonts w:eastAsia="Times New Roman" w:cs="Times New Roman"/>
          <w:b/>
          <w:lang w:eastAsia="es-ES"/>
        </w:rPr>
        <w:t>alumbrado público.</w:t>
      </w:r>
    </w:p>
    <w:p w14:paraId="477B9217" w14:textId="77777777" w:rsidR="00427391" w:rsidRDefault="00427391" w:rsidP="00C4008C">
      <w:pPr>
        <w:spacing w:after="0" w:line="360" w:lineRule="auto"/>
        <w:rPr>
          <w:rFonts w:eastAsia="Times New Roman" w:cs="Times New Roman"/>
          <w:b/>
          <w:color w:val="FF0000"/>
          <w:lang w:eastAsia="es-ES"/>
        </w:rPr>
      </w:pPr>
    </w:p>
    <w:p w14:paraId="10058D80" w14:textId="77777777" w:rsidR="00F24F9B" w:rsidRPr="006054F8" w:rsidRDefault="00F24F9B" w:rsidP="00C4008C">
      <w:pPr>
        <w:spacing w:after="0" w:line="360" w:lineRule="auto"/>
        <w:contextualSpacing/>
        <w:rPr>
          <w:rFonts w:eastAsia="Times New Roman" w:cs="Times New Roman"/>
          <w:lang w:eastAsia="es-ES"/>
        </w:rPr>
      </w:pPr>
      <w:r w:rsidRPr="006054F8">
        <w:rPr>
          <w:rFonts w:eastAsia="Times New Roman" w:cs="Times New Roman"/>
          <w:lang w:eastAsia="es-ES"/>
        </w:rPr>
        <w:lastRenderedPageBreak/>
        <w:t xml:space="preserve">En ese sentido, el artículo 31 de la Ley Orgánica Municipal del Estado de México, en sus fracciones VII y XVIII, establece que dentro de las atribuciones de los ayuntamientos se encuentra la de celebrar </w:t>
      </w:r>
      <w:r w:rsidRPr="006054F8">
        <w:rPr>
          <w:rFonts w:eastAsia="Times New Roman" w:cs="Times New Roman"/>
          <w:b/>
          <w:bCs/>
          <w:lang w:eastAsia="es-ES"/>
        </w:rPr>
        <w:t>convenios para la prestación de servicios públicos, entre los que encontramos el alumbrado público,</w:t>
      </w:r>
      <w:r w:rsidRPr="006054F8">
        <w:rPr>
          <w:rFonts w:eastAsia="Times New Roman" w:cs="Times New Roman"/>
          <w:lang w:eastAsia="es-ES"/>
        </w:rPr>
        <w:t xml:space="preserve"> asimismo el Ayuntamiento se encargara de administrar su hacienda.</w:t>
      </w:r>
    </w:p>
    <w:p w14:paraId="0AA250E1" w14:textId="77777777" w:rsidR="00F24F9B" w:rsidRPr="00275E7D" w:rsidRDefault="00F24F9B" w:rsidP="00C4008C">
      <w:pPr>
        <w:spacing w:after="0" w:line="360" w:lineRule="auto"/>
        <w:rPr>
          <w:rFonts w:eastAsia="Times New Roman" w:cs="Times New Roman"/>
          <w:b/>
          <w:color w:val="FF0000"/>
          <w:lang w:eastAsia="es-ES"/>
        </w:rPr>
      </w:pPr>
    </w:p>
    <w:p w14:paraId="24AA273E" w14:textId="123FD362" w:rsidR="00427391" w:rsidRDefault="00427391" w:rsidP="00C4008C">
      <w:pPr>
        <w:spacing w:after="0" w:line="360" w:lineRule="auto"/>
        <w:rPr>
          <w:rFonts w:eastAsia="Times New Roman" w:cs="Times New Roman"/>
          <w:lang w:eastAsia="es-ES"/>
        </w:rPr>
      </w:pPr>
      <w:r w:rsidRPr="00365E17">
        <w:rPr>
          <w:rFonts w:eastAsia="Times New Roman" w:cs="Times New Roman"/>
          <w:lang w:eastAsia="es-ES"/>
        </w:rPr>
        <w:t xml:space="preserve">En ese mismo orden de ideas, el artículo </w:t>
      </w:r>
      <w:r w:rsidR="00365E17" w:rsidRPr="00365E17">
        <w:rPr>
          <w:rFonts w:eastAsia="Times New Roman" w:cs="Times New Roman"/>
          <w:lang w:eastAsia="es-ES"/>
        </w:rPr>
        <w:t>91</w:t>
      </w:r>
      <w:r w:rsidRPr="00365E17">
        <w:rPr>
          <w:rFonts w:eastAsia="Times New Roman" w:cs="Times New Roman"/>
          <w:lang w:eastAsia="es-ES"/>
        </w:rPr>
        <w:t xml:space="preserve"> del Bando Municipal de </w:t>
      </w:r>
      <w:r w:rsidR="00365E17" w:rsidRPr="00365E17">
        <w:rPr>
          <w:rFonts w:eastAsia="Times New Roman" w:cs="Times New Roman"/>
          <w:lang w:eastAsia="es-ES"/>
        </w:rPr>
        <w:t>Cuautitlán Izcalli</w:t>
      </w:r>
      <w:r w:rsidRPr="00365E17">
        <w:rPr>
          <w:rFonts w:eastAsia="Times New Roman" w:cs="Times New Roman"/>
          <w:lang w:eastAsia="es-ES"/>
        </w:rPr>
        <w:t xml:space="preserve">, refiere que </w:t>
      </w:r>
      <w:r w:rsidR="00365E17" w:rsidRPr="00365E17">
        <w:rPr>
          <w:rFonts w:eastAsia="Times New Roman" w:cs="Times New Roman"/>
          <w:lang w:eastAsia="es-ES"/>
        </w:rPr>
        <w:t>son atribuciones de la Dirección de Servicios Públicos planear, organizar, realizar, supervisar, controlar y mantener en condiciones de eficiencia, la operación de los servicios</w:t>
      </w:r>
      <w:r w:rsidR="00365E17">
        <w:rPr>
          <w:rFonts w:eastAsia="Times New Roman" w:cs="Times New Roman"/>
          <w:lang w:eastAsia="es-ES"/>
        </w:rPr>
        <w:t xml:space="preserve"> </w:t>
      </w:r>
      <w:r w:rsidR="00365E17" w:rsidRPr="00365E17">
        <w:rPr>
          <w:rFonts w:eastAsia="Times New Roman" w:cs="Times New Roman"/>
          <w:lang w:eastAsia="es-ES"/>
        </w:rPr>
        <w:t xml:space="preserve">públicos municipales </w:t>
      </w:r>
      <w:r w:rsidR="00365E17">
        <w:rPr>
          <w:rFonts w:eastAsia="Times New Roman" w:cs="Times New Roman"/>
          <w:lang w:eastAsia="es-ES"/>
        </w:rPr>
        <w:t xml:space="preserve">entre los que se encuentra el de </w:t>
      </w:r>
      <w:r w:rsidR="00365E17" w:rsidRPr="00365E17">
        <w:rPr>
          <w:rFonts w:eastAsia="Times New Roman" w:cs="Times New Roman"/>
          <w:lang w:eastAsia="es-ES"/>
        </w:rPr>
        <w:t>Alumbrado público</w:t>
      </w:r>
      <w:r w:rsidR="00F24F9B">
        <w:rPr>
          <w:rFonts w:eastAsia="Times New Roman" w:cs="Times New Roman"/>
          <w:lang w:eastAsia="es-ES"/>
        </w:rPr>
        <w:t>.</w:t>
      </w:r>
    </w:p>
    <w:p w14:paraId="3A0FF4EB" w14:textId="77777777" w:rsidR="00427391" w:rsidRPr="00275E7D" w:rsidRDefault="00427391" w:rsidP="00C4008C">
      <w:pPr>
        <w:spacing w:after="0" w:line="360" w:lineRule="auto"/>
        <w:contextualSpacing/>
        <w:rPr>
          <w:rFonts w:eastAsia="Times New Roman" w:cs="Times New Roman"/>
          <w:color w:val="FF0000"/>
          <w:lang w:eastAsia="es-ES"/>
        </w:rPr>
      </w:pPr>
    </w:p>
    <w:p w14:paraId="00A05B03" w14:textId="42EBBD84" w:rsidR="00427391" w:rsidRPr="006054F8" w:rsidRDefault="00F24F9B" w:rsidP="00C4008C">
      <w:pPr>
        <w:spacing w:after="0" w:line="360" w:lineRule="auto"/>
        <w:contextualSpacing/>
        <w:rPr>
          <w:rFonts w:eastAsia="Times New Roman" w:cs="Times New Roman"/>
          <w:lang w:eastAsia="es-ES"/>
        </w:rPr>
      </w:pPr>
      <w:r>
        <w:rPr>
          <w:rFonts w:eastAsia="Times New Roman" w:cs="Times New Roman"/>
          <w:lang w:eastAsia="es-ES"/>
        </w:rPr>
        <w:t xml:space="preserve">Ahora bien, el </w:t>
      </w:r>
      <w:r w:rsidR="00427391" w:rsidRPr="006054F8">
        <w:rPr>
          <w:rFonts w:eastAsia="Times New Roman" w:cs="Times New Roman"/>
          <w:lang w:eastAsia="es-ES"/>
        </w:rPr>
        <w:t>artículo 2</w:t>
      </w:r>
      <w:r w:rsidR="00427391">
        <w:rPr>
          <w:rFonts w:eastAsia="Times New Roman" w:cs="Times New Roman"/>
          <w:lang w:eastAsia="es-ES"/>
        </w:rPr>
        <w:t>°</w:t>
      </w:r>
      <w:r w:rsidR="00427391" w:rsidRPr="006054F8">
        <w:rPr>
          <w:rFonts w:eastAsia="Times New Roman" w:cs="Times New Roman"/>
          <w:lang w:eastAsia="es-ES"/>
        </w:rPr>
        <w:t xml:space="preserve"> de la Ley de la Comisión Federal Electricidad refiere que dicha Comisión es una empresa productiva del Estado de propiedad exclusiva del gobierno Federal, con personalidad jurídica y patrimonio propios y gozará de autonomía técnica, operativa y de gestión que conforme al artículo 7</w:t>
      </w:r>
      <w:r w:rsidR="00427391">
        <w:rPr>
          <w:rFonts w:eastAsia="Times New Roman" w:cs="Times New Roman"/>
          <w:lang w:eastAsia="es-ES"/>
        </w:rPr>
        <w:t>°</w:t>
      </w:r>
      <w:r w:rsidR="00427391" w:rsidRPr="006054F8">
        <w:rPr>
          <w:rFonts w:eastAsia="Times New Roman" w:cs="Times New Roman"/>
          <w:lang w:eastAsia="es-ES"/>
        </w:rPr>
        <w:t xml:space="preserve"> podrá celebrar toda clase de actos, convenios, contratos, suscribir títulos de crédito y otorgar todo tipo de garantías reales y personales de obligaciones contraídas por sí o por sus empresas productivas subsidiarías y empresas filiales. </w:t>
      </w:r>
    </w:p>
    <w:p w14:paraId="22D02096" w14:textId="77777777" w:rsidR="00427391" w:rsidRPr="006054F8" w:rsidRDefault="00427391" w:rsidP="00C4008C">
      <w:pPr>
        <w:spacing w:after="0" w:line="360" w:lineRule="auto"/>
        <w:contextualSpacing/>
        <w:rPr>
          <w:rFonts w:eastAsia="Times New Roman" w:cs="Times New Roman"/>
          <w:lang w:eastAsia="es-ES"/>
        </w:rPr>
      </w:pPr>
    </w:p>
    <w:p w14:paraId="257EF190" w14:textId="77777777" w:rsidR="00427391" w:rsidRPr="006054F8" w:rsidRDefault="00427391" w:rsidP="00C4008C">
      <w:pPr>
        <w:spacing w:after="0" w:line="360" w:lineRule="auto"/>
        <w:contextualSpacing/>
        <w:rPr>
          <w:rFonts w:eastAsia="Times New Roman" w:cs="Times New Roman"/>
          <w:lang w:eastAsia="es-ES"/>
        </w:rPr>
      </w:pPr>
      <w:r w:rsidRPr="006054F8">
        <w:rPr>
          <w:rFonts w:eastAsia="Times New Roman" w:cs="Times New Roman"/>
          <w:lang w:eastAsia="es-ES"/>
        </w:rPr>
        <w:t xml:space="preserve">Conforme a lo referido en la página Oficial de la Comisión Federal de Electricidad, </w:t>
      </w:r>
      <w:hyperlink r:id="rId9" w:history="1">
        <w:r w:rsidRPr="006054F8">
          <w:rPr>
            <w:rStyle w:val="Hipervnculo"/>
            <w:rFonts w:eastAsia="Times New Roman" w:cs="Times New Roman"/>
            <w:color w:val="auto"/>
            <w:lang w:eastAsia="es-ES"/>
          </w:rPr>
          <w:t>https://app.cfe.mx/Aplicaciones/OTROS/Boletines/boletin?i=2405</w:t>
        </w:r>
      </w:hyperlink>
      <w:r w:rsidRPr="006054F8">
        <w:rPr>
          <w:rFonts w:eastAsia="Times New Roman" w:cs="Times New Roman"/>
          <w:lang w:eastAsia="es-ES"/>
        </w:rPr>
        <w:t xml:space="preserve">, consultada el once de enero de dos mil veintitrés, si </w:t>
      </w:r>
      <w:r w:rsidRPr="006054F8">
        <w:rPr>
          <w:rFonts w:eastAsia="Times New Roman" w:cs="Times New Roman"/>
          <w:b/>
          <w:bCs/>
          <w:lang w:eastAsia="es-ES"/>
        </w:rPr>
        <w:t>el servicio de alumbrado público representa un costo por el consumo eléctrico y mantenimiento de las luminarias, los municipios deben de buscar la forma para generar ingresos propio</w:t>
      </w:r>
      <w:r w:rsidRPr="006054F8">
        <w:rPr>
          <w:rFonts w:eastAsia="Times New Roman" w:cs="Times New Roman"/>
          <w:lang w:eastAsia="es-ES"/>
        </w:rPr>
        <w:t xml:space="preserve">s. </w:t>
      </w:r>
    </w:p>
    <w:p w14:paraId="1205E2D7" w14:textId="77777777" w:rsidR="00427391" w:rsidRPr="00275E7D" w:rsidRDefault="00427391" w:rsidP="00C4008C">
      <w:pPr>
        <w:spacing w:after="0" w:line="360" w:lineRule="auto"/>
        <w:contextualSpacing/>
        <w:rPr>
          <w:rFonts w:eastAsia="Times New Roman" w:cs="Times New Roman"/>
          <w:color w:val="FF0000"/>
          <w:lang w:eastAsia="es-ES"/>
        </w:rPr>
      </w:pPr>
    </w:p>
    <w:p w14:paraId="06DC12CF" w14:textId="50F047E5" w:rsidR="00427391" w:rsidRPr="006054F8" w:rsidRDefault="00F24F9B" w:rsidP="00C4008C">
      <w:pPr>
        <w:spacing w:after="0" w:line="360" w:lineRule="auto"/>
        <w:contextualSpacing/>
        <w:rPr>
          <w:rFonts w:eastAsia="Times New Roman" w:cs="Times New Roman"/>
          <w:lang w:eastAsia="es-ES"/>
        </w:rPr>
      </w:pPr>
      <w:r>
        <w:rPr>
          <w:rFonts w:eastAsia="Times New Roman" w:cs="Times New Roman"/>
          <w:lang w:eastAsia="es-ES"/>
        </w:rPr>
        <w:t>En ese sentido,</w:t>
      </w:r>
      <w:r w:rsidR="00427391" w:rsidRPr="006054F8">
        <w:rPr>
          <w:rFonts w:eastAsia="Times New Roman" w:cs="Times New Roman"/>
          <w:lang w:eastAsia="es-ES"/>
        </w:rPr>
        <w:t xml:space="preserve"> conforme a lo establecido en la Ley de la Industria Eléctrica</w:t>
      </w:r>
      <w:r w:rsidR="00427391">
        <w:rPr>
          <w:rFonts w:eastAsia="Times New Roman" w:cs="Times New Roman"/>
          <w:lang w:eastAsia="es-ES"/>
        </w:rPr>
        <w:t>,</w:t>
      </w:r>
      <w:r w:rsidR="00427391" w:rsidRPr="006054F8">
        <w:rPr>
          <w:rFonts w:eastAsia="Times New Roman" w:cs="Times New Roman"/>
          <w:lang w:eastAsia="es-ES"/>
        </w:rPr>
        <w:t xml:space="preserve"> en sus artículos 71, 73, 74 y 96</w:t>
      </w:r>
      <w:r w:rsidR="00427391">
        <w:rPr>
          <w:rFonts w:eastAsia="Times New Roman" w:cs="Times New Roman"/>
          <w:lang w:eastAsia="es-ES"/>
        </w:rPr>
        <w:t>,</w:t>
      </w:r>
      <w:r w:rsidR="00427391" w:rsidRPr="006054F8">
        <w:rPr>
          <w:rFonts w:eastAsia="Times New Roman" w:cs="Times New Roman"/>
          <w:lang w:eastAsia="es-ES"/>
        </w:rPr>
        <w:t xml:space="preserve"> la industria eléctrica se considera de utilidad pública, puesto que las actividades de transmisión y distribución de energía eléctrica son se interés social y público, por lo que los </w:t>
      </w:r>
      <w:r w:rsidR="00427391" w:rsidRPr="006054F8">
        <w:rPr>
          <w:rFonts w:eastAsia="Times New Roman" w:cs="Times New Roman"/>
          <w:lang w:eastAsia="es-ES"/>
        </w:rPr>
        <w:lastRenderedPageBreak/>
        <w:t>Gobiernos de los Estados, Ciudad de México y Municipios, para el desarrollo de proyectos de generación, transmisión y distribución de energía eléctrica, deberán de realizar negociaciones y acuerdos de manera transparente, debiendo contener dentro de sus contratos por lo menos derechos y obligaciones de las partes, así como posibles mecanismos de solución de controversias.</w:t>
      </w:r>
    </w:p>
    <w:p w14:paraId="43CA4FFA" w14:textId="77777777" w:rsidR="00427391" w:rsidRPr="00275E7D" w:rsidRDefault="00427391" w:rsidP="00C4008C">
      <w:pPr>
        <w:spacing w:after="0" w:line="360" w:lineRule="auto"/>
        <w:contextualSpacing/>
        <w:rPr>
          <w:rFonts w:eastAsia="Times New Roman" w:cs="Times New Roman"/>
          <w:color w:val="FF0000"/>
          <w:lang w:eastAsia="es-ES"/>
        </w:rPr>
      </w:pPr>
    </w:p>
    <w:p w14:paraId="436AF190" w14:textId="2D030072" w:rsidR="00427391" w:rsidRDefault="00427391" w:rsidP="00C4008C">
      <w:pPr>
        <w:spacing w:after="0" w:line="360" w:lineRule="auto"/>
        <w:contextualSpacing/>
        <w:rPr>
          <w:rFonts w:eastAsia="Times New Roman" w:cs="Times New Roman"/>
          <w:lang w:eastAsia="es-ES"/>
        </w:rPr>
      </w:pPr>
      <w:r w:rsidRPr="006054F8">
        <w:rPr>
          <w:rFonts w:eastAsia="Times New Roman" w:cs="Times New Roman"/>
          <w:lang w:eastAsia="es-ES"/>
        </w:rPr>
        <w:t>En ese mismo sentido, el Manual de Organización General de la Comisión Federal de Electricidad, establece que la Coordinación de Relaciones Interinstitucionales, tiene como objetivo la atención a de requerimientos del Poder Ejecutivo y Legislativo, autoridades estatales, municipales y actores sociales mediante planteamientos, propuestas o soluciones conjuntas con las áreas técnicas y operativas de la empresa. Así mismo, dentro de sus funciones está la de establecer los criterios y lineamientos que guiaran las relaciones interinstitucionales de la Comisión Federal de Electricidad (CFE).</w:t>
      </w:r>
    </w:p>
    <w:p w14:paraId="74FF1FF4" w14:textId="77777777" w:rsidR="00F24F9B" w:rsidRDefault="00F24F9B" w:rsidP="00C4008C">
      <w:pPr>
        <w:spacing w:after="0" w:line="360" w:lineRule="auto"/>
        <w:contextualSpacing/>
        <w:rPr>
          <w:rFonts w:eastAsia="Times New Roman" w:cs="Times New Roman"/>
          <w:lang w:eastAsia="es-ES"/>
        </w:rPr>
      </w:pPr>
    </w:p>
    <w:p w14:paraId="2F115399" w14:textId="7500D140" w:rsidR="00F24F9B" w:rsidRDefault="00F24F9B" w:rsidP="00C4008C">
      <w:pPr>
        <w:spacing w:after="0" w:line="360" w:lineRule="auto"/>
        <w:contextualSpacing/>
        <w:rPr>
          <w:rFonts w:eastAsia="Times New Roman" w:cs="Times New Roman"/>
          <w:lang w:eastAsia="es-ES"/>
        </w:rPr>
      </w:pPr>
      <w:r>
        <w:rPr>
          <w:rFonts w:eastAsia="Times New Roman" w:cs="Times New Roman"/>
          <w:lang w:eastAsia="es-ES"/>
        </w:rPr>
        <w:t>De tal circunstancia, se logra vislumbrar que tanto el Ayuntamiento de Cuautitlán Izcalli y la Comisión Federal de Electricidad tienen competencia para conocer de lo requerido y que la pretensión de la persona Recurrente es obtener el Acto Jurídico, mediante el cual se estableció entre dichas partes, la forma en que se iba a recaudar el derecho de alumbrado público, dentro del territorio municipal.</w:t>
      </w:r>
    </w:p>
    <w:p w14:paraId="5C3B1AE0" w14:textId="77777777" w:rsidR="00564C15" w:rsidRPr="006054F8" w:rsidRDefault="00564C15" w:rsidP="00C4008C">
      <w:pPr>
        <w:spacing w:after="0" w:line="360" w:lineRule="auto"/>
        <w:contextualSpacing/>
        <w:rPr>
          <w:rFonts w:eastAsia="Times New Roman" w:cs="Times New Roman"/>
          <w:lang w:eastAsia="es-ES"/>
        </w:rPr>
      </w:pPr>
    </w:p>
    <w:p w14:paraId="15D13BBF" w14:textId="0C57DAC2" w:rsidR="003A3101" w:rsidRDefault="003A3101" w:rsidP="00C4008C">
      <w:pPr>
        <w:spacing w:after="0" w:line="360" w:lineRule="auto"/>
        <w:contextualSpacing/>
        <w:rPr>
          <w:rFonts w:cs="Times New Roman"/>
          <w:color w:val="auto"/>
        </w:rPr>
      </w:pPr>
      <w:r w:rsidRPr="00365E17">
        <w:t>Así, se procede analizar la respuesta entregada, para lo cual, es</w:t>
      </w:r>
      <w:r>
        <w:t xml:space="preserve"> necesario precisar que de las constancias que obran en el expediente,  se advierte que el Ente Recurrido tunó la solicitud de información  a la Dirección de Servicios Públicos,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w:t>
      </w:r>
      <w:r w:rsidR="00F24F9B">
        <w:t>el cual precisa que las</w:t>
      </w:r>
      <w:r>
        <w:t xml:space="preserve"> Unidades de Transparencia garantizarán que las solicitudes de acceso a la información se turnen </w:t>
      </w:r>
      <w:r>
        <w:lastRenderedPageBreak/>
        <w:t>a todas las áreas competentes que cuenten con la información o deban tenerla -de acuerdo a las facultades, competencias y funciones-, con el objeto de que dichas áreas realicen una búsqueda exhaustiva y razonable de la información requerida</w:t>
      </w:r>
      <w:r w:rsidR="00F24F9B">
        <w:t>.</w:t>
      </w:r>
    </w:p>
    <w:p w14:paraId="16EDD678" w14:textId="77777777" w:rsidR="003A3101" w:rsidRDefault="003A3101" w:rsidP="00C4008C">
      <w:pPr>
        <w:spacing w:after="0" w:line="360" w:lineRule="auto"/>
        <w:contextualSpacing/>
        <w:rPr>
          <w:rFonts w:cstheme="minorBidi"/>
        </w:rPr>
      </w:pPr>
      <w:r>
        <w:t xml:space="preserve"> </w:t>
      </w:r>
    </w:p>
    <w:p w14:paraId="3D498965" w14:textId="2B34035B" w:rsidR="003A3101" w:rsidRDefault="003A3101" w:rsidP="00C4008C">
      <w:pPr>
        <w:spacing w:after="0" w:line="360" w:lineRule="auto"/>
        <w:contextualSpacing/>
      </w:pPr>
      <w:r>
        <w:t>Así, a efecto de determinar si el Sujeto Obligado cumplió con el procedimiento de búsqueda, resulta necesario traer a colación el artículo 46</w:t>
      </w:r>
      <w:r w:rsidR="00F24F9B">
        <w:t>,</w:t>
      </w:r>
      <w:r>
        <w:t xml:space="preserve"> fracción I</w:t>
      </w:r>
      <w:r w:rsidR="00F24F9B">
        <w:t>,</w:t>
      </w:r>
      <w:r>
        <w:t xml:space="preserve"> del Reglamento de Organización Interna de la Administración Pública del Municipio de Cuautitlán Izcalli, que contempla que la persona titular de la Dirección de Servicios Públicos además de las facultades que le señalan las disposiciones legales vigentes tendrá, entre otras, prestar, administrar, operar y supervisar los servicios públicos municipales de alumbrado público, limpia y disposición de desechos sólidos urbanos no peligrosos, panteones y crematorios municipales, calles, parques, jardines, áreas verdes y recreativas, embellecimiento y conservación de los poblados, centros urbanos y obras de interés social;</w:t>
      </w:r>
    </w:p>
    <w:p w14:paraId="4928AC53" w14:textId="77777777" w:rsidR="003A3101" w:rsidRDefault="003A3101" w:rsidP="00C4008C">
      <w:pPr>
        <w:spacing w:after="0" w:line="360" w:lineRule="auto"/>
        <w:contextualSpacing/>
      </w:pPr>
    </w:p>
    <w:p w14:paraId="453B03D0" w14:textId="77777777" w:rsidR="0064358B" w:rsidRDefault="003A3101" w:rsidP="00C4008C">
      <w:pPr>
        <w:spacing w:after="0" w:line="360" w:lineRule="auto"/>
        <w:contextualSpacing/>
      </w:pPr>
      <w:r>
        <w:t xml:space="preserve">De tales circunstancias, se logra vislumbrar que el Ayuntamiento de Cuautitlán Izcalli  no cumplió con el procedimiento de búsqueda establecido en el artículo 162 de la Ley de Transparencia y Acceso a la Información Pública del Estado de México y Municipios, toda vez que, si bien es cierto, la Dirección de Servicios Públicos tiene atribuciones para prestar el servicio público de alumbrado público, dentro de sus atribuciones no se encontró la relacionada a suscribir convenios  o contratos a nombre del Ayuntamiento, como pudiera ser el caso presente. </w:t>
      </w:r>
    </w:p>
    <w:p w14:paraId="6DE55706" w14:textId="77777777" w:rsidR="00F24F9B" w:rsidRDefault="00F24F9B" w:rsidP="00C4008C">
      <w:pPr>
        <w:spacing w:after="0" w:line="360" w:lineRule="auto"/>
        <w:contextualSpacing/>
      </w:pPr>
    </w:p>
    <w:p w14:paraId="3867D4AE" w14:textId="7E14D255" w:rsidR="003A3101" w:rsidRDefault="0064358B" w:rsidP="00C4008C">
      <w:pPr>
        <w:spacing w:after="0" w:line="360" w:lineRule="auto"/>
        <w:contextualSpacing/>
      </w:pPr>
      <w:r>
        <w:t xml:space="preserve">En tal sentido, </w:t>
      </w:r>
      <w:r w:rsidR="002B5360">
        <w:t>la Ley Orgánica Municipal del Estado de México, contempla en sus fracciones V y VI que la Secretar</w:t>
      </w:r>
      <w:r w:rsidR="00F24F9B">
        <w:t>í</w:t>
      </w:r>
      <w:r w:rsidR="002B5360">
        <w:t>a del Ayuntamiento, tiene atribuciones para validar con su firma, los documentos oficiales emanados del ayuntamiento o de cualquiera de sus miembros y tener a su cargo el archivo general del ayuntamiento;</w:t>
      </w:r>
    </w:p>
    <w:p w14:paraId="4D367B1D" w14:textId="77777777" w:rsidR="003A3101" w:rsidRDefault="003A3101" w:rsidP="00C4008C">
      <w:pPr>
        <w:spacing w:after="0" w:line="360" w:lineRule="auto"/>
        <w:contextualSpacing/>
        <w:rPr>
          <w:rFonts w:eastAsia="Calibri" w:cs="Times New Roman"/>
        </w:rPr>
      </w:pPr>
    </w:p>
    <w:p w14:paraId="6EBCD31B" w14:textId="7F04CA99" w:rsidR="002B5360" w:rsidRDefault="003A3101" w:rsidP="00C4008C">
      <w:pPr>
        <w:spacing w:after="0" w:line="360" w:lineRule="auto"/>
        <w:rPr>
          <w:color w:val="000000"/>
        </w:rPr>
      </w:pPr>
      <w:r>
        <w:rPr>
          <w:color w:val="000000"/>
        </w:rPr>
        <w:lastRenderedPageBreak/>
        <w:t xml:space="preserve">En esa tesitura, se concluye que el Sujeto Obligado no satisfizo el derecho de acceso a la información del Solicitante, pues omitió remitir la solicitud de información al área con atribuciones para poseer la información </w:t>
      </w:r>
      <w:r w:rsidR="00F17C0B">
        <w:rPr>
          <w:color w:val="000000"/>
        </w:rPr>
        <w:t>peticionada, relacionada con la recaudación del derecho por concepto de alumbrado público.</w:t>
      </w:r>
    </w:p>
    <w:p w14:paraId="34017F4D" w14:textId="77777777" w:rsidR="002B5360" w:rsidRDefault="002B5360" w:rsidP="00C4008C">
      <w:pPr>
        <w:spacing w:after="0" w:line="360" w:lineRule="auto"/>
        <w:rPr>
          <w:color w:val="000000"/>
        </w:rPr>
      </w:pPr>
    </w:p>
    <w:p w14:paraId="3E1DD8C2" w14:textId="6191DF10" w:rsidR="003A3101" w:rsidRDefault="002B5360" w:rsidP="00C4008C">
      <w:pPr>
        <w:spacing w:after="0" w:line="360" w:lineRule="auto"/>
        <w:rPr>
          <w:color w:val="000000"/>
        </w:rPr>
      </w:pPr>
      <w:r w:rsidRPr="002B5360">
        <w:rPr>
          <w:color w:val="000000"/>
        </w:rPr>
        <w:t xml:space="preserve">Sentado lo anterior, es de hacerse referencia </w:t>
      </w:r>
      <w:r w:rsidR="00F24F9B" w:rsidRPr="002B5360">
        <w:rPr>
          <w:color w:val="000000"/>
        </w:rPr>
        <w:t>que,</w:t>
      </w:r>
      <w:r w:rsidRPr="002B5360">
        <w:rPr>
          <w:color w:val="000000"/>
        </w:rPr>
        <w:t xml:space="preserve"> en respuesta, el Sujeto Obligado comunicó que la Dirección de Servicios Públicos refirió que después de realizar una búsqueda de la información en sus áreas, la misma no fue localizada</w:t>
      </w:r>
      <w:r w:rsidR="00F17C0B">
        <w:rPr>
          <w:color w:val="000000"/>
        </w:rPr>
        <w:t>; no</w:t>
      </w:r>
      <w:r w:rsidR="003A3101">
        <w:rPr>
          <w:color w:val="000000"/>
        </w:rPr>
        <w:t xml:space="preserve"> obstante, durante la sustanciación del Medio de Impugnación, el Sujeto Obligado</w:t>
      </w:r>
      <w:r w:rsidR="00F17C0B">
        <w:rPr>
          <w:color w:val="000000"/>
        </w:rPr>
        <w:t xml:space="preserve">, por medio de la Secretaría del Ayuntamiento, </w:t>
      </w:r>
      <w:r w:rsidR="003A3101">
        <w:rPr>
          <w:color w:val="000000"/>
        </w:rPr>
        <w:t xml:space="preserve">modificó su respuesta, </w:t>
      </w:r>
      <w:r w:rsidR="00F17C0B">
        <w:rPr>
          <w:color w:val="000000"/>
        </w:rPr>
        <w:t xml:space="preserve">al señalar que realizó una búsqueda de un año para atrás, de la fecha de presentación de la solicitud y </w:t>
      </w:r>
      <w:r w:rsidR="00F17C0B" w:rsidRPr="00F17C0B">
        <w:rPr>
          <w:color w:val="000000"/>
        </w:rPr>
        <w:t xml:space="preserve">localizó </w:t>
      </w:r>
      <w:r w:rsidR="003A3101" w:rsidRPr="00F17C0B">
        <w:rPr>
          <w:color w:val="000000"/>
        </w:rPr>
        <w:t xml:space="preserve">el </w:t>
      </w:r>
      <w:r w:rsidR="003A3101" w:rsidRPr="00F17C0B">
        <w:rPr>
          <w:rFonts w:cs="Tahoma"/>
          <w:color w:val="auto"/>
          <w:lang w:val="es-ES_tradnl"/>
        </w:rPr>
        <w:t>“Convenio de Colaboración por el que se establecen los términos y condiciones a los que se sujetará la recaudación del derecho por concepto de Alumbrado Público 2022-2024”,</w:t>
      </w:r>
      <w:r w:rsidR="003A3101">
        <w:rPr>
          <w:rFonts w:cs="Tahoma"/>
          <w:i/>
          <w:color w:val="auto"/>
          <w:lang w:val="es-ES_tradnl"/>
        </w:rPr>
        <w:t xml:space="preserve"> </w:t>
      </w:r>
      <w:r w:rsidR="00F17C0B">
        <w:rPr>
          <w:rFonts w:cs="Tahoma"/>
          <w:color w:val="auto"/>
          <w:lang w:val="es-ES_tradnl"/>
        </w:rPr>
        <w:t>mismo que anexo, tal como se muestra a continuación:</w:t>
      </w:r>
    </w:p>
    <w:p w14:paraId="1A11606C" w14:textId="77777777" w:rsidR="003A3101" w:rsidRDefault="003A3101" w:rsidP="00C4008C">
      <w:pPr>
        <w:spacing w:after="0" w:line="360" w:lineRule="auto"/>
        <w:rPr>
          <w:color w:val="000000"/>
        </w:rPr>
      </w:pPr>
    </w:p>
    <w:p w14:paraId="27ACCFD3" w14:textId="79474D92" w:rsidR="003A3101" w:rsidRDefault="003A3101" w:rsidP="00C4008C">
      <w:pPr>
        <w:spacing w:after="0" w:line="360" w:lineRule="auto"/>
        <w:jc w:val="center"/>
        <w:rPr>
          <w:color w:val="000000"/>
        </w:rPr>
      </w:pPr>
      <w:r>
        <w:rPr>
          <w:noProof/>
          <w:color w:val="000000"/>
        </w:rPr>
        <w:drawing>
          <wp:inline distT="0" distB="0" distL="0" distR="0" wp14:anchorId="2D3C64C4" wp14:editId="17BC0A50">
            <wp:extent cx="2179033" cy="3913443"/>
            <wp:effectExtent l="9208" t="0" r="2222" b="2223"/>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5096" t="7687" r="7265" b="14066"/>
                    <a:stretch/>
                  </pic:blipFill>
                  <pic:spPr bwMode="auto">
                    <a:xfrm rot="-5400000">
                      <a:off x="0" y="0"/>
                      <a:ext cx="2179245" cy="3913823"/>
                    </a:xfrm>
                    <a:prstGeom prst="rect">
                      <a:avLst/>
                    </a:prstGeom>
                    <a:noFill/>
                    <a:ln>
                      <a:noFill/>
                    </a:ln>
                    <a:extLst>
                      <a:ext uri="{53640926-AAD7-44D8-BBD7-CCE9431645EC}">
                        <a14:shadowObscured xmlns:a14="http://schemas.microsoft.com/office/drawing/2010/main"/>
                      </a:ext>
                    </a:extLst>
                  </pic:spPr>
                </pic:pic>
              </a:graphicData>
            </a:graphic>
          </wp:inline>
        </w:drawing>
      </w:r>
    </w:p>
    <w:p w14:paraId="430AF087" w14:textId="77777777" w:rsidR="00F17C0B" w:rsidRDefault="00F17C0B" w:rsidP="00C4008C">
      <w:pPr>
        <w:spacing w:after="0" w:line="360" w:lineRule="auto"/>
        <w:rPr>
          <w:noProof/>
        </w:rPr>
      </w:pPr>
    </w:p>
    <w:p w14:paraId="2222869F" w14:textId="21934A25" w:rsidR="00C4008C" w:rsidRDefault="00F17C0B" w:rsidP="00C4008C">
      <w:pPr>
        <w:spacing w:after="0" w:line="360" w:lineRule="auto"/>
        <w:rPr>
          <w:noProof/>
        </w:rPr>
      </w:pPr>
      <w:r>
        <w:rPr>
          <w:noProof/>
        </w:rPr>
        <w:t xml:space="preserve">En ese orden de ideas, de la revisión de dicho documento se logra vislumbrar que es el celebrado entre las partes solicitadas, </w:t>
      </w:r>
      <w:r w:rsidR="00C4008C">
        <w:rPr>
          <w:noProof/>
        </w:rPr>
        <w:t xml:space="preserve">con el objeto de establercer las condiciones por las cuales la Comisión Federal de Electricidad realizará la recaudación del Derecho de Alumbrado Público, durante la </w:t>
      </w:r>
      <w:r w:rsidR="00C4008C">
        <w:rPr>
          <w:noProof/>
        </w:rPr>
        <w:lastRenderedPageBreak/>
        <w:t>administración 2022-2024; por lo que, se logra vislumbrar que proporcionó el último convenio celebrado a la fecha de la solicitud, sobre el tema requerido.</w:t>
      </w:r>
    </w:p>
    <w:p w14:paraId="3F68FDEA" w14:textId="77777777" w:rsidR="00F17C0B" w:rsidRDefault="00F17C0B" w:rsidP="00C4008C">
      <w:pPr>
        <w:spacing w:after="0" w:line="360" w:lineRule="auto"/>
        <w:rPr>
          <w:noProof/>
        </w:rPr>
      </w:pPr>
    </w:p>
    <w:p w14:paraId="4CFCDD1D" w14:textId="5FF54922" w:rsidR="00C4008C" w:rsidRDefault="00C4008C" w:rsidP="00C4008C">
      <w:pPr>
        <w:spacing w:after="0" w:line="360" w:lineRule="auto"/>
        <w:rPr>
          <w:noProof/>
        </w:rPr>
      </w:pPr>
      <w:r>
        <w:rPr>
          <w:noProof/>
        </w:rPr>
        <w:t>Lo antarior, resulta así pues este Instituto realizó una búsqueda en la página oficial del Ente Recurrido y la Empreesa Pública de Caráctr Social, así como el Portal de Información Pública de Oficio Mexiquense de la primera y el portal de obligaciones de la Plataforma Nacional de Transparencia, de la segunda y no se localizó algún indicio que se haya celebrado algún convenio para la administración 2025-2027.</w:t>
      </w:r>
    </w:p>
    <w:p w14:paraId="2575356E" w14:textId="77777777" w:rsidR="00F17C0B" w:rsidRDefault="00F17C0B" w:rsidP="00C4008C">
      <w:pPr>
        <w:spacing w:after="0" w:line="360" w:lineRule="auto"/>
        <w:rPr>
          <w:noProof/>
        </w:rPr>
      </w:pPr>
    </w:p>
    <w:p w14:paraId="2BAD9B29" w14:textId="57FA085E" w:rsidR="003A3101" w:rsidRDefault="00C4008C" w:rsidP="00C4008C">
      <w:pPr>
        <w:spacing w:after="0" w:line="360" w:lineRule="auto"/>
        <w:rPr>
          <w:color w:val="auto"/>
        </w:rPr>
      </w:pPr>
      <w:r>
        <w:rPr>
          <w:noProof/>
        </w:rPr>
        <w:t>De tal circunstancia, se advierte que</w:t>
      </w:r>
      <w:r w:rsidR="003A3101">
        <w:rPr>
          <w:noProof/>
        </w:rPr>
        <w:t xml:space="preserve"> el Sujeto Obligado proporcionó el</w:t>
      </w:r>
      <w:r>
        <w:rPr>
          <w:noProof/>
        </w:rPr>
        <w:t xml:space="preserve"> último</w:t>
      </w:r>
      <w:r w:rsidR="003A3101">
        <w:rPr>
          <w:noProof/>
        </w:rPr>
        <w:t xml:space="preserve"> documento</w:t>
      </w:r>
      <w:r w:rsidR="004B1A80">
        <w:rPr>
          <w:noProof/>
        </w:rPr>
        <w:t xml:space="preserve"> suscrito entre las partes mencionadas,</w:t>
      </w:r>
      <w:r w:rsidR="003A3101">
        <w:rPr>
          <w:noProof/>
        </w:rPr>
        <w:t xml:space="preserve"> que daba cuenta de lo peticionado, pues </w:t>
      </w:r>
      <w:r w:rsidR="004B1A80">
        <w:rPr>
          <w:noProof/>
        </w:rPr>
        <w:t xml:space="preserve">corresponde al Covenio de Colaboración </w:t>
      </w:r>
      <w:r w:rsidR="003A3101">
        <w:rPr>
          <w:noProof/>
        </w:rPr>
        <w:t xml:space="preserve"> para la recaudación del derecho por concepto de Alumbrado Público</w:t>
      </w:r>
      <w:r w:rsidR="004B1A80">
        <w:rPr>
          <w:noProof/>
        </w:rPr>
        <w:t xml:space="preserve">, es decir aquel </w:t>
      </w:r>
      <w:r w:rsidR="003A3101">
        <w:rPr>
          <w:noProof/>
        </w:rPr>
        <w:t xml:space="preserve">que </w:t>
      </w:r>
      <w:r w:rsidR="003A3101">
        <w:rPr>
          <w:rFonts w:eastAsia="Calibri" w:cs="Tahoma"/>
          <w:bCs/>
          <w:lang w:val="es-ES_tradnl"/>
        </w:rPr>
        <w:t xml:space="preserve">obraba en sus archivos; </w:t>
      </w:r>
      <w:r w:rsidR="003A3101">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E262EA4" w14:textId="77777777" w:rsidR="003A3101" w:rsidRDefault="003A3101" w:rsidP="00C4008C">
      <w:pPr>
        <w:spacing w:after="0" w:line="360" w:lineRule="auto"/>
      </w:pPr>
    </w:p>
    <w:p w14:paraId="59D80CA3" w14:textId="77777777" w:rsidR="003A3101" w:rsidRDefault="003A3101" w:rsidP="00C4008C">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5069B8DB" w14:textId="77777777" w:rsidR="003A3101" w:rsidRDefault="003A3101" w:rsidP="00C4008C">
      <w:pPr>
        <w:spacing w:after="0" w:line="360" w:lineRule="auto"/>
        <w:rPr>
          <w:highlight w:val="yellow"/>
        </w:rPr>
      </w:pPr>
    </w:p>
    <w:p w14:paraId="3DA3470D" w14:textId="42323097" w:rsidR="003A3101" w:rsidRPr="00B00822" w:rsidRDefault="003A3101" w:rsidP="00C4008C">
      <w:pPr>
        <w:spacing w:after="0" w:line="360" w:lineRule="auto"/>
        <w:rPr>
          <w:rFonts w:eastAsia="Times New Roman" w:cs="Times New Roman"/>
          <w:lang w:eastAsia="es-ES"/>
        </w:rPr>
      </w:pPr>
      <w:r>
        <w:t xml:space="preserve">De tales circunstancias, se concluye que los sujetos obligados únicamente se encuentran constreñidos a proporcionar los documentos que den cuenta de la información solicitada, como </w:t>
      </w:r>
      <w:r>
        <w:lastRenderedPageBreak/>
        <w:t xml:space="preserve">obren en sus archivos, sin tener que elaborarlos a las necesidades del Recurrente; lo cual aconteció, pues el Sujeto Obligado, proporcionó </w:t>
      </w:r>
      <w:r w:rsidR="004B1A80">
        <w:t>el último Convenio celebrado a la fecha de la solicitud</w:t>
      </w:r>
      <w:r>
        <w:t>; por lo que, la impugnación que se dirime ha quedado sin materia.</w:t>
      </w:r>
    </w:p>
    <w:p w14:paraId="3BE985E2" w14:textId="3FFB8C00" w:rsidR="003A3101" w:rsidRPr="00B00822" w:rsidRDefault="00B00822" w:rsidP="00B00822">
      <w:pPr>
        <w:pStyle w:val="Ttulo1"/>
        <w:jc w:val="left"/>
        <w:rPr>
          <w:sz w:val="22"/>
          <w:szCs w:val="22"/>
        </w:rPr>
      </w:pPr>
      <w:bookmarkStart w:id="12" w:name="_Toc194592528"/>
      <w:r w:rsidRPr="00B00822">
        <w:rPr>
          <w:sz w:val="22"/>
          <w:szCs w:val="22"/>
          <w:lang w:val="es-ES"/>
        </w:rPr>
        <w:t>CUARTO. Decisión</w:t>
      </w:r>
      <w:bookmarkEnd w:id="12"/>
    </w:p>
    <w:p w14:paraId="08C1F683" w14:textId="77777777" w:rsidR="003A3101" w:rsidRDefault="003A3101" w:rsidP="00C4008C">
      <w:pPr>
        <w:spacing w:after="0" w:line="360" w:lineRule="auto"/>
        <w:rPr>
          <w:rFonts w:eastAsia="Calibri" w:cs="Tahoma"/>
          <w:b/>
          <w:bCs/>
          <w:lang w:val="es-ES"/>
        </w:rPr>
      </w:pPr>
    </w:p>
    <w:p w14:paraId="141AB70A" w14:textId="77777777" w:rsidR="003A3101" w:rsidRDefault="003A3101" w:rsidP="00C4008C">
      <w:pPr>
        <w:tabs>
          <w:tab w:val="left" w:pos="4962"/>
        </w:tabs>
        <w:spacing w:after="0" w:line="360" w:lineRule="auto"/>
        <w:rPr>
          <w:rFonts w:eastAsia="Calibri" w:cs="Tahoma"/>
          <w:bCs/>
          <w:lang w:val="es-ES"/>
        </w:rPr>
      </w:pPr>
      <w:r>
        <w:rPr>
          <w:rFonts w:eastAsia="Calibri" w:cs="Tahoma"/>
          <w:bCs/>
          <w:lang w:val="es-ES"/>
        </w:rPr>
        <w:t xml:space="preserve">Con fundamento en lo dispuesto en el artículo 186, fracción I de la Ley de Transparencia y Acceso a la Información Pública del Estado de México y Municipios, se considera procedente </w:t>
      </w:r>
      <w:r>
        <w:rPr>
          <w:rFonts w:eastAsia="Calibri" w:cs="Tahoma"/>
          <w:b/>
          <w:bCs/>
          <w:lang w:val="es-ES"/>
        </w:rPr>
        <w:t xml:space="preserve">SOBRESEER </w:t>
      </w:r>
      <w:r>
        <w:rPr>
          <w:rFonts w:eastAsia="Calibri" w:cs="Tahoma"/>
          <w:bCs/>
          <w:lang w:val="es-ES"/>
        </w:rPr>
        <w:t>el Recurso de Revisión, en virtud de que se actualiza la hipótesis normativa prevista en la fracción III, del artículo 192, del citado ordenamiento legal.</w:t>
      </w:r>
    </w:p>
    <w:p w14:paraId="5FECBDFE" w14:textId="77777777" w:rsidR="003A3101" w:rsidRDefault="003A3101" w:rsidP="00C4008C">
      <w:pPr>
        <w:tabs>
          <w:tab w:val="left" w:pos="4962"/>
        </w:tabs>
        <w:spacing w:after="0" w:line="360" w:lineRule="auto"/>
        <w:rPr>
          <w:rFonts w:eastAsia="Times New Roman" w:cs="Tahoma"/>
        </w:rPr>
      </w:pPr>
    </w:p>
    <w:p w14:paraId="18419E6E" w14:textId="10D0ADEB" w:rsidR="003A3101" w:rsidRPr="00B00822" w:rsidRDefault="003A3101" w:rsidP="00B00822">
      <w:pPr>
        <w:pStyle w:val="Ttulo1"/>
        <w:jc w:val="left"/>
        <w:rPr>
          <w:sz w:val="22"/>
          <w:szCs w:val="22"/>
        </w:rPr>
      </w:pPr>
      <w:bookmarkStart w:id="13" w:name="_Toc194592529"/>
      <w:r w:rsidRPr="00B00822">
        <w:rPr>
          <w:sz w:val="22"/>
          <w:szCs w:val="22"/>
        </w:rPr>
        <w:t>Términos de la Resolución p</w:t>
      </w:r>
      <w:r w:rsidR="00B00822" w:rsidRPr="00B00822">
        <w:rPr>
          <w:sz w:val="22"/>
          <w:szCs w:val="22"/>
        </w:rPr>
        <w:t>ara conocimiento del Particular</w:t>
      </w:r>
      <w:bookmarkEnd w:id="13"/>
    </w:p>
    <w:p w14:paraId="28679DAE" w14:textId="77777777" w:rsidR="003A3101" w:rsidRDefault="003A3101" w:rsidP="00C4008C">
      <w:pPr>
        <w:spacing w:after="0" w:line="360" w:lineRule="auto"/>
        <w:rPr>
          <w:rFonts w:eastAsia="Calibri" w:cs="Tahoma"/>
          <w:b/>
          <w:bCs/>
        </w:rPr>
      </w:pPr>
    </w:p>
    <w:p w14:paraId="194E11C9" w14:textId="66A88027" w:rsidR="003A3101" w:rsidRDefault="003A3101" w:rsidP="00C4008C">
      <w:pPr>
        <w:spacing w:after="0" w:line="360" w:lineRule="auto"/>
        <w:rPr>
          <w:rFonts w:eastAsia="Calibri" w:cs="Tahoma"/>
          <w:bCs/>
          <w:iCs/>
        </w:rPr>
      </w:pPr>
      <w:r>
        <w:rPr>
          <w:rFonts w:eastAsia="Calibri" w:cs="Tahoma"/>
          <w:bCs/>
          <w:iCs/>
          <w:lang w:val="es-ES"/>
        </w:rPr>
        <w:t xml:space="preserve">Se le hace del conocimiento del Particular, que, si bien en un principio se le daba la razón, lo cierto es que mediante su Informe Justificado, el Ayuntamiento de Cuautitlán </w:t>
      </w:r>
      <w:r w:rsidR="004B1A80">
        <w:rPr>
          <w:rFonts w:eastAsia="Calibri" w:cs="Tahoma"/>
          <w:bCs/>
          <w:iCs/>
          <w:lang w:val="es-ES"/>
        </w:rPr>
        <w:t>Izcalli entregó</w:t>
      </w:r>
      <w:r w:rsidR="00284A80">
        <w:rPr>
          <w:rFonts w:eastAsia="Calibri" w:cs="Tahoma"/>
          <w:bCs/>
          <w:iCs/>
          <w:lang w:val="es-ES"/>
        </w:rPr>
        <w:t xml:space="preserve"> </w:t>
      </w:r>
      <w:r>
        <w:rPr>
          <w:rFonts w:eastAsia="Calibri" w:cs="Tahoma"/>
          <w:bCs/>
          <w:iCs/>
          <w:lang w:val="es-ES"/>
        </w:rPr>
        <w:t>el convenio solicitado, por lo que el recurso quedó sin materia.</w:t>
      </w:r>
      <w:r w:rsidR="004B1A80">
        <w:rPr>
          <w:rFonts w:eastAsia="Calibri" w:cs="Tahoma"/>
          <w:bCs/>
          <w:iCs/>
          <w:lang w:val="es-ES"/>
        </w:rPr>
        <w:t>; la</w:t>
      </w:r>
      <w:r>
        <w:rPr>
          <w:rFonts w:eastAsia="Calibri" w:cs="Tahoma"/>
          <w:bCs/>
          <w:iCs/>
        </w:rPr>
        <w:t xml:space="preserve"> labor del Instituto, es apoyar a la población a acceder a la información pública y garantizar la protección de sus datos personales.</w:t>
      </w:r>
    </w:p>
    <w:p w14:paraId="630D1D17" w14:textId="77777777" w:rsidR="003A3101" w:rsidRDefault="003A3101" w:rsidP="00C4008C">
      <w:pPr>
        <w:spacing w:after="0" w:line="360" w:lineRule="auto"/>
        <w:rPr>
          <w:rFonts w:eastAsia="Calibri" w:cs="Tahoma"/>
          <w:bCs/>
        </w:rPr>
      </w:pPr>
    </w:p>
    <w:p w14:paraId="0921E9BA" w14:textId="77777777" w:rsidR="003A3101" w:rsidRDefault="003A3101" w:rsidP="00C4008C">
      <w:pPr>
        <w:spacing w:after="0" w:line="360" w:lineRule="auto"/>
        <w:rPr>
          <w:rFonts w:eastAsia="Calibri" w:cs="Tahoma"/>
          <w:bCs/>
        </w:rPr>
      </w:pPr>
      <w:r>
        <w:rPr>
          <w:rFonts w:eastAsia="Calibri" w:cs="Tahoma"/>
          <w:bCs/>
        </w:rPr>
        <w:t>Por lo expuesto y fundado, este Pleno:</w:t>
      </w:r>
    </w:p>
    <w:p w14:paraId="75104D66" w14:textId="77777777" w:rsidR="003A3101" w:rsidRDefault="003A3101" w:rsidP="00C4008C">
      <w:pPr>
        <w:spacing w:after="0" w:line="360" w:lineRule="auto"/>
        <w:rPr>
          <w:rFonts w:eastAsia="Calibri" w:cs="Tahoma"/>
          <w:bCs/>
        </w:rPr>
      </w:pPr>
    </w:p>
    <w:p w14:paraId="0D76312D" w14:textId="77777777" w:rsidR="003A3101" w:rsidRPr="00B00822" w:rsidRDefault="003A3101" w:rsidP="00B00822">
      <w:pPr>
        <w:pStyle w:val="Ttulo1"/>
        <w:rPr>
          <w:sz w:val="22"/>
          <w:szCs w:val="22"/>
        </w:rPr>
      </w:pPr>
      <w:bookmarkStart w:id="14" w:name="_Toc194592530"/>
      <w:r w:rsidRPr="00B00822">
        <w:rPr>
          <w:sz w:val="22"/>
          <w:szCs w:val="22"/>
        </w:rPr>
        <w:t>R E S U E L V E</w:t>
      </w:r>
      <w:bookmarkEnd w:id="14"/>
    </w:p>
    <w:p w14:paraId="0A494D37" w14:textId="4BC081A1" w:rsidR="003A3101" w:rsidRDefault="003A3101" w:rsidP="00C4008C">
      <w:pPr>
        <w:spacing w:after="0" w:line="360" w:lineRule="auto"/>
        <w:ind w:right="-91"/>
        <w:contextualSpacing/>
        <w:rPr>
          <w:rFonts w:eastAsia="Calibri" w:cs="Tahoma"/>
          <w:b/>
          <w:bCs/>
        </w:rPr>
      </w:pPr>
    </w:p>
    <w:p w14:paraId="3923DD7F" w14:textId="77777777" w:rsidR="003A3101" w:rsidRDefault="003A3101" w:rsidP="00C4008C">
      <w:pPr>
        <w:spacing w:after="0" w:line="360" w:lineRule="auto"/>
        <w:rPr>
          <w:rFonts w:eastAsia="Calibri" w:cs="Tahoma"/>
          <w:b/>
          <w:bCs/>
          <w:iCs/>
        </w:rPr>
      </w:pPr>
      <w:r>
        <w:rPr>
          <w:rFonts w:eastAsia="Calibri" w:cs="Tahoma"/>
          <w:b/>
          <w:bCs/>
          <w:iCs/>
        </w:rPr>
        <w:lastRenderedPageBreak/>
        <w:t xml:space="preserve">PRIMERO. </w:t>
      </w:r>
      <w:r>
        <w:rPr>
          <w:rFonts w:eastAsia="Calibri" w:cs="Tahoma"/>
          <w:bCs/>
          <w:iCs/>
        </w:rPr>
        <w:t xml:space="preserve">Se </w:t>
      </w:r>
      <w:r>
        <w:rPr>
          <w:rFonts w:eastAsia="Calibri" w:cs="Tahoma"/>
          <w:b/>
          <w:bCs/>
          <w:iCs/>
        </w:rPr>
        <w:t xml:space="preserve">SOBRESEE </w:t>
      </w:r>
      <w:r>
        <w:rPr>
          <w:rFonts w:eastAsia="Calibri" w:cs="Tahoma"/>
          <w:bCs/>
          <w:iCs/>
        </w:rPr>
        <w:t xml:space="preserve">el Recurso de Revisión </w:t>
      </w:r>
      <w:r>
        <w:rPr>
          <w:rFonts w:eastAsia="Calibri" w:cs="Tahoma"/>
          <w:b/>
        </w:rPr>
        <w:t>01576/INFOEM/IP/RR/2025</w:t>
      </w:r>
      <w:r>
        <w:rPr>
          <w:rFonts w:eastAsia="Calibri" w:cs="Tahoma"/>
          <w:bCs/>
          <w:iCs/>
        </w:rPr>
        <w:t xml:space="preserve">, </w:t>
      </w:r>
      <w:r>
        <w:rPr>
          <w:rFonts w:eastAsia="Calibri" w:cs="Tahoma"/>
          <w:bCs/>
          <w:iCs/>
          <w:lang w:val="es-ES"/>
        </w:rPr>
        <w:t>en términos del artículo 192, fracción III, de la Ley de Transparencia y Acceso a la Información Pública del Estado de México y Municipios</w:t>
      </w:r>
      <w:r>
        <w:rPr>
          <w:rFonts w:cs="Arial"/>
          <w:bCs/>
          <w:color w:val="000000"/>
          <w:lang w:val="es-ES"/>
        </w:rPr>
        <w:t xml:space="preserve">, </w:t>
      </w:r>
      <w:r>
        <w:rPr>
          <w:rFonts w:cs="Tahoma"/>
          <w:bCs/>
          <w:iCs/>
          <w:lang w:val="es-ES_tradnl"/>
        </w:rPr>
        <w:t>porque el Sujeto Obligado al modificar la respuesta</w:t>
      </w:r>
      <w:r>
        <w:rPr>
          <w:rFonts w:eastAsia="Calibri" w:cs="Tahoma"/>
          <w:bCs/>
          <w:iCs/>
        </w:rPr>
        <w:t>, el Medio de Impugnación, quedó sin materia, en términos de los Considerandos</w:t>
      </w:r>
      <w:r>
        <w:rPr>
          <w:rFonts w:eastAsia="Calibri" w:cs="Tahoma"/>
          <w:b/>
          <w:bCs/>
          <w:iCs/>
        </w:rPr>
        <w:t xml:space="preserve"> </w:t>
      </w:r>
      <w:r>
        <w:rPr>
          <w:rFonts w:eastAsia="Calibri" w:cs="Tahoma"/>
          <w:bCs/>
          <w:iCs/>
        </w:rPr>
        <w:t>TERCERO y CUARTO</w:t>
      </w:r>
      <w:r>
        <w:rPr>
          <w:rFonts w:eastAsia="Calibri" w:cs="Tahoma"/>
          <w:b/>
          <w:bCs/>
          <w:iCs/>
        </w:rPr>
        <w:t xml:space="preserve"> </w:t>
      </w:r>
      <w:r>
        <w:rPr>
          <w:rFonts w:eastAsia="Calibri" w:cs="Tahoma"/>
          <w:bCs/>
          <w:iCs/>
        </w:rPr>
        <w:t>de la presente Resolución.</w:t>
      </w:r>
    </w:p>
    <w:p w14:paraId="2FF5128D" w14:textId="77777777" w:rsidR="003A3101" w:rsidRDefault="003A3101" w:rsidP="00C4008C">
      <w:pPr>
        <w:spacing w:after="0" w:line="360" w:lineRule="auto"/>
        <w:rPr>
          <w:rFonts w:eastAsia="Calibri" w:cs="Tahoma"/>
          <w:b/>
          <w:bCs/>
          <w:iCs/>
        </w:rPr>
      </w:pPr>
    </w:p>
    <w:p w14:paraId="67D574A6" w14:textId="38948273" w:rsidR="003A3101" w:rsidRDefault="003A3101" w:rsidP="00C4008C">
      <w:pPr>
        <w:spacing w:after="0" w:line="360" w:lineRule="auto"/>
        <w:rPr>
          <w:rFonts w:eastAsia="Calibri" w:cs="Tahoma"/>
          <w:b/>
          <w:bCs/>
          <w:iCs/>
        </w:rPr>
      </w:pPr>
      <w:r>
        <w:rPr>
          <w:rFonts w:eastAsia="Calibri" w:cs="Tahoma"/>
          <w:b/>
          <w:bCs/>
          <w:iCs/>
        </w:rPr>
        <w:t xml:space="preserve">SEGUNDO. </w:t>
      </w:r>
      <w:r w:rsidR="004B1A80">
        <w:rPr>
          <w:rFonts w:eastAsia="Calibri" w:cs="Tahoma"/>
          <w:b/>
          <w:bCs/>
          <w:iCs/>
        </w:rPr>
        <w:t>NOTIFÍQUESE VÍA</w:t>
      </w:r>
      <w:r>
        <w:rPr>
          <w:rFonts w:eastAsia="Calibri" w:cs="Tahoma"/>
          <w:b/>
          <w:bCs/>
          <w:iCs/>
        </w:rPr>
        <w:t xml:space="preserve"> SAIMEX </w:t>
      </w:r>
      <w:r>
        <w:rPr>
          <w:rFonts w:eastAsia="Calibri" w:cs="Tahoma"/>
          <w:bCs/>
          <w:iCs/>
        </w:rPr>
        <w:t>la presente Resolución al Titular de la Unidad de Transparencia del Sujeto Obligado.</w:t>
      </w:r>
    </w:p>
    <w:p w14:paraId="02E904D0" w14:textId="77777777" w:rsidR="003A3101" w:rsidRDefault="003A3101" w:rsidP="00C4008C">
      <w:pPr>
        <w:spacing w:after="0" w:line="360" w:lineRule="auto"/>
        <w:rPr>
          <w:rFonts w:eastAsia="Calibri" w:cs="Tahoma"/>
          <w:b/>
          <w:bCs/>
          <w:i/>
          <w:iCs/>
        </w:rPr>
      </w:pPr>
    </w:p>
    <w:p w14:paraId="406A4062" w14:textId="77777777" w:rsidR="003A3101" w:rsidRDefault="003A3101" w:rsidP="00C4008C">
      <w:pPr>
        <w:spacing w:after="0" w:line="360" w:lineRule="auto"/>
        <w:rPr>
          <w:rFonts w:eastAsia="Calibri" w:cs="Tahoma"/>
          <w:b/>
          <w:bCs/>
          <w:iCs/>
        </w:rPr>
      </w:pPr>
      <w:r>
        <w:rPr>
          <w:rFonts w:eastAsia="Calibri" w:cs="Tahoma"/>
          <w:b/>
          <w:bCs/>
          <w:iCs/>
        </w:rPr>
        <w:t xml:space="preserve">TERCERO. NOTIFÍQUESE VÍA SAIMEX </w:t>
      </w:r>
      <w:r>
        <w:rPr>
          <w:rFonts w:eastAsia="Calibri" w:cs="Tahoma"/>
          <w:bCs/>
          <w:iCs/>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734B882" w14:textId="77777777" w:rsidR="003A3101" w:rsidRDefault="003A3101" w:rsidP="00C4008C">
      <w:pPr>
        <w:spacing w:after="0" w:line="360" w:lineRule="auto"/>
        <w:rPr>
          <w:rFonts w:eastAsia="Times New Roman" w:cs="Arial"/>
          <w:b/>
          <w:bCs/>
        </w:rPr>
      </w:pPr>
    </w:p>
    <w:p w14:paraId="4C9739F4" w14:textId="77777777" w:rsidR="003A3101" w:rsidRDefault="003A3101" w:rsidP="00C4008C">
      <w:pPr>
        <w:spacing w:after="0" w:line="360" w:lineRule="auto"/>
        <w:rPr>
          <w:rFonts w:eastAsia="Calibri" w:cs="Tahoma"/>
          <w:bCs/>
        </w:rPr>
      </w:pPr>
      <w:r>
        <w:rPr>
          <w:rFonts w:eastAsia="Calibri" w:cs="Tahoma"/>
          <w:bCs/>
        </w:rPr>
        <w:t xml:space="preserve">ASÍ LO RESUELVE, POR </w:t>
      </w:r>
      <w:r w:rsidRPr="006B2B9D">
        <w:rPr>
          <w:rFonts w:eastAsia="Calibri" w:cs="Tahoma"/>
          <w:b/>
          <w:bCs/>
        </w:rPr>
        <w:t>UNANIMIDAD</w:t>
      </w:r>
      <w:r>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DOS DE ABRIL DE DOS MIL VEINTICINCO, ANTE EL SECRETARIO TÉCNICO DEL PLENO, ALEXIS TAPIA RAMÍREZ.</w:t>
      </w:r>
    </w:p>
    <w:p w14:paraId="329D85B2" w14:textId="77777777" w:rsidR="00284A80" w:rsidRDefault="00284A80" w:rsidP="00C4008C">
      <w:pPr>
        <w:spacing w:after="0" w:line="360" w:lineRule="auto"/>
        <w:rPr>
          <w:rFonts w:eastAsia="Calibri" w:cs="Tahoma"/>
          <w:bCs/>
        </w:rPr>
      </w:pPr>
    </w:p>
    <w:p w14:paraId="601EC478" w14:textId="77777777" w:rsidR="00284A80" w:rsidRDefault="00284A80" w:rsidP="00C4008C">
      <w:pPr>
        <w:spacing w:after="0" w:line="360" w:lineRule="auto"/>
        <w:rPr>
          <w:rFonts w:eastAsia="Calibri" w:cs="Tahoma"/>
          <w:bCs/>
        </w:rPr>
      </w:pPr>
    </w:p>
    <w:p w14:paraId="17642263" w14:textId="77777777" w:rsidR="00284A80" w:rsidRDefault="00284A80" w:rsidP="00C4008C">
      <w:pPr>
        <w:spacing w:after="0" w:line="360" w:lineRule="auto"/>
        <w:rPr>
          <w:rFonts w:eastAsia="Calibri" w:cs="Tahoma"/>
          <w:bCs/>
        </w:rPr>
      </w:pPr>
    </w:p>
    <w:p w14:paraId="7787EDED" w14:textId="77777777" w:rsidR="00284A80" w:rsidRDefault="00284A80" w:rsidP="00C4008C">
      <w:pPr>
        <w:spacing w:after="0" w:line="360" w:lineRule="auto"/>
        <w:rPr>
          <w:rFonts w:eastAsia="Calibri" w:cs="Tahoma"/>
          <w:bCs/>
        </w:rPr>
      </w:pPr>
    </w:p>
    <w:p w14:paraId="34BFA59E" w14:textId="77777777" w:rsidR="00284A80" w:rsidRDefault="00284A80" w:rsidP="00C4008C">
      <w:pPr>
        <w:spacing w:after="0" w:line="360" w:lineRule="auto"/>
        <w:rPr>
          <w:rFonts w:eastAsia="Calibri" w:cs="Tahoma"/>
          <w:bCs/>
        </w:rPr>
      </w:pPr>
    </w:p>
    <w:p w14:paraId="37417671" w14:textId="77777777" w:rsidR="00284A80" w:rsidRDefault="00284A80" w:rsidP="00C4008C">
      <w:pPr>
        <w:spacing w:after="0" w:line="360" w:lineRule="auto"/>
        <w:rPr>
          <w:rFonts w:eastAsia="Calibri" w:cs="Tahoma"/>
          <w:bCs/>
        </w:rPr>
      </w:pPr>
    </w:p>
    <w:p w14:paraId="656990EF" w14:textId="77777777" w:rsidR="00284A80" w:rsidRDefault="00284A80" w:rsidP="00C4008C">
      <w:pPr>
        <w:spacing w:after="0" w:line="360" w:lineRule="auto"/>
        <w:rPr>
          <w:rFonts w:eastAsia="Calibri" w:cs="Tahoma"/>
          <w:bCs/>
        </w:rPr>
      </w:pPr>
    </w:p>
    <w:p w14:paraId="1DEA1065" w14:textId="77777777" w:rsidR="00284A80" w:rsidRDefault="00284A80" w:rsidP="00C4008C">
      <w:pPr>
        <w:spacing w:after="0" w:line="360" w:lineRule="auto"/>
        <w:rPr>
          <w:rFonts w:eastAsia="Calibri" w:cs="Tahoma"/>
          <w:bCs/>
        </w:rPr>
      </w:pPr>
    </w:p>
    <w:p w14:paraId="3783B7ED" w14:textId="77777777" w:rsidR="00284A80" w:rsidRDefault="00284A80" w:rsidP="00C4008C">
      <w:pPr>
        <w:spacing w:after="0" w:line="360" w:lineRule="auto"/>
        <w:rPr>
          <w:rFonts w:eastAsia="Calibri" w:cs="Tahoma"/>
          <w:bCs/>
        </w:rPr>
      </w:pPr>
    </w:p>
    <w:p w14:paraId="5333D2A4" w14:textId="77777777" w:rsidR="00284A80" w:rsidRDefault="00284A80" w:rsidP="00C4008C">
      <w:pPr>
        <w:spacing w:after="0" w:line="360" w:lineRule="auto"/>
        <w:rPr>
          <w:rFonts w:eastAsia="Calibri" w:cs="Tahoma"/>
          <w:bCs/>
        </w:rPr>
      </w:pPr>
    </w:p>
    <w:p w14:paraId="0624CBBA" w14:textId="77777777" w:rsidR="00284A80" w:rsidRDefault="00284A80" w:rsidP="00C4008C">
      <w:pPr>
        <w:spacing w:after="0" w:line="360" w:lineRule="auto"/>
        <w:rPr>
          <w:rFonts w:eastAsia="Calibri" w:cs="Tahoma"/>
          <w:bCs/>
        </w:rPr>
      </w:pPr>
    </w:p>
    <w:p w14:paraId="4CA8527F" w14:textId="77777777" w:rsidR="00284A80" w:rsidRDefault="00284A80" w:rsidP="00C4008C">
      <w:pPr>
        <w:spacing w:after="0" w:line="360" w:lineRule="auto"/>
        <w:rPr>
          <w:rFonts w:eastAsia="Calibri" w:cs="Tahoma"/>
          <w:bCs/>
        </w:rPr>
      </w:pPr>
    </w:p>
    <w:p w14:paraId="7071A741" w14:textId="77777777" w:rsidR="00284A80" w:rsidRDefault="00284A80" w:rsidP="00C4008C">
      <w:pPr>
        <w:spacing w:after="0" w:line="360" w:lineRule="auto"/>
        <w:rPr>
          <w:rFonts w:eastAsiaTheme="minorHAnsi" w:cstheme="minorBidi"/>
        </w:rPr>
      </w:pPr>
    </w:p>
    <w:p w14:paraId="4083DA79" w14:textId="77777777" w:rsidR="00B00822" w:rsidRDefault="00B00822" w:rsidP="00C4008C">
      <w:pPr>
        <w:spacing w:after="0" w:line="360" w:lineRule="auto"/>
        <w:rPr>
          <w:rFonts w:eastAsiaTheme="minorHAnsi" w:cstheme="minorBidi"/>
        </w:rPr>
      </w:pPr>
    </w:p>
    <w:p w14:paraId="1D612E06" w14:textId="77777777" w:rsidR="00B00822" w:rsidRDefault="00B00822" w:rsidP="00C4008C">
      <w:pPr>
        <w:spacing w:after="0" w:line="360" w:lineRule="auto"/>
        <w:rPr>
          <w:rFonts w:eastAsiaTheme="minorHAnsi" w:cstheme="minorBidi"/>
        </w:rPr>
      </w:pPr>
    </w:p>
    <w:p w14:paraId="342F5C65" w14:textId="77777777" w:rsidR="00B00822" w:rsidRDefault="00B00822" w:rsidP="00C4008C">
      <w:pPr>
        <w:spacing w:after="0" w:line="360" w:lineRule="auto"/>
        <w:rPr>
          <w:rFonts w:eastAsiaTheme="minorHAnsi" w:cstheme="minorBidi"/>
        </w:rPr>
      </w:pPr>
    </w:p>
    <w:p w14:paraId="17F85BB8" w14:textId="77777777" w:rsidR="00B00822" w:rsidRDefault="00B00822" w:rsidP="00C4008C">
      <w:pPr>
        <w:spacing w:after="0" w:line="360" w:lineRule="auto"/>
        <w:rPr>
          <w:rFonts w:eastAsiaTheme="minorHAnsi" w:cstheme="minorBidi"/>
        </w:rPr>
      </w:pPr>
    </w:p>
    <w:p w14:paraId="2DE37132" w14:textId="77777777" w:rsidR="00B00822" w:rsidRDefault="00B00822" w:rsidP="00C4008C">
      <w:pPr>
        <w:spacing w:after="0" w:line="360" w:lineRule="auto"/>
        <w:rPr>
          <w:rFonts w:eastAsiaTheme="minorHAnsi" w:cstheme="minorBidi"/>
        </w:rPr>
      </w:pPr>
    </w:p>
    <w:p w14:paraId="097A4C5B" w14:textId="77777777" w:rsidR="00B00822" w:rsidRDefault="00B00822" w:rsidP="00C4008C">
      <w:pPr>
        <w:spacing w:after="0" w:line="360" w:lineRule="auto"/>
        <w:rPr>
          <w:rFonts w:eastAsiaTheme="minorHAnsi" w:cstheme="minorBidi"/>
        </w:rPr>
      </w:pPr>
    </w:p>
    <w:p w14:paraId="33CFF396" w14:textId="77777777" w:rsidR="00B00822" w:rsidRDefault="00B00822" w:rsidP="00C4008C">
      <w:pPr>
        <w:spacing w:after="0" w:line="360" w:lineRule="auto"/>
        <w:rPr>
          <w:rFonts w:eastAsiaTheme="minorHAnsi" w:cstheme="minorBidi"/>
        </w:rPr>
      </w:pPr>
    </w:p>
    <w:p w14:paraId="6097209A" w14:textId="77777777" w:rsidR="003A3101" w:rsidRDefault="003A3101" w:rsidP="00C4008C">
      <w:pPr>
        <w:spacing w:after="0" w:line="360" w:lineRule="auto"/>
      </w:pPr>
    </w:p>
    <w:p w14:paraId="20CAA16B" w14:textId="77777777" w:rsidR="003A3101" w:rsidRDefault="003A3101" w:rsidP="00C4008C">
      <w:pPr>
        <w:spacing w:after="0" w:line="360" w:lineRule="auto"/>
        <w:rPr>
          <w:rFonts w:eastAsia="Times New Roman" w:cs="Tahoma"/>
          <w:bCs/>
          <w:color w:val="FF0000"/>
          <w:lang w:eastAsia="es-ES"/>
        </w:rPr>
      </w:pPr>
    </w:p>
    <w:p w14:paraId="696D2B71" w14:textId="77777777" w:rsidR="00CE58A5" w:rsidRDefault="00CE58A5" w:rsidP="00C4008C">
      <w:pPr>
        <w:widowControl w:val="0"/>
        <w:pBdr>
          <w:top w:val="nil"/>
          <w:left w:val="nil"/>
          <w:bottom w:val="nil"/>
          <w:right w:val="nil"/>
          <w:between w:val="nil"/>
        </w:pBdr>
        <w:spacing w:after="0" w:line="360" w:lineRule="auto"/>
        <w:jc w:val="left"/>
      </w:pPr>
    </w:p>
    <w:sectPr w:rsidR="00CE58A5" w:rsidSect="00CE4466">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81D81" w14:textId="77777777" w:rsidR="00BF5DBB" w:rsidRDefault="00BF5DBB">
      <w:pPr>
        <w:spacing w:after="0" w:line="240" w:lineRule="auto"/>
      </w:pPr>
      <w:r>
        <w:separator/>
      </w:r>
    </w:p>
  </w:endnote>
  <w:endnote w:type="continuationSeparator" w:id="0">
    <w:p w14:paraId="2719BB17" w14:textId="77777777" w:rsidR="00BF5DBB" w:rsidRDefault="00BF5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05151" w14:textId="77777777" w:rsidR="000F1C66" w:rsidRDefault="000F1C6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A3ACE">
      <w:rPr>
        <w:b/>
        <w:noProof/>
        <w:color w:val="000000"/>
        <w:sz w:val="24"/>
        <w:szCs w:val="24"/>
      </w:rPr>
      <w:t>16</w:t>
    </w:r>
    <w:r>
      <w:rPr>
        <w:b/>
        <w:color w:val="000000"/>
        <w:sz w:val="24"/>
        <w:szCs w:val="24"/>
      </w:rPr>
      <w:fldChar w:fldCharType="end"/>
    </w:r>
  </w:p>
  <w:p w14:paraId="547C391C" w14:textId="77777777" w:rsidR="000F1C66" w:rsidRDefault="000F1C6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4D7FE" w14:textId="593A2114" w:rsidR="000F1C66" w:rsidRDefault="000F1C6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A3ACE">
      <w:rPr>
        <w:b/>
        <w:noProof/>
        <w:color w:val="000000"/>
        <w:sz w:val="24"/>
        <w:szCs w:val="24"/>
      </w:rPr>
      <w:t>15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A3ACE">
      <w:rPr>
        <w:b/>
        <w:noProof/>
        <w:color w:val="000000"/>
        <w:sz w:val="24"/>
        <w:szCs w:val="24"/>
      </w:rPr>
      <w:t>16</w:t>
    </w:r>
    <w:r>
      <w:rPr>
        <w:b/>
        <w:color w:val="000000"/>
        <w:sz w:val="24"/>
        <w:szCs w:val="24"/>
      </w:rPr>
      <w:fldChar w:fldCharType="end"/>
    </w:r>
  </w:p>
  <w:p w14:paraId="021EE9EB" w14:textId="77777777" w:rsidR="000F1C66" w:rsidRDefault="000F1C6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D3A60" w14:textId="77777777" w:rsidR="000F1C66" w:rsidRDefault="000F1C6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A3AC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A3ACE">
      <w:rPr>
        <w:b/>
        <w:noProof/>
        <w:color w:val="000000"/>
        <w:sz w:val="24"/>
        <w:szCs w:val="24"/>
      </w:rPr>
      <w:t>16</w:t>
    </w:r>
    <w:r>
      <w:rPr>
        <w:b/>
        <w:color w:val="000000"/>
        <w:sz w:val="24"/>
        <w:szCs w:val="24"/>
      </w:rPr>
      <w:fldChar w:fldCharType="end"/>
    </w:r>
  </w:p>
  <w:p w14:paraId="23D55011" w14:textId="77777777" w:rsidR="000F1C66" w:rsidRDefault="000F1C6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1CE40" w14:textId="77777777" w:rsidR="00BF5DBB" w:rsidRDefault="00BF5DBB">
      <w:pPr>
        <w:spacing w:after="0" w:line="240" w:lineRule="auto"/>
      </w:pPr>
      <w:r>
        <w:separator/>
      </w:r>
    </w:p>
  </w:footnote>
  <w:footnote w:type="continuationSeparator" w:id="0">
    <w:p w14:paraId="1C23DF53" w14:textId="77777777" w:rsidR="00BF5DBB" w:rsidRDefault="00BF5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B54C7" w14:textId="77777777" w:rsidR="000F1C66" w:rsidRDefault="000F1C66">
    <w:pPr>
      <w:widowControl w:val="0"/>
      <w:pBdr>
        <w:top w:val="nil"/>
        <w:left w:val="nil"/>
        <w:bottom w:val="nil"/>
        <w:right w:val="nil"/>
        <w:between w:val="nil"/>
      </w:pBdr>
      <w:spacing w:after="0" w:line="276" w:lineRule="auto"/>
      <w:jc w:val="left"/>
      <w:rPr>
        <w:color w:val="000000"/>
      </w:rPr>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F1C66" w14:paraId="4913F089" w14:textId="77777777">
      <w:trPr>
        <w:trHeight w:val="141"/>
      </w:trPr>
      <w:tc>
        <w:tcPr>
          <w:tcW w:w="2404" w:type="dxa"/>
        </w:tcPr>
        <w:p w14:paraId="1D800919" w14:textId="77777777" w:rsidR="000F1C66" w:rsidRDefault="000F1C66">
          <w:pPr>
            <w:tabs>
              <w:tab w:val="right" w:pos="8838"/>
            </w:tabs>
            <w:ind w:right="-105"/>
            <w:rPr>
              <w:b/>
            </w:rPr>
          </w:pPr>
          <w:r>
            <w:rPr>
              <w:b/>
            </w:rPr>
            <w:t>Recurso de Revisión:</w:t>
          </w:r>
        </w:p>
      </w:tc>
      <w:tc>
        <w:tcPr>
          <w:tcW w:w="3587" w:type="dxa"/>
        </w:tcPr>
        <w:p w14:paraId="53E9BD67" w14:textId="77777777" w:rsidR="000F1C66" w:rsidRDefault="000F1C66">
          <w:pPr>
            <w:tabs>
              <w:tab w:val="right" w:pos="8838"/>
            </w:tabs>
            <w:ind w:left="-28" w:right="683"/>
          </w:pPr>
          <w:r>
            <w:t>04196/INFOEM/IP/RR/2020</w:t>
          </w:r>
        </w:p>
      </w:tc>
    </w:tr>
    <w:tr w:rsidR="000F1C66" w14:paraId="515F523A" w14:textId="77777777">
      <w:trPr>
        <w:trHeight w:val="276"/>
      </w:trPr>
      <w:tc>
        <w:tcPr>
          <w:tcW w:w="2404" w:type="dxa"/>
        </w:tcPr>
        <w:p w14:paraId="1CFF82A0" w14:textId="77777777" w:rsidR="000F1C66" w:rsidRDefault="000F1C66">
          <w:pPr>
            <w:tabs>
              <w:tab w:val="right" w:pos="8838"/>
            </w:tabs>
            <w:ind w:right="-105"/>
            <w:rPr>
              <w:b/>
            </w:rPr>
          </w:pPr>
          <w:r>
            <w:rPr>
              <w:b/>
            </w:rPr>
            <w:t>Sujeto Obligado:</w:t>
          </w:r>
        </w:p>
      </w:tc>
      <w:tc>
        <w:tcPr>
          <w:tcW w:w="3587" w:type="dxa"/>
        </w:tcPr>
        <w:p w14:paraId="1142F936" w14:textId="77777777" w:rsidR="000F1C66" w:rsidRDefault="000F1C66">
          <w:pPr>
            <w:tabs>
              <w:tab w:val="right" w:pos="8838"/>
            </w:tabs>
            <w:ind w:right="116"/>
          </w:pPr>
          <w:r>
            <w:t>Ayuntamiento de Chapultepec</w:t>
          </w:r>
        </w:p>
      </w:tc>
    </w:tr>
    <w:tr w:rsidR="000F1C66" w14:paraId="69080D23" w14:textId="77777777">
      <w:trPr>
        <w:trHeight w:val="276"/>
      </w:trPr>
      <w:tc>
        <w:tcPr>
          <w:tcW w:w="2404" w:type="dxa"/>
        </w:tcPr>
        <w:p w14:paraId="50E24B18" w14:textId="77777777" w:rsidR="000F1C66" w:rsidRDefault="000F1C66">
          <w:pPr>
            <w:tabs>
              <w:tab w:val="right" w:pos="8838"/>
            </w:tabs>
            <w:ind w:right="-105"/>
            <w:rPr>
              <w:b/>
            </w:rPr>
          </w:pPr>
          <w:r>
            <w:rPr>
              <w:b/>
            </w:rPr>
            <w:t>Comisionado Ponente:</w:t>
          </w:r>
        </w:p>
      </w:tc>
      <w:tc>
        <w:tcPr>
          <w:tcW w:w="3587" w:type="dxa"/>
        </w:tcPr>
        <w:p w14:paraId="1467B143" w14:textId="77777777" w:rsidR="000F1C66" w:rsidRDefault="000F1C66">
          <w:pPr>
            <w:tabs>
              <w:tab w:val="right" w:pos="8838"/>
            </w:tabs>
            <w:ind w:right="-32"/>
          </w:pPr>
          <w:r>
            <w:t>Luis Gustavo Parra Noriega</w:t>
          </w:r>
        </w:p>
      </w:tc>
    </w:tr>
  </w:tbl>
  <w:p w14:paraId="74ECE196" w14:textId="77777777" w:rsidR="000F1C66" w:rsidRDefault="00BF5DBB">
    <w:pPr>
      <w:pBdr>
        <w:top w:val="nil"/>
        <w:left w:val="nil"/>
        <w:bottom w:val="nil"/>
        <w:right w:val="nil"/>
        <w:between w:val="nil"/>
      </w:pBdr>
      <w:tabs>
        <w:tab w:val="center" w:pos="4419"/>
        <w:tab w:val="right" w:pos="8838"/>
      </w:tabs>
      <w:spacing w:after="0" w:line="240" w:lineRule="auto"/>
      <w:rPr>
        <w:color w:val="000000"/>
      </w:rPr>
    </w:pPr>
    <w:r>
      <w:rPr>
        <w:color w:val="000000"/>
      </w:rPr>
      <w:pict w14:anchorId="5F096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6FF8" w14:textId="4B2E7AE2" w:rsidR="000F1C66" w:rsidRDefault="00BF5DBB">
    <w:pPr>
      <w:rPr>
        <w:sz w:val="16"/>
        <w:szCs w:val="16"/>
      </w:rPr>
    </w:pPr>
    <w:r>
      <w:rPr>
        <w:color w:val="000000"/>
      </w:rPr>
      <w:pict w14:anchorId="3E370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70.8pt;margin-top:-126.3pt;width:663.5pt;height:12in;z-index:-251659776;mso-wrap-edited:f;mso-width-percent:0;mso-height-percent:0;mso-position-horizontal-relative:margin;mso-position-vertical-relative:margin;mso-width-percent:0;mso-height-percent:0">
          <v:imagedata r:id="rId1" o:title="image2"/>
          <w10:wrap anchorx="margin" anchory="margin"/>
        </v:shape>
      </w:pict>
    </w:r>
  </w:p>
  <w:tbl>
    <w:tblPr>
      <w:tblStyle w:val="a"/>
      <w:tblW w:w="6095"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4"/>
      <w:gridCol w:w="3691"/>
    </w:tblGrid>
    <w:tr w:rsidR="000F1C66" w14:paraId="087E2B73" w14:textId="77777777" w:rsidTr="00564C15">
      <w:trPr>
        <w:trHeight w:val="141"/>
      </w:trPr>
      <w:tc>
        <w:tcPr>
          <w:tcW w:w="2404" w:type="dxa"/>
        </w:tcPr>
        <w:p w14:paraId="44594EC4" w14:textId="77777777" w:rsidR="000F1C66" w:rsidRDefault="000F1C66">
          <w:pPr>
            <w:tabs>
              <w:tab w:val="right" w:pos="8838"/>
            </w:tabs>
            <w:ind w:left="-395" w:right="-105" w:firstLine="395"/>
            <w:rPr>
              <w:b/>
            </w:rPr>
          </w:pPr>
          <w:r>
            <w:rPr>
              <w:b/>
            </w:rPr>
            <w:t>Recurso de Revisión:</w:t>
          </w:r>
        </w:p>
      </w:tc>
      <w:tc>
        <w:tcPr>
          <w:tcW w:w="3691" w:type="dxa"/>
        </w:tcPr>
        <w:p w14:paraId="312F8E98" w14:textId="54F8C1DC" w:rsidR="000F1C66" w:rsidRDefault="009A4B9D" w:rsidP="00672439">
          <w:pPr>
            <w:tabs>
              <w:tab w:val="right" w:pos="8838"/>
            </w:tabs>
            <w:ind w:left="-28" w:right="454"/>
          </w:pPr>
          <w:r w:rsidRPr="009A4B9D">
            <w:t>01576/INFOEM/IP/RR/2025</w:t>
          </w:r>
        </w:p>
      </w:tc>
    </w:tr>
    <w:tr w:rsidR="000F1C66" w14:paraId="31D07777" w14:textId="77777777" w:rsidTr="00564C15">
      <w:trPr>
        <w:trHeight w:val="276"/>
      </w:trPr>
      <w:tc>
        <w:tcPr>
          <w:tcW w:w="2404" w:type="dxa"/>
        </w:tcPr>
        <w:p w14:paraId="6B55802A" w14:textId="77777777" w:rsidR="000F1C66" w:rsidRDefault="000F1C66">
          <w:pPr>
            <w:tabs>
              <w:tab w:val="right" w:pos="8838"/>
            </w:tabs>
            <w:ind w:right="-105"/>
            <w:rPr>
              <w:b/>
            </w:rPr>
          </w:pPr>
          <w:r>
            <w:rPr>
              <w:b/>
            </w:rPr>
            <w:t>Sujeto Obligado:</w:t>
          </w:r>
        </w:p>
      </w:tc>
      <w:tc>
        <w:tcPr>
          <w:tcW w:w="3691" w:type="dxa"/>
        </w:tcPr>
        <w:p w14:paraId="4A22BD99" w14:textId="68256BB5" w:rsidR="000F1C66" w:rsidRDefault="009A4B9D" w:rsidP="00564C15">
          <w:pPr>
            <w:tabs>
              <w:tab w:val="left" w:pos="3158"/>
              <w:tab w:val="left" w:pos="3579"/>
              <w:tab w:val="left" w:pos="4292"/>
              <w:tab w:val="right" w:pos="8838"/>
            </w:tabs>
            <w:ind w:right="601"/>
          </w:pPr>
          <w:r w:rsidRPr="009A4B9D">
            <w:t>Ayuntamiento de Cuautitlán Izcalli</w:t>
          </w:r>
        </w:p>
      </w:tc>
    </w:tr>
    <w:tr w:rsidR="000F1C66" w14:paraId="161D40C6" w14:textId="77777777" w:rsidTr="00564C15">
      <w:trPr>
        <w:trHeight w:val="276"/>
      </w:trPr>
      <w:tc>
        <w:tcPr>
          <w:tcW w:w="2404" w:type="dxa"/>
        </w:tcPr>
        <w:p w14:paraId="2583E4C0" w14:textId="77777777" w:rsidR="000F1C66" w:rsidRDefault="000F1C66">
          <w:pPr>
            <w:tabs>
              <w:tab w:val="right" w:pos="8838"/>
            </w:tabs>
            <w:ind w:right="-105"/>
            <w:rPr>
              <w:b/>
            </w:rPr>
          </w:pPr>
          <w:r>
            <w:rPr>
              <w:b/>
            </w:rPr>
            <w:t>Comisionado Ponente:</w:t>
          </w:r>
        </w:p>
      </w:tc>
      <w:tc>
        <w:tcPr>
          <w:tcW w:w="3691" w:type="dxa"/>
        </w:tcPr>
        <w:p w14:paraId="4FEB6F64" w14:textId="77777777" w:rsidR="000F1C66" w:rsidRDefault="000F1C66">
          <w:pPr>
            <w:tabs>
              <w:tab w:val="right" w:pos="8838"/>
            </w:tabs>
            <w:ind w:right="454"/>
          </w:pPr>
          <w:r>
            <w:t>Luis Gustavo Parra Noriega</w:t>
          </w:r>
        </w:p>
      </w:tc>
    </w:tr>
  </w:tbl>
  <w:p w14:paraId="7B4A9F8D" w14:textId="78D980C8" w:rsidR="000F1C66" w:rsidRDefault="000F1C6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0D355" w14:textId="77777777" w:rsidR="000F1C66" w:rsidRDefault="000F1C66">
    <w:pPr>
      <w:widowControl w:val="0"/>
      <w:pBdr>
        <w:top w:val="nil"/>
        <w:left w:val="nil"/>
        <w:bottom w:val="nil"/>
        <w:right w:val="nil"/>
        <w:between w:val="nil"/>
      </w:pBdr>
      <w:spacing w:after="0" w:line="276" w:lineRule="auto"/>
      <w:jc w:val="left"/>
      <w:rPr>
        <w:color w:val="000000"/>
      </w:rPr>
    </w:pPr>
  </w:p>
  <w:tbl>
    <w:tblPr>
      <w:tblStyle w:val="a1"/>
      <w:tblW w:w="9214" w:type="dxa"/>
      <w:tblInd w:w="0" w:type="dxa"/>
      <w:tblLayout w:type="fixed"/>
      <w:tblLook w:val="0400" w:firstRow="0" w:lastRow="0" w:firstColumn="0" w:lastColumn="0" w:noHBand="0" w:noVBand="1"/>
    </w:tblPr>
    <w:tblGrid>
      <w:gridCol w:w="2127"/>
      <w:gridCol w:w="7087"/>
    </w:tblGrid>
    <w:tr w:rsidR="000F1C66" w14:paraId="11A312BD" w14:textId="77777777" w:rsidTr="00CE4466">
      <w:trPr>
        <w:trHeight w:val="1546"/>
      </w:trPr>
      <w:tc>
        <w:tcPr>
          <w:tcW w:w="2127" w:type="dxa"/>
          <w:shd w:val="clear" w:color="auto" w:fill="auto"/>
        </w:tcPr>
        <w:p w14:paraId="02785A7F" w14:textId="77777777" w:rsidR="000F1C66" w:rsidRDefault="000F1C66">
          <w:pPr>
            <w:tabs>
              <w:tab w:val="right" w:pos="4273"/>
            </w:tabs>
            <w:rPr>
              <w:rFonts w:ascii="Garamond" w:eastAsia="Garamond" w:hAnsi="Garamond" w:cs="Garamond"/>
              <w:sz w:val="16"/>
              <w:szCs w:val="16"/>
            </w:rPr>
          </w:pPr>
        </w:p>
      </w:tc>
      <w:tc>
        <w:tcPr>
          <w:tcW w:w="7087" w:type="dxa"/>
          <w:shd w:val="clear" w:color="auto" w:fill="auto"/>
        </w:tcPr>
        <w:tbl>
          <w:tblPr>
            <w:tblStyle w:val="a2"/>
            <w:tblW w:w="6379" w:type="dxa"/>
            <w:tblInd w:w="1593"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0F1C66" w14:paraId="4D093FE8" w14:textId="77777777" w:rsidTr="00564C15">
            <w:trPr>
              <w:trHeight w:val="141"/>
            </w:trPr>
            <w:tc>
              <w:tcPr>
                <w:tcW w:w="2404" w:type="dxa"/>
                <w:vAlign w:val="bottom"/>
              </w:tcPr>
              <w:p w14:paraId="19B4B05D" w14:textId="77777777" w:rsidR="000F1C66" w:rsidRDefault="000F1C66">
                <w:pPr>
                  <w:tabs>
                    <w:tab w:val="right" w:pos="8838"/>
                  </w:tabs>
                  <w:ind w:right="-105"/>
                  <w:rPr>
                    <w:b/>
                  </w:rPr>
                </w:pPr>
                <w:r>
                  <w:rPr>
                    <w:b/>
                  </w:rPr>
                  <w:t>Recurso de Revisión:</w:t>
                </w:r>
              </w:p>
            </w:tc>
            <w:tc>
              <w:tcPr>
                <w:tcW w:w="3975" w:type="dxa"/>
              </w:tcPr>
              <w:p w14:paraId="43DE950F" w14:textId="267DF185" w:rsidR="000F1C66" w:rsidRDefault="009A4B9D">
                <w:pPr>
                  <w:tabs>
                    <w:tab w:val="right" w:pos="8838"/>
                  </w:tabs>
                  <w:ind w:left="-28" w:right="-107"/>
                </w:pPr>
                <w:r w:rsidRPr="009A4B9D">
                  <w:t>01576/INFOEM/IP/RR/2025</w:t>
                </w:r>
              </w:p>
            </w:tc>
          </w:tr>
          <w:tr w:rsidR="000F1C66" w14:paraId="073EAE42" w14:textId="77777777" w:rsidTr="00564C15">
            <w:trPr>
              <w:trHeight w:val="141"/>
            </w:trPr>
            <w:tc>
              <w:tcPr>
                <w:tcW w:w="2404" w:type="dxa"/>
              </w:tcPr>
              <w:p w14:paraId="76E590DA" w14:textId="77777777" w:rsidR="000F1C66" w:rsidRDefault="000F1C66">
                <w:pPr>
                  <w:tabs>
                    <w:tab w:val="right" w:pos="8838"/>
                  </w:tabs>
                  <w:ind w:right="-105"/>
                  <w:rPr>
                    <w:b/>
                  </w:rPr>
                </w:pPr>
                <w:r>
                  <w:rPr>
                    <w:b/>
                  </w:rPr>
                  <w:t>Recurrente:</w:t>
                </w:r>
              </w:p>
            </w:tc>
            <w:tc>
              <w:tcPr>
                <w:tcW w:w="3975" w:type="dxa"/>
              </w:tcPr>
              <w:p w14:paraId="5FF2F8C6" w14:textId="369A2C72" w:rsidR="000F1C66" w:rsidRDefault="00FB4B43">
                <w:pPr>
                  <w:tabs>
                    <w:tab w:val="right" w:pos="8838"/>
                  </w:tabs>
                  <w:ind w:right="-107"/>
                </w:pPr>
                <w:r w:rsidRPr="00FB4B43">
                  <w:rPr>
                    <w:highlight w:val="black"/>
                  </w:rPr>
                  <w:t>XXXXXXXXXXXXX</w:t>
                </w:r>
              </w:p>
            </w:tc>
          </w:tr>
          <w:tr w:rsidR="000F1C66" w14:paraId="009C2510" w14:textId="77777777" w:rsidTr="00564C15">
            <w:trPr>
              <w:trHeight w:val="276"/>
            </w:trPr>
            <w:tc>
              <w:tcPr>
                <w:tcW w:w="2404" w:type="dxa"/>
              </w:tcPr>
              <w:p w14:paraId="0AAFC3CA" w14:textId="77777777" w:rsidR="000F1C66" w:rsidRDefault="000F1C66">
                <w:pPr>
                  <w:tabs>
                    <w:tab w:val="right" w:pos="8838"/>
                  </w:tabs>
                  <w:ind w:right="-105"/>
                  <w:rPr>
                    <w:b/>
                  </w:rPr>
                </w:pPr>
                <w:r>
                  <w:rPr>
                    <w:b/>
                  </w:rPr>
                  <w:t>Sujeto Obligado:</w:t>
                </w:r>
              </w:p>
            </w:tc>
            <w:tc>
              <w:tcPr>
                <w:tcW w:w="3975" w:type="dxa"/>
              </w:tcPr>
              <w:p w14:paraId="7DBD9079" w14:textId="77777777" w:rsidR="009A4B9D" w:rsidRDefault="009A4B9D">
                <w:pPr>
                  <w:tabs>
                    <w:tab w:val="right" w:pos="8838"/>
                  </w:tabs>
                  <w:ind w:right="33"/>
                </w:pPr>
                <w:r w:rsidRPr="009A4B9D">
                  <w:t xml:space="preserve">Ayuntamiento de Cuautitlán </w:t>
                </w:r>
              </w:p>
              <w:p w14:paraId="13F6DD80" w14:textId="6C5C64AB" w:rsidR="000F1C66" w:rsidRDefault="009A4B9D">
                <w:pPr>
                  <w:tabs>
                    <w:tab w:val="right" w:pos="8838"/>
                  </w:tabs>
                  <w:ind w:right="33"/>
                </w:pPr>
                <w:r w:rsidRPr="009A4B9D">
                  <w:t>Izcalli</w:t>
                </w:r>
              </w:p>
            </w:tc>
          </w:tr>
          <w:tr w:rsidR="000F1C66" w14:paraId="7A4EADF6" w14:textId="77777777" w:rsidTr="00564C15">
            <w:trPr>
              <w:trHeight w:val="276"/>
            </w:trPr>
            <w:tc>
              <w:tcPr>
                <w:tcW w:w="2404" w:type="dxa"/>
              </w:tcPr>
              <w:p w14:paraId="014674B7" w14:textId="77777777" w:rsidR="000F1C66" w:rsidRDefault="000F1C66">
                <w:pPr>
                  <w:tabs>
                    <w:tab w:val="right" w:pos="8838"/>
                  </w:tabs>
                  <w:ind w:right="-105"/>
                  <w:rPr>
                    <w:b/>
                  </w:rPr>
                </w:pPr>
                <w:r>
                  <w:rPr>
                    <w:b/>
                  </w:rPr>
                  <w:t>Comisionado Ponente:</w:t>
                </w:r>
              </w:p>
            </w:tc>
            <w:tc>
              <w:tcPr>
                <w:tcW w:w="3975" w:type="dxa"/>
              </w:tcPr>
              <w:p w14:paraId="06F82FCE" w14:textId="77777777" w:rsidR="000F1C66" w:rsidRDefault="000F1C66">
                <w:pPr>
                  <w:tabs>
                    <w:tab w:val="right" w:pos="8838"/>
                  </w:tabs>
                  <w:ind w:right="-107"/>
                </w:pPr>
                <w:r>
                  <w:t>Luis Gustavo Parra Noriega</w:t>
                </w:r>
              </w:p>
            </w:tc>
          </w:tr>
        </w:tbl>
        <w:p w14:paraId="3774A9CE" w14:textId="77777777" w:rsidR="000F1C66" w:rsidRDefault="000F1C66">
          <w:pPr>
            <w:tabs>
              <w:tab w:val="right" w:pos="8838"/>
            </w:tabs>
            <w:ind w:left="-28"/>
            <w:rPr>
              <w:rFonts w:ascii="Arial" w:eastAsia="Arial" w:hAnsi="Arial" w:cs="Arial"/>
              <w:b/>
            </w:rPr>
          </w:pPr>
        </w:p>
      </w:tc>
    </w:tr>
  </w:tbl>
  <w:p w14:paraId="38129A67" w14:textId="77777777" w:rsidR="000F1C66" w:rsidRDefault="00BF5DBB">
    <w:pPr>
      <w:pBdr>
        <w:top w:val="nil"/>
        <w:left w:val="nil"/>
        <w:bottom w:val="nil"/>
        <w:right w:val="nil"/>
        <w:between w:val="nil"/>
      </w:pBdr>
      <w:tabs>
        <w:tab w:val="center" w:pos="4419"/>
        <w:tab w:val="right" w:pos="8838"/>
      </w:tabs>
      <w:spacing w:after="0" w:line="240" w:lineRule="auto"/>
      <w:rPr>
        <w:color w:val="000000"/>
      </w:rPr>
    </w:pPr>
    <w:r>
      <w:rPr>
        <w:color w:val="000000"/>
      </w:rPr>
      <w:pict w14:anchorId="4DC54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97.1pt;margin-top:-127.6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142C"/>
    <w:multiLevelType w:val="hybridMultilevel"/>
    <w:tmpl w:val="C5E6C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DE220C8"/>
    <w:multiLevelType w:val="hybridMultilevel"/>
    <w:tmpl w:val="C360BD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7331A4"/>
    <w:multiLevelType w:val="hybridMultilevel"/>
    <w:tmpl w:val="26E0D64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6FF069E"/>
    <w:multiLevelType w:val="hybridMultilevel"/>
    <w:tmpl w:val="36AE1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C98550A"/>
    <w:multiLevelType w:val="hybridMultilevel"/>
    <w:tmpl w:val="500C61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C0D1D37"/>
    <w:multiLevelType w:val="hybridMultilevel"/>
    <w:tmpl w:val="6D3854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E607AD"/>
    <w:multiLevelType w:val="hybridMultilevel"/>
    <w:tmpl w:val="2E5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FD12AD"/>
    <w:multiLevelType w:val="hybridMultilevel"/>
    <w:tmpl w:val="5A000A44"/>
    <w:lvl w:ilvl="0" w:tplc="5A5E2FB6">
      <w:start w:val="1"/>
      <w:numFmt w:val="decimal"/>
      <w:lvlText w:val="%1."/>
      <w:lvlJc w:val="left"/>
      <w:pPr>
        <w:ind w:left="106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9B63059"/>
    <w:multiLevelType w:val="hybridMultilevel"/>
    <w:tmpl w:val="EF842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267057"/>
    <w:multiLevelType w:val="multilevel"/>
    <w:tmpl w:val="060A270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5C2585F"/>
    <w:multiLevelType w:val="hybridMultilevel"/>
    <w:tmpl w:val="20164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E9E5928"/>
    <w:multiLevelType w:val="hybridMultilevel"/>
    <w:tmpl w:val="508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
  </w:num>
  <w:num w:numId="5">
    <w:abstractNumId w:val="1"/>
  </w:num>
  <w:num w:numId="6">
    <w:abstractNumId w:val="21"/>
  </w:num>
  <w:num w:numId="7">
    <w:abstractNumId w:val="2"/>
  </w:num>
  <w:num w:numId="8">
    <w:abstractNumId w:val="11"/>
  </w:num>
  <w:num w:numId="9">
    <w:abstractNumId w:val="8"/>
  </w:num>
  <w:num w:numId="10">
    <w:abstractNumId w:val="12"/>
  </w:num>
  <w:num w:numId="11">
    <w:abstractNumId w:val="10"/>
  </w:num>
  <w:num w:numId="12">
    <w:abstractNumId w:val="3"/>
  </w:num>
  <w:num w:numId="13">
    <w:abstractNumId w:val="0"/>
  </w:num>
  <w:num w:numId="14">
    <w:abstractNumId w:val="5"/>
  </w:num>
  <w:num w:numId="15">
    <w:abstractNumId w:val="6"/>
  </w:num>
  <w:num w:numId="16">
    <w:abstractNumId w:val="17"/>
  </w:num>
  <w:num w:numId="17">
    <w:abstractNumId w:val="15"/>
  </w:num>
  <w:num w:numId="18">
    <w:abstractNumId w:val="4"/>
  </w:num>
  <w:num w:numId="19">
    <w:abstractNumId w:val="9"/>
  </w:num>
  <w:num w:numId="20">
    <w:abstractNumId w:val="14"/>
  </w:num>
  <w:num w:numId="21">
    <w:abstractNumId w:val="2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8A5"/>
    <w:rsid w:val="0001121A"/>
    <w:rsid w:val="000152C3"/>
    <w:rsid w:val="00030A14"/>
    <w:rsid w:val="000333F3"/>
    <w:rsid w:val="00061E62"/>
    <w:rsid w:val="000620C8"/>
    <w:rsid w:val="000678E8"/>
    <w:rsid w:val="0008574F"/>
    <w:rsid w:val="000A5247"/>
    <w:rsid w:val="000C03C1"/>
    <w:rsid w:val="000C455C"/>
    <w:rsid w:val="000E51A2"/>
    <w:rsid w:val="000F1C66"/>
    <w:rsid w:val="00116267"/>
    <w:rsid w:val="00123ED6"/>
    <w:rsid w:val="001A043A"/>
    <w:rsid w:val="001A3FA2"/>
    <w:rsid w:val="001A4D72"/>
    <w:rsid w:val="001A518F"/>
    <w:rsid w:val="001A54EF"/>
    <w:rsid w:val="001B2B90"/>
    <w:rsid w:val="001C3D22"/>
    <w:rsid w:val="001E3BEF"/>
    <w:rsid w:val="001F1666"/>
    <w:rsid w:val="001F7131"/>
    <w:rsid w:val="00201106"/>
    <w:rsid w:val="002105C0"/>
    <w:rsid w:val="0026142D"/>
    <w:rsid w:val="00267D04"/>
    <w:rsid w:val="00271EEF"/>
    <w:rsid w:val="0027405F"/>
    <w:rsid w:val="0027513C"/>
    <w:rsid w:val="00281A8C"/>
    <w:rsid w:val="00284A80"/>
    <w:rsid w:val="002A1E5F"/>
    <w:rsid w:val="002A4B9F"/>
    <w:rsid w:val="002B3613"/>
    <w:rsid w:val="002B5360"/>
    <w:rsid w:val="002B77FE"/>
    <w:rsid w:val="002D0172"/>
    <w:rsid w:val="002E16EE"/>
    <w:rsid w:val="0030191A"/>
    <w:rsid w:val="00321F56"/>
    <w:rsid w:val="003313D5"/>
    <w:rsid w:val="00355945"/>
    <w:rsid w:val="00365E17"/>
    <w:rsid w:val="00372769"/>
    <w:rsid w:val="0038068D"/>
    <w:rsid w:val="003A3101"/>
    <w:rsid w:val="00400449"/>
    <w:rsid w:val="00416366"/>
    <w:rsid w:val="00427391"/>
    <w:rsid w:val="00432851"/>
    <w:rsid w:val="0045203D"/>
    <w:rsid w:val="00480823"/>
    <w:rsid w:val="004B1A80"/>
    <w:rsid w:val="004B2592"/>
    <w:rsid w:val="004B503B"/>
    <w:rsid w:val="004C4B87"/>
    <w:rsid w:val="004D37D8"/>
    <w:rsid w:val="004F3ED2"/>
    <w:rsid w:val="00500D89"/>
    <w:rsid w:val="00564C15"/>
    <w:rsid w:val="005B5E7C"/>
    <w:rsid w:val="005C4CEA"/>
    <w:rsid w:val="005D7AEB"/>
    <w:rsid w:val="00600C74"/>
    <w:rsid w:val="00603C0C"/>
    <w:rsid w:val="0060513D"/>
    <w:rsid w:val="006269DD"/>
    <w:rsid w:val="0064358B"/>
    <w:rsid w:val="00647460"/>
    <w:rsid w:val="0064764C"/>
    <w:rsid w:val="006515E5"/>
    <w:rsid w:val="00670439"/>
    <w:rsid w:val="00672439"/>
    <w:rsid w:val="006819BC"/>
    <w:rsid w:val="0068258C"/>
    <w:rsid w:val="006B2B9D"/>
    <w:rsid w:val="006D4068"/>
    <w:rsid w:val="006E46EA"/>
    <w:rsid w:val="006E6C38"/>
    <w:rsid w:val="0070456F"/>
    <w:rsid w:val="00760CA6"/>
    <w:rsid w:val="0076362A"/>
    <w:rsid w:val="0078202B"/>
    <w:rsid w:val="00791585"/>
    <w:rsid w:val="007A54F7"/>
    <w:rsid w:val="007E19B4"/>
    <w:rsid w:val="008022FE"/>
    <w:rsid w:val="00802E3A"/>
    <w:rsid w:val="008061A1"/>
    <w:rsid w:val="00827EA8"/>
    <w:rsid w:val="00836753"/>
    <w:rsid w:val="00850D54"/>
    <w:rsid w:val="00862C79"/>
    <w:rsid w:val="00876057"/>
    <w:rsid w:val="008854E3"/>
    <w:rsid w:val="00897C88"/>
    <w:rsid w:val="008B1792"/>
    <w:rsid w:val="008C369E"/>
    <w:rsid w:val="00901916"/>
    <w:rsid w:val="0090345F"/>
    <w:rsid w:val="00903A83"/>
    <w:rsid w:val="00921B80"/>
    <w:rsid w:val="00922619"/>
    <w:rsid w:val="00931903"/>
    <w:rsid w:val="00933D31"/>
    <w:rsid w:val="009354C9"/>
    <w:rsid w:val="0093706C"/>
    <w:rsid w:val="0098702F"/>
    <w:rsid w:val="009A0999"/>
    <w:rsid w:val="009A4B9D"/>
    <w:rsid w:val="009C3A65"/>
    <w:rsid w:val="009D5DFC"/>
    <w:rsid w:val="009E143C"/>
    <w:rsid w:val="009F177B"/>
    <w:rsid w:val="009F4781"/>
    <w:rsid w:val="00A169B3"/>
    <w:rsid w:val="00A31D29"/>
    <w:rsid w:val="00A340DF"/>
    <w:rsid w:val="00A3628B"/>
    <w:rsid w:val="00A36580"/>
    <w:rsid w:val="00A50615"/>
    <w:rsid w:val="00A6353E"/>
    <w:rsid w:val="00A7495B"/>
    <w:rsid w:val="00A86E62"/>
    <w:rsid w:val="00AA2126"/>
    <w:rsid w:val="00AA681D"/>
    <w:rsid w:val="00AE68DB"/>
    <w:rsid w:val="00AF1546"/>
    <w:rsid w:val="00B00822"/>
    <w:rsid w:val="00B12E36"/>
    <w:rsid w:val="00B2250B"/>
    <w:rsid w:val="00B46A70"/>
    <w:rsid w:val="00B574FD"/>
    <w:rsid w:val="00B662E6"/>
    <w:rsid w:val="00B663EA"/>
    <w:rsid w:val="00BA1C09"/>
    <w:rsid w:val="00BA599A"/>
    <w:rsid w:val="00BC37F6"/>
    <w:rsid w:val="00BD5CCE"/>
    <w:rsid w:val="00BD76D4"/>
    <w:rsid w:val="00BF4381"/>
    <w:rsid w:val="00BF5DBB"/>
    <w:rsid w:val="00C13CA5"/>
    <w:rsid w:val="00C23341"/>
    <w:rsid w:val="00C4008C"/>
    <w:rsid w:val="00C4170A"/>
    <w:rsid w:val="00C54A79"/>
    <w:rsid w:val="00C6112D"/>
    <w:rsid w:val="00C776C5"/>
    <w:rsid w:val="00CA016E"/>
    <w:rsid w:val="00CA3ACE"/>
    <w:rsid w:val="00CA79CD"/>
    <w:rsid w:val="00CC263D"/>
    <w:rsid w:val="00CE19BD"/>
    <w:rsid w:val="00CE3B03"/>
    <w:rsid w:val="00CE4466"/>
    <w:rsid w:val="00CE58A5"/>
    <w:rsid w:val="00CF0CB5"/>
    <w:rsid w:val="00CF6EC8"/>
    <w:rsid w:val="00D4464F"/>
    <w:rsid w:val="00D44EDE"/>
    <w:rsid w:val="00D51406"/>
    <w:rsid w:val="00D52F9F"/>
    <w:rsid w:val="00D7798F"/>
    <w:rsid w:val="00D93ABD"/>
    <w:rsid w:val="00DB2E59"/>
    <w:rsid w:val="00DD7C00"/>
    <w:rsid w:val="00DE3BBD"/>
    <w:rsid w:val="00DF3081"/>
    <w:rsid w:val="00DF6F15"/>
    <w:rsid w:val="00E03F94"/>
    <w:rsid w:val="00E27D46"/>
    <w:rsid w:val="00E51F39"/>
    <w:rsid w:val="00E57161"/>
    <w:rsid w:val="00E624D4"/>
    <w:rsid w:val="00E73EE5"/>
    <w:rsid w:val="00E763D9"/>
    <w:rsid w:val="00EA18B6"/>
    <w:rsid w:val="00ED280F"/>
    <w:rsid w:val="00F03AF0"/>
    <w:rsid w:val="00F04222"/>
    <w:rsid w:val="00F1744F"/>
    <w:rsid w:val="00F17C0B"/>
    <w:rsid w:val="00F24F9B"/>
    <w:rsid w:val="00F44355"/>
    <w:rsid w:val="00F84B60"/>
    <w:rsid w:val="00F93025"/>
    <w:rsid w:val="00FB4B43"/>
    <w:rsid w:val="00FB6A6B"/>
    <w:rsid w:val="00FD0C0D"/>
    <w:rsid w:val="00FD72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EC749"/>
  <w15:docId w15:val="{220D7430-DA4E-794B-8599-BDE41381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7A9"/>
    <w:rPr>
      <w:color w:val="000000" w:themeColor="text1"/>
    </w:rPr>
  </w:style>
  <w:style w:type="paragraph" w:styleId="Ttulo1">
    <w:name w:val="heading 1"/>
    <w:basedOn w:val="Normal"/>
    <w:next w:val="Normal"/>
    <w:link w:val="Ttulo1Car"/>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link w:val="Ttulo2Car"/>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Ttulo1Car">
    <w:name w:val="Título 1 Car"/>
    <w:basedOn w:val="Fuentedeprrafopredeter"/>
    <w:link w:val="Ttulo1"/>
    <w:uiPriority w:val="9"/>
    <w:rsid w:val="00564C15"/>
    <w:rPr>
      <w:b/>
      <w:color w:val="000000" w:themeColor="text1"/>
      <w:sz w:val="24"/>
      <w:szCs w:val="48"/>
    </w:rPr>
  </w:style>
  <w:style w:type="character" w:customStyle="1" w:styleId="Ttulo2Car">
    <w:name w:val="Título 2 Car"/>
    <w:basedOn w:val="Fuentedeprrafopredeter"/>
    <w:link w:val="Ttulo2"/>
    <w:uiPriority w:val="9"/>
    <w:rsid w:val="00564C15"/>
    <w:rPr>
      <w:b/>
      <w:color w:val="000000" w:themeColor="text1"/>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8115">
      <w:bodyDiv w:val="1"/>
      <w:marLeft w:val="0"/>
      <w:marRight w:val="0"/>
      <w:marTop w:val="0"/>
      <w:marBottom w:val="0"/>
      <w:divBdr>
        <w:top w:val="none" w:sz="0" w:space="0" w:color="auto"/>
        <w:left w:val="none" w:sz="0" w:space="0" w:color="auto"/>
        <w:bottom w:val="none" w:sz="0" w:space="0" w:color="auto"/>
        <w:right w:val="none" w:sz="0" w:space="0" w:color="auto"/>
      </w:divBdr>
    </w:div>
    <w:div w:id="140773794">
      <w:bodyDiv w:val="1"/>
      <w:marLeft w:val="0"/>
      <w:marRight w:val="0"/>
      <w:marTop w:val="0"/>
      <w:marBottom w:val="0"/>
      <w:divBdr>
        <w:top w:val="none" w:sz="0" w:space="0" w:color="auto"/>
        <w:left w:val="none" w:sz="0" w:space="0" w:color="auto"/>
        <w:bottom w:val="none" w:sz="0" w:space="0" w:color="auto"/>
        <w:right w:val="none" w:sz="0" w:space="0" w:color="auto"/>
      </w:divBdr>
    </w:div>
    <w:div w:id="475071237">
      <w:bodyDiv w:val="1"/>
      <w:marLeft w:val="0"/>
      <w:marRight w:val="0"/>
      <w:marTop w:val="0"/>
      <w:marBottom w:val="0"/>
      <w:divBdr>
        <w:top w:val="none" w:sz="0" w:space="0" w:color="auto"/>
        <w:left w:val="none" w:sz="0" w:space="0" w:color="auto"/>
        <w:bottom w:val="none" w:sz="0" w:space="0" w:color="auto"/>
        <w:right w:val="none" w:sz="0" w:space="0" w:color="auto"/>
      </w:divBdr>
    </w:div>
    <w:div w:id="600262563">
      <w:bodyDiv w:val="1"/>
      <w:marLeft w:val="0"/>
      <w:marRight w:val="0"/>
      <w:marTop w:val="0"/>
      <w:marBottom w:val="0"/>
      <w:divBdr>
        <w:top w:val="none" w:sz="0" w:space="0" w:color="auto"/>
        <w:left w:val="none" w:sz="0" w:space="0" w:color="auto"/>
        <w:bottom w:val="none" w:sz="0" w:space="0" w:color="auto"/>
        <w:right w:val="none" w:sz="0" w:space="0" w:color="auto"/>
      </w:divBdr>
    </w:div>
    <w:div w:id="904147859">
      <w:bodyDiv w:val="1"/>
      <w:marLeft w:val="0"/>
      <w:marRight w:val="0"/>
      <w:marTop w:val="0"/>
      <w:marBottom w:val="0"/>
      <w:divBdr>
        <w:top w:val="none" w:sz="0" w:space="0" w:color="auto"/>
        <w:left w:val="none" w:sz="0" w:space="0" w:color="auto"/>
        <w:bottom w:val="none" w:sz="0" w:space="0" w:color="auto"/>
        <w:right w:val="none" w:sz="0" w:space="0" w:color="auto"/>
      </w:divBdr>
    </w:div>
    <w:div w:id="969478302">
      <w:bodyDiv w:val="1"/>
      <w:marLeft w:val="0"/>
      <w:marRight w:val="0"/>
      <w:marTop w:val="0"/>
      <w:marBottom w:val="0"/>
      <w:divBdr>
        <w:top w:val="none" w:sz="0" w:space="0" w:color="auto"/>
        <w:left w:val="none" w:sz="0" w:space="0" w:color="auto"/>
        <w:bottom w:val="none" w:sz="0" w:space="0" w:color="auto"/>
        <w:right w:val="none" w:sz="0" w:space="0" w:color="auto"/>
      </w:divBdr>
    </w:div>
    <w:div w:id="989018390">
      <w:bodyDiv w:val="1"/>
      <w:marLeft w:val="0"/>
      <w:marRight w:val="0"/>
      <w:marTop w:val="0"/>
      <w:marBottom w:val="0"/>
      <w:divBdr>
        <w:top w:val="none" w:sz="0" w:space="0" w:color="auto"/>
        <w:left w:val="none" w:sz="0" w:space="0" w:color="auto"/>
        <w:bottom w:val="none" w:sz="0" w:space="0" w:color="auto"/>
        <w:right w:val="none" w:sz="0" w:space="0" w:color="auto"/>
      </w:divBdr>
    </w:div>
    <w:div w:id="1196966480">
      <w:bodyDiv w:val="1"/>
      <w:marLeft w:val="0"/>
      <w:marRight w:val="0"/>
      <w:marTop w:val="0"/>
      <w:marBottom w:val="0"/>
      <w:divBdr>
        <w:top w:val="none" w:sz="0" w:space="0" w:color="auto"/>
        <w:left w:val="none" w:sz="0" w:space="0" w:color="auto"/>
        <w:bottom w:val="none" w:sz="0" w:space="0" w:color="auto"/>
        <w:right w:val="none" w:sz="0" w:space="0" w:color="auto"/>
      </w:divBdr>
    </w:div>
    <w:div w:id="1209031358">
      <w:bodyDiv w:val="1"/>
      <w:marLeft w:val="0"/>
      <w:marRight w:val="0"/>
      <w:marTop w:val="0"/>
      <w:marBottom w:val="0"/>
      <w:divBdr>
        <w:top w:val="none" w:sz="0" w:space="0" w:color="auto"/>
        <w:left w:val="none" w:sz="0" w:space="0" w:color="auto"/>
        <w:bottom w:val="none" w:sz="0" w:space="0" w:color="auto"/>
        <w:right w:val="none" w:sz="0" w:space="0" w:color="auto"/>
      </w:divBdr>
    </w:div>
    <w:div w:id="1584990588">
      <w:bodyDiv w:val="1"/>
      <w:marLeft w:val="0"/>
      <w:marRight w:val="0"/>
      <w:marTop w:val="0"/>
      <w:marBottom w:val="0"/>
      <w:divBdr>
        <w:top w:val="none" w:sz="0" w:space="0" w:color="auto"/>
        <w:left w:val="none" w:sz="0" w:space="0" w:color="auto"/>
        <w:bottom w:val="none" w:sz="0" w:space="0" w:color="auto"/>
        <w:right w:val="none" w:sz="0" w:space="0" w:color="auto"/>
      </w:divBdr>
      <w:divsChild>
        <w:div w:id="164513933">
          <w:marLeft w:val="0"/>
          <w:marRight w:val="-18928"/>
          <w:marTop w:val="2835"/>
          <w:marBottom w:val="0"/>
          <w:divBdr>
            <w:top w:val="single" w:sz="2" w:space="0" w:color="auto"/>
            <w:left w:val="single" w:sz="2" w:space="0" w:color="auto"/>
            <w:bottom w:val="single" w:sz="2" w:space="0" w:color="auto"/>
            <w:right w:val="single" w:sz="2" w:space="0" w:color="auto"/>
          </w:divBdr>
        </w:div>
        <w:div w:id="1703817986">
          <w:marLeft w:val="0"/>
          <w:marRight w:val="-18928"/>
          <w:marTop w:val="3525"/>
          <w:marBottom w:val="0"/>
          <w:divBdr>
            <w:top w:val="single" w:sz="2" w:space="0" w:color="auto"/>
            <w:left w:val="single" w:sz="2" w:space="0" w:color="auto"/>
            <w:bottom w:val="single" w:sz="2" w:space="0" w:color="auto"/>
            <w:right w:val="single" w:sz="2" w:space="0" w:color="auto"/>
          </w:divBdr>
        </w:div>
      </w:divsChild>
    </w:div>
    <w:div w:id="1815675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app.cfe.mx/Aplicaciones/OTROS/Boletines/boletin?i=2405"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K429uzWx4VWYw8qmXf6QOzx2w==">CgMxLjA4AHIhMVFGTFBWOVNXRDJDSk5FN2JkVEYxTUExcTFVRGRMbWl6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E221C8-C7AA-462F-A0D1-8269FA5A3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3735</Words>
  <Characters>20548</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HECTOR FABIAN ORDOÑEZ GARCIA</cp:lastModifiedBy>
  <cp:revision>4</cp:revision>
  <cp:lastPrinted>2025-04-04T16:36:00Z</cp:lastPrinted>
  <dcterms:created xsi:type="dcterms:W3CDTF">2025-04-04T16:36:00Z</dcterms:created>
  <dcterms:modified xsi:type="dcterms:W3CDTF">2025-04-28T20:34:00Z</dcterms:modified>
</cp:coreProperties>
</file>