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38D" w:rsidRPr="006447ED" w:rsidRDefault="00BB5CA3">
      <w:pPr>
        <w:shd w:val="clear" w:color="auto" w:fill="FFFFFF"/>
        <w:spacing w:line="360" w:lineRule="auto"/>
        <w:ind w:right="-517"/>
        <w:jc w:val="both"/>
        <w:rPr>
          <w:rFonts w:ascii="Palatino Linotype" w:eastAsia="Palatino Linotype" w:hAnsi="Palatino Linotype" w:cs="Palatino Linotype"/>
          <w:color w:val="000000"/>
        </w:rPr>
      </w:pPr>
      <w:r w:rsidRPr="006447ED">
        <w:rPr>
          <w:rFonts w:ascii="Palatino Linotype" w:eastAsia="Palatino Linotype" w:hAnsi="Palatino Linotype" w:cs="Palatino Linotype"/>
          <w:color w:val="000000"/>
        </w:rPr>
        <w:t xml:space="preserve">Resolución del Pleno del Instituto de Transparencia, Acceso a la Información Pública y Protección de Datos Personales del Estado de México y Municipios, con domicilio en Metepec, Estado de México, </w:t>
      </w:r>
      <w:r w:rsidRPr="006447ED">
        <w:rPr>
          <w:rFonts w:ascii="Palatino Linotype" w:eastAsia="Palatino Linotype" w:hAnsi="Palatino Linotype" w:cs="Palatino Linotype"/>
        </w:rPr>
        <w:t>de fecha</w:t>
      </w:r>
      <w:r w:rsidRPr="006447ED">
        <w:rPr>
          <w:rFonts w:ascii="Palatino Linotype" w:eastAsia="Palatino Linotype" w:hAnsi="Palatino Linotype" w:cs="Palatino Linotype"/>
          <w:color w:val="000000"/>
        </w:rPr>
        <w:t xml:space="preserve"> seis (06) de febrero </w:t>
      </w:r>
      <w:r w:rsidRPr="006447ED">
        <w:rPr>
          <w:rFonts w:ascii="Palatino Linotype" w:eastAsia="Palatino Linotype" w:hAnsi="Palatino Linotype" w:cs="Palatino Linotype"/>
        </w:rPr>
        <w:t>de dos</w:t>
      </w:r>
      <w:r w:rsidRPr="006447ED">
        <w:rPr>
          <w:rFonts w:ascii="Palatino Linotype" w:eastAsia="Palatino Linotype" w:hAnsi="Palatino Linotype" w:cs="Palatino Linotype"/>
          <w:color w:val="000000"/>
        </w:rPr>
        <w:t xml:space="preserve"> mil veinticinco.</w:t>
      </w:r>
    </w:p>
    <w:p w:rsidR="003D638D" w:rsidRPr="006447ED" w:rsidRDefault="003D638D">
      <w:pPr>
        <w:tabs>
          <w:tab w:val="left" w:pos="1701"/>
        </w:tabs>
        <w:spacing w:line="360" w:lineRule="auto"/>
        <w:ind w:right="-517"/>
        <w:jc w:val="both"/>
        <w:rPr>
          <w:rFonts w:ascii="Palatino Linotype" w:eastAsia="Palatino Linotype" w:hAnsi="Palatino Linotype" w:cs="Palatino Linotype"/>
          <w:color w:val="000000"/>
        </w:rPr>
      </w:pPr>
      <w:bookmarkStart w:id="0" w:name="_heading=h.30j0zll" w:colFirst="0" w:colLast="0"/>
      <w:bookmarkEnd w:id="0"/>
    </w:p>
    <w:p w:rsidR="003D638D" w:rsidRPr="006447ED" w:rsidRDefault="00BB5CA3">
      <w:pPr>
        <w:tabs>
          <w:tab w:val="left" w:pos="1701"/>
        </w:tabs>
        <w:spacing w:line="360" w:lineRule="auto"/>
        <w:ind w:right="-517"/>
        <w:jc w:val="both"/>
        <w:rPr>
          <w:rFonts w:ascii="Palatino Linotype" w:eastAsia="Palatino Linotype" w:hAnsi="Palatino Linotype" w:cs="Palatino Linotype"/>
        </w:rPr>
      </w:pPr>
      <w:r w:rsidRPr="006447ED">
        <w:rPr>
          <w:rFonts w:ascii="Palatino Linotype" w:eastAsia="Palatino Linotype" w:hAnsi="Palatino Linotype" w:cs="Palatino Linotype"/>
          <w:b/>
        </w:rPr>
        <w:t>VISTO</w:t>
      </w:r>
      <w:r w:rsidRPr="006447ED">
        <w:rPr>
          <w:rFonts w:ascii="Palatino Linotype" w:eastAsia="Palatino Linotype" w:hAnsi="Palatino Linotype" w:cs="Palatino Linotype"/>
        </w:rPr>
        <w:t xml:space="preserve"> el expediente electrónicos formados con motivo del recurso de revisión número </w:t>
      </w:r>
      <w:r w:rsidRPr="006447ED">
        <w:rPr>
          <w:rFonts w:ascii="Palatino Linotype" w:eastAsia="Palatino Linotype" w:hAnsi="Palatino Linotype" w:cs="Palatino Linotype"/>
          <w:b/>
        </w:rPr>
        <w:t>00038/INFOEM/IP/RR/2025</w:t>
      </w:r>
      <w:r w:rsidRPr="006447ED">
        <w:rPr>
          <w:rFonts w:ascii="Palatino Linotype" w:eastAsia="Palatino Linotype" w:hAnsi="Palatino Linotype" w:cs="Palatino Linotype"/>
        </w:rPr>
        <w:t xml:space="preserve">, interpuesto por </w:t>
      </w:r>
      <w:r w:rsidR="008F0EF7">
        <w:rPr>
          <w:rFonts w:ascii="Palatino Linotype" w:eastAsia="Palatino Linotype" w:hAnsi="Palatino Linotype" w:cs="Palatino Linotype"/>
          <w:b/>
        </w:rPr>
        <w:t>XXXXXXXXX</w:t>
      </w:r>
      <w:r w:rsidRPr="006447ED">
        <w:rPr>
          <w:rFonts w:ascii="Palatino Linotype" w:eastAsia="Palatino Linotype" w:hAnsi="Palatino Linotype" w:cs="Palatino Linotype"/>
          <w:b/>
        </w:rPr>
        <w:t>,</w:t>
      </w:r>
      <w:r w:rsidR="00B72B94" w:rsidRPr="006447ED">
        <w:rPr>
          <w:rFonts w:ascii="Palatino Linotype" w:eastAsia="Palatino Linotype" w:hAnsi="Palatino Linotype" w:cs="Palatino Linotype"/>
        </w:rPr>
        <w:t xml:space="preserve"> en lo sucesivo se</w:t>
      </w:r>
      <w:r w:rsidRPr="006447ED">
        <w:rPr>
          <w:rFonts w:ascii="Palatino Linotype" w:eastAsia="Palatino Linotype" w:hAnsi="Palatino Linotype" w:cs="Palatino Linotype"/>
        </w:rPr>
        <w:t xml:space="preserve"> denominar</w:t>
      </w:r>
      <w:r w:rsidR="00B72B94" w:rsidRPr="006447ED">
        <w:rPr>
          <w:rFonts w:ascii="Palatino Linotype" w:eastAsia="Palatino Linotype" w:hAnsi="Palatino Linotype" w:cs="Palatino Linotype"/>
        </w:rPr>
        <w:t>á</w:t>
      </w:r>
      <w:r w:rsidRPr="006447ED">
        <w:rPr>
          <w:rFonts w:ascii="Palatino Linotype" w:eastAsia="Palatino Linotype" w:hAnsi="Palatino Linotype" w:cs="Palatino Linotype"/>
        </w:rPr>
        <w:t xml:space="preserve">  EL </w:t>
      </w:r>
      <w:r w:rsidRPr="006447ED">
        <w:rPr>
          <w:rFonts w:ascii="Palatino Linotype" w:eastAsia="Palatino Linotype" w:hAnsi="Palatino Linotype" w:cs="Palatino Linotype"/>
          <w:b/>
        </w:rPr>
        <w:t>RECURRENTE</w:t>
      </w:r>
      <w:r w:rsidRPr="006447ED">
        <w:rPr>
          <w:rFonts w:ascii="Palatino Linotype" w:eastAsia="Palatino Linotype" w:hAnsi="Palatino Linotype" w:cs="Palatino Linotype"/>
        </w:rPr>
        <w:t xml:space="preserve">, en contra de la respuesta a la solicitud de información con número de folio </w:t>
      </w:r>
      <w:r w:rsidRPr="006447ED">
        <w:rPr>
          <w:rFonts w:ascii="Palatino Linotype" w:eastAsia="Palatino Linotype" w:hAnsi="Palatino Linotype" w:cs="Palatino Linotype"/>
          <w:b/>
        </w:rPr>
        <w:t>00261/</w:t>
      </w:r>
      <w:r w:rsidR="006447ED" w:rsidRPr="006447ED">
        <w:rPr>
          <w:rFonts w:ascii="Palatino Linotype" w:eastAsia="Palatino Linotype" w:hAnsi="Palatino Linotype" w:cs="Palatino Linotype"/>
          <w:b/>
        </w:rPr>
        <w:t>OASCUATIZC/IP/2024</w:t>
      </w:r>
      <w:r w:rsidRPr="006447ED">
        <w:rPr>
          <w:rFonts w:ascii="Palatino Linotype" w:eastAsia="Palatino Linotype" w:hAnsi="Palatino Linotype" w:cs="Palatino Linotype"/>
          <w:b/>
        </w:rPr>
        <w:t xml:space="preserve">, </w:t>
      </w:r>
      <w:r w:rsidRPr="006447ED">
        <w:rPr>
          <w:rFonts w:ascii="Palatino Linotype" w:eastAsia="Palatino Linotype" w:hAnsi="Palatino Linotype" w:cs="Palatino Linotype"/>
        </w:rPr>
        <w:t>po</w:t>
      </w:r>
      <w:bookmarkStart w:id="1" w:name="_GoBack"/>
      <w:bookmarkEnd w:id="1"/>
      <w:r w:rsidRPr="006447ED">
        <w:rPr>
          <w:rFonts w:ascii="Palatino Linotype" w:eastAsia="Palatino Linotype" w:hAnsi="Palatino Linotype" w:cs="Palatino Linotype"/>
        </w:rPr>
        <w:t xml:space="preserve">r parte del </w:t>
      </w:r>
      <w:r w:rsidRPr="006447ED">
        <w:rPr>
          <w:rFonts w:ascii="Palatino Linotype" w:eastAsia="Palatino Linotype" w:hAnsi="Palatino Linotype" w:cs="Palatino Linotype"/>
          <w:b/>
        </w:rPr>
        <w:t>Organismo Público Descentralizado Municipal para la Prestación de Los Servicios de Agua Potable Alcantarillado y Saneamiento de Cuautitlán Izcalli denominado OPERAGUA, O.P.D.M.</w:t>
      </w:r>
      <w:r w:rsidRPr="006447ED">
        <w:rPr>
          <w:rFonts w:ascii="Palatino Linotype" w:eastAsia="Palatino Linotype" w:hAnsi="Palatino Linotype" w:cs="Palatino Linotype"/>
        </w:rPr>
        <w:t>,</w:t>
      </w:r>
      <w:r w:rsidRPr="006447ED">
        <w:rPr>
          <w:rFonts w:ascii="Palatino Linotype" w:eastAsia="Palatino Linotype" w:hAnsi="Palatino Linotype" w:cs="Palatino Linotype"/>
          <w:b/>
        </w:rPr>
        <w:t xml:space="preserve"> </w:t>
      </w:r>
      <w:r w:rsidRPr="006447ED">
        <w:rPr>
          <w:rFonts w:ascii="Palatino Linotype" w:eastAsia="Palatino Linotype" w:hAnsi="Palatino Linotype" w:cs="Palatino Linotype"/>
        </w:rPr>
        <w:t>en lo subsecuente</w:t>
      </w:r>
      <w:r w:rsidRPr="006447ED">
        <w:rPr>
          <w:rFonts w:ascii="Palatino Linotype" w:eastAsia="Palatino Linotype" w:hAnsi="Palatino Linotype" w:cs="Palatino Linotype"/>
          <w:b/>
        </w:rPr>
        <w:t xml:space="preserve"> el SUJETO OBLIGADO, </w:t>
      </w:r>
      <w:r w:rsidRPr="006447ED">
        <w:rPr>
          <w:rFonts w:ascii="Palatino Linotype" w:eastAsia="Palatino Linotype" w:hAnsi="Palatino Linotype" w:cs="Palatino Linotype"/>
        </w:rPr>
        <w:t>se procede a dictar la presente resolución con base en lo siguiente.</w:t>
      </w:r>
    </w:p>
    <w:p w:rsidR="003D638D" w:rsidRPr="006447ED" w:rsidRDefault="003D638D">
      <w:pPr>
        <w:tabs>
          <w:tab w:val="left" w:pos="1701"/>
        </w:tabs>
        <w:spacing w:line="360" w:lineRule="auto"/>
        <w:ind w:right="-517"/>
        <w:jc w:val="both"/>
        <w:rPr>
          <w:rFonts w:ascii="Palatino Linotype" w:eastAsia="Palatino Linotype" w:hAnsi="Palatino Linotype" w:cs="Palatino Linotype"/>
          <w:b/>
        </w:rPr>
      </w:pPr>
    </w:p>
    <w:p w:rsidR="003D638D" w:rsidRPr="006447ED" w:rsidRDefault="00BB5CA3">
      <w:pPr>
        <w:keepNext/>
        <w:keepLines/>
        <w:spacing w:line="360" w:lineRule="auto"/>
        <w:ind w:right="-517"/>
        <w:jc w:val="center"/>
        <w:rPr>
          <w:rFonts w:ascii="Palatino Linotype" w:eastAsia="Palatino Linotype" w:hAnsi="Palatino Linotype" w:cs="Palatino Linotype"/>
          <w:b/>
        </w:rPr>
      </w:pPr>
      <w:r w:rsidRPr="006447ED">
        <w:rPr>
          <w:rFonts w:ascii="Palatino Linotype" w:eastAsia="Palatino Linotype" w:hAnsi="Palatino Linotype" w:cs="Palatino Linotype"/>
          <w:b/>
        </w:rPr>
        <w:t>A N T E C E D E N T E S</w:t>
      </w:r>
    </w:p>
    <w:p w:rsidR="003D638D" w:rsidRPr="006447ED" w:rsidRDefault="003D638D">
      <w:pPr>
        <w:pBdr>
          <w:top w:val="nil"/>
          <w:left w:val="nil"/>
          <w:bottom w:val="nil"/>
          <w:right w:val="nil"/>
          <w:between w:val="nil"/>
        </w:pBdr>
        <w:spacing w:line="360" w:lineRule="auto"/>
        <w:ind w:left="720" w:right="-517"/>
        <w:rPr>
          <w:rFonts w:ascii="Palatino Linotype" w:eastAsia="Palatino Linotype" w:hAnsi="Palatino Linotype" w:cs="Palatino Linotype"/>
          <w:color w:val="000000"/>
        </w:rPr>
      </w:pPr>
    </w:p>
    <w:p w:rsidR="003D638D" w:rsidRPr="006447ED" w:rsidRDefault="00BB5CA3">
      <w:pPr>
        <w:numPr>
          <w:ilvl w:val="0"/>
          <w:numId w:val="3"/>
        </w:numPr>
        <w:spacing w:line="360" w:lineRule="auto"/>
        <w:ind w:left="0" w:right="-517" w:firstLine="0"/>
        <w:jc w:val="both"/>
      </w:pPr>
      <w:r w:rsidRPr="006447ED">
        <w:rPr>
          <w:rFonts w:ascii="Palatino Linotype" w:eastAsia="Palatino Linotype" w:hAnsi="Palatino Linotype" w:cs="Palatino Linotype"/>
        </w:rPr>
        <w:t xml:space="preserve">El </w:t>
      </w:r>
      <w:r w:rsidRPr="006447ED">
        <w:rPr>
          <w:rFonts w:ascii="Palatino Linotype" w:eastAsia="Palatino Linotype" w:hAnsi="Palatino Linotype" w:cs="Palatino Linotype"/>
          <w:b/>
        </w:rPr>
        <w:t>nueve de diciembre de dos mil veinticinco</w:t>
      </w:r>
      <w:r w:rsidRPr="006447ED">
        <w:rPr>
          <w:rFonts w:ascii="Palatino Linotype" w:eastAsia="Palatino Linotype" w:hAnsi="Palatino Linotype" w:cs="Palatino Linotype"/>
        </w:rPr>
        <w:t xml:space="preserve">, </w:t>
      </w:r>
      <w:r w:rsidRPr="006447ED">
        <w:rPr>
          <w:rFonts w:ascii="Palatino Linotype" w:eastAsia="Palatino Linotype" w:hAnsi="Palatino Linotype" w:cs="Palatino Linotype"/>
          <w:b/>
        </w:rPr>
        <w:t>EL RECURRENTE,</w:t>
      </w:r>
      <w:r w:rsidRPr="006447ED">
        <w:rPr>
          <w:rFonts w:ascii="Palatino Linotype" w:eastAsia="Palatino Linotype" w:hAnsi="Palatino Linotype" w:cs="Palatino Linotype"/>
        </w:rPr>
        <w:t xml:space="preserve"> ante el </w:t>
      </w:r>
      <w:r w:rsidRPr="006447ED">
        <w:rPr>
          <w:rFonts w:ascii="Palatino Linotype" w:eastAsia="Palatino Linotype" w:hAnsi="Palatino Linotype" w:cs="Palatino Linotype"/>
          <w:b/>
        </w:rPr>
        <w:t>SUJETO OBLIGADO</w:t>
      </w:r>
      <w:r w:rsidRPr="006447ED">
        <w:rPr>
          <w:rFonts w:ascii="Palatino Linotype" w:eastAsia="Palatino Linotype" w:hAnsi="Palatino Linotype" w:cs="Palatino Linotype"/>
        </w:rPr>
        <w:t>, vía Sistema de Acceso a la Información Mexiquense (</w:t>
      </w:r>
      <w:r w:rsidRPr="006447ED">
        <w:rPr>
          <w:rFonts w:ascii="Palatino Linotype" w:eastAsia="Palatino Linotype" w:hAnsi="Palatino Linotype" w:cs="Palatino Linotype"/>
          <w:b/>
        </w:rPr>
        <w:t>SAIMEX)</w:t>
      </w:r>
      <w:r w:rsidRPr="006447ED">
        <w:rPr>
          <w:rFonts w:ascii="Palatino Linotype" w:eastAsia="Palatino Linotype" w:hAnsi="Palatino Linotype" w:cs="Palatino Linotype"/>
        </w:rPr>
        <w:t xml:space="preserve">, presentó la solicitud de información registrada con el número </w:t>
      </w:r>
      <w:r w:rsidRPr="006447ED">
        <w:rPr>
          <w:rFonts w:ascii="Palatino Linotype" w:eastAsia="Palatino Linotype" w:hAnsi="Palatino Linotype" w:cs="Palatino Linotype"/>
          <w:b/>
        </w:rPr>
        <w:t>00261/OASCUATIZC/IP/2024</w:t>
      </w:r>
      <w:r w:rsidRPr="006447ED">
        <w:rPr>
          <w:rFonts w:ascii="Palatino Linotype" w:eastAsia="Palatino Linotype" w:hAnsi="Palatino Linotype" w:cs="Palatino Linotype"/>
        </w:rPr>
        <w:t>,</w:t>
      </w:r>
      <w:r w:rsidRPr="006447ED">
        <w:rPr>
          <w:rFonts w:ascii="Palatino Linotype" w:eastAsia="Palatino Linotype" w:hAnsi="Palatino Linotype" w:cs="Palatino Linotype"/>
          <w:b/>
        </w:rPr>
        <w:t xml:space="preserve"> </w:t>
      </w:r>
      <w:r w:rsidRPr="006447ED">
        <w:rPr>
          <w:rFonts w:ascii="Palatino Linotype" w:eastAsia="Palatino Linotype" w:hAnsi="Palatino Linotype" w:cs="Palatino Linotype"/>
        </w:rPr>
        <w:t>en la que se solicitó lo siguiente:</w:t>
      </w:r>
    </w:p>
    <w:p w:rsidR="003D638D" w:rsidRPr="006447ED" w:rsidRDefault="003D638D">
      <w:pPr>
        <w:spacing w:line="360" w:lineRule="auto"/>
        <w:ind w:right="-517"/>
        <w:jc w:val="both"/>
        <w:rPr>
          <w:rFonts w:ascii="Palatino Linotype" w:eastAsia="Palatino Linotype" w:hAnsi="Palatino Linotype" w:cs="Palatino Linotype"/>
        </w:rPr>
      </w:pPr>
    </w:p>
    <w:p w:rsidR="003D638D" w:rsidRPr="006447ED" w:rsidRDefault="00BB5CA3">
      <w:pPr>
        <w:spacing w:line="360" w:lineRule="auto"/>
        <w:ind w:left="851" w:right="-517"/>
        <w:jc w:val="both"/>
        <w:rPr>
          <w:rFonts w:ascii="Palatino Linotype" w:eastAsia="Palatino Linotype" w:hAnsi="Palatino Linotype" w:cs="Palatino Linotype"/>
          <w:color w:val="000000"/>
        </w:rPr>
      </w:pPr>
      <w:r w:rsidRPr="006447ED">
        <w:rPr>
          <w:rFonts w:ascii="Palatino Linotype" w:eastAsia="Palatino Linotype" w:hAnsi="Palatino Linotype" w:cs="Palatino Linotype"/>
          <w:i/>
          <w:color w:val="000000"/>
        </w:rPr>
        <w:t>“</w:t>
      </w:r>
      <w:r w:rsidRPr="006447ED">
        <w:rPr>
          <w:rFonts w:ascii="Palatino Linotype" w:eastAsia="Palatino Linotype" w:hAnsi="Palatino Linotype" w:cs="Palatino Linotype"/>
          <w:i/>
        </w:rPr>
        <w:t xml:space="preserve">Se solicita un informe ciudadano de las </w:t>
      </w:r>
      <w:proofErr w:type="spellStart"/>
      <w:r w:rsidRPr="006447ED">
        <w:rPr>
          <w:rFonts w:ascii="Palatino Linotype" w:eastAsia="Palatino Linotype" w:hAnsi="Palatino Linotype" w:cs="Palatino Linotype"/>
          <w:i/>
        </w:rPr>
        <w:t>bitacoras</w:t>
      </w:r>
      <w:proofErr w:type="spellEnd"/>
      <w:r w:rsidRPr="006447ED">
        <w:rPr>
          <w:rFonts w:ascii="Palatino Linotype" w:eastAsia="Palatino Linotype" w:hAnsi="Palatino Linotype" w:cs="Palatino Linotype"/>
          <w:i/>
        </w:rPr>
        <w:t xml:space="preserve"> de operación para el suministro de agua potable de los meses de Julio, Agosto, Septiembre , Octubre , Noviembre y Diciembre correspondientes a la orden de conexión </w:t>
      </w:r>
      <w:proofErr w:type="spellStart"/>
      <w:r w:rsidRPr="006447ED">
        <w:rPr>
          <w:rFonts w:ascii="Palatino Linotype" w:eastAsia="Palatino Linotype" w:hAnsi="Palatino Linotype" w:cs="Palatino Linotype"/>
          <w:i/>
        </w:rPr>
        <w:t>numero</w:t>
      </w:r>
      <w:proofErr w:type="spellEnd"/>
      <w:r w:rsidRPr="006447ED">
        <w:rPr>
          <w:rFonts w:ascii="Palatino Linotype" w:eastAsia="Palatino Linotype" w:hAnsi="Palatino Linotype" w:cs="Palatino Linotype"/>
          <w:i/>
        </w:rPr>
        <w:t xml:space="preserve"> 0061/2024 realizada el pasado 31 de julio </w:t>
      </w:r>
      <w:r w:rsidRPr="006447ED">
        <w:rPr>
          <w:rFonts w:ascii="Palatino Linotype" w:eastAsia="Palatino Linotype" w:hAnsi="Palatino Linotype" w:cs="Palatino Linotype"/>
          <w:i/>
        </w:rPr>
        <w:lastRenderedPageBreak/>
        <w:t xml:space="preserve">de 2024 por el servidor </w:t>
      </w:r>
      <w:proofErr w:type="spellStart"/>
      <w:r w:rsidRPr="006447ED">
        <w:rPr>
          <w:rFonts w:ascii="Palatino Linotype" w:eastAsia="Palatino Linotype" w:hAnsi="Palatino Linotype" w:cs="Palatino Linotype"/>
          <w:i/>
        </w:rPr>
        <w:t>publico</w:t>
      </w:r>
      <w:proofErr w:type="spellEnd"/>
      <w:r w:rsidRPr="006447ED">
        <w:rPr>
          <w:rFonts w:ascii="Palatino Linotype" w:eastAsia="Palatino Linotype" w:hAnsi="Palatino Linotype" w:cs="Palatino Linotype"/>
          <w:i/>
        </w:rPr>
        <w:t xml:space="preserve"> Juan Carlos Navarrete Serrano adscrito a la </w:t>
      </w:r>
      <w:proofErr w:type="spellStart"/>
      <w:r w:rsidRPr="006447ED">
        <w:rPr>
          <w:rFonts w:ascii="Palatino Linotype" w:eastAsia="Palatino Linotype" w:hAnsi="Palatino Linotype" w:cs="Palatino Linotype"/>
          <w:i/>
        </w:rPr>
        <w:t>Direccion</w:t>
      </w:r>
      <w:proofErr w:type="spellEnd"/>
      <w:r w:rsidRPr="006447ED">
        <w:rPr>
          <w:rFonts w:ascii="Palatino Linotype" w:eastAsia="Palatino Linotype" w:hAnsi="Palatino Linotype" w:cs="Palatino Linotype"/>
          <w:i/>
        </w:rPr>
        <w:t xml:space="preserve"> de </w:t>
      </w:r>
      <w:proofErr w:type="spellStart"/>
      <w:r w:rsidRPr="006447ED">
        <w:rPr>
          <w:rFonts w:ascii="Palatino Linotype" w:eastAsia="Palatino Linotype" w:hAnsi="Palatino Linotype" w:cs="Palatino Linotype"/>
          <w:i/>
        </w:rPr>
        <w:t>Operacion</w:t>
      </w:r>
      <w:proofErr w:type="spellEnd"/>
      <w:r w:rsidRPr="006447ED">
        <w:rPr>
          <w:rFonts w:ascii="Palatino Linotype" w:eastAsia="Palatino Linotype" w:hAnsi="Palatino Linotype" w:cs="Palatino Linotype"/>
          <w:i/>
          <w:color w:val="000000"/>
        </w:rPr>
        <w:t xml:space="preserve">” </w:t>
      </w:r>
      <w:r w:rsidRPr="006447ED">
        <w:rPr>
          <w:rFonts w:ascii="Palatino Linotype" w:eastAsia="Palatino Linotype" w:hAnsi="Palatino Linotype" w:cs="Palatino Linotype"/>
          <w:color w:val="000000"/>
        </w:rPr>
        <w:t>(Sic)</w:t>
      </w:r>
    </w:p>
    <w:p w:rsidR="003D638D" w:rsidRPr="006447ED" w:rsidRDefault="003D638D">
      <w:pPr>
        <w:spacing w:line="360" w:lineRule="auto"/>
        <w:ind w:left="851" w:right="-517"/>
        <w:jc w:val="both"/>
        <w:rPr>
          <w:rFonts w:ascii="Palatino Linotype" w:eastAsia="Palatino Linotype" w:hAnsi="Palatino Linotype" w:cs="Palatino Linotype"/>
        </w:rPr>
      </w:pPr>
    </w:p>
    <w:p w:rsidR="003D638D" w:rsidRPr="006447ED" w:rsidRDefault="00BB5CA3">
      <w:pPr>
        <w:numPr>
          <w:ilvl w:val="0"/>
          <w:numId w:val="2"/>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color w:val="000000"/>
        </w:rPr>
      </w:pPr>
      <w:r w:rsidRPr="006447ED">
        <w:rPr>
          <w:rFonts w:ascii="Palatino Linotype" w:eastAsia="Palatino Linotype" w:hAnsi="Palatino Linotype" w:cs="Palatino Linotype"/>
          <w:color w:val="000000"/>
        </w:rPr>
        <w:t>Se eligió como modalidad de entrega a través de la plataforma digital Sistema de Acceso a la Información Mexiquense (SAIMEX).</w:t>
      </w:r>
    </w:p>
    <w:p w:rsidR="003D638D" w:rsidRPr="006447ED" w:rsidRDefault="003D638D">
      <w:pPr>
        <w:pBdr>
          <w:top w:val="nil"/>
          <w:left w:val="nil"/>
          <w:bottom w:val="nil"/>
          <w:right w:val="nil"/>
          <w:between w:val="nil"/>
        </w:pBdr>
        <w:spacing w:line="360" w:lineRule="auto"/>
        <w:ind w:right="-517"/>
        <w:rPr>
          <w:rFonts w:ascii="Palatino Linotype" w:eastAsia="Palatino Linotype" w:hAnsi="Palatino Linotype" w:cs="Palatino Linotype"/>
          <w:color w:val="000000"/>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 xml:space="preserve">En fecha </w:t>
      </w:r>
      <w:r w:rsidRPr="006447ED">
        <w:rPr>
          <w:rFonts w:ascii="Palatino Linotype" w:eastAsia="Palatino Linotype" w:hAnsi="Palatino Linotype" w:cs="Palatino Linotype"/>
          <w:b/>
          <w:color w:val="000000"/>
        </w:rPr>
        <w:t>veintiséis de diciembre de dos mil veinticuatro</w:t>
      </w:r>
      <w:r w:rsidRPr="006447ED">
        <w:rPr>
          <w:rFonts w:ascii="Palatino Linotype" w:eastAsia="Palatino Linotype" w:hAnsi="Palatino Linotype" w:cs="Palatino Linotype"/>
          <w:color w:val="000000"/>
        </w:rPr>
        <w:t xml:space="preserve">, el </w:t>
      </w:r>
      <w:r w:rsidRPr="006447ED">
        <w:rPr>
          <w:rFonts w:ascii="Palatino Linotype" w:eastAsia="Palatino Linotype" w:hAnsi="Palatino Linotype" w:cs="Palatino Linotype"/>
          <w:b/>
          <w:color w:val="000000"/>
        </w:rPr>
        <w:t>SUJETO OBLIGADO</w:t>
      </w:r>
      <w:r w:rsidRPr="006447ED">
        <w:rPr>
          <w:rFonts w:ascii="Palatino Linotype" w:eastAsia="Palatino Linotype" w:hAnsi="Palatino Linotype" w:cs="Palatino Linotype"/>
          <w:b/>
          <w:i/>
          <w:color w:val="000000"/>
        </w:rPr>
        <w:t xml:space="preserve"> </w:t>
      </w:r>
      <w:r w:rsidRPr="006447ED">
        <w:rPr>
          <w:rFonts w:ascii="Palatino Linotype" w:eastAsia="Palatino Linotype" w:hAnsi="Palatino Linotype" w:cs="Palatino Linotype"/>
          <w:color w:val="000000"/>
        </w:rPr>
        <w:t xml:space="preserve">dio respuesta a la solicitud de información adjuntando dos archivos electrónicos en </w:t>
      </w:r>
      <w:proofErr w:type="spellStart"/>
      <w:r w:rsidRPr="006447ED">
        <w:rPr>
          <w:rFonts w:ascii="Palatino Linotype" w:eastAsia="Palatino Linotype" w:hAnsi="Palatino Linotype" w:cs="Palatino Linotype"/>
          <w:color w:val="000000"/>
        </w:rPr>
        <w:t>pdf</w:t>
      </w:r>
      <w:proofErr w:type="spellEnd"/>
      <w:r w:rsidRPr="006447ED">
        <w:rPr>
          <w:rFonts w:ascii="Palatino Linotype" w:eastAsia="Palatino Linotype" w:hAnsi="Palatino Linotype" w:cs="Palatino Linotype"/>
          <w:color w:val="000000"/>
        </w:rPr>
        <w:t>:</w:t>
      </w:r>
    </w:p>
    <w:p w:rsidR="003D638D" w:rsidRPr="006447ED" w:rsidRDefault="00BB5CA3">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6447ED">
        <w:rPr>
          <w:rFonts w:ascii="Palatino Linotype" w:eastAsia="Palatino Linotype" w:hAnsi="Palatino Linotype" w:cs="Palatino Linotype"/>
          <w:b/>
          <w:color w:val="000000"/>
          <w:sz w:val="22"/>
          <w:szCs w:val="22"/>
        </w:rPr>
        <w:t>CONTESTACIÓN SAIMEX 261.pdf</w:t>
      </w:r>
      <w:r w:rsidRPr="006447ED">
        <w:rPr>
          <w:rFonts w:ascii="Palatino Linotype" w:eastAsia="Palatino Linotype" w:hAnsi="Palatino Linotype" w:cs="Palatino Linotype"/>
          <w:color w:val="000000"/>
          <w:sz w:val="22"/>
          <w:szCs w:val="22"/>
        </w:rPr>
        <w:t xml:space="preserve">: Contiene el oficio DOH/0657/2024, de fecha trece de diciembre de dos mil veinticuatro, suscrito por el Director de Operación Hidráulica de OPERAGUA Izcalli O.P.D.M., por medio del cual anexa un documento en formato </w:t>
      </w:r>
      <w:proofErr w:type="spellStart"/>
      <w:r w:rsidRPr="006447ED">
        <w:rPr>
          <w:rFonts w:ascii="Palatino Linotype" w:eastAsia="Palatino Linotype" w:hAnsi="Palatino Linotype" w:cs="Palatino Linotype"/>
          <w:color w:val="000000"/>
          <w:sz w:val="22"/>
          <w:szCs w:val="22"/>
        </w:rPr>
        <w:t>pdf</w:t>
      </w:r>
      <w:proofErr w:type="spellEnd"/>
      <w:r w:rsidRPr="006447ED">
        <w:rPr>
          <w:rFonts w:ascii="Palatino Linotype" w:eastAsia="Palatino Linotype" w:hAnsi="Palatino Linotype" w:cs="Palatino Linotype"/>
          <w:color w:val="000000"/>
          <w:sz w:val="22"/>
          <w:szCs w:val="22"/>
        </w:rPr>
        <w:t xml:space="preserve"> de diversas bitácoras de campo del sistema hidráulico más cercano, del cual suministra el vital líquido a la zona donde fue realizada la conexión de referencia.</w:t>
      </w:r>
    </w:p>
    <w:p w:rsidR="003D638D" w:rsidRPr="006447ED" w:rsidRDefault="00BB5CA3">
      <w:pPr>
        <w:numPr>
          <w:ilvl w:val="0"/>
          <w:numId w:val="4"/>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6447ED">
        <w:rPr>
          <w:rFonts w:ascii="Palatino Linotype" w:eastAsia="Palatino Linotype" w:hAnsi="Palatino Linotype" w:cs="Palatino Linotype"/>
          <w:b/>
          <w:color w:val="000000"/>
          <w:sz w:val="22"/>
          <w:szCs w:val="22"/>
        </w:rPr>
        <w:t>ANEXO 01.pdf:</w:t>
      </w:r>
      <w:r w:rsidRPr="006447ED">
        <w:rPr>
          <w:rFonts w:ascii="Palatino Linotype" w:eastAsia="Palatino Linotype" w:hAnsi="Palatino Linotype" w:cs="Palatino Linotype"/>
          <w:color w:val="000000"/>
          <w:sz w:val="22"/>
          <w:szCs w:val="22"/>
        </w:rPr>
        <w:t xml:space="preserve"> Contiene diecinueve fojas útiles tamaño carta, los cuales son formatos de la Subdirección de Operación Hidráulica del Departamento de Agua Potable del Área de Control Hidráulico, dichos formatos contienen como datos: </w:t>
      </w:r>
      <w:r w:rsidRPr="006447ED">
        <w:rPr>
          <w:rFonts w:ascii="Palatino Linotype" w:eastAsia="Palatino Linotype" w:hAnsi="Palatino Linotype" w:cs="Palatino Linotype"/>
          <w:i/>
          <w:color w:val="000000"/>
          <w:sz w:val="22"/>
          <w:szCs w:val="22"/>
        </w:rPr>
        <w:t xml:space="preserve">“SISTEMA, FECHA, NOMBRE, No. de Empleado, Firma y Bitácora de Actividades”, </w:t>
      </w:r>
      <w:r w:rsidRPr="006447ED">
        <w:rPr>
          <w:rFonts w:ascii="Palatino Linotype" w:eastAsia="Palatino Linotype" w:hAnsi="Palatino Linotype" w:cs="Palatino Linotype"/>
          <w:color w:val="000000"/>
          <w:sz w:val="22"/>
          <w:szCs w:val="22"/>
        </w:rPr>
        <w:t>así mismo, se observa que dichos formatos se encuentran llenados a mano por el servidor público José Juan Márquez Valdez</w:t>
      </w:r>
    </w:p>
    <w:p w:rsidR="003D638D" w:rsidRPr="006447ED" w:rsidRDefault="003D638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En fecha</w:t>
      </w:r>
      <w:r w:rsidRPr="006447ED">
        <w:rPr>
          <w:rFonts w:ascii="Palatino Linotype" w:eastAsia="Palatino Linotype" w:hAnsi="Palatino Linotype" w:cs="Palatino Linotype"/>
          <w:b/>
          <w:color w:val="000000"/>
        </w:rPr>
        <w:t xml:space="preserve"> treinta de diciembre de dos mil veinticuatro,</w:t>
      </w:r>
      <w:r w:rsidRPr="006447ED">
        <w:rPr>
          <w:rFonts w:ascii="Palatino Linotype" w:eastAsia="Palatino Linotype" w:hAnsi="Palatino Linotype" w:cs="Palatino Linotype"/>
          <w:color w:val="000000"/>
        </w:rPr>
        <w:t xml:space="preserve"> el particular interpuso el recurso de revisión en contra de la respuesta, manifestando las siguientes razones o motivos de inconformidad:</w:t>
      </w:r>
    </w:p>
    <w:p w:rsidR="003D638D" w:rsidRPr="006447ED" w:rsidRDefault="00BB5CA3">
      <w:pPr>
        <w:numPr>
          <w:ilvl w:val="0"/>
          <w:numId w:val="2"/>
        </w:numPr>
        <w:pBdr>
          <w:top w:val="nil"/>
          <w:left w:val="nil"/>
          <w:bottom w:val="nil"/>
          <w:right w:val="nil"/>
          <w:between w:val="nil"/>
        </w:pBdr>
        <w:spacing w:line="360" w:lineRule="auto"/>
        <w:ind w:right="49"/>
        <w:jc w:val="both"/>
        <w:rPr>
          <w:rFonts w:ascii="Palatino Linotype" w:eastAsia="Palatino Linotype" w:hAnsi="Palatino Linotype" w:cs="Palatino Linotype"/>
          <w:color w:val="000000"/>
          <w:sz w:val="22"/>
          <w:szCs w:val="22"/>
        </w:rPr>
      </w:pPr>
      <w:r w:rsidRPr="006447ED">
        <w:rPr>
          <w:rFonts w:ascii="Palatino Linotype" w:eastAsia="Palatino Linotype" w:hAnsi="Palatino Linotype" w:cs="Palatino Linotype"/>
          <w:b/>
          <w:color w:val="000000"/>
          <w:sz w:val="22"/>
          <w:szCs w:val="22"/>
        </w:rPr>
        <w:t>Acto impugnado</w:t>
      </w:r>
      <w:r w:rsidRPr="006447ED">
        <w:rPr>
          <w:rFonts w:ascii="Palatino Linotype" w:eastAsia="Palatino Linotype" w:hAnsi="Palatino Linotype" w:cs="Palatino Linotype"/>
          <w:color w:val="000000"/>
          <w:sz w:val="22"/>
          <w:szCs w:val="22"/>
        </w:rPr>
        <w:t xml:space="preserve">: </w:t>
      </w:r>
      <w:r w:rsidRPr="006447ED">
        <w:rPr>
          <w:rFonts w:ascii="Palatino Linotype" w:eastAsia="Palatino Linotype" w:hAnsi="Palatino Linotype" w:cs="Palatino Linotype"/>
          <w:i/>
          <w:color w:val="000000"/>
          <w:sz w:val="22"/>
          <w:szCs w:val="22"/>
        </w:rPr>
        <w:t xml:space="preserve">“Se solicita recurso de revisión de la </w:t>
      </w:r>
      <w:proofErr w:type="spellStart"/>
      <w:r w:rsidRPr="006447ED">
        <w:rPr>
          <w:rFonts w:ascii="Palatino Linotype" w:eastAsia="Palatino Linotype" w:hAnsi="Palatino Linotype" w:cs="Palatino Linotype"/>
          <w:i/>
          <w:color w:val="000000"/>
          <w:sz w:val="22"/>
          <w:szCs w:val="22"/>
        </w:rPr>
        <w:t>informacion</w:t>
      </w:r>
      <w:proofErr w:type="spellEnd"/>
      <w:r w:rsidRPr="006447ED">
        <w:rPr>
          <w:rFonts w:ascii="Palatino Linotype" w:eastAsia="Palatino Linotype" w:hAnsi="Palatino Linotype" w:cs="Palatino Linotype"/>
          <w:i/>
          <w:color w:val="000000"/>
          <w:sz w:val="22"/>
          <w:szCs w:val="22"/>
        </w:rPr>
        <w:t>” (S</w:t>
      </w:r>
      <w:r w:rsidRPr="006447ED">
        <w:rPr>
          <w:rFonts w:ascii="Palatino Linotype" w:eastAsia="Palatino Linotype" w:hAnsi="Palatino Linotype" w:cs="Palatino Linotype"/>
          <w:color w:val="000000"/>
          <w:sz w:val="22"/>
          <w:szCs w:val="22"/>
        </w:rPr>
        <w:t>ic)</w:t>
      </w:r>
    </w:p>
    <w:p w:rsidR="003D638D" w:rsidRPr="006447ED" w:rsidRDefault="00BB5CA3">
      <w:pPr>
        <w:numPr>
          <w:ilvl w:val="0"/>
          <w:numId w:val="1"/>
        </w:numPr>
        <w:pBdr>
          <w:top w:val="nil"/>
          <w:left w:val="nil"/>
          <w:bottom w:val="nil"/>
          <w:right w:val="nil"/>
          <w:between w:val="nil"/>
        </w:pBdr>
        <w:ind w:right="49"/>
        <w:jc w:val="both"/>
        <w:rPr>
          <w:rFonts w:ascii="Palatino Linotype" w:eastAsia="Palatino Linotype" w:hAnsi="Palatino Linotype" w:cs="Palatino Linotype"/>
          <w:i/>
          <w:color w:val="000000"/>
          <w:sz w:val="22"/>
          <w:szCs w:val="22"/>
        </w:rPr>
      </w:pPr>
      <w:r w:rsidRPr="006447ED">
        <w:rPr>
          <w:rFonts w:ascii="Palatino Linotype" w:eastAsia="Palatino Linotype" w:hAnsi="Palatino Linotype" w:cs="Palatino Linotype"/>
          <w:b/>
          <w:color w:val="000000"/>
          <w:sz w:val="22"/>
          <w:szCs w:val="22"/>
        </w:rPr>
        <w:lastRenderedPageBreak/>
        <w:t xml:space="preserve">Razones o Motivos de inconformidad: </w:t>
      </w:r>
      <w:r w:rsidRPr="006447ED">
        <w:rPr>
          <w:rFonts w:ascii="Palatino Linotype" w:eastAsia="Palatino Linotype" w:hAnsi="Palatino Linotype" w:cs="Palatino Linotype"/>
          <w:i/>
          <w:color w:val="000000"/>
          <w:sz w:val="22"/>
          <w:szCs w:val="22"/>
        </w:rPr>
        <w:t xml:space="preserve">“El sujeto obligado no entrega la información puntual donde demuestre el suministro de agua potable correspondiente al </w:t>
      </w:r>
      <w:proofErr w:type="spellStart"/>
      <w:r w:rsidRPr="006447ED">
        <w:rPr>
          <w:rFonts w:ascii="Palatino Linotype" w:eastAsia="Palatino Linotype" w:hAnsi="Palatino Linotype" w:cs="Palatino Linotype"/>
          <w:i/>
          <w:color w:val="000000"/>
          <w:sz w:val="22"/>
          <w:szCs w:val="22"/>
        </w:rPr>
        <w:t>numero</w:t>
      </w:r>
      <w:proofErr w:type="spellEnd"/>
      <w:r w:rsidRPr="006447ED">
        <w:rPr>
          <w:rFonts w:ascii="Palatino Linotype" w:eastAsia="Palatino Linotype" w:hAnsi="Palatino Linotype" w:cs="Palatino Linotype"/>
          <w:i/>
          <w:color w:val="000000"/>
          <w:sz w:val="22"/>
          <w:szCs w:val="22"/>
        </w:rPr>
        <w:t xml:space="preserve"> de expediente de la factibilidad antes mencionada en la solicitud de información inicial.”</w:t>
      </w:r>
      <w:r w:rsidRPr="006447ED">
        <w:rPr>
          <w:rFonts w:ascii="Palatino Linotype" w:eastAsia="Palatino Linotype" w:hAnsi="Palatino Linotype" w:cs="Palatino Linotype"/>
          <w:color w:val="000000"/>
          <w:sz w:val="22"/>
          <w:szCs w:val="22"/>
        </w:rPr>
        <w:t xml:space="preserve"> (Sic)</w:t>
      </w:r>
    </w:p>
    <w:p w:rsidR="003D638D" w:rsidRPr="006447ED" w:rsidRDefault="003D638D">
      <w:pPr>
        <w:pBdr>
          <w:top w:val="nil"/>
          <w:left w:val="nil"/>
          <w:bottom w:val="nil"/>
          <w:right w:val="nil"/>
          <w:between w:val="nil"/>
        </w:pBdr>
        <w:spacing w:line="360" w:lineRule="auto"/>
        <w:ind w:right="-517"/>
        <w:jc w:val="both"/>
        <w:rPr>
          <w:rFonts w:ascii="Palatino Linotype" w:eastAsia="Palatino Linotype" w:hAnsi="Palatino Linotype" w:cs="Palatino Linotype"/>
          <w:b/>
          <w:i/>
          <w:color w:val="000000"/>
          <w:u w:val="single"/>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w:t>
      </w:r>
      <w:r w:rsidRPr="006447ED">
        <w:rPr>
          <w:rFonts w:ascii="Palatino Linotype" w:eastAsia="Palatino Linotype" w:hAnsi="Palatino Linotype" w:cs="Palatino Linotype"/>
          <w:b/>
          <w:color w:val="000000"/>
        </w:rPr>
        <w:t>trece de enero de dos mil veinticinco</w:t>
      </w:r>
      <w:r w:rsidRPr="006447ED">
        <w:rPr>
          <w:rFonts w:ascii="Palatino Linotype" w:eastAsia="Palatino Linotype" w:hAnsi="Palatino Linotype" w:cs="Palatino Linotype"/>
          <w:color w:val="000000"/>
        </w:rPr>
        <w:t xml:space="preserve">, puso a disposición de las partes el  expediente electrónico vía Sistema de Acceso a la Información Mexiquense </w:t>
      </w:r>
      <w:r w:rsidRPr="006447ED">
        <w:rPr>
          <w:rFonts w:ascii="Palatino Linotype" w:eastAsia="Palatino Linotype" w:hAnsi="Palatino Linotype" w:cs="Palatino Linotype"/>
          <w:b/>
          <w:color w:val="000000"/>
        </w:rPr>
        <w:t xml:space="preserve">SAIMEX </w:t>
      </w:r>
      <w:r w:rsidRPr="006447ED">
        <w:rPr>
          <w:rFonts w:ascii="Palatino Linotype" w:eastAsia="Palatino Linotype" w:hAnsi="Palatino Linotype" w:cs="Palatino Linotype"/>
          <w:color w:val="000000"/>
        </w:rPr>
        <w:t xml:space="preserve">a efecto de que en un plazo máximo de siete días manifestara lo que a su derecho conviniera, ofreciera pruebas y alegatos según correspondiera a los casos concretos, de esta forma para que el </w:t>
      </w:r>
      <w:r w:rsidRPr="006447ED">
        <w:rPr>
          <w:rFonts w:ascii="Palatino Linotype" w:eastAsia="Palatino Linotype" w:hAnsi="Palatino Linotype" w:cs="Palatino Linotype"/>
          <w:b/>
          <w:color w:val="000000"/>
        </w:rPr>
        <w:t>SUJETO OBLIGADO</w:t>
      </w:r>
      <w:r w:rsidRPr="006447ED">
        <w:rPr>
          <w:rFonts w:ascii="Palatino Linotype" w:eastAsia="Palatino Linotype" w:hAnsi="Palatino Linotype" w:cs="Palatino Linotype"/>
          <w:color w:val="000000"/>
        </w:rPr>
        <w:t xml:space="preserve"> presentará el Informe Justificado procedente.</w:t>
      </w:r>
    </w:p>
    <w:p w:rsidR="003D638D" w:rsidRPr="006447ED" w:rsidRDefault="003D638D">
      <w:pPr>
        <w:spacing w:line="360" w:lineRule="auto"/>
        <w:ind w:right="-517"/>
        <w:jc w:val="both"/>
        <w:rPr>
          <w:rFonts w:ascii="Palatino Linotype" w:eastAsia="Palatino Linotype" w:hAnsi="Palatino Linotype" w:cs="Palatino Linotype"/>
          <w:color w:val="000000"/>
        </w:rPr>
      </w:pPr>
    </w:p>
    <w:p w:rsidR="003D638D" w:rsidRPr="006447ED" w:rsidRDefault="00BB5CA3">
      <w:pPr>
        <w:numPr>
          <w:ilvl w:val="0"/>
          <w:numId w:val="3"/>
        </w:numPr>
        <w:spacing w:line="360" w:lineRule="auto"/>
        <w:ind w:left="0" w:right="-517" w:firstLine="0"/>
        <w:jc w:val="both"/>
        <w:rPr>
          <w:color w:val="000000"/>
        </w:rPr>
      </w:pPr>
      <w:r w:rsidRPr="006447ED">
        <w:rPr>
          <w:rFonts w:ascii="Palatino Linotype" w:eastAsia="Palatino Linotype" w:hAnsi="Palatino Linotype" w:cs="Palatino Linotype"/>
          <w:color w:val="000000"/>
        </w:rPr>
        <w:t xml:space="preserve">De lo anterior, el </w:t>
      </w:r>
      <w:r w:rsidRPr="006447ED">
        <w:rPr>
          <w:rFonts w:ascii="Palatino Linotype" w:eastAsia="Palatino Linotype" w:hAnsi="Palatino Linotype" w:cs="Palatino Linotype"/>
          <w:b/>
          <w:color w:val="000000"/>
        </w:rPr>
        <w:t>RECURRENTE</w:t>
      </w:r>
      <w:r w:rsidRPr="006447ED">
        <w:rPr>
          <w:rFonts w:ascii="Palatino Linotype" w:eastAsia="Palatino Linotype" w:hAnsi="Palatino Linotype" w:cs="Palatino Linotype"/>
          <w:color w:val="000000"/>
        </w:rPr>
        <w:t xml:space="preserve"> dejó de realizar manifestaciones que a su derecho conviniera y asistiera.</w:t>
      </w:r>
    </w:p>
    <w:p w:rsidR="003D638D" w:rsidRPr="006447ED" w:rsidRDefault="003D638D">
      <w:pPr>
        <w:pBdr>
          <w:top w:val="nil"/>
          <w:left w:val="nil"/>
          <w:bottom w:val="nil"/>
          <w:right w:val="nil"/>
          <w:between w:val="nil"/>
        </w:pBdr>
        <w:spacing w:line="360" w:lineRule="auto"/>
        <w:ind w:left="708" w:right="-517"/>
        <w:rPr>
          <w:rFonts w:ascii="Palatino Linotype" w:eastAsia="Palatino Linotype" w:hAnsi="Palatino Linotype" w:cs="Palatino Linotype"/>
          <w:color w:val="000000"/>
        </w:rPr>
      </w:pPr>
    </w:p>
    <w:p w:rsidR="003D638D" w:rsidRPr="006447ED" w:rsidRDefault="00BB5CA3">
      <w:pPr>
        <w:numPr>
          <w:ilvl w:val="0"/>
          <w:numId w:val="3"/>
        </w:numPr>
        <w:spacing w:line="360" w:lineRule="auto"/>
        <w:ind w:left="0" w:right="-517" w:firstLine="0"/>
        <w:jc w:val="both"/>
        <w:rPr>
          <w:color w:val="000000"/>
        </w:rPr>
      </w:pPr>
      <w:r w:rsidRPr="006447ED">
        <w:rPr>
          <w:rFonts w:ascii="Palatino Linotype" w:eastAsia="Palatino Linotype" w:hAnsi="Palatino Linotype" w:cs="Palatino Linotype"/>
          <w:color w:val="000000"/>
        </w:rPr>
        <w:t xml:space="preserve">Por su parte el </w:t>
      </w:r>
      <w:r w:rsidRPr="006447ED">
        <w:rPr>
          <w:rFonts w:ascii="Palatino Linotype" w:eastAsia="Palatino Linotype" w:hAnsi="Palatino Linotype" w:cs="Palatino Linotype"/>
          <w:b/>
          <w:color w:val="000000"/>
        </w:rPr>
        <w:t>SUJETO OBLIGADO</w:t>
      </w:r>
      <w:r w:rsidRPr="006447ED">
        <w:rPr>
          <w:rFonts w:ascii="Palatino Linotype" w:eastAsia="Palatino Linotype" w:hAnsi="Palatino Linotype" w:cs="Palatino Linotype"/>
          <w:color w:val="000000"/>
        </w:rPr>
        <w:t xml:space="preserve"> no rindió su Informe Justificado.</w:t>
      </w:r>
    </w:p>
    <w:p w:rsidR="003D638D" w:rsidRPr="006447ED" w:rsidRDefault="003D638D">
      <w:pPr>
        <w:spacing w:line="360" w:lineRule="auto"/>
        <w:ind w:right="-517"/>
        <w:jc w:val="both"/>
        <w:rPr>
          <w:rFonts w:ascii="Palatino Linotype" w:eastAsia="Palatino Linotype" w:hAnsi="Palatino Linotype" w:cs="Palatino Linotype"/>
          <w:color w:val="000000"/>
        </w:rPr>
      </w:pPr>
    </w:p>
    <w:p w:rsidR="003D638D" w:rsidRPr="006447ED" w:rsidRDefault="00BB5CA3">
      <w:pPr>
        <w:numPr>
          <w:ilvl w:val="0"/>
          <w:numId w:val="3"/>
        </w:numPr>
        <w:spacing w:line="360" w:lineRule="auto"/>
        <w:ind w:left="0" w:right="-517" w:firstLine="0"/>
        <w:jc w:val="both"/>
        <w:rPr>
          <w:rFonts w:ascii="Palatino Linotype" w:eastAsia="Palatino Linotype" w:hAnsi="Palatino Linotype" w:cs="Palatino Linotype"/>
          <w:b/>
          <w:color w:val="000000"/>
        </w:rPr>
      </w:pPr>
      <w:r w:rsidRPr="006447ED">
        <w:rPr>
          <w:rFonts w:ascii="Palatino Linotype" w:eastAsia="Palatino Linotype" w:hAnsi="Palatino Linotype" w:cs="Palatino Linotype"/>
        </w:rPr>
        <w:t xml:space="preserve">Un vez transcurrido el periodo otorgado a las partes para realizar sus manifestaciones y no habiendo documentos que integrar a los expedientes, con fecha </w:t>
      </w:r>
      <w:r w:rsidRPr="006447ED">
        <w:rPr>
          <w:rFonts w:ascii="Palatino Linotype" w:eastAsia="Palatino Linotype" w:hAnsi="Palatino Linotype" w:cs="Palatino Linotype"/>
          <w:b/>
        </w:rPr>
        <w:t>veintiocho de enero de dos mil veinticinco</w:t>
      </w:r>
      <w:r w:rsidRPr="006447ED">
        <w:rPr>
          <w:rFonts w:ascii="Palatino Linotype" w:eastAsia="Palatino Linotype" w:hAnsi="Palatino Linotype" w:cs="Palatino Linotype"/>
        </w:rPr>
        <w:t xml:space="preserve">, la </w:t>
      </w:r>
      <w:r w:rsidRPr="006447ED">
        <w:rPr>
          <w:rFonts w:ascii="Palatino Linotype" w:eastAsia="Palatino Linotype" w:hAnsi="Palatino Linotype" w:cs="Palatino Linotype"/>
          <w:b/>
        </w:rPr>
        <w:t xml:space="preserve">Comisionada </w:t>
      </w:r>
      <w:r w:rsidRPr="006447ED">
        <w:rPr>
          <w:rFonts w:ascii="Palatino Linotype" w:eastAsia="Palatino Linotype" w:hAnsi="Palatino Linotype" w:cs="Palatino Linotype"/>
        </w:rPr>
        <w:t>Ponente determinó el cierre de instrucción en términos de la fracción VI del artículo 185 de la Ley de Transparencia y Acceso a la Información Pública del Estado de México y Municipios:</w:t>
      </w:r>
    </w:p>
    <w:p w:rsidR="003D638D" w:rsidRPr="006447ED" w:rsidRDefault="003D638D">
      <w:pPr>
        <w:pBdr>
          <w:top w:val="nil"/>
          <w:left w:val="nil"/>
          <w:bottom w:val="nil"/>
          <w:right w:val="nil"/>
          <w:between w:val="nil"/>
        </w:pBdr>
        <w:ind w:left="708" w:right="-517"/>
        <w:rPr>
          <w:rFonts w:ascii="Palatino Linotype" w:eastAsia="Palatino Linotype" w:hAnsi="Palatino Linotype" w:cs="Palatino Linotype"/>
          <w:b/>
          <w:color w:val="000000"/>
        </w:rPr>
      </w:pPr>
    </w:p>
    <w:p w:rsidR="003D638D" w:rsidRPr="006447ED" w:rsidRDefault="00BB5CA3">
      <w:pPr>
        <w:spacing w:line="360" w:lineRule="auto"/>
        <w:ind w:right="-517"/>
        <w:jc w:val="center"/>
        <w:rPr>
          <w:rFonts w:ascii="Palatino Linotype" w:eastAsia="Palatino Linotype" w:hAnsi="Palatino Linotype" w:cs="Palatino Linotype"/>
          <w:b/>
        </w:rPr>
      </w:pPr>
      <w:r w:rsidRPr="006447ED">
        <w:rPr>
          <w:rFonts w:ascii="Palatino Linotype" w:eastAsia="Palatino Linotype" w:hAnsi="Palatino Linotype" w:cs="Palatino Linotype"/>
          <w:b/>
        </w:rPr>
        <w:t>C O N S I D E R A C I O N E S</w:t>
      </w:r>
    </w:p>
    <w:p w:rsidR="003D638D" w:rsidRPr="006447ED" w:rsidRDefault="003D638D">
      <w:pPr>
        <w:keepNext/>
        <w:keepLines/>
        <w:spacing w:line="360" w:lineRule="auto"/>
        <w:ind w:right="-517"/>
        <w:jc w:val="center"/>
        <w:rPr>
          <w:rFonts w:ascii="Palatino Linotype" w:eastAsia="Palatino Linotype" w:hAnsi="Palatino Linotype" w:cs="Palatino Linotype"/>
        </w:rPr>
      </w:pPr>
    </w:p>
    <w:p w:rsidR="003D638D" w:rsidRPr="006447ED" w:rsidRDefault="00BB5CA3">
      <w:pPr>
        <w:keepNext/>
        <w:keepLines/>
        <w:spacing w:line="360" w:lineRule="auto"/>
        <w:ind w:right="-517"/>
        <w:rPr>
          <w:rFonts w:ascii="Palatino Linotype" w:eastAsia="Palatino Linotype" w:hAnsi="Palatino Linotype" w:cs="Palatino Linotype"/>
          <w:b/>
        </w:rPr>
      </w:pPr>
      <w:bookmarkStart w:id="2" w:name="_heading=h.2et92p0" w:colFirst="0" w:colLast="0"/>
      <w:bookmarkEnd w:id="2"/>
      <w:r w:rsidRPr="006447ED">
        <w:rPr>
          <w:rFonts w:ascii="Palatino Linotype" w:eastAsia="Palatino Linotype" w:hAnsi="Palatino Linotype" w:cs="Palatino Linotype"/>
          <w:b/>
        </w:rPr>
        <w:t>PRIMERO. Competencia</w:t>
      </w:r>
    </w:p>
    <w:p w:rsidR="003D638D" w:rsidRPr="006447ED" w:rsidRDefault="00BB5CA3">
      <w:pPr>
        <w:numPr>
          <w:ilvl w:val="0"/>
          <w:numId w:val="3"/>
        </w:numPr>
        <w:spacing w:line="360" w:lineRule="auto"/>
        <w:ind w:left="0" w:right="-517" w:firstLine="0"/>
        <w:jc w:val="both"/>
      </w:pPr>
      <w:r w:rsidRPr="006447ED">
        <w:rPr>
          <w:rFonts w:ascii="Palatino Linotype" w:eastAsia="Palatino Linotype" w:hAnsi="Palatino Linotype" w:cs="Palatino Linotype"/>
        </w:rPr>
        <w:t>El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y trigésimo tercero,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p>
    <w:p w:rsidR="003D638D" w:rsidRPr="006447ED" w:rsidRDefault="003D638D">
      <w:pPr>
        <w:spacing w:line="360" w:lineRule="auto"/>
        <w:ind w:right="-517"/>
        <w:jc w:val="both"/>
        <w:rPr>
          <w:rFonts w:ascii="Palatino Linotype" w:eastAsia="Palatino Linotype" w:hAnsi="Palatino Linotype" w:cs="Palatino Linotype"/>
        </w:rPr>
      </w:pPr>
    </w:p>
    <w:p w:rsidR="003D638D" w:rsidRPr="006447ED" w:rsidRDefault="00BB5CA3">
      <w:pPr>
        <w:keepNext/>
        <w:keepLines/>
        <w:spacing w:line="360" w:lineRule="auto"/>
        <w:ind w:right="-517"/>
        <w:rPr>
          <w:rFonts w:ascii="Palatino Linotype" w:eastAsia="Palatino Linotype" w:hAnsi="Palatino Linotype" w:cs="Palatino Linotype"/>
          <w:b/>
        </w:rPr>
      </w:pPr>
      <w:bookmarkStart w:id="3" w:name="_heading=h.tyjcwt" w:colFirst="0" w:colLast="0"/>
      <w:bookmarkEnd w:id="3"/>
      <w:r w:rsidRPr="006447ED">
        <w:rPr>
          <w:rFonts w:ascii="Palatino Linotype" w:eastAsia="Palatino Linotype" w:hAnsi="Palatino Linotype" w:cs="Palatino Linotype"/>
          <w:b/>
        </w:rPr>
        <w:t>SEGUNDO. Procedencia.</w:t>
      </w:r>
    </w:p>
    <w:p w:rsidR="003D638D" w:rsidRPr="006447ED" w:rsidRDefault="00BB5CA3">
      <w:pPr>
        <w:numPr>
          <w:ilvl w:val="0"/>
          <w:numId w:val="3"/>
        </w:numPr>
        <w:spacing w:line="360" w:lineRule="auto"/>
        <w:ind w:left="0" w:right="-517" w:firstLine="0"/>
        <w:jc w:val="both"/>
      </w:pPr>
      <w:r w:rsidRPr="006447ED">
        <w:rPr>
          <w:rFonts w:ascii="Palatino Linotype" w:eastAsia="Palatino Linotype" w:hAnsi="Palatino Linotype" w:cs="Palatino Linotype"/>
        </w:rPr>
        <w:t>Este Órgano Garante considera que el medio de impugnación reúne los requisitos de procedencia toda vez que; el recurso fue presentado dentro del plazo establecido en el artículo 178 de la Ley de Transparencia y Acceso a la Información Pública del Estado de México y Municipios; asimismo no se tiene conocimiento que se encuentre en trámite algún medio de defensa presentado por el Recurrente ante otra instancia.</w:t>
      </w:r>
    </w:p>
    <w:p w:rsidR="00B72B94" w:rsidRPr="006447ED" w:rsidRDefault="00B72B94" w:rsidP="00B72B94">
      <w:pPr>
        <w:spacing w:line="360" w:lineRule="auto"/>
        <w:ind w:right="-517"/>
        <w:jc w:val="both"/>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Por otro lado el escrito contiene las formalidades previstas en el artículo 180 último párrafo de la citada Ley de la materia, por lo que es procedente que este Instituto conozca y resuelva el presente recurso.</w:t>
      </w:r>
    </w:p>
    <w:p w:rsidR="003D638D" w:rsidRPr="006447ED" w:rsidRDefault="003D638D">
      <w:pPr>
        <w:pBdr>
          <w:top w:val="nil"/>
          <w:left w:val="nil"/>
          <w:bottom w:val="nil"/>
          <w:right w:val="nil"/>
          <w:between w:val="nil"/>
        </w:pBdr>
        <w:spacing w:line="360" w:lineRule="auto"/>
        <w:ind w:left="720" w:right="-517"/>
        <w:rPr>
          <w:rFonts w:ascii="Palatino Linotype" w:eastAsia="Palatino Linotype" w:hAnsi="Palatino Linotype" w:cs="Palatino Linotype"/>
          <w:color w:val="000000"/>
        </w:rPr>
      </w:pPr>
    </w:p>
    <w:p w:rsidR="003D638D" w:rsidRPr="006447ED" w:rsidRDefault="00BB5CA3">
      <w:pPr>
        <w:pStyle w:val="Ttulo2"/>
        <w:tabs>
          <w:tab w:val="left" w:pos="0"/>
        </w:tabs>
        <w:spacing w:before="0" w:line="360" w:lineRule="auto"/>
        <w:ind w:right="-517"/>
        <w:rPr>
          <w:rFonts w:ascii="Palatino Linotype" w:eastAsia="Palatino Linotype" w:hAnsi="Palatino Linotype" w:cs="Palatino Linotype"/>
          <w:b/>
          <w:color w:val="000000"/>
          <w:sz w:val="24"/>
          <w:szCs w:val="24"/>
        </w:rPr>
      </w:pPr>
      <w:r w:rsidRPr="006447ED">
        <w:rPr>
          <w:rFonts w:ascii="Palatino Linotype" w:eastAsia="Palatino Linotype" w:hAnsi="Palatino Linotype" w:cs="Palatino Linotype"/>
          <w:b/>
          <w:color w:val="000000"/>
          <w:sz w:val="24"/>
          <w:szCs w:val="24"/>
        </w:rPr>
        <w:t>TERCERO. Descripción de hechos y planteamiento de la controversia.</w:t>
      </w:r>
    </w:p>
    <w:p w:rsidR="003D638D" w:rsidRPr="006447ED" w:rsidRDefault="00BB5CA3">
      <w:pPr>
        <w:numPr>
          <w:ilvl w:val="0"/>
          <w:numId w:val="3"/>
        </w:numPr>
        <w:pBdr>
          <w:top w:val="nil"/>
          <w:left w:val="nil"/>
          <w:bottom w:val="nil"/>
          <w:right w:val="nil"/>
          <w:between w:val="nil"/>
        </w:pBdr>
        <w:tabs>
          <w:tab w:val="left" w:pos="284"/>
        </w:tabs>
        <w:spacing w:line="360" w:lineRule="auto"/>
        <w:ind w:left="0" w:right="-517" w:firstLine="0"/>
        <w:jc w:val="both"/>
        <w:rPr>
          <w:rFonts w:ascii="Palatino Linotype" w:eastAsia="Palatino Linotype" w:hAnsi="Palatino Linotype" w:cs="Palatino Linotype"/>
          <w:b/>
        </w:rPr>
      </w:pPr>
      <w:r w:rsidRPr="006447ED">
        <w:rPr>
          <w:rFonts w:ascii="Palatino Linotype" w:eastAsia="Palatino Linotype" w:hAnsi="Palatino Linotype" w:cs="Palatino Linotype"/>
        </w:rPr>
        <w:t xml:space="preserve">Se solicitó </w:t>
      </w:r>
      <w:r w:rsidRPr="006447ED">
        <w:rPr>
          <w:rFonts w:ascii="Palatino Linotype" w:eastAsia="Palatino Linotype" w:hAnsi="Palatino Linotype" w:cs="Palatino Linotype"/>
          <w:color w:val="000000"/>
        </w:rPr>
        <w:t>un informe ciudadano de las bitácoras de operación para el suministro de agua potable de los meses de Julio, Agosto, Septiembre, Octubre, Noviembre y Diciembre correspondientes a la orden de conexión número 0061/2024 realizada el pasado 31 de julio de 2024 por el servidor público Juan Carlos Navarrete Serrano adscrito a la Dirección de Operación.</w:t>
      </w:r>
    </w:p>
    <w:p w:rsidR="003D638D" w:rsidRPr="006447ED" w:rsidRDefault="003D638D">
      <w:pPr>
        <w:pBdr>
          <w:top w:val="nil"/>
          <w:left w:val="nil"/>
          <w:bottom w:val="nil"/>
          <w:right w:val="nil"/>
          <w:between w:val="nil"/>
        </w:pBdr>
        <w:tabs>
          <w:tab w:val="left" w:pos="284"/>
        </w:tabs>
        <w:spacing w:line="360" w:lineRule="auto"/>
        <w:ind w:right="-517"/>
        <w:jc w:val="both"/>
        <w:rPr>
          <w:rFonts w:ascii="Palatino Linotype" w:eastAsia="Palatino Linotype" w:hAnsi="Palatino Linotype" w:cs="Palatino Linotype"/>
          <w:b/>
        </w:rPr>
      </w:pPr>
    </w:p>
    <w:p w:rsidR="003D638D" w:rsidRPr="006447ED" w:rsidRDefault="00BB5CA3">
      <w:pPr>
        <w:numPr>
          <w:ilvl w:val="0"/>
          <w:numId w:val="3"/>
        </w:numPr>
        <w:pBdr>
          <w:top w:val="nil"/>
          <w:left w:val="nil"/>
          <w:bottom w:val="nil"/>
          <w:right w:val="nil"/>
          <w:between w:val="nil"/>
        </w:pBdr>
        <w:tabs>
          <w:tab w:val="left" w:pos="284"/>
        </w:tabs>
        <w:spacing w:line="360" w:lineRule="auto"/>
        <w:ind w:left="0" w:right="-517" w:firstLine="0"/>
        <w:jc w:val="both"/>
        <w:rPr>
          <w:color w:val="000000"/>
        </w:rPr>
      </w:pPr>
      <w:r w:rsidRPr="006447ED">
        <w:rPr>
          <w:rFonts w:ascii="Palatino Linotype" w:eastAsia="Palatino Linotype" w:hAnsi="Palatino Linotype" w:cs="Palatino Linotype"/>
          <w:color w:val="000000"/>
        </w:rPr>
        <w:t xml:space="preserve">En respuesta el SUJETO OBLIGADO, remitió la información descrita en el numeral 2 de la presente resolución. </w:t>
      </w:r>
    </w:p>
    <w:p w:rsidR="003D638D" w:rsidRPr="006447ED" w:rsidRDefault="003D638D">
      <w:pPr>
        <w:pBdr>
          <w:top w:val="nil"/>
          <w:left w:val="nil"/>
          <w:bottom w:val="nil"/>
          <w:right w:val="nil"/>
          <w:between w:val="nil"/>
        </w:pBdr>
        <w:spacing w:line="360" w:lineRule="auto"/>
        <w:ind w:left="708" w:right="-517"/>
        <w:rPr>
          <w:rFonts w:ascii="Palatino Linotype" w:eastAsia="Palatino Linotype" w:hAnsi="Palatino Linotype" w:cs="Palatino Linotype"/>
          <w:color w:val="000000"/>
        </w:rPr>
      </w:pPr>
    </w:p>
    <w:p w:rsidR="003D638D" w:rsidRPr="006447ED" w:rsidRDefault="00BB5CA3">
      <w:pPr>
        <w:numPr>
          <w:ilvl w:val="0"/>
          <w:numId w:val="3"/>
        </w:numPr>
        <w:pBdr>
          <w:top w:val="nil"/>
          <w:left w:val="nil"/>
          <w:bottom w:val="nil"/>
          <w:right w:val="nil"/>
          <w:between w:val="nil"/>
        </w:pBdr>
        <w:tabs>
          <w:tab w:val="left" w:pos="284"/>
        </w:tabs>
        <w:spacing w:line="360" w:lineRule="auto"/>
        <w:ind w:left="0" w:right="-517" w:firstLine="0"/>
        <w:jc w:val="both"/>
        <w:rPr>
          <w:color w:val="000000"/>
        </w:rPr>
      </w:pPr>
      <w:r w:rsidRPr="006447ED">
        <w:rPr>
          <w:rFonts w:ascii="Palatino Linotype" w:eastAsia="Palatino Linotype" w:hAnsi="Palatino Linotype" w:cs="Palatino Linotype"/>
          <w:color w:val="000000"/>
        </w:rPr>
        <w:t xml:space="preserve">Inconforme con la respuesta el RECURRENTE interpuso su inconformidad, en la cual </w:t>
      </w:r>
      <w:r w:rsidRPr="006447ED">
        <w:rPr>
          <w:rFonts w:ascii="Palatino Linotype" w:eastAsia="Palatino Linotype" w:hAnsi="Palatino Linotype" w:cs="Palatino Linotype"/>
        </w:rPr>
        <w:t>argumentó</w:t>
      </w:r>
      <w:r w:rsidRPr="006447ED">
        <w:rPr>
          <w:rFonts w:ascii="Palatino Linotype" w:eastAsia="Palatino Linotype" w:hAnsi="Palatino Linotype" w:cs="Palatino Linotype"/>
          <w:color w:val="000000"/>
        </w:rPr>
        <w:t xml:space="preserve"> la negativa a entregar la información solicitada, la cual se encuentra regulada en el artículo 179, fracción I de la Ley de Transparencia y Acceso a la Información Pública del Estado de México y Municipios, por lo cual este Órgano </w:t>
      </w:r>
      <w:proofErr w:type="spellStart"/>
      <w:r w:rsidRPr="006447ED">
        <w:rPr>
          <w:rFonts w:ascii="Palatino Linotype" w:eastAsia="Palatino Linotype" w:hAnsi="Palatino Linotype" w:cs="Palatino Linotype"/>
          <w:color w:val="000000"/>
        </w:rPr>
        <w:t>Resolutor</w:t>
      </w:r>
      <w:proofErr w:type="spellEnd"/>
      <w:r w:rsidRPr="006447ED">
        <w:rPr>
          <w:rFonts w:ascii="Palatino Linotype" w:eastAsia="Palatino Linotype" w:hAnsi="Palatino Linotype" w:cs="Palatino Linotype"/>
          <w:color w:val="000000"/>
        </w:rPr>
        <w:t xml:space="preserve"> verificará si la respuesta otorgada por el SUJETO OBLIGADO, es adecuada y suficiente para satisfacer el derecho de acceso a la información pública de la parte </w:t>
      </w:r>
      <w:r w:rsidRPr="006447ED">
        <w:rPr>
          <w:rFonts w:ascii="Palatino Linotype" w:eastAsia="Palatino Linotype" w:hAnsi="Palatino Linotype" w:cs="Palatino Linotype"/>
          <w:b/>
          <w:color w:val="000000"/>
        </w:rPr>
        <w:t xml:space="preserve">RECURRENTE, </w:t>
      </w:r>
      <w:r w:rsidRPr="006447ED">
        <w:rPr>
          <w:rFonts w:ascii="Palatino Linotype" w:eastAsia="Palatino Linotype" w:hAnsi="Palatino Linotype" w:cs="Palatino Linotype"/>
          <w:color w:val="000000"/>
        </w:rPr>
        <w:t>o en su defecto, en caso de ser procedente, ordenar la entrega de la información.</w:t>
      </w:r>
    </w:p>
    <w:p w:rsidR="003D638D" w:rsidRPr="006447ED" w:rsidRDefault="003D638D">
      <w:pPr>
        <w:pBdr>
          <w:top w:val="nil"/>
          <w:left w:val="nil"/>
          <w:bottom w:val="nil"/>
          <w:right w:val="nil"/>
          <w:between w:val="nil"/>
        </w:pBdr>
        <w:spacing w:line="360" w:lineRule="auto"/>
        <w:ind w:left="708" w:right="-517"/>
        <w:rPr>
          <w:rFonts w:ascii="Palatino Linotype" w:eastAsia="Palatino Linotype" w:hAnsi="Palatino Linotype" w:cs="Palatino Linotype"/>
          <w:color w:val="000000"/>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 xml:space="preserve">Siendo una facultad legal entrar al estudio de las causas de improcedencia que hagan valer las partes o que se adviertan de oficio por este Instituto; presupuestos procesales de inicio o trámite de un proceso que dotan de seguridad jurídica las resoluciones emitidas por este organismo colegiado, máxime que se trata de una figura procesal adoptada en la ley de </w:t>
      </w:r>
      <w:r w:rsidRPr="006447ED">
        <w:rPr>
          <w:rFonts w:ascii="Palatino Linotype" w:eastAsia="Palatino Linotype" w:hAnsi="Palatino Linotype" w:cs="Palatino Linotype"/>
          <w:color w:val="000000"/>
        </w:rPr>
        <w:lastRenderedPageBreak/>
        <w:t xml:space="preserve">la materia, la cual permite dilucidar alguna causal que impida el estudio y resolución de un asunto en su fondo, cuando una vez admitido el recurso de revisión se advierta una causa de improcedencia que permita </w:t>
      </w:r>
      <w:r w:rsidRPr="006447ED">
        <w:rPr>
          <w:rFonts w:ascii="Palatino Linotype" w:eastAsia="Palatino Linotype" w:hAnsi="Palatino Linotype" w:cs="Palatino Linotype"/>
        </w:rPr>
        <w:t>sobreseer</w:t>
      </w:r>
      <w:r w:rsidRPr="006447ED">
        <w:rPr>
          <w:rFonts w:ascii="Palatino Linotype" w:eastAsia="Palatino Linotype" w:hAnsi="Palatino Linotype" w:cs="Palatino Linotype"/>
          <w:color w:val="000000"/>
        </w:rPr>
        <w:t xml:space="preserve">. </w:t>
      </w:r>
    </w:p>
    <w:p w:rsidR="003D638D" w:rsidRPr="006447ED" w:rsidRDefault="003D638D">
      <w:pPr>
        <w:pBdr>
          <w:top w:val="nil"/>
          <w:left w:val="nil"/>
          <w:bottom w:val="nil"/>
          <w:right w:val="nil"/>
          <w:between w:val="nil"/>
        </w:pBdr>
        <w:spacing w:line="360" w:lineRule="auto"/>
        <w:ind w:left="708" w:right="-517"/>
        <w:rPr>
          <w:rFonts w:ascii="Palatino Linotype" w:eastAsia="Palatino Linotype" w:hAnsi="Palatino Linotype" w:cs="Palatino Linotype"/>
          <w:color w:val="000000"/>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 xml:space="preserve">Estudio de causales de improcedencia que no son incompatibles con el derecho de acceso a la justicia, ya que éste no se coarta por regular causas de improcedencia y sobreseimiento con tales fines. </w:t>
      </w:r>
    </w:p>
    <w:p w:rsidR="003D638D" w:rsidRPr="006447ED" w:rsidRDefault="003D638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De manera preliminar en el caso concreto conviene analizar si se actualiza alguna de las causales de sobreseimiento del recurso de revisión.</w:t>
      </w:r>
    </w:p>
    <w:p w:rsidR="003D638D" w:rsidRPr="006447ED" w:rsidRDefault="003D638D">
      <w:pPr>
        <w:spacing w:line="360" w:lineRule="auto"/>
        <w:ind w:right="-517"/>
        <w:jc w:val="both"/>
        <w:rPr>
          <w:rFonts w:ascii="Palatino Linotype" w:eastAsia="Palatino Linotype" w:hAnsi="Palatino Linotype" w:cs="Palatino Linotype"/>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En tal contexto, y para una mayor comprensión de las constancias que integran el expediente se elabora el siguiente cuadro comparativo:</w:t>
      </w:r>
    </w:p>
    <w:p w:rsidR="003D638D" w:rsidRPr="006447ED" w:rsidRDefault="003D638D">
      <w:pPr>
        <w:ind w:right="-517"/>
        <w:jc w:val="both"/>
        <w:rPr>
          <w:rFonts w:ascii="Palatino Linotype" w:eastAsia="Palatino Linotype" w:hAnsi="Palatino Linotype" w:cs="Palatino Linotype"/>
        </w:rPr>
      </w:pPr>
    </w:p>
    <w:tbl>
      <w:tblPr>
        <w:tblStyle w:val="aa"/>
        <w:tblW w:w="952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2085"/>
        <w:gridCol w:w="2970"/>
        <w:gridCol w:w="2385"/>
      </w:tblGrid>
      <w:tr w:rsidR="003D638D" w:rsidRPr="006447ED">
        <w:tc>
          <w:tcPr>
            <w:tcW w:w="2085" w:type="dxa"/>
            <w:shd w:val="clear" w:color="auto" w:fill="BFBFBF"/>
            <w:vAlign w:val="center"/>
          </w:tcPr>
          <w:p w:rsidR="003D638D" w:rsidRPr="006447ED" w:rsidRDefault="00BB5CA3">
            <w:pPr>
              <w:spacing w:before="240" w:after="240" w:line="276" w:lineRule="auto"/>
              <w:ind w:right="-109"/>
              <w:jc w:val="center"/>
              <w:rPr>
                <w:rFonts w:ascii="Palatino Linotype" w:eastAsia="Palatino Linotype" w:hAnsi="Palatino Linotype" w:cs="Palatino Linotype"/>
                <w:b/>
                <w:sz w:val="22"/>
                <w:szCs w:val="22"/>
              </w:rPr>
            </w:pPr>
            <w:r w:rsidRPr="006447ED">
              <w:rPr>
                <w:rFonts w:ascii="Palatino Linotype" w:eastAsia="Palatino Linotype" w:hAnsi="Palatino Linotype" w:cs="Palatino Linotype"/>
                <w:b/>
                <w:sz w:val="22"/>
                <w:szCs w:val="22"/>
              </w:rPr>
              <w:t>Solicitud</w:t>
            </w:r>
          </w:p>
        </w:tc>
        <w:tc>
          <w:tcPr>
            <w:tcW w:w="2085" w:type="dxa"/>
            <w:shd w:val="clear" w:color="auto" w:fill="BFBFBF"/>
            <w:vAlign w:val="center"/>
          </w:tcPr>
          <w:p w:rsidR="003D638D" w:rsidRPr="006447ED" w:rsidRDefault="00BB5CA3">
            <w:pPr>
              <w:spacing w:before="240" w:after="240" w:line="276" w:lineRule="auto"/>
              <w:ind w:right="-109"/>
              <w:jc w:val="center"/>
              <w:rPr>
                <w:rFonts w:ascii="Palatino Linotype" w:eastAsia="Palatino Linotype" w:hAnsi="Palatino Linotype" w:cs="Palatino Linotype"/>
                <w:b/>
                <w:sz w:val="22"/>
                <w:szCs w:val="22"/>
              </w:rPr>
            </w:pPr>
            <w:r w:rsidRPr="006447ED">
              <w:rPr>
                <w:rFonts w:ascii="Palatino Linotype" w:eastAsia="Palatino Linotype" w:hAnsi="Palatino Linotype" w:cs="Palatino Linotype"/>
                <w:b/>
                <w:sz w:val="22"/>
                <w:szCs w:val="22"/>
              </w:rPr>
              <w:t>Respuesta</w:t>
            </w:r>
          </w:p>
        </w:tc>
        <w:tc>
          <w:tcPr>
            <w:tcW w:w="2970" w:type="dxa"/>
            <w:shd w:val="clear" w:color="auto" w:fill="BFBFBF"/>
            <w:vAlign w:val="center"/>
          </w:tcPr>
          <w:p w:rsidR="003D638D" w:rsidRPr="006447ED" w:rsidRDefault="00BB5CA3">
            <w:pPr>
              <w:spacing w:before="240" w:after="240" w:line="276" w:lineRule="auto"/>
              <w:ind w:right="-109"/>
              <w:jc w:val="center"/>
              <w:rPr>
                <w:rFonts w:ascii="Palatino Linotype" w:eastAsia="Palatino Linotype" w:hAnsi="Palatino Linotype" w:cs="Palatino Linotype"/>
                <w:b/>
                <w:sz w:val="22"/>
                <w:szCs w:val="22"/>
              </w:rPr>
            </w:pPr>
            <w:r w:rsidRPr="006447ED">
              <w:rPr>
                <w:rFonts w:ascii="Palatino Linotype" w:eastAsia="Palatino Linotype" w:hAnsi="Palatino Linotype" w:cs="Palatino Linotype"/>
                <w:b/>
                <w:sz w:val="22"/>
                <w:szCs w:val="22"/>
              </w:rPr>
              <w:t>Razones o motivos de inconformidad</w:t>
            </w:r>
          </w:p>
        </w:tc>
        <w:tc>
          <w:tcPr>
            <w:tcW w:w="2385" w:type="dxa"/>
            <w:shd w:val="clear" w:color="auto" w:fill="BFBFBF"/>
            <w:vAlign w:val="center"/>
          </w:tcPr>
          <w:p w:rsidR="003D638D" w:rsidRPr="006447ED" w:rsidRDefault="00BB5CA3">
            <w:pPr>
              <w:spacing w:before="240" w:after="240" w:line="276" w:lineRule="auto"/>
              <w:ind w:right="-109"/>
              <w:jc w:val="center"/>
              <w:rPr>
                <w:rFonts w:ascii="Palatino Linotype" w:eastAsia="Palatino Linotype" w:hAnsi="Palatino Linotype" w:cs="Palatino Linotype"/>
                <w:b/>
                <w:sz w:val="22"/>
                <w:szCs w:val="22"/>
              </w:rPr>
            </w:pPr>
            <w:r w:rsidRPr="006447ED">
              <w:rPr>
                <w:rFonts w:ascii="Palatino Linotype" w:eastAsia="Palatino Linotype" w:hAnsi="Palatino Linotype" w:cs="Palatino Linotype"/>
                <w:b/>
                <w:sz w:val="22"/>
                <w:szCs w:val="22"/>
              </w:rPr>
              <w:t>Conclusión</w:t>
            </w:r>
          </w:p>
        </w:tc>
      </w:tr>
      <w:tr w:rsidR="003D638D" w:rsidRPr="006447ED">
        <w:tc>
          <w:tcPr>
            <w:tcW w:w="2085" w:type="dxa"/>
          </w:tcPr>
          <w:p w:rsidR="003D638D" w:rsidRPr="006447ED" w:rsidRDefault="00BB5CA3">
            <w:pPr>
              <w:spacing w:before="240"/>
              <w:ind w:right="-10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i/>
                <w:color w:val="000000"/>
                <w:sz w:val="22"/>
                <w:szCs w:val="22"/>
              </w:rPr>
              <w:t xml:space="preserve">Se solicita un informe ciudadano de las </w:t>
            </w:r>
            <w:proofErr w:type="spellStart"/>
            <w:r w:rsidRPr="006447ED">
              <w:rPr>
                <w:rFonts w:ascii="Palatino Linotype" w:eastAsia="Palatino Linotype" w:hAnsi="Palatino Linotype" w:cs="Palatino Linotype"/>
                <w:i/>
                <w:color w:val="000000"/>
                <w:sz w:val="22"/>
                <w:szCs w:val="22"/>
              </w:rPr>
              <w:t>bitacoras</w:t>
            </w:r>
            <w:proofErr w:type="spellEnd"/>
            <w:r w:rsidRPr="006447ED">
              <w:rPr>
                <w:rFonts w:ascii="Palatino Linotype" w:eastAsia="Palatino Linotype" w:hAnsi="Palatino Linotype" w:cs="Palatino Linotype"/>
                <w:i/>
                <w:color w:val="000000"/>
                <w:sz w:val="22"/>
                <w:szCs w:val="22"/>
              </w:rPr>
              <w:t xml:space="preserve"> de operación para el suministro de agua potable de los meses de Julio, Agosto, Septiembre , Octubre , Noviembre y Diciembre correspondientes a la orden de conexión </w:t>
            </w:r>
            <w:proofErr w:type="spellStart"/>
            <w:r w:rsidRPr="006447ED">
              <w:rPr>
                <w:rFonts w:ascii="Palatino Linotype" w:eastAsia="Palatino Linotype" w:hAnsi="Palatino Linotype" w:cs="Palatino Linotype"/>
                <w:i/>
                <w:color w:val="000000"/>
                <w:sz w:val="22"/>
                <w:szCs w:val="22"/>
              </w:rPr>
              <w:lastRenderedPageBreak/>
              <w:t>numero</w:t>
            </w:r>
            <w:proofErr w:type="spellEnd"/>
            <w:r w:rsidRPr="006447ED">
              <w:rPr>
                <w:rFonts w:ascii="Palatino Linotype" w:eastAsia="Palatino Linotype" w:hAnsi="Palatino Linotype" w:cs="Palatino Linotype"/>
                <w:i/>
                <w:color w:val="000000"/>
                <w:sz w:val="22"/>
                <w:szCs w:val="22"/>
              </w:rPr>
              <w:t xml:space="preserve"> 0061/2024 realizada el pasado 31 de julio de 2024 por el servidor </w:t>
            </w:r>
            <w:proofErr w:type="spellStart"/>
            <w:r w:rsidRPr="006447ED">
              <w:rPr>
                <w:rFonts w:ascii="Palatino Linotype" w:eastAsia="Palatino Linotype" w:hAnsi="Palatino Linotype" w:cs="Palatino Linotype"/>
                <w:i/>
                <w:color w:val="000000"/>
                <w:sz w:val="22"/>
                <w:szCs w:val="22"/>
              </w:rPr>
              <w:t>publico</w:t>
            </w:r>
            <w:proofErr w:type="spellEnd"/>
            <w:r w:rsidRPr="006447ED">
              <w:rPr>
                <w:rFonts w:ascii="Palatino Linotype" w:eastAsia="Palatino Linotype" w:hAnsi="Palatino Linotype" w:cs="Palatino Linotype"/>
                <w:i/>
                <w:color w:val="000000"/>
                <w:sz w:val="22"/>
                <w:szCs w:val="22"/>
              </w:rPr>
              <w:t xml:space="preserve"> Juan Carlos Navarrete Serrano adscrito a la </w:t>
            </w:r>
            <w:proofErr w:type="spellStart"/>
            <w:r w:rsidRPr="006447ED">
              <w:rPr>
                <w:rFonts w:ascii="Palatino Linotype" w:eastAsia="Palatino Linotype" w:hAnsi="Palatino Linotype" w:cs="Palatino Linotype"/>
                <w:i/>
                <w:color w:val="000000"/>
                <w:sz w:val="22"/>
                <w:szCs w:val="22"/>
              </w:rPr>
              <w:t>Direccion</w:t>
            </w:r>
            <w:proofErr w:type="spellEnd"/>
            <w:r w:rsidRPr="006447ED">
              <w:rPr>
                <w:rFonts w:ascii="Palatino Linotype" w:eastAsia="Palatino Linotype" w:hAnsi="Palatino Linotype" w:cs="Palatino Linotype"/>
                <w:i/>
                <w:color w:val="000000"/>
                <w:sz w:val="22"/>
                <w:szCs w:val="22"/>
              </w:rPr>
              <w:t xml:space="preserve"> de </w:t>
            </w:r>
            <w:proofErr w:type="spellStart"/>
            <w:r w:rsidRPr="006447ED">
              <w:rPr>
                <w:rFonts w:ascii="Palatino Linotype" w:eastAsia="Palatino Linotype" w:hAnsi="Palatino Linotype" w:cs="Palatino Linotype"/>
                <w:i/>
                <w:color w:val="000000"/>
                <w:sz w:val="22"/>
                <w:szCs w:val="22"/>
              </w:rPr>
              <w:t>Operacion</w:t>
            </w:r>
            <w:proofErr w:type="spellEnd"/>
          </w:p>
          <w:p w:rsidR="003D638D" w:rsidRPr="006447ED" w:rsidRDefault="003D638D">
            <w:pPr>
              <w:spacing w:after="240" w:line="276" w:lineRule="auto"/>
              <w:ind w:right="-109"/>
              <w:jc w:val="both"/>
              <w:rPr>
                <w:rFonts w:ascii="Palatino Linotype" w:eastAsia="Palatino Linotype" w:hAnsi="Palatino Linotype" w:cs="Palatino Linotype"/>
                <w:sz w:val="22"/>
                <w:szCs w:val="22"/>
              </w:rPr>
            </w:pPr>
          </w:p>
        </w:tc>
        <w:tc>
          <w:tcPr>
            <w:tcW w:w="2085" w:type="dxa"/>
          </w:tcPr>
          <w:p w:rsidR="003D638D" w:rsidRPr="006447ED" w:rsidRDefault="00BB5CA3">
            <w:pPr>
              <w:spacing w:before="240" w:line="276" w:lineRule="auto"/>
              <w:ind w:right="-109"/>
              <w:jc w:val="both"/>
              <w:rPr>
                <w:rFonts w:ascii="Palatino Linotype" w:eastAsia="Palatino Linotype" w:hAnsi="Palatino Linotype" w:cs="Palatino Linotype"/>
                <w:sz w:val="22"/>
                <w:szCs w:val="22"/>
              </w:rPr>
            </w:pPr>
            <w:r w:rsidRPr="006447ED">
              <w:rPr>
                <w:rFonts w:ascii="Palatino Linotype" w:eastAsia="Palatino Linotype" w:hAnsi="Palatino Linotype" w:cs="Palatino Linotype"/>
                <w:b/>
                <w:sz w:val="22"/>
                <w:szCs w:val="22"/>
              </w:rPr>
              <w:lastRenderedPageBreak/>
              <w:t>Director de Operación Hidráulica de OPERAGUA Cuautitlán Izcalli:</w:t>
            </w:r>
            <w:r w:rsidRPr="006447ED">
              <w:rPr>
                <w:rFonts w:ascii="Palatino Linotype" w:eastAsia="Palatino Linotype" w:hAnsi="Palatino Linotype" w:cs="Palatino Linotype"/>
                <w:sz w:val="22"/>
                <w:szCs w:val="22"/>
              </w:rPr>
              <w:t xml:space="preserve"> </w:t>
            </w:r>
            <w:r w:rsidRPr="006447ED">
              <w:rPr>
                <w:rFonts w:ascii="Palatino Linotype" w:eastAsia="Palatino Linotype" w:hAnsi="Palatino Linotype" w:cs="Palatino Linotype"/>
                <w:i/>
                <w:sz w:val="22"/>
                <w:szCs w:val="22"/>
              </w:rPr>
              <w:t xml:space="preserve">“…Por lo que respecta a dicha solicitud, se anexa formato de documento portátil </w:t>
            </w:r>
            <w:r w:rsidRPr="006447ED">
              <w:rPr>
                <w:rFonts w:ascii="Palatino Linotype" w:eastAsia="Palatino Linotype" w:hAnsi="Palatino Linotype" w:cs="Palatino Linotype"/>
                <w:i/>
                <w:sz w:val="22"/>
                <w:szCs w:val="22"/>
              </w:rPr>
              <w:lastRenderedPageBreak/>
              <w:t>(PDF), diversas bitácoras de campo del sistema hidráulico más cercano, del cual suministra el vital líquido a la zona donde fue realizada dicha conexión antes descrita…”</w:t>
            </w:r>
            <w:r w:rsidRPr="006447ED">
              <w:rPr>
                <w:rFonts w:ascii="Palatino Linotype" w:eastAsia="Palatino Linotype" w:hAnsi="Palatino Linotype" w:cs="Palatino Linotype"/>
                <w:sz w:val="22"/>
                <w:szCs w:val="22"/>
              </w:rPr>
              <w:t xml:space="preserve"> (Sic)</w:t>
            </w:r>
          </w:p>
          <w:p w:rsidR="003D638D" w:rsidRPr="006447ED" w:rsidRDefault="00BB5CA3">
            <w:pPr>
              <w:spacing w:after="240" w:line="276" w:lineRule="auto"/>
              <w:ind w:right="-109"/>
              <w:jc w:val="both"/>
              <w:rPr>
                <w:rFonts w:ascii="Palatino Linotype" w:eastAsia="Palatino Linotype" w:hAnsi="Palatino Linotype" w:cs="Palatino Linotype"/>
                <w:sz w:val="22"/>
                <w:szCs w:val="22"/>
              </w:rPr>
            </w:pPr>
            <w:r w:rsidRPr="006447ED">
              <w:rPr>
                <w:rFonts w:ascii="Palatino Linotype" w:eastAsia="Palatino Linotype" w:hAnsi="Palatino Linotype" w:cs="Palatino Linotype"/>
                <w:sz w:val="22"/>
                <w:szCs w:val="22"/>
              </w:rPr>
              <w:t>Anexo las bitácoras aludidas en el oficio descrito.</w:t>
            </w:r>
          </w:p>
        </w:tc>
        <w:tc>
          <w:tcPr>
            <w:tcW w:w="2970" w:type="dxa"/>
          </w:tcPr>
          <w:p w:rsidR="003D638D" w:rsidRPr="006447ED" w:rsidRDefault="00BB5CA3">
            <w:pPr>
              <w:ind w:right="-10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i/>
                <w:sz w:val="22"/>
                <w:szCs w:val="22"/>
              </w:rPr>
              <w:lastRenderedPageBreak/>
              <w:t xml:space="preserve">Se solicita recurso de </w:t>
            </w:r>
            <w:proofErr w:type="spellStart"/>
            <w:r w:rsidRPr="006447ED">
              <w:rPr>
                <w:rFonts w:ascii="Palatino Linotype" w:eastAsia="Palatino Linotype" w:hAnsi="Palatino Linotype" w:cs="Palatino Linotype"/>
                <w:i/>
                <w:sz w:val="22"/>
                <w:szCs w:val="22"/>
              </w:rPr>
              <w:t>revision</w:t>
            </w:r>
            <w:proofErr w:type="spellEnd"/>
            <w:r w:rsidRPr="006447ED">
              <w:rPr>
                <w:rFonts w:ascii="Palatino Linotype" w:eastAsia="Palatino Linotype" w:hAnsi="Palatino Linotype" w:cs="Palatino Linotype"/>
                <w:i/>
                <w:sz w:val="22"/>
                <w:szCs w:val="22"/>
              </w:rPr>
              <w:t xml:space="preserve"> de la </w:t>
            </w:r>
            <w:proofErr w:type="spellStart"/>
            <w:r w:rsidRPr="006447ED">
              <w:rPr>
                <w:rFonts w:ascii="Palatino Linotype" w:eastAsia="Palatino Linotype" w:hAnsi="Palatino Linotype" w:cs="Palatino Linotype"/>
                <w:i/>
                <w:sz w:val="22"/>
                <w:szCs w:val="22"/>
              </w:rPr>
              <w:t>informacion</w:t>
            </w:r>
            <w:proofErr w:type="spellEnd"/>
          </w:p>
          <w:p w:rsidR="003D638D" w:rsidRPr="006447ED" w:rsidRDefault="003D638D">
            <w:pPr>
              <w:ind w:right="-109"/>
              <w:jc w:val="both"/>
              <w:rPr>
                <w:rFonts w:ascii="Palatino Linotype" w:eastAsia="Palatino Linotype" w:hAnsi="Palatino Linotype" w:cs="Palatino Linotype"/>
                <w:i/>
                <w:sz w:val="22"/>
                <w:szCs w:val="22"/>
              </w:rPr>
            </w:pPr>
          </w:p>
          <w:p w:rsidR="003D638D" w:rsidRPr="006447ED" w:rsidRDefault="00BB5CA3">
            <w:pPr>
              <w:ind w:right="-10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i/>
                <w:sz w:val="22"/>
                <w:szCs w:val="22"/>
              </w:rPr>
              <w:t xml:space="preserve">El sujeto obligado no entrega la información puntual </w:t>
            </w:r>
            <w:r w:rsidRPr="006447ED">
              <w:rPr>
                <w:rFonts w:ascii="Palatino Linotype" w:eastAsia="Palatino Linotype" w:hAnsi="Palatino Linotype" w:cs="Palatino Linotype"/>
                <w:b/>
                <w:i/>
                <w:sz w:val="22"/>
                <w:szCs w:val="22"/>
                <w:u w:val="single"/>
              </w:rPr>
              <w:t xml:space="preserve">donde demuestre el suministro de agua potable correspondiente al </w:t>
            </w:r>
            <w:proofErr w:type="spellStart"/>
            <w:proofErr w:type="gramStart"/>
            <w:r w:rsidRPr="006447ED">
              <w:rPr>
                <w:rFonts w:ascii="Palatino Linotype" w:eastAsia="Palatino Linotype" w:hAnsi="Palatino Linotype" w:cs="Palatino Linotype"/>
                <w:b/>
                <w:i/>
                <w:sz w:val="22"/>
                <w:szCs w:val="22"/>
                <w:u w:val="single"/>
              </w:rPr>
              <w:t>numero</w:t>
            </w:r>
            <w:proofErr w:type="spellEnd"/>
            <w:proofErr w:type="gramEnd"/>
            <w:r w:rsidRPr="006447ED">
              <w:rPr>
                <w:rFonts w:ascii="Palatino Linotype" w:eastAsia="Palatino Linotype" w:hAnsi="Palatino Linotype" w:cs="Palatino Linotype"/>
                <w:b/>
                <w:i/>
                <w:sz w:val="22"/>
                <w:szCs w:val="22"/>
                <w:u w:val="single"/>
              </w:rPr>
              <w:t xml:space="preserve"> de expediente de la factibilidad</w:t>
            </w:r>
            <w:r w:rsidRPr="006447ED">
              <w:rPr>
                <w:rFonts w:ascii="Palatino Linotype" w:eastAsia="Palatino Linotype" w:hAnsi="Palatino Linotype" w:cs="Palatino Linotype"/>
                <w:i/>
                <w:sz w:val="22"/>
                <w:szCs w:val="22"/>
              </w:rPr>
              <w:t xml:space="preserve"> antes mencionada en la solicitud de información inicial.</w:t>
            </w:r>
          </w:p>
          <w:p w:rsidR="003D638D" w:rsidRPr="006447ED" w:rsidRDefault="003D638D">
            <w:pPr>
              <w:spacing w:after="240" w:line="276" w:lineRule="auto"/>
              <w:ind w:right="-109"/>
              <w:jc w:val="both"/>
              <w:rPr>
                <w:rFonts w:ascii="Palatino Linotype" w:eastAsia="Palatino Linotype" w:hAnsi="Palatino Linotype" w:cs="Palatino Linotype"/>
                <w:sz w:val="22"/>
                <w:szCs w:val="22"/>
              </w:rPr>
            </w:pPr>
          </w:p>
        </w:tc>
        <w:tc>
          <w:tcPr>
            <w:tcW w:w="2385" w:type="dxa"/>
          </w:tcPr>
          <w:p w:rsidR="003D638D" w:rsidRPr="006447ED" w:rsidRDefault="00BB5CA3">
            <w:pPr>
              <w:spacing w:before="240" w:after="240"/>
              <w:ind w:right="-109"/>
              <w:jc w:val="both"/>
              <w:rPr>
                <w:rFonts w:ascii="Palatino Linotype" w:eastAsia="Palatino Linotype" w:hAnsi="Palatino Linotype" w:cs="Palatino Linotype"/>
                <w:b/>
                <w:sz w:val="22"/>
                <w:szCs w:val="22"/>
                <w:u w:val="single"/>
              </w:rPr>
            </w:pPr>
            <w:r w:rsidRPr="006447ED">
              <w:rPr>
                <w:rFonts w:ascii="Palatino Linotype" w:eastAsia="Palatino Linotype" w:hAnsi="Palatino Linotype" w:cs="Palatino Linotype"/>
                <w:sz w:val="22"/>
                <w:szCs w:val="22"/>
              </w:rPr>
              <w:lastRenderedPageBreak/>
              <w:t xml:space="preserve">Los motivos de inconformidad van enfocados a la obtención de la información puntual donde se demuestre el suministro de agua en el número de expediente de la factibilidad </w:t>
            </w:r>
          </w:p>
        </w:tc>
      </w:tr>
    </w:tbl>
    <w:p w:rsidR="003D638D" w:rsidRPr="006447ED" w:rsidRDefault="003D638D">
      <w:pPr>
        <w:spacing w:line="360" w:lineRule="auto"/>
        <w:ind w:right="-517"/>
        <w:jc w:val="both"/>
        <w:rPr>
          <w:rFonts w:ascii="Palatino Linotype" w:eastAsia="Palatino Linotype" w:hAnsi="Palatino Linotype" w:cs="Palatino Linotype"/>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Ahora bien, es imprescindible traer a colación el contenido los artículos 186, 191 y 192 de la Ley en cita, disponen lo siguiente:</w:t>
      </w:r>
    </w:p>
    <w:p w:rsidR="003D638D" w:rsidRPr="006447ED" w:rsidRDefault="00BB5CA3">
      <w:pPr>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“Artículo 186. </w:t>
      </w:r>
      <w:r w:rsidRPr="006447ED">
        <w:rPr>
          <w:rFonts w:ascii="Palatino Linotype" w:eastAsia="Palatino Linotype" w:hAnsi="Palatino Linotype" w:cs="Palatino Linotype"/>
          <w:i/>
          <w:sz w:val="22"/>
          <w:szCs w:val="22"/>
        </w:rPr>
        <w:t>Las resoluciones del Instituto podrán:</w:t>
      </w:r>
    </w:p>
    <w:p w:rsidR="003D638D" w:rsidRPr="006447ED" w:rsidRDefault="00BB5CA3">
      <w:pPr>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I. Desechar o sobreseer el recurso;</w:t>
      </w:r>
    </w:p>
    <w:p w:rsidR="003D638D" w:rsidRPr="006447ED" w:rsidRDefault="00BB5CA3">
      <w:pPr>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II. </w:t>
      </w:r>
      <w:r w:rsidRPr="006447ED">
        <w:rPr>
          <w:rFonts w:ascii="Palatino Linotype" w:eastAsia="Palatino Linotype" w:hAnsi="Palatino Linotype" w:cs="Palatino Linotype"/>
          <w:i/>
          <w:sz w:val="22"/>
          <w:szCs w:val="22"/>
        </w:rPr>
        <w:t>Confirmar la respuesta del sujeto obligado;</w:t>
      </w:r>
    </w:p>
    <w:p w:rsidR="003D638D" w:rsidRPr="006447ED" w:rsidRDefault="00BB5CA3">
      <w:pPr>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III. </w:t>
      </w:r>
      <w:r w:rsidRPr="006447ED">
        <w:rPr>
          <w:rFonts w:ascii="Palatino Linotype" w:eastAsia="Palatino Linotype" w:hAnsi="Palatino Linotype" w:cs="Palatino Linotype"/>
          <w:i/>
          <w:sz w:val="22"/>
          <w:szCs w:val="22"/>
        </w:rPr>
        <w:t>Revocar o modificar la respuesta del sujeto obligado; y</w:t>
      </w:r>
    </w:p>
    <w:p w:rsidR="003D638D" w:rsidRPr="006447ED" w:rsidRDefault="00BB5CA3">
      <w:pPr>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IV. </w:t>
      </w:r>
      <w:r w:rsidRPr="006447ED">
        <w:rPr>
          <w:rFonts w:ascii="Palatino Linotype" w:eastAsia="Palatino Linotype" w:hAnsi="Palatino Linotype" w:cs="Palatino Linotype"/>
          <w:i/>
          <w:sz w:val="22"/>
          <w:szCs w:val="22"/>
        </w:rPr>
        <w:t>Ordenar la entrega de la información…”</w:t>
      </w:r>
    </w:p>
    <w:p w:rsidR="003D638D" w:rsidRPr="006447ED" w:rsidRDefault="003D638D">
      <w:pPr>
        <w:spacing w:before="120" w:after="120"/>
        <w:ind w:left="851" w:right="49"/>
        <w:jc w:val="both"/>
        <w:rPr>
          <w:rFonts w:ascii="Palatino Linotype" w:eastAsia="Palatino Linotype" w:hAnsi="Palatino Linotype" w:cs="Palatino Linotype"/>
          <w:i/>
          <w:sz w:val="22"/>
          <w:szCs w:val="22"/>
        </w:rPr>
      </w:pPr>
    </w:p>
    <w:p w:rsidR="003D638D" w:rsidRPr="006447ED" w:rsidRDefault="00BB5CA3">
      <w:pPr>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"Artículo 191. </w:t>
      </w:r>
      <w:r w:rsidRPr="006447ED">
        <w:rPr>
          <w:rFonts w:ascii="Palatino Linotype" w:eastAsia="Palatino Linotype" w:hAnsi="Palatino Linotype" w:cs="Palatino Linotype"/>
          <w:i/>
          <w:sz w:val="22"/>
          <w:szCs w:val="22"/>
        </w:rPr>
        <w:t>El recurso será desechado por improcedente cuando:</w:t>
      </w:r>
    </w:p>
    <w:p w:rsidR="003D638D" w:rsidRPr="006447ED" w:rsidRDefault="00BB5CA3">
      <w:pPr>
        <w:tabs>
          <w:tab w:val="left" w:pos="1276"/>
        </w:tabs>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I. </w:t>
      </w:r>
      <w:r w:rsidRPr="006447ED">
        <w:rPr>
          <w:rFonts w:ascii="Palatino Linotype" w:eastAsia="Palatino Linotype" w:hAnsi="Palatino Linotype" w:cs="Palatino Linotype"/>
          <w:i/>
          <w:sz w:val="22"/>
          <w:szCs w:val="22"/>
        </w:rPr>
        <w:t>Sea extemporáneo por haber transcurrido el plazo establecido en la presente Ley, a partir de la respuesta;</w:t>
      </w:r>
    </w:p>
    <w:p w:rsidR="003D638D" w:rsidRPr="006447ED" w:rsidRDefault="00BB5CA3">
      <w:pPr>
        <w:tabs>
          <w:tab w:val="left" w:pos="1276"/>
        </w:tabs>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II. </w:t>
      </w:r>
      <w:r w:rsidRPr="006447ED">
        <w:rPr>
          <w:rFonts w:ascii="Palatino Linotype" w:eastAsia="Palatino Linotype" w:hAnsi="Palatino Linotype" w:cs="Palatino Linotype"/>
          <w:i/>
          <w:sz w:val="22"/>
          <w:szCs w:val="22"/>
        </w:rPr>
        <w:t>Se esté tramitando ante el Poder Judicial de la Federación algún recurso o medio de defensa interpuesto por el recurrente;</w:t>
      </w:r>
    </w:p>
    <w:p w:rsidR="003D638D" w:rsidRPr="006447ED" w:rsidRDefault="00BB5CA3">
      <w:pPr>
        <w:tabs>
          <w:tab w:val="left" w:pos="1276"/>
        </w:tabs>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III</w:t>
      </w:r>
      <w:r w:rsidRPr="006447ED">
        <w:rPr>
          <w:rFonts w:ascii="Palatino Linotype" w:eastAsia="Palatino Linotype" w:hAnsi="Palatino Linotype" w:cs="Palatino Linotype"/>
          <w:i/>
          <w:sz w:val="22"/>
          <w:szCs w:val="22"/>
        </w:rPr>
        <w:t>. No actualice alguno de los supuestos previstos en la presente Ley;</w:t>
      </w:r>
    </w:p>
    <w:p w:rsidR="003D638D" w:rsidRPr="006447ED" w:rsidRDefault="00BB5CA3">
      <w:pPr>
        <w:tabs>
          <w:tab w:val="left" w:pos="1276"/>
        </w:tabs>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IV. </w:t>
      </w:r>
      <w:r w:rsidRPr="006447ED">
        <w:rPr>
          <w:rFonts w:ascii="Palatino Linotype" w:eastAsia="Palatino Linotype" w:hAnsi="Palatino Linotype" w:cs="Palatino Linotype"/>
          <w:i/>
          <w:sz w:val="22"/>
          <w:szCs w:val="22"/>
        </w:rPr>
        <w:t>No se haya desahogado la prevención en los términos establecidos en la presente Ley;</w:t>
      </w:r>
    </w:p>
    <w:p w:rsidR="003D638D" w:rsidRPr="006447ED" w:rsidRDefault="00BB5CA3">
      <w:pPr>
        <w:tabs>
          <w:tab w:val="left" w:pos="1276"/>
        </w:tabs>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V. </w:t>
      </w:r>
      <w:r w:rsidRPr="006447ED">
        <w:rPr>
          <w:rFonts w:ascii="Palatino Linotype" w:eastAsia="Palatino Linotype" w:hAnsi="Palatino Linotype" w:cs="Palatino Linotype"/>
          <w:i/>
          <w:sz w:val="22"/>
          <w:szCs w:val="22"/>
        </w:rPr>
        <w:t>Se impugne la veracidad de la información proporcionada</w:t>
      </w:r>
      <w:r w:rsidRPr="006447ED">
        <w:rPr>
          <w:rFonts w:ascii="Palatino Linotype" w:eastAsia="Palatino Linotype" w:hAnsi="Palatino Linotype" w:cs="Palatino Linotype"/>
          <w:b/>
          <w:i/>
          <w:sz w:val="22"/>
          <w:szCs w:val="22"/>
        </w:rPr>
        <w:t>;</w:t>
      </w:r>
    </w:p>
    <w:p w:rsidR="003D638D" w:rsidRPr="006447ED" w:rsidRDefault="00BB5CA3">
      <w:pPr>
        <w:tabs>
          <w:tab w:val="left" w:pos="1276"/>
        </w:tabs>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lastRenderedPageBreak/>
        <w:t xml:space="preserve">VI. </w:t>
      </w:r>
      <w:r w:rsidRPr="006447ED">
        <w:rPr>
          <w:rFonts w:ascii="Palatino Linotype" w:eastAsia="Palatino Linotype" w:hAnsi="Palatino Linotype" w:cs="Palatino Linotype"/>
          <w:i/>
          <w:sz w:val="22"/>
          <w:szCs w:val="22"/>
        </w:rPr>
        <w:t>Se trate de una consulta, o trámite en específico; y</w:t>
      </w:r>
    </w:p>
    <w:p w:rsidR="003D638D" w:rsidRPr="006447ED" w:rsidRDefault="00BB5CA3">
      <w:pPr>
        <w:tabs>
          <w:tab w:val="left" w:pos="1276"/>
        </w:tabs>
        <w:spacing w:before="120" w:after="120"/>
        <w:ind w:left="851" w:right="49"/>
        <w:jc w:val="both"/>
        <w:rPr>
          <w:rFonts w:ascii="Palatino Linotype" w:eastAsia="Palatino Linotype" w:hAnsi="Palatino Linotype" w:cs="Palatino Linotype"/>
          <w:b/>
          <w:i/>
          <w:sz w:val="22"/>
          <w:szCs w:val="22"/>
        </w:rPr>
      </w:pPr>
      <w:r w:rsidRPr="006447ED">
        <w:rPr>
          <w:rFonts w:ascii="Palatino Linotype" w:eastAsia="Palatino Linotype" w:hAnsi="Palatino Linotype" w:cs="Palatino Linotype"/>
          <w:b/>
          <w:i/>
          <w:sz w:val="22"/>
          <w:szCs w:val="22"/>
        </w:rPr>
        <w:t>VII. El recurrente amplíe su solicitud en el recurso de revisión, únicamente respecto de los nuevos contenidos.”</w:t>
      </w:r>
    </w:p>
    <w:p w:rsidR="003D638D" w:rsidRPr="006447ED" w:rsidRDefault="003D638D">
      <w:pPr>
        <w:spacing w:before="120" w:after="120"/>
        <w:ind w:left="851" w:right="49"/>
        <w:jc w:val="both"/>
        <w:rPr>
          <w:rFonts w:ascii="Palatino Linotype" w:eastAsia="Palatino Linotype" w:hAnsi="Palatino Linotype" w:cs="Palatino Linotype"/>
          <w:b/>
          <w:i/>
          <w:sz w:val="22"/>
          <w:szCs w:val="22"/>
        </w:rPr>
      </w:pPr>
    </w:p>
    <w:p w:rsidR="003D638D" w:rsidRPr="006447ED" w:rsidRDefault="00BB5CA3">
      <w:pPr>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“Artículo 192. </w:t>
      </w:r>
      <w:r w:rsidRPr="006447ED">
        <w:rPr>
          <w:rFonts w:ascii="Palatino Linotype" w:eastAsia="Palatino Linotype" w:hAnsi="Palatino Linotype" w:cs="Palatino Linotype"/>
          <w:i/>
          <w:sz w:val="22"/>
          <w:szCs w:val="22"/>
        </w:rPr>
        <w:t>El recurso será sobreseído, en todo o en parte, cuando una vez admitido, se actualicen alguno de los siguientes supuestos:</w:t>
      </w:r>
    </w:p>
    <w:p w:rsidR="003D638D" w:rsidRPr="006447ED" w:rsidRDefault="00BB5CA3">
      <w:pPr>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I. </w:t>
      </w:r>
      <w:r w:rsidRPr="006447ED">
        <w:rPr>
          <w:rFonts w:ascii="Palatino Linotype" w:eastAsia="Palatino Linotype" w:hAnsi="Palatino Linotype" w:cs="Palatino Linotype"/>
          <w:i/>
          <w:sz w:val="22"/>
          <w:szCs w:val="22"/>
        </w:rPr>
        <w:t>El recurrente se desista expresamente del recurso;</w:t>
      </w:r>
    </w:p>
    <w:p w:rsidR="003D638D" w:rsidRPr="006447ED" w:rsidRDefault="00BB5CA3">
      <w:pPr>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II. </w:t>
      </w:r>
      <w:r w:rsidRPr="006447ED">
        <w:rPr>
          <w:rFonts w:ascii="Palatino Linotype" w:eastAsia="Palatino Linotype" w:hAnsi="Palatino Linotype" w:cs="Palatino Linotype"/>
          <w:i/>
          <w:sz w:val="22"/>
          <w:szCs w:val="22"/>
        </w:rPr>
        <w:t>El recurrente fallezca o, tratándose de personas jurídicas colectivas, se disuelva;</w:t>
      </w:r>
    </w:p>
    <w:p w:rsidR="003D638D" w:rsidRPr="006447ED" w:rsidRDefault="00BB5CA3">
      <w:pPr>
        <w:spacing w:before="120" w:after="120"/>
        <w:ind w:left="851" w:right="49"/>
        <w:jc w:val="both"/>
        <w:rPr>
          <w:rFonts w:ascii="Palatino Linotype" w:eastAsia="Palatino Linotype" w:hAnsi="Palatino Linotype" w:cs="Palatino Linotype"/>
          <w:i/>
          <w:sz w:val="22"/>
          <w:szCs w:val="22"/>
        </w:rPr>
      </w:pPr>
      <w:r w:rsidRPr="006447ED">
        <w:rPr>
          <w:rFonts w:ascii="Palatino Linotype" w:eastAsia="Palatino Linotype" w:hAnsi="Palatino Linotype" w:cs="Palatino Linotype"/>
          <w:b/>
          <w:i/>
          <w:sz w:val="22"/>
          <w:szCs w:val="22"/>
        </w:rPr>
        <w:t xml:space="preserve">III. </w:t>
      </w:r>
      <w:r w:rsidRPr="006447ED">
        <w:rPr>
          <w:rFonts w:ascii="Palatino Linotype" w:eastAsia="Palatino Linotype" w:hAnsi="Palatino Linotype" w:cs="Palatino Linotype"/>
          <w:i/>
          <w:sz w:val="22"/>
          <w:szCs w:val="22"/>
        </w:rPr>
        <w:t>El sujeto obligado responsable del acto lo modifique o revoque de tal manera que el recurso de revisión quede sin materia;</w:t>
      </w:r>
    </w:p>
    <w:p w:rsidR="003D638D" w:rsidRPr="006447ED" w:rsidRDefault="00BB5CA3">
      <w:pPr>
        <w:spacing w:before="120" w:after="120"/>
        <w:ind w:left="851" w:right="49"/>
        <w:jc w:val="both"/>
        <w:rPr>
          <w:rFonts w:ascii="Palatino Linotype" w:eastAsia="Palatino Linotype" w:hAnsi="Palatino Linotype" w:cs="Palatino Linotype"/>
          <w:b/>
          <w:i/>
          <w:sz w:val="22"/>
          <w:szCs w:val="22"/>
        </w:rPr>
      </w:pPr>
      <w:r w:rsidRPr="006447ED">
        <w:rPr>
          <w:rFonts w:ascii="Palatino Linotype" w:eastAsia="Palatino Linotype" w:hAnsi="Palatino Linotype" w:cs="Palatino Linotype"/>
          <w:b/>
          <w:i/>
          <w:sz w:val="22"/>
          <w:szCs w:val="22"/>
        </w:rPr>
        <w:t>IV. Admitido el recurso de revisión, aparezca alguna causal de improcedencia en los términos de la presente Ley; y</w:t>
      </w:r>
    </w:p>
    <w:p w:rsidR="003D638D" w:rsidRPr="006447ED" w:rsidRDefault="00BB5CA3">
      <w:pPr>
        <w:spacing w:before="120" w:after="120"/>
        <w:ind w:left="851" w:right="49"/>
        <w:jc w:val="both"/>
        <w:rPr>
          <w:rFonts w:ascii="Palatino Linotype" w:eastAsia="Palatino Linotype" w:hAnsi="Palatino Linotype" w:cs="Palatino Linotype"/>
          <w:sz w:val="22"/>
          <w:szCs w:val="22"/>
        </w:rPr>
      </w:pPr>
      <w:r w:rsidRPr="006447ED">
        <w:rPr>
          <w:rFonts w:ascii="Palatino Linotype" w:eastAsia="Palatino Linotype" w:hAnsi="Palatino Linotype" w:cs="Palatino Linotype"/>
          <w:b/>
          <w:i/>
          <w:sz w:val="22"/>
          <w:szCs w:val="22"/>
        </w:rPr>
        <w:t xml:space="preserve">V. </w:t>
      </w:r>
      <w:r w:rsidRPr="006447ED">
        <w:rPr>
          <w:rFonts w:ascii="Palatino Linotype" w:eastAsia="Palatino Linotype" w:hAnsi="Palatino Linotype" w:cs="Palatino Linotype"/>
          <w:i/>
          <w:sz w:val="22"/>
          <w:szCs w:val="22"/>
        </w:rPr>
        <w:t>Cuando por cualquier motivo quede sin materia el recurso</w:t>
      </w:r>
      <w:r w:rsidRPr="006447ED">
        <w:rPr>
          <w:rFonts w:ascii="Palatino Linotype" w:eastAsia="Palatino Linotype" w:hAnsi="Palatino Linotype" w:cs="Palatino Linotype"/>
          <w:sz w:val="22"/>
          <w:szCs w:val="22"/>
        </w:rPr>
        <w:t>.”</w:t>
      </w:r>
    </w:p>
    <w:p w:rsidR="003D638D" w:rsidRPr="006447ED" w:rsidRDefault="003D638D">
      <w:pPr>
        <w:spacing w:line="360" w:lineRule="auto"/>
        <w:ind w:left="567" w:right="-517"/>
        <w:jc w:val="both"/>
        <w:rPr>
          <w:rFonts w:ascii="Palatino Linotype" w:eastAsia="Palatino Linotype" w:hAnsi="Palatino Linotype" w:cs="Palatino Linotype"/>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 xml:space="preserve">En el presente caso, es de mencionar que del análisis de las constancias que obran en el expediente de mérito, se advierte que se actualiza la causal de sobreseimiento enunciada en la fracción IV del artículo 192 de la Ley de Transparencia y Acceso a la Información Pública del Estado de México y Municipios, en relación directa con las fracción VII del artículo 191 de la misma Ley citado con antelación, al no existir elementos de procedencia, en virtud de que el </w:t>
      </w:r>
      <w:r w:rsidRPr="006447ED">
        <w:rPr>
          <w:rFonts w:ascii="Palatino Linotype" w:eastAsia="Palatino Linotype" w:hAnsi="Palatino Linotype" w:cs="Palatino Linotype"/>
          <w:b/>
          <w:color w:val="000000"/>
        </w:rPr>
        <w:t>Recurrente</w:t>
      </w:r>
      <w:r w:rsidRPr="006447ED">
        <w:rPr>
          <w:rFonts w:ascii="Palatino Linotype" w:eastAsia="Palatino Linotype" w:hAnsi="Palatino Linotype" w:cs="Palatino Linotype"/>
          <w:color w:val="000000"/>
        </w:rPr>
        <w:t xml:space="preserve"> amplió su solicitud en el recurso de revisión.</w:t>
      </w:r>
    </w:p>
    <w:p w:rsidR="003D638D" w:rsidRPr="006447ED" w:rsidRDefault="003D638D">
      <w:pPr>
        <w:pBdr>
          <w:top w:val="nil"/>
          <w:left w:val="nil"/>
          <w:bottom w:val="nil"/>
          <w:right w:val="nil"/>
          <w:between w:val="nil"/>
        </w:pBdr>
        <w:spacing w:line="360" w:lineRule="auto"/>
        <w:ind w:right="-517"/>
        <w:jc w:val="both"/>
        <w:rPr>
          <w:rFonts w:ascii="Palatino Linotype" w:eastAsia="Palatino Linotype" w:hAnsi="Palatino Linotype" w:cs="Palatino Linotype"/>
          <w:i/>
          <w:color w:val="000000"/>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b/>
          <w:color w:val="000000"/>
        </w:rPr>
      </w:pPr>
      <w:r w:rsidRPr="006447ED">
        <w:rPr>
          <w:rFonts w:ascii="Palatino Linotype" w:eastAsia="Palatino Linotype" w:hAnsi="Palatino Linotype" w:cs="Palatino Linotype"/>
          <w:color w:val="000000"/>
        </w:rPr>
        <w:t xml:space="preserve">Lo anterior se afirma así toda vez que </w:t>
      </w:r>
      <w:r w:rsidRPr="006447ED">
        <w:rPr>
          <w:rFonts w:ascii="Palatino Linotype" w:eastAsia="Palatino Linotype" w:hAnsi="Palatino Linotype" w:cs="Palatino Linotype"/>
          <w:b/>
          <w:color w:val="000000"/>
        </w:rPr>
        <w:t>la parte</w:t>
      </w:r>
      <w:r w:rsidRPr="006447ED">
        <w:rPr>
          <w:rFonts w:ascii="Palatino Linotype" w:eastAsia="Palatino Linotype" w:hAnsi="Palatino Linotype" w:cs="Palatino Linotype"/>
          <w:color w:val="000000"/>
        </w:rPr>
        <w:t xml:space="preserve"> </w:t>
      </w:r>
      <w:r w:rsidRPr="006447ED">
        <w:rPr>
          <w:rFonts w:ascii="Palatino Linotype" w:eastAsia="Palatino Linotype" w:hAnsi="Palatino Linotype" w:cs="Palatino Linotype"/>
          <w:b/>
          <w:color w:val="000000"/>
        </w:rPr>
        <w:t>Recurrente</w:t>
      </w:r>
      <w:r w:rsidRPr="006447ED">
        <w:rPr>
          <w:rFonts w:ascii="Palatino Linotype" w:eastAsia="Palatino Linotype" w:hAnsi="Palatino Linotype" w:cs="Palatino Linotype"/>
          <w:color w:val="000000"/>
        </w:rPr>
        <w:t xml:space="preserve">, mediante el recurso de revisión, </w:t>
      </w:r>
      <w:r w:rsidRPr="006447ED">
        <w:rPr>
          <w:rFonts w:ascii="Palatino Linotype" w:eastAsia="Palatino Linotype" w:hAnsi="Palatino Linotype" w:cs="Palatino Linotype"/>
          <w:b/>
          <w:color w:val="000000"/>
          <w:u w:val="single"/>
        </w:rPr>
        <w:t>solicita un informe de las bitácoras de operación para el suministro de agua potable de los meses de julio a diciembre del año dos mil veinticuatro, correspondientes a la orden de conexión número 0061/2024, realizada el 31 de julio de dos mil veinticuatro por el servidor público Juan Carlos Navarrete Serrano</w:t>
      </w:r>
      <w:r w:rsidRPr="006447ED">
        <w:rPr>
          <w:rFonts w:ascii="Palatino Linotype" w:eastAsia="Palatino Linotype" w:hAnsi="Palatino Linotype" w:cs="Palatino Linotype"/>
          <w:b/>
          <w:color w:val="000000"/>
        </w:rPr>
        <w:t xml:space="preserve">, </w:t>
      </w:r>
      <w:r w:rsidRPr="006447ED">
        <w:rPr>
          <w:rFonts w:ascii="Palatino Linotype" w:eastAsia="Palatino Linotype" w:hAnsi="Palatino Linotype" w:cs="Palatino Linotype"/>
          <w:color w:val="000000"/>
        </w:rPr>
        <w:t xml:space="preserve">pues de la confronta a la solicitud </w:t>
      </w:r>
      <w:r w:rsidRPr="006447ED">
        <w:rPr>
          <w:rFonts w:ascii="Palatino Linotype" w:eastAsia="Palatino Linotype" w:hAnsi="Palatino Linotype" w:cs="Palatino Linotype"/>
          <w:color w:val="000000"/>
        </w:rPr>
        <w:lastRenderedPageBreak/>
        <w:t>de información y el acto impugnado como las razones o motivos de inconformidad aducidos, se advierte que con dicha ampliación requiere lo siguiente:</w:t>
      </w:r>
      <w:r w:rsidRPr="006447ED">
        <w:rPr>
          <w:rFonts w:ascii="Palatino Linotype" w:eastAsia="Palatino Linotype" w:hAnsi="Palatino Linotype" w:cs="Palatino Linotype"/>
          <w:b/>
          <w:color w:val="000000"/>
        </w:rPr>
        <w:t xml:space="preserve"> que demuestre el suministro de agua potable correspondiente al número de expediente de la factibilidad antes mencionada en la solicitud de información inicial. </w:t>
      </w:r>
    </w:p>
    <w:p w:rsidR="003D638D" w:rsidRPr="006447ED" w:rsidRDefault="003D638D">
      <w:pPr>
        <w:spacing w:line="360" w:lineRule="auto"/>
        <w:ind w:right="-517"/>
        <w:jc w:val="both"/>
        <w:rPr>
          <w:rFonts w:ascii="Palatino Linotype" w:eastAsia="Palatino Linotype" w:hAnsi="Palatino Linotype" w:cs="Palatino Linotype"/>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b/>
          <w:color w:val="000000"/>
        </w:rPr>
      </w:pPr>
      <w:r w:rsidRPr="006447ED">
        <w:rPr>
          <w:rFonts w:ascii="Palatino Linotype" w:eastAsia="Palatino Linotype" w:hAnsi="Palatino Linotype" w:cs="Palatino Linotype"/>
          <w:color w:val="000000"/>
        </w:rPr>
        <w:t xml:space="preserve">Lo cual no fue especificado en su solicitud inicial, como se desprende del antecedente marcado con el numeral 1 de la presente resolución, por lo que constituyen en su totalidad nuevos requerimientos de información, configurándose así lo que se conoce como </w:t>
      </w:r>
      <w:r w:rsidRPr="006447ED">
        <w:rPr>
          <w:rFonts w:ascii="Palatino Linotype" w:eastAsia="Palatino Linotype" w:hAnsi="Palatino Linotype" w:cs="Palatino Linotype"/>
          <w:i/>
          <w:color w:val="000000"/>
        </w:rPr>
        <w:t xml:space="preserve">plus </w:t>
      </w:r>
      <w:proofErr w:type="spellStart"/>
      <w:r w:rsidRPr="006447ED">
        <w:rPr>
          <w:rFonts w:ascii="Palatino Linotype" w:eastAsia="Palatino Linotype" w:hAnsi="Palatino Linotype" w:cs="Palatino Linotype"/>
          <w:i/>
          <w:color w:val="000000"/>
        </w:rPr>
        <w:t>petitio</w:t>
      </w:r>
      <w:proofErr w:type="spellEnd"/>
      <w:r w:rsidRPr="006447ED">
        <w:rPr>
          <w:rFonts w:ascii="Palatino Linotype" w:eastAsia="Palatino Linotype" w:hAnsi="Palatino Linotype" w:cs="Palatino Linotype"/>
          <w:b/>
          <w:i/>
          <w:color w:val="000000"/>
        </w:rPr>
        <w:t xml:space="preserve">, </w:t>
      </w:r>
      <w:r w:rsidRPr="006447ED">
        <w:rPr>
          <w:rFonts w:ascii="Palatino Linotype" w:eastAsia="Palatino Linotype" w:hAnsi="Palatino Linotype" w:cs="Palatino Linotype"/>
          <w:color w:val="000000"/>
        </w:rPr>
        <w:t xml:space="preserve">que consiste en una ampliación a su requerimiento informativo, argumentos que no son susceptibles de ser valorados en términos de la fracción VII del Artículo 191 de la Ley de Transparencia y Acceso a la Información Pública del Estado de México y Municipios, el cual señala la improcedencia cuando </w:t>
      </w:r>
      <w:r w:rsidRPr="006447ED">
        <w:rPr>
          <w:rFonts w:ascii="Palatino Linotype" w:eastAsia="Palatino Linotype" w:hAnsi="Palatino Linotype" w:cs="Palatino Linotype"/>
          <w:b/>
          <w:color w:val="000000"/>
        </w:rPr>
        <w:t>la parte</w:t>
      </w:r>
      <w:r w:rsidRPr="006447ED">
        <w:rPr>
          <w:rFonts w:ascii="Palatino Linotype" w:eastAsia="Palatino Linotype" w:hAnsi="Palatino Linotype" w:cs="Palatino Linotype"/>
          <w:color w:val="000000"/>
        </w:rPr>
        <w:t xml:space="preserve"> </w:t>
      </w:r>
      <w:r w:rsidRPr="006447ED">
        <w:rPr>
          <w:rFonts w:ascii="Palatino Linotype" w:eastAsia="Palatino Linotype" w:hAnsi="Palatino Linotype" w:cs="Palatino Linotype"/>
          <w:b/>
          <w:color w:val="000000"/>
        </w:rPr>
        <w:t>Recurrente</w:t>
      </w:r>
      <w:r w:rsidRPr="006447ED">
        <w:rPr>
          <w:rFonts w:ascii="Palatino Linotype" w:eastAsia="Palatino Linotype" w:hAnsi="Palatino Linotype" w:cs="Palatino Linotype"/>
          <w:color w:val="000000"/>
        </w:rPr>
        <w:t xml:space="preserve"> amplíe su solicitud en el Recurso de Revisión, cuestión que tuvo lugar en el presente caso, pues </w:t>
      </w:r>
      <w:r w:rsidRPr="006447ED">
        <w:rPr>
          <w:rFonts w:ascii="Palatino Linotype" w:eastAsia="Palatino Linotype" w:hAnsi="Palatino Linotype" w:cs="Palatino Linotype"/>
          <w:b/>
          <w:color w:val="000000"/>
        </w:rPr>
        <w:t>la parte</w:t>
      </w:r>
      <w:r w:rsidRPr="006447ED">
        <w:rPr>
          <w:rFonts w:ascii="Palatino Linotype" w:eastAsia="Palatino Linotype" w:hAnsi="Palatino Linotype" w:cs="Palatino Linotype"/>
          <w:color w:val="000000"/>
        </w:rPr>
        <w:t xml:space="preserve"> </w:t>
      </w:r>
      <w:r w:rsidRPr="006447ED">
        <w:rPr>
          <w:rFonts w:ascii="Palatino Linotype" w:eastAsia="Palatino Linotype" w:hAnsi="Palatino Linotype" w:cs="Palatino Linotype"/>
          <w:b/>
          <w:color w:val="000000"/>
        </w:rPr>
        <w:t>Recurrente</w:t>
      </w:r>
      <w:r w:rsidRPr="006447ED">
        <w:rPr>
          <w:rFonts w:ascii="Palatino Linotype" w:eastAsia="Palatino Linotype" w:hAnsi="Palatino Linotype" w:cs="Palatino Linotype"/>
          <w:color w:val="000000"/>
        </w:rPr>
        <w:t xml:space="preserve"> formuló nuevos cuestionamientos, en los que solicitó información que no formó parte de su solicitud inicial y por lo tanto son inatendibles a través del recurso de revisión. </w:t>
      </w:r>
    </w:p>
    <w:p w:rsidR="003D638D" w:rsidRPr="006447ED" w:rsidRDefault="003D638D">
      <w:pPr>
        <w:spacing w:line="360" w:lineRule="auto"/>
        <w:ind w:right="-517"/>
        <w:jc w:val="both"/>
        <w:rPr>
          <w:rFonts w:ascii="Palatino Linotype" w:eastAsia="Palatino Linotype" w:hAnsi="Palatino Linotype" w:cs="Palatino Linotype"/>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pPr>
      <w:r w:rsidRPr="006447ED">
        <w:rPr>
          <w:rFonts w:ascii="Palatino Linotype" w:eastAsia="Palatino Linotype" w:hAnsi="Palatino Linotype" w:cs="Palatino Linotype"/>
          <w:color w:val="000000"/>
        </w:rPr>
        <w:t xml:space="preserve">En este tenor, es posible determinar que para el caso que nos ocupa, la totalidad de los argumentos formulados como acto impugnado concatenados con los motivos o razones de inconformidad son una ampliación a la solicitud inicial y corresponden a nuevos requerimientos de información, que no se encuentran relacionados con lo solicitado en un primer momento; no obstante lo anterior también duda de la respuesta emitida; siendo importante señalar que una vez formulada una solicitud, los particulares no pueden modificarla o ampliarla a través de posteriores promociones o en el momento de ingresar </w:t>
      </w:r>
      <w:r w:rsidRPr="006447ED">
        <w:rPr>
          <w:rFonts w:ascii="Palatino Linotype" w:eastAsia="Palatino Linotype" w:hAnsi="Palatino Linotype" w:cs="Palatino Linotype"/>
          <w:color w:val="000000"/>
        </w:rPr>
        <w:lastRenderedPageBreak/>
        <w:t>su recurso de revisión; por tanto, la materia de las solicitudes de información se circunscribe a que se permita el acceso a los documentos inicialmente solicitados y en su caso a los aclarados o corregidos.</w:t>
      </w:r>
    </w:p>
    <w:p w:rsidR="003D638D" w:rsidRPr="006447ED" w:rsidRDefault="003D638D">
      <w:pPr>
        <w:pBdr>
          <w:top w:val="nil"/>
          <w:left w:val="nil"/>
          <w:bottom w:val="nil"/>
          <w:right w:val="nil"/>
          <w:between w:val="nil"/>
        </w:pBdr>
        <w:ind w:left="708" w:right="-517"/>
        <w:rPr>
          <w:color w:val="000000"/>
        </w:rPr>
      </w:pPr>
    </w:p>
    <w:p w:rsidR="003D638D" w:rsidRPr="006447ED" w:rsidRDefault="00BB5CA3">
      <w:pPr>
        <w:numPr>
          <w:ilvl w:val="0"/>
          <w:numId w:val="3"/>
        </w:numPr>
        <w:pBdr>
          <w:top w:val="nil"/>
          <w:left w:val="nil"/>
          <w:bottom w:val="nil"/>
          <w:right w:val="nil"/>
          <w:between w:val="nil"/>
        </w:pBdr>
        <w:spacing w:before="240" w:after="240" w:line="360" w:lineRule="auto"/>
        <w:ind w:left="0" w:right="-517" w:firstLine="0"/>
        <w:jc w:val="both"/>
        <w:rPr>
          <w:color w:val="000000"/>
        </w:rPr>
      </w:pPr>
      <w:r w:rsidRPr="006447ED">
        <w:rPr>
          <w:rFonts w:ascii="Palatino Linotype" w:eastAsia="Palatino Linotype" w:hAnsi="Palatino Linotype" w:cs="Palatino Linotype"/>
          <w:color w:val="000000"/>
        </w:rPr>
        <w:t>Robustece lo anterior lo plasmado en el criterio orientador número 01/17 emitido por el Instituto Nacional de Transparencia, Acceso a la Información y Protección de Datos Personales, INAI, que lleva por rubro y texto lo que a continuación se transcribe:</w:t>
      </w:r>
    </w:p>
    <w:p w:rsidR="003D638D" w:rsidRPr="006447ED" w:rsidRDefault="00BB5CA3">
      <w:pPr>
        <w:spacing w:before="240" w:after="240"/>
        <w:ind w:left="851" w:right="49"/>
        <w:jc w:val="both"/>
        <w:rPr>
          <w:rFonts w:ascii="Palatino Linotype" w:eastAsia="Palatino Linotype" w:hAnsi="Palatino Linotype" w:cs="Palatino Linotype"/>
          <w:sz w:val="22"/>
          <w:szCs w:val="22"/>
        </w:rPr>
      </w:pPr>
      <w:r w:rsidRPr="006447ED">
        <w:rPr>
          <w:rFonts w:ascii="Palatino Linotype" w:eastAsia="Palatino Linotype" w:hAnsi="Palatino Linotype" w:cs="Palatino Linotype"/>
          <w:i/>
          <w:sz w:val="22"/>
          <w:szCs w:val="22"/>
        </w:rPr>
        <w:t>“</w:t>
      </w:r>
      <w:r w:rsidRPr="006447ED">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sidRPr="006447ED">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r w:rsidRPr="006447ED">
        <w:rPr>
          <w:rFonts w:ascii="Palatino Linotype" w:eastAsia="Palatino Linotype" w:hAnsi="Palatino Linotype" w:cs="Palatino Linotype"/>
          <w:b/>
          <w:i/>
          <w:sz w:val="22"/>
          <w:szCs w:val="22"/>
        </w:rPr>
        <w:t>.</w:t>
      </w:r>
      <w:r w:rsidRPr="006447ED">
        <w:rPr>
          <w:rFonts w:ascii="Palatino Linotype" w:eastAsia="Palatino Linotype" w:hAnsi="Palatino Linotype" w:cs="Palatino Linotype"/>
          <w:i/>
          <w:sz w:val="22"/>
          <w:szCs w:val="22"/>
        </w:rPr>
        <w:t>”(Sic)</w:t>
      </w:r>
    </w:p>
    <w:p w:rsidR="003D638D" w:rsidRPr="006447ED" w:rsidRDefault="003D638D">
      <w:pPr>
        <w:spacing w:before="240" w:after="240" w:line="360" w:lineRule="auto"/>
        <w:ind w:right="49"/>
        <w:jc w:val="both"/>
        <w:rPr>
          <w:rFonts w:ascii="Palatino Linotype" w:eastAsia="Palatino Linotype" w:hAnsi="Palatino Linotype" w:cs="Palatino Linotype"/>
          <w:sz w:val="22"/>
          <w:szCs w:val="22"/>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 xml:space="preserve">Acotado lo anterior, cabe destacar que la Ley da la posibilidad de desechar el recurso de revisión en el momento procesal en que también se puede admitir, por alguna de las causales transcritas, artículo que tiene un momento de aplicabilidad previo a la admisión del recurso de revisión por no reunir los requisitos de </w:t>
      </w:r>
      <w:proofErr w:type="spellStart"/>
      <w:r w:rsidRPr="006447ED">
        <w:rPr>
          <w:rFonts w:ascii="Palatino Linotype" w:eastAsia="Palatino Linotype" w:hAnsi="Palatino Linotype" w:cs="Palatino Linotype"/>
          <w:color w:val="000000"/>
        </w:rPr>
        <w:t>procedibilidad</w:t>
      </w:r>
      <w:proofErr w:type="spellEnd"/>
      <w:r w:rsidRPr="006447ED">
        <w:rPr>
          <w:rFonts w:ascii="Palatino Linotype" w:eastAsia="Palatino Linotype" w:hAnsi="Palatino Linotype" w:cs="Palatino Linotype"/>
          <w:color w:val="000000"/>
        </w:rPr>
        <w:t xml:space="preserve"> previstos en el artículo 179 de la Ley en la Materia, citado con antelación.</w:t>
      </w:r>
    </w:p>
    <w:p w:rsidR="003D638D" w:rsidRPr="006447ED" w:rsidRDefault="003D638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 xml:space="preserve">Dentro de este orden de ideas, es evidente que no se puede invocar el precepto legal 191 de la Ley en cita ulteriormente a que ha sido admitido, determinando la actualización </w:t>
      </w:r>
      <w:r w:rsidRPr="006447ED">
        <w:rPr>
          <w:rFonts w:ascii="Palatino Linotype" w:eastAsia="Palatino Linotype" w:hAnsi="Palatino Linotype" w:cs="Palatino Linotype"/>
          <w:color w:val="000000"/>
        </w:rPr>
        <w:lastRenderedPageBreak/>
        <w:t>de un desechamiento</w:t>
      </w:r>
      <w:r w:rsidRPr="006447ED">
        <w:rPr>
          <w:rFonts w:ascii="Palatino Linotype" w:eastAsia="Palatino Linotype" w:hAnsi="Palatino Linotype" w:cs="Palatino Linotype"/>
          <w:color w:val="000000"/>
          <w:vertAlign w:val="superscript"/>
        </w:rPr>
        <w:footnoteReference w:id="1"/>
      </w:r>
      <w:r w:rsidRPr="006447ED">
        <w:rPr>
          <w:rFonts w:ascii="Palatino Linotype" w:eastAsia="Palatino Linotype" w:hAnsi="Palatino Linotype" w:cs="Palatino Linotype"/>
          <w:color w:val="000000"/>
        </w:rPr>
        <w:t>, porque está ya sería posterior a la etapa procedimental en la que debió desecharse.</w:t>
      </w:r>
    </w:p>
    <w:p w:rsidR="003D638D" w:rsidRPr="006447ED" w:rsidRDefault="003D638D">
      <w:pPr>
        <w:pBdr>
          <w:top w:val="nil"/>
          <w:left w:val="nil"/>
          <w:bottom w:val="nil"/>
          <w:right w:val="nil"/>
          <w:between w:val="nil"/>
        </w:pBdr>
        <w:spacing w:line="360" w:lineRule="auto"/>
        <w:ind w:right="-517"/>
        <w:jc w:val="both"/>
        <w:rPr>
          <w:rFonts w:ascii="Palatino Linotype" w:eastAsia="Palatino Linotype" w:hAnsi="Palatino Linotype" w:cs="Palatino Linotype"/>
          <w:color w:val="000000"/>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 xml:space="preserve">Cobrando aplicación lo previsto en la fracción IV del artículo 192, en razón a que al haber sido admitido el recurso de revisión y al actualizarse una causal de improcedencia establecida en la fracción VII del artículo 191 de la misma Ley, éste debe ser </w:t>
      </w:r>
      <w:r w:rsidRPr="006447ED">
        <w:rPr>
          <w:rFonts w:ascii="Palatino Linotype" w:eastAsia="Palatino Linotype" w:hAnsi="Palatino Linotype" w:cs="Palatino Linotype"/>
          <w:i/>
          <w:color w:val="000000"/>
        </w:rPr>
        <w:t>sobreseído</w:t>
      </w:r>
      <w:r w:rsidRPr="006447ED">
        <w:rPr>
          <w:rFonts w:ascii="Palatino Linotype" w:eastAsia="Palatino Linotype" w:hAnsi="Palatino Linotype" w:cs="Palatino Linotype"/>
          <w:color w:val="000000"/>
        </w:rPr>
        <w:t xml:space="preserve">. </w:t>
      </w:r>
    </w:p>
    <w:p w:rsidR="003D638D" w:rsidRPr="006447ED" w:rsidRDefault="003D638D">
      <w:pPr>
        <w:pBdr>
          <w:top w:val="nil"/>
          <w:left w:val="nil"/>
          <w:bottom w:val="nil"/>
          <w:right w:val="nil"/>
          <w:between w:val="nil"/>
        </w:pBdr>
        <w:spacing w:line="360" w:lineRule="auto"/>
        <w:ind w:left="4754" w:right="-517"/>
        <w:jc w:val="both"/>
        <w:rPr>
          <w:rFonts w:ascii="Palatino Linotype" w:eastAsia="Palatino Linotype" w:hAnsi="Palatino Linotype" w:cs="Palatino Linotype"/>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rFonts w:ascii="Palatino Linotype" w:eastAsia="Palatino Linotype" w:hAnsi="Palatino Linotype" w:cs="Palatino Linotype"/>
          <w:b/>
          <w:color w:val="000000"/>
        </w:rPr>
      </w:pPr>
      <w:r w:rsidRPr="006447ED">
        <w:rPr>
          <w:rFonts w:ascii="Palatino Linotype" w:eastAsia="Palatino Linotype" w:hAnsi="Palatino Linotype" w:cs="Palatino Linotype"/>
          <w:color w:val="000000"/>
        </w:rPr>
        <w:t xml:space="preserve">Atento a los razonamientos lógico jurídicos que han quedado precisados y toda vez que el  </w:t>
      </w:r>
      <w:r w:rsidRPr="006447ED">
        <w:rPr>
          <w:rFonts w:ascii="Palatino Linotype" w:eastAsia="Palatino Linotype" w:hAnsi="Palatino Linotype" w:cs="Palatino Linotype"/>
          <w:i/>
          <w:color w:val="000000"/>
        </w:rPr>
        <w:t xml:space="preserve">sobreseimiento </w:t>
      </w:r>
      <w:r w:rsidRPr="006447ED">
        <w:rPr>
          <w:rFonts w:ascii="Palatino Linotype" w:eastAsia="Palatino Linotype" w:hAnsi="Palatino Linotype" w:cs="Palatino Linotype"/>
          <w:color w:val="000000"/>
        </w:rPr>
        <w:t xml:space="preserve">es un acto que da por terminado el procedimiento administrativo de impugnación por alguna causa que sobreviniente en el juicio de que se trate, que impide a la autoridad referirse a lo sustancial de lo planteado por el recurrente teniendo como consecuencia dar por concluido el medio de impugnación, este Instituto se encuentra imposibilitado para entrar al estudio de fondo del recurso de revisión, lo anterior con apoyo en el criterio del Poder Judicial de la Federación con rubro: </w:t>
      </w:r>
      <w:r w:rsidRPr="006447ED">
        <w:rPr>
          <w:rFonts w:ascii="Palatino Linotype" w:eastAsia="Palatino Linotype" w:hAnsi="Palatino Linotype" w:cs="Palatino Linotype"/>
          <w:b/>
          <w:color w:val="000000"/>
        </w:rPr>
        <w:t>SOBRESEIMIENTO, NO PERMITE ENTRAR AL ESTUDIO DE LAS CUESTIONES DE FONDO</w:t>
      </w:r>
      <w:r w:rsidRPr="006447ED">
        <w:rPr>
          <w:color w:val="000000"/>
          <w:vertAlign w:val="superscript"/>
        </w:rPr>
        <w:footnoteReference w:id="2"/>
      </w:r>
      <w:r w:rsidRPr="006447ED">
        <w:rPr>
          <w:rFonts w:ascii="Palatino Linotype" w:eastAsia="Palatino Linotype" w:hAnsi="Palatino Linotype" w:cs="Palatino Linotype"/>
          <w:b/>
          <w:color w:val="000000"/>
        </w:rPr>
        <w:t>.</w:t>
      </w:r>
    </w:p>
    <w:p w:rsidR="003D638D" w:rsidRPr="006447ED" w:rsidRDefault="003D638D">
      <w:pPr>
        <w:pBdr>
          <w:top w:val="nil"/>
          <w:left w:val="nil"/>
          <w:bottom w:val="nil"/>
          <w:right w:val="nil"/>
          <w:between w:val="nil"/>
        </w:pBdr>
        <w:spacing w:line="360" w:lineRule="auto"/>
        <w:ind w:right="-517"/>
        <w:jc w:val="both"/>
        <w:rPr>
          <w:rFonts w:ascii="Palatino Linotype" w:eastAsia="Palatino Linotype" w:hAnsi="Palatino Linotype" w:cs="Palatino Linotype"/>
          <w:b/>
          <w:color w:val="000000"/>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lastRenderedPageBreak/>
        <w:t>Cabe destacar que la decisión de este Organismo Colegiado de sobreseer el recurso de revisión no implica una limitación o negación a la justicia, según lo ha establecido el Poder Judicial Federal, en el criterio que es aplicable por analogía, con rubro:</w:t>
      </w:r>
    </w:p>
    <w:p w:rsidR="003D638D" w:rsidRPr="006447ED" w:rsidRDefault="00BB5CA3">
      <w:pPr>
        <w:spacing w:before="120" w:after="120"/>
        <w:ind w:left="851" w:right="49"/>
        <w:jc w:val="both"/>
        <w:rPr>
          <w:rFonts w:ascii="Palatino Linotype" w:eastAsia="Palatino Linotype" w:hAnsi="Palatino Linotype" w:cs="Palatino Linotype"/>
          <w:b/>
          <w:i/>
          <w:sz w:val="22"/>
          <w:szCs w:val="22"/>
        </w:rPr>
      </w:pPr>
      <w:r w:rsidRPr="006447ED">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rsidR="003D638D" w:rsidRPr="006447ED" w:rsidRDefault="00BB5CA3">
      <w:pPr>
        <w:ind w:left="851" w:right="49"/>
        <w:jc w:val="both"/>
        <w:rPr>
          <w:rFonts w:ascii="Palatino Linotype" w:eastAsia="Palatino Linotype" w:hAnsi="Palatino Linotype" w:cs="Palatino Linotype"/>
          <w:sz w:val="22"/>
          <w:szCs w:val="22"/>
        </w:rPr>
      </w:pPr>
      <w:r w:rsidRPr="006447ED">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w:t>
      </w:r>
      <w:proofErr w:type="spellStart"/>
      <w:r w:rsidRPr="006447ED">
        <w:rPr>
          <w:rFonts w:ascii="Palatino Linotype" w:eastAsia="Palatino Linotype" w:hAnsi="Palatino Linotype" w:cs="Palatino Linotype"/>
          <w:i/>
          <w:sz w:val="22"/>
          <w:szCs w:val="22"/>
        </w:rPr>
        <w:t>promovente</w:t>
      </w:r>
      <w:proofErr w:type="spellEnd"/>
      <w:r w:rsidRPr="006447ED">
        <w:rPr>
          <w:rFonts w:ascii="Palatino Linotype" w:eastAsia="Palatino Linotype" w:hAnsi="Palatino Linotype" w:cs="Palatino Linotype"/>
          <w:i/>
          <w:sz w:val="22"/>
          <w:szCs w:val="22"/>
        </w:rPr>
        <w:t>,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6447ED">
        <w:rPr>
          <w:rFonts w:ascii="Palatino Linotype" w:eastAsia="Palatino Linotype" w:hAnsi="Palatino Linotype" w:cs="Palatino Linotype"/>
          <w:sz w:val="22"/>
          <w:szCs w:val="22"/>
        </w:rPr>
        <w:tab/>
      </w:r>
    </w:p>
    <w:p w:rsidR="003D638D" w:rsidRPr="006447ED" w:rsidRDefault="003D638D">
      <w:pPr>
        <w:ind w:left="851" w:right="-517"/>
        <w:jc w:val="both"/>
        <w:rPr>
          <w:rFonts w:ascii="Palatino Linotype" w:eastAsia="Palatino Linotype" w:hAnsi="Palatino Linotype" w:cs="Palatino Linotype"/>
          <w:i/>
        </w:rPr>
      </w:pPr>
    </w:p>
    <w:p w:rsidR="003D638D" w:rsidRPr="006447ED" w:rsidRDefault="003D638D">
      <w:pPr>
        <w:spacing w:line="360" w:lineRule="auto"/>
        <w:ind w:left="720" w:right="-517"/>
        <w:jc w:val="both"/>
        <w:rPr>
          <w:rFonts w:ascii="Palatino Linotype" w:eastAsia="Palatino Linotype" w:hAnsi="Palatino Linotype" w:cs="Palatino Linotype"/>
          <w:i/>
        </w:rPr>
      </w:pPr>
    </w:p>
    <w:p w:rsidR="003D638D" w:rsidRPr="006447ED" w:rsidRDefault="00BB5CA3">
      <w:pPr>
        <w:numPr>
          <w:ilvl w:val="0"/>
          <w:numId w:val="3"/>
        </w:numPr>
        <w:pBdr>
          <w:top w:val="nil"/>
          <w:left w:val="nil"/>
          <w:bottom w:val="nil"/>
          <w:right w:val="nil"/>
          <w:between w:val="nil"/>
        </w:pBdr>
        <w:spacing w:line="360" w:lineRule="auto"/>
        <w:ind w:left="0" w:right="-517" w:firstLine="0"/>
        <w:jc w:val="both"/>
        <w:rPr>
          <w:color w:val="000000"/>
        </w:rPr>
      </w:pPr>
      <w:r w:rsidRPr="006447ED">
        <w:rPr>
          <w:rFonts w:ascii="Palatino Linotype" w:eastAsia="Palatino Linotype" w:hAnsi="Palatino Linotype" w:cs="Palatino Linotype"/>
          <w:color w:val="000000"/>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rsidR="003D638D" w:rsidRPr="006447ED" w:rsidRDefault="00BB5CA3">
      <w:pPr>
        <w:spacing w:line="360" w:lineRule="auto"/>
        <w:ind w:right="-517"/>
        <w:jc w:val="center"/>
        <w:rPr>
          <w:rFonts w:ascii="Palatino Linotype" w:eastAsia="Palatino Linotype" w:hAnsi="Palatino Linotype" w:cs="Palatino Linotype"/>
          <w:b/>
        </w:rPr>
      </w:pPr>
      <w:r w:rsidRPr="006447ED">
        <w:rPr>
          <w:rFonts w:ascii="Palatino Linotype" w:eastAsia="Palatino Linotype" w:hAnsi="Palatino Linotype" w:cs="Palatino Linotype"/>
          <w:b/>
        </w:rPr>
        <w:t>R E S U E L V E</w:t>
      </w:r>
    </w:p>
    <w:p w:rsidR="003D638D" w:rsidRPr="006447ED" w:rsidRDefault="003D638D">
      <w:pPr>
        <w:spacing w:line="360" w:lineRule="auto"/>
        <w:ind w:right="-517"/>
        <w:jc w:val="center"/>
        <w:rPr>
          <w:rFonts w:ascii="Palatino Linotype" w:eastAsia="Palatino Linotype" w:hAnsi="Palatino Linotype" w:cs="Palatino Linotype"/>
        </w:rPr>
      </w:pPr>
    </w:p>
    <w:p w:rsidR="003D638D" w:rsidRPr="006447ED" w:rsidRDefault="00BB5CA3">
      <w:pPr>
        <w:tabs>
          <w:tab w:val="left" w:pos="7936"/>
        </w:tabs>
        <w:spacing w:line="360" w:lineRule="auto"/>
        <w:ind w:right="-517"/>
        <w:jc w:val="both"/>
        <w:rPr>
          <w:rFonts w:ascii="Palatino Linotype" w:eastAsia="Palatino Linotype" w:hAnsi="Palatino Linotype" w:cs="Palatino Linotype"/>
        </w:rPr>
      </w:pPr>
      <w:r w:rsidRPr="006447ED">
        <w:rPr>
          <w:rFonts w:ascii="Palatino Linotype" w:eastAsia="Palatino Linotype" w:hAnsi="Palatino Linotype" w:cs="Palatino Linotype"/>
          <w:b/>
        </w:rPr>
        <w:lastRenderedPageBreak/>
        <w:t xml:space="preserve">PRIMERO. </w:t>
      </w:r>
      <w:r w:rsidRPr="006447ED">
        <w:rPr>
          <w:rFonts w:ascii="Palatino Linotype" w:eastAsia="Palatino Linotype" w:hAnsi="Palatino Linotype" w:cs="Palatino Linotype"/>
        </w:rPr>
        <w:t>Se</w:t>
      </w:r>
      <w:r w:rsidRPr="006447ED">
        <w:rPr>
          <w:rFonts w:ascii="Palatino Linotype" w:eastAsia="Palatino Linotype" w:hAnsi="Palatino Linotype" w:cs="Palatino Linotype"/>
          <w:b/>
        </w:rPr>
        <w:t xml:space="preserve"> SOBRESEE </w:t>
      </w:r>
      <w:r w:rsidRPr="006447ED">
        <w:rPr>
          <w:rFonts w:ascii="Palatino Linotype" w:eastAsia="Palatino Linotype" w:hAnsi="Palatino Linotype" w:cs="Palatino Linotype"/>
        </w:rPr>
        <w:t xml:space="preserve">el recurso de revisión número </w:t>
      </w:r>
      <w:r w:rsidRPr="006447ED">
        <w:rPr>
          <w:rFonts w:ascii="Palatino Linotype" w:eastAsia="Palatino Linotype" w:hAnsi="Palatino Linotype" w:cs="Palatino Linotype"/>
          <w:b/>
        </w:rPr>
        <w:t xml:space="preserve">00038/INFOEM/IP/RR/2025, </w:t>
      </w:r>
      <w:r w:rsidRPr="006447ED">
        <w:rPr>
          <w:rFonts w:ascii="Palatino Linotype" w:eastAsia="Palatino Linotype" w:hAnsi="Palatino Linotype" w:cs="Palatino Linotype"/>
        </w:rPr>
        <w:t>porque una vez admitido se actualizó la causal de improcedencia prevista en artículo 192</w:t>
      </w:r>
      <w:r w:rsidR="0023045A" w:rsidRPr="006447ED">
        <w:rPr>
          <w:rFonts w:ascii="Palatino Linotype" w:eastAsia="Palatino Linotype" w:hAnsi="Palatino Linotype" w:cs="Palatino Linotype"/>
        </w:rPr>
        <w:t>,</w:t>
      </w:r>
      <w:r w:rsidRPr="006447ED">
        <w:rPr>
          <w:rFonts w:ascii="Palatino Linotype" w:eastAsia="Palatino Linotype" w:hAnsi="Palatino Linotype" w:cs="Palatino Linotype"/>
        </w:rPr>
        <w:t xml:space="preserve"> fracción IV, en relación con la fracción VII</w:t>
      </w:r>
      <w:r w:rsidR="0023045A" w:rsidRPr="006447ED">
        <w:rPr>
          <w:rFonts w:ascii="Palatino Linotype" w:eastAsia="Palatino Linotype" w:hAnsi="Palatino Linotype" w:cs="Palatino Linotype"/>
        </w:rPr>
        <w:t>,</w:t>
      </w:r>
      <w:r w:rsidRPr="006447ED">
        <w:rPr>
          <w:rFonts w:ascii="Palatino Linotype" w:eastAsia="Palatino Linotype" w:hAnsi="Palatino Linotype" w:cs="Palatino Linotype"/>
        </w:rPr>
        <w:t xml:space="preserve"> del artículo 191, de la Ley de Transparencia y Acceso a la Información Pública del Estado de México y Municipios, en términos del Considerando</w:t>
      </w:r>
      <w:r w:rsidRPr="006447ED">
        <w:rPr>
          <w:rFonts w:ascii="Palatino Linotype" w:eastAsia="Palatino Linotype" w:hAnsi="Palatino Linotype" w:cs="Palatino Linotype"/>
          <w:b/>
        </w:rPr>
        <w:t xml:space="preserve"> TERCERO </w:t>
      </w:r>
      <w:r w:rsidRPr="006447ED">
        <w:rPr>
          <w:rFonts w:ascii="Palatino Linotype" w:eastAsia="Palatino Linotype" w:hAnsi="Palatino Linotype" w:cs="Palatino Linotype"/>
        </w:rPr>
        <w:t>de la presente resolución.</w:t>
      </w:r>
    </w:p>
    <w:p w:rsidR="003D638D" w:rsidRPr="006447ED" w:rsidRDefault="003D638D">
      <w:pPr>
        <w:spacing w:line="360" w:lineRule="auto"/>
        <w:ind w:right="-517"/>
        <w:jc w:val="both"/>
        <w:rPr>
          <w:rFonts w:ascii="Palatino Linotype" w:eastAsia="Palatino Linotype" w:hAnsi="Palatino Linotype" w:cs="Palatino Linotype"/>
          <w:b/>
          <w:sz w:val="14"/>
        </w:rPr>
      </w:pPr>
    </w:p>
    <w:p w:rsidR="003D638D" w:rsidRPr="006447ED" w:rsidRDefault="00BB5CA3">
      <w:pPr>
        <w:spacing w:line="360" w:lineRule="auto"/>
        <w:ind w:right="-517"/>
        <w:jc w:val="both"/>
        <w:rPr>
          <w:rFonts w:ascii="Palatino Linotype" w:eastAsia="Palatino Linotype" w:hAnsi="Palatino Linotype" w:cs="Palatino Linotype"/>
        </w:rPr>
      </w:pPr>
      <w:r w:rsidRPr="006447ED">
        <w:rPr>
          <w:rFonts w:ascii="Palatino Linotype" w:eastAsia="Palatino Linotype" w:hAnsi="Palatino Linotype" w:cs="Palatino Linotype"/>
          <w:b/>
        </w:rPr>
        <w:t xml:space="preserve">SEGUNDO. </w:t>
      </w:r>
      <w:r w:rsidRPr="006447ED">
        <w:rPr>
          <w:rFonts w:ascii="Palatino Linotype" w:eastAsia="Palatino Linotype" w:hAnsi="Palatino Linotype" w:cs="Palatino Linotype"/>
        </w:rPr>
        <w:t>Notifíquese al Titular de la Unidad de Transparencia, vía Sistema de Acceso a la Información Mexiquense (SAIMEX)</w:t>
      </w:r>
      <w:r w:rsidRPr="006447ED">
        <w:rPr>
          <w:rFonts w:ascii="Palatino Linotype" w:eastAsia="Palatino Linotype" w:hAnsi="Palatino Linotype" w:cs="Palatino Linotype"/>
          <w:b/>
        </w:rPr>
        <w:t>,</w:t>
      </w:r>
      <w:r w:rsidRPr="006447ED">
        <w:rPr>
          <w:rFonts w:ascii="Palatino Linotype" w:eastAsia="Palatino Linotype" w:hAnsi="Palatino Linotype" w:cs="Palatino Linotype"/>
        </w:rPr>
        <w:t xml:space="preserve"> para su conocimiento.</w:t>
      </w:r>
    </w:p>
    <w:p w:rsidR="003D638D" w:rsidRPr="006447ED" w:rsidRDefault="003D638D">
      <w:pPr>
        <w:spacing w:line="360" w:lineRule="auto"/>
        <w:ind w:right="-517"/>
        <w:jc w:val="both"/>
        <w:rPr>
          <w:rFonts w:ascii="Palatino Linotype" w:eastAsia="Palatino Linotype" w:hAnsi="Palatino Linotype" w:cs="Palatino Linotype"/>
          <w:sz w:val="18"/>
        </w:rPr>
      </w:pPr>
    </w:p>
    <w:p w:rsidR="003D638D" w:rsidRPr="006447ED" w:rsidRDefault="00BB5CA3">
      <w:pPr>
        <w:spacing w:line="360" w:lineRule="auto"/>
        <w:ind w:right="-517"/>
        <w:jc w:val="both"/>
        <w:rPr>
          <w:rFonts w:ascii="Palatino Linotype" w:eastAsia="Palatino Linotype" w:hAnsi="Palatino Linotype" w:cs="Palatino Linotype"/>
        </w:rPr>
      </w:pPr>
      <w:bookmarkStart w:id="4" w:name="_heading=h.gjdgxs" w:colFirst="0" w:colLast="0"/>
      <w:bookmarkEnd w:id="4"/>
      <w:r w:rsidRPr="006447ED">
        <w:rPr>
          <w:rFonts w:ascii="Palatino Linotype" w:eastAsia="Palatino Linotype" w:hAnsi="Palatino Linotype" w:cs="Palatino Linotype"/>
          <w:b/>
        </w:rPr>
        <w:t xml:space="preserve">TERCERO. </w:t>
      </w:r>
      <w:r w:rsidRPr="006447ED">
        <w:rPr>
          <w:rFonts w:ascii="Palatino Linotype" w:eastAsia="Palatino Linotype" w:hAnsi="Palatino Linotype" w:cs="Palatino Linotype"/>
        </w:rPr>
        <w:t>Notifíquese vía Sistema de Acceso a la Información Mexiquense (SAIMEX), la presente resolución a la parte Recurrente, así como, que de conformidad con lo establecido en el artículo 196 de la Ley de Transparencia y Acceso a la Información Pública del Estado de México y Municipios, podrá impugnar vía Juicio de Amparo en los términos de las leyes aplicables.</w:t>
      </w:r>
    </w:p>
    <w:p w:rsidR="003D638D" w:rsidRPr="006447ED" w:rsidRDefault="003D638D">
      <w:pPr>
        <w:spacing w:line="360" w:lineRule="auto"/>
        <w:ind w:right="-517"/>
        <w:jc w:val="both"/>
        <w:rPr>
          <w:rFonts w:ascii="Palatino Linotype" w:eastAsia="Palatino Linotype" w:hAnsi="Palatino Linotype" w:cs="Palatino Linotype"/>
          <w:b/>
        </w:rPr>
      </w:pPr>
    </w:p>
    <w:p w:rsidR="0023045A" w:rsidRPr="003C7186" w:rsidRDefault="00C01E42" w:rsidP="0023045A">
      <w:pPr>
        <w:spacing w:line="360" w:lineRule="auto"/>
        <w:ind w:left="-142" w:right="-234" w:firstLine="1"/>
        <w:jc w:val="both"/>
        <w:rPr>
          <w:rFonts w:ascii="Palatino Linotype" w:hAnsi="Palatino Linotype"/>
        </w:rPr>
      </w:pPr>
      <w:bookmarkStart w:id="5" w:name="_heading=h.5gip95iujr5i" w:colFirst="0" w:colLast="0"/>
      <w:bookmarkEnd w:id="5"/>
      <w:r w:rsidRPr="006447ED">
        <w:rPr>
          <w:rFonts w:ascii="Palatino Linotype" w:hAnsi="Palatino Linotype"/>
        </w:rPr>
        <w:t>ASÍ LO RESUELVE, POR MAYORÍA</w:t>
      </w:r>
      <w:r w:rsidR="0023045A" w:rsidRPr="006447ED">
        <w:rPr>
          <w:rFonts w:ascii="Palatino Linotype" w:hAnsi="Palatino Linotyp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w:t>
      </w:r>
      <w:r w:rsidR="00B05F66" w:rsidRPr="006447ED">
        <w:rPr>
          <w:rFonts w:ascii="Palatino Linotype" w:hAnsi="Palatino Linotype"/>
        </w:rPr>
        <w:t xml:space="preserve">EMITIENDO VOTO DISIDENTE </w:t>
      </w:r>
      <w:r w:rsidR="0023045A" w:rsidRPr="006447ED">
        <w:rPr>
          <w:rFonts w:ascii="Palatino Linotype" w:hAnsi="Palatino Linotype"/>
        </w:rPr>
        <w:t>Y GUADALUPE RAMÍREZ PEÑA</w:t>
      </w:r>
      <w:r w:rsidR="00B05F66" w:rsidRPr="006447ED">
        <w:rPr>
          <w:rFonts w:ascii="Palatino Linotype" w:hAnsi="Palatino Linotype"/>
        </w:rPr>
        <w:t xml:space="preserve"> EMITIENDO VOTO DISIDENTE</w:t>
      </w:r>
      <w:r w:rsidR="0023045A" w:rsidRPr="006447ED">
        <w:rPr>
          <w:rFonts w:ascii="Palatino Linotype" w:hAnsi="Palatino Linotype"/>
        </w:rPr>
        <w:t>; EN LA CUARTA SESIÓN ORDINARIA CELEBRADA EL SEIS (06) DE FEBRERO DE DOS MIL VEINTICINCO, ANTE EL SECRETARIO TÉCNICO DEL PLENO ALEXIS TAPIA RAMÍREZ.</w:t>
      </w:r>
      <w:r w:rsidR="0023045A" w:rsidRPr="003C7186">
        <w:rPr>
          <w:rFonts w:ascii="Palatino Linotype" w:hAnsi="Palatino Linotype"/>
        </w:rPr>
        <w:t xml:space="preserve"> </w:t>
      </w:r>
    </w:p>
    <w:p w:rsidR="003D638D" w:rsidRDefault="003D638D">
      <w:pPr>
        <w:spacing w:line="360" w:lineRule="auto"/>
        <w:ind w:right="-517"/>
        <w:jc w:val="both"/>
        <w:rPr>
          <w:rFonts w:ascii="Palatino Linotype" w:eastAsia="Palatino Linotype" w:hAnsi="Palatino Linotype" w:cs="Palatino Linotype"/>
        </w:rPr>
      </w:pPr>
    </w:p>
    <w:p w:rsidR="00B72B94" w:rsidRDefault="00B72B94">
      <w:pPr>
        <w:spacing w:line="360" w:lineRule="auto"/>
        <w:ind w:right="-517"/>
        <w:jc w:val="both"/>
        <w:rPr>
          <w:rFonts w:ascii="Palatino Linotype" w:eastAsia="Palatino Linotype" w:hAnsi="Palatino Linotype" w:cs="Palatino Linotype"/>
        </w:rPr>
      </w:pPr>
    </w:p>
    <w:p w:rsidR="00B72B94" w:rsidRDefault="00B72B94">
      <w:pPr>
        <w:spacing w:line="360" w:lineRule="auto"/>
        <w:ind w:right="-517"/>
        <w:jc w:val="both"/>
        <w:rPr>
          <w:rFonts w:ascii="Palatino Linotype" w:eastAsia="Palatino Linotype" w:hAnsi="Palatino Linotype" w:cs="Palatino Linotype"/>
        </w:rPr>
      </w:pPr>
    </w:p>
    <w:p w:rsidR="00B72B94" w:rsidRDefault="00B72B94">
      <w:pPr>
        <w:spacing w:line="360" w:lineRule="auto"/>
        <w:ind w:right="-517"/>
        <w:jc w:val="both"/>
        <w:rPr>
          <w:rFonts w:ascii="Palatino Linotype" w:eastAsia="Palatino Linotype" w:hAnsi="Palatino Linotype" w:cs="Palatino Linotype"/>
        </w:rPr>
      </w:pPr>
    </w:p>
    <w:p w:rsidR="00B72B94" w:rsidRDefault="00B72B94">
      <w:pPr>
        <w:spacing w:line="360" w:lineRule="auto"/>
        <w:ind w:right="-517"/>
        <w:jc w:val="both"/>
        <w:rPr>
          <w:rFonts w:ascii="Palatino Linotype" w:eastAsia="Palatino Linotype" w:hAnsi="Palatino Linotype" w:cs="Palatino Linotype"/>
        </w:rPr>
      </w:pPr>
    </w:p>
    <w:p w:rsidR="00B72B94" w:rsidRDefault="00B72B94">
      <w:pPr>
        <w:spacing w:line="360" w:lineRule="auto"/>
        <w:ind w:right="-517"/>
        <w:jc w:val="both"/>
        <w:rPr>
          <w:rFonts w:ascii="Palatino Linotype" w:eastAsia="Palatino Linotype" w:hAnsi="Palatino Linotype" w:cs="Palatino Linotype"/>
        </w:rPr>
      </w:pPr>
    </w:p>
    <w:p w:rsidR="00B72B94" w:rsidRDefault="00B72B94">
      <w:pPr>
        <w:spacing w:line="360" w:lineRule="auto"/>
        <w:ind w:right="-517"/>
        <w:jc w:val="both"/>
        <w:rPr>
          <w:rFonts w:ascii="Palatino Linotype" w:eastAsia="Palatino Linotype" w:hAnsi="Palatino Linotype" w:cs="Palatino Linotype"/>
        </w:rPr>
      </w:pPr>
    </w:p>
    <w:p w:rsidR="00B72B94" w:rsidRDefault="00B72B94">
      <w:pPr>
        <w:spacing w:line="360" w:lineRule="auto"/>
        <w:ind w:right="-517"/>
        <w:jc w:val="both"/>
        <w:rPr>
          <w:rFonts w:ascii="Palatino Linotype" w:eastAsia="Palatino Linotype" w:hAnsi="Palatino Linotype" w:cs="Palatino Linotype"/>
        </w:rPr>
      </w:pPr>
    </w:p>
    <w:p w:rsidR="003D638D" w:rsidRDefault="003D638D">
      <w:pPr>
        <w:spacing w:line="360" w:lineRule="auto"/>
        <w:ind w:right="-517"/>
        <w:jc w:val="both"/>
        <w:rPr>
          <w:rFonts w:ascii="Palatino Linotype" w:eastAsia="Palatino Linotype" w:hAnsi="Palatino Linotype" w:cs="Palatino Linotype"/>
        </w:rPr>
      </w:pPr>
      <w:bookmarkStart w:id="6" w:name="_heading=h.ga097zw4tk4z" w:colFirst="0" w:colLast="0"/>
      <w:bookmarkStart w:id="7" w:name="_heading=h.z77mk7o03qii" w:colFirst="0" w:colLast="0"/>
      <w:bookmarkStart w:id="8" w:name="_heading=h.ae5shroxthc6" w:colFirst="0" w:colLast="0"/>
      <w:bookmarkStart w:id="9" w:name="_heading=h.2x8ii9kwz2gs" w:colFirst="0" w:colLast="0"/>
      <w:bookmarkStart w:id="10" w:name="_heading=h.8r59rr5qlxwc" w:colFirst="0" w:colLast="0"/>
      <w:bookmarkStart w:id="11" w:name="_heading=h.bfd2y1fomyv5" w:colFirst="0" w:colLast="0"/>
      <w:bookmarkStart w:id="12" w:name="_heading=h.xdfc2567twa4" w:colFirst="0" w:colLast="0"/>
      <w:bookmarkStart w:id="13" w:name="_heading=h.j7qjvfedq3fh" w:colFirst="0" w:colLast="0"/>
      <w:bookmarkStart w:id="14" w:name="_heading=h.1fob9te" w:colFirst="0" w:colLast="0"/>
      <w:bookmarkEnd w:id="6"/>
      <w:bookmarkEnd w:id="7"/>
      <w:bookmarkEnd w:id="8"/>
      <w:bookmarkEnd w:id="9"/>
      <w:bookmarkEnd w:id="10"/>
      <w:bookmarkEnd w:id="11"/>
      <w:bookmarkEnd w:id="12"/>
      <w:bookmarkEnd w:id="13"/>
      <w:bookmarkEnd w:id="14"/>
    </w:p>
    <w:sectPr w:rsidR="003D638D">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196" w:rsidRDefault="00D22196">
      <w:r>
        <w:separator/>
      </w:r>
    </w:p>
  </w:endnote>
  <w:endnote w:type="continuationSeparator" w:id="0">
    <w:p w:rsidR="00D22196" w:rsidRDefault="00D22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Liberation Serif">
    <w:panose1 w:val="00000000000000000000"/>
    <w:charset w:val="00"/>
    <w:family w:val="roman"/>
    <w:notTrueType/>
    <w:pitch w:val="default"/>
  </w:font>
  <w:font w:name="DejaVu Sans">
    <w:panose1 w:val="00000000000000000000"/>
    <w:charset w:val="00"/>
    <w:family w:val="roman"/>
    <w:notTrueType/>
    <w:pitch w:val="default"/>
  </w:font>
  <w:font w:name="Lohit Hindi">
    <w:panose1 w:val="00000000000000000000"/>
    <w:charset w:val="00"/>
    <w:family w:val="roman"/>
    <w:notTrueType/>
    <w:pitch w:val="default"/>
  </w:font>
  <w:font w:name="Palatin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8D" w:rsidRDefault="00BB5CA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F0EF7">
      <w:rPr>
        <w:rFonts w:ascii="Palatino Linotype" w:eastAsia="Palatino Linotype" w:hAnsi="Palatino Linotype" w:cs="Palatino Linotype"/>
        <w:noProof/>
        <w:color w:val="000000"/>
        <w:sz w:val="20"/>
        <w:szCs w:val="20"/>
      </w:rPr>
      <w:t>13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F0EF7">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8D" w:rsidRDefault="00BB5CA3">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F0EF7">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F0EF7">
      <w:rPr>
        <w:rFonts w:ascii="Palatino Linotype" w:eastAsia="Palatino Linotype" w:hAnsi="Palatino Linotype" w:cs="Palatino Linotype"/>
        <w:noProof/>
        <w:color w:val="000000"/>
        <w:sz w:val="20"/>
        <w:szCs w:val="20"/>
      </w:rPr>
      <w:t>14</w:t>
    </w:r>
    <w:r>
      <w:rPr>
        <w:rFonts w:ascii="Palatino Linotype" w:eastAsia="Palatino Linotype" w:hAnsi="Palatino Linotype" w:cs="Palatino Linotype"/>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196" w:rsidRDefault="00D22196">
      <w:r>
        <w:separator/>
      </w:r>
    </w:p>
  </w:footnote>
  <w:footnote w:type="continuationSeparator" w:id="0">
    <w:p w:rsidR="00D22196" w:rsidRDefault="00D22196">
      <w:r>
        <w:continuationSeparator/>
      </w:r>
    </w:p>
  </w:footnote>
  <w:footnote w:id="1">
    <w:p w:rsidR="003D638D" w:rsidRDefault="00BB5CA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i/>
          <w:color w:val="000000"/>
          <w:sz w:val="16"/>
          <w:szCs w:val="16"/>
        </w:rPr>
        <w:t>DESISTIMIENTO DE LA DEMANDA DE AMPARO. CORRESPONDE PROVEER RESPECTO DE ÉL AL JUEZ DE DISTRITO CUANDO SE PLANTEA ESTANDO PENDIENTE LA RESOLUCIÓN DEL RECURSO DE REVISIÓN Y ÉSTE SE DESECHA. El desechamiento del recurso de revisión implica, por una parte, la inexistencia de la apertura de la segunda instancia, ya que, en todo caso, la sola interposición del citado medio de defensa sólo originó el trámite de un expediente y, por otra, que quede firme la sentencia recurrida, en términos del artículo 356, fracción II, del Código Federal de Procedimientos Civiles, de aplicación supletoria conforme al artículo 2o., de la Ley de Amparo. En consecuencia, cuando se presenta ante el Juez de primera instancia el desistimiento de la demanda de amparo durante el trámite del recurso de revisión, y éste sea desechado por la falta de legitimación de la parte que lo interpuso, corresponderá a ese juzgador, quien dictó la sentencia impugnada, conocer de dicha manifestación en el ámbito de su competencia, en virtud de que el tribunal revisor carecerá de jurisdicción sobre el asunto al no haberse colmado uno de los presupuestos procesales de dicho recurso.”</w:t>
      </w:r>
    </w:p>
  </w:footnote>
  <w:footnote w:id="2">
    <w:p w:rsidR="003D638D" w:rsidRDefault="00BB5CA3">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6"/>
          <w:szCs w:val="16"/>
        </w:rPr>
        <w:t xml:space="preserve"> </w:t>
      </w:r>
      <w:r>
        <w:rPr>
          <w:rFonts w:ascii="Palatino Linotype" w:eastAsia="Palatino Linotype" w:hAnsi="Palatino Linotype" w:cs="Palatino Linotype"/>
          <w:b/>
          <w:color w:val="000000"/>
          <w:sz w:val="16"/>
          <w:szCs w:val="16"/>
        </w:rPr>
        <w:t>Cuerpo de tesis:</w:t>
      </w:r>
      <w:r>
        <w:rPr>
          <w:rFonts w:ascii="Palatino Linotype" w:eastAsia="Palatino Linotype" w:hAnsi="Palatino Linotype" w:cs="Palatino Linotype"/>
          <w:color w:val="000000"/>
          <w:sz w:val="16"/>
          <w:szCs w:val="16"/>
        </w:rPr>
        <w:t xml:space="preserve"> No causa agravio la sentencia que no se ocupa de los razonamientos tendientes a demostrar la inconstitucionalidad de los actos reclamados de las autoridades responsables, que constituyen el problema de fondo, si se decreta el sobreseimiento del juicio.</w:t>
      </w:r>
    </w:p>
    <w:p w:rsidR="003D638D" w:rsidRDefault="00BB5CA3">
      <w:pPr>
        <w:pBdr>
          <w:top w:val="nil"/>
          <w:left w:val="nil"/>
          <w:bottom w:val="nil"/>
          <w:right w:val="nil"/>
          <w:between w:val="nil"/>
        </w:pBdr>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b/>
          <w:color w:val="000000"/>
          <w:sz w:val="16"/>
          <w:szCs w:val="16"/>
        </w:rPr>
        <w:t>Localización</w:t>
      </w:r>
      <w:r>
        <w:rPr>
          <w:rFonts w:ascii="Palatino Linotype" w:eastAsia="Palatino Linotype" w:hAnsi="Palatino Linotype" w:cs="Palatino Linotype"/>
          <w:color w:val="000000"/>
          <w:sz w:val="16"/>
          <w:szCs w:val="16"/>
        </w:rPr>
        <w:t>: 2</w:t>
      </w:r>
      <w:r>
        <w:rPr>
          <w:rFonts w:ascii="Palatino Linotype" w:eastAsia="Palatino Linotype" w:hAnsi="Palatino Linotype" w:cs="Palatino Linotype"/>
          <w:color w:val="000000"/>
          <w:sz w:val="16"/>
          <w:szCs w:val="16"/>
          <w:highlight w:val="white"/>
        </w:rPr>
        <w:t>13609. II.2o.183 K. Tribunales Colegiados de Circuito. Octava Época. Semanario Judicial de la Federación. Tomo XIII, Febrero de 1994, Pág. 420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8D" w:rsidRDefault="00D22196">
    <w:pPr>
      <w:pBdr>
        <w:top w:val="nil"/>
        <w:left w:val="nil"/>
        <w:bottom w:val="nil"/>
        <w:right w:val="nil"/>
        <w:between w:val="nil"/>
      </w:pBdr>
      <w:tabs>
        <w:tab w:val="center" w:pos="4252"/>
        <w:tab w:val="right" w:pos="8504"/>
      </w:tabs>
      <w:rPr>
        <w:rFonts w:ascii="Calibri" w:eastAsia="Calibri" w:hAnsi="Calibri" w:cs="Calibri"/>
        <w:color w:val="000000"/>
      </w:rPr>
    </w:pPr>
    <w:r>
      <w:rPr>
        <w:rFonts w:ascii="Calibri" w:eastAsia="Calibri"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b"/>
      <w:tblW w:w="7234" w:type="dxa"/>
      <w:tblInd w:w="2835" w:type="dxa"/>
      <w:tblLayout w:type="fixed"/>
      <w:tblLook w:val="0400" w:firstRow="0" w:lastRow="0" w:firstColumn="0" w:lastColumn="0" w:noHBand="0" w:noVBand="1"/>
    </w:tblPr>
    <w:tblGrid>
      <w:gridCol w:w="2550"/>
      <w:gridCol w:w="4684"/>
    </w:tblGrid>
    <w:tr w:rsidR="003D638D" w:rsidTr="00B72B94">
      <w:tc>
        <w:tcPr>
          <w:tcW w:w="2550" w:type="dxa"/>
          <w:shd w:val="clear" w:color="auto" w:fill="auto"/>
          <w:vAlign w:val="center"/>
        </w:tcPr>
        <w:p w:rsidR="003D638D" w:rsidRDefault="00BB5CA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84" w:type="dxa"/>
          <w:shd w:val="clear" w:color="auto" w:fill="auto"/>
          <w:vAlign w:val="center"/>
        </w:tcPr>
        <w:p w:rsidR="003D638D" w:rsidRDefault="00BB5CA3">
          <w:pPr>
            <w:ind w:right="-52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00038/INFOEM/IP/RR/2025</w:t>
          </w:r>
        </w:p>
      </w:tc>
    </w:tr>
    <w:tr w:rsidR="003D638D" w:rsidTr="00B72B94">
      <w:trPr>
        <w:trHeight w:val="228"/>
      </w:trPr>
      <w:tc>
        <w:tcPr>
          <w:tcW w:w="2550" w:type="dxa"/>
          <w:shd w:val="clear" w:color="auto" w:fill="auto"/>
          <w:vAlign w:val="center"/>
        </w:tcPr>
        <w:p w:rsidR="003D638D" w:rsidRDefault="00BB5CA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84" w:type="dxa"/>
          <w:shd w:val="clear" w:color="auto" w:fill="auto"/>
          <w:vAlign w:val="center"/>
        </w:tcPr>
        <w:p w:rsidR="003D638D" w:rsidRDefault="00BB5CA3" w:rsidP="00B72B94">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Organismo Público Descentralizado Municipal para la Prestación de Los Servicios de Agua Potable Alcantarillado y Saneamiento de Cuautitlán Izcalli denominado OPERAGUA, O.P.D.M.</w:t>
          </w:r>
        </w:p>
      </w:tc>
    </w:tr>
    <w:tr w:rsidR="003D638D" w:rsidTr="00B72B94">
      <w:tc>
        <w:tcPr>
          <w:tcW w:w="2550" w:type="dxa"/>
          <w:shd w:val="clear" w:color="auto" w:fill="auto"/>
          <w:vAlign w:val="center"/>
        </w:tcPr>
        <w:p w:rsidR="003D638D" w:rsidRDefault="00BB5CA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684" w:type="dxa"/>
          <w:shd w:val="clear" w:color="auto" w:fill="auto"/>
          <w:vAlign w:val="center"/>
        </w:tcPr>
        <w:p w:rsidR="003D638D" w:rsidRDefault="00BB5CA3">
          <w:pPr>
            <w:ind w:right="-523"/>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3D638D" w:rsidRDefault="00D22196">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90.15pt;margin-top:-147.45pt;width:649.35pt;height:845.8pt;z-index:-251659776;mso-position-horizontal-relative:margin;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c"/>
      <w:tblW w:w="7371" w:type="dxa"/>
      <w:tblInd w:w="2694" w:type="dxa"/>
      <w:tblLayout w:type="fixed"/>
      <w:tblLook w:val="0400" w:firstRow="0" w:lastRow="0" w:firstColumn="0" w:lastColumn="0" w:noHBand="0" w:noVBand="1"/>
    </w:tblPr>
    <w:tblGrid>
      <w:gridCol w:w="2550"/>
      <w:gridCol w:w="4821"/>
    </w:tblGrid>
    <w:tr w:rsidR="003D638D" w:rsidTr="00B72B94">
      <w:tc>
        <w:tcPr>
          <w:tcW w:w="2550" w:type="dxa"/>
          <w:shd w:val="clear" w:color="auto" w:fill="auto"/>
          <w:vAlign w:val="center"/>
        </w:tcPr>
        <w:p w:rsidR="003D638D" w:rsidRDefault="00BB5C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821" w:type="dxa"/>
          <w:shd w:val="clear" w:color="auto" w:fill="auto"/>
          <w:vAlign w:val="center"/>
        </w:tcPr>
        <w:p w:rsidR="003D638D" w:rsidRDefault="00BB5CA3">
          <w:pPr>
            <w:ind w:right="-66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00038/INFOEM/IP/RR/2025 </w:t>
          </w:r>
        </w:p>
      </w:tc>
    </w:tr>
    <w:tr w:rsidR="003D638D" w:rsidTr="00B72B94">
      <w:tc>
        <w:tcPr>
          <w:tcW w:w="2550" w:type="dxa"/>
          <w:shd w:val="clear" w:color="auto" w:fill="auto"/>
          <w:vAlign w:val="center"/>
        </w:tcPr>
        <w:p w:rsidR="003D638D" w:rsidRDefault="00BB5C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821" w:type="dxa"/>
          <w:shd w:val="clear" w:color="auto" w:fill="auto"/>
          <w:vAlign w:val="center"/>
        </w:tcPr>
        <w:p w:rsidR="003D638D" w:rsidRDefault="008F0EF7" w:rsidP="0023045A">
          <w:pPr>
            <w:ind w:left="32" w:right="-66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XXXXXXXX</w:t>
          </w:r>
        </w:p>
      </w:tc>
    </w:tr>
    <w:tr w:rsidR="003D638D" w:rsidTr="00B72B94">
      <w:trPr>
        <w:trHeight w:val="228"/>
      </w:trPr>
      <w:tc>
        <w:tcPr>
          <w:tcW w:w="2550" w:type="dxa"/>
          <w:shd w:val="clear" w:color="auto" w:fill="auto"/>
          <w:vAlign w:val="center"/>
        </w:tcPr>
        <w:p w:rsidR="003D638D" w:rsidRDefault="00BB5C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821" w:type="dxa"/>
          <w:shd w:val="clear" w:color="auto" w:fill="auto"/>
          <w:vAlign w:val="center"/>
        </w:tcPr>
        <w:p w:rsidR="003D638D" w:rsidRDefault="00BB5CA3" w:rsidP="00B72B94">
          <w:pPr>
            <w:ind w:left="3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Organismo Público Descentralizado Municipal para la Prestación de Los Servicios de Agua Potable Alcantarillado y Saneamiento de Cuautitlán Izcalli denominado OPERAGUA, O.P.D.M.</w:t>
          </w:r>
        </w:p>
      </w:tc>
    </w:tr>
    <w:tr w:rsidR="003D638D" w:rsidTr="00B72B94">
      <w:tc>
        <w:tcPr>
          <w:tcW w:w="2550" w:type="dxa"/>
          <w:shd w:val="clear" w:color="auto" w:fill="auto"/>
          <w:vAlign w:val="center"/>
        </w:tcPr>
        <w:p w:rsidR="003D638D" w:rsidRDefault="00BB5CA3">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821" w:type="dxa"/>
          <w:shd w:val="clear" w:color="auto" w:fill="auto"/>
          <w:vAlign w:val="center"/>
        </w:tcPr>
        <w:p w:rsidR="003D638D" w:rsidRDefault="00BB5CA3">
          <w:pPr>
            <w:ind w:left="32" w:right="-665"/>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tc>
    </w:tr>
  </w:tbl>
  <w:p w:rsidR="003D638D" w:rsidRDefault="00D22196">
    <w:pPr>
      <w:pBdr>
        <w:top w:val="nil"/>
        <w:left w:val="nil"/>
        <w:bottom w:val="nil"/>
        <w:right w:val="nil"/>
        <w:between w:val="nil"/>
      </w:pBdr>
      <w:tabs>
        <w:tab w:val="center" w:pos="4252"/>
        <w:tab w:val="right" w:pos="8504"/>
      </w:tabs>
      <w:rPr>
        <w:rFonts w:ascii="Calibri" w:eastAsia="Calibri" w:hAnsi="Calibri" w:cs="Calibri"/>
        <w:color w:val="000000"/>
        <w:sz w:val="10"/>
        <w:szCs w:val="10"/>
      </w:rPr>
    </w:pPr>
    <w:r>
      <w:rPr>
        <w:rFonts w:ascii="Calibri" w:eastAsia="Calibri" w:hAnsi="Calibri" w:cs="Calibri"/>
        <w:color w:val="000000"/>
        <w:sz w:val="10"/>
        <w:szCs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93.8pt;margin-top:-150.9pt;width:628.7pt;height:818.9pt;z-index:-251658752;mso-position-horizontal-relative:margin;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13451"/>
    <w:multiLevelType w:val="multilevel"/>
    <w:tmpl w:val="7C821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0F7275"/>
    <w:multiLevelType w:val="multilevel"/>
    <w:tmpl w:val="7A2C6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6EF7A23"/>
    <w:multiLevelType w:val="multilevel"/>
    <w:tmpl w:val="B83C47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533B20"/>
    <w:multiLevelType w:val="multilevel"/>
    <w:tmpl w:val="D8FE02A6"/>
    <w:lvl w:ilvl="0">
      <w:start w:val="1"/>
      <w:numFmt w:val="decimal"/>
      <w:lvlText w:val="%1."/>
      <w:lvlJc w:val="left"/>
      <w:pPr>
        <w:ind w:left="4754" w:hanging="359"/>
      </w:pPr>
      <w:rPr>
        <w:rFonts w:ascii="Palatino Linotype" w:eastAsia="Palatino Linotype" w:hAnsi="Palatino Linotype" w:cs="Palatino Linotype"/>
        <w:b/>
        <w:i w:val="0"/>
        <w:strike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8D"/>
    <w:rsid w:val="0007131E"/>
    <w:rsid w:val="001E6DF1"/>
    <w:rsid w:val="0023045A"/>
    <w:rsid w:val="003D638D"/>
    <w:rsid w:val="006447ED"/>
    <w:rsid w:val="008F0EF7"/>
    <w:rsid w:val="00B05F66"/>
    <w:rsid w:val="00B62EA8"/>
    <w:rsid w:val="00B72B94"/>
    <w:rsid w:val="00BB5CA3"/>
    <w:rsid w:val="00C01E42"/>
    <w:rsid w:val="00D22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D50304C-9CFD-4B5F-8E90-0635625F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0D3"/>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rPr>
  </w:style>
  <w:style w:type="paragraph" w:styleId="Ttulo4">
    <w:name w:val="heading 4"/>
    <w:basedOn w:val="Normal"/>
    <w:link w:val="Ttulo4Car"/>
    <w:uiPriority w:val="9"/>
    <w:qFormat/>
    <w:rsid w:val="00E93BB3"/>
    <w:pPr>
      <w:spacing w:before="100" w:beforeAutospacing="1" w:after="100" w:afterAutospacing="1"/>
      <w:outlineLvl w:val="3"/>
    </w:pPr>
    <w:rPr>
      <w:b/>
      <w:bCs/>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59"/>
    <w:rsid w:val="0043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rPr>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rPr>
      <w:rFonts w:eastAsia="MS Mincho"/>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pPr>
    <w:rPr>
      <w:rFonts w:ascii="Palatino Linotype" w:hAnsi="Palatino Linotype" w:cs="Palatino Linotype"/>
      <w:color w:val="000000"/>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olor w:val="000000"/>
      <w:szCs w:val="20"/>
      <w:u w:color="000000"/>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style>
  <w:style w:type="paragraph" w:customStyle="1" w:styleId="o">
    <w:name w:val="o"/>
    <w:basedOn w:val="Normal"/>
    <w:rsid w:val="00E93BB3"/>
    <w:pPr>
      <w:spacing w:before="100" w:beforeAutospacing="1" w:after="100" w:afterAutospacing="1"/>
    </w:p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rPr>
  </w:style>
  <w:style w:type="paragraph" w:customStyle="1" w:styleId="Standard">
    <w:name w:val="Standard"/>
    <w:rsid w:val="009D7E06"/>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style>
  <w:style w:type="numbering" w:customStyle="1" w:styleId="Estiloimportado1">
    <w:name w:val="Estilo importado 1"/>
    <w:qFormat/>
    <w:rsid w:val="009D7E06"/>
  </w:style>
  <w:style w:type="paragraph" w:customStyle="1" w:styleId="INCISO">
    <w:name w:val="INCISO"/>
    <w:basedOn w:val="Normal"/>
    <w:rsid w:val="009D7E06"/>
    <w:pPr>
      <w:spacing w:after="101" w:line="216" w:lineRule="exact"/>
      <w:ind w:left="1080" w:hanging="360"/>
      <w:jc w:val="both"/>
    </w:pPr>
    <w:rPr>
      <w:rFonts w:ascii="Arial" w:hAnsi="Arial" w:cs="Arial"/>
      <w:sz w:val="18"/>
      <w:szCs w:val="18"/>
    </w:rPr>
  </w:style>
  <w:style w:type="paragraph" w:customStyle="1" w:styleId="m5212863947045306324gmail-msonormal">
    <w:name w:val="m_5212863947045306324gmail-msonormal"/>
    <w:basedOn w:val="Normal"/>
    <w:rsid w:val="009D7E06"/>
    <w:pPr>
      <w:spacing w:before="100" w:beforeAutospacing="1" w:after="100" w:afterAutospacing="1"/>
    </w:p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eastAsia="en-US"/>
    </w:rPr>
  </w:style>
  <w:style w:type="table" w:customStyle="1" w:styleId="Tablaconcuadrcula1">
    <w:name w:val="Tabla con cuadrícula1"/>
    <w:basedOn w:val="Tablanormal"/>
    <w:next w:val="Tablaconcuadrcula"/>
    <w:uiPriority w:val="59"/>
    <w:rsid w:val="009D7E06"/>
    <w:rPr>
      <w:rFonts w:ascii="Calibri" w:eastAsia="Calibri" w:hAnsi="Calibri"/>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rPr>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
    <w:rsid w:val="009D7E06"/>
    <w:rPr>
      <w:lang w:val="es-ES"/>
    </w:rPr>
    <w:tblPr>
      <w:tblCellMar>
        <w:top w:w="0" w:type="dxa"/>
        <w:left w:w="0" w:type="dxa"/>
        <w:bottom w:w="0" w:type="dxa"/>
        <w:right w:w="0" w:type="dxa"/>
      </w:tblCellMar>
    </w:tbl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2"/>
    <w:rsid w:val="009D7E06"/>
    <w:tblPr>
      <w:tblStyleRowBandSize w:val="1"/>
      <w:tblStyleColBandSize w:val="1"/>
      <w:tblCellMar>
        <w:left w:w="115" w:type="dxa"/>
        <w:right w:w="115" w:type="dxa"/>
      </w:tblCellMar>
    </w:tblPr>
  </w:style>
  <w:style w:type="table" w:customStyle="1" w:styleId="7">
    <w:name w:val="7"/>
    <w:basedOn w:val="TableNormal2"/>
    <w:rsid w:val="009D7E06"/>
    <w:tblPr>
      <w:tblStyleRowBandSize w:val="1"/>
      <w:tblStyleColBandSize w:val="1"/>
      <w:tblCellMar>
        <w:left w:w="115" w:type="dxa"/>
        <w:right w:w="115" w:type="dxa"/>
      </w:tblCellMar>
    </w:tblPr>
  </w:style>
  <w:style w:type="table" w:customStyle="1" w:styleId="6">
    <w:name w:val="6"/>
    <w:basedOn w:val="TableNormal2"/>
    <w:rsid w:val="009D7E06"/>
    <w:tblPr>
      <w:tblStyleRowBandSize w:val="1"/>
      <w:tblStyleColBandSize w:val="1"/>
      <w:tblCellMar>
        <w:left w:w="115" w:type="dxa"/>
        <w:right w:w="115" w:type="dxa"/>
      </w:tblCellMar>
    </w:tblPr>
  </w:style>
  <w:style w:type="table" w:customStyle="1" w:styleId="5">
    <w:name w:val="5"/>
    <w:basedOn w:val="TableNormal2"/>
    <w:rsid w:val="009D7E06"/>
    <w:tblPr>
      <w:tblStyleRowBandSize w:val="1"/>
      <w:tblStyleColBandSize w:val="1"/>
      <w:tblCellMar>
        <w:left w:w="115" w:type="dxa"/>
        <w:right w:w="115" w:type="dxa"/>
      </w:tblCellMar>
    </w:tblPr>
  </w:style>
  <w:style w:type="table" w:customStyle="1" w:styleId="4">
    <w:name w:val="4"/>
    <w:basedOn w:val="TableNormal2"/>
    <w:rsid w:val="009D7E06"/>
    <w:tblPr>
      <w:tblStyleRowBandSize w:val="1"/>
      <w:tblStyleColBandSize w:val="1"/>
      <w:tblCellMar>
        <w:left w:w="115" w:type="dxa"/>
        <w:right w:w="115" w:type="dxa"/>
      </w:tblCellMar>
    </w:tblPr>
  </w:style>
  <w:style w:type="table" w:customStyle="1" w:styleId="3">
    <w:name w:val="3"/>
    <w:basedOn w:val="TableNormal2"/>
    <w:rsid w:val="009D7E06"/>
    <w:tblPr>
      <w:tblStyleRowBandSize w:val="1"/>
      <w:tblStyleColBandSize w:val="1"/>
      <w:tblCellMar>
        <w:left w:w="115" w:type="dxa"/>
        <w:right w:w="115" w:type="dxa"/>
      </w:tblCellMar>
    </w:tblPr>
  </w:style>
  <w:style w:type="table" w:customStyle="1" w:styleId="2">
    <w:name w:val="2"/>
    <w:basedOn w:val="TableNormal2"/>
    <w:rsid w:val="009D7E06"/>
    <w:tblPr>
      <w:tblStyleRowBandSize w:val="1"/>
      <w:tblStyleColBandSize w:val="1"/>
      <w:tblCellMar>
        <w:left w:w="115" w:type="dxa"/>
        <w:right w:w="115" w:type="dxa"/>
      </w:tblCellMar>
    </w:tblPr>
  </w:style>
  <w:style w:type="table" w:customStyle="1" w:styleId="1">
    <w:name w:val="1"/>
    <w:basedOn w:val="TableNormal2"/>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style>
  <w:style w:type="paragraph" w:customStyle="1" w:styleId="j1">
    <w:name w:val="j1"/>
    <w:basedOn w:val="Normal"/>
    <w:rsid w:val="009D7E06"/>
    <w:pPr>
      <w:spacing w:before="100" w:beforeAutospacing="1" w:after="100" w:afterAutospacing="1"/>
    </w:p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rsid w:val="009D7E06"/>
    <w:rPr>
      <w:lang w:val="es-ES"/>
    </w:rPr>
    <w:tblPr>
      <w:tblCellMar>
        <w:top w:w="0" w:type="dxa"/>
        <w:left w:w="0" w:type="dxa"/>
        <w:bottom w:w="0" w:type="dxa"/>
        <w:right w:w="0" w:type="dxa"/>
      </w:tblCellMar>
    </w:tblPr>
  </w:style>
  <w:style w:type="table" w:customStyle="1" w:styleId="81">
    <w:name w:val="81"/>
    <w:basedOn w:val="TableNormal2"/>
    <w:rsid w:val="009D7E06"/>
    <w:tblPr>
      <w:tblStyleRowBandSize w:val="1"/>
      <w:tblStyleColBandSize w:val="1"/>
      <w:tblCellMar>
        <w:left w:w="115" w:type="dxa"/>
        <w:right w:w="115" w:type="dxa"/>
      </w:tblCellMar>
    </w:tblPr>
  </w:style>
  <w:style w:type="table" w:customStyle="1" w:styleId="71">
    <w:name w:val="71"/>
    <w:basedOn w:val="TableNormal2"/>
    <w:rsid w:val="009D7E06"/>
    <w:tblPr>
      <w:tblStyleRowBandSize w:val="1"/>
      <w:tblStyleColBandSize w:val="1"/>
      <w:tblCellMar>
        <w:left w:w="115" w:type="dxa"/>
        <w:right w:w="115" w:type="dxa"/>
      </w:tblCellMar>
    </w:tblPr>
  </w:style>
  <w:style w:type="table" w:customStyle="1" w:styleId="61">
    <w:name w:val="61"/>
    <w:basedOn w:val="TableNormal2"/>
    <w:rsid w:val="009D7E06"/>
    <w:tblPr>
      <w:tblStyleRowBandSize w:val="1"/>
      <w:tblStyleColBandSize w:val="1"/>
      <w:tblCellMar>
        <w:left w:w="115" w:type="dxa"/>
        <w:right w:w="115" w:type="dxa"/>
      </w:tblCellMar>
    </w:tblPr>
  </w:style>
  <w:style w:type="table" w:customStyle="1" w:styleId="51">
    <w:name w:val="51"/>
    <w:basedOn w:val="TableNormal2"/>
    <w:rsid w:val="009D7E06"/>
    <w:tblPr>
      <w:tblStyleRowBandSize w:val="1"/>
      <w:tblStyleColBandSize w:val="1"/>
      <w:tblCellMar>
        <w:left w:w="115" w:type="dxa"/>
        <w:right w:w="115" w:type="dxa"/>
      </w:tblCellMar>
    </w:tblPr>
  </w:style>
  <w:style w:type="table" w:customStyle="1" w:styleId="41">
    <w:name w:val="41"/>
    <w:basedOn w:val="TableNormal2"/>
    <w:rsid w:val="009D7E06"/>
    <w:tblPr>
      <w:tblStyleRowBandSize w:val="1"/>
      <w:tblStyleColBandSize w:val="1"/>
      <w:tblCellMar>
        <w:left w:w="115" w:type="dxa"/>
        <w:right w:w="115" w:type="dxa"/>
      </w:tblCellMar>
    </w:tblPr>
  </w:style>
  <w:style w:type="table" w:customStyle="1" w:styleId="31">
    <w:name w:val="31"/>
    <w:basedOn w:val="TableNormal2"/>
    <w:rsid w:val="009D7E06"/>
    <w:tblPr>
      <w:tblStyleRowBandSize w:val="1"/>
      <w:tblStyleColBandSize w:val="1"/>
      <w:tblCellMar>
        <w:left w:w="115" w:type="dxa"/>
        <w:right w:w="115" w:type="dxa"/>
      </w:tblCellMar>
    </w:tblPr>
  </w:style>
  <w:style w:type="table" w:customStyle="1" w:styleId="21">
    <w:name w:val="21"/>
    <w:basedOn w:val="TableNormal2"/>
    <w:rsid w:val="009D7E06"/>
    <w:tblPr>
      <w:tblStyleRowBandSize w:val="1"/>
      <w:tblStyleColBandSize w:val="1"/>
      <w:tblCellMar>
        <w:left w:w="115" w:type="dxa"/>
        <w:right w:w="115" w:type="dxa"/>
      </w:tblCellMar>
    </w:tblPr>
  </w:style>
  <w:style w:type="table" w:customStyle="1" w:styleId="11">
    <w:name w:val="11"/>
    <w:basedOn w:val="TableNormal2"/>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eastAsia="en-US"/>
    </w:rPr>
  </w:style>
  <w:style w:type="table" w:customStyle="1" w:styleId="a">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0">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1">
    <w:basedOn w:val="TableNormal2"/>
    <w:rPr>
      <w:rFonts w:ascii="Calibri" w:eastAsia="Calibri" w:hAnsi="Calibri" w:cs="Calibri"/>
    </w:rPr>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9">
    <w:basedOn w:val="TableNormal1"/>
    <w:rPr>
      <w:rFonts w:ascii="Calibri" w:eastAsia="Calibri" w:hAnsi="Calibri" w:cs="Calibri"/>
    </w:rPr>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rPr>
      <w:rFonts w:ascii="Calibri" w:eastAsia="Calibri" w:hAnsi="Calibri" w:cs="Calibri"/>
    </w:rPr>
    <w:tblPr>
      <w:tblStyleRowBandSize w:val="1"/>
      <w:tblStyleColBandSize w:val="1"/>
      <w:tblCellMar>
        <w:left w:w="115" w:type="dxa"/>
        <w:right w:w="115" w:type="dxa"/>
      </w:tblCellMar>
    </w:tblPr>
  </w:style>
  <w:style w:type="table" w:customStyle="1" w:styleId="ac">
    <w:basedOn w:val="TableNormal0"/>
    <w:rPr>
      <w:rFonts w:ascii="Calibri" w:eastAsia="Calibri" w:hAnsi="Calibri" w:cs="Calibri"/>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L9hwcAChrQFqPQPN4OHCLXlImg==">CgMxLjAyCWguMzBqMHpsbDIJaC4xZm9iOXRlMgloLjJldDkycDAyCGgudHlqY3d0MghoLmdqZGd4czIJaC4xZm9iOXRlMg5oLmlpMHB1bTFzdmNjeTIOaC5kMWtla2pvcHVpajUyDmguNWdpcDk1aXVqcjVpMg5oLmdhMDk3enc0dGs0ejIOaC56NzdtazdvMDNxaWkyDmguYWU1c2hyb3h0aGM2Mg5oLjJ4OGlpOWt3ejJnczIOaC44cjU5cnI1cWx4d2MyDmguYmZkMnkxZm9teXY1Mg5oLnhkZmMyNTY3dHdhNDIOaC5qN3FqdmZlZHEzZmgyCWguMWZvYjl0ZTgAciExN2VmZFNJS0FqZExNX3JOOVZfRzNZWVk2ekNtQWxwd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14</Pages>
  <Words>3065</Words>
  <Characters>16862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HAP</dc:creator>
  <cp:lastModifiedBy>INFOEM403</cp:lastModifiedBy>
  <cp:revision>8</cp:revision>
  <cp:lastPrinted>2025-02-07T16:34:00Z</cp:lastPrinted>
  <dcterms:created xsi:type="dcterms:W3CDTF">2025-01-28T20:42:00Z</dcterms:created>
  <dcterms:modified xsi:type="dcterms:W3CDTF">2025-03-11T23:17:00Z</dcterms:modified>
</cp:coreProperties>
</file>