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bookmarkStart w:id="0" w:name="_heading=h.m1kwgy59i2e3" w:colFirst="0" w:colLast="0"/>
      <w:bookmarkEnd w:id="0"/>
      <w:r w:rsidRPr="00737A79">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 </w:t>
      </w:r>
      <w:r w:rsidRPr="00737A79">
        <w:rPr>
          <w:rFonts w:ascii="Palatino Linotype" w:eastAsia="Palatino Linotype" w:hAnsi="Palatino Linotype" w:cs="Palatino Linotype"/>
          <w:b/>
          <w:color w:val="000000"/>
        </w:rPr>
        <w:t>catorce de mayo de dos mil veinticinco.</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bookmarkStart w:id="1" w:name="_heading=h.8pxlg3m41qku" w:colFirst="0" w:colLast="0"/>
      <w:bookmarkEnd w:id="1"/>
      <w:r w:rsidRPr="00737A79">
        <w:rPr>
          <w:rFonts w:ascii="Palatino Linotype" w:eastAsia="Palatino Linotype" w:hAnsi="Palatino Linotype" w:cs="Palatino Linotype"/>
          <w:b/>
          <w:color w:val="000000"/>
        </w:rPr>
        <w:t>VISTOS</w:t>
      </w:r>
      <w:r w:rsidRPr="00737A79">
        <w:rPr>
          <w:rFonts w:ascii="Palatino Linotype" w:eastAsia="Palatino Linotype" w:hAnsi="Palatino Linotype" w:cs="Palatino Linotype"/>
          <w:color w:val="000000"/>
        </w:rPr>
        <w:t xml:space="preserve"> los expedientes electrónicos formados con motivo de los Recursos de Revisión </w:t>
      </w:r>
      <w:r w:rsidRPr="00737A79">
        <w:rPr>
          <w:rFonts w:ascii="Palatino Linotype" w:eastAsia="Palatino Linotype" w:hAnsi="Palatino Linotype" w:cs="Palatino Linotype"/>
          <w:b/>
          <w:color w:val="000000"/>
        </w:rPr>
        <w:t>00448/INFOEM/IP/RR/2025 y 00453/INFOEM/IP/RR/2025</w:t>
      </w:r>
      <w:r w:rsidRPr="00737A79">
        <w:rPr>
          <w:rFonts w:ascii="Palatino Linotype" w:eastAsia="Palatino Linotype" w:hAnsi="Palatino Linotype" w:cs="Palatino Linotype"/>
          <w:color w:val="000000"/>
        </w:rPr>
        <w:t>, promovidos por  </w:t>
      </w:r>
      <w:r w:rsidRPr="00737A79">
        <w:rPr>
          <w:rFonts w:ascii="Palatino Linotype" w:eastAsia="Palatino Linotype" w:hAnsi="Palatino Linotype" w:cs="Palatino Linotype"/>
          <w:b/>
          <w:color w:val="000000"/>
        </w:rPr>
        <w:t xml:space="preserve">una persona que no </w:t>
      </w:r>
      <w:r w:rsidRPr="00737A79">
        <w:rPr>
          <w:rFonts w:ascii="Palatino Linotype" w:eastAsia="Palatino Linotype" w:hAnsi="Palatino Linotype" w:cs="Palatino Linotype"/>
          <w:b/>
        </w:rPr>
        <w:t>proporcionó</w:t>
      </w:r>
      <w:r w:rsidRPr="00737A79">
        <w:rPr>
          <w:rFonts w:ascii="Palatino Linotype" w:eastAsia="Palatino Linotype" w:hAnsi="Palatino Linotype" w:cs="Palatino Linotype"/>
          <w:b/>
          <w:color w:val="000000"/>
        </w:rPr>
        <w:t xml:space="preserve"> datos de identificación</w:t>
      </w:r>
      <w:r w:rsidRPr="00737A79">
        <w:rPr>
          <w:rFonts w:ascii="Palatino Linotype" w:eastAsia="Palatino Linotype" w:hAnsi="Palatino Linotype" w:cs="Palatino Linotype"/>
          <w:color w:val="000000"/>
        </w:rPr>
        <w:t xml:space="preserve">, a través del Sistema de Acceso a la Información Mexiquense (SAIMEX), a quien en lo sucesivo se le identificará como </w:t>
      </w:r>
      <w:r w:rsidR="0000056A" w:rsidRPr="00737A79">
        <w:rPr>
          <w:rFonts w:ascii="Palatino Linotype" w:eastAsia="Palatino Linotype" w:hAnsi="Palatino Linotype" w:cs="Palatino Linotype"/>
          <w:b/>
          <w:color w:val="000000"/>
        </w:rPr>
        <w:t xml:space="preserve">EL </w:t>
      </w:r>
      <w:r w:rsidRPr="00737A79">
        <w:rPr>
          <w:rFonts w:ascii="Palatino Linotype" w:eastAsia="Palatino Linotype" w:hAnsi="Palatino Linotype" w:cs="Palatino Linotype"/>
          <w:b/>
          <w:color w:val="000000"/>
        </w:rPr>
        <w:t>RECURRENTE</w:t>
      </w:r>
      <w:r w:rsidRPr="00737A79">
        <w:rPr>
          <w:rFonts w:ascii="Palatino Linotype" w:eastAsia="Palatino Linotype" w:hAnsi="Palatino Linotype" w:cs="Palatino Linotype"/>
          <w:color w:val="000000"/>
        </w:rPr>
        <w:t xml:space="preserve">, en contra de las respuestas del </w:t>
      </w:r>
      <w:r w:rsidRPr="00737A79">
        <w:rPr>
          <w:rFonts w:ascii="Palatino Linotype" w:eastAsia="Palatino Linotype" w:hAnsi="Palatino Linotype" w:cs="Palatino Linotype"/>
          <w:b/>
          <w:color w:val="000000"/>
        </w:rPr>
        <w:t>Ayuntamiento de Chicoloapan</w:t>
      </w:r>
      <w:r w:rsidRPr="00737A79">
        <w:rPr>
          <w:rFonts w:ascii="Palatino Linotype" w:eastAsia="Palatino Linotype" w:hAnsi="Palatino Linotype" w:cs="Palatino Linotype"/>
          <w:color w:val="000000"/>
        </w:rPr>
        <w:t xml:space="preserve">, en lo sucesivo </w:t>
      </w:r>
      <w:r w:rsidRPr="00737A79">
        <w:rPr>
          <w:rFonts w:ascii="Palatino Linotype" w:eastAsia="Palatino Linotype" w:hAnsi="Palatino Linotype" w:cs="Palatino Linotype"/>
          <w:b/>
          <w:color w:val="000000"/>
        </w:rPr>
        <w:t>EL SUJETO OBLIGADO</w:t>
      </w:r>
      <w:r w:rsidRPr="00737A79">
        <w:rPr>
          <w:rFonts w:ascii="Palatino Linotype" w:eastAsia="Palatino Linotype" w:hAnsi="Palatino Linotype" w:cs="Palatino Linotype"/>
          <w:color w:val="000000"/>
        </w:rPr>
        <w:t>, se procede a dictar la presente Resolución, con base en los siguientes:</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t>A N T E C E D E N T E S</w:t>
      </w:r>
    </w:p>
    <w:p w:rsidR="00D51563" w:rsidRPr="00737A79" w:rsidRDefault="00D51563" w:rsidP="00B1162E">
      <w:pPr>
        <w:spacing w:line="360" w:lineRule="auto"/>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Los días tres y once de enero de dos mil veinticinco</w:t>
      </w:r>
      <w:r w:rsidRPr="00737A79">
        <w:rPr>
          <w:rFonts w:ascii="Palatino Linotype" w:eastAsia="Palatino Linotype" w:hAnsi="Palatino Linotype" w:cs="Palatino Linotype"/>
          <w:b/>
          <w:color w:val="000000"/>
        </w:rPr>
        <w:t xml:space="preserve">, </w:t>
      </w:r>
      <w:r w:rsidRPr="00737A79">
        <w:rPr>
          <w:rFonts w:ascii="Palatino Linotype" w:eastAsia="Palatino Linotype" w:hAnsi="Palatino Linotype" w:cs="Palatino Linotype"/>
          <w:color w:val="000000"/>
        </w:rPr>
        <w:t xml:space="preserve">se presentó ante el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 xml:space="preserve"> vía </w:t>
      </w:r>
      <w:r w:rsidRPr="00737A79">
        <w:rPr>
          <w:rFonts w:ascii="Palatino Linotype" w:eastAsia="Palatino Linotype" w:hAnsi="Palatino Linotype" w:cs="Palatino Linotype"/>
          <w:b/>
          <w:color w:val="000000"/>
        </w:rPr>
        <w:t>SAIMEX</w:t>
      </w:r>
      <w:r w:rsidRPr="00737A79">
        <w:rPr>
          <w:rFonts w:ascii="Palatino Linotype" w:eastAsia="Palatino Linotype" w:hAnsi="Palatino Linotype" w:cs="Palatino Linotype"/>
          <w:color w:val="000000"/>
        </w:rPr>
        <w:t>, las solicitudes de información pública registradas con los números</w:t>
      </w:r>
      <w:r w:rsidRPr="00737A79">
        <w:rPr>
          <w:rFonts w:ascii="Palatino Linotype" w:eastAsia="Palatino Linotype" w:hAnsi="Palatino Linotype" w:cs="Palatino Linotype"/>
          <w:b/>
          <w:color w:val="000000"/>
        </w:rPr>
        <w:t xml:space="preserve"> 00006/CHICOLOA/IP/2025 </w:t>
      </w:r>
      <w:r w:rsidRPr="00737A79">
        <w:rPr>
          <w:rFonts w:ascii="Palatino Linotype" w:eastAsia="Palatino Linotype" w:hAnsi="Palatino Linotype" w:cs="Palatino Linotype"/>
          <w:color w:val="000000"/>
        </w:rPr>
        <w:t xml:space="preserve">y </w:t>
      </w:r>
      <w:r w:rsidRPr="00737A79">
        <w:rPr>
          <w:rFonts w:ascii="Palatino Linotype" w:eastAsia="Palatino Linotype" w:hAnsi="Palatino Linotype" w:cs="Palatino Linotype"/>
          <w:b/>
          <w:color w:val="000000"/>
        </w:rPr>
        <w:t xml:space="preserve">00021/CHICOLOA/IP/2025 </w:t>
      </w:r>
      <w:r w:rsidRPr="00737A79">
        <w:rPr>
          <w:rFonts w:ascii="Palatino Linotype" w:eastAsia="Palatino Linotype" w:hAnsi="Palatino Linotype" w:cs="Palatino Linotype"/>
          <w:color w:val="000000"/>
        </w:rPr>
        <w:t>mediante las cuales se solicitó la siguiente información:</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t>Número de Folio de la Solicitud: 00006/CHICOLOA/IP/2025</w:t>
      </w: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“Solicito currículum vitae del tesorero municipal”</w:t>
      </w:r>
    </w:p>
    <w:p w:rsidR="00E27904" w:rsidRPr="00737A79" w:rsidRDefault="00E27904"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lastRenderedPageBreak/>
        <w:t>Número de Folio de la Solicitud: 00021/CHICOLOA/IP/2025</w:t>
      </w: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“Solicito currículum vitae de todos los integrantes del ayuntamiento (regidores, sindico y presidente municipal)”</w:t>
      </w:r>
    </w:p>
    <w:p w:rsidR="00D51563" w:rsidRPr="00737A79" w:rsidRDefault="00D51563" w:rsidP="00B1162E">
      <w:pPr>
        <w:spacing w:line="360" w:lineRule="auto"/>
        <w:jc w:val="both"/>
        <w:rPr>
          <w:rFonts w:ascii="Palatino Linotype" w:eastAsia="Palatino Linotype" w:hAnsi="Palatino Linotype" w:cs="Palatino Linotype"/>
          <w:i/>
        </w:rPr>
      </w:pPr>
    </w:p>
    <w:p w:rsidR="00D51563" w:rsidRPr="00737A79" w:rsidRDefault="00B1162E" w:rsidP="00B1162E">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b/>
          <w:color w:val="000000"/>
        </w:rPr>
        <w:t>Modalidad de entrega</w:t>
      </w:r>
      <w:r w:rsidRPr="00737A79">
        <w:rPr>
          <w:rFonts w:ascii="Palatino Linotype" w:eastAsia="Palatino Linotype" w:hAnsi="Palatino Linotype" w:cs="Palatino Linotype"/>
          <w:color w:val="000000"/>
        </w:rPr>
        <w:t>: Vía SAIMEX.</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color w:val="000000"/>
        </w:rPr>
        <w:t xml:space="preserve">En fecha </w:t>
      </w:r>
      <w:r w:rsidRPr="00737A79">
        <w:rPr>
          <w:rFonts w:ascii="Palatino Linotype" w:eastAsia="Palatino Linotype" w:hAnsi="Palatino Linotype" w:cs="Palatino Linotype"/>
          <w:b/>
          <w:color w:val="000000"/>
        </w:rPr>
        <w:t>treinta y uno de enero de dos mil veinticinco</w:t>
      </w:r>
      <w:r w:rsidRPr="00737A79">
        <w:rPr>
          <w:rFonts w:ascii="Palatino Linotype" w:eastAsia="Palatino Linotype" w:hAnsi="Palatino Linotype" w:cs="Palatino Linotype"/>
          <w:color w:val="000000"/>
        </w:rPr>
        <w:t xml:space="preserve">, el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 xml:space="preserve"> emitió respuesta a las solicitudes de información, de la siguiente manera:</w:t>
      </w:r>
    </w:p>
    <w:p w:rsidR="00D51563" w:rsidRPr="00737A79" w:rsidRDefault="00D51563" w:rsidP="00B1162E">
      <w:pPr>
        <w:pBdr>
          <w:top w:val="nil"/>
          <w:left w:val="nil"/>
          <w:bottom w:val="nil"/>
          <w:right w:val="nil"/>
          <w:between w:val="nil"/>
        </w:pBdr>
        <w:spacing w:line="360" w:lineRule="auto"/>
        <w:rPr>
          <w:rFonts w:ascii="Palatino Linotype" w:eastAsia="Palatino Linotype" w:hAnsi="Palatino Linotype" w:cs="Palatino Linotype"/>
          <w:b/>
          <w:i/>
          <w:color w:val="000000"/>
        </w:rPr>
      </w:pPr>
    </w:p>
    <w:p w:rsidR="00D51563" w:rsidRPr="00737A79" w:rsidRDefault="00B1162E" w:rsidP="00B1162E">
      <w:pPr>
        <w:spacing w:line="360" w:lineRule="auto"/>
        <w:jc w:val="both"/>
        <w:rPr>
          <w:rFonts w:ascii="Palatino Linotype" w:eastAsia="Palatino Linotype" w:hAnsi="Palatino Linotype" w:cs="Palatino Linotype"/>
          <w:b/>
        </w:rPr>
      </w:pPr>
      <w:r w:rsidRPr="00737A79">
        <w:rPr>
          <w:rFonts w:ascii="Palatino Linotype" w:eastAsia="Palatino Linotype" w:hAnsi="Palatino Linotype" w:cs="Palatino Linotype"/>
          <w:b/>
        </w:rPr>
        <w:t xml:space="preserve">Folio de la solicitud: </w:t>
      </w:r>
      <w:r w:rsidRPr="00737A79">
        <w:rPr>
          <w:rFonts w:ascii="Palatino Linotype" w:eastAsia="Palatino Linotype" w:hAnsi="Palatino Linotype" w:cs="Palatino Linotype"/>
          <w:b/>
          <w:color w:val="000000"/>
        </w:rPr>
        <w:t>00006/CHICOLOA/IP/2025</w:t>
      </w:r>
    </w:p>
    <w:p w:rsidR="00D51563" w:rsidRPr="00737A79" w:rsidRDefault="00B1162E" w:rsidP="00B1162E">
      <w:pPr>
        <w:spacing w:line="360" w:lineRule="auto"/>
        <w:jc w:val="both"/>
        <w:rPr>
          <w:rFonts w:ascii="Palatino Linotype" w:eastAsia="Palatino Linotype" w:hAnsi="Palatino Linotype" w:cs="Palatino Linotype"/>
          <w:b/>
        </w:rPr>
      </w:pPr>
      <w:r w:rsidRPr="00737A79">
        <w:rPr>
          <w:rFonts w:ascii="Palatino Linotype" w:eastAsia="Palatino Linotype" w:hAnsi="Palatino Linotype" w:cs="Palatino Linotype"/>
          <w:b/>
        </w:rPr>
        <w:t xml:space="preserve">CV TESORERO MUNICIPAL VERSION PUBLICA.pdf, </w:t>
      </w:r>
      <w:r w:rsidRPr="00737A79">
        <w:rPr>
          <w:rFonts w:ascii="Palatino Linotype" w:eastAsia="Palatino Linotype" w:hAnsi="Palatino Linotype" w:cs="Palatino Linotype"/>
        </w:rPr>
        <w:t>que contiene ficha curricular de la Tesorera Municipal.</w:t>
      </w:r>
    </w:p>
    <w:p w:rsidR="00D51563" w:rsidRPr="00737A79" w:rsidRDefault="00D51563" w:rsidP="00B1162E">
      <w:pPr>
        <w:spacing w:line="360" w:lineRule="auto"/>
        <w:jc w:val="both"/>
        <w:rPr>
          <w:rFonts w:ascii="Palatino Linotype" w:eastAsia="Palatino Linotype" w:hAnsi="Palatino Linotype" w:cs="Palatino Linotype"/>
          <w:b/>
        </w:rPr>
      </w:pPr>
    </w:p>
    <w:p w:rsidR="00D51563" w:rsidRPr="00737A79" w:rsidRDefault="00B1162E" w:rsidP="00B1162E">
      <w:pPr>
        <w:spacing w:line="360" w:lineRule="auto"/>
        <w:jc w:val="both"/>
        <w:rPr>
          <w:rFonts w:ascii="Palatino Linotype" w:eastAsia="Palatino Linotype" w:hAnsi="Palatino Linotype" w:cs="Palatino Linotype"/>
          <w:b/>
        </w:rPr>
      </w:pPr>
      <w:r w:rsidRPr="00737A79">
        <w:rPr>
          <w:rFonts w:ascii="Palatino Linotype" w:eastAsia="Palatino Linotype" w:hAnsi="Palatino Linotype" w:cs="Palatino Linotype"/>
          <w:b/>
        </w:rPr>
        <w:t xml:space="preserve">Folio de la solicitud: </w:t>
      </w:r>
      <w:r w:rsidRPr="00737A79">
        <w:rPr>
          <w:rFonts w:ascii="Palatino Linotype" w:eastAsia="Palatino Linotype" w:hAnsi="Palatino Linotype" w:cs="Palatino Linotype"/>
          <w:b/>
          <w:color w:val="000000"/>
        </w:rPr>
        <w:t>00021/CHICOLOA/IP/2025</w:t>
      </w:r>
    </w:p>
    <w:p w:rsidR="00D51563" w:rsidRPr="00737A79" w:rsidRDefault="00B1162E" w:rsidP="00B1162E">
      <w:pPr>
        <w:spacing w:line="360" w:lineRule="auto"/>
        <w:jc w:val="both"/>
        <w:rPr>
          <w:rFonts w:ascii="Palatino Linotype" w:eastAsia="Palatino Linotype" w:hAnsi="Palatino Linotype" w:cs="Palatino Linotype"/>
        </w:rPr>
      </w:pPr>
      <w:r w:rsidRPr="00737A79">
        <w:rPr>
          <w:rFonts w:ascii="Palatino Linotype" w:eastAsia="Palatino Linotype" w:hAnsi="Palatino Linotype" w:cs="Palatino Linotype"/>
          <w:b/>
        </w:rPr>
        <w:t xml:space="preserve">Currículos-vites.pdf y Currículos vitaes (1).pdf, </w:t>
      </w:r>
      <w:r w:rsidRPr="00737A79">
        <w:rPr>
          <w:rFonts w:ascii="Palatino Linotype" w:eastAsia="Palatino Linotype" w:hAnsi="Palatino Linotype" w:cs="Palatino Linotype"/>
        </w:rPr>
        <w:t>que contiene fichas curriculares y curriculum vitae de integrantes del cabildo.</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El día</w:t>
      </w:r>
      <w:r w:rsidRPr="00737A79">
        <w:rPr>
          <w:rFonts w:ascii="Palatino Linotype" w:eastAsia="Palatino Linotype" w:hAnsi="Palatino Linotype" w:cs="Palatino Linotype"/>
          <w:b/>
          <w:color w:val="000000"/>
        </w:rPr>
        <w:t xml:space="preserve"> dos de febrero dos mil veinticuatro</w:t>
      </w:r>
      <w:r w:rsidRPr="00737A79">
        <w:rPr>
          <w:rFonts w:ascii="Palatino Linotype" w:eastAsia="Palatino Linotype" w:hAnsi="Palatino Linotype" w:cs="Palatino Linotype"/>
          <w:color w:val="000000"/>
        </w:rPr>
        <w:t>, el solicitante interpuso recurso de revisión en las solicitudes de información</w:t>
      </w:r>
      <w:r w:rsidRPr="00737A79">
        <w:rPr>
          <w:rFonts w:ascii="Palatino Linotype" w:eastAsia="Palatino Linotype" w:hAnsi="Palatino Linotype" w:cs="Palatino Linotype"/>
          <w:b/>
          <w:color w:val="000000"/>
        </w:rPr>
        <w:t xml:space="preserve"> </w:t>
      </w:r>
      <w:r w:rsidRPr="00737A79">
        <w:rPr>
          <w:rFonts w:ascii="Palatino Linotype" w:eastAsia="Palatino Linotype" w:hAnsi="Palatino Linotype" w:cs="Palatino Linotype"/>
          <w:color w:val="000000"/>
        </w:rPr>
        <w:t>objeto de la presente acumulación, señalando las siguientes razones o motivos de inconformidad:</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Style w:val="a"/>
        <w:tblW w:w="8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23"/>
      </w:tblGrid>
      <w:tr w:rsidR="00D51563" w:rsidRPr="00737A79">
        <w:tc>
          <w:tcPr>
            <w:tcW w:w="3256" w:type="dxa"/>
          </w:tcPr>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t>Recursos de Revisión</w:t>
            </w:r>
          </w:p>
        </w:tc>
        <w:tc>
          <w:tcPr>
            <w:tcW w:w="5523" w:type="dxa"/>
          </w:tcPr>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t>Acto Impugnado y Razones o Motivos de Inconformidad</w:t>
            </w:r>
          </w:p>
        </w:tc>
      </w:tr>
      <w:tr w:rsidR="00D51563" w:rsidRPr="00737A79">
        <w:tc>
          <w:tcPr>
            <w:tcW w:w="3256" w:type="dxa"/>
          </w:tcPr>
          <w:p w:rsidR="00D51563" w:rsidRPr="00737A79" w:rsidRDefault="00B1162E" w:rsidP="00B1162E">
            <w:pPr>
              <w:pBdr>
                <w:top w:val="nil"/>
                <w:left w:val="nil"/>
                <w:bottom w:val="nil"/>
                <w:right w:val="nil"/>
                <w:between w:val="nil"/>
              </w:pBdr>
              <w:spacing w:line="360" w:lineRule="auto"/>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00448/INFOEM/IP/RR/2025</w:t>
            </w:r>
          </w:p>
        </w:tc>
        <w:tc>
          <w:tcPr>
            <w:tcW w:w="5523" w:type="dxa"/>
          </w:tcPr>
          <w:p w:rsidR="00D51563" w:rsidRPr="00737A79" w:rsidRDefault="00B1162E" w:rsidP="00B1162E">
            <w:pPr>
              <w:spacing w:line="360" w:lineRule="auto"/>
              <w:jc w:val="both"/>
              <w:rPr>
                <w:rFonts w:ascii="Palatino Linotype" w:eastAsia="Palatino Linotype" w:hAnsi="Palatino Linotype" w:cs="Palatino Linotype"/>
                <w:b/>
                <w:i/>
              </w:rPr>
            </w:pPr>
            <w:r w:rsidRPr="00737A79">
              <w:rPr>
                <w:rFonts w:ascii="Palatino Linotype" w:eastAsia="Palatino Linotype" w:hAnsi="Palatino Linotype" w:cs="Palatino Linotype"/>
                <w:b/>
                <w:i/>
              </w:rPr>
              <w:t>ACTO IMPUGNADO</w:t>
            </w:r>
            <w:r w:rsidRPr="00737A79">
              <w:rPr>
                <w:rFonts w:ascii="Palatino Linotype" w:eastAsia="Palatino Linotype" w:hAnsi="Palatino Linotype" w:cs="Palatino Linotype"/>
                <w:b/>
                <w:i/>
              </w:rPr>
              <w:tab/>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Información incompleta ya que hace falta varios currículum vitae</w:t>
            </w:r>
          </w:p>
          <w:p w:rsidR="00D51563" w:rsidRPr="00737A79" w:rsidRDefault="00D51563" w:rsidP="00B1162E">
            <w:pPr>
              <w:spacing w:line="360" w:lineRule="auto"/>
              <w:jc w:val="both"/>
              <w:rPr>
                <w:rFonts w:ascii="Palatino Linotype" w:eastAsia="Palatino Linotype" w:hAnsi="Palatino Linotype" w:cs="Palatino Linotype"/>
                <w:b/>
                <w:i/>
              </w:rPr>
            </w:pPr>
          </w:p>
          <w:p w:rsidR="00D51563" w:rsidRPr="00737A79" w:rsidRDefault="00B1162E" w:rsidP="00B1162E">
            <w:pPr>
              <w:spacing w:line="360" w:lineRule="auto"/>
              <w:jc w:val="both"/>
              <w:rPr>
                <w:rFonts w:ascii="Palatino Linotype" w:eastAsia="Palatino Linotype" w:hAnsi="Palatino Linotype" w:cs="Palatino Linotype"/>
                <w:b/>
                <w:i/>
              </w:rPr>
            </w:pPr>
            <w:r w:rsidRPr="00737A79">
              <w:rPr>
                <w:rFonts w:ascii="Palatino Linotype" w:eastAsia="Palatino Linotype" w:hAnsi="Palatino Linotype" w:cs="Palatino Linotype"/>
                <w:b/>
                <w:i/>
              </w:rPr>
              <w:t>RAZONES O MOTIVOS DE LA INCONFORMIDAD</w:t>
            </w:r>
            <w:r w:rsidRPr="00737A79">
              <w:rPr>
                <w:rFonts w:ascii="Palatino Linotype" w:eastAsia="Palatino Linotype" w:hAnsi="Palatino Linotype" w:cs="Palatino Linotype"/>
                <w:b/>
                <w:i/>
              </w:rPr>
              <w:tab/>
            </w: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Información incompleta</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tc>
      </w:tr>
      <w:tr w:rsidR="00D51563" w:rsidRPr="00737A79">
        <w:tc>
          <w:tcPr>
            <w:tcW w:w="3256" w:type="dxa"/>
          </w:tcPr>
          <w:p w:rsidR="00D51563" w:rsidRPr="00737A79" w:rsidRDefault="00B1162E" w:rsidP="00B1162E">
            <w:pPr>
              <w:pBdr>
                <w:top w:val="nil"/>
                <w:left w:val="nil"/>
                <w:bottom w:val="nil"/>
                <w:right w:val="nil"/>
                <w:between w:val="nil"/>
              </w:pBdr>
              <w:spacing w:line="360" w:lineRule="auto"/>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00453/INFOEM/IP/RR/2025</w:t>
            </w:r>
          </w:p>
        </w:tc>
        <w:tc>
          <w:tcPr>
            <w:tcW w:w="5523" w:type="dxa"/>
          </w:tcPr>
          <w:p w:rsidR="00D51563" w:rsidRPr="00737A79" w:rsidRDefault="00B1162E" w:rsidP="00B1162E">
            <w:pPr>
              <w:spacing w:line="360" w:lineRule="auto"/>
              <w:jc w:val="both"/>
              <w:rPr>
                <w:rFonts w:ascii="Palatino Linotype" w:eastAsia="Palatino Linotype" w:hAnsi="Palatino Linotype" w:cs="Palatino Linotype"/>
                <w:b/>
                <w:i/>
              </w:rPr>
            </w:pPr>
            <w:r w:rsidRPr="00737A79">
              <w:rPr>
                <w:rFonts w:ascii="Palatino Linotype" w:eastAsia="Palatino Linotype" w:hAnsi="Palatino Linotype" w:cs="Palatino Linotype"/>
                <w:b/>
                <w:i/>
              </w:rPr>
              <w:t>ACTO IMPUGNADO</w:t>
            </w:r>
            <w:r w:rsidRPr="00737A79">
              <w:rPr>
                <w:rFonts w:ascii="Palatino Linotype" w:eastAsia="Palatino Linotype" w:hAnsi="Palatino Linotype" w:cs="Palatino Linotype"/>
                <w:b/>
                <w:i/>
              </w:rPr>
              <w:tab/>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Información incompleta</w:t>
            </w:r>
          </w:p>
          <w:p w:rsidR="00D51563" w:rsidRPr="00737A79" w:rsidRDefault="00D51563" w:rsidP="00B1162E">
            <w:pPr>
              <w:spacing w:line="360" w:lineRule="auto"/>
              <w:jc w:val="both"/>
              <w:rPr>
                <w:rFonts w:ascii="Palatino Linotype" w:eastAsia="Palatino Linotype" w:hAnsi="Palatino Linotype" w:cs="Palatino Linotype"/>
                <w:b/>
                <w:i/>
              </w:rPr>
            </w:pPr>
          </w:p>
          <w:p w:rsidR="00D51563" w:rsidRPr="00737A79" w:rsidRDefault="00B1162E" w:rsidP="00B1162E">
            <w:pPr>
              <w:spacing w:line="360" w:lineRule="auto"/>
              <w:jc w:val="both"/>
              <w:rPr>
                <w:rFonts w:ascii="Palatino Linotype" w:eastAsia="Palatino Linotype" w:hAnsi="Palatino Linotype" w:cs="Palatino Linotype"/>
                <w:b/>
                <w:i/>
              </w:rPr>
            </w:pPr>
            <w:r w:rsidRPr="00737A79">
              <w:rPr>
                <w:rFonts w:ascii="Palatino Linotype" w:eastAsia="Palatino Linotype" w:hAnsi="Palatino Linotype" w:cs="Palatino Linotype"/>
                <w:b/>
                <w:i/>
              </w:rPr>
              <w:t>RAZONES O MOTIVOS DE LA INCONFORMIDAD</w:t>
            </w:r>
            <w:r w:rsidRPr="00737A79">
              <w:rPr>
                <w:rFonts w:ascii="Palatino Linotype" w:eastAsia="Palatino Linotype" w:hAnsi="Palatino Linotype" w:cs="Palatino Linotype"/>
                <w:b/>
                <w:i/>
              </w:rPr>
              <w:tab/>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Información incompleta y documento tachado sin justificación</w:t>
            </w:r>
          </w:p>
          <w:p w:rsidR="00D51563" w:rsidRPr="00737A79" w:rsidRDefault="00D51563" w:rsidP="00B1162E">
            <w:pPr>
              <w:spacing w:line="360" w:lineRule="auto"/>
              <w:jc w:val="both"/>
              <w:rPr>
                <w:rFonts w:ascii="Palatino Linotype" w:eastAsia="Palatino Linotype" w:hAnsi="Palatino Linotype" w:cs="Palatino Linotype"/>
                <w:i/>
              </w:rPr>
            </w:pPr>
          </w:p>
        </w:tc>
      </w:tr>
    </w:tbl>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La Comisionada Ponente con fundamento en lo dispuesto por el artículo 185 fracción II de la ley de la materia, a través de los </w:t>
      </w:r>
      <w:r w:rsidRPr="00737A79">
        <w:rPr>
          <w:rFonts w:ascii="Palatino Linotype" w:eastAsia="Palatino Linotype" w:hAnsi="Palatino Linotype" w:cs="Palatino Linotype"/>
          <w:b/>
          <w:color w:val="000000"/>
        </w:rPr>
        <w:t xml:space="preserve">acuerdos de admisión </w:t>
      </w:r>
      <w:r w:rsidRPr="00737A79">
        <w:rPr>
          <w:rFonts w:ascii="Palatino Linotype" w:eastAsia="Palatino Linotype" w:hAnsi="Palatino Linotype" w:cs="Palatino Linotype"/>
          <w:color w:val="000000"/>
        </w:rPr>
        <w:t>de fechas</w:t>
      </w:r>
      <w:r w:rsidRPr="00737A79">
        <w:rPr>
          <w:rFonts w:ascii="Palatino Linotype" w:eastAsia="Palatino Linotype" w:hAnsi="Palatino Linotype" w:cs="Palatino Linotype"/>
          <w:b/>
          <w:color w:val="000000"/>
        </w:rPr>
        <w:t xml:space="preserve"> cuatro de febrero de dos mil veinticinco</w:t>
      </w:r>
      <w:r w:rsidRPr="00737A79">
        <w:rPr>
          <w:rFonts w:ascii="Palatino Linotype" w:eastAsia="Palatino Linotype" w:hAnsi="Palatino Linotype" w:cs="Palatino Linotype"/>
          <w:color w:val="000000"/>
        </w:rPr>
        <w:t xml:space="preserve">, puso a disposición de las partes los expedientes electrónicos vía SAIMEX a efecto de que en un plazo máximo de siete días manifestaran lo que a su derecho conviniera, ofrecieran pruebas y alegatos según corresponda al caso </w:t>
      </w:r>
      <w:r w:rsidRPr="00737A79">
        <w:rPr>
          <w:rFonts w:ascii="Palatino Linotype" w:eastAsia="Palatino Linotype" w:hAnsi="Palatino Linotype" w:cs="Palatino Linotype"/>
          <w:color w:val="000000"/>
        </w:rPr>
        <w:lastRenderedPageBreak/>
        <w:t xml:space="preserve">concreto, de esta forma para que el </w:t>
      </w:r>
      <w:r w:rsidRPr="00737A79">
        <w:rPr>
          <w:rFonts w:ascii="Palatino Linotype" w:eastAsia="Palatino Linotype" w:hAnsi="Palatino Linotype" w:cs="Palatino Linotype"/>
          <w:b/>
          <w:color w:val="000000"/>
        </w:rPr>
        <w:t xml:space="preserve">SUJETO OBLIGADO </w:t>
      </w:r>
      <w:r w:rsidRPr="00737A79">
        <w:rPr>
          <w:rFonts w:ascii="Palatino Linotype" w:eastAsia="Palatino Linotype" w:hAnsi="Palatino Linotype" w:cs="Palatino Linotype"/>
          <w:color w:val="000000"/>
        </w:rPr>
        <w:t>presentara el Informe Justificado procedente.</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Posteriormente la Comisionada Ponente</w:t>
      </w:r>
      <w:r w:rsidRPr="00737A79">
        <w:rPr>
          <w:rFonts w:ascii="Palatino Linotype" w:eastAsia="Palatino Linotype" w:hAnsi="Palatino Linotype" w:cs="Palatino Linotype"/>
          <w:b/>
          <w:color w:val="000000"/>
        </w:rPr>
        <w:t xml:space="preserve"> </w:t>
      </w:r>
      <w:r w:rsidRPr="00737A79">
        <w:rPr>
          <w:rFonts w:ascii="Palatino Linotype" w:eastAsia="Palatino Linotype" w:hAnsi="Palatino Linotype" w:cs="Palatino Linotype"/>
        </w:rPr>
        <w:t>determinó</w:t>
      </w:r>
      <w:r w:rsidRPr="00737A79">
        <w:rPr>
          <w:rFonts w:ascii="Palatino Linotype" w:eastAsia="Palatino Linotype" w:hAnsi="Palatino Linotype" w:cs="Palatino Linotype"/>
          <w:color w:val="000000"/>
        </w:rPr>
        <w:t xml:space="preserve"> resolver los recursos de revisión de mérito de forma acumulada,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Pr="00737A79">
        <w:rPr>
          <w:rFonts w:ascii="Palatino Linotype" w:eastAsia="Palatino Linotype" w:hAnsi="Palatino Linotype" w:cs="Palatino Linotype"/>
          <w:i/>
          <w:color w:val="000000"/>
          <w:vertAlign w:val="superscript"/>
        </w:rPr>
        <w:footnoteReference w:id="1"/>
      </w:r>
      <w:r w:rsidRPr="00737A79">
        <w:rPr>
          <w:rFonts w:ascii="Palatino Linotype" w:eastAsia="Palatino Linotype" w:hAnsi="Palatino Linotype" w:cs="Palatino Linotype"/>
          <w:color w:val="000000"/>
        </w:rPr>
        <w:t>, que señala:</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“ONCE.</w:t>
      </w:r>
      <w:r w:rsidRPr="00737A79">
        <w:rPr>
          <w:rFonts w:ascii="Palatino Linotype" w:eastAsia="Palatino Linotype" w:hAnsi="Palatino Linotype" w:cs="Palatino Linotype"/>
          <w:i/>
          <w:color w:val="000000"/>
        </w:rPr>
        <w:t xml:space="preserve"> El Instituto, para mejor resolver y evitar la emisión de resoluciones contradictorias, podrá acordar la acumulación de los expedientes de recursos de revisión, de oficio o a petición de parte cuando:</w:t>
      </w:r>
    </w:p>
    <w:p w:rsidR="00D51563" w:rsidRPr="00737A79" w:rsidRDefault="00B1162E" w:rsidP="00B1162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w:t>
      </w:r>
      <w:r w:rsidRPr="00737A79">
        <w:rPr>
          <w:rFonts w:ascii="Palatino Linotype" w:eastAsia="Palatino Linotype" w:hAnsi="Palatino Linotype" w:cs="Palatino Linotype"/>
          <w:i/>
          <w:color w:val="000000"/>
        </w:rPr>
        <w:tab/>
      </w:r>
    </w:p>
    <w:p w:rsidR="00D51563" w:rsidRPr="00737A79" w:rsidRDefault="00B1162E" w:rsidP="00B1162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b) Las partes o los actos impugnados sean iguales</w:t>
      </w:r>
    </w:p>
    <w:p w:rsidR="00D51563" w:rsidRPr="00737A79" w:rsidRDefault="00B1162E" w:rsidP="00B1162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c) Cuando se trate del mismo solicitante, el mismo SUJETO OBLIGADO, aunque se trate de solicitudes diversas;</w:t>
      </w:r>
    </w:p>
    <w:p w:rsidR="00D51563" w:rsidRPr="00737A79" w:rsidRDefault="00B1162E" w:rsidP="00B1162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w:t>
      </w:r>
    </w:p>
    <w:p w:rsidR="00D51563" w:rsidRPr="00737A79" w:rsidRDefault="00B1162E" w:rsidP="00B1162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(Énfasis añadido)</w:t>
      </w: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Es así que,</w:t>
      </w:r>
      <w:r w:rsidRPr="00737A79">
        <w:rPr>
          <w:rFonts w:ascii="Palatino Linotype" w:eastAsia="Palatino Linotype" w:hAnsi="Palatino Linotype" w:cs="Palatino Linotype"/>
          <w:i/>
          <w:color w:val="000000"/>
        </w:rPr>
        <w:t xml:space="preserve"> </w:t>
      </w:r>
      <w:r w:rsidRPr="00737A79">
        <w:rPr>
          <w:rFonts w:ascii="Palatino Linotype" w:eastAsia="Palatino Linotype" w:hAnsi="Palatino Linotype" w:cs="Palatino Linotype"/>
          <w:color w:val="000000"/>
        </w:rPr>
        <w:t xml:space="preserve">resulta conveniente su trámite de forma unificada para mejor resolver y evitar la emisión de resoluciones contradictorias, por ello resultó procedente que este Órgano Garante realizara la acumulación respectiva, de conformidad con lo dispuesto en </w:t>
      </w:r>
      <w:r w:rsidRPr="00737A79">
        <w:rPr>
          <w:rFonts w:ascii="Palatino Linotype" w:eastAsia="Palatino Linotype" w:hAnsi="Palatino Linotype" w:cs="Palatino Linotype"/>
          <w:color w:val="000000"/>
        </w:rPr>
        <w:lastRenderedPageBreak/>
        <w:t>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D51563" w:rsidRPr="00737A79" w:rsidRDefault="00B1162E" w:rsidP="00B1162E">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Código de Procedimientos Administrativos del Estado de México.</w:t>
      </w:r>
    </w:p>
    <w:p w:rsidR="00D51563" w:rsidRPr="00737A79" w:rsidRDefault="00B1162E" w:rsidP="00B1162E">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“Artículo 18.-</w:t>
      </w:r>
      <w:r w:rsidRPr="00737A79">
        <w:rPr>
          <w:rFonts w:ascii="Palatino Linotype" w:eastAsia="Palatino Linotype" w:hAnsi="Palatino Linotype" w:cs="Palatino Linotype"/>
          <w:i/>
          <w:color w:val="000000"/>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D51563" w:rsidRPr="00737A79" w:rsidRDefault="00D51563" w:rsidP="00B1162E">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i/>
          <w:color w:val="000000"/>
        </w:rPr>
      </w:pPr>
    </w:p>
    <w:p w:rsidR="00D51563" w:rsidRPr="00737A79" w:rsidRDefault="00B1162E" w:rsidP="00B1162E">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Ley de Transparencia y Acceso a la Información Pública del Estado de México y Municipios</w:t>
      </w:r>
    </w:p>
    <w:p w:rsidR="00D51563" w:rsidRPr="00737A79" w:rsidRDefault="00B1162E" w:rsidP="00B1162E">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“Artículo 195.</w:t>
      </w:r>
      <w:r w:rsidRPr="00737A79">
        <w:rPr>
          <w:rFonts w:ascii="Palatino Linotype" w:eastAsia="Palatino Linotype" w:hAnsi="Palatino Linotype" w:cs="Palatino Linotype"/>
          <w:i/>
          <w:color w:val="000000"/>
        </w:rPr>
        <w:t xml:space="preserve"> En la tramitación del recurso de revisión se aplicarán supletoriamente las disposiciones contenidas en el Código de Procedimientos Administrativos del Estado de México.”</w:t>
      </w:r>
    </w:p>
    <w:p w:rsidR="00D51563" w:rsidRPr="00737A79" w:rsidRDefault="00B1162E" w:rsidP="00B1162E">
      <w:pPr>
        <w:pBdr>
          <w:top w:val="nil"/>
          <w:left w:val="nil"/>
          <w:bottom w:val="nil"/>
          <w:right w:val="nil"/>
          <w:between w:val="nil"/>
        </w:pBdr>
        <w:tabs>
          <w:tab w:val="left" w:pos="7889"/>
        </w:tabs>
        <w:spacing w:line="360" w:lineRule="auto"/>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(Énfasis añadido)</w:t>
      </w:r>
    </w:p>
    <w:p w:rsidR="00D51563" w:rsidRPr="00737A79" w:rsidRDefault="00D51563" w:rsidP="00B1162E">
      <w:pPr>
        <w:pBdr>
          <w:top w:val="nil"/>
          <w:left w:val="nil"/>
          <w:bottom w:val="nil"/>
          <w:right w:val="nil"/>
          <w:between w:val="nil"/>
        </w:pBdr>
        <w:spacing w:line="360" w:lineRule="auto"/>
        <w:ind w:firstLine="360"/>
        <w:rPr>
          <w:rFonts w:ascii="Palatino Linotype" w:eastAsia="Palatino Linotype" w:hAnsi="Palatino Linotype" w:cs="Palatino Linotype"/>
          <w:i/>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37A79">
        <w:rPr>
          <w:rFonts w:ascii="Palatino Linotype" w:eastAsia="Palatino Linotype" w:hAnsi="Palatino Linotype" w:cs="Palatino Linotype"/>
          <w:color w:val="000000"/>
        </w:rPr>
        <w:t xml:space="preserve">De lo anterior, el </w:t>
      </w:r>
      <w:r w:rsidRPr="00737A79">
        <w:rPr>
          <w:rFonts w:ascii="Palatino Linotype" w:eastAsia="Palatino Linotype" w:hAnsi="Palatino Linotype" w:cs="Palatino Linotype"/>
          <w:b/>
          <w:color w:val="000000"/>
        </w:rPr>
        <w:t xml:space="preserve">SUJETO OBLIGADO </w:t>
      </w:r>
      <w:r w:rsidRPr="00737A79">
        <w:rPr>
          <w:rFonts w:ascii="Palatino Linotype" w:eastAsia="Palatino Linotype" w:hAnsi="Palatino Linotype" w:cs="Palatino Linotype"/>
          <w:color w:val="000000"/>
        </w:rPr>
        <w:t>fue omiso en rendir informe justificado a los recursos de revisión. Por su parte, el solicitante dejó de realizar manifestaciones que a su derecho conviniera y asistiera.</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37A79">
        <w:rPr>
          <w:rFonts w:ascii="Palatino Linotype" w:eastAsia="Palatino Linotype" w:hAnsi="Palatino Linotype" w:cs="Palatino Linotype"/>
          <w:color w:val="000000"/>
        </w:rPr>
        <w:t xml:space="preserve">Seguidamente, se ampliaron los plazos para emitir resolución al periodo ordinario de 30 días hábiles, mediante acuerdo de día catorce de abril y ocho de mayo de dos mil </w:t>
      </w:r>
      <w:r w:rsidRPr="00737A79">
        <w:rPr>
          <w:rFonts w:ascii="Palatino Linotype" w:eastAsia="Palatino Linotype" w:hAnsi="Palatino Linotype" w:cs="Palatino Linotype"/>
          <w:color w:val="000000"/>
        </w:rPr>
        <w:lastRenderedPageBreak/>
        <w:t>veinticinco. Finalmente, al no existir pendiente o diligencia por desahogar, la Comisionada Ponente mediante acuerdo de misma fecha, se decretó el cierre de instrucción de los expedientes, por lo que no habiendo más que hacer constar, y-----------</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51563" w:rsidRPr="00737A79" w:rsidRDefault="00B1162E" w:rsidP="00B1162E">
      <w:pPr>
        <w:pStyle w:val="Ttulo1"/>
        <w:tabs>
          <w:tab w:val="left" w:pos="567"/>
        </w:tabs>
        <w:spacing w:before="0" w:line="360" w:lineRule="auto"/>
        <w:jc w:val="center"/>
        <w:rPr>
          <w:szCs w:val="24"/>
        </w:rPr>
      </w:pPr>
      <w:bookmarkStart w:id="2" w:name="_heading=h.s6qkza74jve" w:colFirst="0" w:colLast="0"/>
      <w:bookmarkEnd w:id="2"/>
      <w:r w:rsidRPr="00737A79">
        <w:rPr>
          <w:szCs w:val="24"/>
        </w:rPr>
        <w:t>CONSIDERANDO</w:t>
      </w:r>
    </w:p>
    <w:p w:rsidR="00D51563" w:rsidRPr="00737A79" w:rsidRDefault="00D51563" w:rsidP="00B1162E">
      <w:pPr>
        <w:spacing w:line="360" w:lineRule="auto"/>
        <w:rPr>
          <w:rFonts w:ascii="Palatino Linotype" w:eastAsia="Palatino Linotype" w:hAnsi="Palatino Linotype" w:cs="Palatino Linotype"/>
        </w:rPr>
      </w:pPr>
    </w:p>
    <w:p w:rsidR="00D51563" w:rsidRPr="00737A79" w:rsidRDefault="00B1162E" w:rsidP="00B1162E">
      <w:pPr>
        <w:pStyle w:val="Ttulo1"/>
        <w:tabs>
          <w:tab w:val="left" w:pos="567"/>
        </w:tabs>
        <w:spacing w:before="0" w:line="360" w:lineRule="auto"/>
        <w:rPr>
          <w:b w:val="0"/>
          <w:szCs w:val="24"/>
        </w:rPr>
      </w:pPr>
      <w:bookmarkStart w:id="3" w:name="_heading=h.vw5ghm6j4wxb" w:colFirst="0" w:colLast="0"/>
      <w:bookmarkEnd w:id="3"/>
      <w:r w:rsidRPr="00737A79">
        <w:rPr>
          <w:szCs w:val="24"/>
        </w:rPr>
        <w:t>PRIMERO. De la competencia</w:t>
      </w:r>
    </w:p>
    <w:p w:rsidR="00D51563" w:rsidRPr="00737A79" w:rsidRDefault="00D51563" w:rsidP="00B1162E">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51563" w:rsidRPr="00737A79" w:rsidRDefault="00D51563" w:rsidP="00B116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51563" w:rsidRPr="00737A79" w:rsidRDefault="00B1162E" w:rsidP="00B1162E">
      <w:pPr>
        <w:pStyle w:val="Ttulo2"/>
        <w:spacing w:before="0" w:line="360" w:lineRule="auto"/>
        <w:rPr>
          <w:b w:val="0"/>
          <w:color w:val="000000"/>
          <w:szCs w:val="24"/>
        </w:rPr>
      </w:pPr>
      <w:bookmarkStart w:id="4" w:name="_heading=h.malp273qbowh" w:colFirst="0" w:colLast="0"/>
      <w:bookmarkEnd w:id="4"/>
      <w:r w:rsidRPr="00737A79">
        <w:rPr>
          <w:color w:val="000000"/>
          <w:szCs w:val="24"/>
        </w:rPr>
        <w:t>SEGUNDO. De la oportunidad y procedencia.</w:t>
      </w:r>
    </w:p>
    <w:p w:rsidR="00D51563" w:rsidRPr="00737A79" w:rsidRDefault="00D51563" w:rsidP="00B1162E">
      <w:pPr>
        <w:spacing w:line="360" w:lineRule="auto"/>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Este Órgano Garante considera que los medios de impugnación reúnen los requisitos de procedencia toda vez que: los recursos fueron presentados dentro del plazo </w:t>
      </w:r>
      <w:r w:rsidRPr="00737A79">
        <w:rPr>
          <w:rFonts w:ascii="Palatino Linotype" w:eastAsia="Palatino Linotype" w:hAnsi="Palatino Linotype" w:cs="Palatino Linotype"/>
          <w:color w:val="000000"/>
        </w:rPr>
        <w:lastRenderedPageBreak/>
        <w:t xml:space="preserve">establecido en el artículo 178 de la Ley de Transparencia y Acceso a la Información Pública del Estado de México y Municipios; asimismo no se tiene conocimiento de que se encuentre en trámite algún medio de defensa presentado por </w:t>
      </w:r>
      <w:r w:rsidR="0000056A" w:rsidRPr="00737A79">
        <w:rPr>
          <w:rFonts w:ascii="Palatino Linotype" w:eastAsia="Palatino Linotype" w:hAnsi="Palatino Linotype" w:cs="Palatino Linotype"/>
          <w:b/>
          <w:color w:val="000000"/>
        </w:rPr>
        <w:t xml:space="preserve">EL </w:t>
      </w:r>
      <w:r w:rsidRPr="00737A79">
        <w:rPr>
          <w:rFonts w:ascii="Palatino Linotype" w:eastAsia="Palatino Linotype" w:hAnsi="Palatino Linotype" w:cs="Palatino Linotype"/>
          <w:b/>
          <w:color w:val="000000"/>
        </w:rPr>
        <w:t>RECURRENTE</w:t>
      </w:r>
      <w:r w:rsidRPr="00737A79">
        <w:rPr>
          <w:rFonts w:ascii="Palatino Linotype" w:eastAsia="Palatino Linotype" w:hAnsi="Palatino Linotype" w:cs="Palatino Linotype"/>
          <w:color w:val="000000"/>
        </w:rPr>
        <w:t xml:space="preserve"> ante otra instancia.</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Por otro lado, es de suma importancia señalar que la parte recurrente no proporciona un nombre o datos de identificación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r w:rsidRPr="00737A79">
        <w:rPr>
          <w:rFonts w:ascii="Palatino Linotype" w:eastAsia="Palatino Linotype" w:hAnsi="Palatino Linotype" w:cs="Palatino Linotype"/>
          <w:b/>
          <w:i/>
        </w:rPr>
        <w:t>Las solicitudes anónimas</w:t>
      </w:r>
      <w:r w:rsidRPr="00737A79">
        <w:rPr>
          <w:rFonts w:ascii="Palatino Linotype" w:eastAsia="Palatino Linotype" w:hAnsi="Palatino Linotype" w:cs="Palatino Linotype"/>
          <w:i/>
        </w:rPr>
        <w:t xml:space="preserve">, con nombre incompleto o seudónimo </w:t>
      </w:r>
      <w:r w:rsidRPr="00737A79">
        <w:rPr>
          <w:rFonts w:ascii="Palatino Linotype" w:eastAsia="Palatino Linotype" w:hAnsi="Palatino Linotype" w:cs="Palatino Linotype"/>
          <w:b/>
          <w:i/>
        </w:rPr>
        <w:t>serán procedentes para su trámite por parte del sujeto obligado ante quien se presente</w:t>
      </w:r>
      <w:r w:rsidRPr="00737A79">
        <w:rPr>
          <w:rFonts w:ascii="Palatino Linotype" w:eastAsia="Palatino Linotype" w:hAnsi="Palatino Linotype" w:cs="Palatino Linotype"/>
          <w:i/>
        </w:rPr>
        <w:t>. No podrá requerirse información adicional con motivo del nombre proporcionado por el solicitante."</w:t>
      </w:r>
    </w:p>
    <w:p w:rsidR="0000056A" w:rsidRPr="00737A79" w:rsidRDefault="0000056A" w:rsidP="00B1162E">
      <w:pPr>
        <w:spacing w:line="360" w:lineRule="auto"/>
        <w:jc w:val="both"/>
        <w:rPr>
          <w:rFonts w:ascii="Palatino Linotype" w:eastAsia="Palatino Linotype" w:hAnsi="Palatino Linotype" w:cs="Palatino Linotype"/>
          <w:i/>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Robusteciendo lo anterior se encuentra lo dispuesto en el artículo 6, Apartado A, fracciones III de la Constitución Política de los Estados Unidos Mexicanos que establece:</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r w:rsidRPr="00737A79">
        <w:rPr>
          <w:rFonts w:ascii="Palatino Linotype" w:eastAsia="Palatino Linotype" w:hAnsi="Palatino Linotype" w:cs="Palatino Linotype"/>
          <w:b/>
          <w:i/>
        </w:rPr>
        <w:t>Artículo 6.-</w:t>
      </w:r>
      <w:r w:rsidRPr="00737A79">
        <w:rPr>
          <w:rFonts w:ascii="Palatino Linotype" w:eastAsia="Palatino Linotype" w:hAnsi="Palatino Linotype" w:cs="Palatino Linotype"/>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Para efectos de lo dispuesto en el presente artículo se observará lo siguiente:</w:t>
      </w:r>
    </w:p>
    <w:p w:rsidR="00D51563" w:rsidRPr="00737A79" w:rsidRDefault="00D51563" w:rsidP="00B1162E">
      <w:pPr>
        <w:spacing w:line="360" w:lineRule="auto"/>
        <w:jc w:val="both"/>
        <w:rPr>
          <w:rFonts w:ascii="Palatino Linotype" w:eastAsia="Palatino Linotype" w:hAnsi="Palatino Linotype" w:cs="Palatino Linotype"/>
          <w:i/>
        </w:rPr>
      </w:pP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A. Para el ejercicio del derecho de acceso a la información, la Federación, los Estados y el Distrito Federal, en el ámbito de sus respectivas competencias, se regirán por los siguientes principios y bases:</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xml:space="preserve">III. Toda persona, sin necesidad de acreditar interés alguno o justificar su utilización, tendrá acceso gratuito a la información pública, a sus datos personales o a la rectificación de éstos.” </w:t>
      </w:r>
    </w:p>
    <w:p w:rsidR="00D51563" w:rsidRPr="00737A79" w:rsidRDefault="00D51563" w:rsidP="00B1162E">
      <w:pPr>
        <w:spacing w:line="360" w:lineRule="auto"/>
        <w:jc w:val="both"/>
        <w:rPr>
          <w:rFonts w:ascii="Palatino Linotype" w:eastAsia="Palatino Linotype" w:hAnsi="Palatino Linotype" w:cs="Palatino Linotype"/>
          <w:i/>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Así como el artículo 5 fracción III, párrafo vigésimo noveno, trigésimo y trigésimo primero, de la Constitución Política del Estado Libre y Soberano de México, que determina lo siguiente:</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r w:rsidRPr="00737A79">
        <w:rPr>
          <w:rFonts w:ascii="Palatino Linotype" w:eastAsia="Palatino Linotype" w:hAnsi="Palatino Linotype" w:cs="Palatino Linotype"/>
          <w:b/>
          <w:i/>
        </w:rPr>
        <w:t>Artículo 5.-</w:t>
      </w:r>
      <w:r w:rsidRPr="00737A79">
        <w:rPr>
          <w:rFonts w:ascii="Palatino Linotype" w:eastAsia="Palatino Linotype" w:hAnsi="Palatino Linotype" w:cs="Palatino Linotype"/>
          <w:i/>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Toda persona en el Estado de México, tiene derecho al libre acceso a la información plural y oportuna, así como a buscar recibir y difundir información e ideas de toda índole por cualquier medio de expresión.</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El derecho a la información será garantizado por el Estado. La ley establecerá las previsiones que permitan asegurar la protección, el respeto y la difusión de este derecho.</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D51563" w:rsidRPr="00737A79" w:rsidRDefault="00D51563" w:rsidP="00B1162E">
      <w:pPr>
        <w:spacing w:line="360" w:lineRule="auto"/>
        <w:jc w:val="both"/>
        <w:rPr>
          <w:rFonts w:ascii="Palatino Linotype" w:eastAsia="Palatino Linotype" w:hAnsi="Palatino Linotype" w:cs="Palatino Linotype"/>
          <w:i/>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Por otra parte, del contenido del artículo 1 de la Constitución Política de los Estados Unidos mexicanos, se destaca lo siguiente:</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r w:rsidRPr="00737A79">
        <w:rPr>
          <w:rFonts w:ascii="Palatino Linotype" w:eastAsia="Palatino Linotype" w:hAnsi="Palatino Linotype" w:cs="Palatino Linotype"/>
          <w:b/>
          <w:i/>
        </w:rPr>
        <w:t>Artículo 1</w:t>
      </w:r>
      <w:r w:rsidRPr="00737A79">
        <w:rPr>
          <w:rFonts w:ascii="Palatino Linotype" w:eastAsia="Palatino Linotype" w:hAnsi="Palatino Linotype" w:cs="Palatino Linotype"/>
          <w:i/>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lastRenderedPageBreak/>
        <w:t>Las normas relativas a los derechos humanos se interpretarán de conformidad con esta Constitución y con los tratados internacionales de la materia favoreciendo en todo tiempo a las personas la protección más amplia.</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51563" w:rsidRPr="00737A79" w:rsidRDefault="00D51563" w:rsidP="00B1162E">
      <w:pPr>
        <w:spacing w:line="360" w:lineRule="auto"/>
        <w:jc w:val="both"/>
        <w:rPr>
          <w:rFonts w:ascii="Palatino Linotype" w:eastAsia="Palatino Linotype" w:hAnsi="Palatino Linotype" w:cs="Palatino Linotype"/>
          <w:i/>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Esto es, que el derecho humano de acceso a la información pública, se aprecia que toda persona, sin necesidad de acreditar interés alguno o justificar su interposición, deberá tener acceso a la información pública, es decir, dicho </w:t>
      </w:r>
      <w:r w:rsidRPr="00737A79">
        <w:rPr>
          <w:rFonts w:ascii="Palatino Linotype" w:eastAsia="Palatino Linotype" w:hAnsi="Palatino Linotype" w:cs="Palatino Linotype"/>
          <w:i/>
          <w:color w:val="000000"/>
        </w:rPr>
        <w:t>derecho fundamental exime a quien lo ejerce</w:t>
      </w:r>
      <w:r w:rsidRPr="00737A79">
        <w:rPr>
          <w:rFonts w:ascii="Palatino Linotype" w:eastAsia="Palatino Linotype" w:hAnsi="Palatino Linotype" w:cs="Palatino Linotype"/>
          <w:color w:val="000000"/>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En consecuencia, dado lo expuesto y fundado con anterioridad, se estima que el requisito relativo al nombre del </w:t>
      </w:r>
      <w:r w:rsidRPr="00737A79">
        <w:rPr>
          <w:rFonts w:ascii="Palatino Linotype" w:eastAsia="Palatino Linotype" w:hAnsi="Palatino Linotype" w:cs="Palatino Linotype"/>
          <w:b/>
          <w:color w:val="000000"/>
        </w:rPr>
        <w:t>RECURRENTE</w:t>
      </w:r>
      <w:r w:rsidRPr="00737A79">
        <w:rPr>
          <w:rFonts w:ascii="Palatino Linotype" w:eastAsia="Palatino Linotype" w:hAnsi="Palatino Linotype" w:cs="Palatino Linotype"/>
          <w:color w:val="000000"/>
        </w:rPr>
        <w:t xml:space="preserve"> no constituye un presupuesto indispensable de procedencia del Recurso de Revisión, en términos de los artículos 25 de la Convención Americana de Derechos Humanos, 1, párrafos segundo y tercero, 6 apartado A fracción III de la Constitución Política de los Estados Unidos Mexicanos y 5 párrafo vigésimo noveno, trigésimo y trigésimo primero de la Constitución Política del </w:t>
      </w:r>
      <w:r w:rsidRPr="00737A79">
        <w:rPr>
          <w:rFonts w:ascii="Palatino Linotype" w:eastAsia="Palatino Linotype" w:hAnsi="Palatino Linotype" w:cs="Palatino Linotype"/>
          <w:color w:val="000000"/>
        </w:rPr>
        <w:lastRenderedPageBreak/>
        <w:t>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constancias electrónicas de los expedientes en revisión, de las que se desprende que la parte recurrente, es la misma que realizó la solicitud de acceso a la información pública que ahora se impugna.</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D51563" w:rsidRPr="00737A79" w:rsidRDefault="00D51563" w:rsidP="00B1162E">
      <w:pPr>
        <w:spacing w:line="360" w:lineRule="auto"/>
        <w:rPr>
          <w:rFonts w:ascii="Palatino Linotype" w:eastAsia="Palatino Linotype" w:hAnsi="Palatino Linotype" w:cs="Palatino Linotype"/>
          <w:color w:val="000000"/>
        </w:rPr>
      </w:pPr>
    </w:p>
    <w:p w:rsidR="00D51563" w:rsidRPr="00737A79" w:rsidRDefault="00B1162E" w:rsidP="00B1162E">
      <w:pPr>
        <w:pStyle w:val="Ttulo2"/>
        <w:spacing w:before="0" w:line="360" w:lineRule="auto"/>
        <w:rPr>
          <w:b w:val="0"/>
          <w:szCs w:val="24"/>
        </w:rPr>
      </w:pPr>
      <w:bookmarkStart w:id="5" w:name="_heading=h.wq8dkbk5mueo" w:colFirst="0" w:colLast="0"/>
      <w:bookmarkEnd w:id="5"/>
      <w:r w:rsidRPr="00737A79">
        <w:rPr>
          <w:color w:val="000000"/>
          <w:szCs w:val="24"/>
        </w:rPr>
        <w:t xml:space="preserve">TERCERO. </w:t>
      </w:r>
      <w:r w:rsidRPr="00737A79">
        <w:rPr>
          <w:szCs w:val="24"/>
        </w:rPr>
        <w:t xml:space="preserve">Del planteamiento de la </w:t>
      </w:r>
      <w:r w:rsidRPr="00737A79">
        <w:rPr>
          <w:i/>
          <w:szCs w:val="24"/>
        </w:rPr>
        <w:t>Litis</w:t>
      </w:r>
      <w:r w:rsidRPr="00737A79">
        <w:rPr>
          <w:szCs w:val="24"/>
        </w:rPr>
        <w:t>.</w:t>
      </w:r>
    </w:p>
    <w:p w:rsidR="00D51563" w:rsidRPr="00737A79" w:rsidRDefault="00D51563" w:rsidP="00B1162E">
      <w:pPr>
        <w:spacing w:line="360" w:lineRule="auto"/>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Se solicitó tener acceso, a la información que a continuación se desagrega:</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t>Currículum vitae de todos los integrantes del Ayuntamiento y del Tesorero Municipal.</w:t>
      </w:r>
    </w:p>
    <w:p w:rsidR="00D51563" w:rsidRPr="00737A79" w:rsidRDefault="00D51563" w:rsidP="00B1162E">
      <w:pPr>
        <w:pBdr>
          <w:top w:val="nil"/>
          <w:left w:val="nil"/>
          <w:bottom w:val="nil"/>
          <w:right w:val="nil"/>
          <w:between w:val="nil"/>
        </w:pBdr>
        <w:spacing w:line="360" w:lineRule="auto"/>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color w:val="000000"/>
        </w:rPr>
        <w:t xml:space="preserve">En respuesta, el </w:t>
      </w:r>
      <w:r w:rsidRPr="00737A79">
        <w:rPr>
          <w:rFonts w:ascii="Palatino Linotype" w:eastAsia="Palatino Linotype" w:hAnsi="Palatino Linotype" w:cs="Palatino Linotype"/>
          <w:b/>
          <w:color w:val="000000"/>
        </w:rPr>
        <w:t xml:space="preserve">SUJETO OBLIGADO </w:t>
      </w:r>
      <w:r w:rsidRPr="00737A79">
        <w:rPr>
          <w:rFonts w:ascii="Palatino Linotype" w:eastAsia="Palatino Linotype" w:hAnsi="Palatino Linotype" w:cs="Palatino Linotype"/>
          <w:color w:val="000000"/>
        </w:rPr>
        <w:t xml:space="preserve">informó lo ya descrito en el anterior </w:t>
      </w:r>
      <w:r w:rsidRPr="00737A79">
        <w:rPr>
          <w:rFonts w:ascii="Palatino Linotype" w:eastAsia="Palatino Linotype" w:hAnsi="Palatino Linotype" w:cs="Palatino Linotype"/>
          <w:b/>
          <w:color w:val="000000"/>
        </w:rPr>
        <w:t>Párrafo 3</w:t>
      </w:r>
      <w:r w:rsidRPr="00737A79">
        <w:rPr>
          <w:rFonts w:ascii="Palatino Linotype" w:eastAsia="Palatino Linotype" w:hAnsi="Palatino Linotype" w:cs="Palatino Linotype"/>
          <w:color w:val="000000"/>
        </w:rPr>
        <w:t>; lo que motivó la inconformidad de la ahora Recurrente de manera general impugnando la entrega de información incompleta.</w:t>
      </w: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lastRenderedPageBreak/>
        <w:t xml:space="preserve"> </w:t>
      </w: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En dichas condiciones, la </w:t>
      </w:r>
      <w:r w:rsidRPr="00737A79">
        <w:rPr>
          <w:rFonts w:ascii="Palatino Linotype" w:eastAsia="Palatino Linotype" w:hAnsi="Palatino Linotype" w:cs="Palatino Linotype"/>
          <w:i/>
          <w:color w:val="000000"/>
        </w:rPr>
        <w:t>Litis</w:t>
      </w:r>
      <w:r w:rsidRPr="00737A79">
        <w:rPr>
          <w:rFonts w:ascii="Palatino Linotype" w:eastAsia="Palatino Linotype" w:hAnsi="Palatino Linotype" w:cs="Palatino Linotype"/>
          <w:color w:val="000000"/>
        </w:rPr>
        <w:t xml:space="preserve"> a resolver en este Recurso se circunscribe a determinar si se actualiza la causal de procedencia prevista en el artículo 179, </w:t>
      </w:r>
      <w:r w:rsidRPr="00737A79">
        <w:rPr>
          <w:rFonts w:ascii="Palatino Linotype" w:eastAsia="Palatino Linotype" w:hAnsi="Palatino Linotype" w:cs="Palatino Linotype"/>
          <w:b/>
          <w:color w:val="000000"/>
        </w:rPr>
        <w:t xml:space="preserve">fracción V </w:t>
      </w:r>
      <w:r w:rsidRPr="00737A79">
        <w:rPr>
          <w:rFonts w:ascii="Palatino Linotype" w:eastAsia="Palatino Linotype" w:hAnsi="Palatino Linotype" w:cs="Palatino Linotype"/>
          <w:color w:val="000000"/>
        </w:rPr>
        <w:t xml:space="preserve">de la </w:t>
      </w:r>
      <w:r w:rsidRPr="00737A79">
        <w:rPr>
          <w:rFonts w:ascii="Palatino Linotype" w:eastAsia="Palatino Linotype" w:hAnsi="Palatino Linotype" w:cs="Palatino Linotype"/>
          <w:b/>
          <w:color w:val="000000"/>
        </w:rPr>
        <w:t>Ley de Transparencia y Acceso a la Información Pública del Estado de México y Municipios</w:t>
      </w:r>
      <w:r w:rsidRPr="00737A79">
        <w:rPr>
          <w:rFonts w:ascii="Palatino Linotype" w:eastAsia="Palatino Linotype" w:hAnsi="Palatino Linotype" w:cs="Palatino Linotype"/>
          <w:color w:val="000000"/>
        </w:rPr>
        <w:t xml:space="preserve">; fracción que determina la hipótesis jurídica relativa a la entrega de información incompleta; contexto del cual se dolió </w:t>
      </w:r>
      <w:r w:rsidR="0000056A" w:rsidRPr="00737A79">
        <w:rPr>
          <w:rFonts w:ascii="Palatino Linotype" w:eastAsia="Palatino Linotype" w:hAnsi="Palatino Linotype" w:cs="Palatino Linotype"/>
          <w:b/>
          <w:color w:val="000000"/>
        </w:rPr>
        <w:t xml:space="preserve">EL </w:t>
      </w:r>
      <w:r w:rsidRPr="00737A79">
        <w:rPr>
          <w:rFonts w:ascii="Palatino Linotype" w:eastAsia="Palatino Linotype" w:hAnsi="Palatino Linotype" w:cs="Palatino Linotype"/>
          <w:b/>
          <w:color w:val="000000"/>
        </w:rPr>
        <w:t xml:space="preserve">RECURRENTE </w:t>
      </w:r>
      <w:r w:rsidRPr="00737A79">
        <w:rPr>
          <w:rFonts w:ascii="Palatino Linotype" w:eastAsia="Palatino Linotype" w:hAnsi="Palatino Linotype" w:cs="Palatino Linotype"/>
          <w:color w:val="000000"/>
        </w:rPr>
        <w:t xml:space="preserve">al momento de interponer su inconformidad. De modo tal que los presentes recursos de revisión se abocaran en determinar si el </w:t>
      </w:r>
      <w:r w:rsidRPr="00737A79">
        <w:rPr>
          <w:rFonts w:ascii="Palatino Linotype" w:eastAsia="Palatino Linotype" w:hAnsi="Palatino Linotype" w:cs="Palatino Linotype"/>
          <w:b/>
          <w:color w:val="000000"/>
        </w:rPr>
        <w:t>SUJETO</w:t>
      </w:r>
      <w:r w:rsidRPr="00737A79">
        <w:rPr>
          <w:rFonts w:ascii="Palatino Linotype" w:eastAsia="Palatino Linotype" w:hAnsi="Palatino Linotype" w:cs="Palatino Linotype"/>
          <w:color w:val="000000"/>
        </w:rPr>
        <w:t xml:space="preserve"> </w:t>
      </w:r>
      <w:r w:rsidRPr="00737A79">
        <w:rPr>
          <w:rFonts w:ascii="Palatino Linotype" w:eastAsia="Palatino Linotype" w:hAnsi="Palatino Linotype" w:cs="Palatino Linotype"/>
          <w:b/>
          <w:color w:val="000000"/>
        </w:rPr>
        <w:t>OBLIGADO</w:t>
      </w:r>
      <w:r w:rsidRPr="00737A79">
        <w:rPr>
          <w:rFonts w:ascii="Palatino Linotype" w:eastAsia="Palatino Linotype" w:hAnsi="Palatino Linotype" w:cs="Palatino Linotype"/>
          <w:color w:val="000000"/>
        </w:rPr>
        <w:t xml:space="preserve"> con sus respuestas ciertamente actualizan las causales de procedencia</w:t>
      </w:r>
      <w:r w:rsidRPr="00737A79">
        <w:rPr>
          <w:rFonts w:ascii="Palatino Linotype" w:eastAsia="Palatino Linotype" w:hAnsi="Palatino Linotype" w:cs="Palatino Linotype"/>
          <w:b/>
          <w:color w:val="000000"/>
        </w:rPr>
        <w:t xml:space="preserve"> </w:t>
      </w:r>
      <w:r w:rsidRPr="00737A79">
        <w:rPr>
          <w:rFonts w:ascii="Palatino Linotype" w:eastAsia="Palatino Linotype" w:hAnsi="Palatino Linotype" w:cs="Palatino Linotype"/>
          <w:color w:val="000000"/>
        </w:rPr>
        <w:t xml:space="preserve">antes señaladas. </w:t>
      </w:r>
    </w:p>
    <w:p w:rsidR="00D51563" w:rsidRPr="00737A79" w:rsidRDefault="00D51563" w:rsidP="00B1162E">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rPr>
      </w:pPr>
    </w:p>
    <w:p w:rsidR="00D51563" w:rsidRPr="00737A79" w:rsidRDefault="00B1162E" w:rsidP="00B1162E">
      <w:pPr>
        <w:pStyle w:val="Ttulo2"/>
        <w:spacing w:before="0" w:line="360" w:lineRule="auto"/>
        <w:rPr>
          <w:color w:val="000000"/>
          <w:szCs w:val="24"/>
        </w:rPr>
      </w:pPr>
      <w:r w:rsidRPr="00737A79">
        <w:rPr>
          <w:color w:val="000000"/>
          <w:szCs w:val="24"/>
        </w:rPr>
        <w:t>CUARTO. Del estudio y resolución del asunto.</w:t>
      </w:r>
    </w:p>
    <w:p w:rsidR="009F4E14" w:rsidRPr="00737A79" w:rsidRDefault="009F4E14" w:rsidP="009F4E14">
      <w:pPr>
        <w:rPr>
          <w:lang w:val="es-MX" w:eastAsia="en-US"/>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D51563" w:rsidRPr="00737A79" w:rsidRDefault="00D51563" w:rsidP="00B1162E">
      <w:pPr>
        <w:pBdr>
          <w:top w:val="nil"/>
          <w:left w:val="nil"/>
          <w:bottom w:val="nil"/>
          <w:right w:val="nil"/>
          <w:between w:val="nil"/>
        </w:pBdr>
        <w:spacing w:line="360" w:lineRule="auto"/>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D51563" w:rsidRPr="00737A79" w:rsidRDefault="00D51563" w:rsidP="00B1162E">
      <w:pPr>
        <w:pBdr>
          <w:top w:val="nil"/>
          <w:left w:val="nil"/>
          <w:bottom w:val="nil"/>
          <w:right w:val="nil"/>
          <w:between w:val="nil"/>
        </w:pBdr>
        <w:spacing w:line="360" w:lineRule="auto"/>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bookmarkStart w:id="6" w:name="_heading=h.2s8eyo1" w:colFirst="0" w:colLast="0"/>
      <w:bookmarkEnd w:id="6"/>
      <w:r w:rsidRPr="00737A79">
        <w:rPr>
          <w:rFonts w:ascii="Palatino Linotype" w:eastAsia="Palatino Linotype" w:hAnsi="Palatino Linotype" w:cs="Palatino Linotype"/>
          <w:color w:val="000000"/>
        </w:rPr>
        <w:t xml:space="preserve">Así entonces, se procede analizar, en primer lugar, si el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D51563" w:rsidRPr="00737A79" w:rsidRDefault="00D51563" w:rsidP="00B1162E">
      <w:pPr>
        <w:spacing w:line="360" w:lineRule="auto"/>
        <w:jc w:val="both"/>
        <w:rPr>
          <w:rFonts w:ascii="Palatino Linotype" w:eastAsia="Palatino Linotype" w:hAnsi="Palatino Linotype" w:cs="Palatino Linotype"/>
        </w:rPr>
      </w:pPr>
    </w:p>
    <w:p w:rsidR="0000056A" w:rsidRPr="00737A79" w:rsidRDefault="0000056A" w:rsidP="00B1162E">
      <w:pPr>
        <w:spacing w:line="360" w:lineRule="auto"/>
        <w:jc w:val="both"/>
        <w:rPr>
          <w:rFonts w:ascii="Palatino Linotype" w:eastAsia="Palatino Linotype" w:hAnsi="Palatino Linotype" w:cs="Palatino Linotype"/>
        </w:rPr>
      </w:pPr>
    </w:p>
    <w:p w:rsidR="0000056A" w:rsidRPr="00737A79" w:rsidRDefault="0000056A"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bookmarkStart w:id="7" w:name="_heading=h.17dp8vu" w:colFirst="0" w:colLast="0"/>
      <w:bookmarkEnd w:id="7"/>
      <w:r w:rsidRPr="00737A79">
        <w:rPr>
          <w:rFonts w:ascii="Palatino Linotype" w:eastAsia="Palatino Linotype" w:hAnsi="Palatino Linotype" w:cs="Palatino Linotype"/>
          <w:b/>
          <w:color w:val="000000"/>
        </w:rPr>
        <w:t xml:space="preserve">Del Recurso de Revisión: 00453/INFOEM/IP/RR/2024 </w:t>
      </w:r>
    </w:p>
    <w:tbl>
      <w:tblPr>
        <w:tblStyle w:val="a0"/>
        <w:tblW w:w="8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531"/>
      </w:tblGrid>
      <w:tr w:rsidR="00D51563" w:rsidRPr="00737A79">
        <w:tc>
          <w:tcPr>
            <w:tcW w:w="4248" w:type="dxa"/>
          </w:tcPr>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t>Solicitud de información</w:t>
            </w:r>
          </w:p>
        </w:tc>
        <w:tc>
          <w:tcPr>
            <w:tcW w:w="4531" w:type="dxa"/>
          </w:tcPr>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t>Respuesta</w:t>
            </w:r>
          </w:p>
        </w:tc>
      </w:tr>
      <w:tr w:rsidR="00D51563" w:rsidRPr="00737A79">
        <w:tc>
          <w:tcPr>
            <w:tcW w:w="4248" w:type="dxa"/>
          </w:tcPr>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Currículum vitae del Tesorero Municipal.</w:t>
            </w:r>
          </w:p>
        </w:tc>
        <w:tc>
          <w:tcPr>
            <w:tcW w:w="4531" w:type="dxa"/>
          </w:tcPr>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color w:val="000000"/>
              </w:rPr>
              <w:t>Se remitió ficha curricular de la Tesorera Municipal María Concepción Fernández García.</w:t>
            </w:r>
          </w:p>
        </w:tc>
      </w:tr>
    </w:tbl>
    <w:p w:rsidR="0000056A" w:rsidRPr="00737A79" w:rsidRDefault="0000056A" w:rsidP="0000056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Al respecto, el particular se inconforma de la entrega de información incompleta y de haberse testado un dato sin justificación. Respecto del primer punto, no se advierte que la entrega de información sea incompleta; primeramente se advierte que si corresponde a una ficha curricular de la actual Tesorera Municipal de acuerdo al directorio publicado por el SUJ</w:t>
      </w:r>
      <w:r w:rsidRPr="00737A79">
        <w:rPr>
          <w:rFonts w:ascii="Palatino Linotype" w:eastAsia="Palatino Linotype" w:hAnsi="Palatino Linotype" w:cs="Palatino Linotype"/>
          <w:b/>
          <w:color w:val="000000"/>
        </w:rPr>
        <w:t>ETO OBLIGADO</w:t>
      </w:r>
      <w:r w:rsidRPr="00737A79">
        <w:rPr>
          <w:rFonts w:ascii="Palatino Linotype" w:eastAsia="Palatino Linotype" w:hAnsi="Palatino Linotype" w:cs="Palatino Linotype"/>
          <w:color w:val="000000"/>
        </w:rPr>
        <w:t xml:space="preserve"> para la actual administración pública municipal, como se observa: </w:t>
      </w:r>
    </w:p>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737A79">
        <w:rPr>
          <w:rFonts w:ascii="Palatino Linotype" w:eastAsia="Palatino Linotype" w:hAnsi="Palatino Linotype" w:cs="Palatino Linotype"/>
          <w:noProof/>
          <w:color w:val="000000"/>
          <w:lang w:val="es-MX" w:eastAsia="es-MX"/>
        </w:rPr>
        <w:drawing>
          <wp:inline distT="0" distB="0" distL="0" distR="0">
            <wp:extent cx="3863370" cy="1325185"/>
            <wp:effectExtent l="0" t="0" r="0" b="0"/>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3863370" cy="1325185"/>
                    </a:xfrm>
                    <a:prstGeom prst="rect">
                      <a:avLst/>
                    </a:prstGeom>
                    <a:ln/>
                  </pic:spPr>
                </pic:pic>
              </a:graphicData>
            </a:graphic>
          </wp:inline>
        </w:drawing>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Por otro lado, si bien es cierto no se adjunta en estricto sentido el curriculum vitae; también lo es que la ficha curricular puede colmar la solicitud de información, toda vez que la información curricular corresponde a una Obligación de Transparencia Común </w:t>
      </w:r>
      <w:r w:rsidRPr="00737A79">
        <w:rPr>
          <w:rFonts w:ascii="Palatino Linotype" w:eastAsia="Palatino Linotype" w:hAnsi="Palatino Linotype" w:cs="Palatino Linotype"/>
          <w:color w:val="000000"/>
        </w:rPr>
        <w:lastRenderedPageBreak/>
        <w:t>conforme a lo establecido en la fracción XXI del artículo 92 de la Ley de Transparencia y Acceso a la Información Pública del Estado de México y Municipios; sin embargo, la liga electrónica proporcionada dirige a información diversa, no a la solicitada por el Recurrente.</w:t>
      </w:r>
    </w:p>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Capítulo II</w:t>
      </w:r>
    </w:p>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De las Obligaciones de Transparencia Comunes</w:t>
      </w: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“Artículo 92.</w:t>
      </w:r>
      <w:r w:rsidRPr="00737A79">
        <w:rPr>
          <w:rFonts w:ascii="Palatino Linotype" w:eastAsia="Palatino Linotype" w:hAnsi="Palatino Linotype" w:cs="Palatino Linotype"/>
          <w:i/>
          <w:color w:val="000000"/>
        </w:rPr>
        <w:t xml:space="preserve"> Los sujetos obligados </w:t>
      </w:r>
      <w:r w:rsidR="0000056A" w:rsidRPr="00737A79">
        <w:rPr>
          <w:rFonts w:ascii="Palatino Linotype" w:eastAsia="Palatino Linotype" w:hAnsi="Palatino Linotype" w:cs="Palatino Linotype"/>
          <w:i/>
          <w:color w:val="000000"/>
        </w:rPr>
        <w:t>deberán</w:t>
      </w:r>
      <w:r w:rsidRPr="00737A79">
        <w:rPr>
          <w:rFonts w:ascii="Palatino Linotype" w:eastAsia="Palatino Linotype" w:hAnsi="Palatino Linotype" w:cs="Palatino Linotype"/>
          <w:i/>
          <w:color w:val="000000"/>
        </w:rPr>
        <w:t xml:space="preserve"> poner a disposición del público de manera permanente y actualizada de forma sencilla, precisa y entendible, en los respectivos medios electrónicos, de acuerdo con sus facultades, atribuciones, funciones u objeto social, según corresponda, la información, por lo menos, de los temas , documentos y políticas que a continuación se señalan:</w:t>
      </w: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w:t>
      </w: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 xml:space="preserve">XXI. La información curricular, </w:t>
      </w:r>
      <w:r w:rsidRPr="00737A79">
        <w:rPr>
          <w:rFonts w:ascii="Palatino Linotype" w:eastAsia="Palatino Linotype" w:hAnsi="Palatino Linotype" w:cs="Palatino Linotype"/>
          <w:i/>
          <w:color w:val="000000"/>
        </w:rPr>
        <w:t>desde el nivel de jefe de departamento o equivalente, hasta el titular del sujeto obligado, así como, en caso, las sanciones administrativas de que haya sido objeto;</w:t>
      </w: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Aunado a lo anterior, el formato 17 LGT_Art_70_Fr_XVII de los Lineamientos técnicos generales para la publicación, homologación y estandarización de la información de las obligaciones establecidas en el Título Quinto y en la fracción IV del artículo 31 de la Ley General de Transparencia y Acceso a la Información Pública –Lineamientos Generales-, establece que los Sujetos Obligados deben difundir en los portales de Internet y en la Plataforma Nacional de Transparencia, </w:t>
      </w:r>
      <w:r w:rsidRPr="00737A79">
        <w:rPr>
          <w:rFonts w:ascii="Palatino Linotype" w:eastAsia="Palatino Linotype" w:hAnsi="Palatino Linotype" w:cs="Palatino Linotype"/>
          <w:b/>
          <w:color w:val="000000"/>
        </w:rPr>
        <w:t>el nivel máximo de estudios concluido y comprobable, así como la experiencia laboral, concerniente a los tres últimos empleos de los Servidores Públicos</w:t>
      </w:r>
      <w:r w:rsidRPr="00737A79">
        <w:rPr>
          <w:rFonts w:ascii="Palatino Linotype" w:eastAsia="Palatino Linotype" w:hAnsi="Palatino Linotype" w:cs="Palatino Linotype"/>
          <w:color w:val="000000"/>
        </w:rPr>
        <w:t>, como se muestra a continuación:</w:t>
      </w:r>
    </w:p>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737A79">
        <w:rPr>
          <w:rFonts w:ascii="Palatino Linotype" w:eastAsia="Palatino Linotype" w:hAnsi="Palatino Linotype" w:cs="Palatino Linotype"/>
          <w:noProof/>
          <w:color w:val="000000"/>
          <w:lang w:val="es-MX" w:eastAsia="es-MX"/>
        </w:rPr>
        <w:lastRenderedPageBreak/>
        <w:drawing>
          <wp:inline distT="0" distB="0" distL="0" distR="0">
            <wp:extent cx="5242886" cy="1673946"/>
            <wp:effectExtent l="9525" t="9525" r="9525" b="9525"/>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l="671" t="2241" r="1077" b="9779"/>
                    <a:stretch>
                      <a:fillRect/>
                    </a:stretch>
                  </pic:blipFill>
                  <pic:spPr>
                    <a:xfrm>
                      <a:off x="0" y="0"/>
                      <a:ext cx="5242886" cy="1673946"/>
                    </a:xfrm>
                    <a:prstGeom prst="rect">
                      <a:avLst/>
                    </a:prstGeom>
                    <a:ln w="9525">
                      <a:solidFill>
                        <a:srgbClr val="000000"/>
                      </a:solidFill>
                      <a:prstDash val="solid"/>
                    </a:ln>
                  </pic:spPr>
                </pic:pic>
              </a:graphicData>
            </a:graphic>
          </wp:inline>
        </w:drawing>
      </w:r>
    </w:p>
    <w:p w:rsidR="0000056A" w:rsidRPr="00737A79" w:rsidRDefault="0000056A" w:rsidP="0000056A">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Asimismo, el Criterio de Interpretación número SO/003/2009, emitido por el Pleno del entonces Instituto Federal de Acceso a la Información y Protección de Datos, señala que una de las formas en que los ciudadanos pueden evaluar las aptitudes para desempeñar un cargo público determinado, es mediante la publicidad de ciertos datos contenidos en el </w:t>
      </w:r>
      <w:r w:rsidRPr="00737A79">
        <w:rPr>
          <w:rFonts w:ascii="Palatino Linotype" w:eastAsia="Palatino Linotype" w:hAnsi="Palatino Linotype" w:cs="Palatino Linotype"/>
          <w:i/>
          <w:color w:val="000000"/>
        </w:rPr>
        <w:t xml:space="preserve">currículum vitae, </w:t>
      </w:r>
      <w:r w:rsidRPr="00737A79">
        <w:rPr>
          <w:rFonts w:ascii="Palatino Linotype" w:eastAsia="Palatino Linotype" w:hAnsi="Palatino Linotype" w:cs="Palatino Linotype"/>
          <w:color w:val="000000"/>
        </w:rPr>
        <w:t>tales como, la trayectoria académica, profesional, laboral, así como todos aquellos que acrediten su capacidad, habilidades para ocupar el puesto público. Lo anterior, para favorecer la rendición de cuentas, pues la publicidad de lo anterior, tiene como fin verificar el correcto desempeño de los Sujetos Obligados, como se muestra:</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rPr>
        <w:t>Curriculum Vitae de servidores públicos. Es obligación de los sujetos obligados otorgar acceso a versiones públicas de los mismos ante una solicitud de acceso.</w:t>
      </w:r>
      <w:r w:rsidRPr="00737A79">
        <w:rPr>
          <w:rFonts w:ascii="Palatino Linotype" w:eastAsia="Palatino Linotype" w:hAnsi="Palatino Linotype" w:cs="Palatino Linotype"/>
          <w:i/>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w:t>
      </w:r>
      <w:r w:rsidRPr="00737A79">
        <w:rPr>
          <w:rFonts w:ascii="Palatino Linotype" w:eastAsia="Palatino Linotype" w:hAnsi="Palatino Linotype" w:cs="Palatino Linotype"/>
          <w:i/>
        </w:rPr>
        <w:lastRenderedPageBreak/>
        <w:t>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Por otro lado, respecto de la versión pública sin justificación, se advierte como un motivo de inconformidad procedente; toda vez que se observa un dato testado que se desconoce a cual corresponde derivado que se omitió entregar el Acuerdo del Comité de Transparencia a través del cual de manera fundada y motivada se sustente su protección.</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La 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sujetos obligados, ya que no observan los requisitos que deben de llevar a cabo para la realización de la clasificación de la información o, como se desprende del caso concreto la omisión de entregarlo.</w:t>
      </w:r>
    </w:p>
    <w:p w:rsidR="00D51563" w:rsidRPr="00737A79" w:rsidRDefault="00D51563" w:rsidP="00B1162E">
      <w:pPr>
        <w:pBdr>
          <w:top w:val="nil"/>
          <w:left w:val="nil"/>
          <w:bottom w:val="nil"/>
          <w:right w:val="nil"/>
          <w:between w:val="nil"/>
        </w:pBdr>
        <w:spacing w:line="360" w:lineRule="auto"/>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w:t>
      </w:r>
    </w:p>
    <w:p w:rsidR="00D51563" w:rsidRPr="00737A79" w:rsidRDefault="00D51563" w:rsidP="00B1162E">
      <w:pPr>
        <w:pBdr>
          <w:top w:val="nil"/>
          <w:left w:val="nil"/>
          <w:bottom w:val="nil"/>
          <w:right w:val="nil"/>
          <w:between w:val="nil"/>
        </w:pBdr>
        <w:spacing w:line="360" w:lineRule="auto"/>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Al hacerlo tienen que precisar de qué información se trata, señalando el supuesto de clasificación (confidencialidad o reserva). Además, se debe señalar el procedimiento, de los tres que establecen los artículos 132 y 106 de la Ley Estatal y General, respectivamente.</w:t>
      </w:r>
    </w:p>
    <w:p w:rsidR="00D51563" w:rsidRPr="00737A79" w:rsidRDefault="00D51563" w:rsidP="00B1162E">
      <w:pPr>
        <w:pBdr>
          <w:top w:val="nil"/>
          <w:left w:val="nil"/>
          <w:bottom w:val="nil"/>
          <w:right w:val="nil"/>
          <w:between w:val="nil"/>
        </w:pBdr>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 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 xml:space="preserve">El Comité de Transparencia, según lo dispuesto en los artículos cuenta con las facultades para aprobar, modificar o revocar la clasificación de la información que haya propuesto. Es necesario que </w:t>
      </w:r>
      <w:r w:rsidRPr="00737A79">
        <w:rPr>
          <w:rFonts w:ascii="Palatino Linotype" w:eastAsia="Palatino Linotype" w:hAnsi="Palatino Linotype" w:cs="Palatino Linotype"/>
          <w:b/>
          <w:color w:val="000000"/>
          <w:u w:val="single"/>
        </w:rPr>
        <w:t>el acto reúna con los requisitos elementales</w:t>
      </w:r>
      <w:r w:rsidRPr="00737A79">
        <w:rPr>
          <w:rFonts w:ascii="Palatino Linotype" w:eastAsia="Palatino Linotype" w:hAnsi="Palatino Linotype" w:cs="Palatino Linotype"/>
          <w:color w:val="000000"/>
        </w:rPr>
        <w:t>, entre ellos, que la autoridad que va a emitir el acto de autoridad sea la legalmente facultada para ello.</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De lo anterior, se desprende que para una correcta </w:t>
      </w:r>
      <w:r w:rsidRPr="00737A79">
        <w:rPr>
          <w:rFonts w:ascii="Palatino Linotype" w:eastAsia="Palatino Linotype" w:hAnsi="Palatino Linotype" w:cs="Palatino Linotype"/>
          <w:b/>
          <w:color w:val="000000"/>
        </w:rPr>
        <w:t>clasificación total o parcial</w:t>
      </w:r>
      <w:r w:rsidRPr="00737A79">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En consecuencia y en mérito de lo expuesto en líneas anteriores, resultan parcialmente fundadas las razones o motivos de inconformidad, siendo dable ordenar el Acuerdo del Comité de Transparencia a través del cual de manera fundada y motivada se sustente la versión pública de la ficha curricular remitida en respuesta.</w:t>
      </w:r>
    </w:p>
    <w:p w:rsidR="00D51563" w:rsidRPr="00737A79" w:rsidRDefault="00D51563" w:rsidP="00B1162E">
      <w:pPr>
        <w:pBdr>
          <w:top w:val="nil"/>
          <w:left w:val="nil"/>
          <w:bottom w:val="nil"/>
          <w:right w:val="nil"/>
          <w:between w:val="nil"/>
        </w:pBdr>
        <w:spacing w:line="360" w:lineRule="auto"/>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Por otro lado no pasa desapercibido que del documento entregado se dejó visible un dato personal como lo es el correo electrónico personal de la servidora pública; luego entonces al ya haber sido expuesto el dato, resultaría ineficaz volver a ordenar el documento en una correcta versión pública.</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Sin embargo, ante la exposición de datos personales, es necesario resaltar que el recurso de revisión previsto en la Ley de la materia no es el medio para investigar y, en su caso, sancionar a servidores públicos por la falta de cuidado de la protección de datos personales; sin embargo, derivado de los planteamientos señalados en el estudio de la presente resolución, relativo a la exposición de datos personales contenidos en el archivo de referencia,  se dará vista al área competente para que en ejercicio de sus atribuciones realice las investigaciones pertinentes por las omisiones detectadas atribuibles al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w:t>
      </w:r>
    </w:p>
    <w:p w:rsidR="00D51563" w:rsidRPr="00737A79" w:rsidRDefault="00D51563" w:rsidP="00B1162E">
      <w:pPr>
        <w:pBdr>
          <w:top w:val="nil"/>
          <w:left w:val="nil"/>
          <w:bottom w:val="nil"/>
          <w:right w:val="nil"/>
          <w:between w:val="nil"/>
        </w:pBdr>
        <w:spacing w:line="360" w:lineRule="auto"/>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Por ello, es conveniente señalar las fracciones XIV, XXII, XXIII y XXV, del artículo 82, de la Ley de Protección de Datos Personales en Posesión de Sujetos Obligados del Estado de México y Municipios, que establece:</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 xml:space="preserve">Atribuciones del Instituto </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Artículo 82.</w:t>
      </w:r>
      <w:r w:rsidRPr="00737A79">
        <w:rPr>
          <w:rFonts w:ascii="Palatino Linotype" w:eastAsia="Palatino Linotype" w:hAnsi="Palatino Linotype" w:cs="Palatino Linotype"/>
          <w:i/>
          <w:color w:val="000000"/>
        </w:rPr>
        <w:t xml:space="preserve"> El Instituto, además de las atribuciones encomendadas por la Ley de Transparencia y normatividad aplicable, tendrá las atribuciones siguientes:</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XIV.</w:t>
      </w:r>
      <w:r w:rsidRPr="00737A79">
        <w:rPr>
          <w:rFonts w:ascii="Palatino Linotype" w:eastAsia="Palatino Linotype" w:hAnsi="Palatino Linotype" w:cs="Palatino Linotype"/>
          <w:i/>
          <w:color w:val="000000"/>
        </w:rPr>
        <w:t xml:space="preserve"> </w:t>
      </w:r>
      <w:r w:rsidRPr="00737A79">
        <w:rPr>
          <w:rFonts w:ascii="Palatino Linotype" w:eastAsia="Palatino Linotype" w:hAnsi="Palatino Linotype" w:cs="Palatino Linotype"/>
          <w:b/>
          <w:i/>
          <w:color w:val="000000"/>
        </w:rPr>
        <w:t>Formular observaciones y recomendaciones</w:t>
      </w:r>
      <w:r w:rsidRPr="00737A79">
        <w:rPr>
          <w:rFonts w:ascii="Palatino Linotype" w:eastAsia="Palatino Linotype" w:hAnsi="Palatino Linotype" w:cs="Palatino Linotype"/>
          <w:i/>
          <w:color w:val="000000"/>
        </w:rPr>
        <w:t xml:space="preserve"> a los sujetos obligados que incumplan esta Ley.</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lastRenderedPageBreak/>
        <w:t>(…)</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XXII.</w:t>
      </w:r>
      <w:r w:rsidRPr="00737A79">
        <w:rPr>
          <w:rFonts w:ascii="Palatino Linotype" w:eastAsia="Palatino Linotype" w:hAnsi="Palatino Linotype" w:cs="Palatino Linotype"/>
          <w:i/>
          <w:color w:val="000000"/>
        </w:rPr>
        <w:t xml:space="preserve"> </w:t>
      </w:r>
      <w:r w:rsidRPr="00737A79">
        <w:rPr>
          <w:rFonts w:ascii="Palatino Linotype" w:eastAsia="Palatino Linotype" w:hAnsi="Palatino Linotype" w:cs="Palatino Linotype"/>
          <w:b/>
          <w:i/>
          <w:color w:val="000000"/>
        </w:rPr>
        <w:t>Verificar el cumplimiento</w:t>
      </w:r>
      <w:r w:rsidRPr="00737A79">
        <w:rPr>
          <w:rFonts w:ascii="Palatino Linotype" w:eastAsia="Palatino Linotype" w:hAnsi="Palatino Linotype" w:cs="Palatino Linotype"/>
          <w:i/>
          <w:color w:val="000000"/>
        </w:rPr>
        <w:t xml:space="preserve"> de las disposiciones previstas en esta Ley a través de los procedimientos de revisión que resulten compatibles con las disposiciones de esta Ley.</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XXIII.</w:t>
      </w:r>
      <w:r w:rsidRPr="00737A79">
        <w:rPr>
          <w:rFonts w:ascii="Palatino Linotype" w:eastAsia="Palatino Linotype" w:hAnsi="Palatino Linotype" w:cs="Palatino Linotype"/>
          <w:i/>
          <w:color w:val="000000"/>
        </w:rPr>
        <w:t xml:space="preserve"> </w:t>
      </w:r>
      <w:r w:rsidRPr="00737A79">
        <w:rPr>
          <w:rFonts w:ascii="Palatino Linotype" w:eastAsia="Palatino Linotype" w:hAnsi="Palatino Linotype" w:cs="Palatino Linotype"/>
          <w:b/>
          <w:i/>
          <w:color w:val="000000"/>
        </w:rPr>
        <w:t>Implementar</w:t>
      </w:r>
      <w:r w:rsidRPr="00737A79">
        <w:rPr>
          <w:rFonts w:ascii="Palatino Linotype" w:eastAsia="Palatino Linotype" w:hAnsi="Palatino Linotype" w:cs="Palatino Linotype"/>
          <w:i/>
          <w:color w:val="000000"/>
        </w:rPr>
        <w:t xml:space="preserve"> los </w:t>
      </w:r>
      <w:r w:rsidRPr="00737A79">
        <w:rPr>
          <w:rFonts w:ascii="Palatino Linotype" w:eastAsia="Palatino Linotype" w:hAnsi="Palatino Linotype" w:cs="Palatino Linotype"/>
          <w:b/>
          <w:i/>
          <w:color w:val="000000"/>
        </w:rPr>
        <w:t>procedimientos</w:t>
      </w:r>
      <w:r w:rsidRPr="00737A79">
        <w:rPr>
          <w:rFonts w:ascii="Palatino Linotype" w:eastAsia="Palatino Linotype" w:hAnsi="Palatino Linotype" w:cs="Palatino Linotype"/>
          <w:i/>
          <w:color w:val="000000"/>
        </w:rPr>
        <w:t xml:space="preserve"> que resulten necesarios </w:t>
      </w:r>
      <w:r w:rsidRPr="00737A79">
        <w:rPr>
          <w:rFonts w:ascii="Palatino Linotype" w:eastAsia="Palatino Linotype" w:hAnsi="Palatino Linotype" w:cs="Palatino Linotype"/>
          <w:b/>
          <w:i/>
          <w:color w:val="000000"/>
        </w:rPr>
        <w:t xml:space="preserve">para el cumplimiento </w:t>
      </w:r>
      <w:r w:rsidRPr="00737A79">
        <w:rPr>
          <w:rFonts w:ascii="Palatino Linotype" w:eastAsia="Palatino Linotype" w:hAnsi="Palatino Linotype" w:cs="Palatino Linotype"/>
          <w:i/>
          <w:color w:val="000000"/>
        </w:rPr>
        <w:t>de las disposiciones de esta Ley y para asegurar la protección de datos personales de los titulares. (…)</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XXV.</w:t>
      </w:r>
      <w:r w:rsidRPr="00737A79">
        <w:rPr>
          <w:rFonts w:ascii="Palatino Linotype" w:eastAsia="Palatino Linotype" w:hAnsi="Palatino Linotype" w:cs="Palatino Linotype"/>
          <w:i/>
          <w:color w:val="000000"/>
        </w:rPr>
        <w:t xml:space="preserve"> </w:t>
      </w:r>
      <w:r w:rsidRPr="00737A79">
        <w:rPr>
          <w:rFonts w:ascii="Palatino Linotype" w:eastAsia="Palatino Linotype" w:hAnsi="Palatino Linotype" w:cs="Palatino Linotype"/>
          <w:b/>
          <w:i/>
          <w:color w:val="000000"/>
        </w:rPr>
        <w:t>Investigar</w:t>
      </w:r>
      <w:r w:rsidRPr="00737A79">
        <w:rPr>
          <w:rFonts w:ascii="Palatino Linotype" w:eastAsia="Palatino Linotype" w:hAnsi="Palatino Linotype" w:cs="Palatino Linotype"/>
          <w:i/>
          <w:color w:val="000000"/>
        </w:rPr>
        <w:t xml:space="preserve"> las </w:t>
      </w:r>
      <w:r w:rsidRPr="00737A79">
        <w:rPr>
          <w:rFonts w:ascii="Palatino Linotype" w:eastAsia="Palatino Linotype" w:hAnsi="Palatino Linotype" w:cs="Palatino Linotype"/>
          <w:b/>
          <w:i/>
          <w:color w:val="000000"/>
        </w:rPr>
        <w:t>posibles violaciones</w:t>
      </w:r>
      <w:r w:rsidRPr="00737A79">
        <w:rPr>
          <w:rFonts w:ascii="Palatino Linotype" w:eastAsia="Palatino Linotype" w:hAnsi="Palatino Linotype" w:cs="Palatino Linotype"/>
          <w:i/>
          <w:color w:val="000000"/>
        </w:rPr>
        <w:t xml:space="preserve"> a la seguridad de los datos personales a fin de determinar la práctica de verificaciones.</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w:t>
      </w:r>
    </w:p>
    <w:p w:rsidR="00D51563" w:rsidRPr="00737A79" w:rsidRDefault="00B1162E" w:rsidP="00B1162E">
      <w:pPr>
        <w:pBdr>
          <w:top w:val="nil"/>
          <w:left w:val="nil"/>
          <w:bottom w:val="nil"/>
          <w:right w:val="nil"/>
          <w:between w:val="nil"/>
        </w:pBdr>
        <w:tabs>
          <w:tab w:val="left" w:pos="142"/>
          <w:tab w:val="left" w:pos="284"/>
          <w:tab w:val="left" w:pos="426"/>
          <w:tab w:val="left" w:pos="993"/>
        </w:tabs>
        <w:spacing w:line="360" w:lineRule="auto"/>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(Énfasis añadido)</w:t>
      </w:r>
    </w:p>
    <w:p w:rsidR="00D51563" w:rsidRPr="00737A79" w:rsidRDefault="00D51563" w:rsidP="00B1162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Luego entonces, este Pleno hará del conocimiento de la Dirección General de Datos Personales de este Instituto de las infracciones en que el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 xml:space="preserve"> incurrió, toda vez que la naturaleza de investigar omisiones relativas a la esfera de obligaciones de protección de datos personales en posesión de Sujetos Obligados corresponde a un ente distinto a éste, a través de un procedimiento diferente al recurso de revisión.</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37A79">
        <w:rPr>
          <w:rFonts w:ascii="Palatino Linotype" w:eastAsia="Palatino Linotype" w:hAnsi="Palatino Linotype" w:cs="Palatino Linotype"/>
          <w:color w:val="000000"/>
        </w:rPr>
        <w:t xml:space="preserve">Por lo anterior, se insiste resulta conveniente dar vista a la Dirección de Protección de Datos Personales de este Instituto, para que en ejercicio de sus atribuciones contenidas en el numeral 23, fracciones V, XI y XII, del Reglamento Interior del Instituto de Transparencia, Acceso a la Información Pública y Protección de Datos Personales del Estado de México y Municipios, investigue y sancione las omisiones en las que el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 xml:space="preserve"> pudo haber incurrido por el incumplimiento a las obligaciones previstas en la Ley de Protección de Datos Personales en Posesión de Sujetos Obligados </w:t>
      </w:r>
      <w:r w:rsidRPr="00737A79">
        <w:rPr>
          <w:rFonts w:ascii="Palatino Linotype" w:eastAsia="Palatino Linotype" w:hAnsi="Palatino Linotype" w:cs="Palatino Linotype"/>
          <w:color w:val="000000"/>
        </w:rPr>
        <w:lastRenderedPageBreak/>
        <w:t xml:space="preserve">del Estado de México y Municipios y, las demás disposiciones jurídicas aplicables en la materia. Por otro lado se conmina a la parte </w:t>
      </w:r>
      <w:r w:rsidRPr="00737A79">
        <w:rPr>
          <w:rFonts w:ascii="Palatino Linotype" w:eastAsia="Palatino Linotype" w:hAnsi="Palatino Linotype" w:cs="Palatino Linotype"/>
          <w:b/>
          <w:color w:val="000000"/>
        </w:rPr>
        <w:t xml:space="preserve">RECURRENTE, </w:t>
      </w:r>
      <w:r w:rsidRPr="00737A79">
        <w:rPr>
          <w:rFonts w:ascii="Palatino Linotype" w:eastAsia="Palatino Linotype" w:hAnsi="Palatino Linotype" w:cs="Palatino Linotype"/>
          <w:color w:val="000000"/>
        </w:rPr>
        <w:t>no hacer uso inadecuado de la información confidencial a la cual ya tuvo acceso.</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51563" w:rsidRPr="00737A79" w:rsidRDefault="00B1162E" w:rsidP="00B1162E">
      <w:pPr>
        <w:numPr>
          <w:ilvl w:val="0"/>
          <w:numId w:val="5"/>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b/>
          <w:color w:val="000000"/>
        </w:rPr>
        <w:t xml:space="preserve">Del Recurso de Revisión: 00448/INFOEM/IP/RR/2024 </w:t>
      </w:r>
    </w:p>
    <w:tbl>
      <w:tblPr>
        <w:tblStyle w:val="a1"/>
        <w:tblW w:w="87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4531"/>
      </w:tblGrid>
      <w:tr w:rsidR="00D51563" w:rsidRPr="00737A79">
        <w:tc>
          <w:tcPr>
            <w:tcW w:w="4248" w:type="dxa"/>
          </w:tcPr>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t>Solicitud de información</w:t>
            </w:r>
          </w:p>
        </w:tc>
        <w:tc>
          <w:tcPr>
            <w:tcW w:w="4531" w:type="dxa"/>
          </w:tcPr>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737A79">
              <w:rPr>
                <w:rFonts w:ascii="Palatino Linotype" w:eastAsia="Palatino Linotype" w:hAnsi="Palatino Linotype" w:cs="Palatino Linotype"/>
                <w:b/>
                <w:color w:val="000000"/>
              </w:rPr>
              <w:t>Respuesta</w:t>
            </w:r>
          </w:p>
        </w:tc>
      </w:tr>
      <w:tr w:rsidR="00D51563" w:rsidRPr="00737A79">
        <w:tc>
          <w:tcPr>
            <w:tcW w:w="4248" w:type="dxa"/>
          </w:tcPr>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Currículum vitae de todos los integrantes del Ayuntamiento (regidores, Síndico y Presidente Municipal.</w:t>
            </w:r>
          </w:p>
        </w:tc>
        <w:tc>
          <w:tcPr>
            <w:tcW w:w="4531" w:type="dxa"/>
          </w:tcPr>
          <w:p w:rsidR="00D51563" w:rsidRPr="00737A79" w:rsidRDefault="00B1162E" w:rsidP="00B1162E">
            <w:pPr>
              <w:spacing w:line="360" w:lineRule="auto"/>
              <w:jc w:val="both"/>
              <w:rPr>
                <w:rFonts w:ascii="Palatino Linotype" w:eastAsia="Palatino Linotype" w:hAnsi="Palatino Linotype" w:cs="Palatino Linotype"/>
              </w:rPr>
            </w:pPr>
            <w:r w:rsidRPr="00737A79">
              <w:rPr>
                <w:rFonts w:ascii="Palatino Linotype" w:eastAsia="Palatino Linotype" w:hAnsi="Palatino Linotype" w:cs="Palatino Linotype"/>
              </w:rPr>
              <w:t xml:space="preserve">CV o ficha curricular de los CC. Ofelia Elizabeth Vega Ramos, Edgar Ruiz Aguilar, Amada del Carmen López, Rafael Eliud Gómez Tirado, Lizbeth Gonzáles Pérez,  Víctor Humberto Leyva Barragán, María Fernanda Daniela Delgado García; y </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color w:val="000000"/>
              </w:rPr>
              <w:t>1 curriculum ilegible del que se desconoce el servidor público al que pertenece.</w:t>
            </w:r>
          </w:p>
        </w:tc>
      </w:tr>
    </w:tbl>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37A79">
        <w:rPr>
          <w:rFonts w:ascii="Palatino Linotype" w:eastAsia="Palatino Linotype" w:hAnsi="Palatino Linotype" w:cs="Palatino Linotype"/>
          <w:color w:val="000000"/>
        </w:rPr>
        <w:t>Al respecto el particular se inconformó manifestando la entrega de información incompleta; luego entonces a efecto de determinar si es procedente el motivo de inconformidad, es necesario traer a contexto el directorio de los servidores públicos que integran el Ayuntamiento de la actual administración pública municipal, a saber:</w:t>
      </w:r>
    </w:p>
    <w:p w:rsidR="00D51563" w:rsidRPr="00737A79" w:rsidRDefault="00B1162E" w:rsidP="00B1162E">
      <w:pPr>
        <w:spacing w:line="360" w:lineRule="auto"/>
        <w:jc w:val="center"/>
        <w:rPr>
          <w:rFonts w:ascii="Palatino Linotype" w:eastAsia="Palatino Linotype" w:hAnsi="Palatino Linotype" w:cs="Palatino Linotype"/>
          <w:b/>
          <w:color w:val="000000"/>
        </w:rPr>
      </w:pPr>
      <w:r w:rsidRPr="00737A79">
        <w:rPr>
          <w:rFonts w:ascii="Palatino Linotype" w:eastAsia="Palatino Linotype" w:hAnsi="Palatino Linotype" w:cs="Palatino Linotype"/>
          <w:b/>
          <w:noProof/>
          <w:color w:val="000000"/>
          <w:lang w:val="es-MX" w:eastAsia="es-MX"/>
        </w:rPr>
        <w:lastRenderedPageBreak/>
        <w:drawing>
          <wp:inline distT="0" distB="0" distL="0" distR="0">
            <wp:extent cx="3127080" cy="4348882"/>
            <wp:effectExtent l="0" t="0" r="0" b="0"/>
            <wp:docPr id="1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3127080" cy="4348882"/>
                    </a:xfrm>
                    <a:prstGeom prst="rect">
                      <a:avLst/>
                    </a:prstGeom>
                    <a:ln/>
                  </pic:spPr>
                </pic:pic>
              </a:graphicData>
            </a:graphic>
          </wp:inline>
        </w:drawing>
      </w:r>
    </w:p>
    <w:p w:rsidR="00D51563" w:rsidRPr="00737A79" w:rsidRDefault="00B1162E" w:rsidP="00B1162E">
      <w:pPr>
        <w:spacing w:line="360" w:lineRule="auto"/>
        <w:jc w:val="center"/>
        <w:rPr>
          <w:rFonts w:ascii="Palatino Linotype" w:eastAsia="Palatino Linotype" w:hAnsi="Palatino Linotype" w:cs="Palatino Linotype"/>
          <w:b/>
          <w:color w:val="000000"/>
        </w:rPr>
      </w:pPr>
      <w:r w:rsidRPr="00737A79">
        <w:rPr>
          <w:rFonts w:ascii="Palatino Linotype" w:eastAsia="Palatino Linotype" w:hAnsi="Palatino Linotype" w:cs="Palatino Linotype"/>
          <w:b/>
          <w:noProof/>
          <w:color w:val="000000"/>
          <w:lang w:val="es-MX" w:eastAsia="es-MX"/>
        </w:rPr>
        <w:drawing>
          <wp:inline distT="0" distB="0" distL="0" distR="0">
            <wp:extent cx="2893652" cy="869835"/>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2893652" cy="869835"/>
                    </a:xfrm>
                    <a:prstGeom prst="rect">
                      <a:avLst/>
                    </a:prstGeom>
                    <a:ln/>
                  </pic:spPr>
                </pic:pic>
              </a:graphicData>
            </a:graphic>
          </wp:inline>
        </w:drawing>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Con base en lo anterior, se advierte que falto remitir la información de los siguientes servidores públicos:</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Presidente Municipal Francisco Javier Mendoza Vásquez</w:t>
      </w:r>
    </w:p>
    <w:p w:rsidR="00D51563" w:rsidRPr="00737A79" w:rsidRDefault="00B1162E" w:rsidP="00B1162E">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Cuarta Regidora Amanda Zacarias Rodríguez</w:t>
      </w:r>
    </w:p>
    <w:p w:rsidR="00D51563" w:rsidRPr="00737A79" w:rsidRDefault="00B1162E" w:rsidP="00B1162E">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Quinto Regidor Fernando Alberto Gómez Miranda</w:t>
      </w:r>
    </w:p>
    <w:p w:rsidR="00D51563" w:rsidRPr="00737A79" w:rsidRDefault="00B1162E" w:rsidP="00B1162E">
      <w:pPr>
        <w:numPr>
          <w:ilvl w:val="0"/>
          <w:numId w:val="3"/>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Octava Regidora Laura Yazmin Navarro Moncoya</w:t>
      </w:r>
    </w:p>
    <w:p w:rsidR="00D51563" w:rsidRPr="00737A79" w:rsidRDefault="00B1162E" w:rsidP="00B1162E">
      <w:pPr>
        <w:pBdr>
          <w:top w:val="nil"/>
          <w:left w:val="nil"/>
          <w:bottom w:val="nil"/>
          <w:right w:val="nil"/>
          <w:between w:val="nil"/>
        </w:pBdr>
        <w:spacing w:line="360" w:lineRule="auto"/>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 </w:t>
      </w: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37A79">
        <w:rPr>
          <w:rFonts w:ascii="Palatino Linotype" w:eastAsia="Palatino Linotype" w:hAnsi="Palatino Linotype" w:cs="Palatino Linotype"/>
          <w:color w:val="000000"/>
        </w:rPr>
        <w:t>Luego entonces, ante la falta de entrega de la información por parte del sujeto obligado, resulta necesario hacer mención de lo que establece los artículos 1, 47 fracción I de la Ley del Trabajo de los Servidores Públicos del Estado y Municipios que mencionan lo siguiente:</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b/>
          <w:i/>
        </w:rPr>
        <w:t xml:space="preserve">ARTÍCULO 1. </w:t>
      </w:r>
      <w:r w:rsidRPr="00737A79">
        <w:rPr>
          <w:rFonts w:ascii="Palatino Linotype" w:eastAsia="Palatino Linotype" w:hAnsi="Palatino Linotype" w:cs="Palatino Linotype"/>
          <w:i/>
        </w:rPr>
        <w:t xml:space="preserve">Ésta ley es de orden público e interés social y tiene por objeto regular </w:t>
      </w:r>
      <w:r w:rsidRPr="00737A79">
        <w:rPr>
          <w:rFonts w:ascii="Palatino Linotype" w:eastAsia="Palatino Linotype" w:hAnsi="Palatino Linotype" w:cs="Palatino Linotype"/>
          <w:i/>
          <w:u w:val="single"/>
        </w:rPr>
        <w:t>las relaciones de trabajo, comprendidas entre los poderes públicos del Estado y los Municipios y sus respectivos servidores públicos</w:t>
      </w:r>
      <w:r w:rsidRPr="00737A79">
        <w:rPr>
          <w:rFonts w:ascii="Palatino Linotype" w:eastAsia="Palatino Linotype" w:hAnsi="Palatino Linotype" w:cs="Palatino Linotype"/>
          <w:i/>
        </w:rPr>
        <w:t>.</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rPr>
        <w:t>ARTÍCULO 47</w:t>
      </w: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b/>
          <w:i/>
          <w:u w:val="single"/>
        </w:rPr>
        <w:t>Para ingresar al servicio público se requiere</w:t>
      </w:r>
      <w:r w:rsidRPr="00737A79">
        <w:rPr>
          <w:rFonts w:ascii="Palatino Linotype" w:eastAsia="Palatino Linotype" w:hAnsi="Palatino Linotype" w:cs="Palatino Linotype"/>
          <w:i/>
        </w:rPr>
        <w:t>:</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rPr>
        <w:t xml:space="preserve">I. </w:t>
      </w:r>
      <w:r w:rsidRPr="00737A79">
        <w:rPr>
          <w:rFonts w:ascii="Palatino Linotype" w:eastAsia="Palatino Linotype" w:hAnsi="Palatino Linotype" w:cs="Palatino Linotype"/>
          <w:b/>
          <w:i/>
          <w:u w:val="single"/>
        </w:rPr>
        <w:t>Presentar una solicitud utilizando la forma oficial que se autorice</w:t>
      </w:r>
      <w:r w:rsidRPr="00737A79">
        <w:rPr>
          <w:rFonts w:ascii="Palatino Linotype" w:eastAsia="Palatino Linotype" w:hAnsi="Palatino Linotype" w:cs="Palatino Linotype"/>
          <w:i/>
        </w:rPr>
        <w:t xml:space="preserve"> por la institución pública o dependencia correspondiente; </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II. Ser de nacionalidad mexicana, con la excepción prevista en el artículo 17 de la presente ley;</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III. Estar en pleno ejercicio de sus derechos civiles y políticos, en su caso;</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IV. Acreditar, cuando proceda, el cumplimiento de la Ley del Servicio Militar Nacional;</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V. Derogada.</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VI. No haber sido separado anteriormente del servicio por las causas previstas en el artículo 93 de la presente ley;</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VII. Tener buena salud, lo que se comprobará con los certificados médicos correspondientes, en la forma en que se establezca en cada institución pública;</w:t>
      </w:r>
    </w:p>
    <w:p w:rsidR="00D51563" w:rsidRPr="00737A79" w:rsidRDefault="00B1162E" w:rsidP="00B1162E">
      <w:pPr>
        <w:tabs>
          <w:tab w:val="left" w:pos="8222"/>
        </w:tabs>
        <w:spacing w:line="360" w:lineRule="auto"/>
        <w:jc w:val="both"/>
        <w:rPr>
          <w:rFonts w:ascii="Palatino Linotype" w:eastAsia="Palatino Linotype" w:hAnsi="Palatino Linotype" w:cs="Palatino Linotype"/>
          <w:b/>
          <w:i/>
        </w:rPr>
      </w:pPr>
      <w:r w:rsidRPr="00737A79">
        <w:rPr>
          <w:rFonts w:ascii="Palatino Linotype" w:eastAsia="Palatino Linotype" w:hAnsi="Palatino Linotype" w:cs="Palatino Linotype"/>
          <w:b/>
          <w:i/>
        </w:rPr>
        <w:t>VIII. Cumplir con los requisitos que se establezcan para los diferentes puestos;</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lastRenderedPageBreak/>
        <w:t>IX. Acreditar por medio de los exámenes correspondientes los conocimientos y aptitudes necesarios para el desempeño del puesto; y</w:t>
      </w:r>
    </w:p>
    <w:p w:rsidR="00D51563"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xml:space="preserve">X. No estar inhabilitado para el ejercicio del servicio público. </w:t>
      </w:r>
    </w:p>
    <w:p w:rsidR="009F4E14" w:rsidRPr="00737A79" w:rsidRDefault="00B1162E" w:rsidP="00B1162E">
      <w:pPr>
        <w:tabs>
          <w:tab w:val="left" w:pos="8222"/>
        </w:tabs>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9F4E14" w:rsidRPr="00737A79" w:rsidRDefault="009F4E14" w:rsidP="00B1162E">
      <w:pPr>
        <w:tabs>
          <w:tab w:val="left" w:pos="8222"/>
        </w:tabs>
        <w:spacing w:line="360" w:lineRule="auto"/>
        <w:jc w:val="both"/>
        <w:rPr>
          <w:rFonts w:ascii="Palatino Linotype" w:eastAsia="Palatino Linotype" w:hAnsi="Palatino Linotype" w:cs="Palatino Linotype"/>
          <w:i/>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Dado lo anterior, se desprende que para ingresar al servicio público de las diversas Instituciones, es requisito indispensable, entre otros, presentar una solicitud, utilizando el formato oficial autorizado por la institución pública, en de donde se infiere que, se trata de una solicitud de empleo, la cual necesariamente contiene apartados con información referentes a datos personales, formación o perfil académico, experiencia profesional, objetivos o aspiraciones personales entre otros.</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Aunado a lo anterior, resulta necesario precisar que no existe norma jurídica que obligue a los servidores públicos a presentar su curriculum ante la Institución pública, en la que prestaran sus servicios, sin embargo con base a lo establecido en el párrafo anterior, el documento análogo al curriculum, podría ser la solicitud de empleo, derivado del tipo de información que puede estar inmerso en estos, ya que en ambos podemos encontrar datos como la formación académica, experiencia laboral o profesional, entre otros.</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 xml:space="preserve">De igual forma y aunado a lo manifestado por el sujeto obligado, al momento de dar respuesta a la solicitud de información, es importante señalar que a pesar de que dicho funcionario no tenga la obligación de presentar el documento que puede colmar con las pretensiones del recurrente, siendo esto, de manera enunciativa mas no limitativa, el curriculum del mismo, cabe hacer mención de lo que establece el artículo 92 fracción XXI de la Ley de Transparencia y Acceso a la Información Pública del Estado de México y Municipios, en donde dispone que los sujetos obligados, deben poner a disposición del público de manera permanente y actualizada de forma </w:t>
      </w:r>
      <w:r w:rsidR="0000056A" w:rsidRPr="00737A79">
        <w:rPr>
          <w:rFonts w:ascii="Palatino Linotype" w:eastAsia="Palatino Linotype" w:hAnsi="Palatino Linotype" w:cs="Palatino Linotype"/>
          <w:color w:val="000000"/>
        </w:rPr>
        <w:t>sencilla</w:t>
      </w:r>
      <w:r w:rsidRPr="00737A79">
        <w:rPr>
          <w:rFonts w:ascii="Palatino Linotype" w:eastAsia="Palatino Linotype" w:hAnsi="Palatino Linotype" w:cs="Palatino Linotype"/>
          <w:color w:val="000000"/>
        </w:rPr>
        <w:t>, precisa y entendible en los respectivos medios electrónicos la información curricular desde el nivel de jefe de departamento o equivalente hasta el titular del Sujeto Obligado, el cual se transcribe a continuación:</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b/>
          <w:i/>
        </w:rPr>
        <w:t>Artículo 92</w:t>
      </w: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b/>
          <w:i/>
          <w:u w:val="single"/>
        </w:rPr>
        <w:t>Los sujetos obligados deberán poner a disposición del público de manera permanente y actualizada de forma sencilla</w:t>
      </w:r>
      <w:r w:rsidRPr="00737A79">
        <w:rPr>
          <w:rFonts w:ascii="Palatino Linotype" w:eastAsia="Palatino Linotype" w:hAnsi="Palatino Linotype" w:cs="Palatino Linotype"/>
          <w:i/>
        </w:rPr>
        <w:t xml:space="preserve">, precisa y entendible, en los respectivos medios electrónicos, de acuerdo con sus facultades, atribuciones, funciones u objeto social, según corresponda, </w:t>
      </w:r>
      <w:r w:rsidRPr="00737A79">
        <w:rPr>
          <w:rFonts w:ascii="Palatino Linotype" w:eastAsia="Palatino Linotype" w:hAnsi="Palatino Linotype" w:cs="Palatino Linotype"/>
          <w:b/>
          <w:i/>
          <w:u w:val="single"/>
        </w:rPr>
        <w:t>la información, por lo menos</w:t>
      </w:r>
      <w:r w:rsidRPr="00737A79">
        <w:rPr>
          <w:rFonts w:ascii="Palatino Linotype" w:eastAsia="Palatino Linotype" w:hAnsi="Palatino Linotype" w:cs="Palatino Linotype"/>
          <w:i/>
        </w:rPr>
        <w:t xml:space="preserve">, de los temas, documentos y políticas </w:t>
      </w:r>
      <w:r w:rsidRPr="00737A79">
        <w:rPr>
          <w:rFonts w:ascii="Palatino Linotype" w:eastAsia="Palatino Linotype" w:hAnsi="Palatino Linotype" w:cs="Palatino Linotype"/>
          <w:b/>
          <w:i/>
          <w:u w:val="single"/>
        </w:rPr>
        <w:t>que a continuación se señalan</w:t>
      </w:r>
      <w:r w:rsidRPr="00737A79">
        <w:rPr>
          <w:rFonts w:ascii="Palatino Linotype" w:eastAsia="Palatino Linotype" w:hAnsi="Palatino Linotype" w:cs="Palatino Linotype"/>
          <w:i/>
        </w:rPr>
        <w:t xml:space="preserve">: </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rPr>
        <w:t>XXI.</w:t>
      </w: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b/>
          <w:i/>
          <w:u w:val="single"/>
        </w:rPr>
        <w:t>La información curricular</w:t>
      </w:r>
      <w:r w:rsidRPr="00737A79">
        <w:rPr>
          <w:rFonts w:ascii="Palatino Linotype" w:eastAsia="Palatino Linotype" w:hAnsi="Palatino Linotype" w:cs="Palatino Linotype"/>
          <w:i/>
        </w:rPr>
        <w:t>, desde el nivel de jefe de departamento o equivalente, hasta el titular del sujeto obligado, así como, en su caso, las sanciones administrativas de que haya sido objeto;</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rPr>
        <w:t>(…)</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Correlativo a lo anterior, los “</w:t>
      </w:r>
      <w:r w:rsidRPr="00737A79">
        <w:rPr>
          <w:rFonts w:ascii="Palatino Linotype" w:eastAsia="Palatino Linotype" w:hAnsi="Palatino Linotype" w:cs="Palatino Linotype"/>
          <w:i/>
          <w:color w:val="000000"/>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737A79">
        <w:rPr>
          <w:rFonts w:ascii="Palatino Linotype" w:eastAsia="Palatino Linotype" w:hAnsi="Palatino Linotype" w:cs="Palatino Linotype"/>
          <w:b/>
          <w:i/>
          <w:color w:val="000000"/>
        </w:rPr>
        <w:t>,</w:t>
      </w:r>
      <w:r w:rsidRPr="00737A79">
        <w:rPr>
          <w:rFonts w:ascii="Palatino Linotype" w:eastAsia="Palatino Linotype" w:hAnsi="Palatino Linotype" w:cs="Palatino Linotype"/>
          <w:color w:val="000000"/>
        </w:rPr>
        <w:t xml:space="preserve"> en su Anexo I referente a las Obligaciones de Transparencia Comunes de los Sujetos Obligados contempladas en el artículo 70, fracciones II, VII, VIII y X de la Ley General de Transparencia y Acceso a la Información Pública, precisan en los Criterios Sustantivos de Contenido con relación a la información pública que puede colmar, parte de la información requerida por el particular, los cuales se transcriben a continuación:</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spacing w:line="360" w:lineRule="auto"/>
        <w:jc w:val="center"/>
        <w:rPr>
          <w:rFonts w:ascii="Palatino Linotype" w:eastAsia="Palatino Linotype" w:hAnsi="Palatino Linotype" w:cs="Palatino Linotype"/>
          <w:b/>
          <w:i/>
        </w:rPr>
      </w:pPr>
      <w:r w:rsidRPr="00737A79">
        <w:rPr>
          <w:rFonts w:ascii="Palatino Linotype" w:eastAsia="Palatino Linotype" w:hAnsi="Palatino Linotype" w:cs="Palatino Linotype"/>
          <w:b/>
          <w:i/>
        </w:rPr>
        <w:t>Anexo I</w:t>
      </w:r>
    </w:p>
    <w:p w:rsidR="00D51563" w:rsidRPr="00737A79" w:rsidRDefault="00B1162E" w:rsidP="00B1162E">
      <w:pPr>
        <w:spacing w:line="360" w:lineRule="auto"/>
        <w:jc w:val="center"/>
        <w:rPr>
          <w:rFonts w:ascii="Palatino Linotype" w:eastAsia="Palatino Linotype" w:hAnsi="Palatino Linotype" w:cs="Palatino Linotype"/>
          <w:b/>
          <w:i/>
        </w:rPr>
      </w:pPr>
      <w:r w:rsidRPr="00737A79">
        <w:rPr>
          <w:rFonts w:ascii="Palatino Linotype" w:eastAsia="Palatino Linotype" w:hAnsi="Palatino Linotype" w:cs="Palatino Linotype"/>
          <w:b/>
          <w:i/>
        </w:rPr>
        <w:t>Obligaciones de transparencia comunes</w:t>
      </w:r>
    </w:p>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b/>
          <w:i/>
        </w:rPr>
        <w:t>todos los sujetos obligados</w:t>
      </w:r>
    </w:p>
    <w:p w:rsidR="00D51563" w:rsidRPr="00737A79" w:rsidRDefault="00B1162E" w:rsidP="00B1162E">
      <w:pPr>
        <w:spacing w:line="360" w:lineRule="auto"/>
        <w:jc w:val="both"/>
        <w:rPr>
          <w:rFonts w:ascii="Palatino Linotype" w:eastAsia="Palatino Linotype" w:hAnsi="Palatino Linotype" w:cs="Palatino Linotype"/>
          <w:b/>
          <w:i/>
        </w:rPr>
      </w:pPr>
      <w:r w:rsidRPr="00737A79">
        <w:rPr>
          <w:rFonts w:ascii="Palatino Linotype" w:eastAsia="Palatino Linotype" w:hAnsi="Palatino Linotype" w:cs="Palatino Linotype"/>
          <w:b/>
          <w:i/>
        </w:rPr>
        <w:t>Criterios para las obligaciones de transparencia comunes</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u w:val="single"/>
        </w:rPr>
        <w:t>El catálogo de la información que todos los sujetos obligados deben poner a disposición de las personas en sus portales de Internet y en la Plataforma Nacional está detallado en el Título Quinto, Capítulo II de la Ley General, en el artículo 70, fracciones I a la XLVIII</w:t>
      </w:r>
      <w:r w:rsidRPr="00737A79">
        <w:rPr>
          <w:rFonts w:ascii="Palatino Linotype" w:eastAsia="Palatino Linotype" w:hAnsi="Palatino Linotype" w:cs="Palatino Linotype"/>
          <w:i/>
        </w:rPr>
        <w:t>.</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u w:val="single"/>
        </w:rPr>
        <w:lastRenderedPageBreak/>
        <w:t>El artículo 70 dice a la letra</w:t>
      </w:r>
      <w:r w:rsidRPr="00737A79">
        <w:rPr>
          <w:rFonts w:ascii="Palatino Linotype" w:eastAsia="Palatino Linotype" w:hAnsi="Palatino Linotype" w:cs="Palatino Linotype"/>
          <w:i/>
        </w:rPr>
        <w:t>:</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rPr>
        <w:t xml:space="preserve">Artículo 70. </w:t>
      </w:r>
      <w:r w:rsidRPr="00737A79">
        <w:rPr>
          <w:rFonts w:ascii="Palatino Linotype" w:eastAsia="Palatino Linotype" w:hAnsi="Palatino Linotype" w:cs="Palatino Linotype"/>
          <w:b/>
          <w:i/>
          <w:u w:val="single"/>
        </w:rPr>
        <w:t>En la Ley</w:t>
      </w:r>
      <w:r w:rsidRPr="00737A79">
        <w:rPr>
          <w:rFonts w:ascii="Palatino Linotype" w:eastAsia="Palatino Linotype" w:hAnsi="Palatino Linotype" w:cs="Palatino Linotype"/>
          <w:b/>
          <w:i/>
        </w:rPr>
        <w:t xml:space="preserve"> </w:t>
      </w:r>
      <w:r w:rsidRPr="00737A79">
        <w:rPr>
          <w:rFonts w:ascii="Palatino Linotype" w:eastAsia="Palatino Linotype" w:hAnsi="Palatino Linotype" w:cs="Palatino Linotype"/>
          <w:i/>
        </w:rPr>
        <w:t>Federal y</w:t>
      </w:r>
      <w:r w:rsidRPr="00737A79">
        <w:rPr>
          <w:rFonts w:ascii="Palatino Linotype" w:eastAsia="Palatino Linotype" w:hAnsi="Palatino Linotype" w:cs="Palatino Linotype"/>
          <w:b/>
          <w:i/>
        </w:rPr>
        <w:t xml:space="preserve"> </w:t>
      </w:r>
      <w:r w:rsidRPr="00737A79">
        <w:rPr>
          <w:rFonts w:ascii="Palatino Linotype" w:eastAsia="Palatino Linotype" w:hAnsi="Palatino Linotype" w:cs="Palatino Linotype"/>
          <w:b/>
          <w:i/>
          <w:u w:val="single"/>
        </w:rPr>
        <w:t>de las Entidades Federativas se contemplará que los sujetos obligados pongan a disposición del público</w:t>
      </w:r>
      <w:r w:rsidRPr="00737A79">
        <w:rPr>
          <w:rFonts w:ascii="Palatino Linotype" w:eastAsia="Palatino Linotype" w:hAnsi="Palatino Linotype" w:cs="Palatino Linotype"/>
          <w:b/>
          <w:i/>
        </w:rPr>
        <w:t xml:space="preserve"> </w:t>
      </w:r>
      <w:r w:rsidRPr="00737A79">
        <w:rPr>
          <w:rFonts w:ascii="Palatino Linotype" w:eastAsia="Palatino Linotype" w:hAnsi="Palatino Linotype" w:cs="Palatino Linotype"/>
          <w:i/>
        </w:rPr>
        <w:t xml:space="preserve">y mantengan actualizada, en los respectivos medios electrónicos, de acuerdo con sus facultades, atribuciones, funciones u objeto social, según corresponda, </w:t>
      </w:r>
      <w:r w:rsidRPr="00737A79">
        <w:rPr>
          <w:rFonts w:ascii="Palatino Linotype" w:eastAsia="Palatino Linotype" w:hAnsi="Palatino Linotype" w:cs="Palatino Linotype"/>
          <w:b/>
          <w:i/>
          <w:u w:val="single"/>
        </w:rPr>
        <w:t>la información, por lo menos, de los temas, documentos y políticas que a continuación se señalan</w:t>
      </w:r>
      <w:r w:rsidRPr="00737A79">
        <w:rPr>
          <w:rFonts w:ascii="Palatino Linotype" w:eastAsia="Palatino Linotype" w:hAnsi="Palatino Linotype" w:cs="Palatino Linotype"/>
          <w:i/>
        </w:rPr>
        <w:t>:</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u w:val="single"/>
        </w:rPr>
        <w:t>En las siguientes páginas se hace mención de cada una de las fracciones con sus respectivos criterios</w:t>
      </w:r>
      <w:r w:rsidRPr="00737A79">
        <w:rPr>
          <w:rFonts w:ascii="Palatino Linotype" w:eastAsia="Palatino Linotype" w:hAnsi="Palatino Linotype" w:cs="Palatino Linotype"/>
          <w:i/>
        </w:rPr>
        <w:t>.</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p>
    <w:p w:rsidR="00D51563" w:rsidRPr="00737A79" w:rsidRDefault="00B1162E" w:rsidP="00B1162E">
      <w:pPr>
        <w:spacing w:line="360" w:lineRule="auto"/>
        <w:ind w:hanging="711"/>
        <w:jc w:val="both"/>
        <w:rPr>
          <w:rFonts w:ascii="Palatino Linotype" w:eastAsia="Palatino Linotype" w:hAnsi="Palatino Linotype" w:cs="Palatino Linotype"/>
          <w:b/>
          <w:i/>
        </w:rPr>
      </w:pPr>
      <w:r w:rsidRPr="00737A79">
        <w:rPr>
          <w:rFonts w:ascii="Palatino Linotype" w:eastAsia="Palatino Linotype" w:hAnsi="Palatino Linotype" w:cs="Palatino Linotype"/>
          <w:b/>
          <w:i/>
        </w:rPr>
        <w:t>XVII.</w:t>
      </w:r>
      <w:r w:rsidRPr="00737A79">
        <w:rPr>
          <w:rFonts w:ascii="Palatino Linotype" w:eastAsia="Palatino Linotype" w:hAnsi="Palatino Linotype" w:cs="Palatino Linotype"/>
          <w:i/>
        </w:rPr>
        <w:tab/>
      </w:r>
      <w:r w:rsidRPr="00737A79">
        <w:rPr>
          <w:rFonts w:ascii="Palatino Linotype" w:eastAsia="Palatino Linotype" w:hAnsi="Palatino Linotype" w:cs="Palatino Linotype"/>
          <w:b/>
          <w:i/>
          <w:u w:val="single"/>
        </w:rPr>
        <w:t>La información curricular</w:t>
      </w:r>
      <w:r w:rsidRPr="00737A79">
        <w:rPr>
          <w:rFonts w:ascii="Palatino Linotype" w:eastAsia="Palatino Linotype" w:hAnsi="Palatino Linotype" w:cs="Palatino Linotype"/>
          <w:i/>
          <w:u w:val="single"/>
        </w:rPr>
        <w:t xml:space="preserve"> </w:t>
      </w:r>
      <w:r w:rsidRPr="00737A79">
        <w:rPr>
          <w:rFonts w:ascii="Palatino Linotype" w:eastAsia="Palatino Linotype" w:hAnsi="Palatino Linotype" w:cs="Palatino Linotype"/>
          <w:b/>
          <w:i/>
          <w:u w:val="single"/>
        </w:rPr>
        <w:t>desde el nivel de jefe de departamento o equivalente hasta el titular del sujeto obligado, así como, en su caso, las sanciones administrativas de que haya sido objeto;</w:t>
      </w:r>
      <w:r w:rsidRPr="00737A79">
        <w:rPr>
          <w:rFonts w:ascii="Palatino Linotype" w:eastAsia="Palatino Linotype" w:hAnsi="Palatino Linotype" w:cs="Palatino Linotype"/>
          <w:b/>
          <w:i/>
        </w:rPr>
        <w:t xml:space="preserve"> </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u w:val="single"/>
        </w:rPr>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737A79">
        <w:rPr>
          <w:rFonts w:ascii="Palatino Linotype" w:eastAsia="Palatino Linotype" w:hAnsi="Palatino Linotype" w:cs="Palatino Linotype"/>
          <w:i/>
        </w:rPr>
        <w:t>, es decir, los datos que permitan identificarlos y conocer su trayectoria en el ámbito laboral y escolar.</w:t>
      </w:r>
    </w:p>
    <w:p w:rsidR="00D51563" w:rsidRPr="00737A79" w:rsidRDefault="00D51563" w:rsidP="00B1162E">
      <w:pPr>
        <w:spacing w:line="360" w:lineRule="auto"/>
        <w:jc w:val="both"/>
        <w:rPr>
          <w:rFonts w:ascii="Palatino Linotype" w:eastAsia="Palatino Linotype" w:hAnsi="Palatino Linotype" w:cs="Palatino Linotype"/>
          <w:i/>
        </w:rPr>
      </w:pP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p>
    <w:p w:rsidR="00D51563" w:rsidRPr="00737A79" w:rsidRDefault="00D51563" w:rsidP="00B1162E">
      <w:pPr>
        <w:spacing w:line="360" w:lineRule="auto"/>
        <w:jc w:val="both"/>
        <w:rPr>
          <w:rFonts w:ascii="Palatino Linotype" w:eastAsia="Palatino Linotype" w:hAnsi="Palatino Linotype" w:cs="Palatino Linotype"/>
          <w:i/>
        </w:rPr>
      </w:pP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Criterios sustantivos de contenido</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p>
    <w:p w:rsidR="00D51563" w:rsidRPr="00737A79" w:rsidRDefault="00B1162E" w:rsidP="00B1162E">
      <w:pPr>
        <w:spacing w:line="360" w:lineRule="auto"/>
        <w:ind w:hanging="1134"/>
        <w:jc w:val="both"/>
        <w:rPr>
          <w:rFonts w:ascii="Palatino Linotype" w:eastAsia="Palatino Linotype" w:hAnsi="Palatino Linotype" w:cs="Palatino Linotype"/>
          <w:i/>
        </w:rPr>
      </w:pPr>
      <w:r w:rsidRPr="00737A79">
        <w:rPr>
          <w:rFonts w:ascii="Palatino Linotype" w:eastAsia="Palatino Linotype" w:hAnsi="Palatino Linotype" w:cs="Palatino Linotype"/>
          <w:b/>
          <w:i/>
        </w:rPr>
        <w:t>Criterio 2</w:t>
      </w:r>
      <w:r w:rsidRPr="00737A79">
        <w:rPr>
          <w:rFonts w:ascii="Palatino Linotype" w:eastAsia="Palatino Linotype" w:hAnsi="Palatino Linotype" w:cs="Palatino Linotype"/>
          <w:i/>
        </w:rPr>
        <w:tab/>
      </w:r>
      <w:r w:rsidRPr="00737A79">
        <w:rPr>
          <w:rFonts w:ascii="Palatino Linotype" w:eastAsia="Palatino Linotype" w:hAnsi="Palatino Linotype" w:cs="Palatino Linotype"/>
          <w:b/>
          <w:i/>
          <w:u w:val="single"/>
        </w:rPr>
        <w:t>Denominación del cargo, empleo, comisión o nombramiento otorgado</w:t>
      </w:r>
    </w:p>
    <w:p w:rsidR="00D51563" w:rsidRPr="00737A79" w:rsidRDefault="00B1162E" w:rsidP="00B1162E">
      <w:pPr>
        <w:spacing w:line="360" w:lineRule="auto"/>
        <w:ind w:hanging="1134"/>
        <w:jc w:val="both"/>
        <w:rPr>
          <w:rFonts w:ascii="Palatino Linotype" w:eastAsia="Palatino Linotype" w:hAnsi="Palatino Linotype" w:cs="Palatino Linotype"/>
          <w:i/>
        </w:rPr>
      </w:pPr>
      <w:r w:rsidRPr="00737A79">
        <w:rPr>
          <w:rFonts w:ascii="Palatino Linotype" w:eastAsia="Palatino Linotype" w:hAnsi="Palatino Linotype" w:cs="Palatino Linotype"/>
          <w:b/>
          <w:i/>
        </w:rPr>
        <w:lastRenderedPageBreak/>
        <w:t>Criterio 3</w:t>
      </w: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i/>
        </w:rPr>
        <w:tab/>
      </w:r>
      <w:r w:rsidRPr="00737A79">
        <w:rPr>
          <w:rFonts w:ascii="Palatino Linotype" w:eastAsia="Palatino Linotype" w:hAnsi="Palatino Linotype" w:cs="Palatino Linotype"/>
          <w:b/>
          <w:i/>
          <w:u w:val="single"/>
        </w:rPr>
        <w:t xml:space="preserve">Nombre(s), primer apellido y segundo apellido del (la) persona y/o servidor(a) público(a) </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u w:val="single"/>
        </w:rPr>
        <w:t>Información curricular del (la) servidor(a) público(a)) y/o persona que desempeñe un empleo, cargo o comisión en el sujeto obligado el cual deberá especificar lo siguiente</w:t>
      </w:r>
      <w:r w:rsidRPr="00737A79">
        <w:rPr>
          <w:rFonts w:ascii="Palatino Linotype" w:eastAsia="Palatino Linotype" w:hAnsi="Palatino Linotype" w:cs="Palatino Linotype"/>
          <w:i/>
        </w:rPr>
        <w:t>:</w:t>
      </w:r>
    </w:p>
    <w:p w:rsidR="00D51563" w:rsidRPr="00737A79" w:rsidRDefault="00B1162E" w:rsidP="00B1162E">
      <w:pPr>
        <w:spacing w:line="360" w:lineRule="auto"/>
        <w:ind w:hanging="1134"/>
        <w:jc w:val="both"/>
        <w:rPr>
          <w:rFonts w:ascii="Palatino Linotype" w:eastAsia="Palatino Linotype" w:hAnsi="Palatino Linotype" w:cs="Palatino Linotype"/>
          <w:i/>
        </w:rPr>
      </w:pPr>
      <w:r w:rsidRPr="00737A79">
        <w:rPr>
          <w:rFonts w:ascii="Palatino Linotype" w:eastAsia="Palatino Linotype" w:hAnsi="Palatino Linotype" w:cs="Palatino Linotype"/>
          <w:b/>
          <w:i/>
        </w:rPr>
        <w:t>Criterio 5</w:t>
      </w:r>
      <w:r w:rsidRPr="00737A79">
        <w:rPr>
          <w:rFonts w:ascii="Palatino Linotype" w:eastAsia="Palatino Linotype" w:hAnsi="Palatino Linotype" w:cs="Palatino Linotype"/>
          <w:b/>
          <w:i/>
        </w:rPr>
        <w:tab/>
        <w:t>Escolaridad:</w:t>
      </w: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b/>
          <w:i/>
          <w:u w:val="single"/>
        </w:rPr>
        <w:t>Nivel máximo de estudios</w:t>
      </w:r>
      <w:r w:rsidRPr="00737A79">
        <w:rPr>
          <w:rFonts w:ascii="Palatino Linotype" w:eastAsia="Palatino Linotype" w:hAnsi="Palatino Linotype" w:cs="Palatino Linotype"/>
          <w:i/>
        </w:rPr>
        <w:t xml:space="preserve"> (ninguno, primaria, secundaria, bachillerato, técnica, licenciatura, maestría, doctorado, posdoctorado)</w:t>
      </w:r>
    </w:p>
    <w:p w:rsidR="00D51563" w:rsidRPr="00737A79" w:rsidRDefault="00B1162E" w:rsidP="00B1162E">
      <w:pPr>
        <w:tabs>
          <w:tab w:val="left" w:pos="2093"/>
        </w:tabs>
        <w:spacing w:line="360" w:lineRule="auto"/>
        <w:ind w:hanging="1134"/>
        <w:rPr>
          <w:rFonts w:ascii="Palatino Linotype" w:eastAsia="Palatino Linotype" w:hAnsi="Palatino Linotype" w:cs="Palatino Linotype"/>
          <w:i/>
        </w:rPr>
      </w:pPr>
      <w:r w:rsidRPr="00737A79">
        <w:rPr>
          <w:rFonts w:ascii="Palatino Linotype" w:eastAsia="Palatino Linotype" w:hAnsi="Palatino Linotype" w:cs="Palatino Linotype"/>
          <w:i/>
        </w:rPr>
        <w:t>[…]</w:t>
      </w: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Formato 17 LGT_Art_70_Fr_XVII</w:t>
      </w:r>
    </w:p>
    <w:p w:rsidR="00D51563" w:rsidRPr="00737A79" w:rsidRDefault="00B1162E" w:rsidP="00B1162E">
      <w:pPr>
        <w:pBdr>
          <w:top w:val="nil"/>
          <w:left w:val="nil"/>
          <w:bottom w:val="nil"/>
          <w:right w:val="nil"/>
          <w:between w:val="nil"/>
        </w:pBdr>
        <w:spacing w:line="360" w:lineRule="auto"/>
        <w:jc w:val="center"/>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Información curricular de los(as) servidores(as) públicas(os) y/o personas que desempeñen un empleo, cargo o comisión en &lt;&lt;sujeto obligado&gt;&gt;</w:t>
      </w:r>
    </w:p>
    <w:tbl>
      <w:tblPr>
        <w:tblStyle w:val="a2"/>
        <w:tblW w:w="7620"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400" w:firstRow="0" w:lastRow="0" w:firstColumn="0" w:lastColumn="0" w:noHBand="0" w:noVBand="1"/>
      </w:tblPr>
      <w:tblGrid>
        <w:gridCol w:w="847"/>
        <w:gridCol w:w="1277"/>
        <w:gridCol w:w="993"/>
        <w:gridCol w:w="1277"/>
        <w:gridCol w:w="1480"/>
        <w:gridCol w:w="1746"/>
      </w:tblGrid>
      <w:tr w:rsidR="00D51563" w:rsidRPr="00737A79">
        <w:trPr>
          <w:trHeight w:val="486"/>
          <w:jc w:val="center"/>
        </w:trPr>
        <w:tc>
          <w:tcPr>
            <w:tcW w:w="847" w:type="dxa"/>
            <w:vMerge w:val="restart"/>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Clave o nivel del puesto</w:t>
            </w:r>
          </w:p>
        </w:tc>
        <w:tc>
          <w:tcPr>
            <w:tcW w:w="1277" w:type="dxa"/>
            <w:vMerge w:val="restart"/>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 xml:space="preserve">Denominación del cargo o nombramiento otorgado </w:t>
            </w:r>
          </w:p>
        </w:tc>
        <w:tc>
          <w:tcPr>
            <w:tcW w:w="3750" w:type="dxa"/>
            <w:gridSpan w:val="3"/>
            <w:vMerge w:val="restart"/>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b/>
                <w:i/>
                <w:u w:val="single"/>
              </w:rPr>
            </w:pPr>
            <w:r w:rsidRPr="00737A79">
              <w:rPr>
                <w:rFonts w:ascii="Palatino Linotype" w:eastAsia="Palatino Linotype" w:hAnsi="Palatino Linotype" w:cs="Palatino Linotype"/>
                <w:b/>
                <w:i/>
                <w:u w:val="single"/>
              </w:rPr>
              <w:t>Nombre del(la) servidor(a) público(a)</w:t>
            </w:r>
          </w:p>
        </w:tc>
        <w:tc>
          <w:tcPr>
            <w:tcW w:w="1746" w:type="dxa"/>
            <w:vMerge w:val="restart"/>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Unidad administrativa de adscripción (Área) del servidor público (catálogo, en su caso)</w:t>
            </w:r>
          </w:p>
        </w:tc>
      </w:tr>
      <w:tr w:rsidR="00D51563" w:rsidRPr="00737A79">
        <w:trPr>
          <w:trHeight w:val="450"/>
          <w:jc w:val="center"/>
        </w:trPr>
        <w:tc>
          <w:tcPr>
            <w:tcW w:w="847" w:type="dxa"/>
            <w:vMerge/>
            <w:tcBorders>
              <w:top w:val="dotted" w:sz="4" w:space="0" w:color="000000"/>
              <w:left w:val="dotted" w:sz="4" w:space="0" w:color="000000"/>
              <w:bottom w:val="dotted" w:sz="4" w:space="0" w:color="000000"/>
              <w:right w:val="dotted" w:sz="4" w:space="0" w:color="000000"/>
            </w:tcBorders>
            <w:vAlign w:val="center"/>
          </w:tcPr>
          <w:p w:rsidR="00D51563" w:rsidRPr="00737A79" w:rsidRDefault="00D51563" w:rsidP="00B116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277" w:type="dxa"/>
            <w:vMerge/>
            <w:tcBorders>
              <w:top w:val="dotted" w:sz="4" w:space="0" w:color="000000"/>
              <w:left w:val="dotted" w:sz="4" w:space="0" w:color="000000"/>
              <w:bottom w:val="dotted" w:sz="4" w:space="0" w:color="000000"/>
              <w:right w:val="dotted" w:sz="4" w:space="0" w:color="000000"/>
            </w:tcBorders>
            <w:vAlign w:val="center"/>
          </w:tcPr>
          <w:p w:rsidR="00D51563" w:rsidRPr="00737A79" w:rsidRDefault="00D51563" w:rsidP="00B116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3750" w:type="dxa"/>
            <w:gridSpan w:val="3"/>
            <w:vMerge/>
            <w:tcBorders>
              <w:top w:val="dotted" w:sz="4" w:space="0" w:color="000000"/>
              <w:left w:val="dotted" w:sz="4" w:space="0" w:color="000000"/>
              <w:bottom w:val="dotted" w:sz="4" w:space="0" w:color="000000"/>
              <w:right w:val="dotted" w:sz="4" w:space="0" w:color="000000"/>
            </w:tcBorders>
            <w:vAlign w:val="center"/>
          </w:tcPr>
          <w:p w:rsidR="00D51563" w:rsidRPr="00737A79" w:rsidRDefault="00D51563" w:rsidP="00B116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746" w:type="dxa"/>
            <w:vMerge/>
            <w:tcBorders>
              <w:top w:val="dotted" w:sz="4" w:space="0" w:color="000000"/>
              <w:left w:val="dotted" w:sz="4" w:space="0" w:color="000000"/>
              <w:bottom w:val="dotted" w:sz="4" w:space="0" w:color="000000"/>
              <w:right w:val="dotted" w:sz="4" w:space="0" w:color="000000"/>
            </w:tcBorders>
            <w:vAlign w:val="center"/>
          </w:tcPr>
          <w:p w:rsidR="00D51563" w:rsidRPr="00737A79" w:rsidRDefault="00D51563" w:rsidP="00B1162E">
            <w:pPr>
              <w:widowControl w:val="0"/>
              <w:pBdr>
                <w:top w:val="nil"/>
                <w:left w:val="nil"/>
                <w:bottom w:val="nil"/>
                <w:right w:val="nil"/>
                <w:between w:val="nil"/>
              </w:pBdr>
              <w:spacing w:line="276" w:lineRule="auto"/>
              <w:rPr>
                <w:rFonts w:ascii="Palatino Linotype" w:eastAsia="Palatino Linotype" w:hAnsi="Palatino Linotype" w:cs="Palatino Linotype"/>
                <w:i/>
              </w:rPr>
            </w:pPr>
          </w:p>
        </w:tc>
      </w:tr>
      <w:tr w:rsidR="00D51563" w:rsidRPr="00737A79">
        <w:trPr>
          <w:trHeight w:val="45"/>
          <w:jc w:val="center"/>
        </w:trPr>
        <w:tc>
          <w:tcPr>
            <w:tcW w:w="847" w:type="dxa"/>
            <w:vMerge/>
            <w:tcBorders>
              <w:top w:val="dotted" w:sz="4" w:space="0" w:color="000000"/>
              <w:left w:val="dotted" w:sz="4" w:space="0" w:color="000000"/>
              <w:bottom w:val="dotted" w:sz="4" w:space="0" w:color="000000"/>
              <w:right w:val="dotted" w:sz="4" w:space="0" w:color="000000"/>
            </w:tcBorders>
            <w:vAlign w:val="center"/>
          </w:tcPr>
          <w:p w:rsidR="00D51563" w:rsidRPr="00737A79" w:rsidRDefault="00D51563" w:rsidP="00B116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277" w:type="dxa"/>
            <w:vMerge/>
            <w:tcBorders>
              <w:top w:val="dotted" w:sz="4" w:space="0" w:color="000000"/>
              <w:left w:val="dotted" w:sz="4" w:space="0" w:color="000000"/>
              <w:bottom w:val="dotted" w:sz="4" w:space="0" w:color="000000"/>
              <w:right w:val="dotted" w:sz="4" w:space="0" w:color="000000"/>
            </w:tcBorders>
            <w:vAlign w:val="center"/>
          </w:tcPr>
          <w:p w:rsidR="00D51563" w:rsidRPr="00737A79" w:rsidRDefault="00D51563" w:rsidP="00B1162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993" w:type="dxa"/>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Nombre(s)</w:t>
            </w:r>
          </w:p>
        </w:tc>
        <w:tc>
          <w:tcPr>
            <w:tcW w:w="1277" w:type="dxa"/>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Primer Apellido</w:t>
            </w:r>
          </w:p>
        </w:tc>
        <w:tc>
          <w:tcPr>
            <w:tcW w:w="1480" w:type="dxa"/>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 xml:space="preserve">Segundo Apellido </w:t>
            </w:r>
          </w:p>
        </w:tc>
        <w:tc>
          <w:tcPr>
            <w:tcW w:w="1746" w:type="dxa"/>
            <w:vMerge/>
            <w:tcBorders>
              <w:top w:val="dotted" w:sz="4" w:space="0" w:color="000000"/>
              <w:left w:val="dotted" w:sz="4" w:space="0" w:color="000000"/>
              <w:bottom w:val="dotted" w:sz="4" w:space="0" w:color="000000"/>
              <w:right w:val="dotted" w:sz="4" w:space="0" w:color="000000"/>
            </w:tcBorders>
            <w:vAlign w:val="center"/>
          </w:tcPr>
          <w:p w:rsidR="00D51563" w:rsidRPr="00737A79" w:rsidRDefault="00D51563" w:rsidP="00B1162E">
            <w:pPr>
              <w:widowControl w:val="0"/>
              <w:pBdr>
                <w:top w:val="nil"/>
                <w:left w:val="nil"/>
                <w:bottom w:val="nil"/>
                <w:right w:val="nil"/>
                <w:between w:val="nil"/>
              </w:pBdr>
              <w:spacing w:line="276" w:lineRule="auto"/>
              <w:rPr>
                <w:rFonts w:ascii="Palatino Linotype" w:eastAsia="Palatino Linotype" w:hAnsi="Palatino Linotype" w:cs="Palatino Linotype"/>
                <w:i/>
              </w:rPr>
            </w:pPr>
          </w:p>
        </w:tc>
      </w:tr>
      <w:tr w:rsidR="00D51563" w:rsidRPr="00737A79">
        <w:trPr>
          <w:trHeight w:val="45"/>
          <w:jc w:val="center"/>
        </w:trPr>
        <w:tc>
          <w:tcPr>
            <w:tcW w:w="847"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1277"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993"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1277"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1480"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1746"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r>
      <w:tr w:rsidR="00D51563" w:rsidRPr="00737A79">
        <w:trPr>
          <w:trHeight w:val="45"/>
          <w:jc w:val="center"/>
        </w:trPr>
        <w:tc>
          <w:tcPr>
            <w:tcW w:w="847"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1277"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993"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1277"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1480"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c>
          <w:tcPr>
            <w:tcW w:w="1746" w:type="dxa"/>
            <w:tcBorders>
              <w:top w:val="dotted" w:sz="4" w:space="0" w:color="000000"/>
              <w:left w:val="dotted" w:sz="4" w:space="0" w:color="000000"/>
              <w:bottom w:val="dotted" w:sz="4" w:space="0" w:color="000000"/>
              <w:right w:val="dotted" w:sz="4" w:space="0" w:color="000000"/>
            </w:tcBorders>
          </w:tcPr>
          <w:p w:rsidR="00D51563" w:rsidRPr="00737A79" w:rsidRDefault="00D51563" w:rsidP="00B1162E">
            <w:pPr>
              <w:spacing w:line="360" w:lineRule="auto"/>
              <w:jc w:val="both"/>
              <w:rPr>
                <w:rFonts w:ascii="Palatino Linotype" w:eastAsia="Palatino Linotype" w:hAnsi="Palatino Linotype" w:cs="Palatino Linotype"/>
                <w:i/>
              </w:rPr>
            </w:pPr>
          </w:p>
        </w:tc>
      </w:tr>
    </w:tbl>
    <w:p w:rsidR="00D51563" w:rsidRPr="00737A79" w:rsidRDefault="00D51563" w:rsidP="00B1162E">
      <w:pPr>
        <w:spacing w:line="360" w:lineRule="auto"/>
        <w:jc w:val="both"/>
        <w:rPr>
          <w:rFonts w:ascii="Palatino Linotype" w:eastAsia="Palatino Linotype" w:hAnsi="Palatino Linotype" w:cs="Palatino Linotype"/>
          <w:i/>
        </w:rPr>
      </w:pPr>
    </w:p>
    <w:tbl>
      <w:tblPr>
        <w:tblStyle w:val="a3"/>
        <w:tblW w:w="8779" w:type="dxa"/>
        <w:jc w:val="center"/>
        <w:tblInd w:w="0" w:type="dxa"/>
        <w:tblLayout w:type="fixed"/>
        <w:tblLook w:val="0400" w:firstRow="0" w:lastRow="0" w:firstColumn="0" w:lastColumn="0" w:noHBand="0" w:noVBand="1"/>
      </w:tblPr>
      <w:tblGrid>
        <w:gridCol w:w="1110"/>
        <w:gridCol w:w="644"/>
        <w:gridCol w:w="724"/>
        <w:gridCol w:w="1037"/>
        <w:gridCol w:w="1037"/>
        <w:gridCol w:w="1169"/>
        <w:gridCol w:w="1059"/>
        <w:gridCol w:w="927"/>
        <w:gridCol w:w="1072"/>
      </w:tblGrid>
      <w:tr w:rsidR="00D51563" w:rsidRPr="00737A79">
        <w:trPr>
          <w:trHeight w:val="45"/>
          <w:jc w:val="center"/>
        </w:trPr>
        <w:tc>
          <w:tcPr>
            <w:tcW w:w="8779" w:type="dxa"/>
            <w:gridSpan w:val="9"/>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Información curricular</w:t>
            </w:r>
          </w:p>
        </w:tc>
      </w:tr>
      <w:tr w:rsidR="00D51563" w:rsidRPr="00737A79">
        <w:trPr>
          <w:trHeight w:val="45"/>
          <w:jc w:val="center"/>
        </w:trPr>
        <w:tc>
          <w:tcPr>
            <w:tcW w:w="2478" w:type="dxa"/>
            <w:gridSpan w:val="3"/>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Escolaridad</w:t>
            </w:r>
          </w:p>
        </w:tc>
        <w:tc>
          <w:tcPr>
            <w:tcW w:w="6301" w:type="dxa"/>
            <w:gridSpan w:val="6"/>
            <w:tcBorders>
              <w:top w:val="dotted" w:sz="4" w:space="0" w:color="000000"/>
              <w:left w:val="nil"/>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Experiencia laboral (tres últimos empleos)</w:t>
            </w:r>
          </w:p>
        </w:tc>
      </w:tr>
      <w:tr w:rsidR="00D51563" w:rsidRPr="00737A79">
        <w:trPr>
          <w:trHeight w:val="45"/>
          <w:jc w:val="center"/>
        </w:trPr>
        <w:tc>
          <w:tcPr>
            <w:tcW w:w="1110" w:type="dxa"/>
            <w:tcBorders>
              <w:top w:val="nil"/>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b/>
                <w:i/>
                <w:u w:val="single"/>
              </w:rPr>
              <w:lastRenderedPageBreak/>
              <w:t>Nivel máximo de estudios</w:t>
            </w:r>
            <w:r w:rsidRPr="00737A79">
              <w:rPr>
                <w:rFonts w:ascii="Palatino Linotype" w:eastAsia="Palatino Linotype" w:hAnsi="Palatino Linotype" w:cs="Palatino Linotype"/>
                <w:i/>
              </w:rPr>
              <w:t xml:space="preserve"> (ninguno, primaria, secundaria, bachillerato, técnica, licenciatura, maestría, doctorado, posdoctorado)</w:t>
            </w:r>
          </w:p>
        </w:tc>
        <w:tc>
          <w:tcPr>
            <w:tcW w:w="644"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Área de estudio</w:t>
            </w:r>
          </w:p>
        </w:tc>
        <w:tc>
          <w:tcPr>
            <w:tcW w:w="724"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Carrera genérica</w:t>
            </w:r>
          </w:p>
        </w:tc>
        <w:tc>
          <w:tcPr>
            <w:tcW w:w="1037"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 xml:space="preserve">inicio </w:t>
            </w:r>
          </w:p>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 xml:space="preserve">(Periodo día/mes/año) </w:t>
            </w:r>
          </w:p>
        </w:tc>
        <w:tc>
          <w:tcPr>
            <w:tcW w:w="1037"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 xml:space="preserve">conclusión (Periodo día/mes/año) </w:t>
            </w:r>
          </w:p>
        </w:tc>
        <w:tc>
          <w:tcPr>
            <w:tcW w:w="1169"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Denominación de la Institución / empresa</w:t>
            </w:r>
          </w:p>
        </w:tc>
        <w:tc>
          <w:tcPr>
            <w:tcW w:w="1059"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Cargo o puesto desempeñado</w:t>
            </w:r>
          </w:p>
        </w:tc>
        <w:tc>
          <w:tcPr>
            <w:tcW w:w="927" w:type="dxa"/>
            <w:tcBorders>
              <w:top w:val="nil"/>
              <w:left w:val="nil"/>
              <w:bottom w:val="nil"/>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Campo de experiencia</w:t>
            </w:r>
          </w:p>
        </w:tc>
        <w:tc>
          <w:tcPr>
            <w:tcW w:w="1072" w:type="dxa"/>
            <w:tcBorders>
              <w:top w:val="nil"/>
              <w:left w:val="nil"/>
              <w:bottom w:val="nil"/>
              <w:right w:val="dotted" w:sz="4" w:space="0" w:color="000000"/>
            </w:tcBorders>
            <w:vAlign w:val="center"/>
          </w:tcPr>
          <w:p w:rsidR="00D51563" w:rsidRPr="00737A79" w:rsidRDefault="00B1162E" w:rsidP="00B1162E">
            <w:pPr>
              <w:spacing w:line="360" w:lineRule="auto"/>
              <w:jc w:val="center"/>
              <w:rPr>
                <w:rFonts w:ascii="Palatino Linotype" w:eastAsia="Palatino Linotype" w:hAnsi="Palatino Linotype" w:cs="Palatino Linotype"/>
                <w:i/>
              </w:rPr>
            </w:pPr>
            <w:r w:rsidRPr="00737A79">
              <w:rPr>
                <w:rFonts w:ascii="Palatino Linotype" w:eastAsia="Palatino Linotype" w:hAnsi="Palatino Linotype" w:cs="Palatino Linotype"/>
                <w:i/>
              </w:rPr>
              <w:t>Hipervínculo a la versión pública del currículum</w:t>
            </w:r>
          </w:p>
        </w:tc>
      </w:tr>
      <w:tr w:rsidR="00D51563" w:rsidRPr="00737A79">
        <w:trPr>
          <w:trHeight w:val="45"/>
          <w:jc w:val="center"/>
        </w:trPr>
        <w:tc>
          <w:tcPr>
            <w:tcW w:w="1110" w:type="dxa"/>
            <w:tcBorders>
              <w:top w:val="dotted" w:sz="4" w:space="0" w:color="000000"/>
              <w:left w:val="dotted" w:sz="4" w:space="0" w:color="000000"/>
              <w:bottom w:val="dotted" w:sz="4" w:space="0" w:color="000000"/>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644" w:type="dxa"/>
            <w:tcBorders>
              <w:top w:val="dotted" w:sz="4" w:space="0" w:color="000000"/>
              <w:left w:val="nil"/>
              <w:bottom w:val="dotted" w:sz="4" w:space="0" w:color="000000"/>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724" w:type="dxa"/>
            <w:tcBorders>
              <w:top w:val="dotted" w:sz="4" w:space="0" w:color="000000"/>
              <w:left w:val="nil"/>
              <w:bottom w:val="dotted" w:sz="4" w:space="0" w:color="000000"/>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037" w:type="dxa"/>
            <w:tcBorders>
              <w:top w:val="dotted" w:sz="4" w:space="0" w:color="000000"/>
              <w:left w:val="nil"/>
              <w:bottom w:val="dotted" w:sz="4" w:space="0" w:color="000000"/>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037" w:type="dxa"/>
            <w:tcBorders>
              <w:top w:val="dotted" w:sz="4" w:space="0" w:color="000000"/>
              <w:left w:val="nil"/>
              <w:bottom w:val="dotted" w:sz="4" w:space="0" w:color="000000"/>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169" w:type="dxa"/>
            <w:tcBorders>
              <w:top w:val="dotted" w:sz="4" w:space="0" w:color="000000"/>
              <w:left w:val="nil"/>
              <w:bottom w:val="dotted" w:sz="4" w:space="0" w:color="000000"/>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059" w:type="dxa"/>
            <w:tcBorders>
              <w:top w:val="dotted" w:sz="4" w:space="0" w:color="000000"/>
              <w:left w:val="nil"/>
              <w:bottom w:val="dotted" w:sz="4" w:space="0" w:color="000000"/>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927" w:type="dxa"/>
            <w:tcBorders>
              <w:top w:val="dotted" w:sz="4" w:space="0" w:color="000000"/>
              <w:left w:val="nil"/>
              <w:bottom w:val="nil"/>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072" w:type="dxa"/>
            <w:tcBorders>
              <w:top w:val="dotted" w:sz="4" w:space="0" w:color="000000"/>
              <w:left w:val="nil"/>
              <w:bottom w:val="nil"/>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r>
      <w:tr w:rsidR="00D51563" w:rsidRPr="00737A79">
        <w:trPr>
          <w:trHeight w:val="45"/>
          <w:jc w:val="center"/>
        </w:trPr>
        <w:tc>
          <w:tcPr>
            <w:tcW w:w="1110" w:type="dxa"/>
            <w:tcBorders>
              <w:top w:val="nil"/>
              <w:left w:val="dotted" w:sz="4" w:space="0" w:color="000000"/>
              <w:bottom w:val="dotted" w:sz="4" w:space="0" w:color="000000"/>
              <w:right w:val="dotted" w:sz="4" w:space="0" w:color="000000"/>
            </w:tcBorders>
            <w:vAlign w:val="center"/>
          </w:tcPr>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644"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724"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037"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037"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169"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059" w:type="dxa"/>
            <w:tcBorders>
              <w:top w:val="nil"/>
              <w:left w:val="nil"/>
              <w:bottom w:val="dotted" w:sz="4" w:space="0" w:color="000000"/>
              <w:right w:val="dotted" w:sz="4" w:space="0" w:color="000000"/>
            </w:tcBorders>
            <w:vAlign w:val="center"/>
          </w:tcPr>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927" w:type="dxa"/>
            <w:tcBorders>
              <w:top w:val="dotted" w:sz="4" w:space="0" w:color="000000"/>
              <w:left w:val="nil"/>
              <w:bottom w:val="nil"/>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c>
          <w:tcPr>
            <w:tcW w:w="1072" w:type="dxa"/>
            <w:tcBorders>
              <w:top w:val="dotted" w:sz="4" w:space="0" w:color="000000"/>
              <w:left w:val="nil"/>
              <w:bottom w:val="nil"/>
              <w:right w:val="dotted" w:sz="4" w:space="0" w:color="000000"/>
            </w:tcBorders>
            <w:vAlign w:val="center"/>
          </w:tcPr>
          <w:p w:rsidR="00D51563" w:rsidRPr="00737A79" w:rsidRDefault="00B1162E" w:rsidP="00B1162E">
            <w:pPr>
              <w:spacing w:line="360" w:lineRule="auto"/>
              <w:rPr>
                <w:rFonts w:ascii="Palatino Linotype" w:eastAsia="Palatino Linotype" w:hAnsi="Palatino Linotype" w:cs="Palatino Linotype"/>
                <w:i/>
              </w:rPr>
            </w:pPr>
            <w:r w:rsidRPr="00737A79">
              <w:rPr>
                <w:rFonts w:ascii="Palatino Linotype" w:eastAsia="Palatino Linotype" w:hAnsi="Palatino Linotype" w:cs="Palatino Linotype"/>
                <w:i/>
              </w:rPr>
              <w:t> </w:t>
            </w:r>
          </w:p>
        </w:tc>
      </w:tr>
    </w:tbl>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Asimismo, lo anterior tiene sustento en el Criterio 3/09, emitido por el entonces denominado Instituto Federal de Acceso a la Información y Protección de Datos </w:t>
      </w:r>
      <w:r w:rsidRPr="00737A79">
        <w:rPr>
          <w:rFonts w:ascii="Palatino Linotype" w:eastAsia="Palatino Linotype" w:hAnsi="Palatino Linotype" w:cs="Palatino Linotype"/>
          <w:color w:val="000000"/>
        </w:rPr>
        <w:lastRenderedPageBreak/>
        <w:t xml:space="preserve">Personales, y posteriormente Instituto Nacional de Acceso a la Información y Protección de Datos Personales, ambos extintos, que al efecto señala: </w:t>
      </w:r>
    </w:p>
    <w:p w:rsidR="00D51563" w:rsidRPr="00737A79" w:rsidRDefault="00B1162E" w:rsidP="00B1162E">
      <w:pPr>
        <w:spacing w:line="360" w:lineRule="auto"/>
        <w:jc w:val="both"/>
        <w:rPr>
          <w:rFonts w:ascii="Palatino Linotype" w:eastAsia="Palatino Linotype" w:hAnsi="Palatino Linotype" w:cs="Palatino Linotype"/>
          <w:b/>
          <w:i/>
        </w:rPr>
      </w:pPr>
      <w:r w:rsidRPr="00737A79">
        <w:rPr>
          <w:rFonts w:ascii="Palatino Linotype" w:eastAsia="Palatino Linotype" w:hAnsi="Palatino Linotype" w:cs="Palatino Linotype"/>
          <w:i/>
        </w:rPr>
        <w:t>“</w:t>
      </w:r>
      <w:r w:rsidRPr="00737A79">
        <w:rPr>
          <w:rFonts w:ascii="Palatino Linotype" w:eastAsia="Palatino Linotype" w:hAnsi="Palatino Linotype" w:cs="Palatino Linotype"/>
          <w:b/>
          <w:i/>
        </w:rPr>
        <w:t>Criterio 3/09.</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rPr>
        <w:t xml:space="preserve">Curriculum Vitae de servidores públicos. Es obligación de los sujetos obligados otorgar acceso a versiones públicas de los mismos ante una solicitud de acceso. </w:t>
      </w:r>
      <w:r w:rsidRPr="00737A79">
        <w:rPr>
          <w:rFonts w:ascii="Palatino Linotype" w:eastAsia="Palatino Linotype" w:hAnsi="Palatino Linotype" w:cs="Palatino Linotype"/>
          <w:i/>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curriculum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sidRPr="00737A79">
        <w:rPr>
          <w:rFonts w:ascii="Palatino Linotype" w:eastAsia="Palatino Linotype" w:hAnsi="Palatino Linotype" w:cs="Palatino Linotype"/>
          <w:i/>
          <w:u w:val="single"/>
        </w:rPr>
        <w:t>tratándose del curriculum vitae de un servidor público</w:t>
      </w: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i/>
          <w:u w:val="single"/>
        </w:rPr>
        <w:t>una de las formas en que los ciudadanos pueden evaluar sus aptitudes para desempeñar el cargo público que le ha sido encomendado,</w:t>
      </w: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i/>
          <w:u w:val="single"/>
        </w:rPr>
        <w:t>es mediante la publicidad de ciertos datos de los ahí contenidos</w:t>
      </w:r>
      <w:r w:rsidRPr="00737A79">
        <w:rPr>
          <w:rFonts w:ascii="Palatino Linotype" w:eastAsia="Palatino Linotype" w:hAnsi="Palatino Linotype" w:cs="Palatino Linotype"/>
          <w:i/>
        </w:rPr>
        <w:t xml:space="preserve">. En esa tesitura, entre los datos personales del curriculum vitae de un servidor público susceptibles de hacerse del conocimiento público, ante una solicitud de acceso, </w:t>
      </w:r>
      <w:r w:rsidRPr="00737A79">
        <w:rPr>
          <w:rFonts w:ascii="Palatino Linotype" w:eastAsia="Palatino Linotype" w:hAnsi="Palatino Linotype" w:cs="Palatino Linotype"/>
          <w:i/>
          <w:u w:val="single"/>
        </w:rPr>
        <w:t>se encuentran los relativos a su trayectoria académica, profesional, laboral, así como todos aquellos que acrediten su capacidad, habilidades o pericia para ocupar el cargo público</w:t>
      </w:r>
      <w:r w:rsidRPr="00737A79">
        <w:rPr>
          <w:rFonts w:ascii="Palatino Linotype" w:eastAsia="Palatino Linotype" w:hAnsi="Palatino Linotype" w:cs="Palatino Linotype"/>
          <w:i/>
        </w:rPr>
        <w:t xml:space="preserve">.”              </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737A79">
        <w:rPr>
          <w:rFonts w:ascii="Palatino Linotype" w:eastAsia="Palatino Linotype" w:hAnsi="Palatino Linotype" w:cs="Palatino Linotype"/>
          <w:color w:val="000000"/>
        </w:rPr>
        <w:t xml:space="preserve">De tal forma, es menester referir que el sujeto obligado, posee y administra la información solicitada por el hoy recurrente, por lo que deberá ser entregada; para tal </w:t>
      </w:r>
      <w:r w:rsidRPr="00737A79">
        <w:rPr>
          <w:rFonts w:ascii="Palatino Linotype" w:eastAsia="Palatino Linotype" w:hAnsi="Palatino Linotype" w:cs="Palatino Linotype"/>
          <w:color w:val="000000"/>
        </w:rPr>
        <w:lastRenderedPageBreak/>
        <w:t>efecto deberá dar observancia al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rsidR="00D51563" w:rsidRPr="00737A79" w:rsidRDefault="00B1162E" w:rsidP="00B1162E">
      <w:pPr>
        <w:spacing w:line="360" w:lineRule="auto"/>
        <w:jc w:val="both"/>
        <w:rPr>
          <w:rFonts w:ascii="Palatino Linotype" w:eastAsia="Palatino Linotype" w:hAnsi="Palatino Linotype" w:cs="Palatino Linotype"/>
          <w:i/>
        </w:rPr>
      </w:pPr>
      <w:r w:rsidRPr="00737A79">
        <w:rPr>
          <w:rFonts w:ascii="Palatino Linotype" w:eastAsia="Palatino Linotype" w:hAnsi="Palatino Linotype" w:cs="Palatino Linotype"/>
          <w:b/>
          <w:i/>
        </w:rPr>
        <w:t>“Artículo 162.</w:t>
      </w:r>
      <w:r w:rsidRPr="00737A79">
        <w:rPr>
          <w:rFonts w:ascii="Palatino Linotype" w:eastAsia="Palatino Linotype" w:hAnsi="Palatino Linotype" w:cs="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9F4E14" w:rsidRPr="00737A79" w:rsidRDefault="009F4E14" w:rsidP="00B1162E">
      <w:pPr>
        <w:spacing w:line="360" w:lineRule="auto"/>
        <w:jc w:val="both"/>
        <w:rPr>
          <w:rFonts w:ascii="Palatino Linotype" w:eastAsia="Palatino Linotype" w:hAnsi="Palatino Linotype" w:cs="Palatino Linotype"/>
          <w:i/>
          <w:u w:val="single"/>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Una vez que la información sea localizada, los servidores públicos habilitados deberán de valorar si se entrega en su totalidad, en versión pública o si es susceptible de clasificarse, contexto que en el caso concreto se actualiza de acuerdo a las constancias que obran en el expediente electrónico en que se actúa.</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 xml:space="preserve">Con la determinación anterior se determina fue colmado el derecho de acceso a la información del ahora Recurrente; toda vez que el Derecho que tutela este Órgano Garante corresponde a la  </w:t>
      </w:r>
      <w:r w:rsidRPr="00737A79">
        <w:rPr>
          <w:rFonts w:ascii="Palatino Linotype" w:eastAsia="Palatino Linotype" w:hAnsi="Palatino Linotype" w:cs="Palatino Linotype"/>
          <w:i/>
          <w:color w:val="000000"/>
        </w:rPr>
        <w:t>igualdad de oportunidades para recibir, buscar e impartir información</w:t>
      </w:r>
      <w:r w:rsidRPr="00737A79">
        <w:rPr>
          <w:rFonts w:ascii="Palatino Linotype" w:eastAsia="Palatino Linotype" w:hAnsi="Palatino Linotype" w:cs="Palatino Linotype"/>
          <w:i/>
          <w:color w:val="000000"/>
          <w:vertAlign w:val="superscript"/>
        </w:rPr>
        <w:footnoteReference w:id="2"/>
      </w:r>
      <w:r w:rsidRPr="00737A79">
        <w:rPr>
          <w:rFonts w:ascii="Palatino Linotype" w:eastAsia="Palatino Linotype" w:hAnsi="Palatino Linotype" w:cs="Palatino Linotype"/>
          <w:i/>
          <w:color w:val="000000"/>
        </w:rPr>
        <w:t xml:space="preserve"> en posesión de cualquier autoridad, entidad, órgano y organismo de los </w:t>
      </w:r>
      <w:r w:rsidRPr="00737A79">
        <w:rPr>
          <w:rFonts w:ascii="Palatino Linotype" w:eastAsia="Palatino Linotype" w:hAnsi="Palatino Linotype" w:cs="Palatino Linotype"/>
          <w:color w:val="000000"/>
        </w:rPr>
        <w:t>poderes</w:t>
      </w:r>
      <w:r w:rsidRPr="00737A79">
        <w:rPr>
          <w:rFonts w:ascii="Palatino Linotype" w:eastAsia="Palatino Linotype" w:hAnsi="Palatino Linotype" w:cs="Palatino Linotype"/>
          <w:i/>
          <w:color w:val="000000"/>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37A79">
        <w:rPr>
          <w:rFonts w:ascii="Palatino Linotype" w:eastAsia="Palatino Linotype" w:hAnsi="Palatino Linotype" w:cs="Palatino Linotype"/>
          <w:color w:val="000000"/>
          <w:vertAlign w:val="superscript"/>
        </w:rPr>
        <w:footnoteReference w:id="3"/>
      </w:r>
      <w:r w:rsidRPr="00737A79">
        <w:rPr>
          <w:rFonts w:ascii="Palatino Linotype" w:eastAsia="Palatino Linotype" w:hAnsi="Palatino Linotype" w:cs="Palatino Linotype"/>
          <w:i/>
          <w:color w:val="000000"/>
        </w:rPr>
        <w:t xml:space="preserve"> </w:t>
      </w:r>
      <w:r w:rsidRPr="00737A79">
        <w:rPr>
          <w:rFonts w:ascii="Palatino Linotype" w:eastAsia="Palatino Linotype" w:hAnsi="Palatino Linotype" w:cs="Palatino Linotype"/>
          <w:color w:val="000000"/>
        </w:rPr>
        <w:t xml:space="preserve">que se constituye como una herramienta fundamental para </w:t>
      </w:r>
      <w:r w:rsidRPr="00737A79">
        <w:rPr>
          <w:rFonts w:ascii="Palatino Linotype" w:eastAsia="Palatino Linotype" w:hAnsi="Palatino Linotype" w:cs="Palatino Linotype"/>
          <w:i/>
          <w:color w:val="000000"/>
        </w:rPr>
        <w:t>ejercer control democrático de las gestiones estatales, de forma tal que puedan cuestionar, indagar y considerar si se está dando un adecuado cumplimiento de las funciones públicas,</w:t>
      </w:r>
      <w:r w:rsidRPr="00737A79">
        <w:rPr>
          <w:rFonts w:ascii="Palatino Linotype" w:eastAsia="Palatino Linotype" w:hAnsi="Palatino Linotype" w:cs="Palatino Linotype"/>
          <w:i/>
          <w:color w:val="000000"/>
          <w:vertAlign w:val="superscript"/>
        </w:rPr>
        <w:footnoteReference w:id="4"/>
      </w:r>
      <w:r w:rsidRPr="00737A79">
        <w:rPr>
          <w:rFonts w:ascii="Palatino Linotype" w:eastAsia="Palatino Linotype" w:hAnsi="Palatino Linotype" w:cs="Palatino Linotype"/>
          <w:color w:val="000000"/>
        </w:rPr>
        <w:t>fomentando</w:t>
      </w:r>
      <w:r w:rsidRPr="00737A79">
        <w:rPr>
          <w:rFonts w:ascii="Palatino Linotype" w:eastAsia="Palatino Linotype" w:hAnsi="Palatino Linotype" w:cs="Palatino Linotype"/>
          <w:i/>
          <w:color w:val="000000"/>
        </w:rPr>
        <w:t xml:space="preserve"> la transparencia de las actividades estatales y</w:t>
      </w:r>
      <w:r w:rsidRPr="00737A79">
        <w:rPr>
          <w:rFonts w:ascii="Palatino Linotype" w:eastAsia="Palatino Linotype" w:hAnsi="Palatino Linotype" w:cs="Palatino Linotype"/>
          <w:color w:val="000000"/>
        </w:rPr>
        <w:t xml:space="preserve"> promoviendo</w:t>
      </w:r>
      <w:r w:rsidRPr="00737A79">
        <w:rPr>
          <w:rFonts w:ascii="Palatino Linotype" w:eastAsia="Palatino Linotype" w:hAnsi="Palatino Linotype" w:cs="Palatino Linotype"/>
          <w:i/>
          <w:color w:val="000000"/>
        </w:rPr>
        <w:t xml:space="preserve"> la responsabilidad de los funcionarios sobre su gestión pública</w:t>
      </w:r>
      <w:r w:rsidRPr="00737A79">
        <w:rPr>
          <w:rFonts w:ascii="Palatino Linotype" w:eastAsia="Palatino Linotype" w:hAnsi="Palatino Linotype" w:cs="Palatino Linotype"/>
          <w:i/>
          <w:color w:val="000000"/>
          <w:vertAlign w:val="superscript"/>
        </w:rPr>
        <w:footnoteReference w:id="5"/>
      </w:r>
      <w:r w:rsidRPr="00737A79">
        <w:rPr>
          <w:rFonts w:ascii="Palatino Linotype" w:eastAsia="Palatino Linotype" w:hAnsi="Palatino Linotype" w:cs="Palatino Linotype"/>
          <w:i/>
          <w:color w:val="000000"/>
        </w:rPr>
        <w:t xml:space="preserve"> </w:t>
      </w:r>
      <w:r w:rsidRPr="00737A79">
        <w:rPr>
          <w:rFonts w:ascii="Palatino Linotype" w:eastAsia="Palatino Linotype" w:hAnsi="Palatino Linotype" w:cs="Palatino Linotype"/>
          <w:color w:val="000000"/>
        </w:rPr>
        <w:t>que permite</w:t>
      </w:r>
      <w:r w:rsidRPr="00737A79">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r w:rsidRPr="00737A79">
        <w:rPr>
          <w:rFonts w:ascii="Palatino Linotype" w:eastAsia="Palatino Linotype" w:hAnsi="Palatino Linotype" w:cs="Palatino Linotype"/>
          <w:i/>
          <w:color w:val="000000"/>
          <w:vertAlign w:val="superscript"/>
        </w:rPr>
        <w:footnoteReference w:id="6"/>
      </w:r>
      <w:r w:rsidRPr="00737A79">
        <w:rPr>
          <w:rFonts w:ascii="Palatino Linotype" w:eastAsia="Palatino Linotype" w:hAnsi="Palatino Linotype" w:cs="Palatino Linotype"/>
          <w:color w:val="000000"/>
        </w:rPr>
        <w:t xml:space="preserve"> ” </w:t>
      </w:r>
    </w:p>
    <w:p w:rsidR="00D51563" w:rsidRPr="00737A79" w:rsidRDefault="00D51563" w:rsidP="00B1162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Para entender los alcances de la información pública se considera importante citar el criterio de interpretación en el orden administrativo número 0002-11, emitido por Acuerdo del Pleno de este Instituto de Transparencia y Acceso a la Información Pública </w:t>
      </w:r>
      <w:r w:rsidRPr="00737A79">
        <w:rPr>
          <w:rFonts w:ascii="Palatino Linotype" w:eastAsia="Palatino Linotype" w:hAnsi="Palatino Linotype" w:cs="Palatino Linotype"/>
          <w:color w:val="000000"/>
        </w:rPr>
        <w:lastRenderedPageBreak/>
        <w:t>del Estado de México y Municipios, publicado en el Periódico Oficial del Gobierno del Estado Libre y Soberano de México “Gaceta del Gobierno” el diecinueve de octubre de dos mil once, cuyo rubro y texto dispone:</w:t>
      </w:r>
    </w:p>
    <w:p w:rsidR="00D51563" w:rsidRPr="00737A79" w:rsidRDefault="00B1162E" w:rsidP="00B1162E">
      <w:pPr>
        <w:spacing w:line="360" w:lineRule="auto"/>
        <w:jc w:val="both"/>
        <w:rPr>
          <w:rFonts w:ascii="Palatino Linotype" w:eastAsia="Palatino Linotype" w:hAnsi="Palatino Linotype" w:cs="Palatino Linotype"/>
          <w:b/>
          <w:i/>
          <w:color w:val="000000"/>
        </w:rPr>
      </w:pPr>
      <w:r w:rsidRPr="00737A79">
        <w:rPr>
          <w:rFonts w:ascii="Palatino Linotype" w:eastAsia="Palatino Linotype" w:hAnsi="Palatino Linotype" w:cs="Palatino Linotype"/>
          <w:b/>
          <w:i/>
          <w:color w:val="000000"/>
        </w:rPr>
        <w:t>“CRITERIO 0002-11</w:t>
      </w:r>
    </w:p>
    <w:p w:rsidR="00D51563" w:rsidRPr="00737A79" w:rsidRDefault="00B1162E" w:rsidP="00B1162E">
      <w:pP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INFORMACIÓN PÚBLICA, CONCEPTO DE, EN MATERIA DE TRANSPARENCIA. INTERPRETACIÓN TEMÁTICA DE LOS ARTÍCULOS 2, FRACCIÓN V, XV, Y XVI, 3, 4,11 Y 41.</w:t>
      </w:r>
      <w:r w:rsidRPr="00737A79">
        <w:rPr>
          <w:rFonts w:ascii="Palatino Linotype" w:eastAsia="Palatino Linotype" w:hAnsi="Palatino Linotype" w:cs="Palatino Linotype"/>
          <w:i/>
          <w:color w:val="000000"/>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D51563" w:rsidRPr="00737A79" w:rsidRDefault="00B1162E" w:rsidP="00B1162E">
      <w:pP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En consecuencia el acceso a la información se refiere a que se cumplan cualquiera de los siguientes tres supuestos:</w:t>
      </w:r>
    </w:p>
    <w:p w:rsidR="00D51563" w:rsidRPr="00737A79" w:rsidRDefault="00B1162E" w:rsidP="00B1162E">
      <w:pP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Que se trate de información registrada en cualquier soporte documental, que en ejercicio de las atribuciones conferidas, sea generada por los Sujetos Obligados;</w:t>
      </w:r>
    </w:p>
    <w:p w:rsidR="00D51563" w:rsidRPr="00737A79" w:rsidRDefault="00B1162E" w:rsidP="00B1162E">
      <w:pP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Que se trate de información registrada en cualquier soporte documental, que en ejercicio de las atribuciones conferidas, sea administrada por los Sujetos Obligados, y</w:t>
      </w:r>
    </w:p>
    <w:p w:rsidR="00D51563" w:rsidRPr="00737A79" w:rsidRDefault="00B1162E" w:rsidP="00B1162E">
      <w:pP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Que se trate de información registrada en cualquier soporte documental, que en ejercicio de las atribuciones conferidas, se encuentre en posesión de los Sujetos Obligados.”</w:t>
      </w:r>
    </w:p>
    <w:p w:rsidR="00D51563" w:rsidRPr="00737A79" w:rsidRDefault="00D51563" w:rsidP="00B1162E">
      <w:pPr>
        <w:spacing w:line="360" w:lineRule="auto"/>
        <w:jc w:val="both"/>
        <w:rPr>
          <w:rFonts w:ascii="Palatino Linotype" w:eastAsia="Palatino Linotype" w:hAnsi="Palatino Linotype" w:cs="Palatino Linotype"/>
          <w:i/>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rsidR="00D51563" w:rsidRPr="00737A79" w:rsidRDefault="00B1162E" w:rsidP="00B1162E">
      <w:pP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lastRenderedPageBreak/>
        <w:t xml:space="preserve">XI. Documento: </w:t>
      </w:r>
      <w:r w:rsidRPr="00737A79">
        <w:rPr>
          <w:rFonts w:ascii="Palatino Linotype" w:eastAsia="Palatino Linotype" w:hAnsi="Palatino Linotype" w:cs="Palatino Linotype"/>
          <w:i/>
          <w:color w:val="000000"/>
        </w:rPr>
        <w:t xml:space="preserve">Los expedientes, reportes, estudios, actas, resoluciones, oficios, correspondencia, acuerdos, directivas, directrices, circulares, contratos, convenios, instructivos, notas, memorandos, estadísticas o bien, </w:t>
      </w:r>
      <w:r w:rsidRPr="00737A79">
        <w:rPr>
          <w:rFonts w:ascii="Palatino Linotype" w:eastAsia="Palatino Linotype" w:hAnsi="Palatino Linotype" w:cs="Palatino Linotype"/>
          <w:b/>
          <w:i/>
          <w:color w:val="000000"/>
        </w:rPr>
        <w:t>cualquier otro registro</w:t>
      </w:r>
      <w:r w:rsidRPr="00737A79">
        <w:rPr>
          <w:rFonts w:ascii="Palatino Linotype" w:eastAsia="Palatino Linotype" w:hAnsi="Palatino Linotype" w:cs="Palatino Linotype"/>
          <w:i/>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D51563" w:rsidRPr="00737A79" w:rsidRDefault="00D51563" w:rsidP="00B1162E">
      <w:pPr>
        <w:spacing w:line="360" w:lineRule="auto"/>
        <w:jc w:val="both"/>
        <w:rPr>
          <w:rFonts w:ascii="Palatino Linotype" w:eastAsia="Palatino Linotype" w:hAnsi="Palatino Linotype" w:cs="Palatino Linotype"/>
          <w:i/>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Es así que, todos los actos de autoridad que realicen los Sujetos Obligados </w:t>
      </w:r>
      <w:r w:rsidRPr="00737A79">
        <w:rPr>
          <w:rFonts w:ascii="Palatino Linotype" w:eastAsia="Palatino Linotype" w:hAnsi="Palatino Linotype" w:cs="Palatino Linotype"/>
          <w:b/>
          <w:color w:val="000000"/>
        </w:rPr>
        <w:t xml:space="preserve">deben estar </w:t>
      </w:r>
      <w:r w:rsidRPr="00737A79">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rsidR="00D51563" w:rsidRPr="00737A79" w:rsidRDefault="00D51563" w:rsidP="00B1162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rsidR="00D51563" w:rsidRPr="00737A79" w:rsidRDefault="00B1162E" w:rsidP="00B1162E">
      <w:pP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 xml:space="preserve">“Artículo 4. </w:t>
      </w:r>
      <w:r w:rsidRPr="00737A79">
        <w:rPr>
          <w:rFonts w:ascii="Palatino Linotype" w:eastAsia="Palatino Linotype" w:hAnsi="Palatino Linotype" w:cs="Palatino Linotype"/>
          <w:i/>
          <w:color w:val="000000"/>
        </w:rPr>
        <w:t>El derecho humano de acceso a la información pública es la prerrogativa de las personas para buscar, difundir, investigar, recabar, recibir y solicitar información pública, sin necesidad de acreditar personalidad ni interés jurídico.</w:t>
      </w:r>
    </w:p>
    <w:p w:rsidR="00D51563" w:rsidRPr="00737A79" w:rsidRDefault="00B1162E" w:rsidP="00B1162E">
      <w:pP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t>Toda la información</w:t>
      </w:r>
      <w:r w:rsidRPr="00737A79">
        <w:rPr>
          <w:rFonts w:ascii="Palatino Linotype" w:eastAsia="Palatino Linotype" w:hAnsi="Palatino Linotype" w:cs="Palatino Linotype"/>
          <w:i/>
          <w:color w:val="000000"/>
        </w:rPr>
        <w:t xml:space="preserve"> generada, obtenida, adquirida, transformada, administrada o </w:t>
      </w:r>
      <w:r w:rsidRPr="00737A79">
        <w:rPr>
          <w:rFonts w:ascii="Palatino Linotype" w:eastAsia="Palatino Linotype" w:hAnsi="Palatino Linotype" w:cs="Palatino Linotype"/>
          <w:b/>
          <w:i/>
          <w:color w:val="000000"/>
        </w:rPr>
        <w:t>en posesión de los sujetos obligados es pública</w:t>
      </w:r>
      <w:r w:rsidRPr="00737A79">
        <w:rPr>
          <w:rFonts w:ascii="Palatino Linotype" w:eastAsia="Palatino Linotype" w:hAnsi="Palatino Linotype" w:cs="Palatino Linotype"/>
          <w:i/>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737A79">
        <w:rPr>
          <w:rFonts w:ascii="Palatino Linotype" w:eastAsia="Palatino Linotype" w:hAnsi="Palatino Linotype" w:cs="Palatino Linotype"/>
          <w:i/>
          <w:color w:val="000000"/>
        </w:rPr>
        <w:lastRenderedPageBreak/>
        <w:t>excepcionalmente como reservada temporalmente por razones de interés público, en los términos de las causas legítimas y estrictamente necesarias previstas por esta Ley.</w:t>
      </w:r>
    </w:p>
    <w:p w:rsidR="00D51563" w:rsidRPr="00737A79" w:rsidRDefault="00B1162E" w:rsidP="00B1162E">
      <w:pPr>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i/>
          <w:color w:val="000000"/>
        </w:rPr>
        <w:t>Los sujetos obligados deben poner en práctica, políticas y programas de acceso a la información que se apeguen a criterios de publicidad, veracidad, oportunidad, precisión y suficiencia en beneficio de los solicitantes.”</w:t>
      </w:r>
    </w:p>
    <w:p w:rsidR="00D51563" w:rsidRPr="00737A79" w:rsidRDefault="00D51563" w:rsidP="00B1162E">
      <w:pPr>
        <w:spacing w:line="360" w:lineRule="auto"/>
        <w:jc w:val="both"/>
        <w:rPr>
          <w:rFonts w:ascii="Palatino Linotype" w:eastAsia="Palatino Linotype" w:hAnsi="Palatino Linotype" w:cs="Palatino Linotype"/>
          <w:i/>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37A79">
        <w:rPr>
          <w:rFonts w:ascii="Palatino Linotype" w:eastAsia="Palatino Linotype" w:hAnsi="Palatino Linotype" w:cs="Palatino Linotype"/>
          <w:color w:val="000000"/>
          <w:vertAlign w:val="superscript"/>
        </w:rPr>
        <w:footnoteReference w:id="7"/>
      </w:r>
      <w:r w:rsidRPr="00737A79">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D51563" w:rsidRPr="00737A79" w:rsidRDefault="00D51563" w:rsidP="00B1162E">
      <w:pPr>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D51563" w:rsidRPr="00737A79" w:rsidRDefault="00B1162E" w:rsidP="00B1162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r w:rsidRPr="00737A79">
        <w:rPr>
          <w:rFonts w:ascii="Palatino Linotype" w:eastAsia="Palatino Linotype" w:hAnsi="Palatino Linotype" w:cs="Palatino Linotype"/>
          <w:b/>
          <w:i/>
          <w:color w:val="000000"/>
        </w:rPr>
        <w:lastRenderedPageBreak/>
        <w:t>ACCESO A LA INFORMACIÓN. IMPLICACIÓN DEL PRINCIPIO DE MÁXIMA PUBLICIDAD EN EL DERECHO FUNDAMENTAL RELATIVO.</w:t>
      </w:r>
      <w:r w:rsidRPr="00737A79">
        <w:rPr>
          <w:rFonts w:ascii="Palatino Linotype" w:eastAsia="Palatino Linotype" w:hAnsi="Palatino Linotype" w:cs="Palatino Linotype"/>
          <w:i/>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D51563" w:rsidRPr="00737A79" w:rsidRDefault="00D51563" w:rsidP="00B1162E">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i/>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Finalmente no pasa desapercibido que en los curriculum vitae y fichas curriculares remitidas en respuesta; se dejaron a la vista datos personales como lo son correos electrónicos personales al igual que en la anterior solicitud de información registrada, siendo procedente dar vista a la Dirección General de Datos Personales de este Instituto conforme a los criterios ya establecidos que se tienen por reproducidos en obvio de repeticiones innecesarias.</w:t>
      </w:r>
    </w:p>
    <w:p w:rsidR="009F4E14" w:rsidRPr="00737A79" w:rsidRDefault="009F4E14" w:rsidP="009F4E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D51563" w:rsidRPr="00737A79" w:rsidRDefault="00B1162E" w:rsidP="00B1162E">
      <w:pPr>
        <w:spacing w:line="360" w:lineRule="auto"/>
        <w:jc w:val="both"/>
        <w:rPr>
          <w:rFonts w:ascii="Palatino Linotype" w:eastAsia="Palatino Linotype" w:hAnsi="Palatino Linotype" w:cs="Palatino Linotype"/>
          <w:b/>
        </w:rPr>
      </w:pPr>
      <w:r w:rsidRPr="00737A79">
        <w:rPr>
          <w:rFonts w:ascii="Palatino Linotype" w:eastAsia="Palatino Linotype" w:hAnsi="Palatino Linotype" w:cs="Palatino Linotype"/>
          <w:b/>
        </w:rPr>
        <w:t>QUINTO. De la versión pública.</w:t>
      </w: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Finalmente, con relación a la </w:t>
      </w:r>
      <w:r w:rsidRPr="00737A79">
        <w:rPr>
          <w:rFonts w:ascii="Palatino Linotype" w:eastAsia="Palatino Linotype" w:hAnsi="Palatino Linotype" w:cs="Palatino Linotype"/>
          <w:b/>
          <w:color w:val="000000"/>
        </w:rPr>
        <w:t xml:space="preserve">versión pública </w:t>
      </w:r>
      <w:r w:rsidRPr="00737A79">
        <w:rPr>
          <w:rFonts w:ascii="Palatino Linotype" w:eastAsia="Palatino Linotype" w:hAnsi="Palatino Linotype" w:cs="Palatino Linotype"/>
          <w:color w:val="000000"/>
        </w:rPr>
        <w:t xml:space="preserve">de la información de la que se ordena su entrega, en términos del artículo 143, fracción I y II de la Ley de Transparencia y Acceso a la Información Pública del Estado de México y Municipios, deberá omitirse, eliminarse o suprimirse la información </w:t>
      </w:r>
      <w:r w:rsidRPr="00737A79">
        <w:rPr>
          <w:rFonts w:ascii="Palatino Linotype" w:eastAsia="Palatino Linotype" w:hAnsi="Palatino Linotype" w:cs="Palatino Linotype"/>
          <w:b/>
          <w:color w:val="000000"/>
        </w:rPr>
        <w:t>confidencial</w:t>
      </w:r>
      <w:r w:rsidRPr="00737A79">
        <w:rPr>
          <w:rFonts w:ascii="Palatino Linotype" w:eastAsia="Palatino Linotype" w:hAnsi="Palatino Linotype" w:cs="Palatino Linotype"/>
          <w:color w:val="000000"/>
        </w:rPr>
        <w:t xml:space="preserve">. </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En el caso </w:t>
      </w:r>
      <w:r w:rsidRPr="00737A79">
        <w:rPr>
          <w:rFonts w:ascii="Palatino Linotype" w:eastAsia="Palatino Linotype" w:hAnsi="Palatino Linotype" w:cs="Palatino Linotype"/>
          <w:b/>
          <w:color w:val="000000"/>
        </w:rPr>
        <w:t>específico</w:t>
      </w:r>
      <w:r w:rsidRPr="00737A79">
        <w:rPr>
          <w:rFonts w:ascii="Palatino Linotype" w:eastAsia="Palatino Linotype" w:hAnsi="Palatino Linotype" w:cs="Palatino Linotype"/>
          <w:color w:val="000000"/>
        </w:rPr>
        <w:t xml:space="preserve">, se procede abordar los siguientes datos que a consideración de este Organismo Garante son públicos: </w:t>
      </w:r>
    </w:p>
    <w:p w:rsidR="00D51563" w:rsidRPr="00737A79" w:rsidRDefault="00D51563" w:rsidP="00B1162E">
      <w:pPr>
        <w:pBdr>
          <w:top w:val="nil"/>
          <w:left w:val="nil"/>
          <w:bottom w:val="nil"/>
          <w:right w:val="nil"/>
          <w:between w:val="nil"/>
        </w:pBdr>
        <w:spacing w:before="120"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b/>
          <w:color w:val="000000"/>
        </w:rPr>
        <w:t>Fotografía de servidores públicos</w:t>
      </w:r>
      <w:r w:rsidRPr="00737A79">
        <w:rPr>
          <w:rFonts w:ascii="Palatino Linotype" w:eastAsia="Palatino Linotype" w:hAnsi="Palatino Linotype" w:cs="Palatino Linotype"/>
          <w:color w:val="000000"/>
        </w:rPr>
        <w:t>: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rsidR="00D51563" w:rsidRPr="00737A79" w:rsidRDefault="00D51563" w:rsidP="00B1162E">
      <w:pPr>
        <w:pBdr>
          <w:top w:val="nil"/>
          <w:left w:val="nil"/>
          <w:bottom w:val="nil"/>
          <w:right w:val="nil"/>
          <w:between w:val="nil"/>
        </w:pBdr>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rsidR="00D51563" w:rsidRPr="00737A79" w:rsidRDefault="00D51563" w:rsidP="00B1162E">
      <w:pPr>
        <w:pBdr>
          <w:top w:val="nil"/>
          <w:left w:val="nil"/>
          <w:bottom w:val="nil"/>
          <w:right w:val="nil"/>
          <w:between w:val="nil"/>
        </w:pBdr>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rsidR="00D51563" w:rsidRPr="00737A79" w:rsidRDefault="00D51563" w:rsidP="00B1162E">
      <w:pPr>
        <w:pBdr>
          <w:top w:val="nil"/>
          <w:left w:val="nil"/>
          <w:bottom w:val="nil"/>
          <w:right w:val="nil"/>
          <w:between w:val="nil"/>
        </w:pBdr>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En este sentido, resultan aplicables por analogía, los Criterios SO/015/2017 y SO/001/2013 del Instituto Nacional de Transparencia y Acceso a la Información Pública y Protección de Datos Personales, en los cuales se esgrimen argumentos, que, si bien no refieren de manera específica a fotografías de servidores públicos, sí establecen un criterio </w:t>
      </w:r>
      <w:r w:rsidRPr="00737A79">
        <w:rPr>
          <w:rFonts w:ascii="Palatino Linotype" w:eastAsia="Palatino Linotype" w:hAnsi="Palatino Linotype" w:cs="Palatino Linotype"/>
          <w:color w:val="000000"/>
        </w:rPr>
        <w:lastRenderedPageBreak/>
        <w:t>para que este dato personal pueda ser considerado como público, cuando se pretende acreditar que una persona es servidor público.</w:t>
      </w:r>
    </w:p>
    <w:p w:rsidR="009F4E14" w:rsidRPr="00737A79" w:rsidRDefault="009F4E14" w:rsidP="009F4E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D51563" w:rsidRPr="00737A79" w:rsidRDefault="00B1162E" w:rsidP="00B1162E">
      <w:pPr>
        <w:spacing w:line="360" w:lineRule="auto"/>
        <w:jc w:val="both"/>
        <w:rPr>
          <w:rFonts w:ascii="Palatino Linotype" w:eastAsia="Palatino Linotype" w:hAnsi="Palatino Linotype" w:cs="Palatino Linotype"/>
        </w:rPr>
      </w:pPr>
      <w:r w:rsidRPr="00737A79">
        <w:rPr>
          <w:rFonts w:ascii="Palatino Linotype" w:eastAsia="Palatino Linotype" w:hAnsi="Palatino Linotype" w:cs="Palatino Linotype"/>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De acuerdo con el argumento planteado, la determinación de esta resolución deja sin efectos el criterio adoptado anteriormente por el Pleno de este Instituto, con número </w:t>
      </w:r>
      <w:r w:rsidRPr="00737A79">
        <w:rPr>
          <w:rFonts w:ascii="Palatino Linotype" w:eastAsia="Palatino Linotype" w:hAnsi="Palatino Linotype" w:cs="Palatino Linotype"/>
          <w:color w:val="000000"/>
        </w:rPr>
        <w:lastRenderedPageBreak/>
        <w:t>03/2019, en el que solo se consideraban como públicas las fotografías de mandos medios y/o superiores.</w:t>
      </w:r>
    </w:p>
    <w:p w:rsidR="00D51563" w:rsidRPr="00737A79" w:rsidRDefault="00D51563" w:rsidP="00B1162E">
      <w:pPr>
        <w:pBdr>
          <w:top w:val="nil"/>
          <w:left w:val="nil"/>
          <w:bottom w:val="nil"/>
          <w:right w:val="nil"/>
          <w:between w:val="nil"/>
        </w:pBdr>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rsidR="00D51563" w:rsidRPr="00737A79" w:rsidRDefault="00D51563" w:rsidP="00B1162E">
      <w:pPr>
        <w:pBdr>
          <w:top w:val="nil"/>
          <w:left w:val="nil"/>
          <w:bottom w:val="nil"/>
          <w:right w:val="nil"/>
          <w:between w:val="nil"/>
        </w:pBdr>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b/>
          <w:color w:val="000000"/>
        </w:rPr>
        <w:t>Firma</w:t>
      </w:r>
      <w:r w:rsidRPr="00737A79">
        <w:rPr>
          <w:rFonts w:ascii="Palatino Linotype" w:eastAsia="Palatino Linotype" w:hAnsi="Palatino Linotype" w:cs="Palatino Linotype"/>
          <w:color w:val="000000"/>
        </w:rPr>
        <w:t>: Tocante al tema de la firma, al tratarse de la escritura gráfica o grafo manuscrito que representa al nombre y apellido(s), o título, que una persona escribe de su propia mano, que tiene fines de identificación, jurídicos, representativos y diplomáticos, a través de los cuales es posible identificar o hacer identificable a su titular, constituye un dato personal que debe ser protegido, sin embargo, en el caso de los servidores públicos, dicho dato es público cuando, en ejercicio de las atribuciones que les fueron conferidas, emiten un acto de autoridad, siendo la firma el medio por el cual se le da validez a dicho acto.</w:t>
      </w:r>
    </w:p>
    <w:p w:rsidR="00D51563" w:rsidRPr="00737A79" w:rsidRDefault="00D51563" w:rsidP="00B1162E">
      <w:pPr>
        <w:pBdr>
          <w:top w:val="nil"/>
          <w:left w:val="nil"/>
          <w:bottom w:val="nil"/>
          <w:right w:val="nil"/>
          <w:between w:val="nil"/>
        </w:pBdr>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b/>
          <w:color w:val="000000"/>
        </w:rPr>
        <w:t>Robustece</w:t>
      </w:r>
      <w:r w:rsidRPr="00737A79">
        <w:rPr>
          <w:rFonts w:ascii="Palatino Linotype" w:eastAsia="Palatino Linotype" w:hAnsi="Palatino Linotype" w:cs="Palatino Linotype"/>
          <w:color w:val="000000"/>
        </w:rPr>
        <w:t xml:space="preserve"> lo anterior el criterio orientador 02-19 emitido por el Instituto Nacional de Transparencia, Acceso a la Información y Protección de Datos Personales, INAI, el cual refiere:</w:t>
      </w:r>
    </w:p>
    <w:p w:rsidR="00D51563" w:rsidRPr="00737A79" w:rsidRDefault="00B1162E" w:rsidP="00B1162E">
      <w:pPr>
        <w:spacing w:before="240" w:after="240"/>
        <w:jc w:val="both"/>
        <w:rPr>
          <w:rFonts w:ascii="Palatino Linotype" w:eastAsia="Palatino Linotype" w:hAnsi="Palatino Linotype" w:cs="Palatino Linotype"/>
          <w:i/>
        </w:rPr>
      </w:pPr>
      <w:r w:rsidRPr="00737A79">
        <w:rPr>
          <w:rFonts w:ascii="Palatino Linotype" w:eastAsia="Palatino Linotype" w:hAnsi="Palatino Linotype" w:cs="Palatino Linotype"/>
        </w:rPr>
        <w:lastRenderedPageBreak/>
        <w:t xml:space="preserve"> </w:t>
      </w:r>
      <w:r w:rsidRPr="00737A79">
        <w:rPr>
          <w:rFonts w:ascii="Palatino Linotype" w:eastAsia="Palatino Linotype" w:hAnsi="Palatino Linotype" w:cs="Palatino Linotype"/>
          <w:i/>
        </w:rPr>
        <w:t>“</w:t>
      </w:r>
      <w:r w:rsidRPr="00737A79">
        <w:rPr>
          <w:rFonts w:ascii="Palatino Linotype" w:eastAsia="Palatino Linotype" w:hAnsi="Palatino Linotype" w:cs="Palatino Linotype"/>
          <w:b/>
          <w:i/>
        </w:rPr>
        <w:t>Firma y rúbrica de servidores públicos.</w:t>
      </w:r>
      <w:r w:rsidRPr="00737A79">
        <w:rPr>
          <w:rFonts w:ascii="Palatino Linotype" w:eastAsia="Palatino Linotype" w:hAnsi="Palatino Linotype" w:cs="Palatino Linotype"/>
          <w:i/>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Contexto que en el presente asunto no se actualiza por no realizarse en ejercicio de sus </w:t>
      </w:r>
      <w:r w:rsidRPr="00737A79">
        <w:rPr>
          <w:rFonts w:ascii="Palatino Linotype" w:eastAsia="Palatino Linotype" w:hAnsi="Palatino Linotype" w:cs="Palatino Linotype"/>
          <w:b/>
          <w:color w:val="000000"/>
        </w:rPr>
        <w:t>funciones</w:t>
      </w:r>
      <w:r w:rsidRPr="00737A79">
        <w:rPr>
          <w:rFonts w:ascii="Palatino Linotype" w:eastAsia="Palatino Linotype" w:hAnsi="Palatino Linotype" w:cs="Palatino Linotype"/>
          <w:color w:val="000000"/>
        </w:rPr>
        <w:t xml:space="preserve"> de derecho público; toda vez que el curriculum vitae son elaborados por aquellos interesados a ingresar al servicio público.</w:t>
      </w:r>
    </w:p>
    <w:p w:rsidR="00D51563" w:rsidRPr="00737A79" w:rsidRDefault="00D51563" w:rsidP="00B1162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Así, los documentos que dan cuenta de la experiencia y preparación académica sirven como medios de identificación, para que a su titular lo relacionen con el nivel de estudios con que cuenta independientemente de que estos sean o no medios de identificación oficiales. Luego entonces, no es necesario que el ciudadano acceda a dicho dato personal, ya que actualiza la fracción I, del artículo 143 de la Ley de Transparencia y Acceso a la Información Pública del Estado de México y Municipios.</w:t>
      </w:r>
    </w:p>
    <w:p w:rsidR="00D51563" w:rsidRPr="00737A79" w:rsidRDefault="00D51563" w:rsidP="00B1162E">
      <w:pPr>
        <w:pBdr>
          <w:top w:val="nil"/>
          <w:left w:val="nil"/>
          <w:bottom w:val="nil"/>
          <w:right w:val="nil"/>
          <w:between w:val="nil"/>
        </w:pBdr>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Al respecto, se destaca que la versión pública que elabore el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737A79">
        <w:rPr>
          <w:rFonts w:ascii="Palatino Linotype" w:eastAsia="Palatino Linotype" w:hAnsi="Palatino Linotype" w:cs="Palatino Linotype"/>
          <w:b/>
          <w:color w:val="000000"/>
        </w:rPr>
        <w:t>LINEAMIENTOS GENERALES EN MATERIA DE CLASIFICACIÓN Y DESCLASIFICACIÓN DE LA INFORMACIÓN, ASÍ COMO PARA LA ELABORACIÓN DE VERSIONES PÚBLICAS</w:t>
      </w:r>
      <w:r w:rsidRPr="00737A79">
        <w:rPr>
          <w:rFonts w:ascii="Palatino Linotype" w:eastAsia="Palatino Linotype" w:hAnsi="Palatino Linotype" w:cs="Palatino Linotype"/>
          <w:color w:val="000000"/>
        </w:rPr>
        <w:t xml:space="preserve">, publicados en el Diario Oficial de la Federación en fecha dieciocho de </w:t>
      </w:r>
      <w:r w:rsidRPr="00737A79">
        <w:rPr>
          <w:rFonts w:ascii="Palatino Linotype" w:eastAsia="Palatino Linotype" w:hAnsi="Palatino Linotype" w:cs="Palatino Linotype"/>
          <w:color w:val="000000"/>
        </w:rPr>
        <w:lastRenderedPageBreak/>
        <w:t>noviembre del año dos mil veintidós, mediante Acuerdo del Consejo Nacional del Sistema Nacional de Transparencia, Acceso a la Información Pública y Protección de Datos Personales, que literalmente expresan:</w:t>
      </w:r>
    </w:p>
    <w:p w:rsidR="00D51563" w:rsidRPr="00737A79" w:rsidRDefault="00D51563" w:rsidP="00B1162E">
      <w:pPr>
        <w:jc w:val="both"/>
        <w:rPr>
          <w:rFonts w:ascii="Palatino Linotype" w:eastAsia="Palatino Linotype" w:hAnsi="Palatino Linotype" w:cs="Palatino Linotype"/>
          <w:b/>
          <w:i/>
        </w:rPr>
      </w:pP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“Lineamientos Generales en materia de Clasificación y Desclasificación de la Información, así como para la elaboración de Versiones Públicas</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i/>
        </w:rPr>
        <w:t>“</w:t>
      </w:r>
      <w:r w:rsidRPr="00737A79">
        <w:rPr>
          <w:rFonts w:ascii="Palatino Linotype" w:eastAsia="Palatino Linotype" w:hAnsi="Palatino Linotype" w:cs="Palatino Linotype"/>
          <w:b/>
          <w:i/>
        </w:rPr>
        <w:t>Segundo.-</w:t>
      </w:r>
      <w:r w:rsidRPr="00737A79">
        <w:rPr>
          <w:rFonts w:ascii="Palatino Linotype" w:eastAsia="Palatino Linotype" w:hAnsi="Palatino Linotype" w:cs="Palatino Linotype"/>
          <w:i/>
        </w:rPr>
        <w:t xml:space="preserve"> Para efectos de los presentes Lineamientos Generales, se entenderá por:</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XVIII.</w:t>
      </w:r>
      <w:r w:rsidRPr="00737A79">
        <w:rPr>
          <w:rFonts w:ascii="Palatino Linotype" w:eastAsia="Palatino Linotype" w:hAnsi="Palatino Linotype" w:cs="Palatino Linotype"/>
          <w:i/>
        </w:rPr>
        <w:t xml:space="preserve"> </w:t>
      </w:r>
      <w:r w:rsidRPr="00737A79">
        <w:rPr>
          <w:rFonts w:ascii="Palatino Linotype" w:eastAsia="Palatino Linotype" w:hAnsi="Palatino Linotype" w:cs="Palatino Linotype"/>
          <w:b/>
          <w:i/>
        </w:rPr>
        <w:t>Versión pública:</w:t>
      </w:r>
      <w:r w:rsidRPr="00737A79">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737A79">
        <w:rPr>
          <w:rFonts w:ascii="Palatino Linotype" w:eastAsia="Palatino Linotype" w:hAnsi="Palatino Linotype" w:cs="Palatino Linotype"/>
          <w:b/>
          <w:i/>
          <w:u w:val="single"/>
        </w:rPr>
        <w:t>fundando y motivando la</w:t>
      </w:r>
      <w:r w:rsidRPr="00737A79">
        <w:rPr>
          <w:rFonts w:ascii="Palatino Linotype" w:eastAsia="Palatino Linotype" w:hAnsi="Palatino Linotype" w:cs="Palatino Linotype"/>
          <w:i/>
        </w:rPr>
        <w:t xml:space="preserve"> reserva o </w:t>
      </w:r>
      <w:r w:rsidRPr="00737A79">
        <w:rPr>
          <w:rFonts w:ascii="Palatino Linotype" w:eastAsia="Palatino Linotype" w:hAnsi="Palatino Linotype" w:cs="Palatino Linotype"/>
          <w:b/>
          <w:i/>
          <w:u w:val="single"/>
        </w:rPr>
        <w:t>confidencialidad</w:t>
      </w:r>
      <w:r w:rsidRPr="00737A79">
        <w:rPr>
          <w:rFonts w:ascii="Palatino Linotype" w:eastAsia="Palatino Linotype" w:hAnsi="Palatino Linotype" w:cs="Palatino Linotype"/>
          <w:i/>
        </w:rPr>
        <w:t>, a través de la resolución que para tal efecto emita el Comité de Transparencia.</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Cuarto.</w:t>
      </w:r>
      <w:r w:rsidRPr="00737A79">
        <w:rPr>
          <w:rFonts w:ascii="Palatino Linotype" w:eastAsia="Palatino Linotype" w:hAnsi="Palatino Linotype" w:cs="Palatino Linotype"/>
          <w:i/>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Quinto.</w:t>
      </w:r>
      <w:r w:rsidRPr="00737A79">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Séptimo.</w:t>
      </w:r>
      <w:r w:rsidRPr="00737A79">
        <w:rPr>
          <w:rFonts w:ascii="Palatino Linotype" w:eastAsia="Palatino Linotype" w:hAnsi="Palatino Linotype" w:cs="Palatino Linotype"/>
          <w:i/>
        </w:rPr>
        <w:t xml:space="preserve"> La clasificación de la información se llevará a cabo en el momento en que:</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I.</w:t>
      </w:r>
      <w:r w:rsidRPr="00737A79">
        <w:rPr>
          <w:rFonts w:ascii="Palatino Linotype" w:eastAsia="Palatino Linotype" w:hAnsi="Palatino Linotype" w:cs="Palatino Linotype"/>
          <w:i/>
        </w:rPr>
        <w:t xml:space="preserve"> Se reciba una solicitud de acceso a la información;</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b/>
          <w:i/>
        </w:rPr>
        <w:t>II.</w:t>
      </w:r>
      <w:r w:rsidRPr="00737A79">
        <w:rPr>
          <w:rFonts w:ascii="Palatino Linotype" w:eastAsia="Palatino Linotype" w:hAnsi="Palatino Linotype" w:cs="Palatino Linotype"/>
          <w:i/>
        </w:rPr>
        <w:t xml:space="preserve"> Se  determine mediante resolución del Comité de Transparencia, el órgano garante </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i/>
        </w:rPr>
        <w:t>competente, o en cumplimiento a una sentencia del Poder Judicial; o</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III.</w:t>
      </w:r>
      <w:r w:rsidRPr="00737A79">
        <w:rPr>
          <w:rFonts w:ascii="Palatino Linotype" w:eastAsia="Palatino Linotype" w:hAnsi="Palatino Linotype" w:cs="Palatino Linotype"/>
          <w:i/>
        </w:rPr>
        <w:t xml:space="preserve"> Se generen versiones públicas para dar cumplimiento a las obligaciones de transparencia previstas en la Ley General, la Ley Federal y las correspondientes de las entidades federativas.</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i/>
        </w:rPr>
        <w:lastRenderedPageBreak/>
        <w:t>Los titulares de las áreas deberán revisar la clasificación al momento de la recepción de una solicitud de acceso a la información, para verificar si encuadra en una causal de reserva o de confidencialidad.</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Octavo.</w:t>
      </w:r>
      <w:r w:rsidRPr="00737A79">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Noveno.</w:t>
      </w:r>
      <w:r w:rsidRPr="00737A79">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b/>
          <w:i/>
        </w:rPr>
        <w:t>Décimo.</w:t>
      </w:r>
      <w:r w:rsidRPr="00737A79">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b/>
          <w:i/>
        </w:rPr>
        <w:t>Décimo primero.</w:t>
      </w:r>
      <w:r w:rsidRPr="00737A79">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D51563" w:rsidRPr="00737A79" w:rsidRDefault="00D51563" w:rsidP="00B1162E">
      <w:pPr>
        <w:pBdr>
          <w:top w:val="nil"/>
          <w:left w:val="nil"/>
          <w:bottom w:val="nil"/>
          <w:right w:val="nil"/>
          <w:between w:val="nil"/>
        </w:pBdr>
        <w:jc w:val="both"/>
        <w:rPr>
          <w:rFonts w:ascii="Palatino Linotype" w:hAnsi="Palatino Linotype"/>
        </w:rPr>
      </w:pP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i/>
        </w:rPr>
        <w:t>[…]</w:t>
      </w:r>
    </w:p>
    <w:p w:rsidR="00D51563" w:rsidRPr="00737A79" w:rsidRDefault="00B1162E" w:rsidP="00B1162E">
      <w:pPr>
        <w:pBdr>
          <w:top w:val="nil"/>
          <w:left w:val="nil"/>
          <w:bottom w:val="nil"/>
          <w:right w:val="nil"/>
          <w:between w:val="nil"/>
        </w:pBdr>
        <w:jc w:val="center"/>
        <w:rPr>
          <w:rFonts w:ascii="Palatino Linotype" w:hAnsi="Palatino Linotype"/>
        </w:rPr>
      </w:pPr>
      <w:r w:rsidRPr="00737A79">
        <w:rPr>
          <w:rFonts w:ascii="Palatino Linotype" w:eastAsia="Palatino Linotype" w:hAnsi="Palatino Linotype" w:cs="Palatino Linotype"/>
          <w:b/>
          <w:i/>
        </w:rPr>
        <w:t>CAPÍTULO VIII</w:t>
      </w:r>
    </w:p>
    <w:p w:rsidR="00D51563" w:rsidRPr="00737A79" w:rsidRDefault="00B1162E" w:rsidP="00B1162E">
      <w:pPr>
        <w:pBdr>
          <w:top w:val="nil"/>
          <w:left w:val="nil"/>
          <w:bottom w:val="nil"/>
          <w:right w:val="nil"/>
          <w:between w:val="nil"/>
        </w:pBdr>
        <w:jc w:val="center"/>
        <w:rPr>
          <w:rFonts w:ascii="Palatino Linotype" w:eastAsia="Palatino Linotype" w:hAnsi="Palatino Linotype" w:cs="Palatino Linotype"/>
          <w:b/>
          <w:i/>
        </w:rPr>
      </w:pPr>
      <w:r w:rsidRPr="00737A79">
        <w:rPr>
          <w:rFonts w:ascii="Palatino Linotype" w:eastAsia="Palatino Linotype" w:hAnsi="Palatino Linotype" w:cs="Palatino Linotype"/>
          <w:b/>
          <w:i/>
        </w:rPr>
        <w:t>DE LOS ELEMENTOS PARA LA CLASIFICACIÓN</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b/>
          <w:i/>
        </w:rPr>
        <w:t>Quincuagésimo</w:t>
      </w:r>
      <w:r w:rsidRPr="00737A79">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w:t>
      </w:r>
      <w:r w:rsidRPr="00737A79">
        <w:rPr>
          <w:rFonts w:ascii="Palatino Linotype" w:eastAsia="Palatino Linotype" w:hAnsi="Palatino Linotype" w:cs="Palatino Linotype"/>
          <w:i/>
        </w:rPr>
        <w:lastRenderedPageBreak/>
        <w:t>y cuando cumplan lo establecido en los presentes Lineamientos, así como en las correspondientes Leyes Generales.</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b/>
          <w:i/>
        </w:rPr>
        <w:t>Quincuagésimo primero</w:t>
      </w:r>
      <w:r w:rsidRPr="00737A79">
        <w:rPr>
          <w:rFonts w:ascii="Palatino Linotype" w:eastAsia="Palatino Linotype" w:hAnsi="Palatino Linotype" w:cs="Palatino Linotype"/>
          <w:i/>
        </w:rPr>
        <w:t>. Toda acta del Comité de Transparencia deberá contener:</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 xml:space="preserve">I. El número de sesión y fecha; </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II. El nombre del área que solicitó la clasificación de información;</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III. La fundamentación legal y motivación correspondiente;</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IV. La resolución o resoluciones aprobadas; y</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 xml:space="preserve">V. La rúbrica o firma digital de cada integrante del Comité de Transparencia. </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Las resoluciones del Comité en las que se haya determinado confirmar o modificar la clasificación de información pública como reservada, deberán incluir, cuando menos:</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 Los motivos y razonamientos que sustenten la confirmación o modificación de la prueba de daño;</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II. Descripción de las partes o secciones reservadas, en caso de clasificación parcial;</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III. El periodo por el que mantendrá su clasificación y fecha de expiración; y</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IV. El nombre del titular y área encargada de realizar la versión pública del documento, en su caso.</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b/>
          <w:i/>
        </w:rPr>
        <w:t>Quincuagésimo segundo</w:t>
      </w:r>
      <w:r w:rsidRPr="00737A79">
        <w:rPr>
          <w:rFonts w:ascii="Palatino Linotype" w:eastAsia="Palatino Linotype" w:hAnsi="Palatino Linotype" w:cs="Palatino Linotype"/>
          <w:i/>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En el caso específico de la clasificación y elaboración de versiones públicas de documentos que contengan información confidencial, las áreas de los sujetos obligados deberán:</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 Fijar la fecha en que se elaboró la versión pública y la fecha en la cual el Comité de Transparencia confirmó dicha versión;</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III. Señalar las personas o instancias autorizadas a acceder a la información clasificada.</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b/>
          <w:i/>
        </w:rPr>
      </w:pPr>
      <w:r w:rsidRPr="00737A79">
        <w:rPr>
          <w:rFonts w:ascii="Palatino Linotype" w:eastAsia="Palatino Linotype" w:hAnsi="Palatino Linotype" w:cs="Palatino Linotype"/>
          <w:b/>
          <w:i/>
        </w:rPr>
        <w:t>…</w:t>
      </w:r>
    </w:p>
    <w:p w:rsidR="00D51563" w:rsidRPr="00737A79" w:rsidRDefault="00B1162E" w:rsidP="00B1162E">
      <w:pPr>
        <w:pBdr>
          <w:top w:val="nil"/>
          <w:left w:val="nil"/>
          <w:bottom w:val="nil"/>
          <w:right w:val="nil"/>
          <w:between w:val="nil"/>
        </w:pBdr>
        <w:jc w:val="both"/>
        <w:rPr>
          <w:rFonts w:ascii="Palatino Linotype" w:eastAsia="Palatino Linotype" w:hAnsi="Palatino Linotype" w:cs="Palatino Linotype"/>
          <w:i/>
        </w:rPr>
      </w:pPr>
      <w:r w:rsidRPr="00737A79">
        <w:rPr>
          <w:rFonts w:ascii="Palatino Linotype" w:eastAsia="Palatino Linotype" w:hAnsi="Palatino Linotype" w:cs="Palatino Linotype"/>
          <w:i/>
        </w:rPr>
        <w:lastRenderedPageBreak/>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rsidR="00D51563" w:rsidRPr="00737A79" w:rsidRDefault="00B1162E" w:rsidP="00B1162E">
      <w:pPr>
        <w:pBdr>
          <w:top w:val="nil"/>
          <w:left w:val="nil"/>
          <w:bottom w:val="nil"/>
          <w:right w:val="nil"/>
          <w:between w:val="nil"/>
        </w:pBdr>
        <w:jc w:val="both"/>
        <w:rPr>
          <w:rFonts w:ascii="Palatino Linotype" w:hAnsi="Palatino Linotype"/>
        </w:rPr>
      </w:pPr>
      <w:r w:rsidRPr="00737A79">
        <w:rPr>
          <w:rFonts w:ascii="Palatino Linotype" w:eastAsia="Palatino Linotype" w:hAnsi="Palatino Linotype" w:cs="Palatino Linotype"/>
          <w:i/>
        </w:rPr>
        <w:t>Quincuagésimo quinto.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rsidR="00D51563" w:rsidRPr="00737A79" w:rsidRDefault="00D51563" w:rsidP="00B1162E">
      <w:pPr>
        <w:jc w:val="both"/>
        <w:rPr>
          <w:rFonts w:ascii="Palatino Linotype" w:hAnsi="Palatino Linotype"/>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Efectivamente, cuando se clasifica información como confidencial es importante someterlo al Comité de Transparencia, quien debe confirmar, modificar o revocar la clasificación.</w:t>
      </w:r>
    </w:p>
    <w:p w:rsidR="00D51563" w:rsidRPr="00737A79" w:rsidRDefault="00D51563" w:rsidP="00B1162E">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 la parte </w:t>
      </w:r>
      <w:r w:rsidRPr="00737A79">
        <w:rPr>
          <w:rFonts w:ascii="Palatino Linotype" w:eastAsia="Palatino Linotype" w:hAnsi="Palatino Linotype" w:cs="Palatino Linotype"/>
          <w:b/>
          <w:color w:val="000000"/>
        </w:rPr>
        <w:t>RECURRENTE</w:t>
      </w:r>
      <w:r w:rsidRPr="00737A79">
        <w:rPr>
          <w:rFonts w:ascii="Palatino Linotype" w:eastAsia="Palatino Linotype" w:hAnsi="Palatino Linotype" w:cs="Palatino Linotype"/>
          <w:color w:val="000000"/>
        </w:rPr>
        <w:t>.</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Por lo tanto, es importante referir que </w:t>
      </w:r>
      <w:r w:rsidRPr="00737A79">
        <w:rPr>
          <w:rFonts w:ascii="Palatino Linotype" w:eastAsia="Palatino Linotype" w:hAnsi="Palatino Linotype" w:cs="Palatino Linotype"/>
          <w:b/>
          <w:color w:val="000000"/>
        </w:rPr>
        <w:t>EL SUJETO OBLIGADO</w:t>
      </w:r>
      <w:r w:rsidRPr="00737A79">
        <w:rPr>
          <w:rFonts w:ascii="Palatino Linotype" w:eastAsia="Palatino Linotype" w:hAnsi="Palatino Linotype" w:cs="Palatino Linotype"/>
          <w:color w:val="000000"/>
        </w:rPr>
        <w:t xml:space="preserve"> deberá seguir el procedimiento legal establecido para su clasificación, esto es, que su Comité de Transparencia emita un Acuerdo de Clasificación que cumpla con las formalidades previstas, antes citadas</w:t>
      </w:r>
      <w:r w:rsidRPr="00737A79">
        <w:rPr>
          <w:rFonts w:ascii="Palatino Linotype" w:eastAsia="Palatino Linotype" w:hAnsi="Palatino Linotype" w:cs="Palatino Linotype"/>
          <w:b/>
          <w:color w:val="000000"/>
        </w:rPr>
        <w:t xml:space="preserve"> </w:t>
      </w:r>
      <w:r w:rsidRPr="00737A79">
        <w:rPr>
          <w:rFonts w:ascii="Palatino Linotype" w:eastAsia="Palatino Linotype" w:hAnsi="Palatino Linotype" w:cs="Palatino Linotype"/>
          <w:color w:val="000000"/>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w:t>
      </w:r>
    </w:p>
    <w:p w:rsidR="00D51563" w:rsidRPr="00737A79" w:rsidRDefault="00D51563" w:rsidP="00B1162E">
      <w:pPr>
        <w:pBdr>
          <w:top w:val="nil"/>
          <w:left w:val="nil"/>
          <w:bottom w:val="nil"/>
          <w:right w:val="nil"/>
          <w:between w:val="nil"/>
        </w:pBdr>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w:t>
      </w:r>
      <w:r w:rsidR="009F4E14" w:rsidRPr="00737A79">
        <w:rPr>
          <w:rFonts w:ascii="Palatino Linotype" w:eastAsia="Palatino Linotype" w:hAnsi="Palatino Linotype" w:cs="Palatino Linotype"/>
          <w:color w:val="000000"/>
        </w:rPr>
        <w:t>se aprecian determinados datos y</w:t>
      </w:r>
      <w:r w:rsidRPr="00737A79">
        <w:rPr>
          <w:rFonts w:ascii="Palatino Linotype" w:eastAsia="Palatino Linotype" w:hAnsi="Palatino Linotype" w:cs="Palatino Linotype"/>
          <w:color w:val="000000"/>
        </w:rPr>
        <w:t>a sea porque se testan o suprimen deja al solicitante en estado de incertidumbre, al no conocer o comprender porque no aparecen en la documentación respectiva.</w:t>
      </w:r>
    </w:p>
    <w:p w:rsidR="00D51563" w:rsidRPr="00737A79" w:rsidRDefault="00D51563" w:rsidP="00B1162E">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Los sujetos obligados</w:t>
      </w:r>
      <w:r w:rsidRPr="00737A79">
        <w:rPr>
          <w:rFonts w:ascii="Palatino Linotype" w:eastAsia="Palatino Linotype" w:hAnsi="Palatino Linotype" w:cs="Palatino Linotype"/>
          <w:b/>
          <w:color w:val="000000"/>
        </w:rPr>
        <w:t xml:space="preserve"> </w:t>
      </w:r>
      <w:r w:rsidRPr="00737A79">
        <w:rPr>
          <w:rFonts w:ascii="Palatino Linotype" w:eastAsia="Palatino Linotype" w:hAnsi="Palatino Linotype" w:cs="Palatino Linotype"/>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w:t>
      </w:r>
      <w:r w:rsidRPr="00737A79">
        <w:rPr>
          <w:rFonts w:ascii="Palatino Linotype" w:eastAsia="Palatino Linotype" w:hAnsi="Palatino Linotype" w:cs="Palatino Linotype"/>
          <w:color w:val="000000"/>
        </w:rPr>
        <w:lastRenderedPageBreak/>
        <w:t>la clasificación de la información, se deben seguir una serie de pasos y procedimientos, por lo que es menester reiterar los mismos:</w:t>
      </w:r>
    </w:p>
    <w:p w:rsidR="00D51563" w:rsidRPr="00737A79" w:rsidRDefault="00D51563" w:rsidP="00B1162E">
      <w:pPr>
        <w:tabs>
          <w:tab w:val="left" w:pos="284"/>
        </w:tabs>
        <w:spacing w:line="360" w:lineRule="auto"/>
        <w:jc w:val="both"/>
        <w:rPr>
          <w:rFonts w:ascii="Palatino Linotype" w:eastAsia="Palatino Linotype" w:hAnsi="Palatino Linotype" w:cs="Palatino Linotype"/>
          <w:color w:val="000000"/>
        </w:rPr>
      </w:pPr>
    </w:p>
    <w:tbl>
      <w:tblPr>
        <w:tblStyle w:val="a4"/>
        <w:tblW w:w="8500"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5811"/>
      </w:tblGrid>
      <w:tr w:rsidR="00D51563" w:rsidRPr="00737A79">
        <w:tc>
          <w:tcPr>
            <w:tcW w:w="2689" w:type="dxa"/>
          </w:tcPr>
          <w:p w:rsidR="00D51563" w:rsidRPr="00737A79" w:rsidRDefault="00B1162E" w:rsidP="00B1162E">
            <w:pPr>
              <w:tabs>
                <w:tab w:val="left" w:pos="284"/>
              </w:tabs>
              <w:rPr>
                <w:rFonts w:ascii="Palatino Linotype" w:eastAsia="Palatino Linotype" w:hAnsi="Palatino Linotype" w:cs="Palatino Linotype"/>
              </w:rPr>
            </w:pPr>
            <w:r w:rsidRPr="00737A79">
              <w:rPr>
                <w:rFonts w:ascii="Palatino Linotype" w:eastAsia="Palatino Linotype" w:hAnsi="Palatino Linotype" w:cs="Palatino Linotype"/>
              </w:rPr>
              <w:t>a) Requisitos previos.</w:t>
            </w:r>
          </w:p>
        </w:tc>
        <w:tc>
          <w:tcPr>
            <w:tcW w:w="5811" w:type="dxa"/>
          </w:tcPr>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737A79">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737A79">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p w:rsidR="00D51563" w:rsidRPr="00737A79" w:rsidRDefault="00D51563" w:rsidP="00B1162E">
            <w:pPr>
              <w:tabs>
                <w:tab w:val="left" w:pos="284"/>
              </w:tabs>
              <w:jc w:val="both"/>
              <w:rPr>
                <w:rFonts w:ascii="Palatino Linotype" w:eastAsia="Palatino Linotype" w:hAnsi="Palatino Linotype" w:cs="Palatino Linotype"/>
              </w:rPr>
            </w:pPr>
          </w:p>
        </w:tc>
      </w:tr>
      <w:tr w:rsidR="00D51563" w:rsidRPr="00737A79">
        <w:tc>
          <w:tcPr>
            <w:tcW w:w="2689" w:type="dxa"/>
          </w:tcPr>
          <w:p w:rsidR="00D51563" w:rsidRPr="00737A79" w:rsidRDefault="00B1162E" w:rsidP="00B1162E">
            <w:pPr>
              <w:tabs>
                <w:tab w:val="left" w:pos="284"/>
              </w:tabs>
              <w:rPr>
                <w:rFonts w:ascii="Palatino Linotype" w:eastAsia="Palatino Linotype" w:hAnsi="Palatino Linotype" w:cs="Palatino Linotype"/>
              </w:rPr>
            </w:pPr>
            <w:r w:rsidRPr="00737A79">
              <w:rPr>
                <w:rFonts w:ascii="Palatino Linotype" w:eastAsia="Palatino Linotype" w:hAnsi="Palatino Linotype" w:cs="Palatino Linotype"/>
              </w:rPr>
              <w:t>b) Supuestos de clasificación.</w:t>
            </w:r>
          </w:p>
        </w:tc>
        <w:tc>
          <w:tcPr>
            <w:tcW w:w="5811" w:type="dxa"/>
          </w:tcPr>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w:t>
            </w:r>
            <w:r w:rsidRPr="00737A79">
              <w:rPr>
                <w:rFonts w:ascii="Palatino Linotype" w:eastAsia="Palatino Linotype" w:hAnsi="Palatino Linotype" w:cs="Palatino Linotype"/>
                <w:color w:val="000000"/>
              </w:rPr>
              <w:lastRenderedPageBreak/>
              <w:t>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El </w:t>
            </w:r>
            <w:r w:rsidRPr="00737A79">
              <w:rPr>
                <w:rFonts w:ascii="Palatino Linotype" w:eastAsia="Palatino Linotype" w:hAnsi="Palatino Linotype" w:cs="Palatino Linotype"/>
                <w:b/>
                <w:color w:val="000000"/>
              </w:rPr>
              <w:t>Sujeto Obligado</w:t>
            </w:r>
            <w:r w:rsidRPr="00737A79">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D51563" w:rsidRPr="00737A79" w:rsidRDefault="00D51563" w:rsidP="00B1162E">
            <w:pPr>
              <w:tabs>
                <w:tab w:val="left" w:pos="284"/>
              </w:tabs>
              <w:jc w:val="both"/>
              <w:rPr>
                <w:rFonts w:ascii="Palatino Linotype" w:eastAsia="Palatino Linotype" w:hAnsi="Palatino Linotype" w:cs="Palatino Linotype"/>
              </w:rPr>
            </w:pPr>
          </w:p>
        </w:tc>
      </w:tr>
      <w:tr w:rsidR="00D51563" w:rsidRPr="00737A79">
        <w:tc>
          <w:tcPr>
            <w:tcW w:w="2689" w:type="dxa"/>
          </w:tcPr>
          <w:p w:rsidR="00D51563" w:rsidRPr="00737A79" w:rsidRDefault="00B1162E" w:rsidP="00B1162E">
            <w:pPr>
              <w:tabs>
                <w:tab w:val="left" w:pos="284"/>
              </w:tabs>
              <w:rPr>
                <w:rFonts w:ascii="Palatino Linotype" w:eastAsia="Palatino Linotype" w:hAnsi="Palatino Linotype" w:cs="Palatino Linotype"/>
              </w:rPr>
            </w:pPr>
            <w:r w:rsidRPr="00737A79">
              <w:rPr>
                <w:rFonts w:ascii="Palatino Linotype" w:eastAsia="Palatino Linotype" w:hAnsi="Palatino Linotype" w:cs="Palatino Linotype"/>
              </w:rPr>
              <w:lastRenderedPageBreak/>
              <w:t>c) Formalidades para emitir el acuerdo de clasificación.</w:t>
            </w:r>
          </w:p>
        </w:tc>
        <w:tc>
          <w:tcPr>
            <w:tcW w:w="5811" w:type="dxa"/>
          </w:tcPr>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Es necesario que </w:t>
            </w:r>
            <w:r w:rsidRPr="00737A79">
              <w:rPr>
                <w:rFonts w:ascii="Palatino Linotype" w:eastAsia="Palatino Linotype" w:hAnsi="Palatino Linotype" w:cs="Palatino Linotype"/>
                <w:b/>
                <w:color w:val="000000"/>
                <w:u w:val="single"/>
              </w:rPr>
              <w:t>el acto reúna con los requisitos elementales</w:t>
            </w:r>
            <w:r w:rsidRPr="00737A79">
              <w:rPr>
                <w:rFonts w:ascii="Palatino Linotype" w:eastAsia="Palatino Linotype" w:hAnsi="Palatino Linotype" w:cs="Palatino Linotype"/>
                <w:color w:val="000000"/>
              </w:rPr>
              <w:t>, entre ellos, que la autoridad que va a emitir el acto de autoridad sea la legalmente facultada para ello.</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D51563" w:rsidRPr="00737A79" w:rsidRDefault="00D51563" w:rsidP="00B1162E">
            <w:pPr>
              <w:tabs>
                <w:tab w:val="left" w:pos="284"/>
              </w:tabs>
              <w:jc w:val="both"/>
              <w:rPr>
                <w:rFonts w:ascii="Palatino Linotype" w:eastAsia="Palatino Linotype" w:hAnsi="Palatino Linotype" w:cs="Palatino Linotype"/>
              </w:rPr>
            </w:pPr>
          </w:p>
        </w:tc>
      </w:tr>
      <w:tr w:rsidR="00D51563" w:rsidRPr="00737A79">
        <w:tc>
          <w:tcPr>
            <w:tcW w:w="2689" w:type="dxa"/>
          </w:tcPr>
          <w:p w:rsidR="00D51563" w:rsidRPr="00737A79" w:rsidRDefault="00D51563" w:rsidP="00B1162E">
            <w:pPr>
              <w:tabs>
                <w:tab w:val="left" w:pos="284"/>
              </w:tabs>
              <w:rPr>
                <w:rFonts w:ascii="Palatino Linotype" w:eastAsia="Palatino Linotype" w:hAnsi="Palatino Linotype" w:cs="Palatino Linotype"/>
              </w:rPr>
            </w:pPr>
          </w:p>
          <w:p w:rsidR="00D51563" w:rsidRPr="00737A79" w:rsidRDefault="00B1162E" w:rsidP="00B1162E">
            <w:pPr>
              <w:tabs>
                <w:tab w:val="left" w:pos="284"/>
              </w:tabs>
              <w:jc w:val="both"/>
              <w:rPr>
                <w:rFonts w:ascii="Palatino Linotype" w:eastAsia="Palatino Linotype" w:hAnsi="Palatino Linotype" w:cs="Palatino Linotype"/>
              </w:rPr>
            </w:pPr>
            <w:r w:rsidRPr="00737A79">
              <w:rPr>
                <w:rFonts w:ascii="Palatino Linotype" w:eastAsia="Palatino Linotype" w:hAnsi="Palatino Linotype" w:cs="Palatino Linotype"/>
                <w:color w:val="000000"/>
              </w:rPr>
              <w:t xml:space="preserve">d) Requisitos de fondo del acuerdo de clasificación. </w:t>
            </w:r>
          </w:p>
        </w:tc>
        <w:tc>
          <w:tcPr>
            <w:tcW w:w="5811" w:type="dxa"/>
          </w:tcPr>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37A79">
              <w:rPr>
                <w:rFonts w:ascii="Palatino Linotype" w:eastAsia="Palatino Linotype" w:hAnsi="Palatino Linotype" w:cs="Palatino Linotype"/>
                <w:b/>
                <w:color w:val="000000"/>
              </w:rPr>
              <w:t>Sujetos Obligados</w:t>
            </w:r>
            <w:r w:rsidRPr="00737A79">
              <w:rPr>
                <w:rFonts w:ascii="Palatino Linotype" w:eastAsia="Palatino Linotype" w:hAnsi="Palatino Linotype" w:cs="Palatino Linotype"/>
                <w:color w:val="000000"/>
              </w:rPr>
              <w:t xml:space="preserve">, por lo que deberán fundar y motivar debidamente la clasificación. </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De lo anterior, se desprende que para una correcta </w:t>
            </w:r>
            <w:r w:rsidRPr="00737A79">
              <w:rPr>
                <w:rFonts w:ascii="Palatino Linotype" w:eastAsia="Palatino Linotype" w:hAnsi="Palatino Linotype" w:cs="Palatino Linotype"/>
                <w:b/>
                <w:color w:val="000000"/>
              </w:rPr>
              <w:t>clasificación total o parcial</w:t>
            </w:r>
            <w:r w:rsidRPr="00737A79">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Ahora bien, </w:t>
            </w:r>
            <w:r w:rsidRPr="00737A79">
              <w:rPr>
                <w:rFonts w:ascii="Palatino Linotype" w:eastAsia="Palatino Linotype" w:hAnsi="Palatino Linotype" w:cs="Palatino Linotype"/>
                <w:b/>
                <w:color w:val="000000"/>
                <w:u w:val="single"/>
              </w:rPr>
              <w:t>para cada caso además de fundar y motivar</w:t>
            </w:r>
            <w:r w:rsidRPr="00737A79">
              <w:rPr>
                <w:rFonts w:ascii="Palatino Linotype" w:eastAsia="Palatino Linotype" w:hAnsi="Palatino Linotype" w:cs="Palatino Linotype"/>
                <w:color w:val="000000"/>
              </w:rPr>
              <w:t xml:space="preserve">, se debe identificar con claridad que datos </w:t>
            </w:r>
            <w:r w:rsidRPr="00737A79">
              <w:rPr>
                <w:rFonts w:ascii="Palatino Linotype" w:eastAsia="Palatino Linotype" w:hAnsi="Palatino Linotype" w:cs="Palatino Linotype"/>
                <w:color w:val="000000"/>
              </w:rPr>
              <w:lastRenderedPageBreak/>
              <w:t>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51563" w:rsidRPr="00737A79">
        <w:tc>
          <w:tcPr>
            <w:tcW w:w="2689" w:type="dxa"/>
          </w:tcPr>
          <w:p w:rsidR="00D51563" w:rsidRPr="00737A79" w:rsidRDefault="00B1162E" w:rsidP="00B1162E">
            <w:pPr>
              <w:tabs>
                <w:tab w:val="left" w:pos="284"/>
              </w:tabs>
              <w:jc w:val="both"/>
              <w:rPr>
                <w:rFonts w:ascii="Palatino Linotype" w:eastAsia="Palatino Linotype" w:hAnsi="Palatino Linotype" w:cs="Palatino Linotype"/>
              </w:rPr>
            </w:pPr>
            <w:r w:rsidRPr="00737A79">
              <w:rPr>
                <w:rFonts w:ascii="Palatino Linotype" w:eastAsia="Palatino Linotype" w:hAnsi="Palatino Linotype" w:cs="Palatino Linotype"/>
              </w:rPr>
              <w:lastRenderedPageBreak/>
              <w:t xml:space="preserve">e) Condiciones especiales de la clasificación de la información como confidencial. </w:t>
            </w:r>
          </w:p>
        </w:tc>
        <w:tc>
          <w:tcPr>
            <w:tcW w:w="5811" w:type="dxa"/>
          </w:tcPr>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rsidR="00D51563" w:rsidRPr="00737A79" w:rsidRDefault="00B1162E" w:rsidP="00B1162E">
            <w:pPr>
              <w:tabs>
                <w:tab w:val="left" w:pos="284"/>
              </w:tabs>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D51563" w:rsidRPr="00737A79" w:rsidRDefault="00B1162E" w:rsidP="00B1162E">
            <w:pPr>
              <w:tabs>
                <w:tab w:val="left" w:pos="284"/>
              </w:tabs>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D51563" w:rsidRPr="00737A79" w:rsidRDefault="00D51563" w:rsidP="00B1162E">
            <w:pPr>
              <w:tabs>
                <w:tab w:val="left" w:pos="284"/>
              </w:tabs>
              <w:rPr>
                <w:rFonts w:ascii="Palatino Linotype" w:eastAsia="Palatino Linotype" w:hAnsi="Palatino Linotype" w:cs="Palatino Linotype"/>
              </w:rPr>
            </w:pPr>
          </w:p>
        </w:tc>
      </w:tr>
    </w:tbl>
    <w:p w:rsidR="00D51563" w:rsidRPr="00737A79" w:rsidRDefault="00D51563" w:rsidP="00B1162E">
      <w:pPr>
        <w:tabs>
          <w:tab w:val="left" w:pos="284"/>
        </w:tabs>
        <w:spacing w:line="360" w:lineRule="auto"/>
        <w:rPr>
          <w:rFonts w:ascii="Palatino Linotype" w:eastAsia="Palatino Linotype" w:hAnsi="Palatino Linotype" w:cs="Palatino Linotype"/>
          <w:color w:val="000000"/>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Si el servidor público incumple con estas formalidades y entrega la información sin proteger los datos personales o protegiendo de más como </w:t>
      </w:r>
      <w:r w:rsidRPr="00737A79">
        <w:rPr>
          <w:rFonts w:ascii="Palatino Linotype" w:eastAsia="Palatino Linotype" w:hAnsi="Palatino Linotype" w:cs="Palatino Linotype"/>
        </w:rPr>
        <w:t>quedó</w:t>
      </w:r>
      <w:r w:rsidRPr="00737A79">
        <w:rPr>
          <w:rFonts w:ascii="Palatino Linotype" w:eastAsia="Palatino Linotype" w:hAnsi="Palatino Linotype" w:cs="Palatino Linotype"/>
          <w:color w:val="000000"/>
        </w:rPr>
        <w:t xml:space="preserve"> asentado en el anterior Considerando; incumple con lo que estipula las disposiciones legales </w:t>
      </w:r>
      <w:r w:rsidRPr="00737A79">
        <w:rPr>
          <w:rFonts w:ascii="Palatino Linotype" w:eastAsia="Palatino Linotype" w:hAnsi="Palatino Linotype" w:cs="Palatino Linotype"/>
          <w:color w:val="000000"/>
        </w:rPr>
        <w:lastRenderedPageBreak/>
        <w:t>establecidas, asimismo que si entrega un documento testado sin el debido acuerdo de clasificación.</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numPr>
          <w:ilvl w:val="0"/>
          <w:numId w:val="1"/>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Por</w:t>
      </w:r>
      <w:r w:rsidRPr="00737A79">
        <w:rPr>
          <w:rFonts w:ascii="Palatino Linotype" w:eastAsia="Palatino Linotype" w:hAnsi="Palatino Linotype" w:cs="Palatino Linotype"/>
          <w:color w:val="222222"/>
        </w:rPr>
        <w:t xml:space="preserve"> lo </w:t>
      </w:r>
      <w:r w:rsidRPr="00737A79">
        <w:rPr>
          <w:rFonts w:ascii="Palatino Linotype" w:eastAsia="Palatino Linotype" w:hAnsi="Palatino Linotype" w:cs="Palatino Linotype"/>
          <w:color w:val="000000"/>
        </w:rPr>
        <w:t>anteriormente</w:t>
      </w:r>
      <w:r w:rsidRPr="00737A79">
        <w:rPr>
          <w:rFonts w:ascii="Palatino Linotype" w:eastAsia="Palatino Linotype" w:hAnsi="Palatino Linotype" w:cs="Palatino Linotype"/>
          <w:color w:val="222222"/>
        </w:rPr>
        <w:t xml:space="preserve"> expuesto y fundado, este </w:t>
      </w:r>
      <w:r w:rsidRPr="00737A79">
        <w:rPr>
          <w:rFonts w:ascii="Palatino Linotype" w:eastAsia="Palatino Linotype" w:hAnsi="Palatino Linotype" w:cs="Palatino Linotype"/>
          <w:b/>
          <w:color w:val="222222"/>
        </w:rPr>
        <w:t>ÓRGANO GARANTE</w:t>
      </w:r>
      <w:r w:rsidRPr="00737A79">
        <w:rPr>
          <w:rFonts w:ascii="Palatino Linotype" w:eastAsia="Palatino Linotype" w:hAnsi="Palatino Linotype" w:cs="Palatino Linotype"/>
          <w:color w:val="222222"/>
        </w:rPr>
        <w:t xml:space="preserve"> emite los siguientes:</w:t>
      </w:r>
    </w:p>
    <w:p w:rsidR="00D51563" w:rsidRPr="00737A79" w:rsidRDefault="00B1162E" w:rsidP="00B1162E">
      <w:pPr>
        <w:keepNext/>
        <w:keepLines/>
        <w:spacing w:line="360" w:lineRule="auto"/>
        <w:jc w:val="center"/>
        <w:rPr>
          <w:rFonts w:ascii="Palatino Linotype" w:eastAsia="Palatino Linotype" w:hAnsi="Palatino Linotype" w:cs="Palatino Linotype"/>
          <w:b/>
          <w:color w:val="000000"/>
        </w:rPr>
      </w:pPr>
      <w:bookmarkStart w:id="8" w:name="_heading=h.9bx548z96wyn" w:colFirst="0" w:colLast="0"/>
      <w:bookmarkEnd w:id="8"/>
      <w:r w:rsidRPr="00737A79">
        <w:rPr>
          <w:rFonts w:ascii="Palatino Linotype" w:eastAsia="Palatino Linotype" w:hAnsi="Palatino Linotype" w:cs="Palatino Linotype"/>
          <w:b/>
          <w:color w:val="000000"/>
        </w:rPr>
        <w:t>R E S O L U T I V O S</w:t>
      </w:r>
    </w:p>
    <w:p w:rsidR="00D51563" w:rsidRPr="00737A79" w:rsidRDefault="00D51563" w:rsidP="00B1162E">
      <w:pPr>
        <w:spacing w:line="360" w:lineRule="auto"/>
        <w:jc w:val="both"/>
        <w:rPr>
          <w:rFonts w:ascii="Palatino Linotype" w:eastAsia="Palatino Linotype" w:hAnsi="Palatino Linotype" w:cs="Palatino Linotype"/>
          <w:b/>
        </w:rPr>
      </w:pPr>
    </w:p>
    <w:p w:rsidR="00D51563" w:rsidRPr="00737A79" w:rsidRDefault="00B1162E" w:rsidP="00B1162E">
      <w:pPr>
        <w:spacing w:line="360" w:lineRule="auto"/>
        <w:jc w:val="both"/>
        <w:rPr>
          <w:rFonts w:ascii="Palatino Linotype" w:eastAsia="Palatino Linotype" w:hAnsi="Palatino Linotype" w:cs="Palatino Linotype"/>
        </w:rPr>
      </w:pPr>
      <w:r w:rsidRPr="00737A79">
        <w:rPr>
          <w:rFonts w:ascii="Palatino Linotype" w:eastAsia="Palatino Linotype" w:hAnsi="Palatino Linotype" w:cs="Palatino Linotype"/>
          <w:b/>
        </w:rPr>
        <w:t xml:space="preserve">PRIMERO. </w:t>
      </w:r>
      <w:r w:rsidRPr="00737A79">
        <w:rPr>
          <w:rFonts w:ascii="Palatino Linotype" w:eastAsia="Palatino Linotype" w:hAnsi="Palatino Linotype" w:cs="Palatino Linotype"/>
        </w:rPr>
        <w:t>Resultan parcialmente fundadas las</w:t>
      </w:r>
      <w:r w:rsidRPr="00737A79">
        <w:rPr>
          <w:rFonts w:ascii="Palatino Linotype" w:eastAsia="Palatino Linotype" w:hAnsi="Palatino Linotype" w:cs="Palatino Linotype"/>
          <w:b/>
        </w:rPr>
        <w:t xml:space="preserve"> </w:t>
      </w:r>
      <w:r w:rsidRPr="00737A79">
        <w:rPr>
          <w:rFonts w:ascii="Palatino Linotype" w:eastAsia="Palatino Linotype" w:hAnsi="Palatino Linotype" w:cs="Palatino Linotype"/>
        </w:rPr>
        <w:t>razones o motivos de inconformidad hechos valer en l</w:t>
      </w:r>
      <w:r w:rsidR="0000056A" w:rsidRPr="00737A79">
        <w:rPr>
          <w:rFonts w:ascii="Palatino Linotype" w:eastAsia="Palatino Linotype" w:hAnsi="Palatino Linotype" w:cs="Palatino Linotype"/>
        </w:rPr>
        <w:t>os</w:t>
      </w:r>
      <w:r w:rsidRPr="00737A79">
        <w:rPr>
          <w:rFonts w:ascii="Palatino Linotype" w:eastAsia="Palatino Linotype" w:hAnsi="Palatino Linotype" w:cs="Palatino Linotype"/>
        </w:rPr>
        <w:t xml:space="preserve"> Recurso</w:t>
      </w:r>
      <w:r w:rsidR="0000056A" w:rsidRPr="00737A79">
        <w:rPr>
          <w:rFonts w:ascii="Palatino Linotype" w:eastAsia="Palatino Linotype" w:hAnsi="Palatino Linotype" w:cs="Palatino Linotype"/>
        </w:rPr>
        <w:t>s</w:t>
      </w:r>
      <w:r w:rsidRPr="00737A79">
        <w:rPr>
          <w:rFonts w:ascii="Palatino Linotype" w:eastAsia="Palatino Linotype" w:hAnsi="Palatino Linotype" w:cs="Palatino Linotype"/>
        </w:rPr>
        <w:t xml:space="preserve"> de Revisión </w:t>
      </w:r>
      <w:r w:rsidRPr="00737A79">
        <w:rPr>
          <w:rFonts w:ascii="Palatino Linotype" w:eastAsia="Palatino Linotype" w:hAnsi="Palatino Linotype" w:cs="Palatino Linotype"/>
          <w:b/>
        </w:rPr>
        <w:t>00448/INFOEM/IP/RR/2025 y 00453/INFOEM/IP/RR/2025</w:t>
      </w:r>
      <w:r w:rsidRPr="00737A79">
        <w:rPr>
          <w:rFonts w:ascii="Palatino Linotype" w:eastAsia="Palatino Linotype" w:hAnsi="Palatino Linotype" w:cs="Palatino Linotype"/>
        </w:rPr>
        <w:t>,</w:t>
      </w:r>
      <w:r w:rsidRPr="00737A79">
        <w:rPr>
          <w:rFonts w:ascii="Palatino Linotype" w:eastAsia="Palatino Linotype" w:hAnsi="Palatino Linotype" w:cs="Palatino Linotype"/>
          <w:b/>
        </w:rPr>
        <w:t xml:space="preserve"> </w:t>
      </w:r>
      <w:r w:rsidRPr="00737A79">
        <w:rPr>
          <w:rFonts w:ascii="Palatino Linotype" w:eastAsia="Palatino Linotype" w:hAnsi="Palatino Linotype" w:cs="Palatino Linotype"/>
        </w:rPr>
        <w:t xml:space="preserve">en términos de los </w:t>
      </w:r>
      <w:r w:rsidRPr="00737A79">
        <w:rPr>
          <w:rFonts w:ascii="Palatino Linotype" w:eastAsia="Palatino Linotype" w:hAnsi="Palatino Linotype" w:cs="Palatino Linotype"/>
          <w:b/>
        </w:rPr>
        <w:t>Considerandos</w:t>
      </w:r>
      <w:r w:rsidRPr="00737A79">
        <w:rPr>
          <w:rFonts w:ascii="Palatino Linotype" w:eastAsia="Palatino Linotype" w:hAnsi="Palatino Linotype" w:cs="Palatino Linotype"/>
        </w:rPr>
        <w:t xml:space="preserve"> </w:t>
      </w:r>
      <w:r w:rsidRPr="00737A79">
        <w:rPr>
          <w:rFonts w:ascii="Palatino Linotype" w:eastAsia="Palatino Linotype" w:hAnsi="Palatino Linotype" w:cs="Palatino Linotype"/>
          <w:b/>
        </w:rPr>
        <w:t xml:space="preserve">CUARTO y QUINTO </w:t>
      </w:r>
      <w:r w:rsidRPr="00737A79">
        <w:rPr>
          <w:rFonts w:ascii="Palatino Linotype" w:eastAsia="Palatino Linotype" w:hAnsi="Palatino Linotype" w:cs="Palatino Linotype"/>
        </w:rPr>
        <w:t>de la presente Resolución.</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spacing w:line="360" w:lineRule="auto"/>
        <w:jc w:val="both"/>
        <w:rPr>
          <w:rFonts w:ascii="Palatino Linotype" w:eastAsia="Palatino Linotype" w:hAnsi="Palatino Linotype" w:cs="Palatino Linotype"/>
        </w:rPr>
      </w:pPr>
      <w:bookmarkStart w:id="9" w:name="_heading=h.pi6ywohhf46p" w:colFirst="0" w:colLast="0"/>
      <w:bookmarkEnd w:id="9"/>
      <w:r w:rsidRPr="00737A79">
        <w:rPr>
          <w:rFonts w:ascii="Palatino Linotype" w:eastAsia="Palatino Linotype" w:hAnsi="Palatino Linotype" w:cs="Palatino Linotype"/>
          <w:b/>
        </w:rPr>
        <w:t>SEGUNDO.</w:t>
      </w:r>
      <w:r w:rsidRPr="00737A79">
        <w:rPr>
          <w:rFonts w:ascii="Palatino Linotype" w:eastAsia="Palatino Linotype" w:hAnsi="Palatino Linotype" w:cs="Palatino Linotype"/>
          <w:color w:val="2F5496"/>
        </w:rPr>
        <w:t xml:space="preserve"> </w:t>
      </w:r>
      <w:r w:rsidRPr="00737A79">
        <w:rPr>
          <w:rFonts w:ascii="Palatino Linotype" w:eastAsia="Palatino Linotype" w:hAnsi="Palatino Linotype" w:cs="Palatino Linotype"/>
        </w:rPr>
        <w:t>Se</w:t>
      </w:r>
      <w:r w:rsidRPr="00737A79">
        <w:rPr>
          <w:rFonts w:ascii="Palatino Linotype" w:eastAsia="Palatino Linotype" w:hAnsi="Palatino Linotype" w:cs="Palatino Linotype"/>
          <w:b/>
        </w:rPr>
        <w:t xml:space="preserve"> MODIFICA</w:t>
      </w:r>
      <w:r w:rsidR="0000056A" w:rsidRPr="00737A79">
        <w:rPr>
          <w:rFonts w:ascii="Palatino Linotype" w:eastAsia="Palatino Linotype" w:hAnsi="Palatino Linotype" w:cs="Palatino Linotype"/>
          <w:b/>
        </w:rPr>
        <w:t>N</w:t>
      </w:r>
      <w:r w:rsidRPr="00737A79">
        <w:rPr>
          <w:rFonts w:ascii="Palatino Linotype" w:eastAsia="Palatino Linotype" w:hAnsi="Palatino Linotype" w:cs="Palatino Linotype"/>
          <w:b/>
        </w:rPr>
        <w:t xml:space="preserve"> </w:t>
      </w:r>
      <w:r w:rsidRPr="00737A79">
        <w:rPr>
          <w:rFonts w:ascii="Palatino Linotype" w:eastAsia="Palatino Linotype" w:hAnsi="Palatino Linotype" w:cs="Palatino Linotype"/>
        </w:rPr>
        <w:t>la</w:t>
      </w:r>
      <w:r w:rsidR="0000056A" w:rsidRPr="00737A79">
        <w:rPr>
          <w:rFonts w:ascii="Palatino Linotype" w:eastAsia="Palatino Linotype" w:hAnsi="Palatino Linotype" w:cs="Palatino Linotype"/>
        </w:rPr>
        <w:t>s</w:t>
      </w:r>
      <w:r w:rsidRPr="00737A79">
        <w:rPr>
          <w:rFonts w:ascii="Palatino Linotype" w:eastAsia="Palatino Linotype" w:hAnsi="Palatino Linotype" w:cs="Palatino Linotype"/>
        </w:rPr>
        <w:t xml:space="preserve"> respuesta</w:t>
      </w:r>
      <w:r w:rsidR="0000056A" w:rsidRPr="00737A79">
        <w:rPr>
          <w:rFonts w:ascii="Palatino Linotype" w:eastAsia="Palatino Linotype" w:hAnsi="Palatino Linotype" w:cs="Palatino Linotype"/>
        </w:rPr>
        <w:t>s</w:t>
      </w:r>
      <w:r w:rsidRPr="00737A79">
        <w:rPr>
          <w:rFonts w:ascii="Palatino Linotype" w:eastAsia="Palatino Linotype" w:hAnsi="Palatino Linotype" w:cs="Palatino Linotype"/>
        </w:rPr>
        <w:t xml:space="preserve"> emitida</w:t>
      </w:r>
      <w:r w:rsidR="0000056A" w:rsidRPr="00737A79">
        <w:rPr>
          <w:rFonts w:ascii="Palatino Linotype" w:eastAsia="Palatino Linotype" w:hAnsi="Palatino Linotype" w:cs="Palatino Linotype"/>
        </w:rPr>
        <w:t>s</w:t>
      </w:r>
      <w:r w:rsidRPr="00737A79">
        <w:rPr>
          <w:rFonts w:ascii="Palatino Linotype" w:eastAsia="Palatino Linotype" w:hAnsi="Palatino Linotype" w:cs="Palatino Linotype"/>
        </w:rPr>
        <w:t xml:space="preserve"> por el </w:t>
      </w:r>
      <w:r w:rsidRPr="00737A79">
        <w:rPr>
          <w:rFonts w:ascii="Palatino Linotype" w:eastAsia="Palatino Linotype" w:hAnsi="Palatino Linotype" w:cs="Palatino Linotype"/>
          <w:b/>
        </w:rPr>
        <w:t xml:space="preserve">Ayuntamiento de Chicoloapan </w:t>
      </w:r>
      <w:r w:rsidRPr="00737A79">
        <w:rPr>
          <w:rFonts w:ascii="Palatino Linotype" w:eastAsia="Palatino Linotype" w:hAnsi="Palatino Linotype" w:cs="Palatino Linotype"/>
        </w:rPr>
        <w:t>y se</w:t>
      </w:r>
      <w:r w:rsidRPr="00737A79">
        <w:rPr>
          <w:rFonts w:ascii="Palatino Linotype" w:eastAsia="Palatino Linotype" w:hAnsi="Palatino Linotype" w:cs="Palatino Linotype"/>
          <w:b/>
        </w:rPr>
        <w:t xml:space="preserve"> ORDENA </w:t>
      </w:r>
      <w:r w:rsidRPr="00737A79">
        <w:rPr>
          <w:rFonts w:ascii="Palatino Linotype" w:eastAsia="Palatino Linotype" w:hAnsi="Palatino Linotype" w:cs="Palatino Linotype"/>
        </w:rPr>
        <w:t>entregar vía Sistema de Accesos a la Información Mexiquense (SAIMEX), la siguiente información:</w:t>
      </w:r>
    </w:p>
    <w:p w:rsidR="00D51563" w:rsidRPr="00737A79" w:rsidRDefault="00D51563" w:rsidP="00B1162E">
      <w:pPr>
        <w:spacing w:line="360" w:lineRule="auto"/>
        <w:jc w:val="both"/>
        <w:rPr>
          <w:rFonts w:ascii="Palatino Linotype" w:eastAsia="Palatino Linotype" w:hAnsi="Palatino Linotype" w:cs="Palatino Linotype"/>
        </w:rPr>
      </w:pPr>
    </w:p>
    <w:p w:rsidR="00D51563" w:rsidRPr="00737A79" w:rsidRDefault="00B1162E"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b/>
          <w:color w:val="000000"/>
        </w:rPr>
        <w:t>El currículum vitae, ficha curricular o documento análogo de los siguientes integrantes del Ayuntamiento:</w:t>
      </w:r>
    </w:p>
    <w:p w:rsidR="00D51563" w:rsidRPr="00737A79" w:rsidRDefault="00B1162E" w:rsidP="00B1162E">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Presidente Municipal;</w:t>
      </w:r>
    </w:p>
    <w:p w:rsidR="00D51563" w:rsidRPr="00737A79" w:rsidRDefault="00B1162E" w:rsidP="00B1162E">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Cuarta Regidora;</w:t>
      </w:r>
    </w:p>
    <w:p w:rsidR="00D51563" w:rsidRPr="00737A79" w:rsidRDefault="00B1162E" w:rsidP="00B1162E">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 xml:space="preserve">Quinto Regidor; </w:t>
      </w:r>
    </w:p>
    <w:p w:rsidR="00D51563" w:rsidRPr="00737A79" w:rsidRDefault="00B1162E" w:rsidP="00B1162E">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t>Octava Regidora; y</w:t>
      </w:r>
    </w:p>
    <w:p w:rsidR="00D51563" w:rsidRPr="00737A79" w:rsidRDefault="00B1162E" w:rsidP="00B1162E">
      <w:pPr>
        <w:numPr>
          <w:ilvl w:val="0"/>
          <w:numId w:val="4"/>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color w:val="000000"/>
        </w:rPr>
        <w:lastRenderedPageBreak/>
        <w:t>El Acuerdo del Comité de Transparencia que sustente de manera fundada y motivada, la versión pública de la información remitida en respuesta a la solicitud de información 00006/CHICOLOA/IP/2025.</w:t>
      </w:r>
    </w:p>
    <w:p w:rsidR="00D51563" w:rsidRPr="00737A79" w:rsidRDefault="00D51563" w:rsidP="00B1162E">
      <w:pPr>
        <w:pBdr>
          <w:top w:val="nil"/>
          <w:left w:val="nil"/>
          <w:bottom w:val="nil"/>
          <w:right w:val="nil"/>
          <w:between w:val="nil"/>
        </w:pBdr>
        <w:spacing w:line="360" w:lineRule="auto"/>
        <w:jc w:val="both"/>
        <w:rPr>
          <w:rFonts w:ascii="Palatino Linotype" w:eastAsia="Palatino Linotype" w:hAnsi="Palatino Linotype" w:cs="Palatino Linotype"/>
          <w:color w:val="000000"/>
          <w:sz w:val="14"/>
        </w:rPr>
      </w:pPr>
    </w:p>
    <w:p w:rsidR="00D51563" w:rsidRPr="00737A79" w:rsidRDefault="00B1162E" w:rsidP="00B1162E">
      <w:pPr>
        <w:tabs>
          <w:tab w:val="left" w:pos="8080"/>
        </w:tabs>
        <w:spacing w:line="360" w:lineRule="auto"/>
        <w:jc w:val="both"/>
        <w:rPr>
          <w:rFonts w:ascii="Palatino Linotype" w:eastAsia="Palatino Linotype" w:hAnsi="Palatino Linotype" w:cs="Palatino Linotype"/>
          <w:b/>
        </w:rPr>
      </w:pPr>
      <w:r w:rsidRPr="00737A79">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w:t>
      </w:r>
      <w:r w:rsidRPr="00737A79">
        <w:rPr>
          <w:rFonts w:ascii="Palatino Linotype" w:eastAsia="Palatino Linotype" w:hAnsi="Palatino Linotype" w:cs="Palatino Linotype"/>
          <w:b/>
        </w:rPr>
        <w:t xml:space="preserve"> RECURRENTE.</w:t>
      </w:r>
    </w:p>
    <w:p w:rsidR="00D51563" w:rsidRPr="00737A79" w:rsidRDefault="00D51563" w:rsidP="00B1162E">
      <w:pPr>
        <w:tabs>
          <w:tab w:val="left" w:pos="8080"/>
        </w:tabs>
        <w:spacing w:line="360" w:lineRule="auto"/>
        <w:jc w:val="both"/>
        <w:rPr>
          <w:rFonts w:ascii="Palatino Linotype" w:eastAsia="Palatino Linotype" w:hAnsi="Palatino Linotype" w:cs="Palatino Linotype"/>
          <w:b/>
          <w:sz w:val="12"/>
        </w:rPr>
      </w:pPr>
    </w:p>
    <w:p w:rsidR="00D51563" w:rsidRPr="00737A79" w:rsidRDefault="00B1162E" w:rsidP="00B1162E">
      <w:pPr>
        <w:tabs>
          <w:tab w:val="left" w:pos="8080"/>
        </w:tabs>
        <w:spacing w:line="360" w:lineRule="auto"/>
        <w:jc w:val="both"/>
        <w:rPr>
          <w:rFonts w:ascii="Palatino Linotype" w:eastAsia="Palatino Linotype" w:hAnsi="Palatino Linotype" w:cs="Palatino Linotype"/>
          <w:color w:val="222222"/>
        </w:rPr>
      </w:pPr>
      <w:r w:rsidRPr="00737A79">
        <w:rPr>
          <w:rFonts w:ascii="Palatino Linotype" w:eastAsia="Palatino Linotype" w:hAnsi="Palatino Linotype" w:cs="Palatino Linotype"/>
          <w:b/>
        </w:rPr>
        <w:t xml:space="preserve">TERCERO. Notifíquese </w:t>
      </w:r>
      <w:r w:rsidRPr="00737A79">
        <w:rPr>
          <w:rFonts w:ascii="Palatino Linotype" w:eastAsia="Palatino Linotype" w:hAnsi="Palatino Linotype" w:cs="Palatino Linotype"/>
        </w:rPr>
        <w:t xml:space="preserve">al Titular de la Unidad de Transparencia del </w:t>
      </w:r>
      <w:r w:rsidRPr="00737A79">
        <w:rPr>
          <w:rFonts w:ascii="Palatino Linotype" w:eastAsia="Palatino Linotype" w:hAnsi="Palatino Linotype" w:cs="Palatino Linotype"/>
          <w:b/>
        </w:rPr>
        <w:t>SUJETO OBLIGADO</w:t>
      </w:r>
      <w:r w:rsidRPr="00737A79">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737A79">
        <w:rPr>
          <w:rFonts w:ascii="Palatino Linotype" w:eastAsia="Palatino Linotype" w:hAnsi="Palatino Linotype" w:cs="Palatino Linotype"/>
          <w:color w:val="222222"/>
        </w:rPr>
        <w:t>vigente, dé cumplimiento a lo ordenado dentro del plazo de diez días hábiles, debiendo rendir a este Instituto el informe de cumplimiento de la Resolución en un plazo de tres días hábiles posteriores.</w:t>
      </w:r>
    </w:p>
    <w:p w:rsidR="00D51563" w:rsidRPr="00737A79" w:rsidRDefault="00D51563" w:rsidP="00B1162E">
      <w:pPr>
        <w:tabs>
          <w:tab w:val="left" w:pos="8080"/>
        </w:tabs>
        <w:spacing w:line="360" w:lineRule="auto"/>
        <w:jc w:val="both"/>
        <w:rPr>
          <w:rFonts w:ascii="Palatino Linotype" w:eastAsia="Palatino Linotype" w:hAnsi="Palatino Linotype" w:cs="Palatino Linotype"/>
          <w:color w:val="222222"/>
          <w:sz w:val="12"/>
        </w:rPr>
      </w:pPr>
    </w:p>
    <w:p w:rsidR="00D51563" w:rsidRPr="00737A79" w:rsidRDefault="00B1162E" w:rsidP="00B1162E">
      <w:pPr>
        <w:shd w:val="clear" w:color="auto" w:fill="FFFFFF"/>
        <w:spacing w:line="360" w:lineRule="auto"/>
        <w:jc w:val="both"/>
        <w:rPr>
          <w:rFonts w:ascii="Palatino Linotype" w:eastAsia="Palatino Linotype" w:hAnsi="Palatino Linotype" w:cs="Palatino Linotype"/>
          <w:b/>
        </w:rPr>
      </w:pPr>
      <w:r w:rsidRPr="00737A79">
        <w:rPr>
          <w:rFonts w:ascii="Palatino Linotype" w:eastAsia="Palatino Linotype" w:hAnsi="Palatino Linotype" w:cs="Palatino Linotype"/>
          <w:b/>
        </w:rPr>
        <w:t>CUARTO. Notifíquese al RECURRENTE</w:t>
      </w:r>
      <w:r w:rsidRPr="00737A79">
        <w:rPr>
          <w:rFonts w:ascii="Palatino Linotype" w:eastAsia="Palatino Linotype" w:hAnsi="Palatino Linotype" w:cs="Palatino Linotype"/>
        </w:rPr>
        <w:t xml:space="preserve"> la presente Resolución vía </w:t>
      </w:r>
      <w:r w:rsidRPr="00737A79">
        <w:rPr>
          <w:rFonts w:ascii="Palatino Linotype" w:eastAsia="Palatino Linotype" w:hAnsi="Palatino Linotype" w:cs="Palatino Linotype"/>
          <w:b/>
        </w:rPr>
        <w:t>SAIMEX.</w:t>
      </w:r>
    </w:p>
    <w:p w:rsidR="00D51563" w:rsidRPr="00737A79" w:rsidRDefault="00D51563" w:rsidP="00B1162E">
      <w:pPr>
        <w:shd w:val="clear" w:color="auto" w:fill="FFFFFF"/>
        <w:spacing w:line="360" w:lineRule="auto"/>
        <w:jc w:val="both"/>
        <w:rPr>
          <w:rFonts w:ascii="Palatino Linotype" w:eastAsia="Palatino Linotype" w:hAnsi="Palatino Linotype" w:cs="Palatino Linotype"/>
          <w:b/>
          <w:sz w:val="20"/>
        </w:rPr>
      </w:pPr>
    </w:p>
    <w:p w:rsidR="00D51563" w:rsidRPr="00737A79" w:rsidRDefault="00B1162E" w:rsidP="00B1162E">
      <w:pPr>
        <w:spacing w:line="360" w:lineRule="auto"/>
        <w:jc w:val="both"/>
        <w:rPr>
          <w:rFonts w:ascii="Palatino Linotype" w:eastAsia="Palatino Linotype" w:hAnsi="Palatino Linotype" w:cs="Palatino Linotype"/>
        </w:rPr>
      </w:pPr>
      <w:r w:rsidRPr="00737A79">
        <w:rPr>
          <w:rFonts w:ascii="Palatino Linotype" w:eastAsia="Palatino Linotype" w:hAnsi="Palatino Linotype" w:cs="Palatino Linotype"/>
          <w:b/>
        </w:rPr>
        <w:t>QUINTO.</w:t>
      </w:r>
      <w:r w:rsidRPr="00737A79">
        <w:rPr>
          <w:rFonts w:ascii="Palatino Linotype" w:eastAsia="Palatino Linotype" w:hAnsi="Palatino Linotype" w:cs="Palatino Linotype"/>
        </w:rPr>
        <w:t xml:space="preserve"> Se hace del conocimiento del </w:t>
      </w:r>
      <w:r w:rsidRPr="00737A79">
        <w:rPr>
          <w:rFonts w:ascii="Palatino Linotype" w:eastAsia="Palatino Linotype" w:hAnsi="Palatino Linotype" w:cs="Palatino Linotype"/>
          <w:b/>
        </w:rPr>
        <w:t>RECURRENTE</w:t>
      </w:r>
      <w:r w:rsidRPr="00737A79">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D51563" w:rsidRPr="00737A79" w:rsidRDefault="00B1162E" w:rsidP="00B1162E">
      <w:pPr>
        <w:spacing w:line="360" w:lineRule="auto"/>
        <w:jc w:val="both"/>
        <w:rPr>
          <w:rFonts w:ascii="Palatino Linotype" w:eastAsia="Palatino Linotype" w:hAnsi="Palatino Linotype" w:cs="Palatino Linotype"/>
          <w:b/>
        </w:rPr>
      </w:pPr>
      <w:r w:rsidRPr="00737A79">
        <w:rPr>
          <w:rFonts w:ascii="Palatino Linotype" w:eastAsia="Palatino Linotype" w:hAnsi="Palatino Linotype" w:cs="Palatino Linotype"/>
          <w:b/>
          <w:color w:val="000000"/>
        </w:rPr>
        <w:lastRenderedPageBreak/>
        <w:t xml:space="preserve">SEXTO. </w:t>
      </w:r>
      <w:r w:rsidRPr="00737A79">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737A79">
        <w:rPr>
          <w:rFonts w:ascii="Palatino Linotype" w:eastAsia="Palatino Linotype" w:hAnsi="Palatino Linotype" w:cs="Palatino Linotype"/>
          <w:b/>
        </w:rPr>
        <w:tab/>
      </w:r>
    </w:p>
    <w:p w:rsidR="00D51563" w:rsidRPr="00737A79" w:rsidRDefault="00D51563" w:rsidP="00B1162E">
      <w:pPr>
        <w:spacing w:line="360" w:lineRule="auto"/>
        <w:jc w:val="both"/>
        <w:rPr>
          <w:rFonts w:ascii="Palatino Linotype" w:eastAsia="Palatino Linotype" w:hAnsi="Palatino Linotype" w:cs="Palatino Linotype"/>
          <w:b/>
        </w:rPr>
      </w:pPr>
    </w:p>
    <w:p w:rsidR="00D51563" w:rsidRPr="00737A79" w:rsidRDefault="00B1162E" w:rsidP="00B1162E">
      <w:pPr>
        <w:shd w:val="clear" w:color="auto" w:fill="FFFFFF"/>
        <w:spacing w:line="360" w:lineRule="auto"/>
        <w:jc w:val="both"/>
        <w:rPr>
          <w:rFonts w:ascii="Palatino Linotype" w:eastAsia="Palatino Linotype" w:hAnsi="Palatino Linotype" w:cs="Palatino Linotype"/>
          <w:color w:val="000000"/>
        </w:rPr>
      </w:pPr>
      <w:r w:rsidRPr="00737A79">
        <w:rPr>
          <w:rFonts w:ascii="Palatino Linotype" w:eastAsia="Palatino Linotype" w:hAnsi="Palatino Linotype" w:cs="Palatino Linotype"/>
          <w:b/>
          <w:color w:val="000000"/>
        </w:rPr>
        <w:t>SÉPTIMO.</w:t>
      </w:r>
      <w:r w:rsidRPr="00737A79">
        <w:rPr>
          <w:rFonts w:ascii="Palatino Linotype" w:eastAsia="Palatino Linotype" w:hAnsi="Palatino Linotype" w:cs="Palatino Linotype"/>
          <w:color w:val="000000"/>
        </w:rPr>
        <w:t xml:space="preserve"> </w:t>
      </w:r>
      <w:r w:rsidRPr="00737A79">
        <w:rPr>
          <w:rFonts w:ascii="Palatino Linotype" w:eastAsia="Palatino Linotype" w:hAnsi="Palatino Linotype" w:cs="Palatino Linotype"/>
        </w:rPr>
        <w:t xml:space="preserve">Gírese oficio a la Dirección de Protección de Datos Personales de este Instituto para hacer de su conocimiento la presente Resolución, a fin de que en ejercicio de sus atribuciones y de </w:t>
      </w:r>
      <w:r w:rsidRPr="00737A79">
        <w:rPr>
          <w:rFonts w:ascii="Palatino Linotype" w:eastAsia="Palatino Linotype" w:hAnsi="Palatino Linotype" w:cs="Palatino Linotype"/>
          <w:color w:val="000000"/>
        </w:rPr>
        <w:t>conformidad</w:t>
      </w:r>
      <w:r w:rsidRPr="00737A79">
        <w:rPr>
          <w:rFonts w:ascii="Palatino Linotype" w:eastAsia="Palatino Linotype" w:hAnsi="Palatino Linotype" w:cs="Palatino Linotype"/>
        </w:rPr>
        <w:t xml:space="preserve"> con lo dispuesto por el artículo 82, fracciones XIV, XXII, XXIII y XXV de la Ley de Protección de Datos Personales en Posesión de Sujetos Obligados del Estado de México y Municipios, determine lo conducente, en términos del </w:t>
      </w:r>
      <w:r w:rsidRPr="00737A79">
        <w:rPr>
          <w:rFonts w:ascii="Palatino Linotype" w:eastAsia="Palatino Linotype" w:hAnsi="Palatino Linotype" w:cs="Palatino Linotype"/>
          <w:b/>
        </w:rPr>
        <w:t>Considerando Cuarto.</w:t>
      </w:r>
    </w:p>
    <w:p w:rsidR="0000056A" w:rsidRPr="00737A79" w:rsidRDefault="0000056A" w:rsidP="00B1162E">
      <w:pPr>
        <w:spacing w:line="360" w:lineRule="auto"/>
        <w:jc w:val="both"/>
        <w:rPr>
          <w:rFonts w:ascii="Palatino Linotype" w:eastAsia="Palatino Linotype" w:hAnsi="Palatino Linotype" w:cs="Palatino Linotype"/>
          <w:b/>
        </w:rPr>
      </w:pPr>
      <w:bookmarkStart w:id="10" w:name="_GoBack"/>
      <w:bookmarkEnd w:id="10"/>
    </w:p>
    <w:p w:rsidR="00D51563" w:rsidRPr="00F25596" w:rsidRDefault="00F25596" w:rsidP="00B1162E">
      <w:pPr>
        <w:spacing w:line="360" w:lineRule="auto"/>
        <w:jc w:val="both"/>
        <w:rPr>
          <w:rFonts w:ascii="Palatino Linotype" w:eastAsia="Palatino Linotype" w:hAnsi="Palatino Linotype" w:cs="Palatino Linotype"/>
        </w:rPr>
      </w:pPr>
      <w:r w:rsidRPr="00737A7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27904" w:rsidRPr="00737A79">
        <w:rPr>
          <w:rFonts w:ascii="Palatino Linotype" w:eastAsia="Palatino Linotype" w:hAnsi="Palatino Linotype" w:cs="Palatino Linotype"/>
        </w:rPr>
        <w:t xml:space="preserve"> EMITIENDO VOTO PARTICULAR EN</w:t>
      </w:r>
      <w:r w:rsidR="00202A17" w:rsidRPr="00737A79">
        <w:rPr>
          <w:rFonts w:ascii="Palatino Linotype" w:eastAsia="Palatino Linotype" w:hAnsi="Palatino Linotype" w:cs="Palatino Linotype"/>
        </w:rPr>
        <w:t xml:space="preserve"> EL </w:t>
      </w:r>
      <w:r w:rsidR="00E27904" w:rsidRPr="00737A79">
        <w:rPr>
          <w:rFonts w:ascii="Palatino Linotype" w:eastAsia="Palatino Linotype" w:hAnsi="Palatino Linotype" w:cs="Palatino Linotype"/>
        </w:rPr>
        <w:t>RECURSO DE REVISIÓN 00453/INFOEM/IP/RR/2025</w:t>
      </w:r>
      <w:r w:rsidRPr="00737A79">
        <w:rPr>
          <w:rFonts w:ascii="Palatino Linotype" w:eastAsia="Palatino Linotype" w:hAnsi="Palatino Linotype" w:cs="Palatino Linotype"/>
        </w:rPr>
        <w:t>; EN LA DÉCIMA SÉPTIMA SESIÓN ORDINARIA, CELEBRADA EL CATORCE (14) DE MAYO DE DOS MIL VEINTICINCO, ANTE EL SECRETARIO TÉCNICO DEL PLENO ALEXIS TAPIA RAMÍREZ.</w:t>
      </w:r>
    </w:p>
    <w:p w:rsidR="00D51563" w:rsidRPr="00B1162E" w:rsidRDefault="00D51563" w:rsidP="00B1162E">
      <w:pPr>
        <w:spacing w:line="360" w:lineRule="auto"/>
        <w:jc w:val="both"/>
        <w:rPr>
          <w:rFonts w:ascii="Palatino Linotype" w:eastAsia="Palatino Linotype" w:hAnsi="Palatino Linotype" w:cs="Palatino Linotype"/>
        </w:rPr>
      </w:pPr>
    </w:p>
    <w:p w:rsidR="00D51563" w:rsidRPr="00B1162E" w:rsidRDefault="00B1162E" w:rsidP="00B1162E">
      <w:pPr>
        <w:shd w:val="clear" w:color="auto" w:fill="FFFFFF"/>
        <w:spacing w:line="360" w:lineRule="auto"/>
        <w:jc w:val="both"/>
        <w:rPr>
          <w:rFonts w:ascii="Palatino Linotype" w:eastAsia="Palatino Linotype" w:hAnsi="Palatino Linotype" w:cs="Palatino Linotype"/>
        </w:rPr>
      </w:pPr>
      <w:r w:rsidRPr="00B1162E">
        <w:rPr>
          <w:rFonts w:ascii="Palatino Linotype" w:eastAsia="Palatino Linotype" w:hAnsi="Palatino Linotype" w:cs="Palatino Linotype"/>
        </w:rPr>
        <w:lastRenderedPageBreak/>
        <w:t xml:space="preserve">  </w:t>
      </w: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hd w:val="clear" w:color="auto" w:fill="FFFFFF"/>
        <w:spacing w:line="360" w:lineRule="auto"/>
        <w:jc w:val="both"/>
        <w:rPr>
          <w:rFonts w:ascii="Palatino Linotype" w:eastAsia="Palatino Linotype" w:hAnsi="Palatino Linotype" w:cs="Palatino Linotype"/>
        </w:rPr>
      </w:pPr>
    </w:p>
    <w:p w:rsidR="00D51563" w:rsidRPr="00B1162E" w:rsidRDefault="00D51563" w:rsidP="00B1162E">
      <w:pPr>
        <w:spacing w:line="360" w:lineRule="auto"/>
        <w:rPr>
          <w:rFonts w:ascii="Palatino Linotype" w:eastAsia="Palatino Linotype" w:hAnsi="Palatino Linotype" w:cs="Palatino Linotype"/>
        </w:rPr>
      </w:pPr>
    </w:p>
    <w:sectPr w:rsidR="00D51563" w:rsidRPr="00B1162E" w:rsidSect="00B1162E">
      <w:headerReference w:type="default" r:id="rId12"/>
      <w:footerReference w:type="default" r:id="rId13"/>
      <w:headerReference w:type="first" r:id="rId14"/>
      <w:footerReference w:type="first" r:id="rId15"/>
      <w:pgSz w:w="12240" w:h="15840"/>
      <w:pgMar w:top="1691" w:right="1183"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5D9" w:rsidRDefault="002455D9">
      <w:r>
        <w:separator/>
      </w:r>
    </w:p>
  </w:endnote>
  <w:endnote w:type="continuationSeparator" w:id="0">
    <w:p w:rsidR="002455D9" w:rsidRDefault="0024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2E" w:rsidRDefault="00B116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37A79">
      <w:rPr>
        <w:rFonts w:ascii="Palatino Linotype" w:eastAsia="Palatino Linotype" w:hAnsi="Palatino Linotype" w:cs="Palatino Linotype"/>
        <w:b/>
        <w:noProof/>
        <w:color w:val="000000"/>
        <w:sz w:val="22"/>
        <w:szCs w:val="22"/>
      </w:rPr>
      <w:t>53</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37A79">
      <w:rPr>
        <w:rFonts w:ascii="Palatino Linotype" w:eastAsia="Palatino Linotype" w:hAnsi="Palatino Linotype" w:cs="Palatino Linotype"/>
        <w:b/>
        <w:noProof/>
        <w:color w:val="000000"/>
        <w:sz w:val="22"/>
        <w:szCs w:val="22"/>
      </w:rPr>
      <w:t>55</w:t>
    </w:r>
    <w:r>
      <w:rPr>
        <w:rFonts w:ascii="Palatino Linotype" w:eastAsia="Palatino Linotype" w:hAnsi="Palatino Linotype" w:cs="Palatino Linotype"/>
        <w:b/>
        <w:color w:val="000000"/>
        <w:sz w:val="22"/>
        <w:szCs w:val="22"/>
      </w:rPr>
      <w:fldChar w:fldCharType="end"/>
    </w:r>
  </w:p>
  <w:p w:rsidR="00B1162E" w:rsidRDefault="00B1162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B1162E" w:rsidRDefault="00B1162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2E" w:rsidRDefault="00B1162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37A79">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37A79">
      <w:rPr>
        <w:rFonts w:ascii="Palatino Linotype" w:eastAsia="Palatino Linotype" w:hAnsi="Palatino Linotype" w:cs="Palatino Linotype"/>
        <w:noProof/>
        <w:color w:val="000000"/>
        <w:sz w:val="22"/>
        <w:szCs w:val="22"/>
      </w:rPr>
      <w:t>55</w:t>
    </w:r>
    <w:r>
      <w:rPr>
        <w:rFonts w:ascii="Palatino Linotype" w:eastAsia="Palatino Linotype" w:hAnsi="Palatino Linotype" w:cs="Palatino Linotype"/>
        <w:color w:val="000000"/>
        <w:sz w:val="22"/>
        <w:szCs w:val="22"/>
      </w:rPr>
      <w:fldChar w:fldCharType="end"/>
    </w:r>
  </w:p>
  <w:p w:rsidR="00B1162E" w:rsidRDefault="00B1162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B1162E" w:rsidRDefault="00B116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5D9" w:rsidRDefault="002455D9">
      <w:r>
        <w:separator/>
      </w:r>
    </w:p>
  </w:footnote>
  <w:footnote w:type="continuationSeparator" w:id="0">
    <w:p w:rsidR="002455D9" w:rsidRDefault="002455D9">
      <w:r>
        <w:continuationSeparator/>
      </w:r>
    </w:p>
  </w:footnote>
  <w:footnote w:id="1">
    <w:p w:rsidR="00B1162E" w:rsidRDefault="00B1162E">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Emitidos por este Instituto y publicados en el Periódico Oficial del Gobierno del Estado de México “Gaceta del Gobierno” en fecha treinta de octubre de dos mil ocho.</w:t>
      </w:r>
    </w:p>
  </w:footnote>
  <w:footnote w:id="2">
    <w:p w:rsidR="00B1162E" w:rsidRDefault="00B1162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3">
    <w:p w:rsidR="00B1162E" w:rsidRDefault="00B1162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4">
    <w:p w:rsidR="00B1162E" w:rsidRDefault="00B1162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B1162E" w:rsidRDefault="00B1162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6">
    <w:p w:rsidR="00B1162E" w:rsidRDefault="00B1162E">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7">
    <w:p w:rsidR="00B1162E" w:rsidRDefault="00B1162E">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rsidR="00B1162E" w:rsidRDefault="00B1162E">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rsidR="00B1162E" w:rsidRDefault="00B1162E">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2E" w:rsidRDefault="00B1162E">
    <w:pPr>
      <w:pBdr>
        <w:top w:val="nil"/>
        <w:left w:val="nil"/>
        <w:bottom w:val="nil"/>
        <w:right w:val="nil"/>
        <w:between w:val="nil"/>
      </w:pBdr>
      <w:tabs>
        <w:tab w:val="center" w:pos="4252"/>
        <w:tab w:val="right" w:pos="8504"/>
      </w:tabs>
      <w:rPr>
        <w:rFonts w:eastAsia="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-876934</wp:posOffset>
          </wp:positionH>
          <wp:positionV relativeFrom="paragraph">
            <wp:posOffset>-421004</wp:posOffset>
          </wp:positionV>
          <wp:extent cx="7809876" cy="10165823"/>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5"/>
      <w:tblW w:w="6420" w:type="dxa"/>
      <w:tblInd w:w="3078" w:type="dxa"/>
      <w:tblBorders>
        <w:top w:val="nil"/>
        <w:left w:val="nil"/>
        <w:bottom w:val="nil"/>
        <w:right w:val="nil"/>
        <w:insideH w:val="nil"/>
        <w:insideV w:val="nil"/>
      </w:tblBorders>
      <w:tblLayout w:type="fixed"/>
      <w:tblLook w:val="0400" w:firstRow="0" w:lastRow="0" w:firstColumn="0" w:lastColumn="0" w:noHBand="0" w:noVBand="1"/>
    </w:tblPr>
    <w:tblGrid>
      <w:gridCol w:w="2734"/>
      <w:gridCol w:w="3686"/>
    </w:tblGrid>
    <w:tr w:rsidR="00B1162E" w:rsidRPr="00B1162E" w:rsidTr="00B1162E">
      <w:trPr>
        <w:trHeight w:val="138"/>
      </w:trPr>
      <w:tc>
        <w:tcPr>
          <w:tcW w:w="2734" w:type="dxa"/>
          <w:vAlign w:val="center"/>
        </w:tcPr>
        <w:p w:rsidR="00B1162E" w:rsidRDefault="00B1162E">
          <w:pPr>
            <w:rPr>
              <w:rFonts w:ascii="Palatino Linotype" w:eastAsia="Palatino Linotype" w:hAnsi="Palatino Linotype" w:cs="Palatino Linotype"/>
              <w:b/>
            </w:rPr>
          </w:pPr>
          <w:r w:rsidRPr="00B1162E">
            <w:rPr>
              <w:rFonts w:ascii="Palatino Linotype" w:eastAsia="Palatino Linotype" w:hAnsi="Palatino Linotype" w:cs="Palatino Linotype"/>
              <w:b/>
            </w:rPr>
            <w:t>Recurso de Revisión:</w:t>
          </w:r>
        </w:p>
        <w:p w:rsidR="00B1162E" w:rsidRPr="00B1162E" w:rsidRDefault="00B1162E">
          <w:pPr>
            <w:rPr>
              <w:rFonts w:ascii="Palatino Linotype" w:eastAsia="Palatino Linotype" w:hAnsi="Palatino Linotype" w:cs="Palatino Linotype"/>
              <w:b/>
            </w:rPr>
          </w:pPr>
        </w:p>
      </w:tc>
      <w:tc>
        <w:tcPr>
          <w:tcW w:w="3686" w:type="dxa"/>
          <w:vAlign w:val="center"/>
        </w:tcPr>
        <w:p w:rsidR="00B1162E" w:rsidRPr="00B1162E" w:rsidRDefault="00B1162E" w:rsidP="00B1162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B1162E">
            <w:rPr>
              <w:rFonts w:ascii="Palatino Linotype" w:eastAsia="Palatino Linotype" w:hAnsi="Palatino Linotype" w:cs="Palatino Linotype"/>
              <w:color w:val="000000"/>
            </w:rPr>
            <w:t>00448/INFOEM/IP/RR/2025</w:t>
          </w:r>
          <w:r w:rsidRPr="00B1162E">
            <w:rPr>
              <w:rFonts w:ascii="Palatino Linotype" w:eastAsia="Palatino Linotype" w:hAnsi="Palatino Linotype" w:cs="Palatino Linotype"/>
              <w:color w:val="000000"/>
            </w:rPr>
            <w:br/>
            <w:t xml:space="preserve">y </w:t>
          </w:r>
          <w:r>
            <w:rPr>
              <w:rFonts w:ascii="Palatino Linotype" w:eastAsia="Palatino Linotype" w:hAnsi="Palatino Linotype" w:cs="Palatino Linotype"/>
              <w:color w:val="000000"/>
            </w:rPr>
            <w:t xml:space="preserve">Acumulado </w:t>
          </w:r>
        </w:p>
      </w:tc>
    </w:tr>
    <w:tr w:rsidR="00B1162E" w:rsidRPr="00B1162E" w:rsidTr="00B1162E">
      <w:trPr>
        <w:trHeight w:val="321"/>
      </w:trPr>
      <w:tc>
        <w:tcPr>
          <w:tcW w:w="2734" w:type="dxa"/>
          <w:vAlign w:val="center"/>
        </w:tcPr>
        <w:p w:rsidR="00B1162E" w:rsidRPr="00B1162E" w:rsidRDefault="00B1162E">
          <w:pPr>
            <w:rPr>
              <w:rFonts w:ascii="Palatino Linotype" w:eastAsia="Palatino Linotype" w:hAnsi="Palatino Linotype" w:cs="Palatino Linotype"/>
              <w:b/>
            </w:rPr>
          </w:pPr>
          <w:r w:rsidRPr="00B1162E">
            <w:rPr>
              <w:rFonts w:ascii="Palatino Linotype" w:eastAsia="Palatino Linotype" w:hAnsi="Palatino Linotype" w:cs="Palatino Linotype"/>
              <w:b/>
            </w:rPr>
            <w:t>Sujeto Obligado:</w:t>
          </w:r>
        </w:p>
      </w:tc>
      <w:tc>
        <w:tcPr>
          <w:tcW w:w="3686" w:type="dxa"/>
          <w:vAlign w:val="center"/>
        </w:tcPr>
        <w:p w:rsidR="00B1162E" w:rsidRPr="00B1162E" w:rsidRDefault="00B1162E" w:rsidP="00B1162E">
          <w:pPr>
            <w:rPr>
              <w:rFonts w:ascii="Palatino Linotype" w:eastAsia="Palatino Linotype" w:hAnsi="Palatino Linotype" w:cs="Palatino Linotype"/>
            </w:rPr>
          </w:pPr>
          <w:r w:rsidRPr="00B1162E">
            <w:rPr>
              <w:rFonts w:ascii="Palatino Linotype" w:eastAsia="Palatino Linotype" w:hAnsi="Palatino Linotype" w:cs="Palatino Linotype"/>
            </w:rPr>
            <w:t>Ayuntamiento de Chicoloapan</w:t>
          </w:r>
        </w:p>
      </w:tc>
    </w:tr>
    <w:tr w:rsidR="00B1162E" w:rsidRPr="00B1162E" w:rsidTr="00B1162E">
      <w:trPr>
        <w:trHeight w:val="321"/>
      </w:trPr>
      <w:tc>
        <w:tcPr>
          <w:tcW w:w="2734" w:type="dxa"/>
          <w:vAlign w:val="center"/>
        </w:tcPr>
        <w:p w:rsidR="00B1162E" w:rsidRPr="00B1162E" w:rsidRDefault="00B1162E">
          <w:pPr>
            <w:rPr>
              <w:rFonts w:ascii="Palatino Linotype" w:eastAsia="Palatino Linotype" w:hAnsi="Palatino Linotype" w:cs="Palatino Linotype"/>
              <w:b/>
            </w:rPr>
          </w:pPr>
          <w:r w:rsidRPr="00B1162E">
            <w:rPr>
              <w:rFonts w:ascii="Palatino Linotype" w:eastAsia="Palatino Linotype" w:hAnsi="Palatino Linotype" w:cs="Palatino Linotype"/>
              <w:b/>
            </w:rPr>
            <w:t>Comisionada Ponente:</w:t>
          </w:r>
        </w:p>
      </w:tc>
      <w:tc>
        <w:tcPr>
          <w:tcW w:w="3686" w:type="dxa"/>
          <w:vAlign w:val="center"/>
        </w:tcPr>
        <w:p w:rsidR="00B1162E" w:rsidRPr="00B1162E" w:rsidRDefault="00B1162E" w:rsidP="00B1162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rPr>
          </w:pPr>
          <w:r w:rsidRPr="00B1162E">
            <w:rPr>
              <w:rFonts w:ascii="Palatino Linotype" w:eastAsia="Palatino Linotype" w:hAnsi="Palatino Linotype" w:cs="Palatino Linotype"/>
              <w:color w:val="000000"/>
            </w:rPr>
            <w:t>María del Rosario Mejía Ayala</w:t>
          </w:r>
        </w:p>
      </w:tc>
    </w:tr>
  </w:tbl>
  <w:p w:rsidR="00B1162E" w:rsidRDefault="00B1162E">
    <w:pPr>
      <w:pBdr>
        <w:top w:val="nil"/>
        <w:left w:val="nil"/>
        <w:bottom w:val="nil"/>
        <w:right w:val="nil"/>
        <w:between w:val="nil"/>
      </w:pBdr>
      <w:tabs>
        <w:tab w:val="center" w:pos="4252"/>
        <w:tab w:val="right" w:pos="8504"/>
      </w:tabs>
      <w:rPr>
        <w:rFonts w:eastAsia="Calibri"/>
        <w:color w:val="000000"/>
      </w:rPr>
    </w:pPr>
  </w:p>
  <w:p w:rsidR="00B1162E" w:rsidRDefault="00B116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62E" w:rsidRDefault="00B1162E">
    <w:pPr>
      <w:pBdr>
        <w:top w:val="nil"/>
        <w:left w:val="nil"/>
        <w:bottom w:val="nil"/>
        <w:right w:val="nil"/>
        <w:between w:val="nil"/>
      </w:pBdr>
      <w:tabs>
        <w:tab w:val="center" w:pos="4252"/>
        <w:tab w:val="right" w:pos="8504"/>
        <w:tab w:val="left" w:pos="3103"/>
      </w:tabs>
      <w:rPr>
        <w:rFonts w:eastAsia="Calibri"/>
        <w:color w:val="000000"/>
        <w:sz w:val="20"/>
        <w:szCs w:val="20"/>
      </w:rPr>
    </w:pPr>
    <w:r>
      <w:rPr>
        <w:rFonts w:eastAsia="Calibri"/>
        <w:color w:val="000000"/>
      </w:rPr>
      <w:tab/>
    </w:r>
    <w:r>
      <w:rPr>
        <w:rFonts w:eastAsia="Calibri"/>
        <w:color w:val="000000"/>
        <w:sz w:val="20"/>
        <w:szCs w:val="20"/>
      </w:rPr>
      <w:tab/>
    </w:r>
    <w:r>
      <w:rPr>
        <w:noProof/>
        <w:lang w:val="es-MX" w:eastAsia="es-MX"/>
      </w:rPr>
      <w:drawing>
        <wp:anchor distT="0" distB="0" distL="0" distR="0" simplePos="0" relativeHeight="251659264" behindDoc="1" locked="0" layoutInCell="1" hidden="0" allowOverlap="1">
          <wp:simplePos x="0" y="0"/>
          <wp:positionH relativeFrom="column">
            <wp:posOffset>-1033778</wp:posOffset>
          </wp:positionH>
          <wp:positionV relativeFrom="paragraph">
            <wp:posOffset>-375919</wp:posOffset>
          </wp:positionV>
          <wp:extent cx="7809876" cy="10165823"/>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6693" w:type="dxa"/>
      <w:tblInd w:w="279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83"/>
      <w:gridCol w:w="236"/>
      <w:gridCol w:w="3874"/>
    </w:tblGrid>
    <w:tr w:rsidR="00B1162E" w:rsidRPr="00B1162E" w:rsidTr="00B1162E">
      <w:trPr>
        <w:trHeight w:val="138"/>
      </w:trPr>
      <w:tc>
        <w:tcPr>
          <w:tcW w:w="2583" w:type="dxa"/>
          <w:vAlign w:val="center"/>
        </w:tcPr>
        <w:p w:rsidR="00B1162E" w:rsidRDefault="00B1162E" w:rsidP="00B1162E">
          <w:pPr>
            <w:ind w:right="-108"/>
            <w:rPr>
              <w:rFonts w:ascii="Palatino Linotype" w:eastAsia="Palatino Linotype" w:hAnsi="Palatino Linotype" w:cs="Palatino Linotype"/>
              <w:b/>
            </w:rPr>
          </w:pPr>
          <w:r w:rsidRPr="00B1162E">
            <w:rPr>
              <w:rFonts w:ascii="Palatino Linotype" w:eastAsia="Palatino Linotype" w:hAnsi="Palatino Linotype" w:cs="Palatino Linotype"/>
              <w:b/>
            </w:rPr>
            <w:t>Recurso de Revisión:</w:t>
          </w:r>
        </w:p>
        <w:p w:rsidR="00B1162E" w:rsidRPr="00B1162E" w:rsidRDefault="00B1162E" w:rsidP="00B1162E">
          <w:pPr>
            <w:ind w:right="-108"/>
            <w:rPr>
              <w:rFonts w:ascii="Palatino Linotype" w:eastAsia="Palatino Linotype" w:hAnsi="Palatino Linotype" w:cs="Palatino Linotype"/>
              <w:b/>
            </w:rPr>
          </w:pPr>
        </w:p>
      </w:tc>
      <w:tc>
        <w:tcPr>
          <w:tcW w:w="236" w:type="dxa"/>
          <w:vAlign w:val="center"/>
        </w:tcPr>
        <w:p w:rsidR="00B1162E" w:rsidRPr="00B1162E" w:rsidRDefault="00B1162E">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3874" w:type="dxa"/>
          <w:vAlign w:val="center"/>
        </w:tcPr>
        <w:p w:rsidR="00B1162E" w:rsidRPr="00B1162E" w:rsidRDefault="00B1162E" w:rsidP="00B1162E">
          <w:pPr>
            <w:pBdr>
              <w:top w:val="nil"/>
              <w:left w:val="nil"/>
              <w:bottom w:val="nil"/>
              <w:right w:val="nil"/>
              <w:between w:val="nil"/>
            </w:pBdr>
            <w:tabs>
              <w:tab w:val="center" w:pos="4252"/>
              <w:tab w:val="right" w:pos="8504"/>
            </w:tabs>
            <w:ind w:left="-61"/>
            <w:rPr>
              <w:rFonts w:ascii="Palatino Linotype" w:eastAsia="Palatino Linotype" w:hAnsi="Palatino Linotype" w:cs="Palatino Linotype"/>
              <w:color w:val="000000"/>
            </w:rPr>
          </w:pPr>
          <w:r w:rsidRPr="00B1162E">
            <w:rPr>
              <w:rFonts w:ascii="Palatino Linotype" w:eastAsia="Palatino Linotype" w:hAnsi="Palatino Linotype" w:cs="Palatino Linotype"/>
              <w:color w:val="000000"/>
            </w:rPr>
            <w:t xml:space="preserve">00448/INFOEM/IP/RR/2025 y </w:t>
          </w:r>
          <w:r>
            <w:rPr>
              <w:rFonts w:ascii="Palatino Linotype" w:eastAsia="Palatino Linotype" w:hAnsi="Palatino Linotype" w:cs="Palatino Linotype"/>
              <w:color w:val="000000"/>
            </w:rPr>
            <w:t xml:space="preserve">Acumulado </w:t>
          </w:r>
        </w:p>
      </w:tc>
    </w:tr>
    <w:tr w:rsidR="00B1162E" w:rsidRPr="00B1162E" w:rsidTr="00B1162E">
      <w:trPr>
        <w:trHeight w:val="227"/>
      </w:trPr>
      <w:tc>
        <w:tcPr>
          <w:tcW w:w="2583" w:type="dxa"/>
          <w:vAlign w:val="center"/>
        </w:tcPr>
        <w:p w:rsidR="00B1162E" w:rsidRPr="00B1162E" w:rsidRDefault="00B1162E" w:rsidP="00B1162E">
          <w:pPr>
            <w:ind w:right="-108"/>
            <w:rPr>
              <w:rFonts w:ascii="Palatino Linotype" w:eastAsia="Palatino Linotype" w:hAnsi="Palatino Linotype" w:cs="Palatino Linotype"/>
              <w:b/>
            </w:rPr>
          </w:pPr>
          <w:r w:rsidRPr="00B1162E">
            <w:rPr>
              <w:rFonts w:ascii="Palatino Linotype" w:eastAsia="Palatino Linotype" w:hAnsi="Palatino Linotype" w:cs="Palatino Linotype"/>
              <w:b/>
            </w:rPr>
            <w:t>Recurrente:</w:t>
          </w:r>
        </w:p>
      </w:tc>
      <w:tc>
        <w:tcPr>
          <w:tcW w:w="236" w:type="dxa"/>
          <w:vAlign w:val="center"/>
        </w:tcPr>
        <w:p w:rsidR="00B1162E" w:rsidRPr="00B1162E" w:rsidRDefault="00B1162E">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3874" w:type="dxa"/>
          <w:vAlign w:val="center"/>
        </w:tcPr>
        <w:p w:rsidR="00B1162E" w:rsidRPr="00B1162E" w:rsidRDefault="00B1162E" w:rsidP="00B1162E">
          <w:pPr>
            <w:pBdr>
              <w:top w:val="nil"/>
              <w:left w:val="nil"/>
              <w:bottom w:val="nil"/>
              <w:right w:val="nil"/>
              <w:between w:val="nil"/>
            </w:pBdr>
            <w:tabs>
              <w:tab w:val="center" w:pos="4252"/>
              <w:tab w:val="right" w:pos="8504"/>
            </w:tabs>
            <w:ind w:left="-61"/>
            <w:rPr>
              <w:rFonts w:ascii="Palatino Linotype" w:eastAsia="Palatino Linotype" w:hAnsi="Palatino Linotype" w:cs="Palatino Linotype"/>
              <w:color w:val="000000"/>
            </w:rPr>
          </w:pPr>
        </w:p>
      </w:tc>
    </w:tr>
    <w:tr w:rsidR="00B1162E" w:rsidRPr="00B1162E" w:rsidTr="00B1162E">
      <w:trPr>
        <w:trHeight w:val="232"/>
      </w:trPr>
      <w:tc>
        <w:tcPr>
          <w:tcW w:w="2583" w:type="dxa"/>
          <w:vAlign w:val="center"/>
        </w:tcPr>
        <w:p w:rsidR="00B1162E" w:rsidRPr="00B1162E" w:rsidRDefault="00B1162E" w:rsidP="00B1162E">
          <w:pPr>
            <w:ind w:right="-108"/>
            <w:rPr>
              <w:rFonts w:ascii="Palatino Linotype" w:eastAsia="Palatino Linotype" w:hAnsi="Palatino Linotype" w:cs="Palatino Linotype"/>
              <w:b/>
            </w:rPr>
          </w:pPr>
          <w:r w:rsidRPr="00B1162E">
            <w:rPr>
              <w:rFonts w:ascii="Palatino Linotype" w:eastAsia="Palatino Linotype" w:hAnsi="Palatino Linotype" w:cs="Palatino Linotype"/>
              <w:b/>
            </w:rPr>
            <w:t>Sujeto Obligado:</w:t>
          </w:r>
        </w:p>
      </w:tc>
      <w:tc>
        <w:tcPr>
          <w:tcW w:w="236" w:type="dxa"/>
          <w:vAlign w:val="center"/>
        </w:tcPr>
        <w:p w:rsidR="00B1162E" w:rsidRPr="00B1162E" w:rsidRDefault="00B1162E">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3874" w:type="dxa"/>
          <w:vAlign w:val="center"/>
        </w:tcPr>
        <w:p w:rsidR="00B1162E" w:rsidRPr="00B1162E" w:rsidRDefault="00B1162E" w:rsidP="00B1162E">
          <w:pPr>
            <w:ind w:left="-61"/>
          </w:pPr>
          <w:r w:rsidRPr="00B1162E">
            <w:rPr>
              <w:rFonts w:ascii="Palatino Linotype" w:eastAsia="Palatino Linotype" w:hAnsi="Palatino Linotype" w:cs="Palatino Linotype"/>
            </w:rPr>
            <w:t>Ayuntamiento de Chicoloapan</w:t>
          </w:r>
        </w:p>
      </w:tc>
    </w:tr>
    <w:tr w:rsidR="00B1162E" w:rsidRPr="00B1162E" w:rsidTr="00B1162E">
      <w:trPr>
        <w:trHeight w:val="320"/>
      </w:trPr>
      <w:tc>
        <w:tcPr>
          <w:tcW w:w="2583" w:type="dxa"/>
          <w:vAlign w:val="center"/>
        </w:tcPr>
        <w:p w:rsidR="00B1162E" w:rsidRPr="00B1162E" w:rsidRDefault="00B1162E" w:rsidP="00B1162E">
          <w:pPr>
            <w:ind w:right="-108"/>
            <w:rPr>
              <w:rFonts w:ascii="Palatino Linotype" w:eastAsia="Palatino Linotype" w:hAnsi="Palatino Linotype" w:cs="Palatino Linotype"/>
              <w:b/>
            </w:rPr>
          </w:pPr>
          <w:r w:rsidRPr="00B1162E">
            <w:rPr>
              <w:rFonts w:ascii="Palatino Linotype" w:eastAsia="Palatino Linotype" w:hAnsi="Palatino Linotype" w:cs="Palatino Linotype"/>
              <w:b/>
            </w:rPr>
            <w:t>Comisionada Ponente:</w:t>
          </w:r>
        </w:p>
      </w:tc>
      <w:tc>
        <w:tcPr>
          <w:tcW w:w="236" w:type="dxa"/>
          <w:vAlign w:val="center"/>
        </w:tcPr>
        <w:p w:rsidR="00B1162E" w:rsidRPr="00B1162E" w:rsidRDefault="00B1162E">
          <w:pPr>
            <w:pBdr>
              <w:top w:val="nil"/>
              <w:left w:val="nil"/>
              <w:bottom w:val="nil"/>
              <w:right w:val="nil"/>
              <w:between w:val="nil"/>
            </w:pBdr>
            <w:tabs>
              <w:tab w:val="center" w:pos="4252"/>
              <w:tab w:val="right" w:pos="8504"/>
            </w:tabs>
            <w:jc w:val="center"/>
            <w:rPr>
              <w:rFonts w:ascii="Palatino Linotype" w:eastAsia="Palatino Linotype" w:hAnsi="Palatino Linotype" w:cs="Palatino Linotype"/>
              <w:b/>
              <w:color w:val="000000"/>
            </w:rPr>
          </w:pPr>
        </w:p>
      </w:tc>
      <w:tc>
        <w:tcPr>
          <w:tcW w:w="3874" w:type="dxa"/>
          <w:vAlign w:val="center"/>
        </w:tcPr>
        <w:p w:rsidR="00B1162E" w:rsidRPr="00B1162E" w:rsidRDefault="00B1162E" w:rsidP="00B1162E">
          <w:pPr>
            <w:pBdr>
              <w:top w:val="nil"/>
              <w:left w:val="nil"/>
              <w:bottom w:val="nil"/>
              <w:right w:val="nil"/>
              <w:between w:val="nil"/>
            </w:pBdr>
            <w:tabs>
              <w:tab w:val="center" w:pos="4252"/>
              <w:tab w:val="right" w:pos="8504"/>
            </w:tabs>
            <w:ind w:left="-61"/>
            <w:rPr>
              <w:rFonts w:ascii="Palatino Linotype" w:eastAsia="Palatino Linotype" w:hAnsi="Palatino Linotype" w:cs="Palatino Linotype"/>
              <w:color w:val="000000"/>
            </w:rPr>
          </w:pPr>
          <w:r w:rsidRPr="00B1162E">
            <w:rPr>
              <w:rFonts w:ascii="Palatino Linotype" w:eastAsia="Palatino Linotype" w:hAnsi="Palatino Linotype" w:cs="Palatino Linotype"/>
              <w:color w:val="000000"/>
            </w:rPr>
            <w:t>María del Rosario Mejía Ayala</w:t>
          </w:r>
        </w:p>
      </w:tc>
    </w:tr>
  </w:tbl>
  <w:p w:rsidR="00B1162E" w:rsidRDefault="00B1162E">
    <w:pPr>
      <w:pBdr>
        <w:top w:val="nil"/>
        <w:left w:val="nil"/>
        <w:bottom w:val="nil"/>
        <w:right w:val="nil"/>
        <w:between w:val="nil"/>
      </w:pBdr>
      <w:tabs>
        <w:tab w:val="center" w:pos="4252"/>
        <w:tab w:val="right" w:pos="8504"/>
      </w:tabs>
      <w:rPr>
        <w:rFonts w:eastAsia="Calibri"/>
        <w:color w:val="000000"/>
      </w:rPr>
    </w:pPr>
  </w:p>
  <w:p w:rsidR="00B1162E" w:rsidRDefault="00B1162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909CC"/>
    <w:multiLevelType w:val="multilevel"/>
    <w:tmpl w:val="EDD4600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5AE4BEA"/>
    <w:multiLevelType w:val="multilevel"/>
    <w:tmpl w:val="12EE84B0"/>
    <w:lvl w:ilvl="0">
      <w:start w:val="1"/>
      <w:numFmt w:val="lowerLetter"/>
      <w:lvlText w:val="%1)"/>
      <w:lvlJc w:val="left"/>
      <w:pPr>
        <w:ind w:left="1068"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7E006E3"/>
    <w:multiLevelType w:val="multilevel"/>
    <w:tmpl w:val="D6249D50"/>
    <w:lvl w:ilvl="0">
      <w:start w:val="1"/>
      <w:numFmt w:val="lowerLetter"/>
      <w:lvlText w:val="%1)"/>
      <w:lvlJc w:val="left"/>
      <w:pPr>
        <w:ind w:left="1068" w:hanging="360"/>
      </w:p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3">
    <w:nsid w:val="5D170389"/>
    <w:multiLevelType w:val="multilevel"/>
    <w:tmpl w:val="99F031B6"/>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
    <w:nsid w:val="676319AD"/>
    <w:multiLevelType w:val="multilevel"/>
    <w:tmpl w:val="54688D7E"/>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563"/>
    <w:rsid w:val="0000056A"/>
    <w:rsid w:val="00202A17"/>
    <w:rsid w:val="00216E96"/>
    <w:rsid w:val="002455D9"/>
    <w:rsid w:val="00465DAD"/>
    <w:rsid w:val="00565DA0"/>
    <w:rsid w:val="00737A79"/>
    <w:rsid w:val="00767B9B"/>
    <w:rsid w:val="009F4E14"/>
    <w:rsid w:val="00B1162E"/>
    <w:rsid w:val="00D51563"/>
    <w:rsid w:val="00E27904"/>
    <w:rsid w:val="00F255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FA2359B-9EE4-4423-BC39-D484D8748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U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lang w:eastAsia="es-ES"/>
    </w:rPr>
  </w:style>
  <w:style w:type="paragraph" w:styleId="Ttulo1">
    <w:name w:val="heading 1"/>
    <w:basedOn w:val="Normal"/>
    <w:next w:val="Normal"/>
    <w:link w:val="Ttulo1Car"/>
    <w:uiPriority w:val="9"/>
    <w:qFormat/>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Textoennegrita">
    <w:name w:val="Strong"/>
    <w:basedOn w:val="Fuentedeprrafopredeter"/>
    <w:uiPriority w:val="22"/>
    <w:qFormat/>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eastAsiaTheme="minorHAnsi"/>
      <w:sz w:val="20"/>
      <w:szCs w:val="20"/>
      <w:lang w:val="es-MX" w:eastAsia="en-US"/>
    </w:rPr>
  </w:style>
  <w:style w:type="paragraph" w:styleId="Encabezado">
    <w:name w:val="header"/>
    <w:basedOn w:val="Normal"/>
    <w:link w:val="EncabezadoCar"/>
    <w:uiPriority w:val="99"/>
    <w:unhideWhenUsed/>
    <w:pPr>
      <w:tabs>
        <w:tab w:val="center" w:pos="4252"/>
        <w:tab w:val="right" w:pos="8504"/>
      </w:tabs>
    </w:pPr>
  </w:style>
  <w:style w:type="paragraph" w:styleId="Sangradetextonormal">
    <w:name w:val="Body Text Indent"/>
    <w:basedOn w:val="Normal"/>
    <w:link w:val="SangradetextonormalCar"/>
    <w:uiPriority w:val="99"/>
    <w:semiHidden/>
    <w:unhideWhenUsed/>
    <w:pPr>
      <w:spacing w:after="120"/>
      <w:ind w:left="283"/>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cs="Times New Roman"/>
      <w:lang w:val="es-MX" w:eastAsia="es-MX"/>
    </w:rPr>
  </w:style>
  <w:style w:type="paragraph" w:styleId="Piedepgina">
    <w:name w:val="footer"/>
    <w:basedOn w:val="Normal"/>
    <w:link w:val="PiedepginaCar"/>
    <w:uiPriority w:val="99"/>
    <w:unhideWhenUsed/>
    <w:pPr>
      <w:tabs>
        <w:tab w:val="center" w:pos="4252"/>
        <w:tab w:val="right" w:pos="8504"/>
      </w:tabs>
    </w:pPr>
  </w:style>
  <w:style w:type="paragraph" w:styleId="Textoindependienteprimerasangra2">
    <w:name w:val="Body Text First Indent 2"/>
    <w:basedOn w:val="Sangradetextonormal"/>
    <w:link w:val="Textoindependienteprimerasangra2Car"/>
    <w:uiPriority w:val="99"/>
    <w:unhideWhenUsed/>
    <w:pPr>
      <w:spacing w:after="0"/>
      <w:ind w:left="360" w:firstLine="360"/>
    </w:pPr>
    <w:rPr>
      <w:rFonts w:ascii="Times New Roman" w:eastAsia="Times New Roman" w:hAnsi="Times New Roman" w:cs="Times New Roman"/>
      <w:lang w:val="es-MX" w:eastAsia="es-MX"/>
    </w:rPr>
  </w:style>
  <w:style w:type="table" w:styleId="Tablaconcuadrcula">
    <w:name w:val="Table Grid"/>
    <w:basedOn w:val="Tablanormal"/>
    <w:uiPriority w:val="59"/>
    <w:qFormat/>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Palatino Linotype" w:eastAsiaTheme="majorEastAsia" w:hAnsi="Palatino Linotype" w:cstheme="majorBidi"/>
      <w:b/>
      <w:color w:val="000000" w:themeColor="text1"/>
      <w:sz w:val="24"/>
      <w:szCs w:val="32"/>
    </w:rPr>
  </w:style>
  <w:style w:type="character" w:customStyle="1" w:styleId="Ttulo2Car">
    <w:name w:val="Título 2 Car"/>
    <w:basedOn w:val="Fuentedeprrafopredeter"/>
    <w:link w:val="Ttulo2"/>
    <w:uiPriority w:val="9"/>
    <w:rPr>
      <w:rFonts w:ascii="Palatino Linotype" w:eastAsiaTheme="majorEastAsia" w:hAnsi="Palatino Linotype" w:cstheme="majorBidi"/>
      <w:b/>
      <w:color w:val="000000" w:themeColor="text1"/>
      <w:sz w:val="24"/>
      <w:szCs w:val="26"/>
    </w:rPr>
  </w:style>
  <w:style w:type="character" w:customStyle="1" w:styleId="EncabezadoCar">
    <w:name w:val="Encabezado Car"/>
    <w:basedOn w:val="Fuentedeprrafopredeter"/>
    <w:link w:val="Encabezado"/>
    <w:uiPriority w:val="99"/>
    <w:rPr>
      <w:rFonts w:eastAsiaTheme="minorEastAsia"/>
      <w:sz w:val="24"/>
      <w:szCs w:val="24"/>
      <w:lang w:eastAsia="es-ES"/>
    </w:rPr>
  </w:style>
  <w:style w:type="character" w:customStyle="1" w:styleId="PiedepginaCar">
    <w:name w:val="Pie de página Car"/>
    <w:basedOn w:val="Fuentedeprrafopredeter"/>
    <w:link w:val="Piedepgina"/>
    <w:uiPriority w:val="99"/>
    <w:rPr>
      <w:rFonts w:eastAsiaTheme="minorEastAsia"/>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Pr>
      <w:rFonts w:eastAsiaTheme="minorEastAsia"/>
      <w:sz w:val="24"/>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sz w:val="20"/>
      <w:szCs w:val="20"/>
    </w:rPr>
  </w:style>
  <w:style w:type="character" w:customStyle="1" w:styleId="SangradetextonormalCar">
    <w:name w:val="Sangría de texto normal Car"/>
    <w:basedOn w:val="Fuentedeprrafopredeter"/>
    <w:link w:val="Sangradetextonormal"/>
    <w:uiPriority w:val="99"/>
    <w:semiHidden/>
    <w:rPr>
      <w:rFonts w:eastAsiaTheme="minorEastAsia"/>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4"/>
      <w:szCs w:val="24"/>
      <w:lang w:eastAsia="es-MX"/>
    </w:rPr>
  </w:style>
  <w:style w:type="paragraph" w:customStyle="1" w:styleId="Citas">
    <w:name w:val="Citas"/>
    <w:basedOn w:val="Normal"/>
    <w:qFormat/>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eNormal5">
    <w:name w:val="Table Normal5"/>
    <w:rPr>
      <w:rFonts w:ascii="Times New Roman" w:eastAsia="Times New Roman" w:hAnsi="Times New Roman" w:cs="Times New Roman"/>
    </w:rPr>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ascii="Arial" w:hAnsi="Arial" w:cs="Arial"/>
      <w:color w:val="000000"/>
      <w:lang w:val="es-MX" w:eastAsia="en-US"/>
    </w:rPr>
  </w:style>
  <w:style w:type="paragraph" w:styleId="Sinespaciado">
    <w:name w:val="No Spacing"/>
    <w:aliases w:val="Francesa"/>
    <w:link w:val="SinespaciadoCar"/>
    <w:uiPriority w:val="1"/>
    <w:qFormat/>
    <w:rPr>
      <w:sz w:val="22"/>
      <w:szCs w:val="22"/>
      <w:lang w:val="es-MX" w:eastAsia="en-US"/>
    </w:rPr>
  </w:style>
  <w:style w:type="character" w:customStyle="1" w:styleId="SinespaciadoCar">
    <w:name w:val="Sin espaciado Car"/>
    <w:aliases w:val="Francesa Car"/>
    <w:link w:val="Sinespaciado"/>
    <w:uiPriority w:val="1"/>
    <w:qFormat/>
    <w:locked/>
  </w:style>
  <w:style w:type="character" w:styleId="Hipervnculo">
    <w:name w:val="Hyperlink"/>
    <w:aliases w:val="Hipervínculo1,Hipervínculo11,Hipervínculo12,Hipervínculo13,Hipervínculo14,Hipervínculo15"/>
    <w:basedOn w:val="Fuentedeprrafopredeter"/>
    <w:uiPriority w:val="99"/>
    <w:unhideWhenUsed/>
    <w:rsid w:val="008C0471"/>
    <w:rPr>
      <w:color w:val="0563C1" w:themeColor="hyperlink"/>
      <w:u w:val="single"/>
    </w:rPr>
  </w:style>
  <w:style w:type="character" w:customStyle="1" w:styleId="TextonotapieCar1">
    <w:name w:val="Texto nota pie Car1"/>
    <w:basedOn w:val="Fuentedeprrafopredeter"/>
    <w:uiPriority w:val="99"/>
    <w:semiHidden/>
    <w:rsid w:val="00AA09D6"/>
    <w:rPr>
      <w:rFonts w:ascii="Times New Roman" w:eastAsia="Times New Roman" w:hAnsi="Times New Roman" w:cs="Times New Roman"/>
      <w:sz w:val="20"/>
      <w:szCs w:val="20"/>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table" w:customStyle="1" w:styleId="a3">
    <w:basedOn w:val="TableNormal"/>
    <w:tblPr>
      <w:tblStyleRowBandSize w:val="1"/>
      <w:tblStyleColBandSize w:val="1"/>
      <w:tblCellMar>
        <w:top w:w="0" w:type="dxa"/>
        <w:left w:w="70" w:type="dxa"/>
        <w:bottom w:w="0" w:type="dxa"/>
        <w:right w:w="70"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08" w:type="dxa"/>
        <w:bottom w:w="0" w:type="dxa"/>
        <w:right w:w="108" w:type="dxa"/>
      </w:tblCellMar>
    </w:tblPr>
  </w:style>
  <w:style w:type="table" w:customStyle="1" w:styleId="a6">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h7ZGoAJh6/QNVuWMdnNL6fKig==">CgMxLjAyDmgubTFrd2d5NTlpMmUzMg5oLjhweGxnM200MXFrdTINaC5zNnFremE3NGp2ZTIOaC52dzVnaG02ajR3eGIyDmgubWFscDI3M3Fib3doMg5oLndxOGRrYms1bXVlbzIJaC4yczhleW8xMgloLjE3ZHA4dnUyDmguOWJ4NTQ4ejk2d3luMg5oLnBpNnl3b2hoZjQ2cDgAciExdVBiYmo0bE1maEN1NjZ6Q1VkVjJ3QU5ZMTNWTUU3TjE=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55</Pages>
  <Words>12317</Words>
  <Characters>67746</Characters>
  <Application>Microsoft Office Word</Application>
  <DocSecurity>0</DocSecurity>
  <Lines>564</Lines>
  <Paragraphs>159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79904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INFOEM416</cp:lastModifiedBy>
  <cp:revision>6</cp:revision>
  <cp:lastPrinted>2025-05-15T18:27:00Z</cp:lastPrinted>
  <dcterms:created xsi:type="dcterms:W3CDTF">2025-05-08T16:16:00Z</dcterms:created>
  <dcterms:modified xsi:type="dcterms:W3CDTF">2025-05-15T18:27:00Z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2058-12.2.0.18911</vt:lpwstr>
  </property>
  <property fmtid="{D5CDD505-2E9C-101B-9397-08002B2CF9AE}" pid="3" name="ICV">
    <vt:lpwstr>C641EF00E0BB42EC9A99D5AD9BA61195_13</vt:lpwstr>
  </property>
</Properties>
</file>