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AF6" w:rsidRPr="00707C84" w:rsidRDefault="00B26AF6" w:rsidP="00707C84">
      <w:pPr>
        <w:spacing w:line="360" w:lineRule="auto"/>
        <w:jc w:val="both"/>
        <w:rPr>
          <w:rFonts w:ascii="Palatino Linotype" w:eastAsia="Palatino Linotype" w:hAnsi="Palatino Linotype" w:cs="Palatino Linotype"/>
          <w:color w:val="000000" w:themeColor="text1"/>
        </w:rPr>
      </w:pPr>
      <w:bookmarkStart w:id="0" w:name="_GoBack"/>
      <w:bookmarkEnd w:id="0"/>
      <w:r w:rsidRPr="00707C84">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707C84">
        <w:rPr>
          <w:rFonts w:ascii="Palatino Linotype" w:eastAsia="Palatino Linotype" w:hAnsi="Palatino Linotype" w:cs="Palatino Linotype"/>
          <w:b/>
          <w:color w:val="000000" w:themeColor="text1"/>
        </w:rPr>
        <w:t xml:space="preserve">de fecha veinte (20) </w:t>
      </w:r>
      <w:r w:rsidR="00707C84" w:rsidRPr="00157555">
        <w:rPr>
          <w:rFonts w:ascii="Palatino Linotype" w:eastAsia="Palatino Linotype" w:hAnsi="Palatino Linotype" w:cs="Palatino Linotype"/>
          <w:b/>
          <w:color w:val="000000" w:themeColor="text1"/>
        </w:rPr>
        <w:t xml:space="preserve">de </w:t>
      </w:r>
      <w:r w:rsidR="00707C84">
        <w:rPr>
          <w:rFonts w:ascii="Palatino Linotype" w:eastAsia="Palatino Linotype" w:hAnsi="Palatino Linotype" w:cs="Palatino Linotype"/>
          <w:b/>
          <w:color w:val="000000" w:themeColor="text1"/>
        </w:rPr>
        <w:t xml:space="preserve">noviembre </w:t>
      </w:r>
      <w:r w:rsidR="00707C84" w:rsidRPr="00157555">
        <w:rPr>
          <w:rFonts w:ascii="Palatino Linotype" w:eastAsia="Palatino Linotype" w:hAnsi="Palatino Linotype" w:cs="Palatino Linotype"/>
          <w:b/>
          <w:color w:val="000000" w:themeColor="text1"/>
        </w:rPr>
        <w:t>de dos mil veinticinco</w:t>
      </w:r>
      <w:r w:rsidRPr="00707C84">
        <w:rPr>
          <w:rFonts w:ascii="Palatino Linotype" w:eastAsia="Palatino Linotype" w:hAnsi="Palatino Linotype" w:cs="Palatino Linotype"/>
          <w:color w:val="000000" w:themeColor="text1"/>
        </w:rPr>
        <w:t>.</w:t>
      </w:r>
    </w:p>
    <w:p w:rsidR="00B26AF6" w:rsidRPr="00707C84" w:rsidRDefault="00B26AF6" w:rsidP="00707C84">
      <w:pPr>
        <w:spacing w:line="360" w:lineRule="auto"/>
        <w:jc w:val="both"/>
        <w:rPr>
          <w:rFonts w:ascii="Palatino Linotype" w:eastAsia="Palatino Linotype" w:hAnsi="Palatino Linotype" w:cs="Palatino Linotype"/>
          <w:color w:val="000000" w:themeColor="text1"/>
        </w:rPr>
      </w:pPr>
    </w:p>
    <w:p w:rsidR="00B26AF6" w:rsidRPr="00707C84" w:rsidRDefault="00B26AF6" w:rsidP="00707C84">
      <w:pPr>
        <w:spacing w:line="360" w:lineRule="auto"/>
        <w:jc w:val="both"/>
        <w:rPr>
          <w:rFonts w:ascii="Palatino Linotype" w:eastAsia="Palatino Linotype" w:hAnsi="Palatino Linotype" w:cs="Palatino Linotype"/>
          <w:color w:val="000000" w:themeColor="text1"/>
        </w:rPr>
      </w:pPr>
      <w:r w:rsidRPr="00707C84">
        <w:rPr>
          <w:rFonts w:ascii="Palatino Linotype" w:eastAsia="Palatino Linotype" w:hAnsi="Palatino Linotype" w:cs="Palatino Linotype"/>
          <w:b/>
          <w:color w:val="000000" w:themeColor="text1"/>
        </w:rPr>
        <w:t>VISTO</w:t>
      </w:r>
      <w:r w:rsidRPr="00707C84">
        <w:rPr>
          <w:rFonts w:ascii="Palatino Linotype" w:eastAsia="Palatino Linotype" w:hAnsi="Palatino Linotype" w:cs="Palatino Linotype"/>
          <w:color w:val="000000" w:themeColor="text1"/>
        </w:rPr>
        <w:t xml:space="preserve"> el expediente electrónico formado con motivo del recurso de revisión </w:t>
      </w:r>
      <w:r w:rsidRPr="00707C84">
        <w:rPr>
          <w:rFonts w:ascii="Palatino Linotype" w:eastAsia="Palatino Linotype" w:hAnsi="Palatino Linotype" w:cs="Palatino Linotype"/>
          <w:b/>
          <w:color w:val="000000" w:themeColor="text1"/>
        </w:rPr>
        <w:t xml:space="preserve">05778/INFOEM/IP/RR/2025, </w:t>
      </w:r>
      <w:r w:rsidRPr="00707C84">
        <w:rPr>
          <w:rFonts w:ascii="Palatino Linotype" w:eastAsia="Palatino Linotype" w:hAnsi="Palatino Linotype" w:cs="Palatino Linotype"/>
          <w:color w:val="000000" w:themeColor="text1"/>
        </w:rPr>
        <w:t xml:space="preserve">promovido por </w:t>
      </w:r>
      <w:r w:rsidRPr="00707C84">
        <w:rPr>
          <w:rFonts w:ascii="Palatino Linotype" w:eastAsia="Palatino Linotype" w:hAnsi="Palatino Linotype" w:cs="Palatino Linotype"/>
          <w:b/>
          <w:bCs/>
          <w:color w:val="000000" w:themeColor="text1"/>
        </w:rPr>
        <w:t>un usuario que no proporcionó nombre</w:t>
      </w:r>
      <w:r w:rsidRPr="00707C84">
        <w:rPr>
          <w:rFonts w:ascii="Palatino Linotype" w:eastAsia="Palatino Linotype" w:hAnsi="Palatino Linotype" w:cs="Palatino Linotype"/>
          <w:b/>
          <w:color w:val="000000" w:themeColor="text1"/>
        </w:rPr>
        <w:t>,</w:t>
      </w:r>
      <w:r w:rsidRPr="00707C84">
        <w:rPr>
          <w:rFonts w:ascii="Palatino Linotype" w:eastAsia="Palatino Linotype" w:hAnsi="Palatino Linotype" w:cs="Palatino Linotype"/>
          <w:color w:val="000000" w:themeColor="text1"/>
        </w:rPr>
        <w:t xml:space="preserve"> </w:t>
      </w:r>
      <w:r w:rsidR="00915DD6">
        <w:rPr>
          <w:rFonts w:ascii="Palatino Linotype" w:eastAsia="Palatino Linotype" w:hAnsi="Palatino Linotype" w:cs="Palatino Linotype"/>
          <w:color w:val="000000" w:themeColor="text1"/>
        </w:rPr>
        <w:t xml:space="preserve">a </w:t>
      </w:r>
      <w:r w:rsidRPr="00707C84">
        <w:rPr>
          <w:rFonts w:ascii="Palatino Linotype" w:eastAsia="Palatino Linotype" w:hAnsi="Palatino Linotype" w:cs="Palatino Linotype"/>
          <w:color w:val="000000" w:themeColor="text1"/>
        </w:rPr>
        <w:t xml:space="preserve">quien en lo sucesivo se identificará como </w:t>
      </w:r>
      <w:r w:rsidRPr="00707C84">
        <w:rPr>
          <w:rFonts w:ascii="Palatino Linotype" w:eastAsia="Palatino Linotype" w:hAnsi="Palatino Linotype" w:cs="Palatino Linotype"/>
          <w:b/>
          <w:color w:val="000000" w:themeColor="text1"/>
        </w:rPr>
        <w:t>EL RECURRENTE</w:t>
      </w:r>
      <w:r w:rsidRPr="00707C84">
        <w:rPr>
          <w:rFonts w:ascii="Palatino Linotype" w:eastAsia="Palatino Linotype" w:hAnsi="Palatino Linotype" w:cs="Palatino Linotype"/>
          <w:color w:val="000000" w:themeColor="text1"/>
        </w:rPr>
        <w:t xml:space="preserve">, en contra de la respuesta del </w:t>
      </w:r>
      <w:r w:rsidRPr="00707C84">
        <w:rPr>
          <w:rFonts w:ascii="Palatino Linotype" w:eastAsia="Palatino Linotype" w:hAnsi="Palatino Linotype" w:cs="Palatino Linotype"/>
          <w:b/>
          <w:color w:val="000000" w:themeColor="text1"/>
        </w:rPr>
        <w:t xml:space="preserve">Ayuntamiento de Tepotzotlán, </w:t>
      </w:r>
      <w:r w:rsidRPr="00707C84">
        <w:rPr>
          <w:rFonts w:ascii="Palatino Linotype" w:eastAsia="Palatino Linotype" w:hAnsi="Palatino Linotype" w:cs="Palatino Linotype"/>
          <w:color w:val="000000" w:themeColor="text1"/>
        </w:rPr>
        <w:t>en adelante el</w:t>
      </w:r>
      <w:r w:rsidRPr="00707C84">
        <w:rPr>
          <w:rFonts w:ascii="Palatino Linotype" w:eastAsia="Palatino Linotype" w:hAnsi="Palatino Linotype" w:cs="Palatino Linotype"/>
          <w:b/>
          <w:color w:val="000000" w:themeColor="text1"/>
        </w:rPr>
        <w:t xml:space="preserve"> SUJETO OBLIGADO</w:t>
      </w:r>
      <w:r w:rsidRPr="00707C84">
        <w:rPr>
          <w:rFonts w:ascii="Palatino Linotype" w:eastAsia="Palatino Linotype" w:hAnsi="Palatino Linotype" w:cs="Palatino Linotype"/>
          <w:color w:val="000000" w:themeColor="text1"/>
        </w:rPr>
        <w:t>, por lo que se procede a dictar la presente resolución, con base en los siguientes:</w:t>
      </w:r>
    </w:p>
    <w:p w:rsidR="00B26AF6" w:rsidRPr="00707C84" w:rsidRDefault="00B26AF6" w:rsidP="00707C84">
      <w:pPr>
        <w:spacing w:line="360" w:lineRule="auto"/>
        <w:jc w:val="both"/>
        <w:rPr>
          <w:rFonts w:ascii="Palatino Linotype" w:eastAsia="Palatino Linotype" w:hAnsi="Palatino Linotype" w:cs="Palatino Linotype"/>
          <w:b/>
          <w:color w:val="000000" w:themeColor="text1"/>
        </w:rPr>
      </w:pPr>
    </w:p>
    <w:p w:rsidR="00B26AF6" w:rsidRPr="00707C84" w:rsidRDefault="00B26AF6" w:rsidP="00707C84">
      <w:pPr>
        <w:keepNext/>
        <w:keepLines/>
        <w:spacing w:line="360" w:lineRule="auto"/>
        <w:jc w:val="center"/>
        <w:rPr>
          <w:rFonts w:ascii="Palatino Linotype" w:eastAsia="Palatino Linotype" w:hAnsi="Palatino Linotype" w:cs="Palatino Linotype"/>
          <w:b/>
          <w:color w:val="000000" w:themeColor="text1"/>
        </w:rPr>
      </w:pPr>
      <w:bookmarkStart w:id="1" w:name="_heading=h.gjdgxs" w:colFirst="0" w:colLast="0"/>
      <w:bookmarkEnd w:id="1"/>
      <w:r w:rsidRPr="00707C84">
        <w:rPr>
          <w:rFonts w:ascii="Palatino Linotype" w:eastAsia="Palatino Linotype" w:hAnsi="Palatino Linotype" w:cs="Palatino Linotype"/>
          <w:b/>
          <w:color w:val="000000" w:themeColor="text1"/>
        </w:rPr>
        <w:t>A N T E C E D E N T E S</w:t>
      </w:r>
    </w:p>
    <w:p w:rsidR="00B26AF6" w:rsidRPr="00707C84" w:rsidRDefault="00B26AF6" w:rsidP="00707C84">
      <w:pPr>
        <w:spacing w:line="360" w:lineRule="auto"/>
        <w:rPr>
          <w:rFonts w:ascii="Palatino Linotype" w:eastAsia="Palatino Linotype" w:hAnsi="Palatino Linotype" w:cs="Palatino Linotype"/>
          <w:color w:val="000000" w:themeColor="text1"/>
        </w:rPr>
      </w:pPr>
    </w:p>
    <w:p w:rsidR="00B26AF6" w:rsidRPr="00707C84" w:rsidRDefault="00B26AF6" w:rsidP="00707C8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07C84">
        <w:rPr>
          <w:rFonts w:ascii="Palatino Linotype" w:eastAsia="Palatino Linotype" w:hAnsi="Palatino Linotype" w:cs="Palatino Linotype"/>
          <w:color w:val="000000" w:themeColor="text1"/>
        </w:rPr>
        <w:t xml:space="preserve">El </w:t>
      </w:r>
      <w:r w:rsidRPr="00707C84">
        <w:rPr>
          <w:rFonts w:ascii="Palatino Linotype" w:eastAsia="Palatino Linotype" w:hAnsi="Palatino Linotype" w:cs="Palatino Linotype"/>
          <w:b/>
          <w:color w:val="000000" w:themeColor="text1"/>
        </w:rPr>
        <w:t>veintiuno de abril de dos mil veinticinco</w:t>
      </w:r>
      <w:r w:rsidRPr="00707C84">
        <w:rPr>
          <w:rFonts w:ascii="Palatino Linotype" w:eastAsia="Palatino Linotype" w:hAnsi="Palatino Linotype" w:cs="Palatino Linotype"/>
          <w:color w:val="000000" w:themeColor="text1"/>
        </w:rPr>
        <w:t xml:space="preserve">, </w:t>
      </w:r>
      <w:r w:rsidRPr="00707C84">
        <w:rPr>
          <w:rFonts w:ascii="Palatino Linotype" w:eastAsia="Palatino Linotype" w:hAnsi="Palatino Linotype" w:cs="Palatino Linotype"/>
          <w:b/>
          <w:color w:val="000000" w:themeColor="text1"/>
        </w:rPr>
        <w:t>EL RECURRENTE,</w:t>
      </w:r>
      <w:r w:rsidRPr="00707C84">
        <w:rPr>
          <w:rFonts w:ascii="Palatino Linotype" w:eastAsia="Palatino Linotype" w:hAnsi="Palatino Linotype" w:cs="Palatino Linotype"/>
          <w:color w:val="000000" w:themeColor="text1"/>
        </w:rPr>
        <w:t xml:space="preserve"> ante el </w:t>
      </w:r>
      <w:r w:rsidRPr="00707C84">
        <w:rPr>
          <w:rFonts w:ascii="Palatino Linotype" w:eastAsia="Palatino Linotype" w:hAnsi="Palatino Linotype" w:cs="Palatino Linotype"/>
          <w:b/>
          <w:color w:val="000000" w:themeColor="text1"/>
        </w:rPr>
        <w:t>SUJETO OBLIGADO</w:t>
      </w:r>
      <w:r w:rsidRPr="00707C84">
        <w:rPr>
          <w:rFonts w:ascii="Palatino Linotype" w:eastAsia="Palatino Linotype" w:hAnsi="Palatino Linotype" w:cs="Palatino Linotype"/>
          <w:color w:val="000000" w:themeColor="text1"/>
        </w:rPr>
        <w:t xml:space="preserve"> a través del Sistema de Acceso a la Información Mexiquense (SAIMEX), presentó una solicitud de información registrada con el número </w:t>
      </w:r>
      <w:r w:rsidRPr="00707C84">
        <w:rPr>
          <w:rFonts w:ascii="Palatino Linotype" w:eastAsia="Palatino Linotype" w:hAnsi="Palatino Linotype" w:cs="Palatino Linotype"/>
          <w:b/>
          <w:bCs/>
          <w:color w:val="000000" w:themeColor="text1"/>
        </w:rPr>
        <w:t>00163/TEPOTZOT/IP/2025</w:t>
      </w:r>
      <w:r w:rsidRPr="00707C84">
        <w:rPr>
          <w:rFonts w:ascii="Palatino Linotype" w:eastAsia="Palatino Linotype" w:hAnsi="Palatino Linotype" w:cs="Palatino Linotype"/>
          <w:b/>
          <w:color w:val="000000" w:themeColor="text1"/>
        </w:rPr>
        <w:t xml:space="preserve">, </w:t>
      </w:r>
      <w:r w:rsidRPr="00707C84">
        <w:rPr>
          <w:rFonts w:ascii="Palatino Linotype" w:eastAsia="Palatino Linotype" w:hAnsi="Palatino Linotype" w:cs="Palatino Linotype"/>
          <w:color w:val="000000" w:themeColor="text1"/>
        </w:rPr>
        <w:t>en la que se solicitó lo siguiente:</w:t>
      </w:r>
    </w:p>
    <w:p w:rsidR="00B26AF6" w:rsidRPr="00707C84" w:rsidRDefault="00B26AF6" w:rsidP="00707C8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26AF6" w:rsidRPr="00707C84" w:rsidRDefault="00B26AF6" w:rsidP="00707C8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707C84">
        <w:rPr>
          <w:rFonts w:ascii="Palatino Linotype" w:eastAsia="Palatino Linotype" w:hAnsi="Palatino Linotype" w:cs="Palatino Linotype"/>
          <w:i/>
          <w:color w:val="000000" w:themeColor="text1"/>
        </w:rPr>
        <w:t xml:space="preserve">“La fecha de aprobación y publicación del programa especial para otorgar la licencia o permiso provisional de funcionamiento para negocios de bajo riesgo sanitario, ambiental, o de protección civil.” (Sic) </w:t>
      </w:r>
    </w:p>
    <w:p w:rsidR="00B26AF6" w:rsidRPr="00707C84" w:rsidRDefault="00B26AF6" w:rsidP="00707C8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26AF6" w:rsidRPr="00707C84" w:rsidRDefault="00B26AF6" w:rsidP="00707C8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07C84">
        <w:rPr>
          <w:rFonts w:ascii="Palatino Linotype" w:eastAsia="Palatino Linotype" w:hAnsi="Palatino Linotype" w:cs="Palatino Linotype"/>
          <w:color w:val="000000" w:themeColor="text1"/>
        </w:rPr>
        <w:t xml:space="preserve">Se señaló como modalidad de entrega a través de SAIMEX.  </w:t>
      </w:r>
    </w:p>
    <w:p w:rsidR="00B26AF6" w:rsidRPr="00707C84" w:rsidRDefault="00B26AF6" w:rsidP="00707C8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26AF6" w:rsidRPr="00707C84" w:rsidRDefault="00B26AF6" w:rsidP="00707C8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07C84">
        <w:rPr>
          <w:rFonts w:ascii="Palatino Linotype" w:eastAsia="Palatino Linotype" w:hAnsi="Palatino Linotype" w:cs="Palatino Linotype"/>
          <w:color w:val="000000" w:themeColor="text1"/>
        </w:rPr>
        <w:t xml:space="preserve">El </w:t>
      </w:r>
      <w:r w:rsidRPr="00707C84">
        <w:rPr>
          <w:rFonts w:ascii="Palatino Linotype" w:eastAsia="Palatino Linotype" w:hAnsi="Palatino Linotype" w:cs="Palatino Linotype"/>
          <w:b/>
          <w:color w:val="000000" w:themeColor="text1"/>
        </w:rPr>
        <w:t>veinticuatro de abril de dos mil veinticinco</w:t>
      </w:r>
      <w:r w:rsidRPr="00707C84">
        <w:rPr>
          <w:rFonts w:ascii="Palatino Linotype" w:eastAsia="Palatino Linotype" w:hAnsi="Palatino Linotype" w:cs="Palatino Linotype"/>
          <w:color w:val="000000" w:themeColor="text1"/>
        </w:rPr>
        <w:t xml:space="preserve">, se realizó un requerimiento de información al servidor público habilitado. </w:t>
      </w:r>
    </w:p>
    <w:p w:rsidR="00B26AF6" w:rsidRPr="00707C84" w:rsidRDefault="00B26AF6" w:rsidP="00707C8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07C84">
        <w:rPr>
          <w:rFonts w:ascii="Palatino Linotype" w:eastAsia="Palatino Linotype" w:hAnsi="Palatino Linotype" w:cs="Palatino Linotype"/>
          <w:color w:val="000000" w:themeColor="text1"/>
        </w:rPr>
        <w:lastRenderedPageBreak/>
        <w:t xml:space="preserve">El </w:t>
      </w:r>
      <w:r w:rsidRPr="00707C84">
        <w:rPr>
          <w:rFonts w:ascii="Palatino Linotype" w:eastAsia="Palatino Linotype" w:hAnsi="Palatino Linotype" w:cs="Palatino Linotype"/>
          <w:b/>
          <w:color w:val="000000" w:themeColor="text1"/>
        </w:rPr>
        <w:t>catorce de mayo de dos mil veinticinco</w:t>
      </w:r>
      <w:r w:rsidRPr="00707C84">
        <w:rPr>
          <w:rFonts w:ascii="Palatino Linotype" w:eastAsia="Palatino Linotype" w:hAnsi="Palatino Linotype" w:cs="Palatino Linotype"/>
          <w:color w:val="000000" w:themeColor="text1"/>
        </w:rPr>
        <w:t>, el Sujeto Obligado dio respuesta a la solicitud de información en los siguientes términos:</w:t>
      </w:r>
    </w:p>
    <w:tbl>
      <w:tblPr>
        <w:tblW w:w="7445" w:type="dxa"/>
        <w:jc w:val="center"/>
        <w:tblCellSpacing w:w="0" w:type="dxa"/>
        <w:tblCellMar>
          <w:left w:w="0" w:type="dxa"/>
          <w:right w:w="0" w:type="dxa"/>
        </w:tblCellMar>
        <w:tblLook w:val="04A0" w:firstRow="1" w:lastRow="0" w:firstColumn="1" w:lastColumn="0" w:noHBand="0" w:noVBand="1"/>
      </w:tblPr>
      <w:tblGrid>
        <w:gridCol w:w="7445"/>
      </w:tblGrid>
      <w:tr w:rsidR="00707C84" w:rsidRPr="00707C84" w:rsidTr="00B26AF6">
        <w:trPr>
          <w:trHeight w:val="302"/>
          <w:tblCellSpacing w:w="0" w:type="dxa"/>
          <w:jc w:val="center"/>
        </w:trPr>
        <w:tc>
          <w:tcPr>
            <w:tcW w:w="0" w:type="auto"/>
            <w:vAlign w:val="center"/>
            <w:hideMark/>
          </w:tcPr>
          <w:p w:rsidR="00B26AF6" w:rsidRPr="00707C84" w:rsidRDefault="00B26AF6" w:rsidP="00707C84">
            <w:pPr>
              <w:jc w:val="right"/>
              <w:rPr>
                <w:rFonts w:ascii="Palatino Linotype" w:hAnsi="Palatino Linotype"/>
                <w:i/>
                <w:color w:val="000000" w:themeColor="text1"/>
              </w:rPr>
            </w:pPr>
            <w:r w:rsidRPr="00707C84">
              <w:rPr>
                <w:rFonts w:ascii="Palatino Linotype" w:hAnsi="Palatino Linotype"/>
                <w:i/>
                <w:color w:val="000000" w:themeColor="text1"/>
              </w:rPr>
              <w:br/>
              <w:t>“Tepotzotlán, México a 14 de Mayo de 2025</w:t>
            </w:r>
          </w:p>
        </w:tc>
      </w:tr>
      <w:tr w:rsidR="00707C84" w:rsidRPr="00707C84" w:rsidTr="00B26AF6">
        <w:trPr>
          <w:trHeight w:val="302"/>
          <w:tblCellSpacing w:w="0" w:type="dxa"/>
          <w:jc w:val="center"/>
        </w:trPr>
        <w:tc>
          <w:tcPr>
            <w:tcW w:w="0" w:type="auto"/>
            <w:vAlign w:val="center"/>
            <w:hideMark/>
          </w:tcPr>
          <w:p w:rsidR="00B26AF6" w:rsidRPr="00707C84" w:rsidRDefault="00B26AF6" w:rsidP="00707C84">
            <w:pPr>
              <w:jc w:val="right"/>
              <w:rPr>
                <w:rFonts w:ascii="Palatino Linotype" w:hAnsi="Palatino Linotype"/>
                <w:i/>
                <w:color w:val="000000" w:themeColor="text1"/>
              </w:rPr>
            </w:pPr>
            <w:r w:rsidRPr="00707C84">
              <w:rPr>
                <w:rFonts w:ascii="Palatino Linotype" w:hAnsi="Palatino Linotype"/>
                <w:i/>
                <w:color w:val="000000" w:themeColor="text1"/>
              </w:rPr>
              <w:t>Nombre del solicitante: C. Solicitante</w:t>
            </w:r>
          </w:p>
        </w:tc>
      </w:tr>
      <w:tr w:rsidR="00707C84" w:rsidRPr="00707C84" w:rsidTr="00B26AF6">
        <w:trPr>
          <w:trHeight w:val="302"/>
          <w:tblCellSpacing w:w="0" w:type="dxa"/>
          <w:jc w:val="center"/>
        </w:trPr>
        <w:tc>
          <w:tcPr>
            <w:tcW w:w="0" w:type="auto"/>
            <w:vAlign w:val="center"/>
            <w:hideMark/>
          </w:tcPr>
          <w:p w:rsidR="00B26AF6" w:rsidRPr="00707C84" w:rsidRDefault="00B26AF6" w:rsidP="00707C84">
            <w:pPr>
              <w:jc w:val="right"/>
              <w:rPr>
                <w:rFonts w:ascii="Palatino Linotype" w:hAnsi="Palatino Linotype"/>
                <w:i/>
                <w:color w:val="000000" w:themeColor="text1"/>
              </w:rPr>
            </w:pPr>
            <w:r w:rsidRPr="00707C84">
              <w:rPr>
                <w:rFonts w:ascii="Palatino Linotype" w:hAnsi="Palatino Linotype"/>
                <w:i/>
                <w:color w:val="000000" w:themeColor="text1"/>
              </w:rPr>
              <w:t>Folio de la solicitud: 00163/TEPOTZOT/IP/2025</w:t>
            </w:r>
          </w:p>
        </w:tc>
      </w:tr>
      <w:tr w:rsidR="00707C84" w:rsidRPr="00707C84" w:rsidTr="00B26AF6">
        <w:trPr>
          <w:trHeight w:val="453"/>
          <w:tblCellSpacing w:w="0" w:type="dxa"/>
          <w:jc w:val="center"/>
        </w:trPr>
        <w:tc>
          <w:tcPr>
            <w:tcW w:w="0" w:type="auto"/>
            <w:vAlign w:val="center"/>
            <w:hideMark/>
          </w:tcPr>
          <w:p w:rsidR="00B26AF6" w:rsidRPr="00707C84" w:rsidRDefault="00B26AF6" w:rsidP="00707C84">
            <w:pPr>
              <w:jc w:val="right"/>
              <w:rPr>
                <w:rFonts w:ascii="Palatino Linotype" w:hAnsi="Palatino Linotype"/>
                <w:i/>
                <w:color w:val="000000" w:themeColor="text1"/>
              </w:rPr>
            </w:pPr>
          </w:p>
        </w:tc>
      </w:tr>
      <w:tr w:rsidR="00707C84" w:rsidRPr="00707C84" w:rsidTr="00B26AF6">
        <w:trPr>
          <w:trHeight w:val="150"/>
          <w:tblCellSpacing w:w="0" w:type="dxa"/>
          <w:jc w:val="center"/>
        </w:trPr>
        <w:tc>
          <w:tcPr>
            <w:tcW w:w="0" w:type="auto"/>
            <w:vAlign w:val="center"/>
            <w:hideMark/>
          </w:tcPr>
          <w:p w:rsidR="00B26AF6" w:rsidRPr="00707C84" w:rsidRDefault="00B26AF6" w:rsidP="00707C84">
            <w:pPr>
              <w:rPr>
                <w:rFonts w:ascii="Palatino Linotype" w:hAnsi="Palatino Linotype"/>
                <w:i/>
                <w:color w:val="000000" w:themeColor="text1"/>
              </w:rPr>
            </w:pPr>
            <w:r w:rsidRPr="00707C84">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707C84" w:rsidRPr="00707C84" w:rsidTr="00B26AF6">
        <w:trPr>
          <w:trHeight w:val="378"/>
          <w:tblCellSpacing w:w="0" w:type="dxa"/>
          <w:jc w:val="center"/>
        </w:trPr>
        <w:tc>
          <w:tcPr>
            <w:tcW w:w="0" w:type="auto"/>
            <w:vAlign w:val="center"/>
            <w:hideMark/>
          </w:tcPr>
          <w:p w:rsidR="00B26AF6" w:rsidRPr="00707C84" w:rsidRDefault="00B26AF6" w:rsidP="00707C84">
            <w:pPr>
              <w:rPr>
                <w:rFonts w:ascii="Palatino Linotype" w:hAnsi="Palatino Linotype"/>
                <w:i/>
                <w:color w:val="000000" w:themeColor="text1"/>
              </w:rPr>
            </w:pPr>
          </w:p>
        </w:tc>
      </w:tr>
      <w:tr w:rsidR="00707C84" w:rsidRPr="00707C84" w:rsidTr="00B26AF6">
        <w:trPr>
          <w:trHeight w:val="150"/>
          <w:tblCellSpacing w:w="0" w:type="dxa"/>
          <w:jc w:val="center"/>
        </w:trPr>
        <w:tc>
          <w:tcPr>
            <w:tcW w:w="0" w:type="auto"/>
            <w:vAlign w:val="center"/>
            <w:hideMark/>
          </w:tcPr>
          <w:p w:rsidR="00B26AF6" w:rsidRPr="00707C84" w:rsidRDefault="00B26AF6" w:rsidP="00707C84">
            <w:pPr>
              <w:rPr>
                <w:rFonts w:ascii="Palatino Linotype" w:hAnsi="Palatino Linotype"/>
                <w:i/>
                <w:color w:val="000000" w:themeColor="text1"/>
              </w:rPr>
            </w:pPr>
            <w:r w:rsidRPr="00707C84">
              <w:rPr>
                <w:rFonts w:ascii="Palatino Linotype" w:hAnsi="Palatino Linotype"/>
                <w:i/>
                <w:color w:val="000000" w:themeColor="text1"/>
              </w:rPr>
              <w:t>SE ADJUNTA RESPUESTA DE SERVIDOR PÚBLICO HABILITADO</w:t>
            </w:r>
          </w:p>
        </w:tc>
      </w:tr>
      <w:tr w:rsidR="00707C84" w:rsidRPr="00707C84" w:rsidTr="00B26AF6">
        <w:trPr>
          <w:trHeight w:val="378"/>
          <w:tblCellSpacing w:w="0" w:type="dxa"/>
          <w:jc w:val="center"/>
        </w:trPr>
        <w:tc>
          <w:tcPr>
            <w:tcW w:w="0" w:type="auto"/>
            <w:vAlign w:val="center"/>
            <w:hideMark/>
          </w:tcPr>
          <w:p w:rsidR="00B26AF6" w:rsidRPr="00707C84" w:rsidRDefault="00B26AF6" w:rsidP="00707C84">
            <w:pPr>
              <w:rPr>
                <w:rFonts w:ascii="Palatino Linotype" w:hAnsi="Palatino Linotype"/>
                <w:i/>
                <w:color w:val="000000" w:themeColor="text1"/>
              </w:rPr>
            </w:pPr>
          </w:p>
        </w:tc>
      </w:tr>
      <w:tr w:rsidR="00707C84" w:rsidRPr="00707C84" w:rsidTr="00B26AF6">
        <w:trPr>
          <w:trHeight w:val="150"/>
          <w:tblCellSpacing w:w="0" w:type="dxa"/>
          <w:jc w:val="center"/>
        </w:trPr>
        <w:tc>
          <w:tcPr>
            <w:tcW w:w="0" w:type="auto"/>
            <w:vAlign w:val="center"/>
            <w:hideMark/>
          </w:tcPr>
          <w:p w:rsidR="00B26AF6" w:rsidRPr="00707C84" w:rsidRDefault="00B26AF6" w:rsidP="00707C84">
            <w:pPr>
              <w:jc w:val="center"/>
              <w:rPr>
                <w:rFonts w:ascii="Palatino Linotype" w:hAnsi="Palatino Linotype"/>
                <w:i/>
                <w:color w:val="000000" w:themeColor="text1"/>
              </w:rPr>
            </w:pPr>
          </w:p>
        </w:tc>
      </w:tr>
      <w:tr w:rsidR="00707C84" w:rsidRPr="00707C84" w:rsidTr="00B26AF6">
        <w:trPr>
          <w:trHeight w:val="150"/>
          <w:tblCellSpacing w:w="0" w:type="dxa"/>
          <w:jc w:val="center"/>
        </w:trPr>
        <w:tc>
          <w:tcPr>
            <w:tcW w:w="0" w:type="auto"/>
            <w:vAlign w:val="center"/>
            <w:hideMark/>
          </w:tcPr>
          <w:p w:rsidR="00B26AF6" w:rsidRPr="00707C84" w:rsidRDefault="00B26AF6" w:rsidP="00707C84">
            <w:pPr>
              <w:rPr>
                <w:rFonts w:ascii="Palatino Linotype" w:hAnsi="Palatino Linotype"/>
                <w:i/>
                <w:color w:val="000000" w:themeColor="text1"/>
              </w:rPr>
            </w:pPr>
          </w:p>
        </w:tc>
      </w:tr>
      <w:tr w:rsidR="00707C84" w:rsidRPr="00707C84" w:rsidTr="00B26AF6">
        <w:trPr>
          <w:trHeight w:val="150"/>
          <w:tblCellSpacing w:w="0" w:type="dxa"/>
          <w:jc w:val="center"/>
        </w:trPr>
        <w:tc>
          <w:tcPr>
            <w:tcW w:w="0" w:type="auto"/>
            <w:vAlign w:val="center"/>
            <w:hideMark/>
          </w:tcPr>
          <w:p w:rsidR="00B26AF6" w:rsidRPr="00707C84" w:rsidRDefault="00B26AF6" w:rsidP="00707C84">
            <w:pPr>
              <w:rPr>
                <w:rFonts w:ascii="Palatino Linotype" w:hAnsi="Palatino Linotype"/>
                <w:i/>
                <w:color w:val="000000" w:themeColor="text1"/>
              </w:rPr>
            </w:pPr>
            <w:r w:rsidRPr="00707C84">
              <w:rPr>
                <w:rFonts w:ascii="Palatino Linotype" w:hAnsi="Palatino Linotype"/>
                <w:i/>
                <w:color w:val="000000" w:themeColor="text1"/>
              </w:rPr>
              <w:t>ATENTAMENTE</w:t>
            </w:r>
          </w:p>
        </w:tc>
      </w:tr>
      <w:tr w:rsidR="00707C84" w:rsidRPr="00707C84" w:rsidTr="00B26AF6">
        <w:trPr>
          <w:trHeight w:val="226"/>
          <w:tblCellSpacing w:w="0" w:type="dxa"/>
          <w:jc w:val="center"/>
        </w:trPr>
        <w:tc>
          <w:tcPr>
            <w:tcW w:w="0" w:type="auto"/>
            <w:vAlign w:val="center"/>
            <w:hideMark/>
          </w:tcPr>
          <w:p w:rsidR="00B26AF6" w:rsidRPr="00707C84" w:rsidRDefault="00B26AF6" w:rsidP="00707C84">
            <w:pPr>
              <w:rPr>
                <w:rFonts w:ascii="Palatino Linotype" w:hAnsi="Palatino Linotype"/>
                <w:i/>
                <w:color w:val="000000" w:themeColor="text1"/>
              </w:rPr>
            </w:pPr>
          </w:p>
        </w:tc>
      </w:tr>
      <w:tr w:rsidR="00B26AF6" w:rsidRPr="00707C84" w:rsidTr="00B26AF6">
        <w:trPr>
          <w:trHeight w:val="150"/>
          <w:tblCellSpacing w:w="0" w:type="dxa"/>
          <w:jc w:val="center"/>
        </w:trPr>
        <w:tc>
          <w:tcPr>
            <w:tcW w:w="0" w:type="auto"/>
            <w:vAlign w:val="center"/>
            <w:hideMark/>
          </w:tcPr>
          <w:p w:rsidR="00B26AF6" w:rsidRPr="00707C84" w:rsidRDefault="00B26AF6" w:rsidP="00707C84">
            <w:pPr>
              <w:rPr>
                <w:rFonts w:ascii="Palatino Linotype" w:hAnsi="Palatino Linotype"/>
                <w:i/>
                <w:color w:val="000000" w:themeColor="text1"/>
              </w:rPr>
            </w:pPr>
            <w:r w:rsidRPr="00707C84">
              <w:rPr>
                <w:rFonts w:ascii="Palatino Linotype" w:hAnsi="Palatino Linotype"/>
                <w:i/>
                <w:color w:val="000000" w:themeColor="text1"/>
              </w:rPr>
              <w:t>P.Ing. Ilse Lizbeth Tavera Arteaga”</w:t>
            </w:r>
          </w:p>
        </w:tc>
      </w:tr>
    </w:tbl>
    <w:p w:rsidR="00B26AF6" w:rsidRPr="00707C84" w:rsidRDefault="00B26AF6" w:rsidP="00707C84">
      <w:pPr>
        <w:spacing w:line="360" w:lineRule="auto"/>
        <w:jc w:val="both"/>
        <w:rPr>
          <w:rFonts w:ascii="Palatino Linotype" w:eastAsia="Palatino Linotype" w:hAnsi="Palatino Linotype" w:cs="Palatino Linotype"/>
          <w:color w:val="000000" w:themeColor="text1"/>
        </w:rPr>
      </w:pPr>
    </w:p>
    <w:p w:rsidR="00B26AF6" w:rsidRPr="00707C84" w:rsidRDefault="00B26AF6" w:rsidP="00915DD6">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07C84">
        <w:rPr>
          <w:rFonts w:ascii="Palatino Linotype" w:eastAsia="Palatino Linotype" w:hAnsi="Palatino Linotype" w:cs="Palatino Linotype"/>
          <w:color w:val="000000" w:themeColor="text1"/>
        </w:rPr>
        <w:t xml:space="preserve">A la respuesta se adjuntó el archivo </w:t>
      </w:r>
      <w:hyperlink r:id="rId7" w:tgtFrame="_blank" w:history="1">
        <w:r w:rsidRPr="00707C84">
          <w:rPr>
            <w:rStyle w:val="Hipervnculo"/>
            <w:rFonts w:ascii="Palatino Linotype" w:eastAsia="Palatino Linotype" w:hAnsi="Palatino Linotype" w:cs="Palatino Linotype"/>
            <w:b/>
            <w:bCs/>
            <w:color w:val="000000" w:themeColor="text1"/>
          </w:rPr>
          <w:t>DDYFE-408-2025.pdf</w:t>
        </w:r>
      </w:hyperlink>
      <w:r w:rsidRPr="00707C84">
        <w:rPr>
          <w:rFonts w:ascii="Palatino Linotype" w:eastAsia="Palatino Linotype" w:hAnsi="Palatino Linotype" w:cs="Palatino Linotype"/>
          <w:color w:val="000000" w:themeColor="text1"/>
        </w:rPr>
        <w:t xml:space="preserve">, en el que se advierte el oficio número DDYFE/408/2025 de fecha catorce de mayo de dos mil veinticinco, suscrito por la Encargada de Despacho de la Dirección de Desarrollo y Fomento Económico, quien señaló que, de acuerdo a sus funciones no emite permisos provisionales para negocios de bajo riesgo sanitario, ambiental o de protección civil, por ser ajeno a sus facultades, por lo cual no existen programa algún implementado por la Dirección bajo las características descritas. </w:t>
      </w:r>
    </w:p>
    <w:p w:rsidR="00B26AF6" w:rsidRPr="00707C84" w:rsidRDefault="00B26AF6" w:rsidP="00707C8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26AF6" w:rsidRPr="00707C84" w:rsidRDefault="00B26AF6" w:rsidP="00707C8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07C84">
        <w:rPr>
          <w:rFonts w:ascii="Palatino Linotype" w:eastAsia="Palatino Linotype" w:hAnsi="Palatino Linotype" w:cs="Palatino Linotype"/>
          <w:color w:val="000000" w:themeColor="text1"/>
        </w:rPr>
        <w:t xml:space="preserve">El </w:t>
      </w:r>
      <w:r w:rsidRPr="00707C84">
        <w:rPr>
          <w:rFonts w:ascii="Palatino Linotype" w:eastAsia="Palatino Linotype" w:hAnsi="Palatino Linotype" w:cs="Palatino Linotype"/>
          <w:b/>
          <w:color w:val="000000" w:themeColor="text1"/>
        </w:rPr>
        <w:t>veintidós de mayo de mayo de dos mil veinticinco</w:t>
      </w:r>
      <w:r w:rsidRPr="00707C84">
        <w:rPr>
          <w:rFonts w:ascii="Palatino Linotype" w:eastAsia="Palatino Linotype" w:hAnsi="Palatino Linotype" w:cs="Palatino Linotype"/>
          <w:color w:val="000000" w:themeColor="text1"/>
        </w:rPr>
        <w:t xml:space="preserve">, </w:t>
      </w:r>
      <w:r w:rsidRPr="00707C84">
        <w:rPr>
          <w:rFonts w:ascii="Palatino Linotype" w:eastAsia="Palatino Linotype" w:hAnsi="Palatino Linotype" w:cs="Palatino Linotype"/>
          <w:b/>
          <w:color w:val="000000" w:themeColor="text1"/>
        </w:rPr>
        <w:t>El Recurrente</w:t>
      </w:r>
      <w:r w:rsidRPr="00707C84">
        <w:rPr>
          <w:rFonts w:ascii="Palatino Linotype" w:eastAsia="Palatino Linotype" w:hAnsi="Palatino Linotype" w:cs="Palatino Linotype"/>
          <w:color w:val="000000" w:themeColor="text1"/>
        </w:rPr>
        <w:t xml:space="preserve"> interpuso el recurso de revisión, en contra de la respuesta, señalando como:</w:t>
      </w:r>
    </w:p>
    <w:p w:rsidR="00B26AF6" w:rsidRPr="00707C84" w:rsidRDefault="00B26AF6" w:rsidP="00707C8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26AF6" w:rsidRPr="00707C84" w:rsidRDefault="00B26AF6" w:rsidP="00707C84">
      <w:pPr>
        <w:numPr>
          <w:ilvl w:val="0"/>
          <w:numId w:val="1"/>
        </w:numPr>
        <w:spacing w:line="360" w:lineRule="auto"/>
        <w:ind w:left="0" w:firstLine="0"/>
        <w:jc w:val="both"/>
        <w:rPr>
          <w:rFonts w:ascii="Palatino Linotype" w:hAnsi="Palatino Linotype"/>
          <w:color w:val="000000" w:themeColor="text1"/>
        </w:rPr>
      </w:pPr>
      <w:r w:rsidRPr="00707C84">
        <w:rPr>
          <w:rFonts w:ascii="Palatino Linotype" w:eastAsia="Palatino Linotype" w:hAnsi="Palatino Linotype" w:cs="Palatino Linotype"/>
          <w:b/>
          <w:color w:val="000000" w:themeColor="text1"/>
        </w:rPr>
        <w:t>Acto impugnado</w:t>
      </w:r>
      <w:r w:rsidRPr="00707C84">
        <w:rPr>
          <w:rFonts w:ascii="Palatino Linotype" w:eastAsia="Palatino Linotype" w:hAnsi="Palatino Linotype" w:cs="Palatino Linotype"/>
          <w:b/>
          <w:i/>
          <w:color w:val="000000" w:themeColor="text1"/>
        </w:rPr>
        <w:t>:</w:t>
      </w:r>
      <w:r w:rsidRPr="00707C84">
        <w:rPr>
          <w:rFonts w:ascii="Palatino Linotype" w:eastAsia="Palatino Linotype" w:hAnsi="Palatino Linotype" w:cs="Palatino Linotype"/>
          <w:i/>
          <w:color w:val="000000" w:themeColor="text1"/>
        </w:rPr>
        <w:t xml:space="preserve"> "</w:t>
      </w:r>
      <w:r w:rsidRPr="00707C84">
        <w:rPr>
          <w:rFonts w:ascii="Palatino Linotype" w:hAnsi="Palatino Linotype"/>
          <w:color w:val="000000" w:themeColor="text1"/>
        </w:rPr>
        <w:t xml:space="preserve"> </w:t>
      </w:r>
      <w:r w:rsidRPr="00707C84">
        <w:rPr>
          <w:rFonts w:ascii="Palatino Linotype" w:eastAsia="Palatino Linotype" w:hAnsi="Palatino Linotype" w:cs="Palatino Linotype"/>
          <w:i/>
          <w:color w:val="000000" w:themeColor="text1"/>
        </w:rPr>
        <w:t>Se niega la información de manera injustificada." (Sic)</w:t>
      </w:r>
    </w:p>
    <w:p w:rsidR="00B26AF6" w:rsidRPr="00707C84" w:rsidRDefault="00B26AF6" w:rsidP="00707C8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07C84">
        <w:rPr>
          <w:rFonts w:ascii="Palatino Linotype" w:eastAsia="Palatino Linotype" w:hAnsi="Palatino Linotype" w:cs="Palatino Linotype"/>
          <w:b/>
          <w:color w:val="000000" w:themeColor="text1"/>
        </w:rPr>
        <w:lastRenderedPageBreak/>
        <w:t xml:space="preserve">Razones o Motivos de inconformidad: </w:t>
      </w:r>
      <w:r w:rsidRPr="00707C84">
        <w:rPr>
          <w:rFonts w:ascii="Palatino Linotype" w:eastAsia="Palatino Linotype" w:hAnsi="Palatino Linotype" w:cs="Palatino Linotype"/>
          <w:i/>
          <w:color w:val="000000" w:themeColor="text1"/>
        </w:rPr>
        <w:t>"Debería darles mucha vergüenza a Ilse Tavera y a Andrea Cervantes que las hayan puesto en un cargo en el que no tienen ni la menor idea de que están haciendo ahí, seguramente eran de las chavas que mas gritaban en las porras de campaña o se hicieron de ese cargo haciéndose amigas de alguien influyente. Ojala quien esté al frente del gobierno y los regidores se den cuenta de el grado de desconocimiento que tienen Ilse y Andrea sobre lo que intentan hacer, pero eso si, en la quincena se han de sentir realizadas de cobrar un sueldo que no merecen ni desquitan. Deberían saber que el el artículo 31 de la ley orgánica municipal del Edo Méx señala las atribuciones de los ayuntamientos: I. Ter. Aprobar y promover un programa para el otorgamiento de la licencia o permiso provisional de funcionamiento para negocios de bajo riesgo que no impliquen riesgos sanitarios, ambientales o de protección civil, conforme al Catálogo Mexiquense de Actividades Industriales, Comerciales y de Servicios de Bajo Riesgo, consignado en la Ley de la materia, mismo que deberá publicarse dentro de los primeros 30 días naturales de cada Ejercicio Fiscal y será aplicable hasta la publicación del siguiente catálogo. El otorgamiento de la licencia o permiso a que hace referencia el párrafo anterior, en ningún caso estará sujeto al pago de contribuciones ni a donación alguna; la exigencia de cargas tributarias, dádivas o cualquier otro concepto que condicione su expedición será sancionada en términos de la Ley de Responsabilidades Administrativas del Estado de México y Municipios; Entonces están negando una información que deberían tener, y luego Andrea Cervantes dice que no está en sus funciones la información que le están pidiendo, pero no aclara lo que dice la ley por que obviamente no la conoce pero eso sucede porque Ilse sin poner atención a la solicitud se la manda a la otra persona que no sabe atender, por que ninguna sabe que está haciendo trabajando ahí." (Sic)</w:t>
      </w:r>
    </w:p>
    <w:p w:rsidR="00B26AF6" w:rsidRPr="00707C84" w:rsidRDefault="00B26AF6" w:rsidP="00707C84">
      <w:pPr>
        <w:spacing w:line="360" w:lineRule="auto"/>
        <w:jc w:val="both"/>
        <w:rPr>
          <w:rFonts w:ascii="Palatino Linotype" w:eastAsia="Palatino Linotype" w:hAnsi="Palatino Linotype" w:cs="Palatino Linotype"/>
          <w:color w:val="000000" w:themeColor="text1"/>
        </w:rPr>
      </w:pPr>
    </w:p>
    <w:p w:rsidR="00B26AF6" w:rsidRPr="00707C84" w:rsidRDefault="00B26AF6" w:rsidP="00707C8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07C84">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707C84">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707C84">
        <w:rPr>
          <w:rFonts w:ascii="Palatino Linotype" w:eastAsia="Palatino Linotype" w:hAnsi="Palatino Linotype" w:cs="Palatino Linotype"/>
          <w:color w:val="000000" w:themeColor="text1"/>
        </w:rPr>
        <w:t xml:space="preserve">se turna a la </w:t>
      </w:r>
      <w:r w:rsidRPr="00707C84">
        <w:rPr>
          <w:rFonts w:ascii="Palatino Linotype" w:eastAsia="Palatino Linotype" w:hAnsi="Palatino Linotype" w:cs="Palatino Linotype"/>
          <w:b/>
          <w:color w:val="000000" w:themeColor="text1"/>
        </w:rPr>
        <w:t xml:space="preserve">Comisionada María del Rosario Mejía Ayala, </w:t>
      </w:r>
      <w:r w:rsidRPr="00707C84">
        <w:rPr>
          <w:rFonts w:ascii="Palatino Linotype" w:eastAsia="Palatino Linotype" w:hAnsi="Palatino Linotype" w:cs="Palatino Linotype"/>
          <w:color w:val="000000" w:themeColor="text1"/>
        </w:rPr>
        <w:t xml:space="preserve">para su análisis. </w:t>
      </w:r>
    </w:p>
    <w:p w:rsidR="00B26AF6" w:rsidRPr="00707C84" w:rsidRDefault="00B26AF6" w:rsidP="00707C8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07C84">
        <w:rPr>
          <w:rFonts w:ascii="Palatino Linotype" w:eastAsia="Palatino Linotype" w:hAnsi="Palatino Linotype" w:cs="Palatino Linotype"/>
          <w:color w:val="000000" w:themeColor="text1"/>
        </w:rPr>
        <w:lastRenderedPageBreak/>
        <w:t xml:space="preserve">La Comisionada Ponente con fundamento en lo dispuesto por el artículo 185 fracción II de la ley de la materia, a través del acuerdo de admisión del </w:t>
      </w:r>
      <w:r w:rsidRPr="00707C84">
        <w:rPr>
          <w:rFonts w:ascii="Palatino Linotype" w:eastAsia="Palatino Linotype" w:hAnsi="Palatino Linotype" w:cs="Palatino Linotype"/>
          <w:b/>
          <w:color w:val="000000" w:themeColor="text1"/>
        </w:rPr>
        <w:t>veintiséis de mayo de dos mil veinticinco</w:t>
      </w:r>
      <w:r w:rsidRPr="00707C84">
        <w:rPr>
          <w:rFonts w:ascii="Palatino Linotype" w:eastAsia="Palatino Linotype" w:hAnsi="Palatino Linotype" w:cs="Palatino Linotype"/>
          <w:color w:val="000000" w:themeColor="text1"/>
        </w:rPr>
        <w:t xml:space="preserve">, puso a disposición de las partes el expediente electrónico vía </w:t>
      </w:r>
      <w:r w:rsidRPr="00707C84">
        <w:rPr>
          <w:rFonts w:ascii="Palatino Linotype" w:eastAsia="Palatino Linotype" w:hAnsi="Palatino Linotype" w:cs="Palatino Linotype"/>
          <w:b/>
          <w:color w:val="000000" w:themeColor="text1"/>
        </w:rPr>
        <w:t xml:space="preserve">SAIMEX </w:t>
      </w:r>
      <w:r w:rsidRPr="00707C84">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Pr="00707C84">
        <w:rPr>
          <w:rFonts w:ascii="Palatino Linotype" w:eastAsia="Palatino Linotype" w:hAnsi="Palatino Linotype" w:cs="Palatino Linotype"/>
          <w:b/>
          <w:color w:val="000000" w:themeColor="text1"/>
        </w:rPr>
        <w:t>SUJETO OBLIGADO</w:t>
      </w:r>
      <w:r w:rsidRPr="00707C84">
        <w:rPr>
          <w:rFonts w:ascii="Palatino Linotype" w:eastAsia="Palatino Linotype" w:hAnsi="Palatino Linotype" w:cs="Palatino Linotype"/>
          <w:color w:val="000000" w:themeColor="text1"/>
        </w:rPr>
        <w:t xml:space="preserve"> presentará el informe justificado procedente. </w:t>
      </w:r>
    </w:p>
    <w:p w:rsidR="00B26AF6" w:rsidRPr="00707C84" w:rsidRDefault="00B26AF6" w:rsidP="00707C84">
      <w:pPr>
        <w:pBdr>
          <w:top w:val="nil"/>
          <w:left w:val="nil"/>
          <w:bottom w:val="nil"/>
          <w:right w:val="nil"/>
          <w:between w:val="nil"/>
        </w:pBdr>
        <w:rPr>
          <w:rFonts w:ascii="Palatino Linotype" w:eastAsia="Palatino Linotype" w:hAnsi="Palatino Linotype" w:cs="Palatino Linotype"/>
          <w:color w:val="000000" w:themeColor="text1"/>
        </w:rPr>
      </w:pPr>
    </w:p>
    <w:p w:rsidR="00B26AF6" w:rsidRPr="00707C84" w:rsidRDefault="00B26AF6" w:rsidP="00707C8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707C84">
        <w:rPr>
          <w:rFonts w:ascii="Palatino Linotype" w:eastAsia="Palatino Linotype" w:hAnsi="Palatino Linotype" w:cs="Palatino Linotype"/>
          <w:color w:val="000000" w:themeColor="text1"/>
        </w:rPr>
        <w:t>De las constancias del expediente electrónico SAIMEX se advierte que el Recurrente no realizó manifestaciones; por su parte, el Sujeto Obligado no entregó informe justificado.</w:t>
      </w:r>
    </w:p>
    <w:p w:rsidR="00B26AF6" w:rsidRPr="00707C84" w:rsidRDefault="00B26AF6" w:rsidP="00707C8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26AF6" w:rsidRPr="00707C84" w:rsidRDefault="00B26AF6" w:rsidP="00707C8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07C84">
        <w:rPr>
          <w:rFonts w:ascii="Palatino Linotype" w:eastAsia="Palatino Linotype" w:hAnsi="Palatino Linotype" w:cs="Palatino Linotype"/>
          <w:color w:val="000000" w:themeColor="text1"/>
        </w:rPr>
        <w:t xml:space="preserve">El </w:t>
      </w:r>
      <w:r w:rsidRPr="00707C84">
        <w:rPr>
          <w:rFonts w:ascii="Palatino Linotype" w:eastAsia="Palatino Linotype" w:hAnsi="Palatino Linotype" w:cs="Palatino Linotype"/>
          <w:b/>
          <w:color w:val="000000" w:themeColor="text1"/>
        </w:rPr>
        <w:t>dieciséis de octubre de dos mil veinticinco</w:t>
      </w:r>
      <w:r w:rsidRPr="00707C84">
        <w:rPr>
          <w:rFonts w:ascii="Palatino Linotype" w:eastAsia="Palatino Linotype" w:hAnsi="Palatino Linotype" w:cs="Palatino Linotype"/>
          <w:color w:val="000000" w:themeColor="text1"/>
        </w:rPr>
        <w:t xml:space="preserve">, se notificó el acuerdo mediante el cual se aprobó la ampliación de plazo para emitir resolución. </w:t>
      </w:r>
    </w:p>
    <w:p w:rsidR="00B26AF6" w:rsidRPr="00707C84" w:rsidRDefault="00B26AF6" w:rsidP="00707C84">
      <w:pPr>
        <w:pStyle w:val="Prrafodelista"/>
        <w:ind w:left="0"/>
        <w:rPr>
          <w:rFonts w:ascii="Palatino Linotype" w:eastAsia="Palatino Linotype" w:hAnsi="Palatino Linotype" w:cs="Palatino Linotype"/>
          <w:color w:val="000000" w:themeColor="text1"/>
        </w:rPr>
      </w:pPr>
    </w:p>
    <w:p w:rsidR="00B26AF6" w:rsidRPr="00707C84" w:rsidRDefault="00B26AF6" w:rsidP="00707C8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07C84">
        <w:rPr>
          <w:rFonts w:ascii="Palatino Linotype" w:eastAsia="Palatino Linotype" w:hAnsi="Palatino Linotype" w:cs="Palatino Linotype"/>
          <w:color w:val="000000" w:themeColor="text1"/>
        </w:rPr>
        <w:t xml:space="preserve">El </w:t>
      </w:r>
      <w:r w:rsidRPr="00707C84">
        <w:rPr>
          <w:rFonts w:ascii="Palatino Linotype" w:eastAsia="Palatino Linotype" w:hAnsi="Palatino Linotype" w:cs="Palatino Linotype"/>
          <w:b/>
          <w:color w:val="000000" w:themeColor="text1"/>
        </w:rPr>
        <w:t>doce de noviembre de dos mil veinticinco</w:t>
      </w:r>
      <w:r w:rsidRPr="00707C84">
        <w:rPr>
          <w:rFonts w:ascii="Palatino Linotype" w:eastAsia="Palatino Linotype" w:hAnsi="Palatino Linotype" w:cs="Palatino Linotype"/>
          <w:color w:val="000000" w:themeColor="text1"/>
        </w:rPr>
        <w:t xml:space="preserve">, se notificó el acuerdo mediante el cual se decretó el cierre de instrucción. </w:t>
      </w:r>
    </w:p>
    <w:p w:rsidR="00B26AF6" w:rsidRPr="00707C84" w:rsidRDefault="00B26AF6" w:rsidP="00707C84">
      <w:pPr>
        <w:spacing w:line="360" w:lineRule="auto"/>
        <w:rPr>
          <w:rFonts w:ascii="Palatino Linotype" w:eastAsia="Palatino Linotype" w:hAnsi="Palatino Linotype" w:cs="Palatino Linotype"/>
          <w:color w:val="000000" w:themeColor="text1"/>
        </w:rPr>
      </w:pPr>
    </w:p>
    <w:p w:rsidR="00B26AF6" w:rsidRPr="00707C84" w:rsidRDefault="00B26AF6" w:rsidP="00707C84">
      <w:pPr>
        <w:spacing w:line="360" w:lineRule="auto"/>
        <w:jc w:val="center"/>
        <w:rPr>
          <w:rFonts w:ascii="Palatino Linotype" w:eastAsia="Palatino Linotype" w:hAnsi="Palatino Linotype" w:cs="Palatino Linotype"/>
          <w:color w:val="000000" w:themeColor="text1"/>
        </w:rPr>
      </w:pPr>
      <w:bookmarkStart w:id="2" w:name="_heading=h.1fob9te" w:colFirst="0" w:colLast="0"/>
      <w:bookmarkEnd w:id="2"/>
      <w:r w:rsidRPr="00707C84">
        <w:rPr>
          <w:rFonts w:ascii="Palatino Linotype" w:eastAsia="Palatino Linotype" w:hAnsi="Palatino Linotype" w:cs="Palatino Linotype"/>
          <w:b/>
          <w:color w:val="000000" w:themeColor="text1"/>
        </w:rPr>
        <w:t>C O N S I D E R A N D O</w:t>
      </w:r>
    </w:p>
    <w:p w:rsidR="00B26AF6" w:rsidRPr="00707C84" w:rsidRDefault="00B26AF6" w:rsidP="00707C84">
      <w:pPr>
        <w:spacing w:line="360" w:lineRule="auto"/>
        <w:jc w:val="center"/>
        <w:rPr>
          <w:rFonts w:ascii="Palatino Linotype" w:eastAsia="Palatino Linotype" w:hAnsi="Palatino Linotype" w:cs="Palatino Linotype"/>
          <w:color w:val="000000" w:themeColor="text1"/>
        </w:rPr>
      </w:pPr>
    </w:p>
    <w:p w:rsidR="00B26AF6" w:rsidRPr="00707C84" w:rsidRDefault="00B26AF6" w:rsidP="00707C84">
      <w:pPr>
        <w:spacing w:line="360" w:lineRule="auto"/>
        <w:jc w:val="both"/>
        <w:rPr>
          <w:rFonts w:ascii="Palatino Linotype" w:eastAsia="Palatino Linotype" w:hAnsi="Palatino Linotype" w:cs="Palatino Linotype"/>
          <w:b/>
          <w:color w:val="000000" w:themeColor="text1"/>
        </w:rPr>
      </w:pPr>
      <w:bookmarkStart w:id="3" w:name="_heading=h.3znysh7" w:colFirst="0" w:colLast="0"/>
      <w:bookmarkEnd w:id="3"/>
      <w:r w:rsidRPr="00707C84">
        <w:rPr>
          <w:rFonts w:ascii="Palatino Linotype" w:eastAsia="Palatino Linotype" w:hAnsi="Palatino Linotype" w:cs="Palatino Linotype"/>
          <w:b/>
          <w:color w:val="000000" w:themeColor="text1"/>
        </w:rPr>
        <w:t>PRIMERO. De la competencia</w:t>
      </w:r>
    </w:p>
    <w:p w:rsidR="00B26AF6" w:rsidRPr="00707C84" w:rsidRDefault="00B26AF6" w:rsidP="00707C84">
      <w:pPr>
        <w:numPr>
          <w:ilvl w:val="0"/>
          <w:numId w:val="2"/>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themeColor="text1"/>
        </w:rPr>
      </w:pPr>
      <w:r w:rsidRPr="00707C84">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noveno, cuadragésimo y cuadragésimo primero fracciones IV y V, de la Constitución Política del Estado Libre y Soberano de México; artículos 1, 2 fracción II, 13, 29, 36 fracciones I y II, 176, 178, 179, 181 </w:t>
      </w:r>
      <w:r w:rsidRPr="00707C84">
        <w:rPr>
          <w:rFonts w:ascii="Palatino Linotype" w:eastAsia="Palatino Linotype" w:hAnsi="Palatino Linotype" w:cs="Palatino Linotype"/>
          <w:color w:val="000000" w:themeColor="text1"/>
        </w:rPr>
        <w:lastRenderedPageBreak/>
        <w:t>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rsidR="00B26AF6" w:rsidRPr="00707C84" w:rsidRDefault="00B26AF6" w:rsidP="00707C84">
      <w:pPr>
        <w:keepNext/>
        <w:keepLines/>
        <w:spacing w:line="360" w:lineRule="auto"/>
        <w:rPr>
          <w:rFonts w:ascii="Palatino Linotype" w:eastAsia="Palatino Linotype" w:hAnsi="Palatino Linotype" w:cs="Palatino Linotype"/>
          <w:color w:val="000000" w:themeColor="text1"/>
        </w:rPr>
      </w:pPr>
      <w:bookmarkStart w:id="4" w:name="_heading=h.2et92p0" w:colFirst="0" w:colLast="0"/>
      <w:bookmarkEnd w:id="4"/>
    </w:p>
    <w:p w:rsidR="00B26AF6" w:rsidRPr="00707C84" w:rsidRDefault="00B26AF6" w:rsidP="00707C84">
      <w:pPr>
        <w:keepNext/>
        <w:keepLines/>
        <w:spacing w:line="360" w:lineRule="auto"/>
        <w:rPr>
          <w:rFonts w:ascii="Palatino Linotype" w:eastAsia="Palatino Linotype" w:hAnsi="Palatino Linotype" w:cs="Palatino Linotype"/>
          <w:b/>
          <w:color w:val="000000" w:themeColor="text1"/>
        </w:rPr>
      </w:pPr>
      <w:r w:rsidRPr="00707C84">
        <w:rPr>
          <w:rFonts w:ascii="Palatino Linotype" w:eastAsia="Palatino Linotype" w:hAnsi="Palatino Linotype" w:cs="Palatino Linotype"/>
          <w:b/>
          <w:color w:val="000000" w:themeColor="text1"/>
        </w:rPr>
        <w:t>SEGUNDO. De la oportunidad y procedencia.</w:t>
      </w:r>
    </w:p>
    <w:p w:rsidR="00B26AF6" w:rsidRPr="00707C84" w:rsidRDefault="00B26AF6" w:rsidP="00707C8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07C84">
        <w:rPr>
          <w:rFonts w:ascii="Palatino Linotype" w:eastAsia="Palatino Linotype" w:hAnsi="Palatino Linotype" w:cs="Palatino Linotype"/>
          <w:color w:val="000000" w:themeColor="text1"/>
        </w:rPr>
        <w:t xml:space="preserve">El medio de impugnación fue presentado a través del </w:t>
      </w:r>
      <w:r w:rsidRPr="00707C84">
        <w:rPr>
          <w:rFonts w:ascii="Palatino Linotype" w:eastAsia="Palatino Linotype" w:hAnsi="Palatino Linotype" w:cs="Palatino Linotype"/>
          <w:b/>
          <w:color w:val="000000" w:themeColor="text1"/>
        </w:rPr>
        <w:t>SAIMEX,</w:t>
      </w:r>
      <w:r w:rsidRPr="00707C84">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707C84">
        <w:rPr>
          <w:rFonts w:ascii="Palatino Linotype" w:eastAsia="Palatino Linotype" w:hAnsi="Palatino Linotype" w:cs="Palatino Linotype"/>
          <w:b/>
          <w:color w:val="000000" w:themeColor="text1"/>
        </w:rPr>
        <w:t>SUJETO OBLIGADO</w:t>
      </w:r>
      <w:r w:rsidRPr="00707C84">
        <w:rPr>
          <w:rFonts w:ascii="Palatino Linotype" w:eastAsia="Palatino Linotype" w:hAnsi="Palatino Linotype" w:cs="Palatino Linotype"/>
          <w:color w:val="000000" w:themeColor="text1"/>
        </w:rPr>
        <w:t xml:space="preserve"> entregó respuesta a la solicitud el día </w:t>
      </w:r>
      <w:r w:rsidRPr="00707C84">
        <w:rPr>
          <w:rFonts w:ascii="Palatino Linotype" w:eastAsia="Palatino Linotype" w:hAnsi="Palatino Linotype" w:cs="Palatino Linotype"/>
          <w:b/>
          <w:color w:val="000000" w:themeColor="text1"/>
        </w:rPr>
        <w:t>catorce de mayo de dos mil veinticinco</w:t>
      </w:r>
      <w:r w:rsidRPr="00707C84">
        <w:rPr>
          <w:rFonts w:ascii="Palatino Linotype" w:eastAsia="Palatino Linotype" w:hAnsi="Palatino Linotype" w:cs="Palatino Linotype"/>
          <w:color w:val="000000" w:themeColor="text1"/>
        </w:rPr>
        <w:t>, de tal forma que el plazo para interponer el recurso de revisión transcurrió del</w:t>
      </w:r>
      <w:r w:rsidRPr="00707C84">
        <w:rPr>
          <w:rFonts w:ascii="Palatino Linotype" w:eastAsia="Palatino Linotype" w:hAnsi="Palatino Linotype" w:cs="Palatino Linotype"/>
          <w:b/>
          <w:color w:val="000000" w:themeColor="text1"/>
        </w:rPr>
        <w:t xml:space="preserve"> quince de mayo cuatro de junio de dos mil veinticinco</w:t>
      </w:r>
      <w:r w:rsidRPr="00707C84">
        <w:rPr>
          <w:rFonts w:ascii="Palatino Linotype" w:eastAsia="Palatino Linotype" w:hAnsi="Palatino Linotype" w:cs="Palatino Linotype"/>
          <w:color w:val="000000" w:themeColor="text1"/>
        </w:rPr>
        <w:t xml:space="preserve">; en consecuencia, presentó su inconformidad el día </w:t>
      </w:r>
      <w:r w:rsidR="00250315" w:rsidRPr="00707C84">
        <w:rPr>
          <w:rFonts w:ascii="Palatino Linotype" w:eastAsia="Palatino Linotype" w:hAnsi="Palatino Linotype" w:cs="Palatino Linotype"/>
          <w:b/>
          <w:color w:val="000000" w:themeColor="text1"/>
        </w:rPr>
        <w:t>veintidós</w:t>
      </w:r>
      <w:r w:rsidRPr="00707C84">
        <w:rPr>
          <w:rFonts w:ascii="Palatino Linotype" w:eastAsia="Palatino Linotype" w:hAnsi="Palatino Linotype" w:cs="Palatino Linotype"/>
          <w:b/>
          <w:color w:val="000000" w:themeColor="text1"/>
        </w:rPr>
        <w:t xml:space="preserve"> de mayo de dos mil veinticinco</w:t>
      </w:r>
      <w:r w:rsidRPr="00707C84">
        <w:rPr>
          <w:rFonts w:ascii="Palatino Linotype" w:eastAsia="Palatino Linotype" w:hAnsi="Palatino Linotype" w:cs="Palatino Linotype"/>
          <w:color w:val="000000" w:themeColor="text1"/>
        </w:rPr>
        <w:t xml:space="preserve">, por lo que se encuentra dentro de los márgenes temporales previstos en el artículo 178 de la </w:t>
      </w:r>
      <w:r w:rsidRPr="00707C84">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707C84">
        <w:rPr>
          <w:rFonts w:ascii="Palatino Linotype" w:eastAsia="Palatino Linotype" w:hAnsi="Palatino Linotype" w:cs="Palatino Linotype"/>
          <w:color w:val="000000" w:themeColor="text1"/>
        </w:rPr>
        <w:t>vigente.</w:t>
      </w:r>
    </w:p>
    <w:p w:rsidR="00B26AF6" w:rsidRPr="00707C84" w:rsidRDefault="00B26AF6" w:rsidP="00707C8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26AF6" w:rsidRPr="00707C84" w:rsidRDefault="00B26AF6" w:rsidP="00707C84">
      <w:pPr>
        <w:numPr>
          <w:ilvl w:val="0"/>
          <w:numId w:val="2"/>
        </w:numPr>
        <w:spacing w:line="360" w:lineRule="auto"/>
        <w:ind w:left="0" w:firstLine="0"/>
        <w:contextualSpacing/>
        <w:jc w:val="both"/>
        <w:rPr>
          <w:rFonts w:ascii="Palatino Linotype" w:eastAsia="Calibri" w:hAnsi="Palatino Linotype" w:cs="Arial"/>
          <w:color w:val="000000" w:themeColor="text1"/>
          <w:lang w:val="es-ES_tradnl" w:eastAsia="es-ES"/>
        </w:rPr>
      </w:pPr>
      <w:r w:rsidRPr="00707C84">
        <w:rPr>
          <w:rFonts w:ascii="Palatino Linotype" w:eastAsia="Calibri" w:hAnsi="Palatino Linotype" w:cs="Arial"/>
          <w:color w:val="000000" w:themeColor="text1"/>
          <w:lang w:val="es-ES_tradnl" w:eastAsia="es-ES"/>
        </w:rPr>
        <w:t xml:space="preserve">Por otra parte, de la revisión al expediente electrónico del </w:t>
      </w:r>
      <w:r w:rsidRPr="00707C84">
        <w:rPr>
          <w:rFonts w:ascii="Palatino Linotype" w:eastAsia="Calibri" w:hAnsi="Palatino Linotype" w:cs="Arial"/>
          <w:b/>
          <w:color w:val="000000" w:themeColor="text1"/>
          <w:lang w:val="es-ES_tradnl" w:eastAsia="es-ES"/>
        </w:rPr>
        <w:t>SAIMEX</w:t>
      </w:r>
      <w:r w:rsidRPr="00707C84">
        <w:rPr>
          <w:rFonts w:ascii="Palatino Linotype" w:eastAsia="Calibri" w:hAnsi="Palatino Linotype" w:cs="Arial"/>
          <w:color w:val="000000" w:themeColor="text1"/>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B26AF6" w:rsidRPr="00707C84" w:rsidRDefault="00B26AF6" w:rsidP="00707C84">
      <w:pPr>
        <w:pStyle w:val="Prrafodelista"/>
        <w:ind w:left="0"/>
        <w:rPr>
          <w:rFonts w:ascii="Palatino Linotype" w:eastAsia="Calibri" w:hAnsi="Palatino Linotype" w:cs="Arial"/>
          <w:color w:val="000000" w:themeColor="text1"/>
          <w:lang w:val="es-ES_tradnl" w:eastAsia="es-ES"/>
        </w:rPr>
      </w:pPr>
    </w:p>
    <w:p w:rsidR="00B26AF6" w:rsidRPr="00707C84" w:rsidRDefault="00B26AF6" w:rsidP="00707C84">
      <w:pPr>
        <w:numPr>
          <w:ilvl w:val="0"/>
          <w:numId w:val="2"/>
        </w:numPr>
        <w:spacing w:line="360" w:lineRule="auto"/>
        <w:ind w:left="0" w:firstLine="0"/>
        <w:contextualSpacing/>
        <w:jc w:val="both"/>
        <w:rPr>
          <w:rFonts w:ascii="Palatino Linotype" w:eastAsia="Calibri" w:hAnsi="Palatino Linotype" w:cs="Arial"/>
          <w:color w:val="000000" w:themeColor="text1"/>
          <w:lang w:val="es-ES_tradnl" w:eastAsia="es-ES"/>
        </w:rPr>
      </w:pPr>
      <w:r w:rsidRPr="00707C84">
        <w:rPr>
          <w:rFonts w:ascii="Palatino Linotype" w:eastAsia="Calibri" w:hAnsi="Palatino Linotype" w:cs="Arial"/>
          <w:color w:val="000000" w:themeColor="text1"/>
          <w:lang w:val="es-ES_tradnl" w:eastAsia="es-ES"/>
        </w:rPr>
        <w:lastRenderedPageBreak/>
        <w:t xml:space="preserve">Esto es así, ya que de conformidad con los artículos 6, Apartado A, fracciones III y IV de la Constitución Política de los Estados Unidos Mexicanos y </w:t>
      </w:r>
      <w:r w:rsidRPr="00707C84">
        <w:rPr>
          <w:rFonts w:ascii="Palatino Linotype" w:eastAsia="Calibri" w:hAnsi="Palatino Linotype" w:cs="Arial"/>
          <w:bCs/>
          <w:color w:val="000000" w:themeColor="text1"/>
          <w:lang w:val="es-ES" w:eastAsia="es-ES"/>
        </w:rPr>
        <w:t xml:space="preserve">5, párrafos vigésimo, vigésimo primero y vigésimo </w:t>
      </w:r>
      <w:r w:rsidR="00250315" w:rsidRPr="00707C84">
        <w:rPr>
          <w:rFonts w:ascii="Palatino Linotype" w:eastAsia="Calibri" w:hAnsi="Palatino Linotype" w:cs="Arial"/>
          <w:bCs/>
          <w:color w:val="000000" w:themeColor="text1"/>
          <w:lang w:val="es-ES" w:eastAsia="es-ES"/>
        </w:rPr>
        <w:t>segundo</w:t>
      </w:r>
      <w:r w:rsidRPr="00707C84">
        <w:rPr>
          <w:rFonts w:ascii="Palatino Linotype" w:eastAsia="Calibri" w:hAnsi="Palatino Linotype" w:cs="Arial"/>
          <w:bCs/>
          <w:color w:val="000000" w:themeColor="text1"/>
          <w:lang w:val="es-ES" w:eastAsia="es-ES"/>
        </w:rPr>
        <w:t> fracciones IV y V </w:t>
      </w:r>
      <w:r w:rsidRPr="00707C84">
        <w:rPr>
          <w:rFonts w:ascii="Palatino Linotype" w:eastAsia="Calibri" w:hAnsi="Palatino Linotype" w:cs="Arial"/>
          <w:color w:val="000000" w:themeColor="text1"/>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B26AF6" w:rsidRPr="00707C84" w:rsidRDefault="00B26AF6" w:rsidP="00707C84">
      <w:pPr>
        <w:pStyle w:val="Prrafodelista"/>
        <w:ind w:left="0"/>
        <w:rPr>
          <w:rFonts w:ascii="Palatino Linotype" w:eastAsia="Calibri" w:hAnsi="Palatino Linotype" w:cs="Arial"/>
          <w:color w:val="000000" w:themeColor="text1"/>
          <w:lang w:val="es-ES_tradnl" w:eastAsia="es-ES"/>
        </w:rPr>
      </w:pPr>
    </w:p>
    <w:p w:rsidR="00B26AF6" w:rsidRPr="00707C84" w:rsidRDefault="00B26AF6" w:rsidP="00707C84">
      <w:pPr>
        <w:numPr>
          <w:ilvl w:val="0"/>
          <w:numId w:val="2"/>
        </w:numPr>
        <w:spacing w:line="360" w:lineRule="auto"/>
        <w:ind w:left="0" w:firstLine="0"/>
        <w:contextualSpacing/>
        <w:jc w:val="both"/>
        <w:rPr>
          <w:rFonts w:ascii="Palatino Linotype" w:eastAsia="Calibri" w:hAnsi="Palatino Linotype" w:cs="Arial"/>
          <w:color w:val="000000" w:themeColor="text1"/>
          <w:lang w:val="es-ES_tradnl" w:eastAsia="es-ES"/>
        </w:rPr>
      </w:pPr>
      <w:r w:rsidRPr="00707C84">
        <w:rPr>
          <w:rFonts w:ascii="Palatino Linotype" w:eastAsia="Calibri" w:hAnsi="Palatino Linotype" w:cs="Arial"/>
          <w:color w:val="000000" w:themeColor="text1"/>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B26AF6" w:rsidRPr="00707C84" w:rsidRDefault="00B26AF6" w:rsidP="00707C84">
      <w:pPr>
        <w:pStyle w:val="Prrafodelista"/>
        <w:ind w:left="0"/>
        <w:rPr>
          <w:rFonts w:ascii="Palatino Linotype" w:eastAsia="Calibri" w:hAnsi="Palatino Linotype" w:cs="Arial"/>
          <w:color w:val="000000" w:themeColor="text1"/>
          <w:lang w:val="es-ES_tradnl" w:eastAsia="es-ES"/>
        </w:rPr>
      </w:pPr>
    </w:p>
    <w:p w:rsidR="00B26AF6" w:rsidRPr="00707C84" w:rsidRDefault="00B26AF6" w:rsidP="00707C84">
      <w:pPr>
        <w:numPr>
          <w:ilvl w:val="0"/>
          <w:numId w:val="2"/>
        </w:numPr>
        <w:spacing w:line="360" w:lineRule="auto"/>
        <w:ind w:left="0" w:firstLine="0"/>
        <w:contextualSpacing/>
        <w:jc w:val="both"/>
        <w:rPr>
          <w:rFonts w:ascii="Palatino Linotype" w:eastAsia="Calibri" w:hAnsi="Palatino Linotype" w:cs="Arial"/>
          <w:color w:val="000000" w:themeColor="text1"/>
          <w:lang w:val="es-ES_tradnl" w:eastAsia="es-ES"/>
        </w:rPr>
      </w:pPr>
      <w:r w:rsidRPr="00707C84">
        <w:rPr>
          <w:rFonts w:ascii="Palatino Linotype" w:eastAsia="Calibri" w:hAnsi="Palatino Linotype" w:cs="Arial"/>
          <w:color w:val="000000" w:themeColor="text1"/>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B26AF6" w:rsidRPr="00707C84" w:rsidRDefault="00B26AF6" w:rsidP="00707C84">
      <w:pPr>
        <w:pStyle w:val="Prrafodelista"/>
        <w:ind w:left="0"/>
        <w:rPr>
          <w:rFonts w:ascii="Palatino Linotype" w:eastAsia="Calibri" w:hAnsi="Palatino Linotype" w:cs="Arial"/>
          <w:color w:val="000000" w:themeColor="text1"/>
          <w:lang w:val="es-ES_tradnl" w:eastAsia="es-ES"/>
        </w:rPr>
      </w:pPr>
    </w:p>
    <w:p w:rsidR="00B26AF6" w:rsidRPr="00707C84" w:rsidRDefault="00B26AF6" w:rsidP="00707C84">
      <w:pPr>
        <w:numPr>
          <w:ilvl w:val="0"/>
          <w:numId w:val="2"/>
        </w:numPr>
        <w:spacing w:line="360" w:lineRule="auto"/>
        <w:ind w:left="0" w:firstLine="0"/>
        <w:contextualSpacing/>
        <w:jc w:val="both"/>
        <w:rPr>
          <w:rFonts w:ascii="Palatino Linotype" w:eastAsia="Calibri" w:hAnsi="Palatino Linotype" w:cs="Arial"/>
          <w:color w:val="000000" w:themeColor="text1"/>
          <w:lang w:val="es-ES_tradnl" w:eastAsia="es-ES"/>
        </w:rPr>
      </w:pPr>
      <w:r w:rsidRPr="00707C84">
        <w:rPr>
          <w:rFonts w:ascii="Palatino Linotype" w:eastAsia="Calibri" w:hAnsi="Palatino Linotype" w:cs="Arial"/>
          <w:color w:val="000000" w:themeColor="text1"/>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B26AF6" w:rsidRPr="00707C84" w:rsidRDefault="00B26AF6" w:rsidP="00707C8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07C84">
        <w:rPr>
          <w:rFonts w:ascii="Palatino Linotype" w:eastAsia="Palatino Linotype" w:hAnsi="Palatino Linotype" w:cs="Palatino Linotype"/>
          <w:color w:val="000000" w:themeColor="text1"/>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B26AF6" w:rsidRPr="00707C84" w:rsidRDefault="00B26AF6" w:rsidP="00707C84">
      <w:pPr>
        <w:pBdr>
          <w:top w:val="nil"/>
          <w:left w:val="nil"/>
          <w:bottom w:val="nil"/>
          <w:right w:val="nil"/>
          <w:between w:val="nil"/>
        </w:pBdr>
        <w:rPr>
          <w:rFonts w:ascii="Palatino Linotype" w:eastAsia="Palatino Linotype" w:hAnsi="Palatino Linotype" w:cs="Palatino Linotype"/>
          <w:color w:val="000000" w:themeColor="text1"/>
        </w:rPr>
      </w:pPr>
    </w:p>
    <w:p w:rsidR="00B26AF6" w:rsidRPr="00707C84" w:rsidRDefault="00B26AF6" w:rsidP="00707C84">
      <w:pPr>
        <w:pStyle w:val="Ttulo1"/>
        <w:rPr>
          <w:rFonts w:ascii="Palatino Linotype" w:eastAsia="MS Mincho" w:hAnsi="Palatino Linotype" w:cs="Times New Roman"/>
          <w:b/>
          <w:color w:val="000000" w:themeColor="text1"/>
          <w:sz w:val="24"/>
          <w:szCs w:val="24"/>
        </w:rPr>
      </w:pPr>
      <w:r w:rsidRPr="00707C84">
        <w:rPr>
          <w:rFonts w:ascii="Palatino Linotype" w:hAnsi="Palatino Linotype"/>
          <w:b/>
          <w:color w:val="000000" w:themeColor="text1"/>
          <w:sz w:val="24"/>
          <w:szCs w:val="24"/>
        </w:rPr>
        <w:t xml:space="preserve">TERCERO. Planteamiento de la Litis </w:t>
      </w:r>
    </w:p>
    <w:p w:rsidR="00B26AF6" w:rsidRPr="00707C84" w:rsidRDefault="00B26AF6" w:rsidP="00707C84">
      <w:pPr>
        <w:pStyle w:val="Prrafodelista"/>
        <w:numPr>
          <w:ilvl w:val="0"/>
          <w:numId w:val="2"/>
        </w:numPr>
        <w:spacing w:before="240" w:after="240" w:line="360" w:lineRule="auto"/>
        <w:ind w:left="0" w:firstLine="0"/>
        <w:jc w:val="both"/>
        <w:rPr>
          <w:rFonts w:ascii="Palatino Linotype" w:hAnsi="Palatino Linotype"/>
          <w:i/>
          <w:color w:val="000000" w:themeColor="text1"/>
        </w:rPr>
      </w:pPr>
      <w:r w:rsidRPr="00707C84">
        <w:rPr>
          <w:rFonts w:ascii="Palatino Linotype" w:hAnsi="Palatino Linotype"/>
          <w:bCs/>
          <w:color w:val="000000" w:themeColor="text1"/>
        </w:rPr>
        <w:t xml:space="preserve">El recurrente solicitó </w:t>
      </w:r>
      <w:r w:rsidR="00250315" w:rsidRPr="00707C84">
        <w:rPr>
          <w:rFonts w:ascii="Palatino Linotype" w:eastAsia="Palatino Linotype" w:hAnsi="Palatino Linotype" w:cs="Palatino Linotype"/>
          <w:color w:val="000000" w:themeColor="text1"/>
        </w:rPr>
        <w:t xml:space="preserve">la fecha de aprobación y publicación del programa especial para otorgar licencias o permiso provisional de funcionamiento para negocias de bajo riesgo sanitario, ambiental o de protección civil. </w:t>
      </w:r>
    </w:p>
    <w:p w:rsidR="00B26AF6" w:rsidRPr="00707C84" w:rsidRDefault="00B26AF6" w:rsidP="00707C84">
      <w:pPr>
        <w:pStyle w:val="Prrafodelista"/>
        <w:spacing w:before="240" w:after="240" w:line="360" w:lineRule="auto"/>
        <w:ind w:left="0"/>
        <w:jc w:val="both"/>
        <w:rPr>
          <w:rFonts w:ascii="Palatino Linotype" w:hAnsi="Palatino Linotype"/>
          <w:i/>
          <w:color w:val="000000" w:themeColor="text1"/>
        </w:rPr>
      </w:pPr>
    </w:p>
    <w:p w:rsidR="00B26AF6" w:rsidRPr="00707C84" w:rsidRDefault="00B26AF6" w:rsidP="00707C84">
      <w:pPr>
        <w:pStyle w:val="Prrafodelista"/>
        <w:numPr>
          <w:ilvl w:val="0"/>
          <w:numId w:val="2"/>
        </w:numPr>
        <w:spacing w:before="240" w:after="240" w:line="360" w:lineRule="auto"/>
        <w:ind w:left="0" w:firstLine="0"/>
        <w:jc w:val="both"/>
        <w:rPr>
          <w:rFonts w:ascii="Palatino Linotype" w:hAnsi="Palatino Linotype"/>
          <w:i/>
          <w:color w:val="000000" w:themeColor="text1"/>
        </w:rPr>
      </w:pPr>
      <w:r w:rsidRPr="00707C84">
        <w:rPr>
          <w:rFonts w:ascii="Palatino Linotype" w:eastAsia="Palatino Linotype" w:hAnsi="Palatino Linotype" w:cs="Palatino Linotype"/>
          <w:color w:val="000000" w:themeColor="text1"/>
        </w:rPr>
        <w:t xml:space="preserve">En respuesta, el Sujeto Obligado señaló </w:t>
      </w:r>
      <w:r w:rsidR="00250315" w:rsidRPr="00707C84">
        <w:rPr>
          <w:rFonts w:ascii="Palatino Linotype" w:eastAsia="Palatino Linotype" w:hAnsi="Palatino Linotype" w:cs="Palatino Linotype"/>
          <w:color w:val="000000" w:themeColor="text1"/>
        </w:rPr>
        <w:t xml:space="preserve">a través de la Dirección de Desarrollo y Fomento Económico que no emite permisos provisionales para negocios de bajo riesgo sanitario, ambiental o de protección civil, por ser ajeno a sus facultades, por lo cual no existe programa alguno implementado por la Dirección de Desarrollo y Fomento Económico bajo las características descritas. Posteriormente, el Recurrente se inconformó, de forma medular, por la negativa de la información. </w:t>
      </w:r>
    </w:p>
    <w:p w:rsidR="00B26AF6" w:rsidRPr="00707C84" w:rsidRDefault="00B26AF6" w:rsidP="00707C84">
      <w:pPr>
        <w:pStyle w:val="Prrafodelista"/>
        <w:spacing w:before="240" w:after="240" w:line="360" w:lineRule="auto"/>
        <w:ind w:left="0"/>
        <w:jc w:val="both"/>
        <w:rPr>
          <w:rFonts w:ascii="Palatino Linotype" w:hAnsi="Palatino Linotype"/>
          <w:i/>
          <w:color w:val="000000" w:themeColor="text1"/>
        </w:rPr>
      </w:pPr>
    </w:p>
    <w:p w:rsidR="00B26AF6" w:rsidRPr="00915DD6" w:rsidRDefault="00B26AF6" w:rsidP="00707C84">
      <w:pPr>
        <w:pStyle w:val="Prrafodelista"/>
        <w:numPr>
          <w:ilvl w:val="0"/>
          <w:numId w:val="2"/>
        </w:numPr>
        <w:spacing w:before="240" w:after="240" w:line="360" w:lineRule="auto"/>
        <w:ind w:left="0" w:firstLine="0"/>
        <w:jc w:val="both"/>
        <w:rPr>
          <w:rFonts w:ascii="Palatino Linotype" w:hAnsi="Palatino Linotype"/>
          <w:i/>
          <w:color w:val="000000" w:themeColor="text1"/>
        </w:rPr>
      </w:pPr>
      <w:r w:rsidRPr="00707C84">
        <w:rPr>
          <w:rFonts w:ascii="Palatino Linotype" w:eastAsiaTheme="minorEastAsia" w:hAnsi="Palatino Linotype" w:cs="Arial"/>
          <w:color w:val="000000" w:themeColor="text1"/>
          <w:lang w:val="es-ES_tradnl"/>
        </w:rPr>
        <w:t xml:space="preserve">Por lo tanto, el presente recurso de revisión se circunscribe en determinar si se </w:t>
      </w:r>
      <w:r w:rsidRPr="00707C84">
        <w:rPr>
          <w:rFonts w:ascii="Palatino Linotype" w:hAnsi="Palatino Linotype"/>
          <w:color w:val="000000" w:themeColor="text1"/>
          <w:lang w:val="es-ES_tradnl"/>
        </w:rPr>
        <w:t>actualiza la causal de procedencia</w:t>
      </w:r>
      <w:r w:rsidRPr="00707C84">
        <w:rPr>
          <w:rFonts w:ascii="Palatino Linotype" w:hAnsi="Palatino Linotype"/>
          <w:b/>
          <w:color w:val="000000" w:themeColor="text1"/>
          <w:lang w:val="es-ES_tradnl"/>
        </w:rPr>
        <w:t xml:space="preserve"> </w:t>
      </w:r>
      <w:r w:rsidRPr="00707C84">
        <w:rPr>
          <w:rFonts w:ascii="Palatino Linotype" w:hAnsi="Palatino Linotype" w:cs="Arial"/>
          <w:color w:val="000000" w:themeColor="text1"/>
          <w:lang w:val="es-ES_tradnl"/>
        </w:rPr>
        <w:t xml:space="preserve">contenida en </w:t>
      </w:r>
      <w:r w:rsidRPr="00707C84">
        <w:rPr>
          <w:rFonts w:ascii="Palatino Linotype" w:hAnsi="Palatino Linotype" w:cs="Arial"/>
          <w:color w:val="000000" w:themeColor="text1"/>
          <w:lang w:val="es-ES"/>
        </w:rPr>
        <w:t xml:space="preserve">el artículo 179 fracción  I, de la </w:t>
      </w:r>
      <w:r w:rsidRPr="00707C84">
        <w:rPr>
          <w:rFonts w:ascii="Palatino Linotype" w:eastAsia="Calibri" w:hAnsi="Palatino Linotype" w:cs="Arial"/>
          <w:b/>
          <w:color w:val="000000" w:themeColor="text1"/>
          <w:lang w:val="es-ES"/>
        </w:rPr>
        <w:t>Ley de Transparencia y Acceso a la Información Pública del Estado de México y Municipios</w:t>
      </w:r>
      <w:r w:rsidRPr="00707C84">
        <w:rPr>
          <w:rFonts w:ascii="Palatino Linotype" w:hAnsi="Palatino Linotype" w:cs="Arial"/>
          <w:color w:val="000000" w:themeColor="text1"/>
          <w:lang w:val="es-ES"/>
        </w:rPr>
        <w:t>, relativo a la negativa de la información.</w:t>
      </w:r>
    </w:p>
    <w:p w:rsidR="00915DD6" w:rsidRPr="00915DD6" w:rsidRDefault="00915DD6" w:rsidP="00915DD6">
      <w:pPr>
        <w:pStyle w:val="Prrafodelista"/>
        <w:rPr>
          <w:rFonts w:ascii="Palatino Linotype" w:hAnsi="Palatino Linotype"/>
          <w:i/>
          <w:color w:val="000000" w:themeColor="text1"/>
        </w:rPr>
      </w:pPr>
    </w:p>
    <w:p w:rsidR="00915DD6" w:rsidRDefault="00915DD6" w:rsidP="00915DD6">
      <w:pPr>
        <w:pStyle w:val="Prrafodelista"/>
        <w:spacing w:before="240" w:after="240" w:line="360" w:lineRule="auto"/>
        <w:ind w:left="0"/>
        <w:jc w:val="both"/>
        <w:rPr>
          <w:rFonts w:ascii="Palatino Linotype" w:hAnsi="Palatino Linotype"/>
          <w:i/>
          <w:color w:val="000000" w:themeColor="text1"/>
        </w:rPr>
      </w:pPr>
    </w:p>
    <w:p w:rsidR="00915DD6" w:rsidRPr="00707C84" w:rsidRDefault="00915DD6" w:rsidP="00915DD6">
      <w:pPr>
        <w:pStyle w:val="Prrafodelista"/>
        <w:spacing w:before="240" w:after="240" w:line="360" w:lineRule="auto"/>
        <w:ind w:left="0"/>
        <w:jc w:val="both"/>
        <w:rPr>
          <w:rFonts w:ascii="Palatino Linotype" w:hAnsi="Palatino Linotype"/>
          <w:i/>
          <w:color w:val="000000" w:themeColor="text1"/>
        </w:rPr>
      </w:pPr>
    </w:p>
    <w:p w:rsidR="00B26AF6" w:rsidRPr="00707C84" w:rsidRDefault="00B26AF6" w:rsidP="00707C84">
      <w:pPr>
        <w:pStyle w:val="Ttulo2"/>
        <w:tabs>
          <w:tab w:val="left" w:pos="426"/>
        </w:tabs>
        <w:rPr>
          <w:rFonts w:ascii="Palatino Linotype" w:hAnsi="Palatino Linotype" w:cs="Arial"/>
          <w:b/>
          <w:color w:val="000000" w:themeColor="text1"/>
          <w:sz w:val="24"/>
          <w:szCs w:val="24"/>
        </w:rPr>
      </w:pPr>
      <w:bookmarkStart w:id="5" w:name="_Toc87456489"/>
      <w:r w:rsidRPr="00707C84">
        <w:rPr>
          <w:rFonts w:ascii="Palatino Linotype" w:hAnsi="Palatino Linotype" w:cs="Arial"/>
          <w:b/>
          <w:color w:val="000000" w:themeColor="text1"/>
          <w:sz w:val="24"/>
          <w:szCs w:val="24"/>
        </w:rPr>
        <w:lastRenderedPageBreak/>
        <w:t>CUARTO. Estudio y Resolución del asunto.</w:t>
      </w:r>
      <w:bookmarkEnd w:id="5"/>
    </w:p>
    <w:p w:rsidR="00B26AF6" w:rsidRPr="00707C84" w:rsidRDefault="00B26AF6" w:rsidP="00707C84">
      <w:pPr>
        <w:pStyle w:val="Prrafodelista"/>
        <w:numPr>
          <w:ilvl w:val="0"/>
          <w:numId w:val="2"/>
        </w:numPr>
        <w:spacing w:line="360" w:lineRule="auto"/>
        <w:ind w:left="0" w:firstLine="0"/>
        <w:jc w:val="both"/>
        <w:rPr>
          <w:rFonts w:ascii="Palatino Linotype" w:eastAsia="Calibri" w:hAnsi="Palatino Linotype" w:cs="Arial"/>
          <w:color w:val="000000" w:themeColor="text1"/>
        </w:rPr>
      </w:pPr>
      <w:r w:rsidRPr="00707C84">
        <w:rPr>
          <w:rFonts w:ascii="Palatino Linotype" w:eastAsia="Calibri" w:hAnsi="Palatino Linotype" w:cs="Arial"/>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B26AF6" w:rsidRPr="00707C84" w:rsidRDefault="00B26AF6" w:rsidP="00707C84">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b/>
          <w:color w:val="000000" w:themeColor="text1"/>
        </w:rPr>
      </w:pPr>
    </w:p>
    <w:p w:rsidR="00250315" w:rsidRPr="00707C84" w:rsidRDefault="00B26AF6" w:rsidP="00707C84">
      <w:pPr>
        <w:numPr>
          <w:ilvl w:val="0"/>
          <w:numId w:val="2"/>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b/>
          <w:color w:val="000000" w:themeColor="text1"/>
        </w:rPr>
      </w:pPr>
      <w:r w:rsidRPr="00707C84">
        <w:rPr>
          <w:rFonts w:ascii="Palatino Linotype" w:eastAsia="Palatino Linotype" w:hAnsi="Palatino Linotype" w:cs="Palatino Linotype"/>
          <w:color w:val="000000" w:themeColor="text1"/>
        </w:rPr>
        <w:t xml:space="preserve">En el presente caso, el Recurrente solicitó </w:t>
      </w:r>
      <w:r w:rsidR="00250315" w:rsidRPr="00707C84">
        <w:rPr>
          <w:rFonts w:ascii="Palatino Linotype" w:eastAsia="Palatino Linotype" w:hAnsi="Palatino Linotype" w:cs="Palatino Linotype"/>
          <w:color w:val="000000" w:themeColor="text1"/>
        </w:rPr>
        <w:t xml:space="preserve">la fecha de aprobación y publicación del programa especial para otorgar licencias o permiso provisional de funcionamiento para negocias de bajo riesgo sanitario, ambiental o de protección civil. </w:t>
      </w:r>
    </w:p>
    <w:p w:rsidR="00B26AF6" w:rsidRPr="00707C84" w:rsidRDefault="00B26AF6" w:rsidP="00707C84">
      <w:pPr>
        <w:pStyle w:val="Prrafodelista"/>
        <w:ind w:left="0"/>
        <w:rPr>
          <w:rFonts w:ascii="Palatino Linotype" w:eastAsia="Palatino Linotype" w:hAnsi="Palatino Linotype" w:cs="Palatino Linotype"/>
          <w:b/>
          <w:color w:val="000000" w:themeColor="text1"/>
        </w:rPr>
      </w:pPr>
    </w:p>
    <w:p w:rsidR="00B26AF6" w:rsidRPr="00707C84" w:rsidRDefault="00B26AF6" w:rsidP="00707C84">
      <w:pPr>
        <w:pStyle w:val="Prrafodelista"/>
        <w:numPr>
          <w:ilvl w:val="0"/>
          <w:numId w:val="2"/>
        </w:numPr>
        <w:spacing w:line="360" w:lineRule="auto"/>
        <w:ind w:left="0" w:firstLine="0"/>
        <w:jc w:val="both"/>
        <w:rPr>
          <w:rFonts w:ascii="Palatino Linotype" w:eastAsia="MS Mincho" w:hAnsi="Palatino Linotype"/>
          <w:color w:val="000000" w:themeColor="text1"/>
        </w:rPr>
      </w:pPr>
      <w:r w:rsidRPr="00707C84">
        <w:rPr>
          <w:rFonts w:ascii="Palatino Linotype" w:eastAsia="MS Mincho" w:hAnsi="Palatino Linotype"/>
          <w:color w:val="000000" w:themeColor="text1"/>
        </w:rPr>
        <w:t xml:space="preserve">Al respecto, primeramente debemos mencionar que el acceso a la información es un derecho humano constitucional y convencionalmente reconocido y para tal efecto </w:t>
      </w:r>
      <w:r w:rsidRPr="00707C84">
        <w:rPr>
          <w:rFonts w:ascii="Palatino Linotype" w:eastAsia="Calibri" w:hAnsi="Palatino Linotype"/>
          <w:color w:val="000000" w:themeColor="text1"/>
          <w:lang w:val="es-ES"/>
        </w:rPr>
        <w:t xml:space="preserve">el párrafo tercero del artículo primero de la Constitución Política de los Estados Unidos Mexicanos establece que el deber de todas las autoridades, </w:t>
      </w:r>
      <w:r w:rsidRPr="00707C84">
        <w:rPr>
          <w:rFonts w:ascii="Palatino Linotype" w:eastAsia="Calibri" w:hAnsi="Palatino Linotype"/>
          <w:i/>
          <w:color w:val="000000" w:themeColor="text1"/>
          <w:lang w:val="es-ES"/>
        </w:rPr>
        <w:t xml:space="preserve">en el ámbito de sus atribuciones, de promover, respetar, proteger y </w:t>
      </w:r>
      <w:r w:rsidRPr="00707C84">
        <w:rPr>
          <w:rFonts w:ascii="Palatino Linotype" w:eastAsia="Calibri" w:hAnsi="Palatino Linotype"/>
          <w:b/>
          <w:i/>
          <w:color w:val="000000" w:themeColor="text1"/>
          <w:lang w:val="es-ES"/>
        </w:rPr>
        <w:t>garantizar</w:t>
      </w:r>
      <w:r w:rsidRPr="00707C84">
        <w:rPr>
          <w:rFonts w:ascii="Palatino Linotype" w:eastAsia="Calibri" w:hAnsi="Palatino Linotype"/>
          <w:i/>
          <w:color w:val="000000" w:themeColor="text1"/>
          <w:lang w:val="es-ES"/>
        </w:rPr>
        <w:t xml:space="preserve"> los derechos humanos. </w:t>
      </w:r>
      <w:r w:rsidRPr="00707C84">
        <w:rPr>
          <w:rFonts w:ascii="Palatino Linotype" w:eastAsia="Calibri" w:hAnsi="Palatino Linotype"/>
          <w:b/>
          <w:i/>
          <w:color w:val="000000" w:themeColor="text1"/>
          <w:lang w:val="es-ES"/>
        </w:rPr>
        <w:t>En cuanto al derecho de acceso a la información, la Ley de Transparencia y Acceso a la Información Pública del Estado de México y Municipios prevé establece que e</w:t>
      </w:r>
      <w:r w:rsidRPr="00707C84">
        <w:rPr>
          <w:rFonts w:ascii="Palatino Linotype" w:hAnsi="Palatino Linotype"/>
          <w:i/>
          <w:color w:val="000000" w:themeColor="text1"/>
        </w:rPr>
        <w:t>l procedimiento de acceso a la información es la garantía primaria del derecho en cuestión y se rige por los principios de simplicidad, rapidez y gratuidad del procedimiento, auxilio y orientación a los particulares</w:t>
      </w:r>
      <w:r w:rsidRPr="00707C84">
        <w:rPr>
          <w:rStyle w:val="Refdenotaalpie"/>
          <w:rFonts w:ascii="Palatino Linotype" w:hAnsi="Palatino Linotype"/>
          <w:i/>
          <w:color w:val="000000" w:themeColor="text1"/>
        </w:rPr>
        <w:footnoteReference w:id="1"/>
      </w:r>
      <w:r w:rsidRPr="00707C84">
        <w:rPr>
          <w:rFonts w:ascii="Palatino Linotype" w:hAnsi="Palatino Linotype"/>
          <w:i/>
          <w:color w:val="000000" w:themeColor="text1"/>
        </w:rPr>
        <w:t xml:space="preserve">, </w:t>
      </w:r>
      <w:r w:rsidRPr="00707C84">
        <w:rPr>
          <w:rFonts w:ascii="Palatino Linotype" w:hAnsi="Palatino Linotype"/>
          <w:color w:val="000000" w:themeColor="text1"/>
        </w:rPr>
        <w:t>asimismo establece</w:t>
      </w:r>
      <w:r w:rsidRPr="00707C84">
        <w:rPr>
          <w:rFonts w:ascii="Palatino Linotype" w:hAnsi="Palatino Linotype"/>
          <w:i/>
          <w:color w:val="000000" w:themeColor="text1"/>
        </w:rPr>
        <w:t xml:space="preserve"> que las unidades de transparencia de los Sujetos Obligados deberán garantizar las medidas y condiciones de accesibilidad para que toda persona </w:t>
      </w:r>
      <w:r w:rsidRPr="00707C84">
        <w:rPr>
          <w:rFonts w:ascii="Palatino Linotype" w:hAnsi="Palatino Linotype"/>
          <w:i/>
          <w:color w:val="000000" w:themeColor="text1"/>
        </w:rPr>
        <w:lastRenderedPageBreak/>
        <w:t>pueda ejercer el derecho de acceso a la información, mediante solicitudes de información y deberá apoyar al solicitante en la elaboración de las mismas.</w:t>
      </w:r>
    </w:p>
    <w:p w:rsidR="00B26AF6" w:rsidRPr="00707C84" w:rsidRDefault="00B26AF6" w:rsidP="00707C84">
      <w:pPr>
        <w:pStyle w:val="Prrafodelista"/>
        <w:ind w:left="0"/>
        <w:rPr>
          <w:rFonts w:ascii="Palatino Linotype" w:eastAsia="Calibri" w:hAnsi="Palatino Linotype" w:cs="Arial"/>
          <w:color w:val="000000" w:themeColor="text1"/>
        </w:rPr>
      </w:pPr>
    </w:p>
    <w:p w:rsidR="00B26AF6" w:rsidRPr="00707C84" w:rsidRDefault="00B26AF6" w:rsidP="00707C84">
      <w:pPr>
        <w:pStyle w:val="Prrafodelista"/>
        <w:numPr>
          <w:ilvl w:val="0"/>
          <w:numId w:val="2"/>
        </w:numPr>
        <w:spacing w:line="360" w:lineRule="auto"/>
        <w:ind w:left="0" w:firstLine="0"/>
        <w:jc w:val="both"/>
        <w:rPr>
          <w:rFonts w:ascii="Palatino Linotype" w:eastAsia="Calibri" w:hAnsi="Palatino Linotype" w:cs="Arial"/>
          <w:color w:val="000000" w:themeColor="text1"/>
        </w:rPr>
      </w:pPr>
      <w:r w:rsidRPr="00707C84">
        <w:rPr>
          <w:rFonts w:ascii="Palatino Linotype" w:hAnsi="Palatino Linotype"/>
          <w:color w:val="000000" w:themeColor="text1"/>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B26AF6" w:rsidRPr="00707C84" w:rsidRDefault="00B26AF6" w:rsidP="00707C84">
      <w:pPr>
        <w:pStyle w:val="Prrafodelista"/>
        <w:ind w:left="0"/>
        <w:rPr>
          <w:rFonts w:ascii="Palatino Linotype" w:hAnsi="Palatino Linotype"/>
          <w:color w:val="000000" w:themeColor="text1"/>
        </w:rPr>
      </w:pPr>
    </w:p>
    <w:p w:rsidR="00B26AF6" w:rsidRPr="00707C84" w:rsidRDefault="00B26AF6" w:rsidP="00707C84">
      <w:pPr>
        <w:pStyle w:val="Prrafodelista"/>
        <w:numPr>
          <w:ilvl w:val="0"/>
          <w:numId w:val="2"/>
        </w:numPr>
        <w:spacing w:line="360" w:lineRule="auto"/>
        <w:ind w:left="0" w:firstLine="0"/>
        <w:jc w:val="both"/>
        <w:rPr>
          <w:rFonts w:ascii="Palatino Linotype" w:eastAsia="Calibri" w:hAnsi="Palatino Linotype" w:cs="Arial"/>
          <w:color w:val="000000" w:themeColor="text1"/>
        </w:rPr>
      </w:pPr>
      <w:r w:rsidRPr="00707C84">
        <w:rPr>
          <w:rFonts w:ascii="Palatino Linotype" w:hAnsi="Palatino Linotype"/>
          <w:color w:val="000000" w:themeColor="text1"/>
        </w:rPr>
        <w:t xml:space="preserve">Es así que, su obligación es </w:t>
      </w:r>
      <w:r w:rsidRPr="00707C84">
        <w:rPr>
          <w:rFonts w:ascii="Palatino Linotype" w:hAnsi="Palatino Linotype"/>
          <w:i/>
          <w:color w:val="000000" w:themeColor="text1"/>
        </w:rPr>
        <w:t>realizar, con efectividad, los trámites internos necesarios para la atención de las solicitudes de información</w:t>
      </w:r>
      <w:r w:rsidRPr="00707C84">
        <w:rPr>
          <w:rStyle w:val="Refdenotaalpie"/>
          <w:rFonts w:ascii="Palatino Linotype" w:hAnsi="Palatino Linotype"/>
          <w:color w:val="000000" w:themeColor="text1"/>
        </w:rPr>
        <w:footnoteReference w:id="2"/>
      </w:r>
      <w:r w:rsidRPr="00707C84">
        <w:rPr>
          <w:rFonts w:ascii="Palatino Linotype" w:hAnsi="Palatino Linotype"/>
          <w:color w:val="000000" w:themeColor="text1"/>
        </w:rPr>
        <w:t>, es decir, deben otorgar respuestas concisas, contundentes y sobre todo que den la certeza de los actos que realizan.</w:t>
      </w:r>
    </w:p>
    <w:p w:rsidR="00B26AF6" w:rsidRPr="00707C84" w:rsidRDefault="00B26AF6" w:rsidP="00707C84">
      <w:pPr>
        <w:pStyle w:val="Prrafodelista"/>
        <w:ind w:left="0"/>
        <w:rPr>
          <w:rFonts w:ascii="Palatino Linotype" w:eastAsia="Calibri" w:hAnsi="Palatino Linotype" w:cs="Arial"/>
          <w:color w:val="000000" w:themeColor="text1"/>
        </w:rPr>
      </w:pPr>
    </w:p>
    <w:p w:rsidR="00B26AF6" w:rsidRPr="00707C84" w:rsidRDefault="00B26AF6" w:rsidP="00707C84">
      <w:pPr>
        <w:pStyle w:val="Prrafodelista"/>
        <w:numPr>
          <w:ilvl w:val="0"/>
          <w:numId w:val="2"/>
        </w:numPr>
        <w:spacing w:line="360" w:lineRule="auto"/>
        <w:ind w:left="0" w:firstLine="0"/>
        <w:jc w:val="both"/>
        <w:rPr>
          <w:rFonts w:ascii="Palatino Linotype" w:eastAsia="MS Mincho" w:hAnsi="Palatino Linotype"/>
          <w:color w:val="000000" w:themeColor="text1"/>
        </w:rPr>
      </w:pPr>
      <w:r w:rsidRPr="00707C84">
        <w:rPr>
          <w:rFonts w:ascii="Palatino Linotype" w:eastAsia="Palatino Linotype" w:hAnsi="Palatino Linotype" w:cs="Palatino Linotype"/>
          <w:color w:val="000000" w:themeColor="text1"/>
        </w:rPr>
        <w:t xml:space="preserve">Al respecto, es menester hacer referencia a lo establecido en los artículos 50, 53 fracciones II, IV y V, 58, 59 fracciones I y II, y 162 </w:t>
      </w:r>
      <w:r w:rsidRPr="00707C84">
        <w:rPr>
          <w:rFonts w:ascii="Palatino Linotype" w:eastAsia="Arial Unicode MS" w:hAnsi="Palatino Linotype" w:cs="Arial"/>
          <w:color w:val="000000" w:themeColor="text1"/>
          <w:lang w:eastAsia="en-US"/>
        </w:rPr>
        <w:t>de la Ley de Transparencia y Acceso a la Información del Estado de México y Municipios, que a la letra estipulan lo siguiente:</w:t>
      </w:r>
    </w:p>
    <w:p w:rsidR="00B26AF6" w:rsidRPr="00707C84" w:rsidRDefault="00B26AF6" w:rsidP="00707C84">
      <w:pPr>
        <w:jc w:val="both"/>
        <w:rPr>
          <w:rFonts w:ascii="Palatino Linotype" w:eastAsia="Palatino Linotype" w:hAnsi="Palatino Linotype" w:cs="Palatino Linotype"/>
          <w:i/>
          <w:iCs/>
          <w:color w:val="000000" w:themeColor="text1"/>
        </w:rPr>
      </w:pPr>
      <w:r w:rsidRPr="00707C84">
        <w:rPr>
          <w:rFonts w:ascii="Palatino Linotype" w:eastAsia="Palatino Linotype" w:hAnsi="Palatino Linotype" w:cs="Palatino Linotype"/>
          <w:b/>
          <w:i/>
          <w:iCs/>
          <w:color w:val="000000" w:themeColor="text1"/>
        </w:rPr>
        <w:t xml:space="preserve">Artículo 50. </w:t>
      </w:r>
      <w:r w:rsidRPr="00707C84">
        <w:rPr>
          <w:rFonts w:ascii="Palatino Linotype" w:eastAsia="Palatino Linotype" w:hAnsi="Palatino Linotype" w:cs="Palatino Linotype"/>
          <w:i/>
          <w:iCs/>
          <w:color w:val="000000" w:themeColor="text1"/>
        </w:rPr>
        <w:t>Los sujetos obligados contarán con un área responsable para la atención de las solicitudes de información, a la que se le denominará Unidad de Transparencia.</w:t>
      </w:r>
    </w:p>
    <w:p w:rsidR="00B26AF6" w:rsidRPr="00707C84" w:rsidRDefault="00B26AF6" w:rsidP="00707C84">
      <w:pPr>
        <w:jc w:val="both"/>
        <w:rPr>
          <w:rFonts w:ascii="Palatino Linotype" w:eastAsia="Palatino Linotype" w:hAnsi="Palatino Linotype" w:cs="Palatino Linotype"/>
          <w:i/>
          <w:iCs/>
          <w:color w:val="000000" w:themeColor="text1"/>
        </w:rPr>
      </w:pPr>
    </w:p>
    <w:p w:rsidR="00B26AF6" w:rsidRPr="00707C84" w:rsidRDefault="00B26AF6" w:rsidP="00707C84">
      <w:pPr>
        <w:jc w:val="both"/>
        <w:rPr>
          <w:rFonts w:ascii="Palatino Linotype" w:eastAsia="Palatino Linotype" w:hAnsi="Palatino Linotype" w:cs="Palatino Linotype"/>
          <w:i/>
          <w:iCs/>
          <w:color w:val="000000" w:themeColor="text1"/>
        </w:rPr>
      </w:pPr>
      <w:r w:rsidRPr="00707C84">
        <w:rPr>
          <w:rFonts w:ascii="Palatino Linotype" w:eastAsia="Palatino Linotype" w:hAnsi="Palatino Linotype" w:cs="Palatino Linotype"/>
          <w:b/>
          <w:i/>
          <w:iCs/>
          <w:color w:val="000000" w:themeColor="text1"/>
        </w:rPr>
        <w:t xml:space="preserve">Artículo 53. </w:t>
      </w:r>
      <w:r w:rsidRPr="00707C84">
        <w:rPr>
          <w:rFonts w:ascii="Palatino Linotype" w:eastAsia="Palatino Linotype" w:hAnsi="Palatino Linotype" w:cs="Palatino Linotype"/>
          <w:i/>
          <w:iCs/>
          <w:color w:val="000000" w:themeColor="text1"/>
        </w:rPr>
        <w:t>Las Unidades de Transparencia tendrán las siguientes funciones:</w:t>
      </w:r>
    </w:p>
    <w:p w:rsidR="00B26AF6" w:rsidRPr="00707C84" w:rsidRDefault="00B26AF6" w:rsidP="00707C84">
      <w:pPr>
        <w:jc w:val="both"/>
        <w:rPr>
          <w:rFonts w:ascii="Palatino Linotype" w:eastAsia="Palatino Linotype" w:hAnsi="Palatino Linotype" w:cs="Palatino Linotype"/>
          <w:i/>
          <w:iCs/>
          <w:color w:val="000000" w:themeColor="text1"/>
        </w:rPr>
      </w:pPr>
      <w:r w:rsidRPr="00707C84">
        <w:rPr>
          <w:rFonts w:ascii="Palatino Linotype" w:eastAsia="Palatino Linotype" w:hAnsi="Palatino Linotype" w:cs="Palatino Linotype"/>
          <w:i/>
          <w:iCs/>
          <w:color w:val="000000" w:themeColor="text1"/>
        </w:rPr>
        <w:t>(…)</w:t>
      </w:r>
    </w:p>
    <w:p w:rsidR="00B26AF6" w:rsidRPr="00707C84" w:rsidRDefault="00B26AF6" w:rsidP="00707C84">
      <w:pPr>
        <w:jc w:val="both"/>
        <w:rPr>
          <w:rFonts w:ascii="Palatino Linotype" w:eastAsia="Palatino Linotype" w:hAnsi="Palatino Linotype" w:cs="Palatino Linotype"/>
          <w:i/>
          <w:iCs/>
          <w:color w:val="000000" w:themeColor="text1"/>
        </w:rPr>
      </w:pPr>
      <w:r w:rsidRPr="00707C84">
        <w:rPr>
          <w:rFonts w:ascii="Palatino Linotype" w:eastAsia="Palatino Linotype" w:hAnsi="Palatino Linotype" w:cs="Palatino Linotype"/>
          <w:b/>
          <w:bCs/>
          <w:i/>
          <w:iCs/>
          <w:color w:val="000000" w:themeColor="text1"/>
        </w:rPr>
        <w:t>II.</w:t>
      </w:r>
      <w:r w:rsidRPr="00707C84">
        <w:rPr>
          <w:rFonts w:ascii="Palatino Linotype" w:eastAsia="Palatino Linotype" w:hAnsi="Palatino Linotype" w:cs="Palatino Linotype"/>
          <w:i/>
          <w:iCs/>
          <w:color w:val="000000" w:themeColor="text1"/>
        </w:rPr>
        <w:t xml:space="preserve"> Recibir, tramitar y dar respuesta a las solicitudes de acceso a la información;</w:t>
      </w:r>
    </w:p>
    <w:p w:rsidR="00B26AF6" w:rsidRPr="00707C84" w:rsidRDefault="00B26AF6" w:rsidP="00707C84">
      <w:pPr>
        <w:jc w:val="both"/>
        <w:rPr>
          <w:rFonts w:ascii="Palatino Linotype" w:eastAsia="Palatino Linotype" w:hAnsi="Palatino Linotype" w:cs="Palatino Linotype"/>
          <w:i/>
          <w:iCs/>
          <w:color w:val="000000" w:themeColor="text1"/>
        </w:rPr>
      </w:pPr>
      <w:r w:rsidRPr="00707C84">
        <w:rPr>
          <w:rFonts w:ascii="Palatino Linotype" w:eastAsia="Palatino Linotype" w:hAnsi="Palatino Linotype" w:cs="Palatino Linotype"/>
          <w:i/>
          <w:iCs/>
          <w:color w:val="000000" w:themeColor="text1"/>
        </w:rPr>
        <w:t>(…)</w:t>
      </w:r>
    </w:p>
    <w:p w:rsidR="00B26AF6" w:rsidRPr="00707C84" w:rsidRDefault="00B26AF6" w:rsidP="00707C84">
      <w:pPr>
        <w:jc w:val="both"/>
        <w:rPr>
          <w:rFonts w:ascii="Palatino Linotype" w:eastAsia="Palatino Linotype" w:hAnsi="Palatino Linotype" w:cs="Palatino Linotype"/>
          <w:i/>
          <w:iCs/>
          <w:color w:val="000000" w:themeColor="text1"/>
        </w:rPr>
      </w:pPr>
      <w:r w:rsidRPr="00707C84">
        <w:rPr>
          <w:rFonts w:ascii="Palatino Linotype" w:eastAsia="Palatino Linotype" w:hAnsi="Palatino Linotype" w:cs="Palatino Linotype"/>
          <w:b/>
          <w:bCs/>
          <w:i/>
          <w:iCs/>
          <w:color w:val="000000" w:themeColor="text1"/>
        </w:rPr>
        <w:lastRenderedPageBreak/>
        <w:t>IV.</w:t>
      </w:r>
      <w:r w:rsidRPr="00707C84">
        <w:rPr>
          <w:rFonts w:ascii="Palatino Linotype" w:eastAsia="Palatino Linotype" w:hAnsi="Palatino Linotype" w:cs="Palatino Linotype"/>
          <w:i/>
          <w:iCs/>
          <w:color w:val="000000" w:themeColor="text1"/>
        </w:rPr>
        <w:t xml:space="preserve"> Realizar, con efectividad, los trámites internos necesarios para la atención de las solicitudes de acceso a la información;</w:t>
      </w:r>
    </w:p>
    <w:p w:rsidR="00B26AF6" w:rsidRPr="00707C84" w:rsidRDefault="00B26AF6" w:rsidP="00707C84">
      <w:pPr>
        <w:jc w:val="both"/>
        <w:rPr>
          <w:rFonts w:ascii="Palatino Linotype" w:eastAsia="Palatino Linotype" w:hAnsi="Palatino Linotype" w:cs="Palatino Linotype"/>
          <w:i/>
          <w:iCs/>
          <w:color w:val="000000" w:themeColor="text1"/>
        </w:rPr>
      </w:pPr>
      <w:r w:rsidRPr="00707C84">
        <w:rPr>
          <w:rFonts w:ascii="Palatino Linotype" w:eastAsia="Palatino Linotype" w:hAnsi="Palatino Linotype" w:cs="Palatino Linotype"/>
          <w:b/>
          <w:bCs/>
          <w:i/>
          <w:iCs/>
          <w:color w:val="000000" w:themeColor="text1"/>
        </w:rPr>
        <w:t>V.</w:t>
      </w:r>
      <w:r w:rsidRPr="00707C84">
        <w:rPr>
          <w:rFonts w:ascii="Palatino Linotype" w:eastAsia="Palatino Linotype" w:hAnsi="Palatino Linotype" w:cs="Palatino Linotype"/>
          <w:i/>
          <w:iCs/>
          <w:color w:val="000000" w:themeColor="text1"/>
        </w:rPr>
        <w:t xml:space="preserve"> Entregar, en su caso, a los particulares la información solicitada;</w:t>
      </w:r>
    </w:p>
    <w:p w:rsidR="00B26AF6" w:rsidRPr="00707C84" w:rsidRDefault="00B26AF6" w:rsidP="00707C84">
      <w:pPr>
        <w:jc w:val="both"/>
        <w:rPr>
          <w:rFonts w:ascii="Palatino Linotype" w:eastAsia="Palatino Linotype" w:hAnsi="Palatino Linotype" w:cs="Palatino Linotype"/>
          <w:i/>
          <w:iCs/>
          <w:color w:val="000000" w:themeColor="text1"/>
        </w:rPr>
      </w:pPr>
      <w:r w:rsidRPr="00707C84">
        <w:rPr>
          <w:rFonts w:ascii="Palatino Linotype" w:eastAsia="Palatino Linotype" w:hAnsi="Palatino Linotype" w:cs="Palatino Linotype"/>
          <w:i/>
          <w:iCs/>
          <w:color w:val="000000" w:themeColor="text1"/>
        </w:rPr>
        <w:t>(…)</w:t>
      </w:r>
    </w:p>
    <w:p w:rsidR="00B26AF6" w:rsidRPr="00707C84" w:rsidRDefault="00B26AF6" w:rsidP="00707C84">
      <w:pPr>
        <w:jc w:val="both"/>
        <w:rPr>
          <w:rFonts w:ascii="Palatino Linotype" w:eastAsia="Palatino Linotype" w:hAnsi="Palatino Linotype" w:cs="Palatino Linotype"/>
          <w:i/>
          <w:iCs/>
          <w:color w:val="000000" w:themeColor="text1"/>
        </w:rPr>
      </w:pPr>
    </w:p>
    <w:p w:rsidR="00B26AF6" w:rsidRPr="00707C84" w:rsidRDefault="00B26AF6" w:rsidP="00707C84">
      <w:pPr>
        <w:jc w:val="both"/>
        <w:rPr>
          <w:rFonts w:ascii="Palatino Linotype" w:eastAsia="Palatino Linotype" w:hAnsi="Palatino Linotype" w:cs="Palatino Linotype"/>
          <w:i/>
          <w:iCs/>
          <w:color w:val="000000" w:themeColor="text1"/>
        </w:rPr>
      </w:pPr>
      <w:r w:rsidRPr="00707C84">
        <w:rPr>
          <w:rFonts w:ascii="Palatino Linotype" w:eastAsia="Palatino Linotype" w:hAnsi="Palatino Linotype" w:cs="Palatino Linotype"/>
          <w:b/>
          <w:i/>
          <w:iCs/>
          <w:color w:val="000000" w:themeColor="text1"/>
        </w:rPr>
        <w:t xml:space="preserve">Artículo 58. </w:t>
      </w:r>
      <w:r w:rsidRPr="00707C84">
        <w:rPr>
          <w:rFonts w:ascii="Palatino Linotype" w:eastAsia="Palatino Linotype" w:hAnsi="Palatino Linotype" w:cs="Palatino Linotype"/>
          <w:i/>
          <w:iCs/>
          <w:color w:val="000000" w:themeColor="text1"/>
        </w:rPr>
        <w:t>Los servidores públicos habilitados serán designados por el titular del sujeto obligado a propuesta del responsable de la Unidad de Transparencia.</w:t>
      </w:r>
    </w:p>
    <w:p w:rsidR="00B26AF6" w:rsidRPr="00707C84" w:rsidRDefault="00B26AF6" w:rsidP="00707C84">
      <w:pPr>
        <w:jc w:val="both"/>
        <w:rPr>
          <w:rFonts w:ascii="Palatino Linotype" w:eastAsia="Palatino Linotype" w:hAnsi="Palatino Linotype" w:cs="Palatino Linotype"/>
          <w:i/>
          <w:iCs/>
          <w:color w:val="000000" w:themeColor="text1"/>
        </w:rPr>
      </w:pPr>
    </w:p>
    <w:p w:rsidR="00B26AF6" w:rsidRPr="00707C84" w:rsidRDefault="00B26AF6" w:rsidP="00707C84">
      <w:pPr>
        <w:jc w:val="both"/>
        <w:rPr>
          <w:rFonts w:ascii="Palatino Linotype" w:eastAsia="Palatino Linotype" w:hAnsi="Palatino Linotype" w:cs="Palatino Linotype"/>
          <w:i/>
          <w:iCs/>
          <w:color w:val="000000" w:themeColor="text1"/>
        </w:rPr>
      </w:pPr>
      <w:r w:rsidRPr="00707C84">
        <w:rPr>
          <w:rFonts w:ascii="Palatino Linotype" w:eastAsia="Palatino Linotype" w:hAnsi="Palatino Linotype" w:cs="Palatino Linotype"/>
          <w:b/>
          <w:i/>
          <w:iCs/>
          <w:color w:val="000000" w:themeColor="text1"/>
        </w:rPr>
        <w:t xml:space="preserve">Artículo 59. </w:t>
      </w:r>
      <w:r w:rsidRPr="00707C84">
        <w:rPr>
          <w:rFonts w:ascii="Palatino Linotype" w:eastAsia="Palatino Linotype" w:hAnsi="Palatino Linotype" w:cs="Palatino Linotype"/>
          <w:i/>
          <w:iCs/>
          <w:color w:val="000000" w:themeColor="text1"/>
        </w:rPr>
        <w:t>Los servidores públicos habilitados tendrán las funciones siguientes:</w:t>
      </w:r>
    </w:p>
    <w:p w:rsidR="00B26AF6" w:rsidRPr="00707C84" w:rsidRDefault="00B26AF6" w:rsidP="00707C84">
      <w:pPr>
        <w:jc w:val="both"/>
        <w:rPr>
          <w:rFonts w:ascii="Palatino Linotype" w:eastAsia="Palatino Linotype" w:hAnsi="Palatino Linotype" w:cs="Palatino Linotype"/>
          <w:i/>
          <w:iCs/>
          <w:color w:val="000000" w:themeColor="text1"/>
        </w:rPr>
      </w:pPr>
    </w:p>
    <w:p w:rsidR="00B26AF6" w:rsidRPr="00707C84" w:rsidRDefault="00B26AF6" w:rsidP="00707C84">
      <w:pPr>
        <w:jc w:val="both"/>
        <w:rPr>
          <w:rFonts w:ascii="Palatino Linotype" w:eastAsia="Palatino Linotype" w:hAnsi="Palatino Linotype" w:cs="Palatino Linotype"/>
          <w:i/>
          <w:iCs/>
          <w:color w:val="000000" w:themeColor="text1"/>
        </w:rPr>
      </w:pPr>
      <w:r w:rsidRPr="00707C84">
        <w:rPr>
          <w:rFonts w:ascii="Palatino Linotype" w:eastAsia="Palatino Linotype" w:hAnsi="Palatino Linotype" w:cs="Palatino Linotype"/>
          <w:b/>
          <w:bCs/>
          <w:i/>
          <w:iCs/>
          <w:color w:val="000000" w:themeColor="text1"/>
        </w:rPr>
        <w:t>I.</w:t>
      </w:r>
      <w:r w:rsidRPr="00707C84">
        <w:rPr>
          <w:rFonts w:ascii="Palatino Linotype" w:eastAsia="Palatino Linotype" w:hAnsi="Palatino Linotype" w:cs="Palatino Linotype"/>
          <w:i/>
          <w:iCs/>
          <w:color w:val="000000" w:themeColor="text1"/>
        </w:rPr>
        <w:t xml:space="preserve"> Localizar la información que le solicite la Unidad de Transparencia;</w:t>
      </w:r>
    </w:p>
    <w:p w:rsidR="00B26AF6" w:rsidRPr="00707C84" w:rsidRDefault="00B26AF6" w:rsidP="00707C84">
      <w:pPr>
        <w:jc w:val="both"/>
        <w:rPr>
          <w:rFonts w:ascii="Palatino Linotype" w:eastAsia="Palatino Linotype" w:hAnsi="Palatino Linotype" w:cs="Palatino Linotype"/>
          <w:i/>
          <w:iCs/>
          <w:color w:val="000000" w:themeColor="text1"/>
        </w:rPr>
      </w:pPr>
      <w:r w:rsidRPr="00707C84">
        <w:rPr>
          <w:rFonts w:ascii="Palatino Linotype" w:eastAsia="Palatino Linotype" w:hAnsi="Palatino Linotype" w:cs="Palatino Linotype"/>
          <w:b/>
          <w:bCs/>
          <w:i/>
          <w:iCs/>
          <w:color w:val="000000" w:themeColor="text1"/>
        </w:rPr>
        <w:t>II.</w:t>
      </w:r>
      <w:r w:rsidRPr="00707C84">
        <w:rPr>
          <w:rFonts w:ascii="Palatino Linotype" w:eastAsia="Palatino Linotype" w:hAnsi="Palatino Linotype" w:cs="Palatino Linotype"/>
          <w:i/>
          <w:iCs/>
          <w:color w:val="000000" w:themeColor="text1"/>
        </w:rPr>
        <w:t xml:space="preserve"> Proporcionar la información que obre en los archivos y que le sea solicitada por la Unidad de Transparencia;</w:t>
      </w:r>
    </w:p>
    <w:p w:rsidR="00B26AF6" w:rsidRPr="00707C84" w:rsidRDefault="00B26AF6" w:rsidP="00707C84">
      <w:pPr>
        <w:jc w:val="both"/>
        <w:rPr>
          <w:rFonts w:ascii="Palatino Linotype" w:eastAsia="Palatino Linotype" w:hAnsi="Palatino Linotype" w:cs="Palatino Linotype"/>
          <w:i/>
          <w:iCs/>
          <w:color w:val="000000" w:themeColor="text1"/>
        </w:rPr>
      </w:pPr>
      <w:r w:rsidRPr="00707C84">
        <w:rPr>
          <w:rFonts w:ascii="Palatino Linotype" w:eastAsia="Palatino Linotype" w:hAnsi="Palatino Linotype" w:cs="Palatino Linotype"/>
          <w:i/>
          <w:iCs/>
          <w:color w:val="000000" w:themeColor="text1"/>
        </w:rPr>
        <w:t>(...)</w:t>
      </w:r>
    </w:p>
    <w:p w:rsidR="00B26AF6" w:rsidRPr="00707C84" w:rsidRDefault="00B26AF6" w:rsidP="00707C84">
      <w:pPr>
        <w:jc w:val="both"/>
        <w:rPr>
          <w:rFonts w:ascii="Palatino Linotype" w:eastAsia="Palatino Linotype" w:hAnsi="Palatino Linotype" w:cs="Palatino Linotype"/>
          <w:i/>
          <w:iCs/>
          <w:color w:val="000000" w:themeColor="text1"/>
        </w:rPr>
      </w:pPr>
    </w:p>
    <w:p w:rsidR="00B26AF6" w:rsidRPr="00707C84" w:rsidRDefault="00B26AF6" w:rsidP="00707C84">
      <w:pPr>
        <w:jc w:val="both"/>
        <w:rPr>
          <w:rFonts w:ascii="Palatino Linotype" w:eastAsia="Palatino Linotype" w:hAnsi="Palatino Linotype" w:cs="Palatino Linotype"/>
          <w:i/>
          <w:iCs/>
          <w:color w:val="000000" w:themeColor="text1"/>
        </w:rPr>
      </w:pPr>
      <w:r w:rsidRPr="00707C84">
        <w:rPr>
          <w:rFonts w:ascii="Palatino Linotype" w:eastAsia="Palatino Linotype" w:hAnsi="Palatino Linotype" w:cs="Palatino Linotype"/>
          <w:b/>
          <w:i/>
          <w:iCs/>
          <w:color w:val="000000" w:themeColor="text1"/>
        </w:rPr>
        <w:t xml:space="preserve">Artículo 162. </w:t>
      </w:r>
      <w:r w:rsidRPr="00707C84">
        <w:rPr>
          <w:rFonts w:ascii="Palatino Linotype" w:eastAsia="Palatino Linotype" w:hAnsi="Palatino Linotype" w:cs="Palatino Linotype"/>
          <w:i/>
          <w:iCs/>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B26AF6" w:rsidRPr="00707C84" w:rsidRDefault="00B26AF6" w:rsidP="00707C84">
      <w:pPr>
        <w:spacing w:line="360" w:lineRule="auto"/>
        <w:jc w:val="both"/>
        <w:rPr>
          <w:rFonts w:ascii="Palatino Linotype" w:eastAsia="Palatino Linotype" w:hAnsi="Palatino Linotype" w:cs="Palatino Linotype"/>
          <w:color w:val="000000" w:themeColor="text1"/>
        </w:rPr>
      </w:pPr>
    </w:p>
    <w:p w:rsidR="00B26AF6" w:rsidRPr="00707C84" w:rsidRDefault="00B26AF6" w:rsidP="00707C84">
      <w:pPr>
        <w:pStyle w:val="Prrafodelista"/>
        <w:numPr>
          <w:ilvl w:val="0"/>
          <w:numId w:val="2"/>
        </w:numPr>
        <w:spacing w:line="360" w:lineRule="auto"/>
        <w:ind w:left="0" w:firstLine="0"/>
        <w:jc w:val="both"/>
        <w:rPr>
          <w:rFonts w:ascii="Palatino Linotype" w:eastAsia="Arial Unicode MS" w:hAnsi="Palatino Linotype" w:cs="Arial"/>
          <w:color w:val="000000" w:themeColor="text1"/>
          <w:lang w:eastAsia="en-US"/>
        </w:rPr>
      </w:pPr>
      <w:r w:rsidRPr="00707C84">
        <w:rPr>
          <w:rFonts w:ascii="Palatino Linotype" w:eastAsia="Palatino Linotype" w:hAnsi="Palatino Linotype" w:cs="Palatino Linotype"/>
          <w:color w:val="000000" w:themeColor="text1"/>
        </w:rPr>
        <w:t xml:space="preserve">De los artículos citados se desprende que las Unidades de Transparencia de los sujetos obligados son las encargadas de tramitar internamente </w:t>
      </w:r>
      <w:r w:rsidRPr="00707C84">
        <w:rPr>
          <w:rFonts w:ascii="Palatino Linotype" w:eastAsia="Arial Unicode MS" w:hAnsi="Palatino Linotype" w:cs="Arial"/>
          <w:color w:val="000000" w:themeColor="text1"/>
          <w:lang w:eastAsia="en-US"/>
        </w:rPr>
        <w:t>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rsidR="00B26AF6" w:rsidRPr="00707C84" w:rsidRDefault="00B26AF6" w:rsidP="00707C84">
      <w:pPr>
        <w:pStyle w:val="Prrafodelista"/>
        <w:numPr>
          <w:ilvl w:val="0"/>
          <w:numId w:val="2"/>
        </w:numPr>
        <w:spacing w:line="360" w:lineRule="auto"/>
        <w:ind w:left="0" w:firstLine="0"/>
        <w:jc w:val="both"/>
        <w:rPr>
          <w:rFonts w:ascii="Palatino Linotype" w:eastAsia="Arial Unicode MS" w:hAnsi="Palatino Linotype" w:cs="Arial"/>
          <w:color w:val="000000" w:themeColor="text1"/>
          <w:lang w:eastAsia="en-US"/>
        </w:rPr>
      </w:pPr>
      <w:r w:rsidRPr="00707C84">
        <w:rPr>
          <w:rFonts w:ascii="Palatino Linotype" w:eastAsia="Arial Unicode MS" w:hAnsi="Palatino Linotype" w:cs="Arial"/>
          <w:color w:val="000000" w:themeColor="text1"/>
          <w:lang w:eastAsia="en-US"/>
        </w:rPr>
        <w:lastRenderedPageBreak/>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B26AF6" w:rsidRPr="00707C84" w:rsidRDefault="00B26AF6" w:rsidP="00707C84">
      <w:pPr>
        <w:pStyle w:val="Prrafodelista"/>
        <w:ind w:left="0"/>
        <w:rPr>
          <w:rFonts w:ascii="Palatino Linotype" w:eastAsia="Arial Unicode MS" w:hAnsi="Palatino Linotype" w:cs="Arial"/>
          <w:color w:val="000000" w:themeColor="text1"/>
          <w:lang w:eastAsia="en-US"/>
        </w:rPr>
      </w:pPr>
    </w:p>
    <w:p w:rsidR="00B26AF6" w:rsidRPr="00707C84" w:rsidRDefault="00B26AF6" w:rsidP="00707C84">
      <w:pPr>
        <w:numPr>
          <w:ilvl w:val="0"/>
          <w:numId w:val="2"/>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color w:val="000000" w:themeColor="text1"/>
        </w:rPr>
      </w:pPr>
      <w:r w:rsidRPr="00707C84">
        <w:rPr>
          <w:rFonts w:ascii="Palatino Linotype" w:eastAsia="Arial Unicode MS" w:hAnsi="Palatino Linotype" w:cs="Arial"/>
          <w:color w:val="000000" w:themeColor="text1"/>
          <w:lang w:eastAsia="en-US"/>
        </w:rPr>
        <w:t xml:space="preserve">En el caso que se resuelve, </w:t>
      </w:r>
      <w:r w:rsidR="00250315" w:rsidRPr="00707C84">
        <w:rPr>
          <w:rFonts w:ascii="Palatino Linotype" w:eastAsia="Arial Unicode MS" w:hAnsi="Palatino Linotype" w:cs="Arial"/>
          <w:color w:val="000000" w:themeColor="text1"/>
          <w:lang w:eastAsia="en-US"/>
        </w:rPr>
        <w:t>la respuesta fue emitida por la Dirección de</w:t>
      </w:r>
      <w:r w:rsidR="00F65C02" w:rsidRPr="00707C84">
        <w:rPr>
          <w:rFonts w:ascii="Palatino Linotype" w:eastAsia="Arial Unicode MS" w:hAnsi="Palatino Linotype" w:cs="Arial"/>
          <w:color w:val="000000" w:themeColor="text1"/>
          <w:lang w:eastAsia="en-US"/>
        </w:rPr>
        <w:t xml:space="preserve"> Desarrollo y Fomento Económico</w:t>
      </w:r>
      <w:r w:rsidR="00250315" w:rsidRPr="00707C84">
        <w:rPr>
          <w:rFonts w:ascii="Palatino Linotype" w:eastAsia="Arial Unicode MS" w:hAnsi="Palatino Linotype" w:cs="Arial"/>
          <w:color w:val="000000" w:themeColor="text1"/>
          <w:lang w:eastAsia="en-US"/>
        </w:rPr>
        <w:t xml:space="preserve"> </w:t>
      </w:r>
      <w:r w:rsidR="00F65C02" w:rsidRPr="00707C84">
        <w:rPr>
          <w:rFonts w:ascii="Palatino Linotype" w:eastAsia="Arial Unicode MS" w:hAnsi="Palatino Linotype" w:cs="Arial"/>
          <w:color w:val="000000" w:themeColor="text1"/>
          <w:lang w:eastAsia="en-US"/>
        </w:rPr>
        <w:t xml:space="preserve">quien señaló que, </w:t>
      </w:r>
      <w:r w:rsidR="00F65C02" w:rsidRPr="00707C84">
        <w:rPr>
          <w:rFonts w:ascii="Palatino Linotype" w:eastAsia="Palatino Linotype" w:hAnsi="Palatino Linotype" w:cs="Palatino Linotype"/>
          <w:color w:val="000000" w:themeColor="text1"/>
        </w:rPr>
        <w:t xml:space="preserve">no emite permisos provisionales para negocios de bajo riesgo sanitario, ambiental o de protección civil, por ser ajeno a sus facultades, por lo cual no existe programa bajo las características descritas. Al respecto, conviene señalar que el </w:t>
      </w:r>
      <w:r w:rsidR="00852816" w:rsidRPr="00707C84">
        <w:rPr>
          <w:rFonts w:ascii="Palatino Linotype" w:eastAsia="Arial Unicode MS" w:hAnsi="Palatino Linotype" w:cs="Arial"/>
          <w:color w:val="000000" w:themeColor="text1"/>
          <w:lang w:eastAsia="en-US"/>
        </w:rPr>
        <w:t xml:space="preserve">Manual de Organización </w:t>
      </w:r>
      <w:r w:rsidR="00F65C02" w:rsidRPr="00707C84">
        <w:rPr>
          <w:rFonts w:ascii="Palatino Linotype" w:eastAsia="Arial Unicode MS" w:hAnsi="Palatino Linotype" w:cs="Arial"/>
          <w:color w:val="000000" w:themeColor="text1"/>
          <w:lang w:eastAsia="en-US"/>
        </w:rPr>
        <w:t>le confiere las siguiente atribuciones a la Dirección de Desarrollo y Fomento Económico:</w:t>
      </w:r>
    </w:p>
    <w:p w:rsidR="00852816" w:rsidRPr="00707C84" w:rsidRDefault="00852816" w:rsidP="00707C84">
      <w:pPr>
        <w:pBdr>
          <w:top w:val="nil"/>
          <w:left w:val="nil"/>
          <w:bottom w:val="nil"/>
          <w:right w:val="nil"/>
          <w:between w:val="nil"/>
        </w:pBdr>
        <w:tabs>
          <w:tab w:val="left" w:pos="284"/>
          <w:tab w:val="left" w:pos="567"/>
        </w:tabs>
        <w:spacing w:line="360" w:lineRule="auto"/>
        <w:jc w:val="center"/>
        <w:rPr>
          <w:rFonts w:ascii="Palatino Linotype" w:hAnsi="Palatino Linotype"/>
          <w:b/>
          <w:i/>
          <w:color w:val="000000" w:themeColor="text1"/>
        </w:rPr>
      </w:pPr>
      <w:r w:rsidRPr="00707C84">
        <w:rPr>
          <w:rFonts w:ascii="Palatino Linotype" w:hAnsi="Palatino Linotype"/>
          <w:b/>
          <w:i/>
          <w:color w:val="000000" w:themeColor="text1"/>
        </w:rPr>
        <w:t>VII. OBJETIVO Y FUNCIONES POR UNIDAD ADMINISTRATIVA DIRECCIÓN DE DESARROLLO Y FOMENTO ECONÓMICO</w:t>
      </w:r>
    </w:p>
    <w:p w:rsidR="00852816" w:rsidRPr="00707C84" w:rsidRDefault="00852816" w:rsidP="00707C84">
      <w:pPr>
        <w:pBdr>
          <w:top w:val="nil"/>
          <w:left w:val="nil"/>
          <w:bottom w:val="nil"/>
          <w:right w:val="nil"/>
          <w:between w:val="nil"/>
        </w:pBdr>
        <w:tabs>
          <w:tab w:val="left" w:pos="284"/>
          <w:tab w:val="left" w:pos="567"/>
        </w:tabs>
        <w:spacing w:line="360" w:lineRule="auto"/>
        <w:jc w:val="both"/>
        <w:rPr>
          <w:rFonts w:ascii="Palatino Linotype" w:hAnsi="Palatino Linotype"/>
          <w:i/>
          <w:color w:val="000000" w:themeColor="text1"/>
        </w:rPr>
      </w:pPr>
      <w:r w:rsidRPr="00707C84">
        <w:rPr>
          <w:rFonts w:ascii="Palatino Linotype" w:hAnsi="Palatino Linotype"/>
          <w:b/>
          <w:i/>
          <w:color w:val="000000" w:themeColor="text1"/>
        </w:rPr>
        <w:t>OBJETIVO</w:t>
      </w:r>
      <w:r w:rsidRPr="00707C84">
        <w:rPr>
          <w:rFonts w:ascii="Palatino Linotype" w:hAnsi="Palatino Linotype"/>
          <w:i/>
          <w:color w:val="000000" w:themeColor="text1"/>
        </w:rPr>
        <w:t xml:space="preserve">: Confiere a la Dirección de Desarrollo y Fomento Económico el despacho de los asuntos que el H. Ayuntamiento y la Ley le establezca, sentando los lineamientos de política económica municipal, supervisando, evaluando, dirigiendo y controlando las actividades de las Unidades Administrativas dependientes de la Dirección en términos de la legislación normas reglamentarias aplicables. </w:t>
      </w:r>
    </w:p>
    <w:p w:rsidR="00852816" w:rsidRPr="00707C84" w:rsidRDefault="00852816" w:rsidP="00707C84">
      <w:pPr>
        <w:pBdr>
          <w:top w:val="nil"/>
          <w:left w:val="nil"/>
          <w:bottom w:val="nil"/>
          <w:right w:val="nil"/>
          <w:between w:val="nil"/>
        </w:pBdr>
        <w:tabs>
          <w:tab w:val="left" w:pos="284"/>
          <w:tab w:val="left" w:pos="567"/>
        </w:tabs>
        <w:spacing w:line="360" w:lineRule="auto"/>
        <w:jc w:val="both"/>
        <w:rPr>
          <w:rFonts w:ascii="Palatino Linotype" w:hAnsi="Palatino Linotype"/>
          <w:b/>
          <w:i/>
          <w:color w:val="000000" w:themeColor="text1"/>
        </w:rPr>
      </w:pPr>
      <w:r w:rsidRPr="00707C84">
        <w:rPr>
          <w:rFonts w:ascii="Palatino Linotype" w:hAnsi="Palatino Linotype"/>
          <w:b/>
          <w:i/>
          <w:color w:val="000000" w:themeColor="text1"/>
        </w:rPr>
        <w:t xml:space="preserve">FUNCIONES: </w:t>
      </w:r>
    </w:p>
    <w:p w:rsidR="00852816" w:rsidRPr="00707C84" w:rsidRDefault="00852816" w:rsidP="00915DD6">
      <w:pPr>
        <w:pStyle w:val="Prrafodelista"/>
        <w:numPr>
          <w:ilvl w:val="0"/>
          <w:numId w:val="7"/>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i/>
          <w:color w:val="000000" w:themeColor="text1"/>
        </w:rPr>
      </w:pPr>
      <w:r w:rsidRPr="00707C84">
        <w:rPr>
          <w:rFonts w:ascii="Palatino Linotype" w:hAnsi="Palatino Linotype"/>
          <w:i/>
          <w:color w:val="000000" w:themeColor="text1"/>
        </w:rPr>
        <w:t xml:space="preserve"> Establecer lineamientos de regulación, de control de información o de simplificación administrativa aplicables a los trámites, requisitos y procedimientos relativos a las solicitudes de autorización de licencias de funcionamiento, permisos y autorizaciones de ocupación de vías y áreas públicas municipales.</w:t>
      </w:r>
    </w:p>
    <w:p w:rsidR="00852816" w:rsidRPr="00707C84" w:rsidRDefault="00852816" w:rsidP="00915DD6">
      <w:pPr>
        <w:pStyle w:val="Prrafodelista"/>
        <w:numPr>
          <w:ilvl w:val="0"/>
          <w:numId w:val="7"/>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i/>
          <w:color w:val="000000" w:themeColor="text1"/>
        </w:rPr>
      </w:pPr>
      <w:r w:rsidRPr="00707C84">
        <w:rPr>
          <w:rFonts w:ascii="Palatino Linotype" w:hAnsi="Palatino Linotype"/>
          <w:i/>
          <w:color w:val="000000" w:themeColor="text1"/>
        </w:rPr>
        <w:t xml:space="preserve"> Desempeñar las Comisiones y funciones que el Presidente Municipal le confiera y mantenerlo informado del desarrollo de las mismas. </w:t>
      </w:r>
    </w:p>
    <w:p w:rsidR="00852816" w:rsidRPr="00707C84" w:rsidRDefault="00852816" w:rsidP="00915DD6">
      <w:pPr>
        <w:pStyle w:val="Prrafodelista"/>
        <w:numPr>
          <w:ilvl w:val="0"/>
          <w:numId w:val="7"/>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i/>
          <w:color w:val="000000" w:themeColor="text1"/>
        </w:rPr>
      </w:pPr>
      <w:r w:rsidRPr="00707C84">
        <w:rPr>
          <w:rFonts w:ascii="Palatino Linotype" w:hAnsi="Palatino Linotype"/>
          <w:i/>
          <w:color w:val="000000" w:themeColor="text1"/>
        </w:rPr>
        <w:lastRenderedPageBreak/>
        <w:t xml:space="preserve">Comparecer ante el H. Ayuntamiento cuando se le requiera, en términos de lo dispuesto por la Ley Orgánica Municipal del Estado de México, para informar del estado que guardan los asuntos, acciones y programas de la Dirección a su cargo o bien, cuando se discutan disposiciones normativas o reglamentarias de los asuntos relacionados con sus atribuciones y funciones. </w:t>
      </w:r>
    </w:p>
    <w:p w:rsidR="00852816" w:rsidRPr="00707C84" w:rsidRDefault="00852816" w:rsidP="00915DD6">
      <w:pPr>
        <w:pStyle w:val="Prrafodelista"/>
        <w:numPr>
          <w:ilvl w:val="0"/>
          <w:numId w:val="7"/>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i/>
          <w:color w:val="000000" w:themeColor="text1"/>
        </w:rPr>
      </w:pPr>
      <w:r w:rsidRPr="00707C84">
        <w:rPr>
          <w:rFonts w:ascii="Palatino Linotype" w:hAnsi="Palatino Linotype"/>
          <w:i/>
          <w:color w:val="000000" w:themeColor="text1"/>
        </w:rPr>
        <w:t xml:space="preserve">Expedir normas administrativas, técnicas y operativas para la atención y despacho de los asuntos que le competen. </w:t>
      </w:r>
    </w:p>
    <w:p w:rsidR="00852816" w:rsidRPr="00707C84" w:rsidRDefault="00852816" w:rsidP="00915DD6">
      <w:pPr>
        <w:pStyle w:val="Prrafodelista"/>
        <w:pBdr>
          <w:top w:val="nil"/>
          <w:left w:val="nil"/>
          <w:bottom w:val="nil"/>
          <w:right w:val="nil"/>
          <w:between w:val="nil"/>
        </w:pBdr>
        <w:tabs>
          <w:tab w:val="left" w:pos="284"/>
          <w:tab w:val="left" w:pos="567"/>
        </w:tabs>
        <w:spacing w:line="360" w:lineRule="auto"/>
        <w:ind w:left="0"/>
        <w:jc w:val="both"/>
        <w:rPr>
          <w:rFonts w:ascii="Palatino Linotype" w:eastAsia="Palatino Linotype" w:hAnsi="Palatino Linotype" w:cs="Palatino Linotype"/>
          <w:b/>
          <w:i/>
          <w:color w:val="000000" w:themeColor="text1"/>
        </w:rPr>
      </w:pPr>
      <w:r w:rsidRPr="00707C84">
        <w:rPr>
          <w:rFonts w:ascii="Palatino Linotype" w:hAnsi="Palatino Linotype"/>
          <w:b/>
          <w:i/>
          <w:color w:val="000000" w:themeColor="text1"/>
        </w:rPr>
        <w:t>…</w:t>
      </w:r>
    </w:p>
    <w:p w:rsidR="00852816" w:rsidRPr="00707C84" w:rsidRDefault="00852816" w:rsidP="00915DD6">
      <w:pPr>
        <w:pStyle w:val="Prrafodelista"/>
        <w:numPr>
          <w:ilvl w:val="0"/>
          <w:numId w:val="7"/>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b/>
          <w:i/>
          <w:color w:val="000000" w:themeColor="text1"/>
        </w:rPr>
      </w:pPr>
      <w:r w:rsidRPr="00707C84">
        <w:rPr>
          <w:rFonts w:ascii="Palatino Linotype" w:hAnsi="Palatino Linotype"/>
          <w:i/>
          <w:color w:val="000000" w:themeColor="text1"/>
        </w:rPr>
        <w:t>Proponer programas y acciones de apoyo y fomento comercial, industrial, de prestación de servicios, agropecuaria, minera y forestal que contribuyan al 28 desarrollo y al incremento sostenido de las actividades económicas del Municipio, congruentes con los planes de Desarrollo Estatal y Municipal.</w:t>
      </w:r>
    </w:p>
    <w:p w:rsidR="00852816" w:rsidRPr="00707C84" w:rsidRDefault="00852816" w:rsidP="00915DD6">
      <w:pPr>
        <w:pStyle w:val="Prrafodelista"/>
        <w:pBdr>
          <w:top w:val="nil"/>
          <w:left w:val="nil"/>
          <w:bottom w:val="nil"/>
          <w:right w:val="nil"/>
          <w:between w:val="nil"/>
        </w:pBdr>
        <w:tabs>
          <w:tab w:val="left" w:pos="284"/>
          <w:tab w:val="left" w:pos="567"/>
        </w:tabs>
        <w:spacing w:line="360" w:lineRule="auto"/>
        <w:ind w:left="0"/>
        <w:jc w:val="both"/>
        <w:rPr>
          <w:rFonts w:ascii="Palatino Linotype" w:eastAsia="Palatino Linotype" w:hAnsi="Palatino Linotype" w:cs="Palatino Linotype"/>
          <w:b/>
          <w:i/>
          <w:color w:val="000000" w:themeColor="text1"/>
        </w:rPr>
      </w:pPr>
      <w:r w:rsidRPr="00707C84">
        <w:rPr>
          <w:rFonts w:ascii="Palatino Linotype" w:hAnsi="Palatino Linotype"/>
          <w:i/>
          <w:color w:val="000000" w:themeColor="text1"/>
        </w:rPr>
        <w:t>…</w:t>
      </w:r>
    </w:p>
    <w:p w:rsidR="00DB72E1" w:rsidRPr="00707C84" w:rsidRDefault="00DB72E1" w:rsidP="00915DD6">
      <w:pPr>
        <w:pStyle w:val="Prrafodelista"/>
        <w:numPr>
          <w:ilvl w:val="0"/>
          <w:numId w:val="7"/>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i/>
          <w:color w:val="000000" w:themeColor="text1"/>
        </w:rPr>
      </w:pPr>
      <w:r w:rsidRPr="00707C84">
        <w:rPr>
          <w:rFonts w:ascii="Palatino Linotype" w:eastAsia="Palatino Linotype" w:hAnsi="Palatino Linotype" w:cs="Palatino Linotype"/>
          <w:i/>
          <w:color w:val="000000" w:themeColor="text1"/>
        </w:rPr>
        <w:t>E</w:t>
      </w:r>
      <w:r w:rsidR="00852816" w:rsidRPr="00707C84">
        <w:rPr>
          <w:rFonts w:ascii="Palatino Linotype" w:eastAsia="Palatino Linotype" w:hAnsi="Palatino Linotype" w:cs="Palatino Linotype"/>
          <w:i/>
          <w:color w:val="000000" w:themeColor="text1"/>
        </w:rPr>
        <w:t xml:space="preserve">n conjunto con el Presidente Municipal y el Secretario del H. Ayuntamiento, firmar las licencias de funcionamiento, permisos y autorizaciones para actividades comerciales, industriales y de prestación de servicios que operen en el territorio municipal, así como su modificación o suspensión. </w:t>
      </w:r>
    </w:p>
    <w:p w:rsidR="00DB72E1" w:rsidRPr="00707C84" w:rsidRDefault="00852816" w:rsidP="00915DD6">
      <w:pPr>
        <w:pStyle w:val="Prrafodelista"/>
        <w:numPr>
          <w:ilvl w:val="0"/>
          <w:numId w:val="7"/>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i/>
          <w:color w:val="000000" w:themeColor="text1"/>
        </w:rPr>
      </w:pPr>
      <w:r w:rsidRPr="00707C84">
        <w:rPr>
          <w:rFonts w:ascii="Palatino Linotype" w:eastAsia="Palatino Linotype" w:hAnsi="Palatino Linotype" w:cs="Palatino Linotype"/>
          <w:i/>
          <w:color w:val="000000" w:themeColor="text1"/>
        </w:rPr>
        <w:t xml:space="preserve">Autorizar permisos para comercialización en vías y áreas públicas, así como para la instalación de anuncios publicitarios. </w:t>
      </w:r>
    </w:p>
    <w:p w:rsidR="00852816" w:rsidRPr="00707C84" w:rsidRDefault="00852816" w:rsidP="00915DD6">
      <w:pPr>
        <w:pStyle w:val="Prrafodelista"/>
        <w:numPr>
          <w:ilvl w:val="0"/>
          <w:numId w:val="7"/>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i/>
          <w:color w:val="000000" w:themeColor="text1"/>
        </w:rPr>
      </w:pPr>
      <w:r w:rsidRPr="00707C84">
        <w:rPr>
          <w:rFonts w:ascii="Palatino Linotype" w:eastAsia="Palatino Linotype" w:hAnsi="Palatino Linotype" w:cs="Palatino Linotype"/>
          <w:i/>
          <w:color w:val="000000" w:themeColor="text1"/>
        </w:rPr>
        <w:t>Expedir la autorización para espectáculos públicos.</w:t>
      </w:r>
    </w:p>
    <w:p w:rsidR="00DB72E1" w:rsidRPr="00707C84" w:rsidRDefault="00DB72E1" w:rsidP="00915DD6">
      <w:pPr>
        <w:pStyle w:val="Prrafodelista"/>
        <w:pBdr>
          <w:top w:val="nil"/>
          <w:left w:val="nil"/>
          <w:bottom w:val="nil"/>
          <w:right w:val="nil"/>
          <w:between w:val="nil"/>
        </w:pBdr>
        <w:tabs>
          <w:tab w:val="left" w:pos="284"/>
          <w:tab w:val="left" w:pos="567"/>
        </w:tabs>
        <w:spacing w:line="360" w:lineRule="auto"/>
        <w:ind w:left="0"/>
        <w:jc w:val="both"/>
        <w:rPr>
          <w:rFonts w:ascii="Palatino Linotype" w:eastAsia="Palatino Linotype" w:hAnsi="Palatino Linotype" w:cs="Palatino Linotype"/>
          <w:i/>
          <w:color w:val="000000" w:themeColor="text1"/>
        </w:rPr>
      </w:pPr>
      <w:r w:rsidRPr="00707C84">
        <w:rPr>
          <w:rFonts w:ascii="Palatino Linotype" w:eastAsia="Palatino Linotype" w:hAnsi="Palatino Linotype" w:cs="Palatino Linotype"/>
          <w:i/>
          <w:color w:val="000000" w:themeColor="text1"/>
        </w:rPr>
        <w:t>…</w:t>
      </w:r>
    </w:p>
    <w:p w:rsidR="00DB72E1" w:rsidRPr="00707C84" w:rsidRDefault="00DB72E1" w:rsidP="00915DD6">
      <w:pPr>
        <w:pStyle w:val="Prrafodelista"/>
        <w:numPr>
          <w:ilvl w:val="0"/>
          <w:numId w:val="7"/>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i/>
          <w:color w:val="000000" w:themeColor="text1"/>
        </w:rPr>
      </w:pPr>
      <w:r w:rsidRPr="00707C84">
        <w:rPr>
          <w:rFonts w:ascii="Palatino Linotype" w:eastAsia="Palatino Linotype" w:hAnsi="Palatino Linotype" w:cs="Palatino Linotype"/>
          <w:i/>
          <w:color w:val="000000" w:themeColor="text1"/>
        </w:rPr>
        <w:t>Ordenar visitas de inspección y supervisión a establecimientos comerciales, industriales, de prestación de servicios, agropecuario, minero, forestal, diversiones, juegos y espectáculos públicos, mercados, tianguis, puestos fijos o semifijos, así como toda ocupación y uso de la vía pública, para verificar el cumplimiento de las disposiciones del Bando Municipal, reglamentos, circulares, acuerdos y demás ordenamientos normativos emanados del H. Ayuntamiento, del Estado o la Federación que sean de su competencia en los términos del presente reglamento.</w:t>
      </w:r>
    </w:p>
    <w:p w:rsidR="00DB72E1" w:rsidRPr="00707C84" w:rsidRDefault="00DB72E1" w:rsidP="00915DD6">
      <w:pPr>
        <w:pStyle w:val="Prrafodelista"/>
        <w:pBdr>
          <w:top w:val="nil"/>
          <w:left w:val="nil"/>
          <w:bottom w:val="nil"/>
          <w:right w:val="nil"/>
          <w:between w:val="nil"/>
        </w:pBdr>
        <w:tabs>
          <w:tab w:val="left" w:pos="284"/>
          <w:tab w:val="left" w:pos="567"/>
        </w:tabs>
        <w:spacing w:line="360" w:lineRule="auto"/>
        <w:ind w:left="0"/>
        <w:jc w:val="both"/>
        <w:rPr>
          <w:rFonts w:ascii="Palatino Linotype" w:eastAsia="Palatino Linotype" w:hAnsi="Palatino Linotype" w:cs="Palatino Linotype"/>
          <w:b/>
          <w:i/>
          <w:color w:val="000000" w:themeColor="text1"/>
        </w:rPr>
      </w:pPr>
      <w:r w:rsidRPr="00707C84">
        <w:rPr>
          <w:rFonts w:ascii="Palatino Linotype" w:eastAsia="Palatino Linotype" w:hAnsi="Palatino Linotype" w:cs="Palatino Linotype"/>
          <w:b/>
          <w:i/>
          <w:color w:val="000000" w:themeColor="text1"/>
        </w:rPr>
        <w:t>…</w:t>
      </w:r>
    </w:p>
    <w:p w:rsidR="00DB72E1" w:rsidRPr="00707C84" w:rsidRDefault="00DB72E1" w:rsidP="00915DD6">
      <w:pPr>
        <w:pStyle w:val="Prrafodelista"/>
        <w:numPr>
          <w:ilvl w:val="0"/>
          <w:numId w:val="7"/>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b/>
          <w:i/>
          <w:color w:val="000000" w:themeColor="text1"/>
        </w:rPr>
      </w:pPr>
      <w:r w:rsidRPr="00707C84">
        <w:rPr>
          <w:rFonts w:ascii="Palatino Linotype" w:hAnsi="Palatino Linotype"/>
          <w:i/>
          <w:color w:val="000000" w:themeColor="text1"/>
        </w:rPr>
        <w:lastRenderedPageBreak/>
        <w:t>Ordenar, sustanciar y resolver los procedimientos administrativos en términos del Código de Podrecimientos Administrativos del Estado de México, tendientes a la cancelación de licencias de funcionamiento, cancelación de permisos temporales de espectáculos públicos y permisos provisionales de ocupación de vías y áreas públicas, así como para calificar e imponer sanciones administrativas por infracción a las disposiciones reglamentarias municipales.</w:t>
      </w:r>
    </w:p>
    <w:p w:rsidR="00DB72E1" w:rsidRPr="00707C84" w:rsidRDefault="00DB72E1" w:rsidP="00707C84">
      <w:pPr>
        <w:pStyle w:val="Prrafodelista"/>
        <w:pBdr>
          <w:top w:val="nil"/>
          <w:left w:val="nil"/>
          <w:bottom w:val="nil"/>
          <w:right w:val="nil"/>
          <w:between w:val="nil"/>
        </w:pBdr>
        <w:tabs>
          <w:tab w:val="left" w:pos="284"/>
          <w:tab w:val="left" w:pos="567"/>
        </w:tabs>
        <w:spacing w:line="360" w:lineRule="auto"/>
        <w:ind w:left="0"/>
        <w:jc w:val="both"/>
        <w:rPr>
          <w:rFonts w:ascii="Palatino Linotype" w:eastAsia="Palatino Linotype" w:hAnsi="Palatino Linotype" w:cs="Palatino Linotype"/>
          <w:b/>
          <w:i/>
          <w:color w:val="000000" w:themeColor="text1"/>
        </w:rPr>
      </w:pPr>
      <w:r w:rsidRPr="00707C84">
        <w:rPr>
          <w:rFonts w:ascii="Palatino Linotype" w:hAnsi="Palatino Linotype"/>
          <w:i/>
          <w:color w:val="000000" w:themeColor="text1"/>
        </w:rPr>
        <w:t>…”</w:t>
      </w:r>
    </w:p>
    <w:p w:rsidR="00DB72E1" w:rsidRPr="00707C84" w:rsidRDefault="00DB72E1" w:rsidP="00707C84">
      <w:pPr>
        <w:pStyle w:val="Prrafodelista"/>
        <w:pBdr>
          <w:top w:val="nil"/>
          <w:left w:val="nil"/>
          <w:bottom w:val="nil"/>
          <w:right w:val="nil"/>
          <w:between w:val="nil"/>
        </w:pBdr>
        <w:tabs>
          <w:tab w:val="left" w:pos="284"/>
          <w:tab w:val="left" w:pos="567"/>
        </w:tabs>
        <w:spacing w:line="360" w:lineRule="auto"/>
        <w:ind w:left="0"/>
        <w:jc w:val="both"/>
        <w:rPr>
          <w:rFonts w:ascii="Palatino Linotype" w:eastAsia="Palatino Linotype" w:hAnsi="Palatino Linotype" w:cs="Palatino Linotype"/>
          <w:b/>
          <w:color w:val="000000" w:themeColor="text1"/>
        </w:rPr>
      </w:pPr>
    </w:p>
    <w:p w:rsidR="00250315" w:rsidRPr="00707C84" w:rsidRDefault="004122B4" w:rsidP="00707C84">
      <w:pPr>
        <w:numPr>
          <w:ilvl w:val="0"/>
          <w:numId w:val="2"/>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color w:val="000000" w:themeColor="text1"/>
        </w:rPr>
      </w:pPr>
      <w:r w:rsidRPr="00707C84">
        <w:rPr>
          <w:rFonts w:ascii="Palatino Linotype" w:eastAsia="Palatino Linotype" w:hAnsi="Palatino Linotype" w:cs="Palatino Linotype"/>
          <w:color w:val="000000" w:themeColor="text1"/>
        </w:rPr>
        <w:t>Como se puede observar de la legislación en cita, se advierte que la Dirección de Desarrollo y Fomento Económico tiene facultades para establecer lineamientos de regulación relativos a la autorización de licencias de funcionamiento o permisos, por su parte, el Reglamento Interior de la Dirección, establece en su artículo 12 fracción III, que correspo</w:t>
      </w:r>
      <w:r w:rsidR="00160C87" w:rsidRPr="00707C84">
        <w:rPr>
          <w:rFonts w:ascii="Palatino Linotype" w:eastAsia="Palatino Linotype" w:hAnsi="Palatino Linotype" w:cs="Palatino Linotype"/>
          <w:color w:val="000000" w:themeColor="text1"/>
        </w:rPr>
        <w:t>nde a los Jefes de Área, Coordinadores y Responsables de las Unidades Administrativas de la Dirección de Desarrollo y Fomento Económico, elaborar los dictámenes, opiniones, estudios e informes que le sean solicitados por la Dirección, o en su caso, por la Coordinación Jurídica y el Centro de Atención Empresarial, necesarios para la integración de expedientes de licencias de funcionamiento, permisos provisionales, temporales, de ocupación de vías públicas municipales, de fomento económico, agropecuario y de fomento o capacitación para el empleo.</w:t>
      </w:r>
    </w:p>
    <w:p w:rsidR="00250315" w:rsidRPr="00707C84" w:rsidRDefault="00250315" w:rsidP="00707C84">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p>
    <w:p w:rsidR="00250315" w:rsidRPr="00707C84" w:rsidRDefault="00F65C02" w:rsidP="00707C84">
      <w:pPr>
        <w:numPr>
          <w:ilvl w:val="0"/>
          <w:numId w:val="2"/>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color w:val="000000" w:themeColor="text1"/>
        </w:rPr>
      </w:pPr>
      <w:r w:rsidRPr="00707C84">
        <w:rPr>
          <w:rFonts w:ascii="Palatino Linotype" w:eastAsia="Palatino Linotype" w:hAnsi="Palatino Linotype" w:cs="Palatino Linotype"/>
          <w:color w:val="000000" w:themeColor="text1"/>
        </w:rPr>
        <w:t xml:space="preserve">Por lo anteriormente señalado, se advierte que la solicitud se turnó a el área que de acuerdo a sus facultades genera, posee y administra la información solicitada, es decir, que se advierte que se dio cumplimiento al proceso de búsqueda establecido en la legislación aplicable, por ello, resulta procedente ordenar una búsqueda exhaustiva en los archivos del Sujeto Obligado, en aras de garantizar el derecho de acceso a la información del Recurrente. </w:t>
      </w:r>
    </w:p>
    <w:p w:rsidR="00B26AF6" w:rsidRPr="00707C84" w:rsidRDefault="00B26AF6" w:rsidP="00707C84">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p>
    <w:p w:rsidR="00B26AF6" w:rsidRPr="00707C84" w:rsidRDefault="00B26AF6" w:rsidP="00707C84">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707C84">
        <w:rPr>
          <w:rFonts w:ascii="Palatino Linotype" w:eastAsiaTheme="minorEastAsia" w:hAnsi="Palatino Linotype" w:cstheme="minorBidi"/>
          <w:color w:val="000000" w:themeColor="text1"/>
        </w:rPr>
        <w:lastRenderedPageBreak/>
        <w:t>Establecido lo anterior</w:t>
      </w:r>
      <w:r w:rsidRPr="00707C84">
        <w:rPr>
          <w:rFonts w:ascii="Palatino Linotype" w:eastAsia="MS Mincho" w:hAnsi="Palatino Linotype" w:cs="Arial"/>
          <w:color w:val="000000" w:themeColor="text1"/>
          <w:lang w:val="es-ES_tradnl"/>
        </w:rPr>
        <w:t xml:space="preserve">, conviene señalar que el derecho de acceso a la información pública consiste en el </w:t>
      </w:r>
      <w:r w:rsidRPr="00707C84">
        <w:rPr>
          <w:rFonts w:ascii="Palatino Linotype" w:eastAsia="MS Mincho" w:hAnsi="Palatino Linotype" w:cs="Arial"/>
          <w:b/>
          <w:color w:val="000000" w:themeColor="text1"/>
          <w:lang w:val="es-ES_tradnl"/>
        </w:rPr>
        <w:t>acceso a documentos</w:t>
      </w:r>
      <w:r w:rsidRPr="00707C84">
        <w:rPr>
          <w:rFonts w:ascii="Palatino Linotype" w:eastAsia="MS Mincho" w:hAnsi="Palatino Linotype" w:cs="Arial"/>
          <w:color w:val="000000" w:themeColor="text1"/>
          <w:lang w:val="es-ES_tradnl"/>
        </w:rPr>
        <w:t xml:space="preserve"> generados, poseídos o administrados por la autoridad, en ejercicio de sus funciones, con antelación a que fuera presentada la solicitud de acceso a la información pública.</w:t>
      </w:r>
      <w:r w:rsidRPr="00707C84">
        <w:rPr>
          <w:rFonts w:ascii="Palatino Linotype" w:eastAsia="Palatino Linotype" w:hAnsi="Palatino Linotype" w:cs="Palatino Linotype"/>
          <w:color w:val="000000" w:themeColor="text1"/>
        </w:rPr>
        <w:t xml:space="preserve"> </w:t>
      </w:r>
      <w:r w:rsidRPr="00707C84">
        <w:rPr>
          <w:rFonts w:ascii="Palatino Linotype" w:eastAsia="MS Mincho" w:hAnsi="Palatino Linotype" w:cs="Arial"/>
          <w:color w:val="000000" w:themeColor="text1"/>
          <w:lang w:val="es-ES_tradnl"/>
        </w:rPr>
        <w:t xml:space="preserve">Así, el </w:t>
      </w:r>
      <w:r w:rsidRPr="00707C84">
        <w:rPr>
          <w:rFonts w:ascii="Palatino Linotype" w:eastAsia="MS Mincho" w:hAnsi="Palatino Linotype" w:cs="Arial"/>
          <w:color w:val="000000" w:themeColor="text1"/>
        </w:rPr>
        <w:t>Criterio</w:t>
      </w:r>
      <w:r w:rsidRPr="00707C84">
        <w:rPr>
          <w:rFonts w:ascii="Palatino Linotype" w:eastAsia="MS Mincho" w:hAnsi="Palatino Linotype" w:cs="Arial"/>
          <w:color w:val="000000" w:themeColor="text1"/>
          <w:lang w:val="es-ES_tradnl"/>
        </w:rPr>
        <w:t xml:space="preserve"> </w:t>
      </w:r>
      <w:r w:rsidRPr="00707C84">
        <w:rPr>
          <w:rFonts w:ascii="Palatino Linotype" w:eastAsia="MS Mincho" w:hAnsi="Palatino Linotype" w:cs="Arial"/>
          <w:color w:val="000000" w:themeColor="text1"/>
        </w:rPr>
        <w:t>028-10</w:t>
      </w:r>
      <w:r w:rsidRPr="00707C84">
        <w:rPr>
          <w:rFonts w:ascii="Palatino Linotype" w:eastAsia="MS Mincho" w:hAnsi="Palatino Linotype" w:cs="Arial"/>
          <w:color w:val="000000" w:themeColor="text1"/>
          <w:lang w:val="es-ES_tradnl"/>
        </w:rPr>
        <w:t xml:space="preserve"> </w:t>
      </w:r>
      <w:r w:rsidRPr="00707C84">
        <w:rPr>
          <w:rFonts w:ascii="Palatino Linotype" w:eastAsia="MS Mincho" w:hAnsi="Palatino Linotype" w:cs="Arial"/>
          <w:color w:val="000000" w:themeColor="text1"/>
        </w:rPr>
        <w:t>emitido por</w:t>
      </w:r>
      <w:r w:rsidRPr="00707C84">
        <w:rPr>
          <w:rFonts w:ascii="Palatino Linotype" w:eastAsia="MS Mincho" w:hAnsi="Palatino Linotype" w:cs="Arial"/>
          <w:color w:val="000000" w:themeColor="text1"/>
          <w:lang w:val="es-ES_tradnl"/>
        </w:rPr>
        <w:t xml:space="preserve"> el Pleno del entonces llamado </w:t>
      </w:r>
      <w:r w:rsidRPr="00707C84">
        <w:rPr>
          <w:rFonts w:ascii="Palatino Linotype" w:eastAsia="MS Mincho" w:hAnsi="Palatino Linotype" w:cs="Arial"/>
          <w:color w:val="000000" w:themeColor="text1"/>
        </w:rPr>
        <w:t>Instituto Federal de Acceso a la Información y Protección de Datos, est</w:t>
      </w:r>
      <w:r w:rsidRPr="00707C84">
        <w:rPr>
          <w:rFonts w:ascii="Palatino Linotype" w:eastAsia="MS Mincho" w:hAnsi="Palatino Linotype" w:cs="Arial"/>
          <w:color w:val="000000" w:themeColor="text1"/>
          <w:lang w:val="es-ES_tradnl"/>
        </w:rPr>
        <w:t xml:space="preserve">ablece que se deberá garantizar </w:t>
      </w:r>
      <w:r w:rsidRPr="00707C84">
        <w:rPr>
          <w:rFonts w:ascii="Palatino Linotype" w:eastAsia="MS Mincho" w:hAnsi="Palatino Linotype" w:cs="Arial"/>
          <w:color w:val="000000" w:themeColor="text1"/>
        </w:rPr>
        <w:t xml:space="preserve">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y lo anterior sin importar que </w:t>
      </w:r>
      <w:r w:rsidRPr="00707C84">
        <w:rPr>
          <w:rFonts w:ascii="Palatino Linotype" w:eastAsia="MS Mincho" w:hAnsi="Palatino Linotype" w:cs="Arial"/>
          <w:color w:val="000000" w:themeColor="text1"/>
          <w:lang w:val="es-ES_tradnl"/>
        </w:rPr>
        <w:t xml:space="preserve"> </w:t>
      </w:r>
      <w:r w:rsidRPr="00707C84">
        <w:rPr>
          <w:rFonts w:ascii="Palatino Linotype" w:eastAsia="MS Mincho" w:hAnsi="Palatino Linotype" w:cs="Arial"/>
          <w:color w:val="000000" w:themeColor="text1"/>
        </w:rPr>
        <w:t>particular lleve a cabo una solicitud de información sin identificar de forma precisa la do</w:t>
      </w:r>
      <w:r w:rsidRPr="00707C84">
        <w:rPr>
          <w:rFonts w:ascii="Palatino Linotype" w:eastAsia="MS Mincho" w:hAnsi="Palatino Linotype" w:cs="Arial"/>
          <w:color w:val="000000" w:themeColor="text1"/>
          <w:lang w:val="es-ES_tradnl"/>
        </w:rPr>
        <w:t xml:space="preserve">cumentación a la que requiere acceso, como a continuación se observa: </w:t>
      </w:r>
    </w:p>
    <w:p w:rsidR="00B26AF6" w:rsidRPr="00707C84" w:rsidRDefault="00B26AF6" w:rsidP="00707C84">
      <w:pPr>
        <w:spacing w:before="240" w:after="360" w:line="360" w:lineRule="auto"/>
        <w:contextualSpacing/>
        <w:jc w:val="both"/>
        <w:rPr>
          <w:rFonts w:ascii="Palatino Linotype" w:eastAsia="MS Mincho" w:hAnsi="Palatino Linotype" w:cs="Arial"/>
          <w:i/>
          <w:iCs/>
          <w:color w:val="000000" w:themeColor="text1"/>
          <w:lang w:val="es-ES_tradnl"/>
        </w:rPr>
      </w:pPr>
      <w:r w:rsidRPr="00707C84">
        <w:rPr>
          <w:rFonts w:ascii="Palatino Linotype" w:eastAsia="MS Mincho" w:hAnsi="Palatino Linotype" w:cs="Arial"/>
          <w:b/>
          <w:bCs/>
          <w:i/>
          <w:iCs/>
          <w:color w:val="000000" w:themeColor="text1"/>
          <w:lang w:val="es-ES_tradnl"/>
        </w:rPr>
        <w:t>“Cuando en una solicitud de información no se identifique un documento en específico, si ésta tiene una expresión documental, el sujeto obligado deberá entregar al particular el documento en específico.</w:t>
      </w:r>
      <w:r w:rsidRPr="00707C84">
        <w:rPr>
          <w:rFonts w:ascii="Palatino Linotype" w:eastAsia="MS Mincho" w:hAnsi="Palatino Linotype" w:cs="Arial"/>
          <w:i/>
          <w:iCs/>
          <w:color w:val="000000" w:themeColor="text1"/>
          <w:lang w:val="es-ES_tradnl"/>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B26AF6" w:rsidRPr="00707C84" w:rsidRDefault="00B26AF6" w:rsidP="00707C84">
      <w:pPr>
        <w:numPr>
          <w:ilvl w:val="0"/>
          <w:numId w:val="2"/>
        </w:numPr>
        <w:spacing w:before="240" w:after="360" w:line="360" w:lineRule="auto"/>
        <w:ind w:left="0" w:firstLine="0"/>
        <w:contextualSpacing/>
        <w:jc w:val="both"/>
        <w:rPr>
          <w:rFonts w:ascii="Palatino Linotype" w:eastAsia="MS Mincho" w:hAnsi="Palatino Linotype" w:cs="Arial"/>
          <w:color w:val="000000" w:themeColor="text1"/>
          <w:lang w:val="es-ES_tradnl"/>
        </w:rPr>
      </w:pPr>
      <w:r w:rsidRPr="00707C84">
        <w:rPr>
          <w:rFonts w:ascii="Palatino Linotype" w:eastAsia="MS Mincho" w:hAnsi="Palatino Linotype" w:cs="Arial"/>
          <w:color w:val="000000" w:themeColor="text1"/>
        </w:rPr>
        <w:lastRenderedPageBreak/>
        <w:t xml:space="preserve">Robustece lo anterior </w:t>
      </w:r>
      <w:r w:rsidRPr="00707C84">
        <w:rPr>
          <w:rFonts w:ascii="Palatino Linotype" w:eastAsia="MS Mincho" w:hAnsi="Palatino Linotype" w:cs="Arial"/>
          <w:color w:val="000000" w:themeColor="text1"/>
          <w:lang w:val="es-ES_tradnl"/>
        </w:rPr>
        <w:t>el criterio orientador 16/17 emitido de igual forma por el Instituto Nacional de Transparencia, Acceso a la Información y Protección de Datos Personales que a la literalidad prevé:</w:t>
      </w:r>
    </w:p>
    <w:p w:rsidR="00B26AF6" w:rsidRPr="00707C84" w:rsidRDefault="00B26AF6" w:rsidP="00707C84">
      <w:pPr>
        <w:spacing w:before="240" w:after="360" w:line="360" w:lineRule="auto"/>
        <w:contextualSpacing/>
        <w:jc w:val="both"/>
        <w:rPr>
          <w:rFonts w:ascii="Palatino Linotype" w:eastAsia="MS Mincho" w:hAnsi="Palatino Linotype" w:cs="Arial"/>
          <w:i/>
          <w:color w:val="000000" w:themeColor="text1"/>
          <w:lang w:val="es-ES_tradnl"/>
        </w:rPr>
      </w:pPr>
      <w:r w:rsidRPr="00707C84">
        <w:rPr>
          <w:rFonts w:ascii="Palatino Linotype" w:eastAsia="MS Mincho" w:hAnsi="Palatino Linotype" w:cs="Arial"/>
          <w:b/>
          <w:i/>
          <w:color w:val="000000" w:themeColor="text1"/>
          <w:lang w:val="es-ES_tradnl"/>
        </w:rPr>
        <w:t>“Expresión documental</w:t>
      </w:r>
      <w:r w:rsidRPr="00707C84">
        <w:rPr>
          <w:rFonts w:ascii="Palatino Linotype" w:eastAsia="MS Mincho" w:hAnsi="Palatino Linotype" w:cs="Arial"/>
          <w:i/>
          <w:color w:val="000000" w:themeColor="text1"/>
          <w:lang w:val="es-ES_tradnl"/>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B26AF6" w:rsidRPr="00707C84" w:rsidRDefault="00B26AF6" w:rsidP="00707C84">
      <w:pPr>
        <w:spacing w:before="240" w:after="360" w:line="360" w:lineRule="auto"/>
        <w:contextualSpacing/>
        <w:jc w:val="both"/>
        <w:rPr>
          <w:rFonts w:ascii="Palatino Linotype" w:eastAsia="MS Mincho" w:hAnsi="Palatino Linotype" w:cs="Arial"/>
          <w:i/>
          <w:color w:val="000000" w:themeColor="text1"/>
          <w:lang w:val="es-ES_tradnl"/>
        </w:rPr>
      </w:pPr>
    </w:p>
    <w:p w:rsidR="00B26AF6" w:rsidRPr="00707C84" w:rsidRDefault="00B26AF6" w:rsidP="00707C84">
      <w:pPr>
        <w:spacing w:before="240" w:after="360" w:line="360" w:lineRule="auto"/>
        <w:contextualSpacing/>
        <w:jc w:val="both"/>
        <w:rPr>
          <w:rFonts w:ascii="Palatino Linotype" w:eastAsia="MS Mincho" w:hAnsi="Palatino Linotype" w:cs="Arial"/>
          <w:i/>
          <w:color w:val="000000" w:themeColor="text1"/>
          <w:lang w:val="es-ES_tradnl"/>
        </w:rPr>
      </w:pPr>
      <w:r w:rsidRPr="00707C84">
        <w:rPr>
          <w:rFonts w:ascii="Palatino Linotype" w:eastAsia="MS Mincho" w:hAnsi="Palatino Linotype" w:cs="Arial"/>
          <w:i/>
          <w:color w:val="000000" w:themeColor="text1"/>
          <w:lang w:val="es-ES_tradnl"/>
        </w:rPr>
        <w:t>Resoluciones:</w:t>
      </w:r>
    </w:p>
    <w:p w:rsidR="00B26AF6" w:rsidRPr="00707C84" w:rsidRDefault="00B26AF6" w:rsidP="00707C84">
      <w:pPr>
        <w:spacing w:before="240" w:after="360" w:line="360" w:lineRule="auto"/>
        <w:contextualSpacing/>
        <w:jc w:val="both"/>
        <w:rPr>
          <w:rFonts w:ascii="Palatino Linotype" w:eastAsia="MS Mincho" w:hAnsi="Palatino Linotype" w:cs="Arial"/>
          <w:i/>
          <w:color w:val="000000" w:themeColor="text1"/>
          <w:lang w:val="es-ES_tradnl"/>
        </w:rPr>
      </w:pPr>
    </w:p>
    <w:p w:rsidR="00B26AF6" w:rsidRPr="00707C84" w:rsidRDefault="00B26AF6" w:rsidP="00707C84">
      <w:pPr>
        <w:spacing w:before="240" w:after="360" w:line="360" w:lineRule="auto"/>
        <w:contextualSpacing/>
        <w:jc w:val="both"/>
        <w:rPr>
          <w:rFonts w:ascii="Palatino Linotype" w:eastAsia="MS Mincho" w:hAnsi="Palatino Linotype" w:cs="Arial"/>
          <w:i/>
          <w:color w:val="000000" w:themeColor="text1"/>
          <w:lang w:val="es-ES_tradnl"/>
        </w:rPr>
      </w:pPr>
      <w:r w:rsidRPr="00707C84">
        <w:rPr>
          <w:rFonts w:ascii="Palatino Linotype" w:eastAsia="MS Mincho" w:hAnsi="Palatino Linotype" w:cs="Arial"/>
          <w:i/>
          <w:color w:val="000000" w:themeColor="text1"/>
          <w:lang w:val="es-ES_tradnl"/>
        </w:rPr>
        <w:t>•</w:t>
      </w:r>
      <w:r w:rsidRPr="00707C84">
        <w:rPr>
          <w:rFonts w:ascii="Palatino Linotype" w:eastAsia="MS Mincho" w:hAnsi="Palatino Linotype" w:cs="Arial"/>
          <w:i/>
          <w:color w:val="000000" w:themeColor="text1"/>
          <w:lang w:val="es-ES_tradnl"/>
        </w:rPr>
        <w:tab/>
        <w:t>RRA 0774/16. Secretaría de Salud. 31 de agosto de 2016. Por unanimidad. Comisionada Ponente María Patricia Kurczyn Villalobos.</w:t>
      </w:r>
    </w:p>
    <w:p w:rsidR="00B26AF6" w:rsidRPr="00707C84" w:rsidRDefault="00B26AF6" w:rsidP="00707C84">
      <w:pPr>
        <w:spacing w:before="240" w:after="360" w:line="360" w:lineRule="auto"/>
        <w:contextualSpacing/>
        <w:jc w:val="both"/>
        <w:rPr>
          <w:rFonts w:ascii="Palatino Linotype" w:eastAsia="MS Mincho" w:hAnsi="Palatino Linotype" w:cs="Arial"/>
          <w:i/>
          <w:color w:val="000000" w:themeColor="text1"/>
          <w:lang w:val="es-ES_tradnl"/>
        </w:rPr>
      </w:pPr>
      <w:r w:rsidRPr="00707C84">
        <w:rPr>
          <w:rFonts w:ascii="Palatino Linotype" w:eastAsia="MS Mincho" w:hAnsi="Palatino Linotype" w:cs="Arial"/>
          <w:i/>
          <w:color w:val="000000" w:themeColor="text1"/>
          <w:lang w:val="es-ES_tradnl"/>
        </w:rPr>
        <w:t>•</w:t>
      </w:r>
      <w:r w:rsidRPr="00707C84">
        <w:rPr>
          <w:rFonts w:ascii="Palatino Linotype" w:eastAsia="MS Mincho" w:hAnsi="Palatino Linotype" w:cs="Arial"/>
          <w:i/>
          <w:color w:val="000000" w:themeColor="text1"/>
          <w:lang w:val="es-ES_tradnl"/>
        </w:rPr>
        <w:tab/>
        <w:t xml:space="preserve">RRA 0143/17. Universidad Autónoma Agraria Antonio Narro. 22 de febrero de 2017. Por unanimidad. Comisionado Ponente Oscar Mauricio Guerra Ford. </w:t>
      </w:r>
    </w:p>
    <w:p w:rsidR="00B26AF6" w:rsidRPr="00707C84" w:rsidRDefault="00B26AF6" w:rsidP="00707C84">
      <w:pPr>
        <w:spacing w:before="240" w:after="360" w:line="360" w:lineRule="auto"/>
        <w:contextualSpacing/>
        <w:jc w:val="both"/>
        <w:rPr>
          <w:rFonts w:ascii="Palatino Linotype" w:eastAsia="MS Mincho" w:hAnsi="Palatino Linotype" w:cs="Arial"/>
          <w:i/>
          <w:color w:val="000000" w:themeColor="text1"/>
          <w:lang w:val="es-ES_tradnl"/>
        </w:rPr>
      </w:pPr>
      <w:r w:rsidRPr="00707C84">
        <w:rPr>
          <w:rFonts w:ascii="Palatino Linotype" w:eastAsia="MS Mincho" w:hAnsi="Palatino Linotype" w:cs="Arial"/>
          <w:i/>
          <w:color w:val="000000" w:themeColor="text1"/>
          <w:lang w:val="es-ES_tradnl"/>
        </w:rPr>
        <w:t>•</w:t>
      </w:r>
      <w:r w:rsidRPr="00707C84">
        <w:rPr>
          <w:rFonts w:ascii="Palatino Linotype" w:eastAsia="MS Mincho" w:hAnsi="Palatino Linotype" w:cs="Arial"/>
          <w:i/>
          <w:color w:val="000000" w:themeColor="text1"/>
          <w:lang w:val="es-ES_tradnl"/>
        </w:rPr>
        <w:tab/>
        <w:t>RRA 0540/17. Secretaría de Economía. 08 de marzo del 2017. Por unanimidad. Comisionado Ponente Francisco Javier Acuña Llamas”</w:t>
      </w:r>
    </w:p>
    <w:p w:rsidR="00B26AF6" w:rsidRPr="00707C84" w:rsidRDefault="00B26AF6" w:rsidP="00707C84">
      <w:pPr>
        <w:spacing w:before="240" w:after="360" w:line="360" w:lineRule="auto"/>
        <w:contextualSpacing/>
        <w:jc w:val="both"/>
        <w:rPr>
          <w:rFonts w:ascii="Palatino Linotype" w:eastAsia="MS Mincho" w:hAnsi="Palatino Linotype" w:cs="Arial"/>
          <w:i/>
          <w:color w:val="000000" w:themeColor="text1"/>
          <w:lang w:val="es-ES_tradnl"/>
        </w:rPr>
      </w:pPr>
    </w:p>
    <w:p w:rsidR="00B26AF6" w:rsidRPr="00707C84" w:rsidRDefault="00B26AF6" w:rsidP="00707C84">
      <w:pPr>
        <w:numPr>
          <w:ilvl w:val="0"/>
          <w:numId w:val="2"/>
        </w:numPr>
        <w:spacing w:before="240" w:after="360" w:line="360" w:lineRule="auto"/>
        <w:ind w:left="0" w:firstLine="0"/>
        <w:contextualSpacing/>
        <w:jc w:val="both"/>
        <w:rPr>
          <w:rFonts w:ascii="Palatino Linotype" w:eastAsia="MS Mincho" w:hAnsi="Palatino Linotype" w:cs="Arial"/>
          <w:i/>
          <w:color w:val="000000" w:themeColor="text1"/>
          <w:lang w:val="es-ES_tradnl"/>
        </w:rPr>
      </w:pPr>
      <w:r w:rsidRPr="00707C84">
        <w:rPr>
          <w:rFonts w:ascii="Palatino Linotype" w:eastAsia="MS Mincho" w:hAnsi="Palatino Linotype" w:cs="Arial"/>
          <w:color w:val="000000" w:themeColor="text1"/>
          <w:lang w:val="es-ES_tradnl"/>
        </w:rPr>
        <w:t>Por otro lado</w:t>
      </w:r>
      <w:r w:rsidRPr="00707C84">
        <w:rPr>
          <w:rFonts w:ascii="Palatino Linotype" w:hAnsi="Palatino Linotype" w:cs="Arial"/>
          <w:color w:val="000000" w:themeColor="text1"/>
        </w:rPr>
        <w:t xml:space="preserve">, </w:t>
      </w:r>
      <w:r w:rsidRPr="00707C84">
        <w:rPr>
          <w:rFonts w:ascii="Palatino Linotype" w:eastAsia="Calibri" w:hAnsi="Palatino Linotype"/>
          <w:color w:val="000000" w:themeColor="text1"/>
        </w:rPr>
        <w:t xml:space="preserve">adquiere relevancia el contenido del artículo 12 de la ya citada Ley de Transparencia Estatal, ya que quienes recopilen, administren, manejen, procesen, archiven o conserven información se encuentran obligados a proporcionarla en el estado en que se encuentra, como a continuación se observa:    </w:t>
      </w:r>
    </w:p>
    <w:p w:rsidR="00B26AF6" w:rsidRPr="00707C84" w:rsidRDefault="00B26AF6" w:rsidP="00707C84">
      <w:pPr>
        <w:spacing w:before="240" w:after="240" w:line="360" w:lineRule="auto"/>
        <w:contextualSpacing/>
        <w:jc w:val="both"/>
        <w:rPr>
          <w:rFonts w:ascii="Palatino Linotype" w:eastAsia="Calibri" w:hAnsi="Palatino Linotype"/>
          <w:i/>
          <w:color w:val="000000" w:themeColor="text1"/>
        </w:rPr>
      </w:pPr>
      <w:r w:rsidRPr="00707C84">
        <w:rPr>
          <w:rFonts w:ascii="Palatino Linotype" w:eastAsia="Calibri" w:hAnsi="Palatino Linotype"/>
          <w:color w:val="000000" w:themeColor="text1"/>
        </w:rPr>
        <w:t>“</w:t>
      </w:r>
      <w:r w:rsidRPr="00707C84">
        <w:rPr>
          <w:rFonts w:ascii="Palatino Linotype" w:eastAsia="Calibri" w:hAnsi="Palatino Linotype"/>
          <w:b/>
          <w:i/>
          <w:color w:val="000000" w:themeColor="text1"/>
        </w:rPr>
        <w:t>Artículo 12.</w:t>
      </w:r>
      <w:r w:rsidRPr="00707C84">
        <w:rPr>
          <w:rFonts w:ascii="Palatino Linotype" w:eastAsia="Calibri" w:hAnsi="Palatino Linotype"/>
          <w:i/>
          <w:color w:val="000000" w:themeColor="text1"/>
        </w:rPr>
        <w:t xml:space="preserve"> Quienes generen, recopilen, administren, manejen, procesen, archiven o conserven información pública serán responsables de la misma en los términos de las disposiciones jurídicas </w:t>
      </w:r>
      <w:r w:rsidRPr="00707C84">
        <w:rPr>
          <w:rFonts w:ascii="Palatino Linotype" w:eastAsia="Calibri" w:hAnsi="Palatino Linotype"/>
          <w:i/>
          <w:color w:val="000000" w:themeColor="text1"/>
        </w:rPr>
        <w:lastRenderedPageBreak/>
        <w:t>aplicables. Los sujetos obligados sólo proporcionarán la información pública que se les requiera y que obre en sus archivos y en el estado en que ésta se encuentre.</w:t>
      </w:r>
    </w:p>
    <w:p w:rsidR="00B26AF6" w:rsidRPr="00707C84" w:rsidRDefault="00B26AF6" w:rsidP="00707C84">
      <w:pPr>
        <w:spacing w:before="240" w:after="240" w:line="360" w:lineRule="auto"/>
        <w:contextualSpacing/>
        <w:jc w:val="both"/>
        <w:rPr>
          <w:rFonts w:ascii="Palatino Linotype" w:eastAsia="Calibri" w:hAnsi="Palatino Linotype"/>
          <w:i/>
          <w:color w:val="000000" w:themeColor="text1"/>
        </w:rPr>
      </w:pPr>
    </w:p>
    <w:p w:rsidR="00B26AF6" w:rsidRPr="00707C84" w:rsidRDefault="00B26AF6" w:rsidP="00707C84">
      <w:pPr>
        <w:spacing w:before="240" w:after="240" w:line="360" w:lineRule="auto"/>
        <w:contextualSpacing/>
        <w:jc w:val="both"/>
        <w:rPr>
          <w:rFonts w:ascii="Palatino Linotype" w:eastAsia="Calibri" w:hAnsi="Palatino Linotype"/>
          <w:i/>
          <w:color w:val="000000" w:themeColor="text1"/>
        </w:rPr>
      </w:pPr>
      <w:r w:rsidRPr="00707C84">
        <w:rPr>
          <w:rFonts w:ascii="Palatino Linotype" w:eastAsia="Calibri" w:hAnsi="Palatino Linotype"/>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(Sic)</w:t>
      </w:r>
    </w:p>
    <w:p w:rsidR="00B26AF6" w:rsidRPr="00707C84" w:rsidRDefault="00B26AF6" w:rsidP="00707C84">
      <w:pPr>
        <w:spacing w:before="100" w:beforeAutospacing="1" w:after="100" w:afterAutospacing="1" w:line="360" w:lineRule="auto"/>
        <w:contextualSpacing/>
        <w:jc w:val="both"/>
        <w:rPr>
          <w:rFonts w:ascii="Palatino Linotype" w:eastAsia="MS Mincho" w:hAnsi="Palatino Linotype" w:cs="Segoe UI"/>
          <w:color w:val="000000" w:themeColor="text1"/>
          <w:lang w:val="es-ES_tradnl"/>
        </w:rPr>
      </w:pPr>
    </w:p>
    <w:p w:rsidR="00B26AF6" w:rsidRPr="00707C84" w:rsidRDefault="00B26AF6" w:rsidP="00707C84">
      <w:pPr>
        <w:numPr>
          <w:ilvl w:val="0"/>
          <w:numId w:val="2"/>
        </w:numPr>
        <w:spacing w:before="240" w:after="240" w:line="360" w:lineRule="auto"/>
        <w:ind w:left="0" w:firstLine="0"/>
        <w:contextualSpacing/>
        <w:jc w:val="both"/>
        <w:rPr>
          <w:rFonts w:ascii="Palatino Linotype" w:hAnsi="Palatino Linotype" w:cs="Arial"/>
          <w:i/>
          <w:color w:val="000000" w:themeColor="text1"/>
          <w:lang w:val="es-ES_tradnl"/>
        </w:rPr>
      </w:pPr>
      <w:r w:rsidRPr="00707C84">
        <w:rPr>
          <w:rFonts w:ascii="Palatino Linotype" w:hAnsi="Palatino Linotype" w:cs="Arial"/>
          <w:color w:val="000000" w:themeColor="text1"/>
          <w:lang w:val="es-ES_tradnl"/>
        </w:rPr>
        <w:t xml:space="preserve">Es decir, el Derecho de Acceso a la Información Pública se satisface en aquellos casos en que se entregue el soporte documental en que conste la información pública, toda vez que no se tiene el deber de generar un documento </w:t>
      </w:r>
      <w:r w:rsidRPr="00707C84">
        <w:rPr>
          <w:rFonts w:ascii="Palatino Linotype" w:hAnsi="Palatino Linotype" w:cs="Arial"/>
          <w:i/>
          <w:color w:val="000000" w:themeColor="text1"/>
          <w:lang w:val="es-ES_tradnl"/>
        </w:rPr>
        <w:t>ad hoc</w:t>
      </w:r>
      <w:r w:rsidRPr="00707C84">
        <w:rPr>
          <w:rFonts w:ascii="Palatino Linotype" w:hAnsi="Palatino Linotype" w:cs="Arial"/>
          <w:color w:val="000000" w:themeColor="text1"/>
          <w:lang w:val="es-ES_tradnl"/>
        </w:rPr>
        <w:t>, para satisfacer la solicitud.</w:t>
      </w:r>
    </w:p>
    <w:p w:rsidR="00B26AF6" w:rsidRPr="00707C84" w:rsidRDefault="00B26AF6" w:rsidP="00707C84">
      <w:pPr>
        <w:spacing w:before="240" w:after="240" w:line="360" w:lineRule="auto"/>
        <w:contextualSpacing/>
        <w:jc w:val="both"/>
        <w:rPr>
          <w:rFonts w:ascii="Palatino Linotype" w:hAnsi="Palatino Linotype" w:cs="Arial"/>
          <w:color w:val="000000" w:themeColor="text1"/>
          <w:lang w:val="es-ES_tradnl"/>
        </w:rPr>
      </w:pPr>
    </w:p>
    <w:p w:rsidR="00B26AF6" w:rsidRPr="00707C84" w:rsidRDefault="00B26AF6" w:rsidP="00707C84">
      <w:pPr>
        <w:numPr>
          <w:ilvl w:val="0"/>
          <w:numId w:val="2"/>
        </w:numPr>
        <w:spacing w:before="240" w:after="240" w:line="360" w:lineRule="auto"/>
        <w:ind w:left="0" w:firstLine="0"/>
        <w:contextualSpacing/>
        <w:jc w:val="both"/>
        <w:rPr>
          <w:rFonts w:ascii="Palatino Linotype" w:hAnsi="Palatino Linotype" w:cs="Arial"/>
          <w:i/>
          <w:color w:val="000000" w:themeColor="text1"/>
          <w:lang w:val="es-ES_tradnl"/>
        </w:rPr>
      </w:pPr>
      <w:r w:rsidRPr="00707C84">
        <w:rPr>
          <w:rFonts w:ascii="Palatino Linotype" w:hAnsi="Palatino Linotype" w:cs="Arial"/>
          <w:color w:val="000000" w:themeColor="text1"/>
          <w:lang w:val="es-ES_tradnl"/>
        </w:rPr>
        <w:t xml:space="preserve">Como apoyo a lo anterior, es aplicable por analogía el Criterio 09-10, emitido por el Pleno del entonces </w:t>
      </w:r>
      <w:r w:rsidRPr="00707C84">
        <w:rPr>
          <w:rFonts w:ascii="Palatino Linotype" w:hAnsi="Palatino Linotype" w:cs="Arial"/>
          <w:bCs/>
          <w:color w:val="000000" w:themeColor="text1"/>
          <w:lang w:val="es-ES_tradnl"/>
        </w:rPr>
        <w:t>Instituto Federal de Acceso a la Información y Protección de Datos, que a la letra dice:</w:t>
      </w:r>
    </w:p>
    <w:p w:rsidR="00B26AF6" w:rsidRPr="00707C84" w:rsidRDefault="00B26AF6" w:rsidP="00707C84">
      <w:pPr>
        <w:spacing w:before="240" w:after="360" w:line="360" w:lineRule="auto"/>
        <w:contextualSpacing/>
        <w:jc w:val="both"/>
        <w:rPr>
          <w:rFonts w:ascii="Palatino Linotype" w:hAnsi="Palatino Linotype" w:cs="Arial"/>
          <w:color w:val="000000" w:themeColor="text1"/>
          <w:lang w:val="es-ES_tradnl"/>
        </w:rPr>
      </w:pPr>
      <w:r w:rsidRPr="00707C84">
        <w:rPr>
          <w:rFonts w:ascii="Palatino Linotype" w:hAnsi="Palatino Linotype" w:cs="Arial"/>
          <w:b/>
          <w:bCs/>
          <w:i/>
          <w:color w:val="000000" w:themeColor="text1"/>
          <w:lang w:val="es-ES_tradnl"/>
        </w:rPr>
        <w:t xml:space="preserve">“Las dependencias y entidades no están obligadas a generar documentos </w:t>
      </w:r>
      <w:r w:rsidRPr="00707C84">
        <w:rPr>
          <w:rFonts w:ascii="Palatino Linotype" w:hAnsi="Palatino Linotype" w:cs="Arial"/>
          <w:b/>
          <w:bCs/>
          <w:i/>
          <w:iCs/>
          <w:color w:val="000000" w:themeColor="text1"/>
          <w:lang w:val="es-ES_tradnl"/>
        </w:rPr>
        <w:t xml:space="preserve">ad hoc </w:t>
      </w:r>
      <w:r w:rsidRPr="00707C84">
        <w:rPr>
          <w:rFonts w:ascii="Palatino Linotype" w:hAnsi="Palatino Linotype" w:cs="Arial"/>
          <w:b/>
          <w:bCs/>
          <w:i/>
          <w:color w:val="000000" w:themeColor="text1"/>
          <w:lang w:val="es-ES_tradnl"/>
        </w:rPr>
        <w:t xml:space="preserve">para responder una solicitud de acceso a la información. </w:t>
      </w:r>
      <w:r w:rsidRPr="00707C84">
        <w:rPr>
          <w:rFonts w:ascii="Palatino Linotype" w:hAnsi="Palatino Linotype" w:cs="Arial"/>
          <w:i/>
          <w:color w:val="000000" w:themeColor="text1"/>
          <w:lang w:val="es-ES_tradnl"/>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w:t>
      </w:r>
      <w:r w:rsidRPr="00707C84">
        <w:rPr>
          <w:rFonts w:ascii="Palatino Linotype" w:hAnsi="Palatino Linotype" w:cs="Arial"/>
          <w:i/>
          <w:iCs/>
          <w:color w:val="000000" w:themeColor="text1"/>
          <w:lang w:val="es-ES_tradnl"/>
        </w:rPr>
        <w:t xml:space="preserve">ad hoc </w:t>
      </w:r>
      <w:r w:rsidRPr="00707C84">
        <w:rPr>
          <w:rFonts w:ascii="Palatino Linotype" w:hAnsi="Palatino Linotype" w:cs="Arial"/>
          <w:i/>
          <w:color w:val="000000" w:themeColor="text1"/>
          <w:lang w:val="es-ES_tradnl"/>
        </w:rPr>
        <w:t>para atender las solicitudes de información, sino que deben garantizar el acceso a la información con la que cuentan en el formato que la misma así lo permita o se encuentre, en aras de dar satisfacción a la solicitud presentada.</w:t>
      </w:r>
    </w:p>
    <w:p w:rsidR="00B26AF6" w:rsidRPr="00707C84" w:rsidRDefault="00B26AF6" w:rsidP="00707C84">
      <w:pPr>
        <w:spacing w:before="240" w:after="360" w:line="360" w:lineRule="auto"/>
        <w:contextualSpacing/>
        <w:jc w:val="both"/>
        <w:rPr>
          <w:rFonts w:ascii="Palatino Linotype" w:hAnsi="Palatino Linotype" w:cs="Arial"/>
          <w:i/>
          <w:color w:val="000000" w:themeColor="text1"/>
          <w:lang w:val="es-ES_tradnl"/>
        </w:rPr>
      </w:pPr>
      <w:r w:rsidRPr="00707C84">
        <w:rPr>
          <w:rFonts w:ascii="Palatino Linotype" w:hAnsi="Palatino Linotype" w:cs="Arial"/>
          <w:b/>
          <w:bCs/>
          <w:i/>
          <w:color w:val="000000" w:themeColor="text1"/>
          <w:lang w:val="es-ES_tradnl"/>
        </w:rPr>
        <w:t xml:space="preserve">Expedientes: </w:t>
      </w:r>
      <w:r w:rsidRPr="00707C84">
        <w:rPr>
          <w:rFonts w:ascii="Palatino Linotype" w:hAnsi="Palatino Linotype" w:cs="Arial"/>
          <w:i/>
          <w:color w:val="000000" w:themeColor="text1"/>
          <w:lang w:val="es-ES_tradnl"/>
        </w:rPr>
        <w:t xml:space="preserve">0438/08 Pemex Exploración y Producción – Alonso Lujambio Irazábal 1751/09 Laboratorios de Biológicos y Reactivos de México S.A. de C.V. – María Marván Laborde 2868/09 Consejo Nacional de Ciencia y Tecnología – Jacqueline Peschard Mariscal 5160/09 Secretaría de </w:t>
      </w:r>
      <w:r w:rsidRPr="00707C84">
        <w:rPr>
          <w:rFonts w:ascii="Palatino Linotype" w:hAnsi="Palatino Linotype" w:cs="Arial"/>
          <w:i/>
          <w:color w:val="000000" w:themeColor="text1"/>
          <w:lang w:val="es-ES_tradnl"/>
        </w:rPr>
        <w:lastRenderedPageBreak/>
        <w:t>Hacienda y Crédito Público – Ángel Trinidad Zaldívar 0304/10 Instituto Nacional de Cancerología – Jacqueline Peschard Mariscal” (Sic)</w:t>
      </w:r>
    </w:p>
    <w:p w:rsidR="00B26AF6" w:rsidRPr="00707C84" w:rsidRDefault="00B26AF6" w:rsidP="00707C84">
      <w:pPr>
        <w:rPr>
          <w:rFonts w:ascii="Palatino Linotype" w:hAnsi="Palatino Linotype" w:cs="Arial"/>
          <w:color w:val="000000" w:themeColor="text1"/>
        </w:rPr>
      </w:pPr>
    </w:p>
    <w:p w:rsidR="00B26AF6" w:rsidRPr="00707C84" w:rsidRDefault="00B26AF6" w:rsidP="00707C84">
      <w:pPr>
        <w:spacing w:line="360" w:lineRule="auto"/>
        <w:jc w:val="both"/>
        <w:rPr>
          <w:rFonts w:ascii="Palatino Linotype" w:eastAsia="Palatino Linotype" w:hAnsi="Palatino Linotype" w:cs="Palatino Linotype"/>
          <w:color w:val="000000" w:themeColor="text1"/>
        </w:rPr>
      </w:pPr>
    </w:p>
    <w:p w:rsidR="00B26AF6" w:rsidRPr="00707C84" w:rsidRDefault="00B26AF6" w:rsidP="00707C84">
      <w:pPr>
        <w:pStyle w:val="Prrafodelista"/>
        <w:numPr>
          <w:ilvl w:val="0"/>
          <w:numId w:val="2"/>
        </w:numPr>
        <w:spacing w:line="360" w:lineRule="auto"/>
        <w:ind w:left="0" w:firstLine="0"/>
        <w:jc w:val="both"/>
        <w:rPr>
          <w:rFonts w:ascii="Palatino Linotype" w:eastAsia="Palatino Linotype" w:hAnsi="Palatino Linotype" w:cs="Palatino Linotype"/>
          <w:b/>
          <w:color w:val="000000" w:themeColor="text1"/>
        </w:rPr>
      </w:pPr>
      <w:r w:rsidRPr="00707C84">
        <w:rPr>
          <w:rFonts w:ascii="Palatino Linotype" w:eastAsia="Palatino Linotype" w:hAnsi="Palatino Linotype" w:cs="Palatino Linotype"/>
          <w:color w:val="000000" w:themeColor="text1"/>
        </w:rPr>
        <w:t xml:space="preserve">Por lo tanto, con lo expuesto en líneas anteriores y con fundamento en el artículo 186, fracción III, de la Ley de Transparencia y Acceso a la Información Pública del Estado de México y Municipios, este Instituto considera procedente </w:t>
      </w:r>
      <w:r w:rsidRPr="00707C84">
        <w:rPr>
          <w:rFonts w:ascii="Palatino Linotype" w:eastAsia="Palatino Linotype" w:hAnsi="Palatino Linotype" w:cs="Palatino Linotype"/>
          <w:b/>
          <w:color w:val="000000" w:themeColor="text1"/>
        </w:rPr>
        <w:t xml:space="preserve">REVOCAR </w:t>
      </w:r>
      <w:r w:rsidRPr="00707C84">
        <w:rPr>
          <w:rFonts w:ascii="Palatino Linotype" w:eastAsia="Palatino Linotype" w:hAnsi="Palatino Linotype" w:cs="Palatino Linotype"/>
          <w:color w:val="000000" w:themeColor="text1"/>
        </w:rPr>
        <w:t xml:space="preserve">la respuesta otorgada por el Sujeto Obligado, y determina que es dable </w:t>
      </w:r>
      <w:r w:rsidRPr="00707C84">
        <w:rPr>
          <w:rFonts w:ascii="Palatino Linotype" w:eastAsia="Palatino Linotype" w:hAnsi="Palatino Linotype" w:cs="Palatino Linotype"/>
          <w:b/>
          <w:color w:val="000000" w:themeColor="text1"/>
        </w:rPr>
        <w:t>ORDENAR</w:t>
      </w:r>
      <w:r w:rsidRPr="00707C84">
        <w:rPr>
          <w:rFonts w:ascii="Palatino Linotype" w:eastAsia="Palatino Linotype" w:hAnsi="Palatino Linotype" w:cs="Palatino Linotype"/>
          <w:color w:val="000000" w:themeColor="text1"/>
        </w:rPr>
        <w:t>, de ser procedente en versión pública, la siguiente información:</w:t>
      </w:r>
      <w:r w:rsidRPr="00707C84">
        <w:rPr>
          <w:rFonts w:ascii="Palatino Linotype" w:eastAsia="Palatino Linotype" w:hAnsi="Palatino Linotype" w:cs="Palatino Linotype"/>
          <w:b/>
          <w:color w:val="000000" w:themeColor="text1"/>
        </w:rPr>
        <w:t xml:space="preserve"> </w:t>
      </w:r>
    </w:p>
    <w:p w:rsidR="00B26AF6" w:rsidRPr="00707C84" w:rsidRDefault="00B26AF6" w:rsidP="00915DD6">
      <w:pPr>
        <w:pStyle w:val="Prrafodelista"/>
        <w:numPr>
          <w:ilvl w:val="1"/>
          <w:numId w:val="5"/>
        </w:numPr>
        <w:spacing w:line="360" w:lineRule="auto"/>
        <w:ind w:left="0" w:firstLine="0"/>
        <w:jc w:val="both"/>
        <w:rPr>
          <w:rFonts w:ascii="Palatino Linotype" w:hAnsi="Palatino Linotype" w:cs="Arial"/>
          <w:noProof/>
          <w:color w:val="000000" w:themeColor="text1"/>
        </w:rPr>
      </w:pPr>
      <w:r w:rsidRPr="00707C84">
        <w:rPr>
          <w:rFonts w:ascii="Palatino Linotype" w:eastAsia="Palatino Linotype" w:hAnsi="Palatino Linotype" w:cs="Palatino Linotype"/>
          <w:b/>
          <w:color w:val="000000" w:themeColor="text1"/>
        </w:rPr>
        <w:t xml:space="preserve">Soporte documental donde conste </w:t>
      </w:r>
      <w:r w:rsidR="00F65C02" w:rsidRPr="00707C84">
        <w:rPr>
          <w:rFonts w:ascii="Palatino Linotype" w:eastAsia="Palatino Linotype" w:hAnsi="Palatino Linotype" w:cs="Palatino Linotype"/>
          <w:b/>
          <w:color w:val="000000" w:themeColor="text1"/>
        </w:rPr>
        <w:t xml:space="preserve">la fecha de aprobación y publicación del programa especial para otorgar licencias o permisos provisionales de funcionamiento para negocios de bajo riesgo sanitario, ambiental o de protección civil. </w:t>
      </w:r>
    </w:p>
    <w:p w:rsidR="00B26AF6" w:rsidRPr="00707C84" w:rsidRDefault="00B26AF6" w:rsidP="00707C84">
      <w:pPr>
        <w:pStyle w:val="Ttulo1"/>
        <w:rPr>
          <w:rFonts w:ascii="Palatino Linotype" w:hAnsi="Palatino Linotype"/>
          <w:b/>
          <w:color w:val="000000" w:themeColor="text1"/>
          <w:sz w:val="24"/>
          <w:szCs w:val="24"/>
          <w:lang w:val="es-ES_tradnl"/>
        </w:rPr>
      </w:pPr>
      <w:bookmarkStart w:id="6" w:name="_Toc87549682"/>
      <w:r w:rsidRPr="00707C84">
        <w:rPr>
          <w:rFonts w:ascii="Palatino Linotype" w:hAnsi="Palatino Linotype"/>
          <w:b/>
          <w:color w:val="000000" w:themeColor="text1"/>
          <w:sz w:val="24"/>
          <w:szCs w:val="24"/>
          <w:lang w:val="es-ES_tradnl"/>
        </w:rPr>
        <w:t>QUINTO. De la versión pública.</w:t>
      </w:r>
      <w:bookmarkEnd w:id="6"/>
    </w:p>
    <w:p w:rsidR="00B26AF6" w:rsidRPr="00707C84" w:rsidRDefault="00B26AF6" w:rsidP="00707C84">
      <w:pPr>
        <w:rPr>
          <w:rFonts w:ascii="Palatino Linotype" w:hAnsi="Palatino Linotype"/>
          <w:color w:val="000000" w:themeColor="text1"/>
          <w:lang w:val="es-ES_tradnl"/>
        </w:rPr>
      </w:pPr>
    </w:p>
    <w:p w:rsidR="00B26AF6" w:rsidRPr="00707C84" w:rsidRDefault="00B26AF6" w:rsidP="00707C84">
      <w:pPr>
        <w:pStyle w:val="Prrafodelista"/>
        <w:numPr>
          <w:ilvl w:val="0"/>
          <w:numId w:val="2"/>
        </w:numPr>
        <w:tabs>
          <w:tab w:val="left" w:pos="0"/>
        </w:tabs>
        <w:spacing w:line="360" w:lineRule="auto"/>
        <w:ind w:left="0" w:firstLine="0"/>
        <w:jc w:val="both"/>
        <w:rPr>
          <w:rFonts w:ascii="Palatino Linotype" w:hAnsi="Palatino Linotype" w:cs="Arial"/>
          <w:color w:val="000000" w:themeColor="text1"/>
        </w:rPr>
      </w:pPr>
      <w:r w:rsidRPr="00707C84">
        <w:rPr>
          <w:rFonts w:ascii="Palatino Linotype" w:hAnsi="Palatino Linotype" w:cs="Arial"/>
          <w:color w:val="000000" w:themeColor="text1"/>
        </w:rPr>
        <w:t>Debe destacarse que, debido a la naturaleza de la información solicitada</w:t>
      </w:r>
      <w:r w:rsidRPr="00707C84">
        <w:rPr>
          <w:rFonts w:ascii="Palatino Linotype" w:hAnsi="Palatino Linotype" w:cs="Arial"/>
          <w:b/>
          <w:color w:val="000000" w:themeColor="text1"/>
        </w:rPr>
        <w:t xml:space="preserve">, </w:t>
      </w:r>
      <w:r w:rsidRPr="00707C84">
        <w:rPr>
          <w:rFonts w:ascii="Palatino Linotype" w:hAnsi="Palatino Linotype" w:cs="Arial"/>
          <w:color w:val="000000" w:themeColor="text1"/>
        </w:rPr>
        <w:t xml:space="preserve">eventualmente pudiera obrar datos personales susceptibles de protegerse, así como información susceptible de clasificarse como reservada, el </w:t>
      </w:r>
      <w:r w:rsidRPr="00707C84">
        <w:rPr>
          <w:rFonts w:ascii="Palatino Linotype" w:hAnsi="Palatino Linotype" w:cs="Arial"/>
          <w:b/>
          <w:bCs/>
          <w:color w:val="000000" w:themeColor="text1"/>
        </w:rPr>
        <w:t xml:space="preserve">Sujeto Obligado </w:t>
      </w:r>
      <w:r w:rsidRPr="00707C84">
        <w:rPr>
          <w:rFonts w:ascii="Palatino Linotype" w:hAnsi="Palatino Linotype" w:cs="Arial"/>
          <w:color w:val="000000" w:themeColor="text1"/>
        </w:rPr>
        <w:t xml:space="preserve">deberá de hacer la adecuada versión pública, protegiendo los datos que no son susceptibles de ser proporcionados. </w:t>
      </w:r>
    </w:p>
    <w:p w:rsidR="00B26AF6" w:rsidRPr="00707C84" w:rsidRDefault="00B26AF6" w:rsidP="00707C84">
      <w:pPr>
        <w:pStyle w:val="Prrafodelista"/>
        <w:tabs>
          <w:tab w:val="left" w:pos="0"/>
          <w:tab w:val="left" w:pos="284"/>
        </w:tabs>
        <w:spacing w:line="360" w:lineRule="auto"/>
        <w:ind w:left="0"/>
        <w:jc w:val="both"/>
        <w:rPr>
          <w:rFonts w:ascii="Palatino Linotype" w:eastAsia="MS Mincho" w:hAnsi="Palatino Linotype"/>
          <w:color w:val="000000" w:themeColor="text1"/>
          <w:lang w:val="es-ES"/>
        </w:rPr>
      </w:pPr>
    </w:p>
    <w:p w:rsidR="00B26AF6" w:rsidRPr="00707C84" w:rsidRDefault="00B26AF6" w:rsidP="00707C84">
      <w:pPr>
        <w:numPr>
          <w:ilvl w:val="0"/>
          <w:numId w:val="2"/>
        </w:numPr>
        <w:tabs>
          <w:tab w:val="left" w:pos="284"/>
        </w:tabs>
        <w:spacing w:line="360" w:lineRule="auto"/>
        <w:ind w:left="0" w:firstLine="0"/>
        <w:contextualSpacing/>
        <w:jc w:val="both"/>
        <w:rPr>
          <w:rFonts w:ascii="Palatino Linotype" w:hAnsi="Palatino Linotype" w:cs="Arial"/>
          <w:color w:val="000000" w:themeColor="text1"/>
        </w:rPr>
      </w:pPr>
      <w:r w:rsidRPr="00707C84">
        <w:rPr>
          <w:rFonts w:ascii="Palatino Linotype" w:hAnsi="Palatino Linotype" w:cs="Arial"/>
          <w:color w:val="000000" w:themeColor="text1"/>
        </w:rPr>
        <w:t xml:space="preserve">No pasa desapercibido para este Órgano Garante que los </w:t>
      </w:r>
      <w:r w:rsidRPr="00707C84">
        <w:rPr>
          <w:rFonts w:ascii="Palatino Linotype" w:hAnsi="Palatino Linotype" w:cs="Arial"/>
          <w:b/>
          <w:bCs/>
          <w:color w:val="000000" w:themeColor="text1"/>
        </w:rPr>
        <w:t xml:space="preserve">Sujetos Obligados </w:t>
      </w:r>
      <w:r w:rsidRPr="00707C84">
        <w:rPr>
          <w:rFonts w:ascii="Palatino Linotype" w:hAnsi="Palatino Linotype" w:cs="Arial"/>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B26AF6" w:rsidRPr="00707C84" w:rsidRDefault="00B26AF6" w:rsidP="00707C84">
      <w:pPr>
        <w:tabs>
          <w:tab w:val="left" w:pos="284"/>
        </w:tabs>
        <w:spacing w:line="360" w:lineRule="auto"/>
        <w:contextualSpacing/>
        <w:jc w:val="both"/>
        <w:rPr>
          <w:rFonts w:ascii="Palatino Linotype" w:hAnsi="Palatino Linotype" w:cs="Arial"/>
          <w:color w:val="000000" w:themeColor="text1"/>
        </w:rPr>
      </w:pPr>
    </w:p>
    <w:tbl>
      <w:tblPr>
        <w:tblStyle w:val="Tablanormal1"/>
        <w:tblW w:w="9923" w:type="dxa"/>
        <w:tblInd w:w="137" w:type="dxa"/>
        <w:tblLook w:val="04A0" w:firstRow="1" w:lastRow="0" w:firstColumn="1" w:lastColumn="0" w:noHBand="0" w:noVBand="1"/>
      </w:tblPr>
      <w:tblGrid>
        <w:gridCol w:w="2693"/>
        <w:gridCol w:w="7230"/>
      </w:tblGrid>
      <w:tr w:rsidR="00707C84" w:rsidRPr="00707C84" w:rsidTr="00915D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hideMark/>
          </w:tcPr>
          <w:p w:rsidR="00B26AF6" w:rsidRPr="00707C84" w:rsidRDefault="00B26AF6" w:rsidP="00707C84">
            <w:pPr>
              <w:tabs>
                <w:tab w:val="left" w:pos="284"/>
              </w:tabs>
              <w:spacing w:line="360" w:lineRule="auto"/>
              <w:rPr>
                <w:rFonts w:ascii="Palatino Linotype" w:hAnsi="Palatino Linotype"/>
                <w:bCs w:val="0"/>
                <w:color w:val="000000" w:themeColor="text1"/>
              </w:rPr>
            </w:pPr>
            <w:r w:rsidRPr="00707C84">
              <w:rPr>
                <w:rFonts w:ascii="Palatino Linotype" w:hAnsi="Palatino Linotype" w:cstheme="majorBidi"/>
                <w:color w:val="000000" w:themeColor="text1"/>
              </w:rPr>
              <w:lastRenderedPageBreak/>
              <w:t>a) Requisitos previos.</w:t>
            </w:r>
          </w:p>
        </w:tc>
        <w:tc>
          <w:tcPr>
            <w:tcW w:w="7230" w:type="dxa"/>
            <w:hideMark/>
          </w:tcPr>
          <w:p w:rsidR="00B26AF6" w:rsidRPr="00707C84" w:rsidRDefault="00B26AF6" w:rsidP="00707C84">
            <w:pPr>
              <w:tabs>
                <w:tab w:val="left" w:pos="284"/>
              </w:tabs>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themeColor="text1"/>
              </w:rPr>
            </w:pPr>
            <w:r w:rsidRPr="00707C84">
              <w:rPr>
                <w:rFonts w:ascii="Palatino Linotype" w:hAnsi="Palatino Linotype" w:cs="Arial"/>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B26AF6" w:rsidRPr="00707C84" w:rsidRDefault="00B26AF6" w:rsidP="00707C84">
            <w:pPr>
              <w:tabs>
                <w:tab w:val="left" w:pos="284"/>
              </w:tabs>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themeColor="text1"/>
              </w:rPr>
            </w:pPr>
            <w:r w:rsidRPr="00707C84">
              <w:rPr>
                <w:rFonts w:ascii="Palatino Linotype" w:hAnsi="Palatino Linotype" w:cs="Arial"/>
                <w:color w:val="000000" w:themeColor="text1"/>
              </w:rPr>
              <w:t>Al hacerlo tienen que precisar de qué información se trata, señalando el supuesto de clasificación (confidencialidad o reserva).</w:t>
            </w:r>
          </w:p>
          <w:p w:rsidR="00B26AF6" w:rsidRPr="00707C84" w:rsidRDefault="00B26AF6" w:rsidP="00707C84">
            <w:pPr>
              <w:tabs>
                <w:tab w:val="left" w:pos="284"/>
              </w:tabs>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themeColor="text1"/>
              </w:rPr>
            </w:pPr>
            <w:r w:rsidRPr="00707C84">
              <w:rPr>
                <w:rFonts w:ascii="Palatino Linotype" w:hAnsi="Palatino Linotype" w:cs="Arial"/>
                <w:color w:val="000000" w:themeColor="text1"/>
              </w:rPr>
              <w:t>Además, se debe señalar el procedimiento, de los tres que establecen los artículos 132 y 106 de la Ley Estatal y General, respectivamente.</w:t>
            </w:r>
          </w:p>
          <w:p w:rsidR="00B26AF6" w:rsidRPr="00707C84" w:rsidRDefault="00B26AF6" w:rsidP="00707C84">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707C84">
              <w:rPr>
                <w:rFonts w:ascii="Palatino Linotype" w:hAnsi="Palatino Linotype" w:cs="Arial"/>
                <w:color w:val="000000" w:themeColor="text1"/>
              </w:rPr>
              <w:t xml:space="preserve">El último de estos requisitos previos consiste en que no se pueden emitir acuerdos de carácter general ni particular, esto es, </w:t>
            </w:r>
            <w:r w:rsidRPr="00707C84">
              <w:rPr>
                <w:rFonts w:ascii="Palatino Linotype" w:hAnsi="Palatino Linotype" w:cs="Arial"/>
                <w:color w:val="000000" w:themeColor="text1"/>
                <w:u w:val="single"/>
              </w:rPr>
              <w:t>no se puede hacer un acuerdo para clasificar de manera general todos los documentos de un expediente o área, sin</w:t>
            </w:r>
            <w:r w:rsidRPr="00707C84">
              <w:rPr>
                <w:rFonts w:ascii="Palatino Linotype" w:hAnsi="Palatino Linotype" w:cs="Arial"/>
                <w:color w:val="000000" w:themeColor="text1"/>
              </w:rPr>
              <w:t xml:space="preserve"> individualizar su análisis y tampoco se puede hacer un acuerdo por cada dato que se vaya a clasificar dentro de un documento con diez datos, por ejemplo, susceptibles de ser clasificados.</w:t>
            </w:r>
          </w:p>
        </w:tc>
      </w:tr>
      <w:tr w:rsidR="00707C84" w:rsidRPr="00707C84" w:rsidTr="00915D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hideMark/>
          </w:tcPr>
          <w:p w:rsidR="00B26AF6" w:rsidRPr="00707C84" w:rsidRDefault="00B26AF6" w:rsidP="00707C84">
            <w:pPr>
              <w:tabs>
                <w:tab w:val="left" w:pos="284"/>
              </w:tabs>
              <w:spacing w:line="360" w:lineRule="auto"/>
              <w:rPr>
                <w:rFonts w:ascii="Palatino Linotype" w:hAnsi="Palatino Linotype"/>
                <w:bCs w:val="0"/>
                <w:color w:val="000000" w:themeColor="text1"/>
              </w:rPr>
            </w:pPr>
            <w:r w:rsidRPr="00707C84">
              <w:rPr>
                <w:rFonts w:ascii="Palatino Linotype" w:hAnsi="Palatino Linotype" w:cstheme="majorBidi"/>
                <w:color w:val="000000" w:themeColor="text1"/>
              </w:rPr>
              <w:t>b) Supuestos de clasificación.</w:t>
            </w:r>
          </w:p>
        </w:tc>
        <w:tc>
          <w:tcPr>
            <w:tcW w:w="7230" w:type="dxa"/>
            <w:hideMark/>
          </w:tcPr>
          <w:p w:rsidR="00B26AF6" w:rsidRPr="00707C84" w:rsidRDefault="00B26AF6" w:rsidP="00707C84">
            <w:pPr>
              <w:tabs>
                <w:tab w:val="left" w:pos="284"/>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707C84">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rsidR="00B26AF6" w:rsidRPr="00707C84" w:rsidRDefault="00B26AF6" w:rsidP="00707C84">
            <w:pPr>
              <w:tabs>
                <w:tab w:val="left" w:pos="284"/>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707C84">
              <w:rPr>
                <w:rFonts w:ascii="Palatino Linotype" w:hAnsi="Palatino Linotype" w:cs="Arial"/>
                <w:color w:val="000000" w:themeColor="text1"/>
              </w:rPr>
              <w:t xml:space="preserve">Los artículos 116 y 143 de la Ley Estatal y de la Ley General, respectivamente, señalan los supuestos para que la información pueda ser clasificada como confidencial. Mientras que los artículos </w:t>
            </w:r>
            <w:r w:rsidRPr="00707C84">
              <w:rPr>
                <w:rFonts w:ascii="Palatino Linotype" w:hAnsi="Palatino Linotype" w:cs="Arial"/>
                <w:color w:val="000000" w:themeColor="text1"/>
              </w:rPr>
              <w:lastRenderedPageBreak/>
              <w:t>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B26AF6" w:rsidRPr="00707C84" w:rsidRDefault="00B26AF6" w:rsidP="00707C84">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707C84">
              <w:rPr>
                <w:rFonts w:ascii="Palatino Linotype" w:hAnsi="Palatino Linotype" w:cs="Arial"/>
                <w:color w:val="000000" w:themeColor="text1"/>
              </w:rPr>
              <w:t xml:space="preserve">El </w:t>
            </w:r>
            <w:r w:rsidRPr="00707C84">
              <w:rPr>
                <w:rFonts w:ascii="Palatino Linotype" w:hAnsi="Palatino Linotype" w:cs="Arial"/>
                <w:b/>
                <w:color w:val="000000" w:themeColor="text1"/>
              </w:rPr>
              <w:t>Sujeto Obligado</w:t>
            </w:r>
            <w:r w:rsidRPr="00707C84">
              <w:rPr>
                <w:rFonts w:ascii="Palatino Linotype" w:hAnsi="Palatino Linotype" w:cs="Arial"/>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707C84" w:rsidRPr="00707C84" w:rsidTr="00915DD6">
        <w:tc>
          <w:tcPr>
            <w:cnfStyle w:val="001000000000" w:firstRow="0" w:lastRow="0" w:firstColumn="1" w:lastColumn="0" w:oddVBand="0" w:evenVBand="0" w:oddHBand="0" w:evenHBand="0" w:firstRowFirstColumn="0" w:firstRowLastColumn="0" w:lastRowFirstColumn="0" w:lastRowLastColumn="0"/>
            <w:tcW w:w="2693" w:type="dxa"/>
            <w:hideMark/>
          </w:tcPr>
          <w:p w:rsidR="00B26AF6" w:rsidRPr="00707C84" w:rsidRDefault="00B26AF6" w:rsidP="00707C84">
            <w:pPr>
              <w:tabs>
                <w:tab w:val="left" w:pos="284"/>
              </w:tabs>
              <w:spacing w:line="360" w:lineRule="auto"/>
              <w:rPr>
                <w:rFonts w:ascii="Palatino Linotype" w:hAnsi="Palatino Linotype"/>
                <w:bCs w:val="0"/>
                <w:color w:val="000000" w:themeColor="text1"/>
              </w:rPr>
            </w:pPr>
            <w:r w:rsidRPr="00707C84">
              <w:rPr>
                <w:rFonts w:ascii="Palatino Linotype" w:hAnsi="Palatino Linotype" w:cstheme="majorBidi"/>
                <w:color w:val="000000" w:themeColor="text1"/>
              </w:rPr>
              <w:lastRenderedPageBreak/>
              <w:t>c) Formalidades para emitir el acuerdo de clasificación.</w:t>
            </w:r>
          </w:p>
        </w:tc>
        <w:tc>
          <w:tcPr>
            <w:tcW w:w="7230" w:type="dxa"/>
            <w:hideMark/>
          </w:tcPr>
          <w:p w:rsidR="00B26AF6" w:rsidRPr="00707C84" w:rsidRDefault="00B26AF6" w:rsidP="00707C84">
            <w:pPr>
              <w:tabs>
                <w:tab w:val="left" w:pos="284"/>
              </w:tabs>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themeColor="text1"/>
              </w:rPr>
            </w:pPr>
            <w:r w:rsidRPr="00707C84">
              <w:rPr>
                <w:rFonts w:ascii="Palatino Linotype" w:hAnsi="Palatino Linotype" w:cs="Arial"/>
                <w:color w:val="000000" w:themeColor="text1"/>
              </w:rPr>
              <w:t xml:space="preserve">El Comité de Transparencia, según lo dispuesto en los artículos cuenta con las facultades para aprobar, modificar o revocar la clasificación de la información que haya propuesto. </w:t>
            </w:r>
          </w:p>
          <w:p w:rsidR="00B26AF6" w:rsidRPr="00707C84" w:rsidRDefault="00B26AF6" w:rsidP="00707C84">
            <w:pPr>
              <w:tabs>
                <w:tab w:val="left" w:pos="284"/>
              </w:tabs>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themeColor="text1"/>
              </w:rPr>
            </w:pPr>
            <w:r w:rsidRPr="00707C84">
              <w:rPr>
                <w:rFonts w:ascii="Palatino Linotype" w:hAnsi="Palatino Linotype" w:cs="Arial"/>
                <w:color w:val="000000" w:themeColor="text1"/>
              </w:rPr>
              <w:t xml:space="preserve">Es necesario que </w:t>
            </w:r>
            <w:r w:rsidRPr="00707C84">
              <w:rPr>
                <w:rFonts w:ascii="Palatino Linotype" w:hAnsi="Palatino Linotype" w:cs="Arial"/>
                <w:b/>
                <w:color w:val="000000" w:themeColor="text1"/>
                <w:u w:val="single"/>
              </w:rPr>
              <w:t>el acto reúna con los requisitos elementales</w:t>
            </w:r>
            <w:r w:rsidRPr="00707C84">
              <w:rPr>
                <w:rFonts w:ascii="Palatino Linotype" w:hAnsi="Palatino Linotype" w:cs="Arial"/>
                <w:color w:val="000000" w:themeColor="text1"/>
              </w:rPr>
              <w:t>, entre ellos, que la autoridad que va a emitir el acto de autoridad sea la legalmente facultada para ello.</w:t>
            </w:r>
          </w:p>
          <w:p w:rsidR="00B26AF6" w:rsidRPr="00707C84" w:rsidRDefault="00B26AF6" w:rsidP="00707C84">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707C84">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w:t>
            </w:r>
            <w:r w:rsidRPr="00707C84">
              <w:rPr>
                <w:rFonts w:ascii="Palatino Linotype" w:hAnsi="Palatino Linotype" w:cs="Arial"/>
                <w:color w:val="000000" w:themeColor="text1"/>
              </w:rPr>
              <w:lastRenderedPageBreak/>
              <w:t>previamente por los titulares de áreas y que son sujetas a control, en primera instancia, por el Comité de Transparencia.</w:t>
            </w:r>
          </w:p>
        </w:tc>
      </w:tr>
      <w:tr w:rsidR="00707C84" w:rsidRPr="00707C84" w:rsidTr="00915D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Pr>
          <w:p w:rsidR="00B26AF6" w:rsidRPr="00707C84" w:rsidRDefault="00B26AF6" w:rsidP="00707C84">
            <w:pPr>
              <w:tabs>
                <w:tab w:val="left" w:pos="284"/>
              </w:tabs>
              <w:spacing w:line="360" w:lineRule="auto"/>
              <w:rPr>
                <w:rFonts w:ascii="Palatino Linotype" w:hAnsi="Palatino Linotype"/>
                <w:b w:val="0"/>
                <w:color w:val="000000" w:themeColor="text1"/>
              </w:rPr>
            </w:pPr>
          </w:p>
          <w:p w:rsidR="00B26AF6" w:rsidRPr="00707C84" w:rsidRDefault="00B26AF6" w:rsidP="00707C84">
            <w:pPr>
              <w:tabs>
                <w:tab w:val="left" w:pos="284"/>
              </w:tabs>
              <w:spacing w:line="360" w:lineRule="auto"/>
              <w:jc w:val="both"/>
              <w:rPr>
                <w:rFonts w:ascii="Palatino Linotype" w:hAnsi="Palatino Linotype"/>
                <w:bCs w:val="0"/>
                <w:color w:val="000000" w:themeColor="text1"/>
              </w:rPr>
            </w:pPr>
            <w:r w:rsidRPr="00707C84">
              <w:rPr>
                <w:rFonts w:ascii="Palatino Linotype" w:hAnsi="Palatino Linotype" w:cs="Arial"/>
                <w:color w:val="000000" w:themeColor="text1"/>
              </w:rPr>
              <w:t xml:space="preserve">d) Requisitos de fondo del acuerdo de clasificación. </w:t>
            </w:r>
          </w:p>
        </w:tc>
        <w:tc>
          <w:tcPr>
            <w:tcW w:w="7230" w:type="dxa"/>
            <w:hideMark/>
          </w:tcPr>
          <w:p w:rsidR="00B26AF6" w:rsidRPr="00707C84" w:rsidRDefault="00B26AF6" w:rsidP="00707C84">
            <w:pPr>
              <w:tabs>
                <w:tab w:val="left" w:pos="284"/>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707C84">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07C84">
              <w:rPr>
                <w:rFonts w:ascii="Palatino Linotype" w:hAnsi="Palatino Linotype" w:cs="Arial"/>
                <w:b/>
                <w:color w:val="000000" w:themeColor="text1"/>
              </w:rPr>
              <w:t>Sujetos Obligados</w:t>
            </w:r>
            <w:r w:rsidRPr="00707C84">
              <w:rPr>
                <w:rFonts w:ascii="Palatino Linotype" w:hAnsi="Palatino Linotype" w:cs="Arial"/>
                <w:color w:val="000000" w:themeColor="text1"/>
              </w:rPr>
              <w:t xml:space="preserve">, por lo que deberán fundar y motivar debidamente la clasificación. </w:t>
            </w:r>
          </w:p>
          <w:p w:rsidR="00B26AF6" w:rsidRPr="00707C84" w:rsidRDefault="00B26AF6" w:rsidP="00707C84">
            <w:pPr>
              <w:tabs>
                <w:tab w:val="left" w:pos="284"/>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707C84">
              <w:rPr>
                <w:rFonts w:ascii="Palatino Linotype" w:hAnsi="Palatino Linotype" w:cs="Arial"/>
                <w:color w:val="000000" w:themeColor="text1"/>
              </w:rPr>
              <w:t xml:space="preserve">De lo anterior, se desprende que para una correcta </w:t>
            </w:r>
            <w:r w:rsidRPr="00707C84">
              <w:rPr>
                <w:rFonts w:ascii="Palatino Linotype" w:hAnsi="Palatino Linotype" w:cs="Arial"/>
                <w:b/>
                <w:color w:val="000000" w:themeColor="text1"/>
              </w:rPr>
              <w:t>clasificación total o parcial</w:t>
            </w:r>
            <w:r w:rsidRPr="00707C84">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B26AF6" w:rsidRPr="00707C84" w:rsidRDefault="00B26AF6" w:rsidP="00707C84">
            <w:pPr>
              <w:tabs>
                <w:tab w:val="left" w:pos="284"/>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707C84">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B26AF6" w:rsidRPr="00707C84" w:rsidRDefault="00B26AF6" w:rsidP="00707C84">
            <w:pPr>
              <w:tabs>
                <w:tab w:val="left" w:pos="284"/>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707C84">
              <w:rPr>
                <w:rFonts w:ascii="Palatino Linotype" w:hAnsi="Palatino Linotype" w:cs="Arial"/>
                <w:color w:val="000000" w:themeColor="text1"/>
              </w:rPr>
              <w:lastRenderedPageBreak/>
              <w:t>En ese mismo sentido, el numeral trigésimo tercero fracción V de los Lineamientos Generales, precisa que para motivar la clasificación se deben acreditar las circunstancias de tiempo, modo y lugar.</w:t>
            </w:r>
          </w:p>
          <w:p w:rsidR="00B26AF6" w:rsidRPr="00707C84" w:rsidRDefault="00B26AF6" w:rsidP="00707C84">
            <w:pPr>
              <w:tabs>
                <w:tab w:val="left" w:pos="284"/>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707C84">
              <w:rPr>
                <w:rFonts w:ascii="Palatino Linotype" w:hAnsi="Palatino Linotype" w:cs="Arial"/>
                <w:color w:val="000000" w:themeColor="text1"/>
              </w:rPr>
              <w:t xml:space="preserve">Ahora bien, </w:t>
            </w:r>
            <w:r w:rsidRPr="00707C84">
              <w:rPr>
                <w:rFonts w:ascii="Palatino Linotype" w:hAnsi="Palatino Linotype" w:cs="Arial"/>
                <w:b/>
                <w:color w:val="000000" w:themeColor="text1"/>
                <w:u w:val="single"/>
              </w:rPr>
              <w:t>para cada caso además de fundar y motivar</w:t>
            </w:r>
            <w:r w:rsidRPr="00707C84">
              <w:rPr>
                <w:rFonts w:ascii="Palatino Linotype" w:hAnsi="Palatino Linotype" w:cs="Arial"/>
                <w:color w:val="000000" w:themeColor="text1"/>
              </w:rPr>
              <w:t xml:space="preserve">, se debe identificar con claridad que datos contenidos en las documentales que son susceptibles de suprimirse, por ejemplo; </w:t>
            </w:r>
            <w:r w:rsidRPr="00707C84">
              <w:rPr>
                <w:rFonts w:ascii="Palatino Linotype" w:hAnsi="Palatino Linotype" w:cs="Arial"/>
                <w:color w:val="000000" w:themeColor="text1"/>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707C84" w:rsidRPr="00707C84" w:rsidTr="00915DD6">
        <w:tc>
          <w:tcPr>
            <w:cnfStyle w:val="001000000000" w:firstRow="0" w:lastRow="0" w:firstColumn="1" w:lastColumn="0" w:oddVBand="0" w:evenVBand="0" w:oddHBand="0" w:evenHBand="0" w:firstRowFirstColumn="0" w:firstRowLastColumn="0" w:lastRowFirstColumn="0" w:lastRowLastColumn="0"/>
            <w:tcW w:w="2693" w:type="dxa"/>
          </w:tcPr>
          <w:p w:rsidR="00B26AF6" w:rsidRPr="00707C84" w:rsidRDefault="00B26AF6" w:rsidP="00707C84">
            <w:pPr>
              <w:tabs>
                <w:tab w:val="left" w:pos="284"/>
              </w:tabs>
              <w:spacing w:line="360" w:lineRule="auto"/>
              <w:jc w:val="both"/>
              <w:rPr>
                <w:rFonts w:ascii="Palatino Linotype" w:hAnsi="Palatino Linotype" w:cs="Arial"/>
                <w:bCs w:val="0"/>
                <w:color w:val="000000" w:themeColor="text1"/>
              </w:rPr>
            </w:pPr>
            <w:r w:rsidRPr="00707C84">
              <w:rPr>
                <w:rFonts w:ascii="Palatino Linotype" w:eastAsia="MS Gothic" w:hAnsi="Palatino Linotype"/>
                <w:color w:val="000000" w:themeColor="text1"/>
              </w:rPr>
              <w:lastRenderedPageBreak/>
              <w:t xml:space="preserve">e) Condiciones especiales de la clasificación de la información como confidencial. </w:t>
            </w:r>
          </w:p>
        </w:tc>
        <w:tc>
          <w:tcPr>
            <w:tcW w:w="7230" w:type="dxa"/>
            <w:hideMark/>
          </w:tcPr>
          <w:p w:rsidR="00B26AF6" w:rsidRPr="00707C84" w:rsidRDefault="00B26AF6" w:rsidP="00707C84">
            <w:pPr>
              <w:tabs>
                <w:tab w:val="left" w:pos="284"/>
              </w:tabs>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themeColor="text1"/>
              </w:rPr>
            </w:pPr>
            <w:r w:rsidRPr="00707C84">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B26AF6" w:rsidRPr="00707C84" w:rsidRDefault="00B26AF6" w:rsidP="00707C84">
            <w:pPr>
              <w:tabs>
                <w:tab w:val="left" w:pos="284"/>
              </w:tabs>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themeColor="text1"/>
              </w:rPr>
            </w:pPr>
            <w:r w:rsidRPr="00707C84">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B26AF6" w:rsidRPr="00707C84" w:rsidRDefault="00B26AF6" w:rsidP="00707C84">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707C84">
              <w:rPr>
                <w:rFonts w:ascii="Palatino Linotype" w:hAnsi="Palatino Linotype" w:cs="Arial"/>
                <w:color w:val="000000" w:themeColor="text1"/>
              </w:rPr>
              <w:t xml:space="preserve">Pero si la información que se pretende clasificar como confidencial no se encuentra en los supuestos de los artículos señalados y es posible, se deberá consultar al titular de los datos </w:t>
            </w:r>
            <w:r w:rsidRPr="00707C84">
              <w:rPr>
                <w:rFonts w:ascii="Palatino Linotype" w:hAnsi="Palatino Linotype" w:cs="Arial"/>
                <w:color w:val="000000" w:themeColor="text1"/>
              </w:rPr>
              <w:lastRenderedPageBreak/>
              <w:t>si permite o no el acceso. De no ser posible, la realización de la consulta, procede, fundando y motivando, la clasificación.</w:t>
            </w:r>
          </w:p>
        </w:tc>
      </w:tr>
    </w:tbl>
    <w:p w:rsidR="00B26AF6" w:rsidRPr="00707C84" w:rsidRDefault="00B26AF6" w:rsidP="00707C84">
      <w:pPr>
        <w:pStyle w:val="Prrafodelista"/>
        <w:tabs>
          <w:tab w:val="left" w:pos="284"/>
        </w:tabs>
        <w:ind w:left="0"/>
        <w:rPr>
          <w:rFonts w:ascii="Palatino Linotype" w:hAnsi="Palatino Linotype" w:cs="Arial"/>
          <w:color w:val="000000" w:themeColor="text1"/>
        </w:rPr>
      </w:pPr>
    </w:p>
    <w:p w:rsidR="00B26AF6" w:rsidRPr="00707C84" w:rsidRDefault="00B26AF6" w:rsidP="00707C84">
      <w:pPr>
        <w:pStyle w:val="Prrafodelista"/>
        <w:numPr>
          <w:ilvl w:val="0"/>
          <w:numId w:val="2"/>
        </w:numPr>
        <w:spacing w:line="360" w:lineRule="auto"/>
        <w:ind w:left="0" w:firstLine="0"/>
        <w:jc w:val="both"/>
        <w:rPr>
          <w:rFonts w:ascii="Palatino Linotype" w:hAnsi="Palatino Linotype" w:cs="Arial"/>
          <w:color w:val="000000" w:themeColor="text1"/>
          <w:lang w:val="es-ES"/>
        </w:rPr>
      </w:pPr>
      <w:r w:rsidRPr="00707C84">
        <w:rPr>
          <w:rFonts w:ascii="Palatino Linotype"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B26AF6" w:rsidRPr="00707C84" w:rsidRDefault="00B26AF6" w:rsidP="00707C84">
      <w:pPr>
        <w:pStyle w:val="Prrafodelista"/>
        <w:tabs>
          <w:tab w:val="left" w:pos="0"/>
        </w:tabs>
        <w:spacing w:line="360" w:lineRule="auto"/>
        <w:ind w:left="0"/>
        <w:jc w:val="both"/>
        <w:rPr>
          <w:rFonts w:ascii="Palatino Linotype" w:hAnsi="Palatino Linotype" w:cs="Arial"/>
          <w:noProof/>
          <w:color w:val="000000" w:themeColor="text1"/>
        </w:rPr>
      </w:pPr>
    </w:p>
    <w:p w:rsidR="00B26AF6" w:rsidRPr="00707C84" w:rsidRDefault="00B26AF6" w:rsidP="00707C84">
      <w:pPr>
        <w:pStyle w:val="Prrafodelista"/>
        <w:numPr>
          <w:ilvl w:val="0"/>
          <w:numId w:val="2"/>
        </w:numPr>
        <w:tabs>
          <w:tab w:val="left" w:pos="0"/>
        </w:tabs>
        <w:spacing w:line="360" w:lineRule="auto"/>
        <w:ind w:left="0" w:firstLine="0"/>
        <w:jc w:val="both"/>
        <w:rPr>
          <w:rFonts w:ascii="Palatino Linotype" w:hAnsi="Palatino Linotype" w:cs="Arial"/>
          <w:noProof/>
          <w:color w:val="000000" w:themeColor="text1"/>
        </w:rPr>
      </w:pPr>
      <w:r w:rsidRPr="00707C84">
        <w:rPr>
          <w:rFonts w:ascii="Palatino Linotype" w:hAnsi="Palatino Linotype" w:cs="Arial"/>
          <w:color w:val="000000" w:themeColor="text1"/>
        </w:rPr>
        <w:t xml:space="preserve">Por lo anteriormente expuesto y fundado, este </w:t>
      </w:r>
      <w:r w:rsidRPr="00707C84">
        <w:rPr>
          <w:rFonts w:ascii="Palatino Linotype" w:hAnsi="Palatino Linotype" w:cs="Arial"/>
          <w:b/>
          <w:bCs/>
          <w:color w:val="000000" w:themeColor="text1"/>
        </w:rPr>
        <w:t>ÓRGANO GARANTE</w:t>
      </w:r>
      <w:r w:rsidRPr="00707C84">
        <w:rPr>
          <w:rFonts w:ascii="Palatino Linotype" w:hAnsi="Palatino Linotype" w:cs="Arial"/>
          <w:color w:val="000000" w:themeColor="text1"/>
        </w:rPr>
        <w:t xml:space="preserve"> emite los siguientes:</w:t>
      </w:r>
    </w:p>
    <w:p w:rsidR="00B26AF6" w:rsidRPr="00707C84" w:rsidRDefault="00B26AF6" w:rsidP="00707C84">
      <w:pPr>
        <w:pStyle w:val="Ttulo1"/>
        <w:jc w:val="center"/>
        <w:rPr>
          <w:rFonts w:ascii="Palatino Linotype" w:hAnsi="Palatino Linotype"/>
          <w:b/>
          <w:color w:val="000000" w:themeColor="text1"/>
          <w:sz w:val="24"/>
          <w:szCs w:val="24"/>
        </w:rPr>
      </w:pPr>
      <w:bookmarkStart w:id="7" w:name="_Toc4061692"/>
      <w:bookmarkStart w:id="8" w:name="_Toc486525261"/>
      <w:bookmarkStart w:id="9" w:name="_Toc445745148"/>
      <w:bookmarkStart w:id="10" w:name="_Toc447699324"/>
      <w:bookmarkStart w:id="11" w:name="_Toc87549684"/>
      <w:r w:rsidRPr="00707C84">
        <w:rPr>
          <w:rFonts w:ascii="Palatino Linotype" w:hAnsi="Palatino Linotype"/>
          <w:b/>
          <w:color w:val="000000" w:themeColor="text1"/>
          <w:sz w:val="24"/>
          <w:szCs w:val="24"/>
        </w:rPr>
        <w:t>R E S O L U T I V O S</w:t>
      </w:r>
      <w:bookmarkEnd w:id="7"/>
      <w:bookmarkEnd w:id="8"/>
      <w:bookmarkEnd w:id="9"/>
      <w:bookmarkEnd w:id="10"/>
      <w:bookmarkEnd w:id="11"/>
    </w:p>
    <w:p w:rsidR="00B26AF6" w:rsidRPr="00707C84" w:rsidRDefault="00B26AF6" w:rsidP="00707C84">
      <w:pPr>
        <w:keepNext/>
        <w:keepLines/>
        <w:spacing w:line="360" w:lineRule="auto"/>
        <w:jc w:val="center"/>
        <w:outlineLvl w:val="0"/>
        <w:rPr>
          <w:rFonts w:ascii="Palatino Linotype" w:hAnsi="Palatino Linotype" w:cstheme="majorBidi"/>
          <w:b/>
          <w:bCs/>
          <w:color w:val="000000" w:themeColor="text1"/>
        </w:rPr>
      </w:pPr>
    </w:p>
    <w:p w:rsidR="00B26AF6" w:rsidRPr="00707C84" w:rsidRDefault="00B26AF6" w:rsidP="00707C84">
      <w:pPr>
        <w:spacing w:line="360" w:lineRule="auto"/>
        <w:jc w:val="both"/>
        <w:rPr>
          <w:rFonts w:ascii="Palatino Linotype" w:hAnsi="Palatino Linotype"/>
          <w:color w:val="000000" w:themeColor="text1"/>
        </w:rPr>
      </w:pPr>
      <w:r w:rsidRPr="00707C84">
        <w:rPr>
          <w:rFonts w:ascii="Palatino Linotype" w:hAnsi="Palatino Linotype" w:cs="Arial"/>
          <w:b/>
          <w:color w:val="000000" w:themeColor="text1"/>
        </w:rPr>
        <w:t xml:space="preserve">PRIMERO. </w:t>
      </w:r>
      <w:r w:rsidRPr="00707C84">
        <w:rPr>
          <w:rFonts w:ascii="Palatino Linotype" w:hAnsi="Palatino Linotype" w:cs="Arial"/>
          <w:color w:val="000000" w:themeColor="text1"/>
        </w:rPr>
        <w:t>Resultan fundadas las</w:t>
      </w:r>
      <w:r w:rsidRPr="00707C84">
        <w:rPr>
          <w:rFonts w:ascii="Palatino Linotype" w:hAnsi="Palatino Linotype" w:cs="Arial"/>
          <w:b/>
          <w:color w:val="000000" w:themeColor="text1"/>
        </w:rPr>
        <w:t xml:space="preserve"> </w:t>
      </w:r>
      <w:r w:rsidRPr="00707C84">
        <w:rPr>
          <w:rFonts w:ascii="Palatino Linotype" w:hAnsi="Palatino Linotype" w:cs="Arial"/>
          <w:color w:val="000000" w:themeColor="text1"/>
          <w:lang w:val="es-ES"/>
        </w:rPr>
        <w:t xml:space="preserve">razones o motivos de inconformidad hechos valer </w:t>
      </w:r>
      <w:r w:rsidRPr="00707C84">
        <w:rPr>
          <w:rFonts w:ascii="Palatino Linotype" w:eastAsia="Calibri" w:hAnsi="Palatino Linotype" w:cs="Arial"/>
          <w:color w:val="000000" w:themeColor="text1"/>
          <w:lang w:val="es-ES"/>
        </w:rPr>
        <w:t xml:space="preserve">en el recurso de revisión </w:t>
      </w:r>
      <w:r w:rsidR="00F65C02" w:rsidRPr="00707C84">
        <w:rPr>
          <w:rFonts w:ascii="Palatino Linotype" w:eastAsia="Calibri" w:hAnsi="Palatino Linotype" w:cs="Tahoma"/>
          <w:b/>
          <w:color w:val="000000" w:themeColor="text1"/>
          <w:lang w:eastAsia="en-US"/>
        </w:rPr>
        <w:t>05778</w:t>
      </w:r>
      <w:r w:rsidRPr="00707C84">
        <w:rPr>
          <w:rFonts w:ascii="Palatino Linotype" w:eastAsia="Calibri" w:hAnsi="Palatino Linotype" w:cs="Tahoma"/>
          <w:b/>
          <w:color w:val="000000" w:themeColor="text1"/>
          <w:lang w:eastAsia="en-US"/>
        </w:rPr>
        <w:t>/INFOEM/IP/RR/2025</w:t>
      </w:r>
      <w:r w:rsidRPr="00707C84">
        <w:rPr>
          <w:rFonts w:ascii="Palatino Linotype" w:hAnsi="Palatino Linotype"/>
          <w:b/>
          <w:color w:val="000000" w:themeColor="text1"/>
        </w:rPr>
        <w:t xml:space="preserve"> </w:t>
      </w:r>
      <w:r w:rsidRPr="00707C84">
        <w:rPr>
          <w:rFonts w:ascii="Palatino Linotype" w:hAnsi="Palatino Linotype"/>
          <w:color w:val="000000" w:themeColor="text1"/>
        </w:rPr>
        <w:t>en términos de los</w:t>
      </w:r>
      <w:r w:rsidRPr="00707C84">
        <w:rPr>
          <w:rFonts w:ascii="Palatino Linotype" w:hAnsi="Palatino Linotype"/>
          <w:b/>
          <w:bCs/>
          <w:color w:val="000000" w:themeColor="text1"/>
        </w:rPr>
        <w:t xml:space="preserve"> Considerandos</w:t>
      </w:r>
      <w:r w:rsidRPr="00707C84">
        <w:rPr>
          <w:rFonts w:ascii="Palatino Linotype" w:hAnsi="Palatino Linotype"/>
          <w:color w:val="000000" w:themeColor="text1"/>
        </w:rPr>
        <w:t xml:space="preserve"> </w:t>
      </w:r>
      <w:r w:rsidRPr="00707C84">
        <w:rPr>
          <w:rFonts w:ascii="Palatino Linotype" w:hAnsi="Palatino Linotype"/>
          <w:b/>
          <w:color w:val="000000" w:themeColor="text1"/>
        </w:rPr>
        <w:t>CUARTO y QUINTO</w:t>
      </w:r>
      <w:r w:rsidRPr="00707C84">
        <w:rPr>
          <w:rFonts w:ascii="Palatino Linotype" w:hAnsi="Palatino Linotype"/>
          <w:color w:val="000000" w:themeColor="text1"/>
        </w:rPr>
        <w:t xml:space="preserve"> de la presente resolución.</w:t>
      </w:r>
    </w:p>
    <w:p w:rsidR="00B26AF6" w:rsidRPr="00707C84" w:rsidRDefault="00B26AF6" w:rsidP="00707C84">
      <w:pPr>
        <w:spacing w:line="360" w:lineRule="auto"/>
        <w:contextualSpacing/>
        <w:jc w:val="both"/>
        <w:rPr>
          <w:rFonts w:ascii="Palatino Linotype" w:eastAsia="Calibri" w:hAnsi="Palatino Linotype" w:cs="Arial"/>
          <w:b/>
          <w:bCs/>
          <w:color w:val="000000" w:themeColor="text1"/>
          <w:lang w:val="es-ES"/>
        </w:rPr>
      </w:pPr>
    </w:p>
    <w:p w:rsidR="00B26AF6" w:rsidRPr="00707C84" w:rsidRDefault="00B26AF6" w:rsidP="00707C84">
      <w:pPr>
        <w:pStyle w:val="Sinespaciado"/>
        <w:spacing w:line="360" w:lineRule="auto"/>
        <w:ind w:left="0" w:right="0"/>
        <w:rPr>
          <w:rFonts w:ascii="Palatino Linotype" w:eastAsia="Calibri" w:hAnsi="Palatino Linotype" w:cs="Arial"/>
          <w:bCs/>
          <w:color w:val="000000" w:themeColor="text1"/>
          <w:sz w:val="24"/>
          <w:lang w:val="es-ES"/>
        </w:rPr>
      </w:pPr>
      <w:r w:rsidRPr="00707C84">
        <w:rPr>
          <w:rFonts w:ascii="Palatino Linotype" w:eastAsia="Calibri" w:hAnsi="Palatino Linotype" w:cs="Arial"/>
          <w:b/>
          <w:bCs/>
          <w:color w:val="000000" w:themeColor="text1"/>
          <w:sz w:val="24"/>
          <w:lang w:val="es-ES"/>
        </w:rPr>
        <w:t xml:space="preserve">SEGUNDO. </w:t>
      </w:r>
      <w:r w:rsidRPr="00707C84">
        <w:rPr>
          <w:rFonts w:ascii="Palatino Linotype" w:eastAsia="Calibri" w:hAnsi="Palatino Linotype" w:cs="Arial"/>
          <w:bCs/>
          <w:color w:val="000000" w:themeColor="text1"/>
          <w:sz w:val="24"/>
          <w:lang w:val="es-ES"/>
        </w:rPr>
        <w:t xml:space="preserve">Se </w:t>
      </w:r>
      <w:r w:rsidRPr="00707C84">
        <w:rPr>
          <w:rFonts w:ascii="Palatino Linotype" w:eastAsia="Calibri" w:hAnsi="Palatino Linotype" w:cs="Arial"/>
          <w:b/>
          <w:bCs/>
          <w:color w:val="000000" w:themeColor="text1"/>
          <w:sz w:val="24"/>
          <w:lang w:val="es-ES"/>
        </w:rPr>
        <w:t>REVOCA</w:t>
      </w:r>
      <w:r w:rsidRPr="00707C84">
        <w:rPr>
          <w:rFonts w:ascii="Palatino Linotype" w:eastAsia="Calibri" w:hAnsi="Palatino Linotype" w:cs="Arial"/>
          <w:bCs/>
          <w:color w:val="000000" w:themeColor="text1"/>
          <w:sz w:val="24"/>
          <w:lang w:val="es-ES"/>
        </w:rPr>
        <w:t xml:space="preserve"> la respuesta y se </w:t>
      </w:r>
      <w:r w:rsidRPr="00707C84">
        <w:rPr>
          <w:rFonts w:ascii="Palatino Linotype" w:eastAsia="Calibri" w:hAnsi="Palatino Linotype" w:cs="Arial"/>
          <w:b/>
          <w:bCs/>
          <w:color w:val="000000" w:themeColor="text1"/>
          <w:sz w:val="24"/>
          <w:lang w:val="es-ES"/>
        </w:rPr>
        <w:t xml:space="preserve">ORDENA </w:t>
      </w:r>
      <w:r w:rsidRPr="00707C84">
        <w:rPr>
          <w:rFonts w:ascii="Palatino Linotype" w:eastAsia="Calibri" w:hAnsi="Palatino Linotype" w:cs="Arial"/>
          <w:bCs/>
          <w:color w:val="000000" w:themeColor="text1"/>
          <w:sz w:val="24"/>
          <w:lang w:val="es-ES"/>
        </w:rPr>
        <w:t xml:space="preserve">al </w:t>
      </w:r>
      <w:r w:rsidR="00F65C02" w:rsidRPr="00707C84">
        <w:rPr>
          <w:rFonts w:ascii="Palatino Linotype" w:eastAsia="Calibri" w:hAnsi="Palatino Linotype" w:cs="Arial"/>
          <w:b/>
          <w:bCs/>
          <w:color w:val="000000" w:themeColor="text1"/>
          <w:sz w:val="24"/>
          <w:lang w:val="es-ES"/>
        </w:rPr>
        <w:t>Ayuntamiento de Tepotzotlán</w:t>
      </w:r>
      <w:r w:rsidRPr="00707C84">
        <w:rPr>
          <w:rFonts w:ascii="Palatino Linotype" w:eastAsia="Calibri" w:hAnsi="Palatino Linotype" w:cs="Arial"/>
          <w:b/>
          <w:bCs/>
          <w:color w:val="000000" w:themeColor="text1"/>
          <w:sz w:val="24"/>
          <w:lang w:val="es-ES"/>
        </w:rPr>
        <w:t>,</w:t>
      </w:r>
      <w:r w:rsidRPr="00707C84">
        <w:rPr>
          <w:rFonts w:ascii="Palatino Linotype" w:eastAsia="Calibri" w:hAnsi="Palatino Linotype" w:cs="Arial"/>
          <w:b/>
          <w:color w:val="000000" w:themeColor="text1"/>
          <w:sz w:val="24"/>
        </w:rPr>
        <w:t xml:space="preserve"> </w:t>
      </w:r>
      <w:r w:rsidRPr="00707C84">
        <w:rPr>
          <w:rFonts w:ascii="Palatino Linotype" w:eastAsia="Calibri" w:hAnsi="Palatino Linotype" w:cs="Arial"/>
          <w:bCs/>
          <w:color w:val="000000" w:themeColor="text1"/>
          <w:sz w:val="24"/>
          <w:lang w:val="es-ES"/>
        </w:rPr>
        <w:t>entregar vía Sistema de Acceso a la Información Mexiquense (SAIMEX), de ser el caso en versión pública</w:t>
      </w:r>
      <w:r w:rsidRPr="00707C84">
        <w:rPr>
          <w:rFonts w:ascii="Palatino Linotype" w:eastAsia="MS Mincho" w:hAnsi="Palatino Linotype" w:cs="Arial"/>
          <w:b/>
          <w:color w:val="000000" w:themeColor="text1"/>
          <w:sz w:val="24"/>
        </w:rPr>
        <w:t>,</w:t>
      </w:r>
      <w:r w:rsidRPr="00707C84">
        <w:rPr>
          <w:rFonts w:ascii="Palatino Linotype" w:eastAsia="Calibri" w:hAnsi="Palatino Linotype" w:cs="Arial"/>
          <w:bCs/>
          <w:color w:val="000000" w:themeColor="text1"/>
          <w:sz w:val="24"/>
          <w:lang w:val="es-ES"/>
        </w:rPr>
        <w:t xml:space="preserve"> la siguiente información:</w:t>
      </w:r>
    </w:p>
    <w:p w:rsidR="00F65C02" w:rsidRPr="00707C84" w:rsidRDefault="00F65C02" w:rsidP="00707C84">
      <w:pPr>
        <w:spacing w:line="360" w:lineRule="auto"/>
        <w:jc w:val="both"/>
        <w:rPr>
          <w:rFonts w:ascii="Palatino Linotype" w:eastAsia="Calibri" w:hAnsi="Palatino Linotype" w:cs="Arial"/>
          <w:bCs/>
          <w:color w:val="000000" w:themeColor="text1"/>
          <w:lang w:val="es-ES" w:eastAsia="es-ES"/>
        </w:rPr>
      </w:pPr>
    </w:p>
    <w:p w:rsidR="00F65C02" w:rsidRPr="00707C84" w:rsidRDefault="00F65C02" w:rsidP="00915DD6">
      <w:pPr>
        <w:pStyle w:val="Prrafodelista"/>
        <w:numPr>
          <w:ilvl w:val="1"/>
          <w:numId w:val="2"/>
        </w:numPr>
        <w:spacing w:line="360" w:lineRule="auto"/>
        <w:ind w:left="0" w:firstLine="0"/>
        <w:jc w:val="both"/>
        <w:rPr>
          <w:rFonts w:ascii="Palatino Linotype" w:hAnsi="Palatino Linotype" w:cs="Arial"/>
          <w:noProof/>
          <w:color w:val="000000" w:themeColor="text1"/>
        </w:rPr>
      </w:pPr>
      <w:r w:rsidRPr="00707C84">
        <w:rPr>
          <w:rFonts w:ascii="Palatino Linotype" w:eastAsia="Palatino Linotype" w:hAnsi="Palatino Linotype" w:cs="Palatino Linotype"/>
          <w:b/>
          <w:color w:val="000000" w:themeColor="text1"/>
        </w:rPr>
        <w:t xml:space="preserve">Soporte documental donde conste la fecha de aprobación y publicación del programa especial para otorgar licencias o permisos provisionales de funcionamiento para negocios de bajo riesgo sanitario, ambiental o de protección civil. </w:t>
      </w:r>
    </w:p>
    <w:p w:rsidR="00F65C02" w:rsidRPr="00707C84" w:rsidRDefault="00F65C02" w:rsidP="00707C84">
      <w:pPr>
        <w:pStyle w:val="Prrafodelista"/>
        <w:spacing w:line="360" w:lineRule="auto"/>
        <w:ind w:left="0"/>
        <w:jc w:val="both"/>
        <w:rPr>
          <w:rFonts w:ascii="Palatino Linotype" w:eastAsia="Palatino Linotype" w:hAnsi="Palatino Linotype" w:cs="Palatino Linotype"/>
          <w:b/>
          <w:color w:val="000000" w:themeColor="text1"/>
        </w:rPr>
      </w:pPr>
    </w:p>
    <w:p w:rsidR="00B26AF6" w:rsidRPr="00D642A8" w:rsidRDefault="00B26AF6" w:rsidP="00707C84">
      <w:pPr>
        <w:spacing w:after="160" w:line="360" w:lineRule="auto"/>
        <w:jc w:val="both"/>
        <w:rPr>
          <w:rFonts w:ascii="Palatino Linotype" w:eastAsia="Calibri" w:hAnsi="Palatino Linotype" w:cs="Arial"/>
          <w:color w:val="000000" w:themeColor="text1"/>
        </w:rPr>
      </w:pPr>
      <w:r w:rsidRPr="00707C84">
        <w:rPr>
          <w:rFonts w:ascii="Palatino Linotype" w:eastAsia="Calibri" w:hAnsi="Palatino Linotype" w:cs="Arial"/>
          <w:color w:val="000000" w:themeColor="text1"/>
        </w:rPr>
        <w:lastRenderedPageBreak/>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w:t>
      </w:r>
      <w:r w:rsidRPr="00D642A8">
        <w:rPr>
          <w:rFonts w:ascii="Palatino Linotype" w:eastAsia="Calibri" w:hAnsi="Palatino Linotype" w:cs="Arial"/>
          <w:color w:val="000000" w:themeColor="text1"/>
        </w:rPr>
        <w:t xml:space="preserve">disposición de la parte recurrente. </w:t>
      </w:r>
    </w:p>
    <w:p w:rsidR="00DB4260" w:rsidRPr="00707C84" w:rsidRDefault="00DB4260" w:rsidP="00707C84">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D642A8">
        <w:rPr>
          <w:rFonts w:ascii="Palatino Linotype" w:eastAsia="Palatino Linotype" w:hAnsi="Palatino Linotype" w:cs="Palatino Linotype"/>
          <w:color w:val="000000" w:themeColor="text1"/>
        </w:rPr>
        <w:t>Para el caso de que la información que se ordena entregar, no obre en los archivos del Sujeto Obligado, bastará con que así se haga del conocimiento del Particular en términos del artículo 19, párrafo segundo, de la Ley de Transparencia y Acceso a la Información Pública del Estado de México y Municipios, para tenerse por colmado dicho requerimiento.</w:t>
      </w:r>
      <w:r w:rsidRPr="00707C84">
        <w:rPr>
          <w:rFonts w:ascii="Palatino Linotype" w:eastAsia="Palatino Linotype" w:hAnsi="Palatino Linotype" w:cs="Palatino Linotype"/>
          <w:color w:val="000000" w:themeColor="text1"/>
        </w:rPr>
        <w:t xml:space="preserve"> </w:t>
      </w:r>
    </w:p>
    <w:p w:rsidR="00B26AF6" w:rsidRPr="00707C84" w:rsidRDefault="00B26AF6" w:rsidP="00707C84">
      <w:pPr>
        <w:tabs>
          <w:tab w:val="left" w:pos="0"/>
        </w:tabs>
        <w:spacing w:line="360" w:lineRule="auto"/>
        <w:jc w:val="both"/>
        <w:rPr>
          <w:rFonts w:ascii="Palatino Linotype" w:hAnsi="Palatino Linotype"/>
          <w:color w:val="000000" w:themeColor="text1"/>
        </w:rPr>
      </w:pPr>
    </w:p>
    <w:p w:rsidR="00B26AF6" w:rsidRPr="00707C84" w:rsidRDefault="00B26AF6" w:rsidP="00707C84">
      <w:pPr>
        <w:tabs>
          <w:tab w:val="left" w:pos="284"/>
          <w:tab w:val="left" w:pos="8080"/>
        </w:tabs>
        <w:spacing w:line="360" w:lineRule="auto"/>
        <w:contextualSpacing/>
        <w:jc w:val="both"/>
        <w:rPr>
          <w:rFonts w:ascii="Palatino Linotype" w:hAnsi="Palatino Linotype" w:cs="Arial"/>
          <w:color w:val="000000" w:themeColor="text1"/>
          <w:shd w:val="clear" w:color="auto" w:fill="FFFFFF"/>
        </w:rPr>
      </w:pPr>
      <w:r w:rsidRPr="00707C84">
        <w:rPr>
          <w:rFonts w:ascii="Palatino Linotype" w:eastAsia="Palatino Linotype" w:hAnsi="Palatino Linotype" w:cs="Palatino Linotype"/>
          <w:b/>
          <w:color w:val="000000" w:themeColor="text1"/>
          <w:lang w:val="es-ES_tradnl"/>
        </w:rPr>
        <w:t xml:space="preserve">TERCERO. </w:t>
      </w:r>
      <w:r w:rsidRPr="00707C84">
        <w:rPr>
          <w:rFonts w:ascii="Palatino Linotype" w:hAnsi="Palatino Linotype" w:cs="Arial"/>
          <w:b/>
          <w:color w:val="000000" w:themeColor="text1"/>
          <w:shd w:val="clear" w:color="auto" w:fill="FFFFFF"/>
        </w:rPr>
        <w:t>NOTIFÍQUESE</w:t>
      </w:r>
      <w:r w:rsidRPr="00707C84">
        <w:rPr>
          <w:rFonts w:ascii="Palatino Linotype" w:hAnsi="Palatino Linotype" w:cs="Arial"/>
          <w:color w:val="000000" w:themeColor="text1"/>
          <w:shd w:val="clear" w:color="auto" w:fill="FFFFFF"/>
        </w:rPr>
        <w:t xml:space="preserve"> la presente resolución al Titular de la Unidad de Transparencia del Sujeto Obligado </w:t>
      </w:r>
      <w:r w:rsidRPr="00707C84">
        <w:rPr>
          <w:rFonts w:ascii="Palatino Linotype" w:hAnsi="Palatino Linotype" w:cs="Arial"/>
          <w:b/>
          <w:color w:val="000000" w:themeColor="text1"/>
          <w:shd w:val="clear" w:color="auto" w:fill="FFFFFF"/>
        </w:rPr>
        <w:t>vía SAIMEX</w:t>
      </w:r>
      <w:r w:rsidRPr="00707C84">
        <w:rPr>
          <w:rFonts w:ascii="Palatino Linotype" w:hAnsi="Palatino Linotype" w:cs="Arial"/>
          <w:color w:val="000000" w:themeColor="text1"/>
          <w:shd w:val="clear" w:color="auto" w:fill="FFFFFF"/>
        </w:rPr>
        <w:t xml:space="preserve">, para que conforme al artículo 186 último párrafo, 189 segundo párrafo y 194 de la Ley de Transparencia y Acceso a la Información Pública del Estado de México y Municipios; </w:t>
      </w:r>
      <w:r w:rsidRPr="00707C84">
        <w:rPr>
          <w:rFonts w:ascii="Palatino Linotype" w:hAnsi="Palatino Linotype" w:cs="Arial"/>
          <w:b/>
          <w:color w:val="000000" w:themeColor="text1"/>
          <w:shd w:val="clear" w:color="auto" w:fill="FFFFFF"/>
        </w:rPr>
        <w:t>dé cumplimiento a lo ordenado dentro del plazo de diez días hábiles</w:t>
      </w:r>
      <w:r w:rsidRPr="00707C84">
        <w:rPr>
          <w:rFonts w:ascii="Palatino Linotype" w:hAnsi="Palatino Linotype" w:cs="Arial"/>
          <w:color w:val="000000" w:themeColor="text1"/>
          <w:shd w:val="clear" w:color="auto" w:fill="FFFFFF"/>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B26AF6" w:rsidRPr="00707C84" w:rsidRDefault="00B26AF6" w:rsidP="00707C84">
      <w:pPr>
        <w:tabs>
          <w:tab w:val="left" w:pos="284"/>
          <w:tab w:val="left" w:pos="8080"/>
        </w:tabs>
        <w:spacing w:line="360" w:lineRule="auto"/>
        <w:contextualSpacing/>
        <w:jc w:val="both"/>
        <w:rPr>
          <w:rFonts w:ascii="Palatino Linotype" w:eastAsiaTheme="minorEastAsia" w:hAnsi="Palatino Linotype"/>
          <w:color w:val="000000" w:themeColor="text1"/>
          <w:shd w:val="clear" w:color="auto" w:fill="FFFFFF"/>
          <w:lang w:val="es-ES_tradnl"/>
        </w:rPr>
      </w:pPr>
    </w:p>
    <w:p w:rsidR="00B26AF6" w:rsidRPr="00707C84" w:rsidRDefault="00B26AF6" w:rsidP="00707C84">
      <w:pPr>
        <w:tabs>
          <w:tab w:val="left" w:pos="284"/>
        </w:tabs>
        <w:spacing w:line="360" w:lineRule="auto"/>
        <w:jc w:val="both"/>
        <w:rPr>
          <w:rFonts w:ascii="Palatino Linotype" w:eastAsia="MS Mincho" w:hAnsi="Palatino Linotype"/>
          <w:color w:val="000000" w:themeColor="text1"/>
          <w:lang w:val="es-ES_tradnl"/>
        </w:rPr>
      </w:pPr>
      <w:r w:rsidRPr="00707C84">
        <w:rPr>
          <w:rFonts w:ascii="Palatino Linotype" w:hAnsi="Palatino Linotype" w:cs="Arial"/>
          <w:b/>
          <w:color w:val="000000" w:themeColor="text1"/>
          <w:lang w:val="es-ES_tradnl"/>
        </w:rPr>
        <w:t xml:space="preserve">CUARTO. </w:t>
      </w:r>
      <w:r w:rsidRPr="00707C84">
        <w:rPr>
          <w:rFonts w:ascii="Palatino Linotype" w:hAnsi="Palatino Linotype"/>
          <w:b/>
          <w:bCs/>
          <w:color w:val="000000" w:themeColor="text1"/>
          <w:lang w:val="es-ES"/>
        </w:rPr>
        <w:t xml:space="preserve">Notifíquese </w:t>
      </w:r>
      <w:r w:rsidRPr="00707C84">
        <w:rPr>
          <w:rFonts w:ascii="Palatino Linotype" w:hAnsi="Palatino Linotype"/>
          <w:bCs/>
          <w:color w:val="000000" w:themeColor="text1"/>
          <w:lang w:val="es-ES"/>
        </w:rPr>
        <w:t xml:space="preserve">al </w:t>
      </w:r>
      <w:r w:rsidRPr="00707C84">
        <w:rPr>
          <w:rFonts w:ascii="Palatino Linotype" w:hAnsi="Palatino Linotype"/>
          <w:b/>
          <w:bCs/>
          <w:color w:val="000000" w:themeColor="text1"/>
          <w:lang w:val="es-ES"/>
        </w:rPr>
        <w:t>RECURRENTE</w:t>
      </w:r>
      <w:r w:rsidRPr="00707C84">
        <w:rPr>
          <w:rFonts w:ascii="Palatino Linotype" w:hAnsi="Palatino Linotype"/>
          <w:b/>
          <w:color w:val="000000" w:themeColor="text1"/>
          <w:lang w:val="es-ES"/>
        </w:rPr>
        <w:t xml:space="preserve"> </w:t>
      </w:r>
      <w:r w:rsidRPr="00707C84">
        <w:rPr>
          <w:rFonts w:ascii="Palatino Linotype" w:eastAsiaTheme="minorEastAsia" w:hAnsi="Palatino Linotype"/>
          <w:color w:val="000000" w:themeColor="text1"/>
          <w:lang w:val="es-ES_tradnl"/>
        </w:rPr>
        <w:t>la presente resolución</w:t>
      </w:r>
      <w:r w:rsidRPr="00707C84">
        <w:rPr>
          <w:rFonts w:ascii="Palatino Linotype" w:eastAsia="MS Mincho" w:hAnsi="Palatino Linotype"/>
          <w:color w:val="000000" w:themeColor="text1"/>
          <w:lang w:val="es-ES_tradnl"/>
        </w:rPr>
        <w:t xml:space="preserve"> a través del Sistema de Acceso a la Información Mexiquense (SAIMEX).</w:t>
      </w:r>
    </w:p>
    <w:p w:rsidR="00B26AF6" w:rsidRPr="00707C84" w:rsidRDefault="00B26AF6" w:rsidP="00707C84">
      <w:pPr>
        <w:tabs>
          <w:tab w:val="left" w:pos="284"/>
        </w:tabs>
        <w:spacing w:line="360" w:lineRule="auto"/>
        <w:jc w:val="both"/>
        <w:rPr>
          <w:rFonts w:ascii="Palatino Linotype" w:eastAsia="MS Mincho" w:hAnsi="Palatino Linotype"/>
          <w:color w:val="000000" w:themeColor="text1"/>
          <w:lang w:val="es-ES_tradnl"/>
        </w:rPr>
      </w:pPr>
    </w:p>
    <w:p w:rsidR="00B26AF6" w:rsidRPr="00707C84" w:rsidRDefault="00B26AF6" w:rsidP="00707C84">
      <w:pPr>
        <w:spacing w:line="360" w:lineRule="auto"/>
        <w:jc w:val="both"/>
        <w:rPr>
          <w:rFonts w:ascii="Palatino Linotype" w:eastAsia="Calibri" w:hAnsi="Palatino Linotype" w:cs="Arial"/>
          <w:bCs/>
          <w:color w:val="000000" w:themeColor="text1"/>
        </w:rPr>
      </w:pPr>
      <w:r w:rsidRPr="00707C84">
        <w:rPr>
          <w:rFonts w:ascii="Palatino Linotype" w:hAnsi="Palatino Linotype" w:cs="Arial"/>
          <w:b/>
          <w:color w:val="000000" w:themeColor="text1"/>
        </w:rPr>
        <w:lastRenderedPageBreak/>
        <w:t xml:space="preserve">QUINTO. </w:t>
      </w:r>
      <w:r w:rsidRPr="00707C84">
        <w:rPr>
          <w:rFonts w:ascii="Palatino Linotype" w:eastAsia="Calibri" w:hAnsi="Palatino Linotype" w:cs="Arial"/>
          <w:bCs/>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B26AF6" w:rsidRDefault="00B26AF6" w:rsidP="00707C84">
      <w:pPr>
        <w:spacing w:before="240" w:after="360" w:line="360" w:lineRule="auto"/>
        <w:jc w:val="both"/>
        <w:rPr>
          <w:rFonts w:ascii="Palatino Linotype" w:eastAsia="MS Mincho" w:hAnsi="Palatino Linotype"/>
          <w:color w:val="000000" w:themeColor="text1"/>
          <w:lang w:val="es-ES"/>
        </w:rPr>
      </w:pPr>
      <w:r w:rsidRPr="00707C84">
        <w:rPr>
          <w:rFonts w:ascii="Palatino Linotype" w:hAnsi="Palatino Linotype"/>
          <w:b/>
          <w:color w:val="000000" w:themeColor="text1"/>
        </w:rPr>
        <w:t>SEXTO.</w:t>
      </w:r>
      <w:r w:rsidRPr="00707C84">
        <w:rPr>
          <w:rFonts w:ascii="Palatino Linotype" w:hAnsi="Palatino Linotype"/>
          <w:color w:val="000000" w:themeColor="text1"/>
          <w:lang w:val="es-ES"/>
        </w:rPr>
        <w:t xml:space="preserve"> </w:t>
      </w:r>
      <w:r w:rsidRPr="00707C84">
        <w:rPr>
          <w:rFonts w:ascii="Palatino Linotype" w:eastAsia="MS Mincho" w:hAnsi="Palatino Linotype"/>
          <w:color w:val="000000" w:themeColor="text1"/>
          <w:lang w:val="es-ES"/>
        </w:rPr>
        <w:t xml:space="preserve">Se hace del conocimiento del </w:t>
      </w:r>
      <w:r w:rsidRPr="00707C84">
        <w:rPr>
          <w:rFonts w:ascii="Palatino Linotype" w:eastAsia="MS Mincho" w:hAnsi="Palatino Linotype"/>
          <w:b/>
          <w:color w:val="000000" w:themeColor="text1"/>
          <w:lang w:val="es-ES"/>
        </w:rPr>
        <w:t>Recurrente</w:t>
      </w:r>
      <w:r w:rsidRPr="00707C84">
        <w:rPr>
          <w:rFonts w:ascii="Palatino Linotype" w:eastAsia="MS Mincho" w:hAnsi="Palatino Linotype"/>
          <w:b/>
          <w:color w:val="000000" w:themeColor="text1"/>
          <w:lang w:val="es-ES_tradnl"/>
        </w:rPr>
        <w:t xml:space="preserve"> </w:t>
      </w:r>
      <w:r w:rsidRPr="00707C84">
        <w:rPr>
          <w:rFonts w:ascii="Palatino Linotype" w:eastAsia="MS Mincho" w:hAnsi="Palatino Linotype"/>
          <w:color w:val="000000" w:themeColor="text1"/>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707C84">
        <w:rPr>
          <w:rFonts w:ascii="Palatino Linotype" w:eastAsia="MS Mincho" w:hAnsi="Palatino Linotype"/>
          <w:bCs/>
          <w:color w:val="000000" w:themeColor="text1"/>
          <w:lang w:val="es-ES"/>
        </w:rPr>
        <w:t>vía juicio de amparo</w:t>
      </w:r>
      <w:r w:rsidRPr="00707C84">
        <w:rPr>
          <w:rFonts w:ascii="Palatino Linotype" w:eastAsia="MS Mincho" w:hAnsi="Palatino Linotype"/>
          <w:color w:val="000000" w:themeColor="text1"/>
          <w:lang w:val="es-ES"/>
        </w:rPr>
        <w:t> en los términos de las leyes aplicables.</w:t>
      </w:r>
    </w:p>
    <w:p w:rsidR="001E6179" w:rsidRPr="00444783" w:rsidRDefault="001E6179" w:rsidP="001E6179">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PRIMERA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VEINTE (20)</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DE DOS MIL VEINTICINCO, ANTE EL SECRETARIO TÉCNICO DEL PLENO ALEXIS TAPIA RAMÍREZ.</w:t>
      </w:r>
    </w:p>
    <w:p w:rsidR="00B26AF6" w:rsidRPr="00707C84" w:rsidRDefault="00B26AF6" w:rsidP="00707C84">
      <w:pPr>
        <w:tabs>
          <w:tab w:val="left" w:pos="284"/>
        </w:tabs>
        <w:spacing w:before="240" w:after="240" w:line="360" w:lineRule="auto"/>
        <w:jc w:val="both"/>
        <w:rPr>
          <w:rFonts w:ascii="Palatino Linotype" w:eastAsia="Palatino Linotype" w:hAnsi="Palatino Linotype" w:cs="Palatino Linotype"/>
          <w:color w:val="000000" w:themeColor="text1"/>
        </w:rPr>
      </w:pPr>
    </w:p>
    <w:p w:rsidR="00B26AF6" w:rsidRPr="00707C84" w:rsidRDefault="00B26AF6" w:rsidP="00707C8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B26AF6" w:rsidRPr="00707C84" w:rsidRDefault="00B26AF6" w:rsidP="00707C8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B26AF6" w:rsidRPr="00707C84" w:rsidRDefault="00B26AF6" w:rsidP="00707C8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B26AF6" w:rsidRPr="00707C84" w:rsidRDefault="00B26AF6" w:rsidP="00707C8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B26AF6" w:rsidRPr="00707C84" w:rsidRDefault="00B26AF6" w:rsidP="00707C8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B26AF6" w:rsidRPr="00707C84" w:rsidRDefault="00B26AF6" w:rsidP="00707C8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B26AF6" w:rsidRPr="00707C84" w:rsidRDefault="00B26AF6" w:rsidP="00707C8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B26AF6" w:rsidRPr="00707C84" w:rsidRDefault="00B26AF6" w:rsidP="00707C8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B26AF6" w:rsidRPr="00707C84" w:rsidRDefault="00B26AF6" w:rsidP="00707C8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26AF6" w:rsidRPr="00707C84" w:rsidRDefault="00B26AF6" w:rsidP="00707C84">
      <w:pPr>
        <w:pBdr>
          <w:top w:val="nil"/>
          <w:left w:val="nil"/>
          <w:bottom w:val="nil"/>
          <w:right w:val="nil"/>
          <w:between w:val="nil"/>
        </w:pBdr>
        <w:rPr>
          <w:rFonts w:ascii="Palatino Linotype" w:eastAsia="Palatino Linotype" w:hAnsi="Palatino Linotype" w:cs="Palatino Linotype"/>
          <w:color w:val="000000" w:themeColor="text1"/>
        </w:rPr>
      </w:pPr>
    </w:p>
    <w:p w:rsidR="00B26AF6" w:rsidRPr="00707C84" w:rsidRDefault="00B26AF6" w:rsidP="00707C8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26AF6" w:rsidRPr="00707C84" w:rsidRDefault="00B26AF6" w:rsidP="00707C84">
      <w:pPr>
        <w:rPr>
          <w:rFonts w:ascii="Palatino Linotype" w:hAnsi="Palatino Linotype"/>
          <w:color w:val="000000" w:themeColor="text1"/>
        </w:rPr>
      </w:pPr>
    </w:p>
    <w:p w:rsidR="00B26AF6" w:rsidRPr="00707C84" w:rsidRDefault="00B26AF6" w:rsidP="00707C84">
      <w:pPr>
        <w:rPr>
          <w:rFonts w:ascii="Palatino Linotype" w:hAnsi="Palatino Linotype"/>
          <w:color w:val="000000" w:themeColor="text1"/>
        </w:rPr>
      </w:pPr>
    </w:p>
    <w:p w:rsidR="00B26AF6" w:rsidRPr="00707C84" w:rsidRDefault="00B26AF6" w:rsidP="00707C84">
      <w:pPr>
        <w:rPr>
          <w:rFonts w:ascii="Palatino Linotype" w:hAnsi="Palatino Linotype"/>
          <w:color w:val="000000" w:themeColor="text1"/>
        </w:rPr>
      </w:pPr>
    </w:p>
    <w:p w:rsidR="00B26AF6" w:rsidRPr="00707C84" w:rsidRDefault="00B26AF6" w:rsidP="00707C84">
      <w:pPr>
        <w:rPr>
          <w:rFonts w:ascii="Palatino Linotype" w:hAnsi="Palatino Linotype"/>
          <w:color w:val="000000" w:themeColor="text1"/>
        </w:rPr>
      </w:pPr>
    </w:p>
    <w:p w:rsidR="00B26AF6" w:rsidRPr="00707C84" w:rsidRDefault="00B26AF6" w:rsidP="00707C84">
      <w:pPr>
        <w:rPr>
          <w:rFonts w:ascii="Palatino Linotype" w:hAnsi="Palatino Linotype"/>
          <w:color w:val="000000" w:themeColor="text1"/>
        </w:rPr>
      </w:pPr>
    </w:p>
    <w:p w:rsidR="00B26AF6" w:rsidRPr="00707C84" w:rsidRDefault="00B26AF6" w:rsidP="00707C84">
      <w:pPr>
        <w:rPr>
          <w:rFonts w:ascii="Palatino Linotype" w:hAnsi="Palatino Linotype"/>
          <w:color w:val="000000" w:themeColor="text1"/>
        </w:rPr>
      </w:pPr>
    </w:p>
    <w:p w:rsidR="00E678C4" w:rsidRPr="00707C84" w:rsidRDefault="00E678C4" w:rsidP="00707C84">
      <w:pPr>
        <w:rPr>
          <w:rFonts w:ascii="Palatino Linotype" w:hAnsi="Palatino Linotype"/>
          <w:color w:val="000000" w:themeColor="text1"/>
        </w:rPr>
      </w:pPr>
    </w:p>
    <w:sectPr w:rsidR="00E678C4" w:rsidRPr="00707C84" w:rsidSect="00915DD6">
      <w:headerReference w:type="even" r:id="rId8"/>
      <w:headerReference w:type="default" r:id="rId9"/>
      <w:footerReference w:type="default" r:id="rId10"/>
      <w:headerReference w:type="first" r:id="rId11"/>
      <w:footerReference w:type="first" r:id="rId12"/>
      <w:pgSz w:w="12240" w:h="15840"/>
      <w:pgMar w:top="80" w:right="75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086" w:rsidRDefault="00F51086" w:rsidP="00B26AF6">
      <w:r>
        <w:separator/>
      </w:r>
    </w:p>
  </w:endnote>
  <w:endnote w:type="continuationSeparator" w:id="0">
    <w:p w:rsidR="00F51086" w:rsidRDefault="00F51086" w:rsidP="00B26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2B4" w:rsidRDefault="004122B4">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915DD6">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915DD6">
      <w:rPr>
        <w:b/>
        <w:noProof/>
        <w:color w:val="000000"/>
      </w:rPr>
      <w:t>25</w:t>
    </w:r>
    <w:r>
      <w:rPr>
        <w:b/>
        <w:color w:val="000000"/>
      </w:rPr>
      <w:fldChar w:fldCharType="end"/>
    </w:r>
  </w:p>
  <w:p w:rsidR="004122B4" w:rsidRDefault="004122B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2B4" w:rsidRDefault="004122B4">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915DD6">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915DD6">
      <w:rPr>
        <w:b/>
        <w:noProof/>
        <w:color w:val="000000"/>
      </w:rPr>
      <w:t>25</w:t>
    </w:r>
    <w:r>
      <w:rPr>
        <w:b/>
        <w:color w:val="000000"/>
      </w:rPr>
      <w:fldChar w:fldCharType="end"/>
    </w:r>
  </w:p>
  <w:p w:rsidR="004122B4" w:rsidRDefault="004122B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086" w:rsidRDefault="00F51086" w:rsidP="00B26AF6">
      <w:r>
        <w:separator/>
      </w:r>
    </w:p>
  </w:footnote>
  <w:footnote w:type="continuationSeparator" w:id="0">
    <w:p w:rsidR="00F51086" w:rsidRDefault="00F51086" w:rsidP="00B26AF6">
      <w:r>
        <w:continuationSeparator/>
      </w:r>
    </w:p>
  </w:footnote>
  <w:footnote w:id="1">
    <w:p w:rsidR="004122B4" w:rsidRDefault="004122B4" w:rsidP="00B26AF6">
      <w:pPr>
        <w:pStyle w:val="Textonotapie"/>
      </w:pPr>
      <w:r>
        <w:rPr>
          <w:rStyle w:val="Refdenotaalpie"/>
        </w:rPr>
        <w:footnoteRef/>
      </w:r>
      <w:r>
        <w:t xml:space="preserve"> Artículo 150. Ley de Transparencia y Acceso a la Información Pública del Estado de México y Municipios.</w:t>
      </w:r>
    </w:p>
    <w:p w:rsidR="004122B4" w:rsidRDefault="004122B4" w:rsidP="00B26AF6">
      <w:pPr>
        <w:pStyle w:val="Textonotapie"/>
      </w:pPr>
      <w:r>
        <w:t>Artículo 151. Ibídem.</w:t>
      </w:r>
    </w:p>
  </w:footnote>
  <w:footnote w:id="2">
    <w:p w:rsidR="004122B4" w:rsidRDefault="004122B4" w:rsidP="00B26AF6">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2B4" w:rsidRDefault="00F51086">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216;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Look w:val="0400" w:firstRow="0" w:lastRow="0" w:firstColumn="0" w:lastColumn="0" w:noHBand="0" w:noVBand="1"/>
    </w:tblPr>
    <w:tblGrid>
      <w:gridCol w:w="2268"/>
      <w:gridCol w:w="7938"/>
    </w:tblGrid>
    <w:tr w:rsidR="004122B4" w:rsidTr="00915DD6">
      <w:trPr>
        <w:trHeight w:val="1435"/>
      </w:trPr>
      <w:tc>
        <w:tcPr>
          <w:tcW w:w="2268" w:type="dxa"/>
          <w:shd w:val="clear" w:color="auto" w:fill="auto"/>
        </w:tcPr>
        <w:p w:rsidR="004122B4" w:rsidRDefault="004122B4">
          <w:pPr>
            <w:tabs>
              <w:tab w:val="right" w:pos="4273"/>
            </w:tabs>
            <w:rPr>
              <w:rFonts w:ascii="Garamond" w:eastAsia="Garamond" w:hAnsi="Garamond" w:cs="Garamond"/>
              <w:sz w:val="16"/>
              <w:szCs w:val="16"/>
            </w:rPr>
          </w:pPr>
        </w:p>
      </w:tc>
      <w:tc>
        <w:tcPr>
          <w:tcW w:w="7938" w:type="dxa"/>
          <w:shd w:val="clear" w:color="auto" w:fill="auto"/>
        </w:tcPr>
        <w:tbl>
          <w:tblPr>
            <w:tblW w:w="6940" w:type="dxa"/>
            <w:tblInd w:w="1452" w:type="dxa"/>
            <w:tblLayout w:type="fixed"/>
            <w:tblLook w:val="0400" w:firstRow="0" w:lastRow="0" w:firstColumn="0" w:lastColumn="0" w:noHBand="0" w:noVBand="1"/>
          </w:tblPr>
          <w:tblGrid>
            <w:gridCol w:w="2829"/>
            <w:gridCol w:w="4111"/>
          </w:tblGrid>
          <w:tr w:rsidR="004122B4" w:rsidTr="00915DD6">
            <w:trPr>
              <w:trHeight w:val="150"/>
            </w:trPr>
            <w:tc>
              <w:tcPr>
                <w:tcW w:w="2829" w:type="dxa"/>
                <w:shd w:val="clear" w:color="auto" w:fill="auto"/>
              </w:tcPr>
              <w:p w:rsidR="004122B4" w:rsidRPr="00915DD6" w:rsidRDefault="004122B4">
                <w:pPr>
                  <w:tabs>
                    <w:tab w:val="right" w:pos="8838"/>
                  </w:tabs>
                  <w:ind w:right="-105"/>
                  <w:rPr>
                    <w:rFonts w:ascii="Palatino Linotype" w:eastAsia="Palatino Linotype" w:hAnsi="Palatino Linotype" w:cs="Palatino Linotype"/>
                    <w:b/>
                    <w:szCs w:val="22"/>
                  </w:rPr>
                </w:pPr>
                <w:r w:rsidRPr="00915DD6">
                  <w:rPr>
                    <w:rFonts w:ascii="Palatino Linotype" w:eastAsia="Palatino Linotype" w:hAnsi="Palatino Linotype" w:cs="Palatino Linotype"/>
                    <w:b/>
                    <w:szCs w:val="22"/>
                  </w:rPr>
                  <w:t>Recurso de Revisión:</w:t>
                </w:r>
              </w:p>
            </w:tc>
            <w:tc>
              <w:tcPr>
                <w:tcW w:w="4111" w:type="dxa"/>
                <w:shd w:val="clear" w:color="auto" w:fill="auto"/>
              </w:tcPr>
              <w:p w:rsidR="004122B4" w:rsidRPr="00915DD6" w:rsidRDefault="004122B4">
                <w:pPr>
                  <w:tabs>
                    <w:tab w:val="right" w:pos="8838"/>
                  </w:tabs>
                  <w:ind w:left="-108" w:right="-1090"/>
                  <w:jc w:val="both"/>
                  <w:rPr>
                    <w:rFonts w:ascii="Palatino Linotype" w:eastAsia="Palatino Linotype" w:hAnsi="Palatino Linotype" w:cs="Palatino Linotype"/>
                    <w:szCs w:val="22"/>
                  </w:rPr>
                </w:pPr>
                <w:r w:rsidRPr="00915DD6">
                  <w:rPr>
                    <w:rFonts w:ascii="Palatino Linotype" w:eastAsia="Palatino Linotype" w:hAnsi="Palatino Linotype" w:cs="Palatino Linotype"/>
                    <w:szCs w:val="22"/>
                  </w:rPr>
                  <w:t>05778/INFOEM/IP/RR/2025</w:t>
                </w:r>
                <w:r w:rsidRPr="00915DD6">
                  <w:rPr>
                    <w:rFonts w:ascii="Palatino Linotype" w:eastAsia="Palatino Linotype" w:hAnsi="Palatino Linotype" w:cs="Palatino Linotype"/>
                    <w:b/>
                    <w:szCs w:val="22"/>
                  </w:rPr>
                  <w:t xml:space="preserve"> </w:t>
                </w:r>
              </w:p>
            </w:tc>
          </w:tr>
          <w:tr w:rsidR="004122B4" w:rsidTr="00915DD6">
            <w:trPr>
              <w:trHeight w:val="295"/>
            </w:trPr>
            <w:tc>
              <w:tcPr>
                <w:tcW w:w="2829" w:type="dxa"/>
                <w:shd w:val="clear" w:color="auto" w:fill="auto"/>
              </w:tcPr>
              <w:p w:rsidR="004122B4" w:rsidRPr="00915DD6" w:rsidRDefault="004122B4">
                <w:pPr>
                  <w:tabs>
                    <w:tab w:val="right" w:pos="8838"/>
                  </w:tabs>
                  <w:ind w:right="-105"/>
                  <w:rPr>
                    <w:rFonts w:ascii="Palatino Linotype" w:eastAsia="Palatino Linotype" w:hAnsi="Palatino Linotype" w:cs="Palatino Linotype"/>
                    <w:b/>
                    <w:szCs w:val="22"/>
                  </w:rPr>
                </w:pPr>
                <w:r w:rsidRPr="00915DD6">
                  <w:rPr>
                    <w:rFonts w:ascii="Palatino Linotype" w:eastAsia="Palatino Linotype" w:hAnsi="Palatino Linotype" w:cs="Palatino Linotype"/>
                    <w:b/>
                    <w:szCs w:val="22"/>
                  </w:rPr>
                  <w:t>Sujeto Obligado:</w:t>
                </w:r>
              </w:p>
            </w:tc>
            <w:tc>
              <w:tcPr>
                <w:tcW w:w="4111" w:type="dxa"/>
                <w:shd w:val="clear" w:color="auto" w:fill="auto"/>
              </w:tcPr>
              <w:p w:rsidR="004122B4" w:rsidRPr="00915DD6" w:rsidRDefault="004122B4">
                <w:pPr>
                  <w:tabs>
                    <w:tab w:val="left" w:pos="2834"/>
                    <w:tab w:val="right" w:pos="8838"/>
                  </w:tabs>
                  <w:ind w:left="-108" w:right="-1090"/>
                  <w:jc w:val="both"/>
                  <w:rPr>
                    <w:rFonts w:ascii="Palatino Linotype" w:eastAsia="Palatino Linotype" w:hAnsi="Palatino Linotype" w:cs="Palatino Linotype"/>
                    <w:szCs w:val="22"/>
                  </w:rPr>
                </w:pPr>
                <w:r w:rsidRPr="00915DD6">
                  <w:rPr>
                    <w:rFonts w:ascii="Palatino Linotype" w:eastAsia="Palatino Linotype" w:hAnsi="Palatino Linotype" w:cs="Palatino Linotype"/>
                    <w:szCs w:val="22"/>
                  </w:rPr>
                  <w:t>Ayuntamiento de Tepotzotlán</w:t>
                </w:r>
              </w:p>
            </w:tc>
          </w:tr>
          <w:tr w:rsidR="004122B4" w:rsidTr="00915DD6">
            <w:trPr>
              <w:trHeight w:val="295"/>
            </w:trPr>
            <w:tc>
              <w:tcPr>
                <w:tcW w:w="2829" w:type="dxa"/>
                <w:shd w:val="clear" w:color="auto" w:fill="auto"/>
              </w:tcPr>
              <w:p w:rsidR="004122B4" w:rsidRPr="00915DD6" w:rsidRDefault="004122B4">
                <w:pPr>
                  <w:tabs>
                    <w:tab w:val="right" w:pos="8838"/>
                  </w:tabs>
                  <w:ind w:right="-105"/>
                  <w:rPr>
                    <w:rFonts w:ascii="Palatino Linotype" w:eastAsia="Palatino Linotype" w:hAnsi="Palatino Linotype" w:cs="Palatino Linotype"/>
                    <w:b/>
                    <w:szCs w:val="22"/>
                  </w:rPr>
                </w:pPr>
                <w:r w:rsidRPr="00915DD6">
                  <w:rPr>
                    <w:rFonts w:ascii="Palatino Linotype" w:eastAsia="Palatino Linotype" w:hAnsi="Palatino Linotype" w:cs="Palatino Linotype"/>
                    <w:b/>
                    <w:szCs w:val="22"/>
                  </w:rPr>
                  <w:t>Comisionado ponente:</w:t>
                </w:r>
              </w:p>
            </w:tc>
            <w:tc>
              <w:tcPr>
                <w:tcW w:w="4111" w:type="dxa"/>
                <w:shd w:val="clear" w:color="auto" w:fill="auto"/>
              </w:tcPr>
              <w:p w:rsidR="004122B4" w:rsidRPr="00915DD6" w:rsidRDefault="004122B4">
                <w:pPr>
                  <w:tabs>
                    <w:tab w:val="right" w:pos="8838"/>
                  </w:tabs>
                  <w:ind w:left="-108" w:right="-1090"/>
                  <w:jc w:val="both"/>
                  <w:rPr>
                    <w:rFonts w:ascii="Palatino Linotype" w:eastAsia="Palatino Linotype" w:hAnsi="Palatino Linotype" w:cs="Palatino Linotype"/>
                    <w:szCs w:val="22"/>
                  </w:rPr>
                </w:pPr>
                <w:r w:rsidRPr="00915DD6">
                  <w:rPr>
                    <w:rFonts w:ascii="Palatino Linotype" w:eastAsia="Palatino Linotype" w:hAnsi="Palatino Linotype" w:cs="Palatino Linotype"/>
                    <w:szCs w:val="22"/>
                  </w:rPr>
                  <w:t>María del Rosario Mejía Ayala</w:t>
                </w:r>
              </w:p>
              <w:p w:rsidR="004122B4" w:rsidRPr="00915DD6" w:rsidRDefault="004122B4">
                <w:pPr>
                  <w:tabs>
                    <w:tab w:val="right" w:pos="8838"/>
                  </w:tabs>
                  <w:ind w:left="-108" w:right="-1090"/>
                  <w:jc w:val="both"/>
                  <w:rPr>
                    <w:rFonts w:ascii="Palatino Linotype" w:eastAsia="Palatino Linotype" w:hAnsi="Palatino Linotype" w:cs="Palatino Linotype"/>
                    <w:b/>
                    <w:szCs w:val="22"/>
                  </w:rPr>
                </w:pPr>
              </w:p>
            </w:tc>
          </w:tr>
        </w:tbl>
        <w:p w:rsidR="004122B4" w:rsidRDefault="004122B4">
          <w:pPr>
            <w:tabs>
              <w:tab w:val="right" w:pos="8838"/>
            </w:tabs>
            <w:ind w:left="-28"/>
            <w:jc w:val="both"/>
            <w:rPr>
              <w:rFonts w:ascii="Arial" w:eastAsia="Arial" w:hAnsi="Arial" w:cs="Arial"/>
              <w:b/>
              <w:sz w:val="22"/>
              <w:szCs w:val="22"/>
            </w:rPr>
          </w:pPr>
        </w:p>
      </w:tc>
    </w:tr>
  </w:tbl>
  <w:p w:rsidR="004122B4" w:rsidRDefault="00F51086">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20.5pt;width:589.8pt;height:768pt;z-index:-251656192;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20" w:type="dxa"/>
      <w:tblLayout w:type="fixed"/>
      <w:tblLook w:val="0400" w:firstRow="0" w:lastRow="0" w:firstColumn="0" w:lastColumn="0" w:noHBand="0" w:noVBand="1"/>
    </w:tblPr>
    <w:tblGrid>
      <w:gridCol w:w="2265"/>
      <w:gridCol w:w="7755"/>
    </w:tblGrid>
    <w:tr w:rsidR="004122B4" w:rsidRPr="00915DD6">
      <w:trPr>
        <w:trHeight w:val="1435"/>
      </w:trPr>
      <w:tc>
        <w:tcPr>
          <w:tcW w:w="2265" w:type="dxa"/>
          <w:shd w:val="clear" w:color="auto" w:fill="auto"/>
        </w:tcPr>
        <w:p w:rsidR="004122B4" w:rsidRPr="00915DD6" w:rsidRDefault="004122B4">
          <w:pPr>
            <w:tabs>
              <w:tab w:val="right" w:pos="4273"/>
            </w:tabs>
            <w:rPr>
              <w:rFonts w:ascii="Garamond" w:eastAsia="Garamond" w:hAnsi="Garamond" w:cs="Garamond"/>
              <w:szCs w:val="22"/>
            </w:rPr>
          </w:pPr>
        </w:p>
      </w:tc>
      <w:tc>
        <w:tcPr>
          <w:tcW w:w="7755" w:type="dxa"/>
          <w:shd w:val="clear" w:color="auto" w:fill="auto"/>
        </w:tcPr>
        <w:tbl>
          <w:tblPr>
            <w:tblW w:w="8081" w:type="dxa"/>
            <w:tblInd w:w="1171" w:type="dxa"/>
            <w:tblLayout w:type="fixed"/>
            <w:tblLook w:val="0400" w:firstRow="0" w:lastRow="0" w:firstColumn="0" w:lastColumn="0" w:noHBand="0" w:noVBand="1"/>
          </w:tblPr>
          <w:tblGrid>
            <w:gridCol w:w="3116"/>
            <w:gridCol w:w="4965"/>
          </w:tblGrid>
          <w:tr w:rsidR="004122B4" w:rsidRPr="00915DD6" w:rsidTr="00915DD6">
            <w:trPr>
              <w:trHeight w:val="144"/>
            </w:trPr>
            <w:tc>
              <w:tcPr>
                <w:tcW w:w="3116" w:type="dxa"/>
                <w:shd w:val="clear" w:color="auto" w:fill="auto"/>
              </w:tcPr>
              <w:p w:rsidR="004122B4" w:rsidRPr="00915DD6" w:rsidRDefault="004122B4">
                <w:pPr>
                  <w:tabs>
                    <w:tab w:val="right" w:pos="8838"/>
                  </w:tabs>
                  <w:ind w:left="-264" w:right="-105" w:firstLine="195"/>
                  <w:rPr>
                    <w:rFonts w:ascii="Palatino Linotype" w:eastAsia="Palatino Linotype" w:hAnsi="Palatino Linotype" w:cs="Palatino Linotype"/>
                    <w:b/>
                    <w:szCs w:val="22"/>
                  </w:rPr>
                </w:pPr>
                <w:r w:rsidRPr="00915DD6">
                  <w:rPr>
                    <w:rFonts w:ascii="Palatino Linotype" w:eastAsia="Palatino Linotype" w:hAnsi="Palatino Linotype" w:cs="Palatino Linotype"/>
                    <w:b/>
                    <w:szCs w:val="22"/>
                  </w:rPr>
                  <w:t>Recurso de Revisión:</w:t>
                </w:r>
              </w:p>
            </w:tc>
            <w:tc>
              <w:tcPr>
                <w:tcW w:w="4965" w:type="dxa"/>
                <w:shd w:val="clear" w:color="auto" w:fill="auto"/>
              </w:tcPr>
              <w:p w:rsidR="004122B4" w:rsidRPr="00915DD6" w:rsidRDefault="004122B4">
                <w:pPr>
                  <w:tabs>
                    <w:tab w:val="right" w:pos="8838"/>
                  </w:tabs>
                  <w:ind w:left="-74" w:right="-1269"/>
                  <w:rPr>
                    <w:rFonts w:ascii="Palatino Linotype" w:eastAsia="Palatino Linotype" w:hAnsi="Palatino Linotype" w:cs="Palatino Linotype"/>
                    <w:szCs w:val="22"/>
                  </w:rPr>
                </w:pPr>
                <w:r w:rsidRPr="00915DD6">
                  <w:rPr>
                    <w:rFonts w:ascii="Palatino Linotype" w:eastAsia="Palatino Linotype" w:hAnsi="Palatino Linotype" w:cs="Palatino Linotype"/>
                    <w:szCs w:val="22"/>
                  </w:rPr>
                  <w:t>05778/INFOEM/IP/RR/2025</w:t>
                </w:r>
              </w:p>
            </w:tc>
          </w:tr>
          <w:tr w:rsidR="004122B4" w:rsidRPr="00915DD6" w:rsidTr="00915DD6">
            <w:trPr>
              <w:trHeight w:val="144"/>
            </w:trPr>
            <w:tc>
              <w:tcPr>
                <w:tcW w:w="3116" w:type="dxa"/>
                <w:shd w:val="clear" w:color="auto" w:fill="auto"/>
              </w:tcPr>
              <w:p w:rsidR="004122B4" w:rsidRPr="00915DD6" w:rsidRDefault="004122B4">
                <w:pPr>
                  <w:tabs>
                    <w:tab w:val="right" w:pos="8838"/>
                  </w:tabs>
                  <w:ind w:left="-74" w:right="-105"/>
                  <w:rPr>
                    <w:rFonts w:ascii="Palatino Linotype" w:eastAsia="Palatino Linotype" w:hAnsi="Palatino Linotype" w:cs="Palatino Linotype"/>
                    <w:b/>
                    <w:szCs w:val="22"/>
                  </w:rPr>
                </w:pPr>
                <w:r w:rsidRPr="00915DD6">
                  <w:rPr>
                    <w:rFonts w:ascii="Palatino Linotype" w:eastAsia="Palatino Linotype" w:hAnsi="Palatino Linotype" w:cs="Palatino Linotype"/>
                    <w:b/>
                    <w:szCs w:val="22"/>
                  </w:rPr>
                  <w:t>Recurrente:</w:t>
                </w:r>
              </w:p>
            </w:tc>
            <w:tc>
              <w:tcPr>
                <w:tcW w:w="4965" w:type="dxa"/>
                <w:shd w:val="clear" w:color="auto" w:fill="auto"/>
              </w:tcPr>
              <w:p w:rsidR="004122B4" w:rsidRPr="00915DD6" w:rsidRDefault="004122B4">
                <w:pPr>
                  <w:tabs>
                    <w:tab w:val="left" w:pos="3122"/>
                    <w:tab w:val="right" w:pos="8838"/>
                  </w:tabs>
                  <w:ind w:left="-74" w:right="-1269"/>
                  <w:rPr>
                    <w:rFonts w:ascii="Palatino Linotype" w:eastAsia="Palatino Linotype" w:hAnsi="Palatino Linotype" w:cs="Palatino Linotype"/>
                    <w:szCs w:val="22"/>
                  </w:rPr>
                </w:pPr>
              </w:p>
            </w:tc>
          </w:tr>
          <w:tr w:rsidR="004122B4" w:rsidRPr="00915DD6" w:rsidTr="00915DD6">
            <w:trPr>
              <w:trHeight w:val="283"/>
            </w:trPr>
            <w:tc>
              <w:tcPr>
                <w:tcW w:w="3116" w:type="dxa"/>
                <w:shd w:val="clear" w:color="auto" w:fill="auto"/>
              </w:tcPr>
              <w:p w:rsidR="004122B4" w:rsidRPr="00915DD6" w:rsidRDefault="004122B4">
                <w:pPr>
                  <w:tabs>
                    <w:tab w:val="right" w:pos="8838"/>
                  </w:tabs>
                  <w:ind w:left="-74" w:right="-105"/>
                  <w:rPr>
                    <w:rFonts w:ascii="Palatino Linotype" w:eastAsia="Palatino Linotype" w:hAnsi="Palatino Linotype" w:cs="Palatino Linotype"/>
                    <w:b/>
                    <w:szCs w:val="22"/>
                  </w:rPr>
                </w:pPr>
                <w:r w:rsidRPr="00915DD6">
                  <w:rPr>
                    <w:rFonts w:ascii="Palatino Linotype" w:eastAsia="Palatino Linotype" w:hAnsi="Palatino Linotype" w:cs="Palatino Linotype"/>
                    <w:b/>
                    <w:szCs w:val="22"/>
                  </w:rPr>
                  <w:t>Sujeto Obligado:</w:t>
                </w:r>
              </w:p>
            </w:tc>
            <w:tc>
              <w:tcPr>
                <w:tcW w:w="4965" w:type="dxa"/>
                <w:shd w:val="clear" w:color="auto" w:fill="auto"/>
              </w:tcPr>
              <w:p w:rsidR="004122B4" w:rsidRPr="00915DD6" w:rsidRDefault="004122B4">
                <w:pPr>
                  <w:tabs>
                    <w:tab w:val="left" w:pos="2834"/>
                    <w:tab w:val="right" w:pos="8838"/>
                  </w:tabs>
                  <w:ind w:left="-74" w:right="-1269"/>
                  <w:rPr>
                    <w:rFonts w:ascii="Palatino Linotype" w:eastAsia="Palatino Linotype" w:hAnsi="Palatino Linotype" w:cs="Palatino Linotype"/>
                    <w:szCs w:val="22"/>
                  </w:rPr>
                </w:pPr>
                <w:r w:rsidRPr="00915DD6">
                  <w:rPr>
                    <w:rFonts w:ascii="Palatino Linotype" w:eastAsia="Palatino Linotype" w:hAnsi="Palatino Linotype" w:cs="Palatino Linotype"/>
                    <w:szCs w:val="22"/>
                  </w:rPr>
                  <w:t>Ayuntamiento de Tepotzotlán</w:t>
                </w:r>
              </w:p>
            </w:tc>
          </w:tr>
          <w:tr w:rsidR="004122B4" w:rsidRPr="00915DD6" w:rsidTr="00915DD6">
            <w:trPr>
              <w:trHeight w:val="283"/>
            </w:trPr>
            <w:tc>
              <w:tcPr>
                <w:tcW w:w="3116" w:type="dxa"/>
                <w:shd w:val="clear" w:color="auto" w:fill="auto"/>
              </w:tcPr>
              <w:p w:rsidR="004122B4" w:rsidRPr="00915DD6" w:rsidRDefault="004122B4">
                <w:pPr>
                  <w:tabs>
                    <w:tab w:val="right" w:pos="8838"/>
                  </w:tabs>
                  <w:ind w:left="-74" w:right="-105"/>
                  <w:rPr>
                    <w:rFonts w:ascii="Palatino Linotype" w:eastAsia="Palatino Linotype" w:hAnsi="Palatino Linotype" w:cs="Palatino Linotype"/>
                    <w:b/>
                    <w:szCs w:val="22"/>
                  </w:rPr>
                </w:pPr>
                <w:r w:rsidRPr="00915DD6">
                  <w:rPr>
                    <w:rFonts w:ascii="Palatino Linotype" w:eastAsia="Palatino Linotype" w:hAnsi="Palatino Linotype" w:cs="Palatino Linotype"/>
                    <w:b/>
                    <w:szCs w:val="22"/>
                  </w:rPr>
                  <w:t>Comisionado ponente:</w:t>
                </w:r>
              </w:p>
            </w:tc>
            <w:tc>
              <w:tcPr>
                <w:tcW w:w="4965" w:type="dxa"/>
                <w:shd w:val="clear" w:color="auto" w:fill="auto"/>
              </w:tcPr>
              <w:p w:rsidR="004122B4" w:rsidRPr="00915DD6" w:rsidRDefault="004122B4">
                <w:pPr>
                  <w:tabs>
                    <w:tab w:val="right" w:pos="8838"/>
                  </w:tabs>
                  <w:ind w:left="-74" w:right="-1269"/>
                  <w:rPr>
                    <w:rFonts w:ascii="Palatino Linotype" w:eastAsia="Palatino Linotype" w:hAnsi="Palatino Linotype" w:cs="Palatino Linotype"/>
                    <w:szCs w:val="22"/>
                  </w:rPr>
                </w:pPr>
                <w:r w:rsidRPr="00915DD6">
                  <w:rPr>
                    <w:rFonts w:ascii="Palatino Linotype" w:eastAsia="Palatino Linotype" w:hAnsi="Palatino Linotype" w:cs="Palatino Linotype"/>
                    <w:szCs w:val="22"/>
                  </w:rPr>
                  <w:t>María del Rosario Mejía Ayala</w:t>
                </w:r>
              </w:p>
              <w:p w:rsidR="004122B4" w:rsidRPr="00915DD6" w:rsidRDefault="004122B4">
                <w:pPr>
                  <w:tabs>
                    <w:tab w:val="right" w:pos="8838"/>
                  </w:tabs>
                  <w:ind w:left="-74" w:right="-1269"/>
                  <w:rPr>
                    <w:rFonts w:ascii="Palatino Linotype" w:eastAsia="Palatino Linotype" w:hAnsi="Palatino Linotype" w:cs="Palatino Linotype"/>
                    <w:b/>
                    <w:szCs w:val="22"/>
                  </w:rPr>
                </w:pPr>
              </w:p>
            </w:tc>
          </w:tr>
        </w:tbl>
        <w:p w:rsidR="004122B4" w:rsidRPr="00915DD6" w:rsidRDefault="004122B4">
          <w:pPr>
            <w:tabs>
              <w:tab w:val="right" w:pos="8838"/>
            </w:tabs>
            <w:ind w:left="-28"/>
            <w:jc w:val="both"/>
            <w:rPr>
              <w:rFonts w:ascii="Arial" w:eastAsia="Arial" w:hAnsi="Arial" w:cs="Arial"/>
              <w:b/>
              <w:szCs w:val="22"/>
            </w:rPr>
          </w:pPr>
        </w:p>
      </w:tc>
    </w:tr>
  </w:tbl>
  <w:p w:rsidR="004122B4" w:rsidRPr="00915DD6" w:rsidRDefault="00F51086">
    <w:pPr>
      <w:pBdr>
        <w:top w:val="nil"/>
        <w:left w:val="nil"/>
        <w:bottom w:val="nil"/>
        <w:right w:val="nil"/>
        <w:between w:val="nil"/>
      </w:pBdr>
      <w:tabs>
        <w:tab w:val="center" w:pos="4419"/>
        <w:tab w:val="right" w:pos="8838"/>
      </w:tabs>
      <w:rPr>
        <w:color w:val="000000"/>
        <w:sz w:val="4"/>
        <w:szCs w:val="2"/>
      </w:rPr>
    </w:pPr>
    <w:r w:rsidRPr="00915DD6">
      <w:rPr>
        <w:color w:val="000000"/>
        <w:sz w:val="4"/>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8pt;margin-top:-117.6pt;width:589.8pt;height:768pt;z-index:-251655168;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130EE"/>
    <w:multiLevelType w:val="multilevel"/>
    <w:tmpl w:val="D2ACB9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875656C"/>
    <w:multiLevelType w:val="multilevel"/>
    <w:tmpl w:val="54BAF602"/>
    <w:lvl w:ilvl="0">
      <w:start w:val="1"/>
      <w:numFmt w:val="decimal"/>
      <w:lvlText w:val="%1."/>
      <w:lvlJc w:val="left"/>
      <w:pPr>
        <w:ind w:left="72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D92252E"/>
    <w:multiLevelType w:val="multilevel"/>
    <w:tmpl w:val="54BAF602"/>
    <w:lvl w:ilvl="0">
      <w:start w:val="1"/>
      <w:numFmt w:val="decimal"/>
      <w:lvlText w:val="%1."/>
      <w:lvlJc w:val="left"/>
      <w:pPr>
        <w:ind w:left="72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1736A9A"/>
    <w:multiLevelType w:val="hybridMultilevel"/>
    <w:tmpl w:val="B4768E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9380245"/>
    <w:multiLevelType w:val="hybridMultilevel"/>
    <w:tmpl w:val="B4662AAA"/>
    <w:lvl w:ilvl="0" w:tplc="ACF6D696">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6B9F0C8D"/>
    <w:multiLevelType w:val="multilevel"/>
    <w:tmpl w:val="4E8E0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DD95CB9"/>
    <w:multiLevelType w:val="multilevel"/>
    <w:tmpl w:val="DD72E26C"/>
    <w:lvl w:ilvl="0">
      <w:start w:val="1"/>
      <w:numFmt w:val="decimal"/>
      <w:lvlText w:val="%1."/>
      <w:lvlJc w:val="left"/>
      <w:pPr>
        <w:ind w:left="36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6"/>
  </w:num>
  <w:num w:numId="3">
    <w:abstractNumId w:val="5"/>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AF6"/>
    <w:rsid w:val="00160C87"/>
    <w:rsid w:val="001E6179"/>
    <w:rsid w:val="00250315"/>
    <w:rsid w:val="002F3E01"/>
    <w:rsid w:val="0030312D"/>
    <w:rsid w:val="004122B4"/>
    <w:rsid w:val="00707C84"/>
    <w:rsid w:val="00717511"/>
    <w:rsid w:val="00731455"/>
    <w:rsid w:val="008029A5"/>
    <w:rsid w:val="00852816"/>
    <w:rsid w:val="00915DD6"/>
    <w:rsid w:val="00930D04"/>
    <w:rsid w:val="00B26AF6"/>
    <w:rsid w:val="00D642A8"/>
    <w:rsid w:val="00DB4260"/>
    <w:rsid w:val="00DB72E1"/>
    <w:rsid w:val="00E678C4"/>
    <w:rsid w:val="00F51086"/>
    <w:rsid w:val="00F65C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58C4CE0-7B87-4576-A9B9-ECFA25B0B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AF6"/>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B26AF6"/>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B26AF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26AF6"/>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B26AF6"/>
    <w:rPr>
      <w:rFonts w:asciiTheme="majorHAnsi" w:eastAsiaTheme="majorEastAsia" w:hAnsiTheme="majorHAnsi" w:cstheme="majorBidi"/>
      <w:color w:val="2E74B5" w:themeColor="accent1" w:themeShade="BF"/>
      <w:sz w:val="26"/>
      <w:szCs w:val="26"/>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B26AF6"/>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26AF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26AF6"/>
    <w:rPr>
      <w:rFonts w:ascii="Times New Roman" w:eastAsia="Times New Roman" w:hAnsi="Times New Roman" w:cs="Times New Roman"/>
      <w:sz w:val="24"/>
      <w:szCs w:val="24"/>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26AF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26AF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B26AF6"/>
    <w:rPr>
      <w:vertAlign w:val="superscript"/>
    </w:rPr>
  </w:style>
  <w:style w:type="table" w:styleId="Tablanormal1">
    <w:name w:val="Plain Table 1"/>
    <w:basedOn w:val="Tablanormal"/>
    <w:uiPriority w:val="41"/>
    <w:rsid w:val="00B26AF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aliases w:val="Francesa,INAI"/>
    <w:link w:val="SinespaciadoCar"/>
    <w:uiPriority w:val="1"/>
    <w:qFormat/>
    <w:rsid w:val="00B26AF6"/>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Francesa Car,INAI Car"/>
    <w:basedOn w:val="Fuentedeprrafopredeter"/>
    <w:link w:val="Sinespaciado"/>
    <w:uiPriority w:val="1"/>
    <w:qFormat/>
    <w:rsid w:val="00B26AF6"/>
    <w:rPr>
      <w:rFonts w:ascii="Arial" w:eastAsia="Batang" w:hAnsi="Arial" w:cs="Times New Roman"/>
      <w:sz w:val="20"/>
      <w:szCs w:val="24"/>
      <w:lang w:eastAsia="es-ES"/>
    </w:rPr>
  </w:style>
  <w:style w:type="paragraph" w:styleId="Piedepgina">
    <w:name w:val="footer"/>
    <w:basedOn w:val="Normal"/>
    <w:link w:val="PiedepginaCar"/>
    <w:uiPriority w:val="99"/>
    <w:unhideWhenUsed/>
    <w:rsid w:val="00B26AF6"/>
    <w:pPr>
      <w:tabs>
        <w:tab w:val="center" w:pos="4419"/>
        <w:tab w:val="right" w:pos="8838"/>
      </w:tabs>
    </w:pPr>
  </w:style>
  <w:style w:type="character" w:customStyle="1" w:styleId="PiedepginaCar">
    <w:name w:val="Pie de página Car"/>
    <w:basedOn w:val="Fuentedeprrafopredeter"/>
    <w:link w:val="Piedepgina"/>
    <w:uiPriority w:val="99"/>
    <w:rsid w:val="00B26AF6"/>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45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imex.org.mx/saimex/solicitud/downloadAttach/2442612.pag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25</Pages>
  <Words>6096</Words>
  <Characters>33531</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39548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7</cp:revision>
  <cp:lastPrinted>2025-11-21T19:40:00Z</cp:lastPrinted>
  <dcterms:created xsi:type="dcterms:W3CDTF">2025-11-18T19:17:00Z</dcterms:created>
  <dcterms:modified xsi:type="dcterms:W3CDTF">2025-11-26T19:09:00Z</dcterms:modified>
</cp:coreProperties>
</file>