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GoBack"/>
      <w:bookmarkEnd w:id="0"/>
      <w:r w:rsidRPr="00FD3DD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D3DD7">
        <w:rPr>
          <w:rFonts w:ascii="Palatino Linotype" w:eastAsia="Palatino Linotype" w:hAnsi="Palatino Linotype" w:cs="Palatino Linotype"/>
          <w:b/>
          <w:color w:val="000000" w:themeColor="text1"/>
        </w:rPr>
        <w:t>de fecha</w:t>
      </w:r>
      <w:r w:rsidRPr="00FD3DD7">
        <w:rPr>
          <w:rFonts w:ascii="Palatino Linotype" w:eastAsia="Palatino Linotype" w:hAnsi="Palatino Linotype" w:cs="Palatino Linotype"/>
          <w:color w:val="000000" w:themeColor="text1"/>
        </w:rPr>
        <w:t xml:space="preserve"> </w:t>
      </w:r>
      <w:r w:rsidRPr="00FD3DD7">
        <w:rPr>
          <w:rFonts w:ascii="Palatino Linotype" w:eastAsia="Palatino Linotype" w:hAnsi="Palatino Linotype" w:cs="Palatino Linotype"/>
          <w:b/>
          <w:color w:val="000000" w:themeColor="text1"/>
        </w:rPr>
        <w:t xml:space="preserve">veintisiete </w:t>
      </w:r>
      <w:r w:rsidR="00E42EB8" w:rsidRPr="00FD3DD7">
        <w:rPr>
          <w:rFonts w:ascii="Palatino Linotype" w:eastAsia="Palatino Linotype" w:hAnsi="Palatino Linotype" w:cs="Palatino Linotype"/>
          <w:b/>
          <w:color w:val="000000" w:themeColor="text1"/>
        </w:rPr>
        <w:t xml:space="preserve">(27) </w:t>
      </w:r>
      <w:r w:rsidRPr="00FD3DD7">
        <w:rPr>
          <w:rFonts w:ascii="Palatino Linotype" w:eastAsia="Palatino Linotype" w:hAnsi="Palatino Linotype" w:cs="Palatino Linotype"/>
          <w:b/>
          <w:color w:val="000000" w:themeColor="text1"/>
        </w:rPr>
        <w:t>de agosto de dos mil veinticinco</w:t>
      </w:r>
      <w:r w:rsidRPr="00FD3DD7">
        <w:rPr>
          <w:rFonts w:ascii="Palatino Linotype" w:eastAsia="Palatino Linotype" w:hAnsi="Palatino Linotype" w:cs="Palatino Linotype"/>
          <w:color w:val="000000" w:themeColor="text1"/>
        </w:rPr>
        <w:t>.</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A26E28">
        <w:rPr>
          <w:rFonts w:ascii="Palatino Linotype" w:eastAsia="Palatino Linotype" w:hAnsi="Palatino Linotype" w:cs="Palatino Linotype"/>
          <w:b/>
          <w:color w:val="000000" w:themeColor="text1"/>
        </w:rPr>
        <w:t>VISTO</w:t>
      </w:r>
      <w:r w:rsidRPr="00FD3DD7">
        <w:rPr>
          <w:rFonts w:ascii="Palatino Linotype" w:eastAsia="Palatino Linotype" w:hAnsi="Palatino Linotype" w:cs="Palatino Linotype"/>
          <w:color w:val="000000" w:themeColor="text1"/>
        </w:rPr>
        <w:t xml:space="preserve"> el expediente electrónico formado con motivo del Recursos de Revisión </w:t>
      </w:r>
      <w:r w:rsidR="00AE0319" w:rsidRPr="00FD3DD7">
        <w:rPr>
          <w:rFonts w:ascii="Palatino Linotype" w:eastAsia="Palatino Linotype" w:hAnsi="Palatino Linotype" w:cs="Palatino Linotype"/>
          <w:b/>
          <w:color w:val="000000" w:themeColor="text1"/>
        </w:rPr>
        <w:t>07223/INFOEM/IP/RR/2025</w:t>
      </w:r>
      <w:r w:rsidR="00E42EB8" w:rsidRPr="00FD3DD7">
        <w:rPr>
          <w:rFonts w:ascii="Palatino Linotype" w:eastAsia="Palatino Linotype" w:hAnsi="Palatino Linotype" w:cs="Palatino Linotype"/>
          <w:b/>
          <w:color w:val="000000" w:themeColor="text1"/>
        </w:rPr>
        <w:t xml:space="preserve"> </w:t>
      </w:r>
      <w:r w:rsidRPr="00FD3DD7">
        <w:rPr>
          <w:rFonts w:ascii="Palatino Linotype" w:eastAsia="Palatino Linotype" w:hAnsi="Palatino Linotype" w:cs="Palatino Linotype"/>
          <w:color w:val="000000" w:themeColor="text1"/>
        </w:rPr>
        <w:t xml:space="preserve">promovido por </w:t>
      </w:r>
      <w:r w:rsidRPr="00FD3DD7">
        <w:rPr>
          <w:rFonts w:ascii="Palatino Linotype" w:eastAsia="Palatino Linotype" w:hAnsi="Palatino Linotype" w:cs="Palatino Linotype"/>
          <w:b/>
          <w:color w:val="000000" w:themeColor="text1"/>
        </w:rPr>
        <w:t>un usuario que no registró nombre alguno</w:t>
      </w:r>
      <w:r w:rsidRPr="00FD3DD7">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FD3DD7">
        <w:rPr>
          <w:rFonts w:ascii="Palatino Linotype" w:eastAsia="Palatino Linotype" w:hAnsi="Palatino Linotype" w:cs="Palatino Linotype"/>
          <w:b/>
          <w:color w:val="000000" w:themeColor="text1"/>
        </w:rPr>
        <w:t>EL RECURRENTE</w:t>
      </w:r>
      <w:r w:rsidRPr="00FD3DD7">
        <w:rPr>
          <w:rFonts w:ascii="Palatino Linotype" w:eastAsia="Palatino Linotype" w:hAnsi="Palatino Linotype" w:cs="Palatino Linotype"/>
          <w:color w:val="000000" w:themeColor="text1"/>
        </w:rPr>
        <w:t xml:space="preserve">, en contra de las respuestas del </w:t>
      </w:r>
      <w:r w:rsidR="00AE0319" w:rsidRPr="00FD3DD7">
        <w:rPr>
          <w:rFonts w:ascii="Palatino Linotype" w:eastAsia="Palatino Linotype" w:hAnsi="Palatino Linotype" w:cs="Palatino Linotype"/>
          <w:b/>
          <w:color w:val="000000" w:themeColor="text1"/>
        </w:rPr>
        <w:t>Instituto Municipal del Deporte de Cultura Física y Deporte de Cocotitlán</w:t>
      </w:r>
      <w:r w:rsidRPr="00FD3DD7">
        <w:rPr>
          <w:rFonts w:ascii="Palatino Linotype" w:eastAsia="Palatino Linotype" w:hAnsi="Palatino Linotype" w:cs="Palatino Linotype"/>
          <w:color w:val="000000" w:themeColor="text1"/>
        </w:rPr>
        <w:t xml:space="preserve">, en adelante </w:t>
      </w:r>
      <w:r w:rsidRPr="00FD3DD7">
        <w:rPr>
          <w:rFonts w:ascii="Palatino Linotype" w:eastAsia="Palatino Linotype" w:hAnsi="Palatino Linotype" w:cs="Palatino Linotype"/>
          <w:b/>
          <w:color w:val="000000" w:themeColor="text1"/>
        </w:rPr>
        <w:t>EL SUJETO OBLIGADO</w:t>
      </w:r>
      <w:r w:rsidRPr="00FD3DD7">
        <w:rPr>
          <w:rFonts w:ascii="Palatino Linotype" w:eastAsia="Palatino Linotype" w:hAnsi="Palatino Linotype" w:cs="Palatino Linotype"/>
          <w:color w:val="000000" w:themeColor="text1"/>
        </w:rPr>
        <w:t>, se procede a dictar la presente resolución, con base en los siguientes:</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b/>
          <w:color w:val="000000" w:themeColor="text1"/>
        </w:rPr>
        <w:t>A N T E C E D E N T E S</w:t>
      </w:r>
    </w:p>
    <w:p w:rsidR="006B5EF1" w:rsidRPr="00FD3DD7" w:rsidRDefault="006B5EF1" w:rsidP="00E42EB8">
      <w:pPr>
        <w:spacing w:line="360" w:lineRule="auto"/>
        <w:ind w:right="-7"/>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El </w:t>
      </w:r>
      <w:r w:rsidR="00AE0319" w:rsidRPr="00FD3DD7">
        <w:rPr>
          <w:rFonts w:ascii="Palatino Linotype" w:eastAsia="Palatino Linotype" w:hAnsi="Palatino Linotype" w:cs="Palatino Linotype"/>
          <w:b/>
          <w:color w:val="000000" w:themeColor="text1"/>
        </w:rPr>
        <w:t>veintisiete de mayo</w:t>
      </w:r>
      <w:r w:rsidRPr="00FD3DD7">
        <w:rPr>
          <w:rFonts w:ascii="Palatino Linotype" w:eastAsia="Palatino Linotype" w:hAnsi="Palatino Linotype" w:cs="Palatino Linotype"/>
          <w:b/>
          <w:color w:val="000000" w:themeColor="text1"/>
        </w:rPr>
        <w:t xml:space="preserve"> de dos mil veinticuatro, </w:t>
      </w:r>
      <w:r w:rsidRPr="00FD3DD7">
        <w:rPr>
          <w:rFonts w:ascii="Palatino Linotype" w:eastAsia="Palatino Linotype" w:hAnsi="Palatino Linotype" w:cs="Palatino Linotype"/>
          <w:color w:val="000000" w:themeColor="text1"/>
        </w:rPr>
        <w:t xml:space="preserve">se presentó ante el </w:t>
      </w:r>
      <w:r w:rsidRPr="00FD3DD7">
        <w:rPr>
          <w:rFonts w:ascii="Palatino Linotype" w:eastAsia="Palatino Linotype" w:hAnsi="Palatino Linotype" w:cs="Palatino Linotype"/>
          <w:b/>
          <w:color w:val="000000" w:themeColor="text1"/>
        </w:rPr>
        <w:t>SUJETO OBLIGADO</w:t>
      </w:r>
      <w:r w:rsidRPr="00FD3DD7">
        <w:rPr>
          <w:rFonts w:ascii="Palatino Linotype" w:eastAsia="Palatino Linotype" w:hAnsi="Palatino Linotype" w:cs="Palatino Linotype"/>
          <w:color w:val="000000" w:themeColor="text1"/>
        </w:rPr>
        <w:t xml:space="preserve"> vía </w:t>
      </w:r>
      <w:r w:rsidRPr="00FD3DD7">
        <w:rPr>
          <w:rFonts w:ascii="Palatino Linotype" w:eastAsia="Palatino Linotype" w:hAnsi="Palatino Linotype" w:cs="Palatino Linotype"/>
          <w:b/>
          <w:color w:val="000000" w:themeColor="text1"/>
        </w:rPr>
        <w:t>SAIMEX</w:t>
      </w:r>
      <w:r w:rsidRPr="00FD3DD7">
        <w:rPr>
          <w:rFonts w:ascii="Palatino Linotype" w:eastAsia="Palatino Linotype" w:hAnsi="Palatino Linotype" w:cs="Palatino Linotype"/>
          <w:color w:val="000000" w:themeColor="text1"/>
        </w:rPr>
        <w:t xml:space="preserve">, la solicitud de información pública registrada con el número </w:t>
      </w:r>
      <w:r w:rsidR="00AE0319" w:rsidRPr="00FD3DD7">
        <w:rPr>
          <w:rFonts w:ascii="Palatino Linotype" w:eastAsia="Palatino Linotype" w:hAnsi="Palatino Linotype" w:cs="Palatino Linotype"/>
          <w:b/>
          <w:color w:val="000000" w:themeColor="text1"/>
        </w:rPr>
        <w:t>00041/IMCUFIDECOCOTI/IP/2025</w:t>
      </w:r>
      <w:r w:rsidRPr="00FD3DD7">
        <w:rPr>
          <w:rFonts w:ascii="Palatino Linotype" w:eastAsia="Palatino Linotype" w:hAnsi="Palatino Linotype" w:cs="Palatino Linotype"/>
          <w:b/>
          <w:color w:val="000000" w:themeColor="text1"/>
        </w:rPr>
        <w:t xml:space="preserve">, </w:t>
      </w:r>
      <w:r w:rsidRPr="00FD3DD7">
        <w:rPr>
          <w:rFonts w:ascii="Palatino Linotype" w:eastAsia="Palatino Linotype" w:hAnsi="Palatino Linotype" w:cs="Palatino Linotype"/>
          <w:color w:val="000000" w:themeColor="text1"/>
        </w:rPr>
        <w:t>en la que se solicitó la siguiente información:</w:t>
      </w:r>
    </w:p>
    <w:p w:rsidR="006B5EF1" w:rsidRPr="00FD3DD7" w:rsidRDefault="006B5EF1" w:rsidP="00E42EB8">
      <w:pPr>
        <w:ind w:right="-7"/>
        <w:jc w:val="both"/>
        <w:rPr>
          <w:rFonts w:ascii="Palatino Linotype" w:eastAsia="Palatino Linotype" w:hAnsi="Palatino Linotype" w:cs="Palatino Linotype"/>
          <w:i/>
          <w:color w:val="000000" w:themeColor="text1"/>
        </w:rPr>
      </w:pP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r w:rsidR="00AE0319" w:rsidRPr="00FD3DD7">
        <w:rPr>
          <w:rFonts w:ascii="Palatino Linotype" w:eastAsia="Palatino Linotype" w:hAnsi="Palatino Linotype" w:cs="Palatino Linotype"/>
          <w:i/>
          <w:color w:val="000000" w:themeColor="text1"/>
        </w:rPr>
        <w:t>SOLICITO COPIAS SIMPLES DE FACTURAS PAGADAS POR EL INSTITUTO DE CULTUTA Y DEPORTE DE COCOTITLAN NUEVA ADMINITRACIÓN POR CONCEPTOS DE CPMPRAS DE PREMIOS, DE PALYERAS O TROFEOS ETC QUE SE COMPRAN PARA LOS DIFERNETES EVENTOS QUE AN TENEIDO HASTA LA FECHA DEL DIA DE HOY A LA PRESENTE SOLICITUD CORESCTAMENTE DESGLOSADO POR MES POR SEMANA SEGUN SE REAIZARON LOS EVENTOS QUE SE APRECIAN EN LA PAGINA OFICIAL QUE SE DESIGNOM PARA EL IMCUFIDE</w:t>
      </w:r>
      <w:r w:rsidRPr="00FD3DD7">
        <w:rPr>
          <w:rFonts w:ascii="Palatino Linotype" w:eastAsia="Palatino Linotype" w:hAnsi="Palatino Linotype" w:cs="Palatino Linotype"/>
          <w:i/>
          <w:color w:val="000000" w:themeColor="text1"/>
        </w:rPr>
        <w:t>.”</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6B5EF1" w:rsidRPr="00FD3DD7" w:rsidRDefault="006B5EF1" w:rsidP="00E42EB8">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b/>
          <w:color w:val="000000" w:themeColor="text1"/>
        </w:rPr>
        <w:t>Modalidad de entrega</w:t>
      </w:r>
      <w:r w:rsidRPr="00FD3DD7">
        <w:rPr>
          <w:rFonts w:ascii="Palatino Linotype" w:eastAsia="Palatino Linotype" w:hAnsi="Palatino Linotype" w:cs="Palatino Linotype"/>
          <w:color w:val="000000" w:themeColor="text1"/>
        </w:rPr>
        <w:t>: Sistema de Acceso a la Información</w:t>
      </w: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lastRenderedPageBreak/>
        <w:t xml:space="preserve">Posteriormente, el </w:t>
      </w:r>
      <w:r w:rsidR="00AE0319" w:rsidRPr="00FD3DD7">
        <w:rPr>
          <w:rFonts w:ascii="Palatino Linotype" w:eastAsia="Palatino Linotype" w:hAnsi="Palatino Linotype" w:cs="Palatino Linotype"/>
          <w:b/>
          <w:color w:val="000000" w:themeColor="text1"/>
        </w:rPr>
        <w:t xml:space="preserve">treinta de mayo </w:t>
      </w:r>
      <w:r w:rsidRPr="00FD3DD7">
        <w:rPr>
          <w:rFonts w:ascii="Palatino Linotype" w:eastAsia="Palatino Linotype" w:hAnsi="Palatino Linotype" w:cs="Palatino Linotype"/>
          <w:b/>
          <w:color w:val="000000" w:themeColor="text1"/>
        </w:rPr>
        <w:t xml:space="preserve">de dos mil veinticuatro </w:t>
      </w:r>
      <w:r w:rsidRPr="00FD3DD7">
        <w:rPr>
          <w:rFonts w:ascii="Palatino Linotype" w:eastAsia="Palatino Linotype" w:hAnsi="Palatino Linotype" w:cs="Palatino Linotype"/>
          <w:color w:val="000000" w:themeColor="text1"/>
        </w:rPr>
        <w:t xml:space="preserve">el Titular de la Unidad de Transparencia giró los requerimientos de información, para que fuera atendida la solicitud de información </w:t>
      </w:r>
      <w:r w:rsidR="00AE0319" w:rsidRPr="00FD3DD7">
        <w:rPr>
          <w:rFonts w:ascii="Palatino Linotype" w:eastAsia="Palatino Linotype" w:hAnsi="Palatino Linotype" w:cs="Palatino Linotype"/>
          <w:b/>
          <w:color w:val="000000" w:themeColor="text1"/>
        </w:rPr>
        <w:t>00041/IMCUFIDECOCOTI/IP/2025</w:t>
      </w:r>
      <w:r w:rsidRPr="00FD3DD7">
        <w:rPr>
          <w:rFonts w:ascii="Palatino Linotype" w:eastAsia="Palatino Linotype" w:hAnsi="Palatino Linotype" w:cs="Palatino Linotype"/>
          <w:color w:val="000000" w:themeColor="text1"/>
        </w:rPr>
        <w:t xml:space="preserve">. </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6B5EF1" w:rsidRPr="00FD3DD7" w:rsidRDefault="00AE0319"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Seguidamente el</w:t>
      </w:r>
      <w:r w:rsidR="006B5EF1" w:rsidRPr="00FD3DD7">
        <w:rPr>
          <w:rFonts w:ascii="Palatino Linotype" w:eastAsia="Palatino Linotype" w:hAnsi="Palatino Linotype" w:cs="Palatino Linotype"/>
          <w:color w:val="000000" w:themeColor="text1"/>
        </w:rPr>
        <w:t xml:space="preserve"> </w:t>
      </w:r>
      <w:r w:rsidRPr="00FD3DD7">
        <w:rPr>
          <w:rFonts w:ascii="Palatino Linotype" w:eastAsia="Palatino Linotype" w:hAnsi="Palatino Linotype" w:cs="Palatino Linotype"/>
          <w:b/>
          <w:color w:val="000000" w:themeColor="text1"/>
        </w:rPr>
        <w:t xml:space="preserve">dieciséis de junio </w:t>
      </w:r>
      <w:r w:rsidR="006B5EF1" w:rsidRPr="00FD3DD7">
        <w:rPr>
          <w:rFonts w:ascii="Palatino Linotype" w:eastAsia="Palatino Linotype" w:hAnsi="Palatino Linotype" w:cs="Palatino Linotype"/>
          <w:b/>
          <w:color w:val="000000" w:themeColor="text1"/>
        </w:rPr>
        <w:t>de dos mil veinticuatro,</w:t>
      </w:r>
      <w:r w:rsidR="006B5EF1" w:rsidRPr="00FD3DD7">
        <w:rPr>
          <w:rFonts w:ascii="Palatino Linotype" w:eastAsia="Palatino Linotype" w:hAnsi="Palatino Linotype" w:cs="Palatino Linotype"/>
          <w:color w:val="000000" w:themeColor="text1"/>
        </w:rPr>
        <w:t xml:space="preserve"> el </w:t>
      </w:r>
      <w:r w:rsidR="006B5EF1" w:rsidRPr="00FD3DD7">
        <w:rPr>
          <w:rFonts w:ascii="Palatino Linotype" w:eastAsia="Palatino Linotype" w:hAnsi="Palatino Linotype" w:cs="Palatino Linotype"/>
          <w:b/>
          <w:color w:val="000000" w:themeColor="text1"/>
        </w:rPr>
        <w:t xml:space="preserve">SUJETO OBLIGADO </w:t>
      </w:r>
      <w:r w:rsidR="006B5EF1" w:rsidRPr="00FD3DD7">
        <w:rPr>
          <w:rFonts w:ascii="Palatino Linotype" w:eastAsia="Palatino Linotype" w:hAnsi="Palatino Linotype" w:cs="Palatino Linotype"/>
          <w:color w:val="000000" w:themeColor="text1"/>
        </w:rPr>
        <w:t xml:space="preserve">dio respuesta a la solicitud de información mediante un archivo electrónico en formato pdf, cuyo contenido grosso modo es el siguiente. </w:t>
      </w:r>
    </w:p>
    <w:p w:rsidR="006B5EF1" w:rsidRPr="00FD3DD7" w:rsidRDefault="00DF587E"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 xml:space="preserve">Imcufide08.pdf: </w:t>
      </w:r>
      <w:r w:rsidRPr="00FD3DD7">
        <w:rPr>
          <w:rFonts w:ascii="Palatino Linotype" w:eastAsia="Palatino Linotype" w:hAnsi="Palatino Linotype" w:cs="Palatino Linotype"/>
          <w:i/>
          <w:color w:val="000000" w:themeColor="text1"/>
        </w:rPr>
        <w:t xml:space="preserve">oficio del Tesorero del Instituto del Deporte, mediante el cual informa que se localizaron facturas que responden al objeto de la solicitud, de las que refiere que se clasificaran datos como nombre de personas físicas, RFC, CUENTA BANCARIA, CURP y domicilios fiscales. </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6B5EF1" w:rsidRPr="00A26E28"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El </w:t>
      </w:r>
      <w:r w:rsidR="00C030D5" w:rsidRPr="00FD3DD7">
        <w:rPr>
          <w:rFonts w:ascii="Palatino Linotype" w:eastAsia="Palatino Linotype" w:hAnsi="Palatino Linotype" w:cs="Palatino Linotype"/>
          <w:b/>
          <w:color w:val="000000" w:themeColor="text1"/>
        </w:rPr>
        <w:t>dieciséis de junio</w:t>
      </w:r>
      <w:r w:rsidRPr="00FD3DD7">
        <w:rPr>
          <w:rFonts w:ascii="Palatino Linotype" w:eastAsia="Palatino Linotype" w:hAnsi="Palatino Linotype" w:cs="Palatino Linotype"/>
          <w:b/>
          <w:color w:val="000000" w:themeColor="text1"/>
        </w:rPr>
        <w:t xml:space="preserve"> de dos mil veinticuatro</w:t>
      </w:r>
      <w:r w:rsidRPr="00FD3DD7">
        <w:rPr>
          <w:rFonts w:ascii="Palatino Linotype" w:eastAsia="Palatino Linotype" w:hAnsi="Palatino Linotype" w:cs="Palatino Linotype"/>
          <w:color w:val="000000" w:themeColor="text1"/>
        </w:rPr>
        <w:t xml:space="preserve">, el solicitante interpuso recurso de revisión en contra de la respuestas emitida por el </w:t>
      </w:r>
      <w:r w:rsidRPr="00FD3DD7">
        <w:rPr>
          <w:rFonts w:ascii="Palatino Linotype" w:eastAsia="Palatino Linotype" w:hAnsi="Palatino Linotype" w:cs="Palatino Linotype"/>
          <w:b/>
          <w:color w:val="000000" w:themeColor="text1"/>
        </w:rPr>
        <w:t>SUJETO OBLIGADO</w:t>
      </w:r>
      <w:r w:rsidRPr="00FD3DD7">
        <w:rPr>
          <w:rFonts w:ascii="Palatino Linotype" w:eastAsia="Palatino Linotype" w:hAnsi="Palatino Linotype" w:cs="Palatino Linotype"/>
          <w:color w:val="000000" w:themeColor="text1"/>
        </w:rPr>
        <w:t>, señalando las siguientes razones o motivos de inconformidad:</w:t>
      </w:r>
    </w:p>
    <w:p w:rsidR="00A26E28" w:rsidRPr="00FD3DD7" w:rsidRDefault="00A26E28" w:rsidP="00A26E28">
      <w:pPr>
        <w:pBdr>
          <w:top w:val="nil"/>
          <w:left w:val="nil"/>
          <w:bottom w:val="nil"/>
          <w:right w:val="nil"/>
          <w:between w:val="nil"/>
        </w:pBdr>
        <w:spacing w:line="360" w:lineRule="auto"/>
        <w:ind w:right="-7"/>
        <w:jc w:val="both"/>
        <w:rPr>
          <w:rFonts w:ascii="Palatino Linotype" w:hAnsi="Palatino Linotype"/>
          <w:color w:val="000000" w:themeColor="text1"/>
        </w:rPr>
      </w:pPr>
    </w:p>
    <w:p w:rsidR="006B5EF1" w:rsidRPr="00FD3DD7" w:rsidRDefault="006B5EF1" w:rsidP="00E42EB8">
      <w:pPr>
        <w:numPr>
          <w:ilvl w:val="0"/>
          <w:numId w:val="1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FD3DD7">
        <w:rPr>
          <w:rFonts w:ascii="Palatino Linotype" w:eastAsia="Palatino Linotype" w:hAnsi="Palatino Linotype" w:cs="Palatino Linotype"/>
          <w:b/>
          <w:color w:val="000000" w:themeColor="text1"/>
        </w:rPr>
        <w:t xml:space="preserve">Acto impugnado: </w:t>
      </w:r>
      <w:r w:rsidRPr="00FD3DD7">
        <w:rPr>
          <w:rFonts w:ascii="Palatino Linotype" w:eastAsia="Palatino Linotype" w:hAnsi="Palatino Linotype" w:cs="Palatino Linotype"/>
          <w:i/>
          <w:color w:val="000000" w:themeColor="text1"/>
        </w:rPr>
        <w:t>“Se niega a entregar la información</w:t>
      </w:r>
      <w:r w:rsidR="00C030D5" w:rsidRPr="00FD3DD7">
        <w:rPr>
          <w:rFonts w:ascii="Palatino Linotype" w:hAnsi="Palatino Linotype"/>
          <w:color w:val="000000" w:themeColor="text1"/>
        </w:rPr>
        <w:t xml:space="preserve"> </w:t>
      </w:r>
      <w:r w:rsidR="00C030D5" w:rsidRPr="00FD3DD7">
        <w:rPr>
          <w:rFonts w:ascii="Palatino Linotype" w:eastAsia="Palatino Linotype" w:hAnsi="Palatino Linotype" w:cs="Palatino Linotype"/>
          <w:i/>
          <w:color w:val="000000" w:themeColor="text1"/>
        </w:rPr>
        <w:t>no se hacen entrega de la Información que se solicitó.</w:t>
      </w:r>
      <w:r w:rsidRPr="00FD3DD7">
        <w:rPr>
          <w:rFonts w:ascii="Palatino Linotype" w:eastAsia="Palatino Linotype" w:hAnsi="Palatino Linotype" w:cs="Palatino Linotype"/>
          <w:i/>
          <w:color w:val="000000" w:themeColor="text1"/>
        </w:rPr>
        <w:t>”</w:t>
      </w:r>
    </w:p>
    <w:p w:rsidR="006B5EF1" w:rsidRPr="00FD3DD7" w:rsidRDefault="006B5EF1" w:rsidP="00E42EB8">
      <w:pPr>
        <w:numPr>
          <w:ilvl w:val="0"/>
          <w:numId w:val="1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FD3DD7">
        <w:rPr>
          <w:rFonts w:ascii="Palatino Linotype" w:eastAsia="Palatino Linotype" w:hAnsi="Palatino Linotype" w:cs="Palatino Linotype"/>
          <w:b/>
          <w:color w:val="000000" w:themeColor="text1"/>
        </w:rPr>
        <w:t xml:space="preserve">Razones o Motivos de inconformidad: </w:t>
      </w:r>
      <w:r w:rsidRPr="00FD3DD7">
        <w:rPr>
          <w:rFonts w:ascii="Palatino Linotype" w:eastAsia="Palatino Linotype" w:hAnsi="Palatino Linotype" w:cs="Palatino Linotype"/>
          <w:i/>
          <w:color w:val="000000" w:themeColor="text1"/>
        </w:rPr>
        <w:t>“</w:t>
      </w:r>
      <w:r w:rsidR="00C030D5" w:rsidRPr="00FD3DD7">
        <w:rPr>
          <w:rFonts w:ascii="Palatino Linotype" w:eastAsia="Palatino Linotype" w:hAnsi="Palatino Linotype" w:cs="Palatino Linotype"/>
          <w:i/>
          <w:color w:val="000000" w:themeColor="text1"/>
        </w:rPr>
        <w:t>el sujeto obligado no hace entrega de las facturas y en respuesta hace mención de diversos artículos de la ley de transparencia donde se argumenta que información es de carácter confidencial, sin que se anexe algún acta con dicha clasificación de la información y a la vez se observa que el oficio que se remite por parte del tesorero carece de la firma correspondiente</w:t>
      </w:r>
      <w:r w:rsidRPr="00FD3DD7">
        <w:rPr>
          <w:rFonts w:ascii="Palatino Linotype" w:eastAsia="Palatino Linotype" w:hAnsi="Palatino Linotype" w:cs="Palatino Linotype"/>
          <w:i/>
          <w:color w:val="000000" w:themeColor="text1"/>
        </w:rPr>
        <w:t>.”</w:t>
      </w:r>
    </w:p>
    <w:p w:rsidR="006B5EF1" w:rsidRPr="00FD3DD7" w:rsidRDefault="006B5EF1" w:rsidP="00E42EB8">
      <w:pPr>
        <w:ind w:right="-7"/>
        <w:jc w:val="both"/>
        <w:rPr>
          <w:rFonts w:ascii="Palatino Linotype" w:eastAsia="Palatino Linotype" w:hAnsi="Palatino Linotype" w:cs="Palatino Linotype"/>
          <w:b/>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Consecutivamente</w:t>
      </w: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FD3DD7">
        <w:rPr>
          <w:rFonts w:ascii="Palatino Linotype" w:eastAsia="Palatino Linotype" w:hAnsi="Palatino Linotype" w:cs="Palatino Linotype"/>
          <w:b/>
          <w:color w:val="000000" w:themeColor="text1"/>
        </w:rPr>
        <w:t>Comisionada</w:t>
      </w:r>
      <w:r w:rsidRPr="00FD3DD7">
        <w:rPr>
          <w:rFonts w:ascii="Palatino Linotype" w:eastAsia="Palatino Linotype" w:hAnsi="Palatino Linotype" w:cs="Palatino Linotype"/>
          <w:color w:val="000000" w:themeColor="text1"/>
        </w:rPr>
        <w:t xml:space="preserve"> </w:t>
      </w:r>
      <w:r w:rsidRPr="00FD3DD7">
        <w:rPr>
          <w:rFonts w:ascii="Palatino Linotype" w:eastAsia="Palatino Linotype" w:hAnsi="Palatino Linotype" w:cs="Palatino Linotype"/>
          <w:b/>
          <w:color w:val="000000" w:themeColor="text1"/>
        </w:rPr>
        <w:t>María del Rosario Mejía Ayala</w:t>
      </w:r>
      <w:r w:rsidRPr="00FD3DD7">
        <w:rPr>
          <w:rFonts w:ascii="Palatino Linotype" w:eastAsia="Palatino Linotype" w:hAnsi="Palatino Linotype" w:cs="Palatino Linotype"/>
          <w:color w:val="000000" w:themeColor="text1"/>
        </w:rPr>
        <w:t>,</w:t>
      </w:r>
      <w:r w:rsidRPr="00FD3DD7">
        <w:rPr>
          <w:rFonts w:ascii="Palatino Linotype" w:eastAsia="Palatino Linotype" w:hAnsi="Palatino Linotype" w:cs="Palatino Linotype"/>
          <w:b/>
          <w:color w:val="000000" w:themeColor="text1"/>
        </w:rPr>
        <w:t xml:space="preserve"> </w:t>
      </w:r>
      <w:r w:rsidR="001438F3">
        <w:rPr>
          <w:rFonts w:ascii="Palatino Linotype" w:eastAsia="Palatino Linotype" w:hAnsi="Palatino Linotype" w:cs="Palatino Linotype"/>
          <w:color w:val="000000" w:themeColor="text1"/>
        </w:rPr>
        <w:t>para</w:t>
      </w:r>
      <w:r w:rsidRPr="00FD3DD7">
        <w:rPr>
          <w:rFonts w:ascii="Palatino Linotype" w:eastAsia="Palatino Linotype" w:hAnsi="Palatino Linotype" w:cs="Palatino Linotype"/>
          <w:color w:val="000000" w:themeColor="text1"/>
        </w:rPr>
        <w:t xml:space="preserve"> su análisis.</w:t>
      </w: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FD3DD7">
        <w:rPr>
          <w:rFonts w:ascii="Palatino Linotype" w:eastAsia="Palatino Linotype" w:hAnsi="Palatino Linotype" w:cs="Palatino Linotype"/>
          <w:b/>
          <w:color w:val="000000" w:themeColor="text1"/>
        </w:rPr>
        <w:t xml:space="preserve">acuerdo de admisión </w:t>
      </w:r>
      <w:r w:rsidRPr="00FD3DD7">
        <w:rPr>
          <w:rFonts w:ascii="Palatino Linotype" w:eastAsia="Palatino Linotype" w:hAnsi="Palatino Linotype" w:cs="Palatino Linotype"/>
          <w:color w:val="000000" w:themeColor="text1"/>
        </w:rPr>
        <w:t xml:space="preserve">del </w:t>
      </w:r>
      <w:r w:rsidR="00C66EEC" w:rsidRPr="00FD3DD7">
        <w:rPr>
          <w:rFonts w:ascii="Palatino Linotype" w:eastAsia="Palatino Linotype" w:hAnsi="Palatino Linotype" w:cs="Palatino Linotype"/>
          <w:b/>
          <w:color w:val="000000" w:themeColor="text1"/>
        </w:rPr>
        <w:t>diecinueve de junio de dos mil veinticinco</w:t>
      </w:r>
      <w:r w:rsidRPr="00FD3DD7">
        <w:rPr>
          <w:rFonts w:ascii="Palatino Linotype" w:eastAsia="Palatino Linotype" w:hAnsi="Palatino Linotype" w:cs="Palatino Linotype"/>
          <w:b/>
          <w:color w:val="000000" w:themeColor="text1"/>
        </w:rPr>
        <w:t xml:space="preserve">, </w:t>
      </w:r>
      <w:r w:rsidRPr="00FD3DD7">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FD3DD7">
        <w:rPr>
          <w:rFonts w:ascii="Palatino Linotype" w:eastAsia="Palatino Linotype" w:hAnsi="Palatino Linotype" w:cs="Palatino Linotype"/>
          <w:b/>
          <w:color w:val="000000" w:themeColor="text1"/>
        </w:rPr>
        <w:t xml:space="preserve">SUJETO OBLIGADO </w:t>
      </w:r>
      <w:r w:rsidRPr="00FD3DD7">
        <w:rPr>
          <w:rFonts w:ascii="Palatino Linotype" w:eastAsia="Palatino Linotype" w:hAnsi="Palatino Linotype" w:cs="Palatino Linotype"/>
          <w:color w:val="000000" w:themeColor="text1"/>
        </w:rPr>
        <w:t>presentará el Informe Justificado procedente.</w:t>
      </w:r>
    </w:p>
    <w:p w:rsidR="006B5EF1" w:rsidRPr="00FD3DD7" w:rsidRDefault="006B5EF1" w:rsidP="00E42EB8">
      <w:pPr>
        <w:pBdr>
          <w:top w:val="nil"/>
          <w:left w:val="nil"/>
          <w:bottom w:val="nil"/>
          <w:right w:val="nil"/>
          <w:between w:val="nil"/>
        </w:pBdr>
        <w:ind w:right="-7"/>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En esa línea, tal y como se observa en el expediente electrónico</w:t>
      </w:r>
      <w:r w:rsidR="00046258" w:rsidRPr="00FD3DD7">
        <w:rPr>
          <w:rFonts w:ascii="Palatino Linotype" w:eastAsia="Palatino Linotype" w:hAnsi="Palatino Linotype" w:cs="Palatino Linotype"/>
          <w:color w:val="000000" w:themeColor="text1"/>
        </w:rPr>
        <w:t xml:space="preserve"> el </w:t>
      </w:r>
      <w:r w:rsidR="00046258" w:rsidRPr="00FD3DD7">
        <w:rPr>
          <w:rFonts w:ascii="Palatino Linotype" w:eastAsia="Palatino Linotype" w:hAnsi="Palatino Linotype" w:cs="Palatino Linotype"/>
          <w:b/>
          <w:color w:val="000000" w:themeColor="text1"/>
        </w:rPr>
        <w:t xml:space="preserve">veinticuatro de junio de dos mil veinticinco, </w:t>
      </w:r>
      <w:r w:rsidRPr="00FD3DD7">
        <w:rPr>
          <w:rFonts w:ascii="Palatino Linotype" w:eastAsia="Palatino Linotype" w:hAnsi="Palatino Linotype" w:cs="Palatino Linotype"/>
          <w:color w:val="000000" w:themeColor="text1"/>
        </w:rPr>
        <w:t xml:space="preserve"> el </w:t>
      </w:r>
      <w:r w:rsidRPr="00FD3DD7">
        <w:rPr>
          <w:rFonts w:ascii="Palatino Linotype" w:eastAsia="Palatino Linotype" w:hAnsi="Palatino Linotype" w:cs="Palatino Linotype"/>
          <w:b/>
          <w:color w:val="000000" w:themeColor="text1"/>
        </w:rPr>
        <w:t xml:space="preserve">SUJETO OBLIGADO </w:t>
      </w:r>
      <w:r w:rsidRPr="00FD3DD7">
        <w:rPr>
          <w:rFonts w:ascii="Palatino Linotype" w:eastAsia="Palatino Linotype" w:hAnsi="Palatino Linotype" w:cs="Palatino Linotype"/>
          <w:color w:val="000000" w:themeColor="text1"/>
        </w:rPr>
        <w:t xml:space="preserve">agregó un archivo electrónico en alcance informe justificado, cuyo contenido grosso modo es el siguiente. </w:t>
      </w:r>
    </w:p>
    <w:p w:rsidR="006B5EF1" w:rsidRPr="00FD3DD7" w:rsidRDefault="001D7B7E"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 xml:space="preserve">041.pdf: </w:t>
      </w:r>
      <w:r w:rsidRPr="00FD3DD7">
        <w:rPr>
          <w:rFonts w:ascii="Palatino Linotype" w:eastAsia="Palatino Linotype" w:hAnsi="Palatino Linotype" w:cs="Palatino Linotype"/>
          <w:i/>
          <w:color w:val="000000" w:themeColor="text1"/>
        </w:rPr>
        <w:t xml:space="preserve">Facturas pagadas en los meses de abril y mayo de dos mil veinticinco, de las cuales no se advierten los conceptos referidos por el </w:t>
      </w:r>
      <w:r w:rsidRPr="00FD3DD7">
        <w:rPr>
          <w:rFonts w:ascii="Palatino Linotype" w:eastAsia="Palatino Linotype" w:hAnsi="Palatino Linotype" w:cs="Palatino Linotype"/>
          <w:b/>
          <w:i/>
          <w:color w:val="000000" w:themeColor="text1"/>
        </w:rPr>
        <w:t xml:space="preserve">RECURRENTE </w:t>
      </w:r>
      <w:r w:rsidRPr="00FD3DD7">
        <w:rPr>
          <w:rFonts w:ascii="Palatino Linotype" w:eastAsia="Palatino Linotype" w:hAnsi="Palatino Linotype" w:cs="Palatino Linotype"/>
          <w:i/>
          <w:color w:val="000000" w:themeColor="text1"/>
        </w:rPr>
        <w:t>en la solicitud de información. (playeras, trofeos y premios)</w:t>
      </w:r>
    </w:p>
    <w:p w:rsidR="001D7B7E" w:rsidRPr="00FD3DD7" w:rsidRDefault="001D7B7E" w:rsidP="00E42EB8">
      <w:pPr>
        <w:pBdr>
          <w:top w:val="nil"/>
          <w:left w:val="nil"/>
          <w:bottom w:val="nil"/>
          <w:right w:val="nil"/>
          <w:between w:val="nil"/>
        </w:pBdr>
        <w:ind w:right="-7"/>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color w:val="000000" w:themeColor="text1"/>
        </w:rPr>
        <w:t xml:space="preserve">Por su parte el </w:t>
      </w:r>
      <w:r w:rsidRPr="00FD3DD7">
        <w:rPr>
          <w:rFonts w:ascii="Palatino Linotype" w:eastAsia="Palatino Linotype" w:hAnsi="Palatino Linotype" w:cs="Palatino Linotype"/>
          <w:b/>
          <w:color w:val="000000" w:themeColor="text1"/>
        </w:rPr>
        <w:t xml:space="preserve">RECURRENTE </w:t>
      </w:r>
      <w:r w:rsidRPr="00FD3DD7">
        <w:rPr>
          <w:rFonts w:ascii="Palatino Linotype" w:eastAsia="Palatino Linotype" w:hAnsi="Palatino Linotype" w:cs="Palatino Linotype"/>
          <w:color w:val="000000" w:themeColor="text1"/>
        </w:rPr>
        <w:t xml:space="preserve">dejó de realizar manifestaciones que a su derecho conviniera. </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El </w:t>
      </w:r>
      <w:r w:rsidR="001D7B7E" w:rsidRPr="00FD3DD7">
        <w:rPr>
          <w:rFonts w:ascii="Palatino Linotype" w:eastAsia="Palatino Linotype" w:hAnsi="Palatino Linotype" w:cs="Palatino Linotype"/>
          <w:b/>
          <w:color w:val="000000" w:themeColor="text1"/>
        </w:rPr>
        <w:t>veintiuno de agosto</w:t>
      </w:r>
      <w:r w:rsidRPr="00FD3DD7">
        <w:rPr>
          <w:rFonts w:ascii="Palatino Linotype" w:eastAsia="Palatino Linotype" w:hAnsi="Palatino Linotype" w:cs="Palatino Linotype"/>
          <w:b/>
          <w:color w:val="000000" w:themeColor="text1"/>
        </w:rPr>
        <w:t xml:space="preserve"> de dos mil veinticuatro</w:t>
      </w:r>
      <w:r w:rsidRPr="00FD3DD7">
        <w:rPr>
          <w:rFonts w:ascii="Palatino Linotype" w:eastAsia="Palatino Linotype" w:hAnsi="Palatino Linotype" w:cs="Palatino Linotype"/>
          <w:color w:val="000000" w:themeColor="text1"/>
        </w:rPr>
        <w:t xml:space="preserve">, la Comisionada Ponente notificó el </w:t>
      </w:r>
      <w:r w:rsidRPr="00FD3DD7">
        <w:rPr>
          <w:rFonts w:ascii="Palatino Linotype" w:eastAsia="Palatino Linotype" w:hAnsi="Palatino Linotype" w:cs="Palatino Linotype"/>
          <w:b/>
          <w:color w:val="000000" w:themeColor="text1"/>
        </w:rPr>
        <w:t>acuerdo de ampliación</w:t>
      </w:r>
      <w:r w:rsidRPr="00FD3DD7">
        <w:rPr>
          <w:rFonts w:ascii="Palatino Linotype" w:eastAsia="Palatino Linotype" w:hAnsi="Palatino Linotype" w:cs="Palatino Linotype"/>
          <w:color w:val="000000" w:themeColor="text1"/>
        </w:rPr>
        <w:t xml:space="preserve"> de plazo para emitir resolución.</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2et92p0" w:colFirst="0" w:colLast="0"/>
      <w:bookmarkEnd w:id="4"/>
      <w:r w:rsidRPr="00FD3DD7">
        <w:rPr>
          <w:rFonts w:ascii="Palatino Linotype" w:eastAsia="Palatino Linotype" w:hAnsi="Palatino Linotype" w:cs="Palatino Linotype"/>
          <w:color w:val="000000" w:themeColor="text1"/>
        </w:rPr>
        <w:t>Finalmente, la Comisionada Ponente mediante acuerdo de fecha</w:t>
      </w:r>
      <w:r w:rsidRPr="00FD3DD7">
        <w:rPr>
          <w:rFonts w:ascii="Palatino Linotype" w:eastAsia="Palatino Linotype" w:hAnsi="Palatino Linotype" w:cs="Palatino Linotype"/>
          <w:b/>
          <w:color w:val="000000" w:themeColor="text1"/>
        </w:rPr>
        <w:t xml:space="preserve">  </w:t>
      </w:r>
      <w:r w:rsidR="001D7B7E" w:rsidRPr="00FD3DD7">
        <w:rPr>
          <w:rFonts w:ascii="Palatino Linotype" w:eastAsia="Palatino Linotype" w:hAnsi="Palatino Linotype" w:cs="Palatino Linotype"/>
          <w:b/>
          <w:color w:val="000000" w:themeColor="text1"/>
        </w:rPr>
        <w:t>veintisiete de agosto de dos mil veinticinco</w:t>
      </w:r>
      <w:r w:rsidRPr="00FD3DD7">
        <w:rPr>
          <w:rFonts w:ascii="Palatino Linotype" w:eastAsia="Palatino Linotype" w:hAnsi="Palatino Linotype" w:cs="Palatino Linotype"/>
          <w:color w:val="000000" w:themeColor="text1"/>
        </w:rPr>
        <w:t>, decretó el cierre de instrucción de los expedientes, por lo que no habiendo más que hacer constar, y -----------------------------------------------</w:t>
      </w:r>
      <w:r w:rsidR="001D7B7E" w:rsidRPr="00FD3DD7">
        <w:rPr>
          <w:rFonts w:ascii="Palatino Linotype" w:eastAsia="Palatino Linotype" w:hAnsi="Palatino Linotype" w:cs="Palatino Linotype"/>
          <w:color w:val="000000" w:themeColor="text1"/>
        </w:rPr>
        <w:t>------</w:t>
      </w:r>
      <w:r w:rsidR="00A26E28">
        <w:rPr>
          <w:rFonts w:ascii="Palatino Linotype" w:eastAsia="Palatino Linotype" w:hAnsi="Palatino Linotype" w:cs="Palatino Linotype"/>
          <w:color w:val="000000" w:themeColor="text1"/>
        </w:rPr>
        <w:t>-----------------</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5" w:name="_heading=h.162m1m3fkzl6" w:colFirst="0" w:colLast="0"/>
      <w:bookmarkEnd w:id="5"/>
    </w:p>
    <w:p w:rsidR="006B5EF1" w:rsidRPr="00FD3DD7" w:rsidRDefault="006B5EF1" w:rsidP="00E42EB8">
      <w:pPr>
        <w:spacing w:line="360" w:lineRule="auto"/>
        <w:ind w:right="-7"/>
        <w:rPr>
          <w:rFonts w:ascii="Palatino Linotype" w:eastAsia="Palatino Linotype" w:hAnsi="Palatino Linotype" w:cs="Palatino Linotype"/>
          <w:b/>
          <w:color w:val="000000" w:themeColor="text1"/>
        </w:rPr>
      </w:pPr>
    </w:p>
    <w:p w:rsidR="006B5EF1" w:rsidRPr="00FD3DD7" w:rsidRDefault="006B5EF1" w:rsidP="00E42EB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b/>
          <w:color w:val="000000" w:themeColor="text1"/>
        </w:rPr>
        <w:lastRenderedPageBreak/>
        <w:t xml:space="preserve">C O N S I D E R A N D O </w:t>
      </w:r>
    </w:p>
    <w:p w:rsidR="006B5EF1" w:rsidRPr="00FD3DD7" w:rsidRDefault="006B5EF1" w:rsidP="00E42EB8">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FD3DD7">
        <w:rPr>
          <w:rFonts w:ascii="Palatino Linotype" w:eastAsia="Palatino Linotype" w:hAnsi="Palatino Linotype" w:cs="Palatino Linotype"/>
          <w:b/>
          <w:color w:val="000000" w:themeColor="text1"/>
          <w:sz w:val="24"/>
          <w:szCs w:val="24"/>
        </w:rPr>
        <w:t>PRIMERO. De la competencia</w:t>
      </w:r>
    </w:p>
    <w:p w:rsidR="006B5EF1" w:rsidRPr="00FD3DD7" w:rsidRDefault="00A3484F" w:rsidP="00E42EB8">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7" w:name="_heading=h.3dy6vkm" w:colFirst="0" w:colLast="0"/>
      <w:bookmarkEnd w:id="7"/>
      <w:r w:rsidRPr="00FD3DD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3484F" w:rsidRPr="00FD3DD7" w:rsidRDefault="00A3484F" w:rsidP="00E42EB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rsidR="006B5EF1" w:rsidRPr="00FD3DD7" w:rsidRDefault="006B5EF1" w:rsidP="00E42EB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FD3DD7">
        <w:rPr>
          <w:rFonts w:ascii="Palatino Linotype" w:eastAsia="Palatino Linotype" w:hAnsi="Palatino Linotype" w:cs="Palatino Linotype"/>
          <w:b/>
          <w:color w:val="000000" w:themeColor="text1"/>
        </w:rPr>
        <w:t>SEGUNDO. De la oportunidad y procedencia.</w:t>
      </w: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FD3DD7">
        <w:rPr>
          <w:rFonts w:ascii="Palatino Linotype" w:eastAsia="Palatino Linotype" w:hAnsi="Palatino Linotype" w:cs="Palatino Linotype"/>
          <w:color w:val="000000" w:themeColor="text1"/>
        </w:rPr>
        <w:t xml:space="preserve">Los medios de impugnación fueron presentados a través del SAIMEX, en el formato previamente aprobado para tal efecto y dentro del plazo legal de quince días hábiles otorgados; para el caso en particular es de señalar que el SUJETO OBLIGADO entregó su respuesta </w:t>
      </w:r>
      <w:r w:rsidR="00D4094C" w:rsidRPr="00FD3DD7">
        <w:rPr>
          <w:rFonts w:ascii="Palatino Linotype" w:eastAsia="Palatino Linotype" w:hAnsi="Palatino Linotype" w:cs="Palatino Linotype"/>
          <w:b/>
          <w:color w:val="000000" w:themeColor="text1"/>
        </w:rPr>
        <w:t>el dieciséis de junio de dos mil veinticinco</w:t>
      </w:r>
      <w:r w:rsidRPr="00FD3DD7">
        <w:rPr>
          <w:rFonts w:ascii="Palatino Linotype" w:eastAsia="Palatino Linotype" w:hAnsi="Palatino Linotype" w:cs="Palatino Linotype"/>
          <w:color w:val="000000" w:themeColor="text1"/>
        </w:rPr>
        <w:t xml:space="preserve">, de tal forma que el plazo para interponer el recurso de revisión transcurrió del </w:t>
      </w:r>
      <w:r w:rsidR="007877F4" w:rsidRPr="00FD3DD7">
        <w:rPr>
          <w:rFonts w:ascii="Palatino Linotype" w:eastAsia="Palatino Linotype" w:hAnsi="Palatino Linotype" w:cs="Palatino Linotype"/>
          <w:b/>
          <w:color w:val="000000" w:themeColor="text1"/>
        </w:rPr>
        <w:t>diecisiete de junio al siete de julio de dos mil veinticinco</w:t>
      </w:r>
      <w:r w:rsidRPr="00FD3DD7">
        <w:rPr>
          <w:rFonts w:ascii="Palatino Linotype" w:eastAsia="Palatino Linotype" w:hAnsi="Palatino Linotype" w:cs="Palatino Linotype"/>
          <w:color w:val="000000" w:themeColor="text1"/>
        </w:rPr>
        <w:t xml:space="preserve">; en consecuencia, el ahora </w:t>
      </w:r>
      <w:r w:rsidRPr="00FD3DD7">
        <w:rPr>
          <w:rFonts w:ascii="Palatino Linotype" w:eastAsia="Palatino Linotype" w:hAnsi="Palatino Linotype" w:cs="Palatino Linotype"/>
          <w:b/>
          <w:color w:val="000000" w:themeColor="text1"/>
        </w:rPr>
        <w:t>RECURRENTE</w:t>
      </w:r>
      <w:r w:rsidRPr="00FD3DD7">
        <w:rPr>
          <w:rFonts w:ascii="Palatino Linotype" w:eastAsia="Palatino Linotype" w:hAnsi="Palatino Linotype" w:cs="Palatino Linotype"/>
          <w:color w:val="000000" w:themeColor="text1"/>
        </w:rPr>
        <w:t xml:space="preserve"> presentó sus inconformidades el </w:t>
      </w:r>
      <w:r w:rsidR="007877F4" w:rsidRPr="00FD3DD7">
        <w:rPr>
          <w:rFonts w:ascii="Palatino Linotype" w:eastAsia="Palatino Linotype" w:hAnsi="Palatino Linotype" w:cs="Palatino Linotype"/>
          <w:b/>
          <w:color w:val="000000" w:themeColor="text1"/>
        </w:rPr>
        <w:t>dieciséis de junio de dos mil veinticinco</w:t>
      </w:r>
      <w:r w:rsidRPr="00FD3DD7">
        <w:rPr>
          <w:rFonts w:ascii="Palatino Linotype" w:eastAsia="Palatino Linotype" w:hAnsi="Palatino Linotype" w:cs="Palatino Linotype"/>
          <w:color w:val="000000" w:themeColor="text1"/>
        </w:rPr>
        <w:t>; es decir dentro del lapso legalmente establecido para tal efecto.</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lastRenderedPageBreak/>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 al estudio del presente recurso de revisión sin que la fecha en que se presentó afecte la resolución.</w:t>
      </w:r>
    </w:p>
    <w:p w:rsidR="006B5EF1" w:rsidRPr="00FD3DD7" w:rsidRDefault="006B5EF1" w:rsidP="00E42EB8">
      <w:pPr>
        <w:spacing w:line="360" w:lineRule="auto"/>
        <w:ind w:right="-7"/>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FD3DD7">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6B5EF1" w:rsidRPr="00FD3DD7" w:rsidRDefault="006B5EF1" w:rsidP="00E42EB8">
      <w:pPr>
        <w:spacing w:line="360" w:lineRule="auto"/>
        <w:ind w:right="-7"/>
        <w:jc w:val="both"/>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Esto es así porque en primer lugar es necesario que </w:t>
      </w:r>
      <w:r w:rsidRPr="00FD3DD7">
        <w:rPr>
          <w:rFonts w:ascii="Palatino Linotype" w:eastAsia="Palatino Linotype" w:hAnsi="Palatino Linotype" w:cs="Palatino Linotype"/>
          <w:b/>
          <w:color w:val="000000" w:themeColor="text1"/>
        </w:rPr>
        <w:t>EL RECURRENTE</w:t>
      </w:r>
      <w:r w:rsidRPr="00FD3DD7">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w:t>
      </w:r>
      <w:r w:rsidRPr="00FD3DD7">
        <w:rPr>
          <w:rFonts w:ascii="Palatino Linotype" w:eastAsia="Palatino Linotype" w:hAnsi="Palatino Linotype" w:cs="Palatino Linotype"/>
          <w:color w:val="000000" w:themeColor="text1"/>
        </w:rPr>
        <w:lastRenderedPageBreak/>
        <w:t xml:space="preserve">corre un día después de haber sido notificada la respuesta, en nada se afecta al proceso que el mismo día de </w:t>
      </w:r>
      <w:r w:rsidRPr="00FD3DD7">
        <w:rPr>
          <w:rFonts w:ascii="Palatino Linotype" w:eastAsia="Palatino Linotype" w:hAnsi="Palatino Linotype" w:cs="Palatino Linotype"/>
          <w:b/>
          <w:color w:val="000000" w:themeColor="text1"/>
        </w:rPr>
        <w:t>notificada EL RECURRENTE</w:t>
      </w:r>
      <w:r w:rsidRPr="00FD3DD7">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6B5EF1" w:rsidRPr="00FD3DD7" w:rsidRDefault="006B5EF1" w:rsidP="00E42EB8">
      <w:pPr>
        <w:tabs>
          <w:tab w:val="left" w:pos="0"/>
        </w:tabs>
        <w:spacing w:line="360" w:lineRule="auto"/>
        <w:ind w:right="-7"/>
        <w:jc w:val="both"/>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6B5EF1" w:rsidRPr="00FD3DD7" w:rsidRDefault="006B5EF1" w:rsidP="00E42EB8">
      <w:pPr>
        <w:spacing w:line="360" w:lineRule="auto"/>
        <w:ind w:right="-7"/>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FD3DD7">
        <w:rPr>
          <w:rFonts w:ascii="Palatino Linotype" w:eastAsia="Palatino Linotype" w:hAnsi="Palatino Linotype" w:cs="Palatino Linotype"/>
          <w:b/>
          <w:color w:val="000000" w:themeColor="text1"/>
        </w:rPr>
        <w:t>SUJETO OBLIGADO.</w:t>
      </w:r>
    </w:p>
    <w:p w:rsidR="006B5EF1" w:rsidRPr="00FD3DD7" w:rsidRDefault="006B5EF1" w:rsidP="00E42EB8">
      <w:pPr>
        <w:pBdr>
          <w:top w:val="nil"/>
          <w:left w:val="nil"/>
          <w:bottom w:val="nil"/>
          <w:right w:val="nil"/>
          <w:between w:val="nil"/>
        </w:pBdr>
        <w:ind w:right="-7"/>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r w:rsidRPr="00FD3DD7">
        <w:rPr>
          <w:rFonts w:ascii="Palatino Linotype" w:eastAsia="Palatino Linotype" w:hAnsi="Palatino Linotype" w:cs="Palatino Linotype"/>
          <w:b/>
          <w:i/>
          <w:color w:val="000000" w:themeColor="text1"/>
        </w:rPr>
        <w:t>Las solicitudes anónimas</w:t>
      </w:r>
      <w:r w:rsidRPr="00FD3DD7">
        <w:rPr>
          <w:rFonts w:ascii="Palatino Linotype" w:eastAsia="Palatino Linotype" w:hAnsi="Palatino Linotype" w:cs="Palatino Linotype"/>
          <w:i/>
          <w:color w:val="000000" w:themeColor="text1"/>
        </w:rPr>
        <w:t xml:space="preserve">, con nombre incompleto o seudónimo </w:t>
      </w:r>
      <w:r w:rsidRPr="00FD3DD7">
        <w:rPr>
          <w:rFonts w:ascii="Palatino Linotype" w:eastAsia="Palatino Linotype" w:hAnsi="Palatino Linotype" w:cs="Palatino Linotype"/>
          <w:b/>
          <w:i/>
          <w:color w:val="000000" w:themeColor="text1"/>
        </w:rPr>
        <w:t>serán procedentes para su trámite por parte del sujeto obligado ante quien se presente</w:t>
      </w:r>
      <w:r w:rsidRPr="00FD3DD7">
        <w:rPr>
          <w:rFonts w:ascii="Palatino Linotype" w:eastAsia="Palatino Linotype" w:hAnsi="Palatino Linotype" w:cs="Palatino Linotype"/>
          <w:i/>
          <w:color w:val="000000" w:themeColor="text1"/>
        </w:rPr>
        <w:t>. No podrá requerirse información adicional con motivo del nombre proporcionado por el solicitante.”</w:t>
      </w:r>
    </w:p>
    <w:p w:rsidR="006B5EF1" w:rsidRPr="00FD3DD7" w:rsidRDefault="006B5EF1" w:rsidP="00E42EB8">
      <w:pPr>
        <w:pBdr>
          <w:top w:val="nil"/>
          <w:left w:val="nil"/>
          <w:bottom w:val="nil"/>
          <w:right w:val="nil"/>
          <w:between w:val="nil"/>
        </w:pBdr>
        <w:ind w:right="-7"/>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lastRenderedPageBreak/>
        <w:t>Robusteciendo lo anterior se encuentra lo dispuesto en el artículo 6, Apartado A, fracciones III de la Constitución Política de los Estados Unidos Mexicanos que establece:</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r w:rsidRPr="00FD3DD7">
        <w:rPr>
          <w:rFonts w:ascii="Palatino Linotype" w:eastAsia="Palatino Linotype" w:hAnsi="Palatino Linotype" w:cs="Palatino Linotype"/>
          <w:b/>
          <w:i/>
          <w:color w:val="000000" w:themeColor="text1"/>
        </w:rPr>
        <w:t>Artículo 6.-</w:t>
      </w:r>
      <w:r w:rsidRPr="00FD3DD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B5EF1" w:rsidRPr="00FD3DD7" w:rsidRDefault="006B5EF1" w:rsidP="00E42EB8">
      <w:pPr>
        <w:pBdr>
          <w:top w:val="nil"/>
          <w:left w:val="nil"/>
          <w:bottom w:val="nil"/>
          <w:right w:val="nil"/>
          <w:between w:val="nil"/>
        </w:pBdr>
        <w:spacing w:after="12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Para efectos de lo dispuesto en el presente artículo se observará lo siguiente:</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6B5EF1" w:rsidRDefault="006B5EF1" w:rsidP="00E42EB8">
      <w:pPr>
        <w:pBdr>
          <w:top w:val="nil"/>
          <w:left w:val="nil"/>
          <w:bottom w:val="nil"/>
          <w:right w:val="nil"/>
          <w:between w:val="nil"/>
        </w:pBdr>
        <w:ind w:right="-7"/>
        <w:rPr>
          <w:rFonts w:ascii="Palatino Linotype" w:eastAsia="Palatino Linotype" w:hAnsi="Palatino Linotype" w:cs="Palatino Linotype"/>
          <w:i/>
          <w:color w:val="000000" w:themeColor="text1"/>
        </w:rPr>
      </w:pPr>
    </w:p>
    <w:p w:rsidR="00A26E28" w:rsidRPr="00FD3DD7" w:rsidRDefault="00A26E28" w:rsidP="00E42EB8">
      <w:pPr>
        <w:pBdr>
          <w:top w:val="nil"/>
          <w:left w:val="nil"/>
          <w:bottom w:val="nil"/>
          <w:right w:val="nil"/>
          <w:between w:val="nil"/>
        </w:pBdr>
        <w:ind w:right="-7"/>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r w:rsidRPr="00FD3DD7">
        <w:rPr>
          <w:rFonts w:ascii="Palatino Linotype" w:eastAsia="Palatino Linotype" w:hAnsi="Palatino Linotype" w:cs="Palatino Linotype"/>
          <w:b/>
          <w:i/>
          <w:color w:val="000000" w:themeColor="text1"/>
        </w:rPr>
        <w:t>Artículo 5.-</w:t>
      </w:r>
      <w:r w:rsidRPr="00FD3DD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w:t>
      </w:r>
      <w:r w:rsidRPr="00FD3DD7">
        <w:rPr>
          <w:rFonts w:ascii="Palatino Linotype" w:eastAsia="Palatino Linotype" w:hAnsi="Palatino Linotype" w:cs="Palatino Linotype"/>
          <w:i/>
          <w:color w:val="000000" w:themeColor="text1"/>
        </w:rPr>
        <w:lastRenderedPageBreak/>
        <w:t>en términos de las disposiciones aplicables, la información será oportuna, clara, veraz y de fácil acceso. Este derecho se regirá por los principios y bases siguientes:</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6B5EF1" w:rsidRDefault="006B5EF1" w:rsidP="00E42EB8">
      <w:pPr>
        <w:pBdr>
          <w:top w:val="nil"/>
          <w:left w:val="nil"/>
          <w:bottom w:val="nil"/>
          <w:right w:val="nil"/>
          <w:between w:val="nil"/>
        </w:pBdr>
        <w:ind w:right="-7"/>
        <w:rPr>
          <w:rFonts w:ascii="Palatino Linotype" w:eastAsia="Palatino Linotype" w:hAnsi="Palatino Linotype" w:cs="Palatino Linotype"/>
          <w:i/>
          <w:color w:val="000000" w:themeColor="text1"/>
        </w:rPr>
      </w:pPr>
    </w:p>
    <w:p w:rsidR="00A26E28" w:rsidRPr="00FD3DD7" w:rsidRDefault="00A26E28" w:rsidP="00E42EB8">
      <w:pPr>
        <w:pBdr>
          <w:top w:val="nil"/>
          <w:left w:val="nil"/>
          <w:bottom w:val="nil"/>
          <w:right w:val="nil"/>
          <w:between w:val="nil"/>
        </w:pBdr>
        <w:ind w:right="-7"/>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r w:rsidRPr="00FD3DD7">
        <w:rPr>
          <w:rFonts w:ascii="Palatino Linotype" w:eastAsia="Palatino Linotype" w:hAnsi="Palatino Linotype" w:cs="Palatino Linotype"/>
          <w:b/>
          <w:i/>
          <w:color w:val="000000" w:themeColor="text1"/>
        </w:rPr>
        <w:t>Artículo 1</w:t>
      </w:r>
      <w:r w:rsidRPr="00FD3DD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6B5EF1" w:rsidRPr="00FD3DD7" w:rsidRDefault="006B5EF1" w:rsidP="00E42EB8">
      <w:pPr>
        <w:pBdr>
          <w:top w:val="nil"/>
          <w:left w:val="nil"/>
          <w:bottom w:val="nil"/>
          <w:right w:val="nil"/>
          <w:between w:val="nil"/>
        </w:pBdr>
        <w:ind w:right="-7"/>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FD3DD7">
        <w:rPr>
          <w:rFonts w:ascii="Palatino Linotype" w:eastAsia="Palatino Linotype" w:hAnsi="Palatino Linotype" w:cs="Palatino Linotype"/>
          <w:i/>
          <w:color w:val="000000" w:themeColor="text1"/>
        </w:rPr>
        <w:t>derecho fundamental exime a quien lo ejerce</w:t>
      </w:r>
      <w:r w:rsidRPr="00FD3DD7">
        <w:rPr>
          <w:rFonts w:ascii="Palatino Linotype" w:eastAsia="Palatino Linotype" w:hAnsi="Palatino Linotype" w:cs="Palatino Linotype"/>
          <w:color w:val="000000" w:themeColor="text1"/>
        </w:rPr>
        <w:t xml:space="preserve">, de acreditar su legitimación en la causa o su interés en el asunto, lo que permite la </w:t>
      </w:r>
      <w:r w:rsidRPr="00FD3DD7">
        <w:rPr>
          <w:rFonts w:ascii="Palatino Linotype" w:eastAsia="Palatino Linotype" w:hAnsi="Palatino Linotype" w:cs="Palatino Linotype"/>
          <w:color w:val="000000" w:themeColor="text1"/>
        </w:rPr>
        <w:lastRenderedPageBreak/>
        <w:t>posibilidad de que, incluso, la solicitud de acceso a la información pueda ser anónima o no contener un nombre que identifique al solicitante o que permita tener certeza sobre su identidad.</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6B5EF1" w:rsidRPr="00FD3DD7" w:rsidRDefault="006B5EF1"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B5EF1" w:rsidRPr="00FD3DD7" w:rsidRDefault="006B5EF1" w:rsidP="00E42EB8">
      <w:pPr>
        <w:pBdr>
          <w:top w:val="nil"/>
          <w:left w:val="nil"/>
          <w:bottom w:val="nil"/>
          <w:right w:val="nil"/>
          <w:between w:val="nil"/>
        </w:pBdr>
        <w:spacing w:line="360" w:lineRule="auto"/>
        <w:ind w:right="-7"/>
        <w:jc w:val="both"/>
        <w:rPr>
          <w:rFonts w:ascii="Palatino Linotype" w:hAnsi="Palatino Linotype"/>
          <w:color w:val="000000" w:themeColor="text1"/>
        </w:rPr>
      </w:pPr>
    </w:p>
    <w:p w:rsidR="006B5EF1" w:rsidRPr="00FD3DD7" w:rsidRDefault="006B5EF1" w:rsidP="00E42EB8">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FD3DD7">
        <w:rPr>
          <w:rFonts w:ascii="Palatino Linotype" w:eastAsia="Palatino Linotype" w:hAnsi="Palatino Linotype" w:cs="Palatino Linotype"/>
          <w:b/>
          <w:color w:val="000000" w:themeColor="text1"/>
          <w:sz w:val="24"/>
          <w:szCs w:val="24"/>
        </w:rPr>
        <w:t xml:space="preserve">TERCERO. Del planteamiento de la </w:t>
      </w:r>
      <w:r w:rsidRPr="00FD3DD7">
        <w:rPr>
          <w:rFonts w:ascii="Palatino Linotype" w:eastAsia="Palatino Linotype" w:hAnsi="Palatino Linotype" w:cs="Palatino Linotype"/>
          <w:b/>
          <w:i/>
          <w:color w:val="000000" w:themeColor="text1"/>
          <w:sz w:val="24"/>
          <w:szCs w:val="24"/>
        </w:rPr>
        <w:t>Litis</w:t>
      </w:r>
      <w:r w:rsidRPr="00FD3DD7">
        <w:rPr>
          <w:rFonts w:ascii="Palatino Linotype" w:eastAsia="Palatino Linotype" w:hAnsi="Palatino Linotype" w:cs="Palatino Linotype"/>
          <w:b/>
          <w:color w:val="000000" w:themeColor="text1"/>
          <w:sz w:val="24"/>
          <w:szCs w:val="24"/>
        </w:rPr>
        <w:t>.</w:t>
      </w: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6B5EF1" w:rsidRPr="00FD3DD7" w:rsidRDefault="00B47966" w:rsidP="00E42EB8">
      <w:pPr>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b/>
          <w:i/>
          <w:color w:val="000000" w:themeColor="text1"/>
        </w:rPr>
        <w:lastRenderedPageBreak/>
        <w:t>facturas pagadas por el Instituto de Cultura Física y Deporte de Cocotitlán por conceptos de compras de premios, de playeras o trofeos, etc.</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b/>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En respuesta, el </w:t>
      </w:r>
      <w:r w:rsidRPr="00FD3DD7">
        <w:rPr>
          <w:rFonts w:ascii="Palatino Linotype" w:eastAsia="Palatino Linotype" w:hAnsi="Palatino Linotype" w:cs="Palatino Linotype"/>
          <w:b/>
          <w:color w:val="000000" w:themeColor="text1"/>
        </w:rPr>
        <w:t xml:space="preserve">SUJETO OBLIGADO </w:t>
      </w:r>
      <w:r w:rsidRPr="00FD3DD7">
        <w:rPr>
          <w:rFonts w:ascii="Palatino Linotype" w:eastAsia="Palatino Linotype" w:hAnsi="Palatino Linotype" w:cs="Palatino Linotype"/>
          <w:color w:val="000000" w:themeColor="text1"/>
        </w:rPr>
        <w:t>por medio de</w:t>
      </w:r>
      <w:r w:rsidR="00B47966" w:rsidRPr="00FD3DD7">
        <w:rPr>
          <w:rFonts w:ascii="Palatino Linotype" w:eastAsia="Palatino Linotype" w:hAnsi="Palatino Linotype" w:cs="Palatino Linotype"/>
          <w:color w:val="000000" w:themeColor="text1"/>
        </w:rPr>
        <w:t>l Tesorero del Instituto del Deporte, informo que se localizaron facturas de la información solicitada, sin embargo de manera inicial no se entregaron facturas</w:t>
      </w:r>
      <w:r w:rsidRPr="00FD3DD7">
        <w:rPr>
          <w:rFonts w:ascii="Palatino Linotype" w:eastAsia="Palatino Linotype" w:hAnsi="Palatino Linotype" w:cs="Palatino Linotype"/>
          <w:color w:val="000000" w:themeColor="text1"/>
        </w:rPr>
        <w:t xml:space="preserve">. </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En dichas condiciones, la </w:t>
      </w:r>
      <w:r w:rsidRPr="00FD3DD7">
        <w:rPr>
          <w:rFonts w:ascii="Palatino Linotype" w:eastAsia="Palatino Linotype" w:hAnsi="Palatino Linotype" w:cs="Palatino Linotype"/>
          <w:i/>
          <w:color w:val="000000" w:themeColor="text1"/>
        </w:rPr>
        <w:t>Litis</w:t>
      </w:r>
      <w:r w:rsidRPr="00FD3DD7">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FD3DD7">
        <w:rPr>
          <w:rFonts w:ascii="Palatino Linotype" w:eastAsia="Palatino Linotype" w:hAnsi="Palatino Linotype" w:cs="Palatino Linotype"/>
          <w:b/>
          <w:color w:val="000000" w:themeColor="text1"/>
        </w:rPr>
        <w:t xml:space="preserve">fracción I </w:t>
      </w:r>
      <w:r w:rsidRPr="00FD3DD7">
        <w:rPr>
          <w:rFonts w:ascii="Palatino Linotype" w:eastAsia="Palatino Linotype" w:hAnsi="Palatino Linotype" w:cs="Palatino Linotype"/>
          <w:color w:val="000000" w:themeColor="text1"/>
        </w:rPr>
        <w:t>de la Ley</w:t>
      </w:r>
      <w:r w:rsidRPr="00FD3DD7">
        <w:rPr>
          <w:rFonts w:ascii="Palatino Linotype" w:eastAsia="Palatino Linotype" w:hAnsi="Palatino Linotype" w:cs="Palatino Linotype"/>
          <w:b/>
          <w:color w:val="000000" w:themeColor="text1"/>
        </w:rPr>
        <w:t xml:space="preserve"> de Transparencia y Acceso a la Información Pública del Estado de </w:t>
      </w:r>
      <w:r w:rsidRPr="00FD3DD7">
        <w:rPr>
          <w:rFonts w:ascii="Palatino Linotype" w:eastAsia="Palatino Linotype" w:hAnsi="Palatino Linotype" w:cs="Palatino Linotype"/>
          <w:color w:val="000000" w:themeColor="text1"/>
        </w:rPr>
        <w:t>México</w:t>
      </w:r>
      <w:r w:rsidRPr="00FD3DD7">
        <w:rPr>
          <w:rFonts w:ascii="Palatino Linotype" w:eastAsia="Palatino Linotype" w:hAnsi="Palatino Linotype" w:cs="Palatino Linotype"/>
          <w:b/>
          <w:color w:val="000000" w:themeColor="text1"/>
        </w:rPr>
        <w:t xml:space="preserve"> y Municipios</w:t>
      </w:r>
      <w:r w:rsidRPr="00FD3DD7">
        <w:rPr>
          <w:rFonts w:ascii="Palatino Linotype" w:eastAsia="Palatino Linotype" w:hAnsi="Palatino Linotype" w:cs="Palatino Linotype"/>
          <w:color w:val="000000" w:themeColor="text1"/>
        </w:rPr>
        <w:t xml:space="preserve">; fracción que determina la hipótesis jurídica relativa a la negativa de información por parte del </w:t>
      </w:r>
      <w:r w:rsidRPr="00FD3DD7">
        <w:rPr>
          <w:rFonts w:ascii="Palatino Linotype" w:eastAsia="Palatino Linotype" w:hAnsi="Palatino Linotype" w:cs="Palatino Linotype"/>
          <w:b/>
          <w:color w:val="000000" w:themeColor="text1"/>
        </w:rPr>
        <w:t>SUJETO OBLIGADO</w:t>
      </w:r>
      <w:r w:rsidRPr="00FD3DD7">
        <w:rPr>
          <w:rFonts w:ascii="Palatino Linotype" w:eastAsia="Palatino Linotype" w:hAnsi="Palatino Linotype" w:cs="Palatino Linotype"/>
          <w:color w:val="000000" w:themeColor="text1"/>
        </w:rPr>
        <w:t xml:space="preserve">; contexto del cual se dolió </w:t>
      </w:r>
      <w:r w:rsidRPr="00FD3DD7">
        <w:rPr>
          <w:rFonts w:ascii="Palatino Linotype" w:eastAsia="Palatino Linotype" w:hAnsi="Palatino Linotype" w:cs="Palatino Linotype"/>
          <w:b/>
          <w:color w:val="000000" w:themeColor="text1"/>
        </w:rPr>
        <w:t xml:space="preserve">EL RECURRENTE </w:t>
      </w:r>
      <w:r w:rsidRPr="00FD3DD7">
        <w:rPr>
          <w:rFonts w:ascii="Palatino Linotype" w:eastAsia="Palatino Linotype" w:hAnsi="Palatino Linotype" w:cs="Palatino Linotype"/>
          <w:color w:val="000000" w:themeColor="text1"/>
        </w:rPr>
        <w:t>al momento de interponer su inconformidad.</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6B5EF1" w:rsidRPr="00FD3DD7" w:rsidRDefault="00792FA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De modo tal que el presente recurso</w:t>
      </w:r>
      <w:r w:rsidR="006B5EF1" w:rsidRPr="00FD3DD7">
        <w:rPr>
          <w:rFonts w:ascii="Palatino Linotype" w:eastAsia="Palatino Linotype" w:hAnsi="Palatino Linotype" w:cs="Palatino Linotype"/>
          <w:color w:val="000000" w:themeColor="text1"/>
        </w:rPr>
        <w:t xml:space="preserve"> de revisión se </w:t>
      </w:r>
      <w:r w:rsidRPr="00FD3DD7">
        <w:rPr>
          <w:rFonts w:ascii="Palatino Linotype" w:eastAsia="Palatino Linotype" w:hAnsi="Palatino Linotype" w:cs="Palatino Linotype"/>
          <w:color w:val="000000" w:themeColor="text1"/>
        </w:rPr>
        <w:t>abocara</w:t>
      </w:r>
      <w:r w:rsidR="006B5EF1" w:rsidRPr="00FD3DD7">
        <w:rPr>
          <w:rFonts w:ascii="Palatino Linotype" w:eastAsia="Palatino Linotype" w:hAnsi="Palatino Linotype" w:cs="Palatino Linotype"/>
          <w:color w:val="000000" w:themeColor="text1"/>
        </w:rPr>
        <w:t xml:space="preserve"> en determinar si el </w:t>
      </w:r>
      <w:r w:rsidR="006B5EF1" w:rsidRPr="00FD3DD7">
        <w:rPr>
          <w:rFonts w:ascii="Palatino Linotype" w:eastAsia="Palatino Linotype" w:hAnsi="Palatino Linotype" w:cs="Palatino Linotype"/>
          <w:b/>
          <w:color w:val="000000" w:themeColor="text1"/>
        </w:rPr>
        <w:t>SUJETO OBLIGADO</w:t>
      </w:r>
      <w:r w:rsidR="006B5EF1" w:rsidRPr="00FD3DD7">
        <w:rPr>
          <w:rFonts w:ascii="Palatino Linotype" w:eastAsia="Palatino Linotype" w:hAnsi="Palatino Linotype" w:cs="Palatino Linotype"/>
          <w:color w:val="000000" w:themeColor="text1"/>
        </w:rPr>
        <w:t xml:space="preserve"> con su respuesta ciertamente actualiza la causal de procedencia</w:t>
      </w:r>
      <w:r w:rsidR="006B5EF1" w:rsidRPr="00FD3DD7">
        <w:rPr>
          <w:rFonts w:ascii="Palatino Linotype" w:eastAsia="Palatino Linotype" w:hAnsi="Palatino Linotype" w:cs="Palatino Linotype"/>
          <w:b/>
          <w:color w:val="000000" w:themeColor="text1"/>
        </w:rPr>
        <w:t xml:space="preserve"> </w:t>
      </w:r>
      <w:r w:rsidR="006B5EF1" w:rsidRPr="00FD3DD7">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B5EF1" w:rsidRPr="00FD3DD7" w:rsidRDefault="006B5EF1" w:rsidP="00E42EB8">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6B5EF1" w:rsidRPr="00FD3DD7" w:rsidRDefault="006B5EF1" w:rsidP="00E42EB8">
      <w:pPr>
        <w:keepNext/>
        <w:keepLines/>
        <w:spacing w:line="360" w:lineRule="auto"/>
        <w:ind w:right="-7"/>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b/>
          <w:color w:val="000000" w:themeColor="text1"/>
        </w:rPr>
        <w:lastRenderedPageBreak/>
        <w:t>CUARTO. Del estudio y resolución del estudio.</w:t>
      </w:r>
    </w:p>
    <w:p w:rsidR="006B5EF1" w:rsidRPr="00FD3DD7" w:rsidRDefault="006B5EF1" w:rsidP="00E42EB8">
      <w:pPr>
        <w:keepNext/>
        <w:keepLines/>
        <w:numPr>
          <w:ilvl w:val="0"/>
          <w:numId w:val="8"/>
        </w:numPr>
        <w:spacing w:after="240" w:line="360" w:lineRule="auto"/>
        <w:ind w:left="0" w:right="-7" w:firstLine="0"/>
        <w:rPr>
          <w:rFonts w:ascii="Palatino Linotype" w:eastAsia="Palatino Linotype" w:hAnsi="Palatino Linotype" w:cs="Palatino Linotype"/>
          <w:b/>
          <w:color w:val="000000" w:themeColor="text1"/>
        </w:rPr>
      </w:pPr>
      <w:bookmarkStart w:id="11" w:name="_heading=h.17dp8vu" w:colFirst="0" w:colLast="0"/>
      <w:bookmarkEnd w:id="11"/>
      <w:r w:rsidRPr="00FD3DD7">
        <w:rPr>
          <w:rFonts w:ascii="Palatino Linotype" w:eastAsia="Palatino Linotype" w:hAnsi="Palatino Linotype" w:cs="Palatino Linotype"/>
          <w:b/>
          <w:color w:val="000000" w:themeColor="text1"/>
        </w:rPr>
        <w:t>Del derecho de acceso a la información.</w:t>
      </w:r>
    </w:p>
    <w:p w:rsidR="006B5EF1" w:rsidRPr="00FD3DD7" w:rsidRDefault="006B5EF1"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B5EF1" w:rsidRPr="00FD3DD7" w:rsidRDefault="006B5EF1" w:rsidP="00E42EB8">
      <w:pPr>
        <w:numPr>
          <w:ilvl w:val="0"/>
          <w:numId w:val="6"/>
        </w:numPr>
        <w:spacing w:before="240"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Definiendo el Derecho de Acceso a la Información Pública como: </w:t>
      </w:r>
      <w:r w:rsidRPr="00FD3DD7">
        <w:rPr>
          <w:rFonts w:ascii="Palatino Linotype" w:eastAsia="Palatino Linotype" w:hAnsi="Palatino Linotype" w:cs="Palatino Linotype"/>
          <w:i/>
          <w:color w:val="000000" w:themeColor="text1"/>
        </w:rPr>
        <w:t>La igualdad de oportunidades para recibir, buscar e impartir información</w:t>
      </w:r>
      <w:r w:rsidRPr="00FD3DD7">
        <w:rPr>
          <w:rFonts w:ascii="Palatino Linotype" w:eastAsia="Palatino Linotype" w:hAnsi="Palatino Linotype" w:cs="Palatino Linotype"/>
          <w:i/>
          <w:color w:val="000000" w:themeColor="text1"/>
          <w:vertAlign w:val="superscript"/>
        </w:rPr>
        <w:footnoteReference w:id="1"/>
      </w:r>
      <w:r w:rsidRPr="00FD3DD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D3DD7">
        <w:rPr>
          <w:rFonts w:ascii="Palatino Linotype" w:eastAsia="Palatino Linotype" w:hAnsi="Palatino Linotype" w:cs="Palatino Linotype"/>
          <w:i/>
          <w:color w:val="000000" w:themeColor="text1"/>
          <w:vertAlign w:val="superscript"/>
        </w:rPr>
        <w:footnoteReference w:id="2"/>
      </w:r>
      <w:r w:rsidRPr="00FD3DD7">
        <w:rPr>
          <w:rFonts w:ascii="Palatino Linotype" w:eastAsia="Palatino Linotype" w:hAnsi="Palatino Linotype" w:cs="Palatino Linotype"/>
          <w:color w:val="000000" w:themeColor="text1"/>
        </w:rPr>
        <w:t>que se constituye como una herramienta fundamental para ejercer</w:t>
      </w:r>
      <w:r w:rsidRPr="00FD3DD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D3DD7">
        <w:rPr>
          <w:rFonts w:ascii="Palatino Linotype" w:eastAsia="Palatino Linotype" w:hAnsi="Palatino Linotype" w:cs="Palatino Linotype"/>
          <w:i/>
          <w:color w:val="000000" w:themeColor="text1"/>
          <w:vertAlign w:val="superscript"/>
        </w:rPr>
        <w:footnoteReference w:id="3"/>
      </w:r>
      <w:r w:rsidRPr="00FD3DD7">
        <w:rPr>
          <w:rFonts w:ascii="Palatino Linotype" w:eastAsia="Palatino Linotype" w:hAnsi="Palatino Linotype" w:cs="Palatino Linotype"/>
          <w:color w:val="000000" w:themeColor="text1"/>
        </w:rPr>
        <w:t>fomentando</w:t>
      </w:r>
      <w:r w:rsidRPr="00FD3DD7">
        <w:rPr>
          <w:rFonts w:ascii="Palatino Linotype" w:eastAsia="Palatino Linotype" w:hAnsi="Palatino Linotype" w:cs="Palatino Linotype"/>
          <w:i/>
          <w:color w:val="000000" w:themeColor="text1"/>
        </w:rPr>
        <w:t xml:space="preserve"> la transparencia de las actividades estatales y </w:t>
      </w:r>
      <w:r w:rsidRPr="00FD3DD7">
        <w:rPr>
          <w:rFonts w:ascii="Palatino Linotype" w:eastAsia="Palatino Linotype" w:hAnsi="Palatino Linotype" w:cs="Palatino Linotype"/>
          <w:color w:val="000000" w:themeColor="text1"/>
        </w:rPr>
        <w:t>promoviendo</w:t>
      </w:r>
      <w:r w:rsidRPr="00FD3DD7">
        <w:rPr>
          <w:rFonts w:ascii="Palatino Linotype" w:eastAsia="Palatino Linotype" w:hAnsi="Palatino Linotype" w:cs="Palatino Linotype"/>
          <w:i/>
          <w:color w:val="000000" w:themeColor="text1"/>
        </w:rPr>
        <w:t xml:space="preserve"> la responsabilidad de los funcionarios sobre su gestión pública,</w:t>
      </w:r>
      <w:r w:rsidRPr="00FD3DD7">
        <w:rPr>
          <w:rFonts w:ascii="Palatino Linotype" w:eastAsia="Palatino Linotype" w:hAnsi="Palatino Linotype" w:cs="Palatino Linotype"/>
          <w:i/>
          <w:color w:val="000000" w:themeColor="text1"/>
          <w:vertAlign w:val="superscript"/>
        </w:rPr>
        <w:footnoteReference w:id="4"/>
      </w:r>
      <w:r w:rsidRPr="00FD3DD7">
        <w:rPr>
          <w:rFonts w:ascii="Palatino Linotype" w:eastAsia="Palatino Linotype" w:hAnsi="Palatino Linotype" w:cs="Palatino Linotype"/>
          <w:color w:val="000000" w:themeColor="text1"/>
        </w:rPr>
        <w:t>que permite</w:t>
      </w:r>
      <w:r w:rsidRPr="00FD3DD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r w:rsidRPr="00FD3DD7">
        <w:rPr>
          <w:rFonts w:ascii="Palatino Linotype" w:eastAsia="Palatino Linotype" w:hAnsi="Palatino Linotype" w:cs="Palatino Linotype"/>
          <w:b/>
          <w:i/>
          <w:color w:val="000000" w:themeColor="text1"/>
        </w:rPr>
        <w:t>Artículo 1.-</w:t>
      </w:r>
      <w:r w:rsidRPr="00FD3DD7">
        <w:rPr>
          <w:rFonts w:ascii="Palatino Linotype" w:eastAsia="Palatino Linotype" w:hAnsi="Palatino Linotype" w:cs="Palatino Linotype"/>
          <w:i/>
          <w:color w:val="000000" w:themeColor="text1"/>
        </w:rPr>
        <w:t xml:space="preserve"> </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Todas las</w:t>
      </w:r>
      <w:r w:rsidRPr="00FD3DD7">
        <w:rPr>
          <w:rFonts w:ascii="Palatino Linotype" w:eastAsia="Palatino Linotype" w:hAnsi="Palatino Linotype" w:cs="Palatino Linotype"/>
          <w:color w:val="000000" w:themeColor="text1"/>
        </w:rPr>
        <w:t xml:space="preserve"> </w:t>
      </w:r>
      <w:r w:rsidRPr="00FD3DD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B5EF1" w:rsidRPr="00FD3DD7" w:rsidRDefault="006B5EF1" w:rsidP="00E42EB8">
      <w:pPr>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i/>
          <w:color w:val="000000" w:themeColor="text1"/>
        </w:rPr>
        <w:t>(…)</w:t>
      </w:r>
      <w:r w:rsidRPr="00FD3DD7">
        <w:rPr>
          <w:rFonts w:ascii="Palatino Linotype" w:eastAsia="Palatino Linotype" w:hAnsi="Palatino Linotype" w:cs="Palatino Linotype"/>
          <w:color w:val="000000" w:themeColor="text1"/>
        </w:rPr>
        <w:t>”.</w:t>
      </w:r>
    </w:p>
    <w:p w:rsidR="006B5EF1" w:rsidRPr="00FD3DD7" w:rsidRDefault="006B5EF1" w:rsidP="00E42EB8">
      <w:pPr>
        <w:ind w:right="-7"/>
        <w:jc w:val="both"/>
        <w:rPr>
          <w:rFonts w:ascii="Palatino Linotype" w:eastAsia="Palatino Linotype" w:hAnsi="Palatino Linotype" w:cs="Palatino Linotype"/>
          <w:b/>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B5EF1" w:rsidRPr="00FD3DD7" w:rsidRDefault="006B5EF1" w:rsidP="00E42EB8">
      <w:pPr>
        <w:spacing w:after="240"/>
        <w:ind w:right="-7"/>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b/>
          <w:i/>
          <w:color w:val="000000" w:themeColor="text1"/>
        </w:rPr>
        <w:t>Constitución Política de los Estados Unidos Mexicanos</w:t>
      </w:r>
    </w:p>
    <w:p w:rsidR="006B5EF1" w:rsidRPr="00FD3DD7" w:rsidRDefault="006B5EF1" w:rsidP="00E42EB8">
      <w:pPr>
        <w:spacing w:before="240" w:after="240"/>
        <w:ind w:right="-7"/>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b/>
          <w:i/>
          <w:color w:val="000000" w:themeColor="text1"/>
        </w:rPr>
        <w:t>“Artículo 6.</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Para efectos de lo dispuesto en el presente artículo se observará lo siguiente:</w:t>
      </w:r>
    </w:p>
    <w:p w:rsidR="006B5EF1" w:rsidRPr="00FD3DD7" w:rsidRDefault="006B5EF1" w:rsidP="00E42EB8">
      <w:pPr>
        <w:spacing w:before="240" w:after="240"/>
        <w:ind w:right="-7"/>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b/>
          <w:i/>
          <w:color w:val="000000" w:themeColor="text1"/>
        </w:rPr>
        <w:lastRenderedPageBreak/>
        <w:t>A</w:t>
      </w: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b/>
          <w:i/>
          <w:color w:val="000000" w:themeColor="text1"/>
        </w:rPr>
        <w:t>Para el ejercicio del derecho de acceso a la información</w:t>
      </w:r>
      <w:r w:rsidRPr="00FD3DD7">
        <w:rPr>
          <w:rFonts w:ascii="Palatino Linotype" w:eastAsia="Palatino Linotype" w:hAnsi="Palatino Linotype" w:cs="Palatino Linotype"/>
          <w:i/>
          <w:color w:val="000000" w:themeColor="text1"/>
        </w:rPr>
        <w:t xml:space="preserve">, la Federación y </w:t>
      </w:r>
      <w:r w:rsidRPr="00FD3DD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 xml:space="preserve">I. </w:t>
      </w:r>
      <w:r w:rsidRPr="00FD3DD7">
        <w:rPr>
          <w:rFonts w:ascii="Palatino Linotype" w:eastAsia="Palatino Linotype" w:hAnsi="Palatino Linotype" w:cs="Palatino Linotype"/>
          <w:b/>
          <w:i/>
          <w:color w:val="000000" w:themeColor="text1"/>
        </w:rPr>
        <w:tab/>
        <w:t>Toda la información en posesión de cualquier</w:t>
      </w: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b/>
          <w:i/>
          <w:color w:val="000000" w:themeColor="text1"/>
        </w:rPr>
        <w:t>autoridad</w:t>
      </w:r>
      <w:r w:rsidRPr="00FD3DD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D3DD7">
        <w:rPr>
          <w:rFonts w:ascii="Palatino Linotype" w:eastAsia="Palatino Linotype" w:hAnsi="Palatino Linotype" w:cs="Palatino Linotype"/>
          <w:b/>
          <w:i/>
          <w:color w:val="000000" w:themeColor="text1"/>
        </w:rPr>
        <w:t>municipal</w:t>
      </w: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b/>
          <w:i/>
          <w:color w:val="000000" w:themeColor="text1"/>
        </w:rPr>
        <w:t>es pública</w:t>
      </w:r>
      <w:r w:rsidRPr="00FD3DD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D3DD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D3DD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B5EF1" w:rsidRPr="00FD3DD7" w:rsidRDefault="006B5EF1" w:rsidP="00E42EB8">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6B5EF1" w:rsidRPr="00FD3DD7" w:rsidRDefault="006B5EF1" w:rsidP="00E42EB8">
      <w:pPr>
        <w:spacing w:before="240" w:after="240"/>
        <w:ind w:right="-7"/>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b/>
          <w:i/>
          <w:color w:val="000000" w:themeColor="text1"/>
        </w:rPr>
        <w:t>Constitución Política del Estado Libre y Soberano de México</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“Artículo 5</w:t>
      </w:r>
      <w:r w:rsidRPr="00FD3DD7">
        <w:rPr>
          <w:rFonts w:ascii="Palatino Linotype" w:eastAsia="Palatino Linotype" w:hAnsi="Palatino Linotype" w:cs="Palatino Linotype"/>
          <w:i/>
          <w:color w:val="000000" w:themeColor="text1"/>
        </w:rPr>
        <w:t xml:space="preserve">.- </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D3DD7">
        <w:rPr>
          <w:rFonts w:ascii="Palatino Linotype" w:eastAsia="Palatino Linotype" w:hAnsi="Palatino Linotype" w:cs="Palatino Linotype"/>
          <w:i/>
          <w:color w:val="000000" w:themeColor="text1"/>
        </w:rPr>
        <w:t>.</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Este derecho se regirá por los principios y bases siguientes</w:t>
      </w:r>
      <w:r w:rsidRPr="00FD3DD7">
        <w:rPr>
          <w:rFonts w:ascii="Palatino Linotype" w:eastAsia="Palatino Linotype" w:hAnsi="Palatino Linotype" w:cs="Palatino Linotype"/>
          <w:i/>
          <w:color w:val="000000" w:themeColor="text1"/>
        </w:rPr>
        <w:t>:</w:t>
      </w:r>
    </w:p>
    <w:p w:rsidR="006B5EF1" w:rsidRPr="00FD3DD7" w:rsidRDefault="006B5EF1" w:rsidP="00E42EB8">
      <w:pPr>
        <w:spacing w:before="240" w:after="240"/>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I. Toda la información en posesión de cualquier autoridad, entidad, órgano y organismos de los</w:t>
      </w:r>
      <w:r w:rsidRPr="00FD3DD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D3DD7">
        <w:rPr>
          <w:rFonts w:ascii="Palatino Linotype" w:eastAsia="Palatino Linotype" w:hAnsi="Palatino Linotype" w:cs="Palatino Linotype"/>
          <w:b/>
          <w:i/>
          <w:color w:val="000000" w:themeColor="text1"/>
        </w:rPr>
        <w:t>municipales</w:t>
      </w:r>
      <w:r w:rsidRPr="00FD3DD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D3DD7">
        <w:rPr>
          <w:rFonts w:ascii="Palatino Linotype" w:eastAsia="Palatino Linotype" w:hAnsi="Palatino Linotype" w:cs="Palatino Linotype"/>
          <w:b/>
          <w:i/>
          <w:color w:val="000000" w:themeColor="text1"/>
        </w:rPr>
        <w:t>es pública</w:t>
      </w:r>
      <w:r w:rsidRPr="00FD3DD7">
        <w:rPr>
          <w:rFonts w:ascii="Palatino Linotype" w:eastAsia="Palatino Linotype" w:hAnsi="Palatino Linotype" w:cs="Palatino Linotype"/>
          <w:i/>
          <w:color w:val="000000" w:themeColor="text1"/>
        </w:rPr>
        <w:t xml:space="preserve"> y sólo podrá ser reservada temporalmente por razones previstas en la </w:t>
      </w:r>
      <w:r w:rsidRPr="00FD3DD7">
        <w:rPr>
          <w:rFonts w:ascii="Palatino Linotype" w:eastAsia="Palatino Linotype" w:hAnsi="Palatino Linotype" w:cs="Palatino Linotype"/>
          <w:i/>
          <w:color w:val="000000" w:themeColor="text1"/>
        </w:rPr>
        <w:lastRenderedPageBreak/>
        <w:t xml:space="preserve">Constitución Política de los Estados Unidos Mexicanos de interés público y seguridad, en los términos que fijen las leyes. </w:t>
      </w:r>
      <w:r w:rsidRPr="00FD3DD7">
        <w:rPr>
          <w:rFonts w:ascii="Palatino Linotype" w:eastAsia="Palatino Linotype" w:hAnsi="Palatino Linotype" w:cs="Palatino Linotype"/>
          <w:b/>
          <w:i/>
          <w:color w:val="000000" w:themeColor="text1"/>
        </w:rPr>
        <w:t>En la interpretación de este derecho deberá prevalecer el principio de máxima publicidad</w:t>
      </w: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D3DD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B5EF1" w:rsidRPr="00FD3DD7" w:rsidRDefault="006B5EF1" w:rsidP="00E42EB8">
      <w:pPr>
        <w:tabs>
          <w:tab w:val="left" w:pos="567"/>
        </w:tabs>
        <w:spacing w:before="240" w:after="240"/>
        <w:ind w:right="-7"/>
        <w:jc w:val="both"/>
        <w:rPr>
          <w:rFonts w:ascii="Palatino Linotype" w:eastAsia="Palatino Linotype" w:hAnsi="Palatino Linotype" w:cs="Palatino Linotype"/>
          <w:b/>
          <w:i/>
          <w:color w:val="000000" w:themeColor="text1"/>
        </w:rPr>
      </w:pPr>
    </w:p>
    <w:p w:rsidR="006B5EF1" w:rsidRPr="00FD3DD7" w:rsidRDefault="006B5EF1" w:rsidP="00E42EB8">
      <w:pPr>
        <w:numPr>
          <w:ilvl w:val="0"/>
          <w:numId w:val="6"/>
        </w:numPr>
        <w:spacing w:before="240"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D3DD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D3DD7">
        <w:rPr>
          <w:rFonts w:ascii="Palatino Linotype" w:eastAsia="Palatino Linotype" w:hAnsi="Palatino Linotype" w:cs="Palatino Linotype"/>
          <w:color w:val="000000" w:themeColor="text1"/>
        </w:rPr>
        <w:t>, contemplando el derecho de las personas con discapacidad y hablantes de lengua indígena.</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D3DD7">
        <w:rPr>
          <w:rFonts w:ascii="Palatino Linotype" w:eastAsia="Palatino Linotype" w:hAnsi="Palatino Linotype" w:cs="Palatino Linotype"/>
          <w:i/>
          <w:color w:val="000000" w:themeColor="text1"/>
        </w:rPr>
        <w:t>solicitudes de acceso a la información</w:t>
      </w:r>
      <w:r w:rsidRPr="00FD3DD7">
        <w:rPr>
          <w:rFonts w:ascii="Palatino Linotype" w:eastAsia="Palatino Linotype" w:hAnsi="Palatino Linotype" w:cs="Palatino Linotype"/>
          <w:color w:val="000000" w:themeColor="text1"/>
        </w:rPr>
        <w:t>.</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12" w:name="_heading=h.3rdcrjn" w:colFirst="0" w:colLast="0"/>
      <w:bookmarkEnd w:id="12"/>
      <w:r w:rsidRPr="00FD3DD7">
        <w:rPr>
          <w:rFonts w:ascii="Palatino Linotype" w:eastAsia="Palatino Linotype" w:hAnsi="Palatino Linotype" w:cs="Palatino Linotype"/>
          <w:color w:val="000000" w:themeColor="text1"/>
        </w:rPr>
        <w:t xml:space="preserve">Así entonces, se procede analizar, en primer lugar, si el </w:t>
      </w:r>
      <w:r w:rsidRPr="00FD3DD7">
        <w:rPr>
          <w:rFonts w:ascii="Palatino Linotype" w:eastAsia="Palatino Linotype" w:hAnsi="Palatino Linotype" w:cs="Palatino Linotype"/>
          <w:b/>
          <w:color w:val="000000" w:themeColor="text1"/>
        </w:rPr>
        <w:t>SUJETO OBLIGADO</w:t>
      </w:r>
      <w:r w:rsidRPr="00FD3DD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3" w:name="_heading=h.26in1rg" w:colFirst="0" w:colLast="0"/>
      <w:bookmarkEnd w:id="13"/>
      <w:r w:rsidRPr="00FD3DD7">
        <w:rPr>
          <w:rFonts w:ascii="Palatino Linotype" w:eastAsia="Palatino Linotype" w:hAnsi="Palatino Linotype" w:cs="Palatino Linotype"/>
          <w:b/>
          <w:color w:val="000000" w:themeColor="text1"/>
          <w:sz w:val="24"/>
          <w:szCs w:val="24"/>
        </w:rPr>
        <w:lastRenderedPageBreak/>
        <w:t>De la información solicitada y la respuesta del SUJETO OBLIGADO</w:t>
      </w: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Acotada la </w:t>
      </w:r>
      <w:r w:rsidRPr="00FD3DD7">
        <w:rPr>
          <w:rFonts w:ascii="Palatino Linotype" w:eastAsia="Palatino Linotype" w:hAnsi="Palatino Linotype" w:cs="Palatino Linotype"/>
          <w:i/>
          <w:color w:val="000000" w:themeColor="text1"/>
        </w:rPr>
        <w:t>Litis</w:t>
      </w:r>
      <w:r w:rsidR="002248FB" w:rsidRPr="00FD3DD7">
        <w:rPr>
          <w:rFonts w:ascii="Palatino Linotype" w:eastAsia="Palatino Linotype" w:hAnsi="Palatino Linotype" w:cs="Palatino Linotype"/>
          <w:color w:val="000000" w:themeColor="text1"/>
        </w:rPr>
        <w:t xml:space="preserve"> del presente asunto se debe de analizar mediante el siguiente cuadro si el </w:t>
      </w:r>
      <w:r w:rsidR="002248FB" w:rsidRPr="00FD3DD7">
        <w:rPr>
          <w:rFonts w:ascii="Palatino Linotype" w:eastAsia="Palatino Linotype" w:hAnsi="Palatino Linotype" w:cs="Palatino Linotype"/>
          <w:b/>
          <w:color w:val="000000" w:themeColor="text1"/>
        </w:rPr>
        <w:t xml:space="preserve">SUJETO OBLIGADO </w:t>
      </w:r>
      <w:r w:rsidR="002248FB" w:rsidRPr="00FD3DD7">
        <w:rPr>
          <w:rFonts w:ascii="Palatino Linotype" w:eastAsia="Palatino Linotype" w:hAnsi="Palatino Linotype" w:cs="Palatino Linotype"/>
          <w:color w:val="000000" w:themeColor="text1"/>
        </w:rPr>
        <w:t xml:space="preserve">con la información remitida en la etapa de manifestaciones colma el derecho de acceso a la información del </w:t>
      </w:r>
      <w:r w:rsidR="002248FB" w:rsidRPr="00FD3DD7">
        <w:rPr>
          <w:rFonts w:ascii="Palatino Linotype" w:eastAsia="Palatino Linotype" w:hAnsi="Palatino Linotype" w:cs="Palatino Linotype"/>
          <w:b/>
          <w:color w:val="000000" w:themeColor="text1"/>
        </w:rPr>
        <w:t xml:space="preserve">RECURRENTE.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tbl>
      <w:tblPr>
        <w:tblStyle w:val="Tablaconcuadrcula"/>
        <w:tblW w:w="9634" w:type="dxa"/>
        <w:tblLook w:val="04A0" w:firstRow="1" w:lastRow="0" w:firstColumn="1" w:lastColumn="0" w:noHBand="0" w:noVBand="1"/>
      </w:tblPr>
      <w:tblGrid>
        <w:gridCol w:w="3857"/>
        <w:gridCol w:w="5777"/>
      </w:tblGrid>
      <w:tr w:rsidR="00E42EB8" w:rsidRPr="00FD3DD7" w:rsidTr="00A26E28">
        <w:tc>
          <w:tcPr>
            <w:tcW w:w="3857" w:type="dxa"/>
          </w:tcPr>
          <w:p w:rsidR="002248FB" w:rsidRPr="00A26E28" w:rsidRDefault="002248FB" w:rsidP="00A26E28">
            <w:pPr>
              <w:ind w:right="-7"/>
              <w:jc w:val="center"/>
              <w:rPr>
                <w:rFonts w:ascii="Palatino Linotype" w:hAnsi="Palatino Linotype"/>
                <w:b/>
                <w:i/>
                <w:color w:val="000000" w:themeColor="text1"/>
              </w:rPr>
            </w:pPr>
            <w:r w:rsidRPr="00A26E28">
              <w:rPr>
                <w:rFonts w:ascii="Palatino Linotype" w:hAnsi="Palatino Linotype"/>
                <w:b/>
                <w:i/>
                <w:color w:val="000000" w:themeColor="text1"/>
              </w:rPr>
              <w:t>INFORMACIÓN SOLICITADA</w:t>
            </w:r>
          </w:p>
        </w:tc>
        <w:tc>
          <w:tcPr>
            <w:tcW w:w="5777" w:type="dxa"/>
          </w:tcPr>
          <w:p w:rsidR="002248FB" w:rsidRPr="00A26E28" w:rsidRDefault="002248FB" w:rsidP="00A26E28">
            <w:pPr>
              <w:ind w:right="-7"/>
              <w:jc w:val="center"/>
              <w:rPr>
                <w:rFonts w:ascii="Palatino Linotype" w:hAnsi="Palatino Linotype"/>
                <w:b/>
                <w:i/>
                <w:color w:val="000000" w:themeColor="text1"/>
              </w:rPr>
            </w:pPr>
            <w:r w:rsidRPr="00A26E28">
              <w:rPr>
                <w:rFonts w:ascii="Palatino Linotype" w:hAnsi="Palatino Linotype"/>
                <w:b/>
                <w:i/>
                <w:color w:val="000000" w:themeColor="text1"/>
              </w:rPr>
              <w:t>INFORMACIÓN REMITIDA EN MANIFESTACIONES</w:t>
            </w:r>
          </w:p>
        </w:tc>
      </w:tr>
      <w:tr w:rsidR="002248FB" w:rsidRPr="00FD3DD7" w:rsidTr="00A26E28">
        <w:tc>
          <w:tcPr>
            <w:tcW w:w="3857" w:type="dxa"/>
          </w:tcPr>
          <w:p w:rsidR="002248FB" w:rsidRPr="00FD3DD7" w:rsidRDefault="002248FB" w:rsidP="00E42EB8">
            <w:pPr>
              <w:ind w:right="-7"/>
              <w:jc w:val="both"/>
              <w:rPr>
                <w:rFonts w:ascii="Palatino Linotype" w:hAnsi="Palatino Linotype"/>
                <w:b/>
                <w:i/>
                <w:color w:val="000000" w:themeColor="text1"/>
              </w:rPr>
            </w:pPr>
            <w:r w:rsidRPr="00FD3DD7">
              <w:rPr>
                <w:rFonts w:ascii="Palatino Linotype" w:hAnsi="Palatino Linotype"/>
                <w:b/>
                <w:i/>
                <w:color w:val="000000" w:themeColor="text1"/>
              </w:rPr>
              <w:t>Facturas pagadas por el Instituto de Cultura Física y Deporte de Cocotitlán por conceptos de compras de premios, de playeras o trofeos, etc.</w:t>
            </w:r>
          </w:p>
          <w:p w:rsidR="002248FB" w:rsidRPr="00FD3DD7" w:rsidRDefault="002248FB" w:rsidP="00E42EB8">
            <w:pPr>
              <w:ind w:right="-7"/>
              <w:jc w:val="both"/>
              <w:rPr>
                <w:rFonts w:ascii="Palatino Linotype" w:hAnsi="Palatino Linotype"/>
                <w:i/>
                <w:color w:val="000000" w:themeColor="text1"/>
              </w:rPr>
            </w:pPr>
          </w:p>
        </w:tc>
        <w:tc>
          <w:tcPr>
            <w:tcW w:w="5777" w:type="dxa"/>
          </w:tcPr>
          <w:p w:rsidR="002248FB" w:rsidRPr="00FD3DD7" w:rsidRDefault="002248FB" w:rsidP="00E42EB8">
            <w:pPr>
              <w:ind w:right="-7"/>
              <w:jc w:val="both"/>
              <w:rPr>
                <w:rFonts w:ascii="Palatino Linotype" w:hAnsi="Palatino Linotype"/>
                <w:i/>
                <w:color w:val="000000" w:themeColor="text1"/>
              </w:rPr>
            </w:pPr>
            <w:r w:rsidRPr="00FD3DD7">
              <w:rPr>
                <w:rFonts w:ascii="Palatino Linotype" w:hAnsi="Palatino Linotype"/>
                <w:i/>
                <w:color w:val="000000" w:themeColor="text1"/>
              </w:rPr>
              <w:t xml:space="preserve">En respuesta de la etapa de manifestaciones se entregan facturas de los mes de abril y de mayo, de las cuales diversas conceptos de compra como lo es balones, chalecos, guantes, candados y baleros y caretas para box, sin embargo no se puede tener por validado, toda vez que las facturas se encuentran en versión pública incorrecta, toda vez que los datos de las personas físicas o morales cuando reciben recursos propios se vuelven públicos, pues dichos datos aportan a al rendición de cuentas de las erogaciones que realizan los sujetos obligados, en este caso el Instituto Municipal de Cultura, Física y Deporte de Cocotitlán. </w:t>
            </w:r>
          </w:p>
          <w:p w:rsidR="002248FB" w:rsidRPr="00FD3DD7" w:rsidRDefault="002248FB" w:rsidP="00E42EB8">
            <w:pPr>
              <w:ind w:right="-7"/>
              <w:jc w:val="both"/>
              <w:rPr>
                <w:rFonts w:ascii="Palatino Linotype" w:hAnsi="Palatino Linotype"/>
                <w:i/>
                <w:color w:val="000000" w:themeColor="text1"/>
              </w:rPr>
            </w:pPr>
            <w:r w:rsidRPr="00FD3DD7">
              <w:rPr>
                <w:rFonts w:ascii="Palatino Linotype" w:hAnsi="Palatino Linotype"/>
                <w:i/>
                <w:color w:val="000000" w:themeColor="text1"/>
              </w:rPr>
              <w:t xml:space="preserve">Seguidamente si bien es cierto el </w:t>
            </w:r>
            <w:r w:rsidRPr="00FD3DD7">
              <w:rPr>
                <w:rFonts w:ascii="Palatino Linotype" w:hAnsi="Palatino Linotype"/>
                <w:b/>
                <w:i/>
                <w:color w:val="000000" w:themeColor="text1"/>
              </w:rPr>
              <w:t xml:space="preserve">RECURRENTE </w:t>
            </w:r>
            <w:r w:rsidRPr="00FD3DD7">
              <w:rPr>
                <w:rFonts w:ascii="Palatino Linotype" w:hAnsi="Palatino Linotype"/>
                <w:i/>
                <w:color w:val="000000" w:themeColor="text1"/>
              </w:rPr>
              <w:t xml:space="preserve">al referir etc, </w:t>
            </w:r>
            <w:r w:rsidR="00E42EB8" w:rsidRPr="00FD3DD7">
              <w:rPr>
                <w:rFonts w:ascii="Palatino Linotype" w:hAnsi="Palatino Linotype"/>
                <w:i/>
                <w:color w:val="000000" w:themeColor="text1"/>
              </w:rPr>
              <w:t>dejó</w:t>
            </w:r>
            <w:r w:rsidRPr="00FD3DD7">
              <w:rPr>
                <w:rFonts w:ascii="Palatino Linotype" w:hAnsi="Palatino Linotype"/>
                <w:i/>
                <w:color w:val="000000" w:themeColor="text1"/>
              </w:rPr>
              <w:t xml:space="preserve"> abierta la posibilidad de la compra de elementos para las  diversas actividades que realiza el </w:t>
            </w:r>
            <w:r w:rsidRPr="00FD3DD7">
              <w:rPr>
                <w:rFonts w:ascii="Palatino Linotype" w:hAnsi="Palatino Linotype"/>
                <w:b/>
                <w:i/>
                <w:color w:val="000000" w:themeColor="text1"/>
              </w:rPr>
              <w:t xml:space="preserve">SUJETO OBLIGADO </w:t>
            </w:r>
            <w:r w:rsidRPr="00FD3DD7">
              <w:rPr>
                <w:rFonts w:ascii="Palatino Linotype" w:hAnsi="Palatino Linotype"/>
                <w:i/>
                <w:color w:val="000000" w:themeColor="text1"/>
              </w:rPr>
              <w:t xml:space="preserve">también lo es que de la información remitida por el mismo no se observan conceptos por compras de playera, trofeos o premios, situación por la cual dicha información se ordenara con salvedad. </w:t>
            </w:r>
          </w:p>
        </w:tc>
      </w:tr>
    </w:tbl>
    <w:p w:rsidR="006B5EF1" w:rsidRPr="00FD3DD7" w:rsidRDefault="006B5EF1" w:rsidP="00E42EB8">
      <w:pPr>
        <w:spacing w:line="360" w:lineRule="auto"/>
        <w:ind w:right="-7"/>
        <w:jc w:val="both"/>
        <w:rPr>
          <w:rFonts w:ascii="Palatino Linotype" w:hAnsi="Palatino Linotype"/>
          <w:color w:val="000000" w:themeColor="text1"/>
        </w:rPr>
      </w:pPr>
    </w:p>
    <w:p w:rsidR="006B5EF1" w:rsidRPr="00FD3DD7" w:rsidRDefault="002248FB"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De lo anterior, se entiende que el derecho de acceso a la información del </w:t>
      </w:r>
      <w:r w:rsidRPr="00FD3DD7">
        <w:rPr>
          <w:rFonts w:ascii="Palatino Linotype" w:eastAsia="Palatino Linotype" w:hAnsi="Palatino Linotype" w:cs="Palatino Linotype"/>
          <w:b/>
          <w:color w:val="000000" w:themeColor="text1"/>
        </w:rPr>
        <w:t xml:space="preserve">RECURRENTE </w:t>
      </w:r>
      <w:r w:rsidRPr="00FD3DD7">
        <w:rPr>
          <w:rFonts w:ascii="Palatino Linotype" w:eastAsia="Palatino Linotype" w:hAnsi="Palatino Linotype" w:cs="Palatino Linotype"/>
          <w:color w:val="000000" w:themeColor="text1"/>
        </w:rPr>
        <w:t xml:space="preserve">fue colmado parcialmente, toda vez que la entrega de la información se </w:t>
      </w:r>
      <w:r w:rsidRPr="00FD3DD7">
        <w:rPr>
          <w:rFonts w:ascii="Palatino Linotype" w:eastAsia="Palatino Linotype" w:hAnsi="Palatino Linotype" w:cs="Palatino Linotype"/>
          <w:color w:val="000000" w:themeColor="text1"/>
        </w:rPr>
        <w:lastRenderedPageBreak/>
        <w:t>encuentra en versión pública incor</w:t>
      </w:r>
      <w:r w:rsidR="00A26E28">
        <w:rPr>
          <w:rFonts w:ascii="Palatino Linotype" w:eastAsia="Palatino Linotype" w:hAnsi="Palatino Linotype" w:cs="Palatino Linotype"/>
          <w:color w:val="000000" w:themeColor="text1"/>
        </w:rPr>
        <w:t xml:space="preserve">recta, así como también hace </w:t>
      </w:r>
      <w:r w:rsidRPr="00FD3DD7">
        <w:rPr>
          <w:rFonts w:ascii="Palatino Linotype" w:eastAsia="Palatino Linotype" w:hAnsi="Palatino Linotype" w:cs="Palatino Linotype"/>
          <w:color w:val="000000" w:themeColor="text1"/>
        </w:rPr>
        <w:t>falta el pronunciamiento de facturas por conceptos de trofeos, premios y trofeos.</w:t>
      </w:r>
    </w:p>
    <w:p w:rsidR="002248FB" w:rsidRPr="00FD3DD7" w:rsidRDefault="002248FB" w:rsidP="00E42EB8">
      <w:pPr>
        <w:pBdr>
          <w:top w:val="nil"/>
          <w:left w:val="nil"/>
          <w:bottom w:val="nil"/>
          <w:right w:val="nil"/>
          <w:between w:val="nil"/>
        </w:pBdr>
        <w:spacing w:line="360" w:lineRule="auto"/>
        <w:ind w:right="-7"/>
        <w:jc w:val="both"/>
        <w:rPr>
          <w:rFonts w:ascii="Palatino Linotype" w:hAnsi="Palatino Linotype"/>
          <w:color w:val="000000" w:themeColor="text1"/>
        </w:rPr>
      </w:pPr>
    </w:p>
    <w:p w:rsidR="002248FB" w:rsidRPr="00FD3DD7" w:rsidRDefault="002248FB" w:rsidP="00E42EB8">
      <w:pPr>
        <w:numPr>
          <w:ilvl w:val="0"/>
          <w:numId w:val="6"/>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Ahora bien, como la solicitud de información consiste en obtener facturas, se debe de analizar los datos que deben de ser clasificados como confidenciales y los que tienen el carácter de públicos.</w:t>
      </w:r>
    </w:p>
    <w:p w:rsidR="006B5EF1" w:rsidRPr="00FD3DD7" w:rsidRDefault="006B5EF1" w:rsidP="00E42EB8">
      <w:pPr>
        <w:spacing w:line="360" w:lineRule="auto"/>
        <w:ind w:right="-7"/>
        <w:jc w:val="both"/>
        <w:rPr>
          <w:rFonts w:ascii="Palatino Linotype" w:hAnsi="Palatino Linotype"/>
          <w:color w:val="000000" w:themeColor="text1"/>
        </w:rPr>
      </w:pPr>
    </w:p>
    <w:p w:rsidR="006B5EF1" w:rsidRPr="00FD3DD7" w:rsidRDefault="00F43A50"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En  ese sentido</w:t>
      </w:r>
      <w:r w:rsidR="006B5EF1" w:rsidRPr="00FD3DD7">
        <w:rPr>
          <w:rFonts w:ascii="Palatino Linotype" w:eastAsia="Palatino Linotype" w:hAnsi="Palatino Linotype" w:cs="Palatino Linotype"/>
          <w:color w:val="000000" w:themeColor="text1"/>
        </w:rPr>
        <w:t xml:space="preserve">, </w:t>
      </w:r>
      <w:r w:rsidRPr="00FD3DD7">
        <w:rPr>
          <w:rFonts w:ascii="Palatino Linotype" w:eastAsia="Palatino Linotype" w:hAnsi="Palatino Linotype" w:cs="Palatino Linotype"/>
          <w:color w:val="000000" w:themeColor="text1"/>
        </w:rPr>
        <w:t xml:space="preserve">respecto </w:t>
      </w:r>
      <w:r w:rsidR="006B5EF1" w:rsidRPr="00FD3DD7">
        <w:rPr>
          <w:rFonts w:ascii="Palatino Linotype" w:eastAsia="Palatino Linotype" w:hAnsi="Palatino Linotype" w:cs="Palatino Linotype"/>
          <w:color w:val="000000" w:themeColor="text1"/>
        </w:rPr>
        <w:t xml:space="preserve">de las </w:t>
      </w:r>
      <w:r w:rsidR="006B5EF1" w:rsidRPr="00FD3DD7">
        <w:rPr>
          <w:rFonts w:ascii="Palatino Linotype" w:eastAsia="Palatino Linotype" w:hAnsi="Palatino Linotype" w:cs="Palatino Linotype"/>
          <w:b/>
          <w:color w:val="000000" w:themeColor="text1"/>
        </w:rPr>
        <w:t>facturas</w:t>
      </w:r>
      <w:r w:rsidR="006B5EF1" w:rsidRPr="00FD3DD7">
        <w:rPr>
          <w:rFonts w:ascii="Palatino Linotype" w:eastAsia="Palatino Linotype" w:hAnsi="Palatino Linotype" w:cs="Palatino Linotype"/>
          <w:color w:val="000000" w:themeColor="text1"/>
        </w:rPr>
        <w:t xml:space="preserve"> resulta oportuno traer a contexto, la información publicada por la Secretaría de Hacienda y Crédito Público, referente al Servicio de Administración Tributaria (SAT), en donde se advierte los requisitos que deben reunir las facturas emitidas, consultable en la dirección electrónica </w:t>
      </w:r>
      <w:hyperlink r:id="rId7">
        <w:r w:rsidR="006B5EF1" w:rsidRPr="00FD3DD7">
          <w:rPr>
            <w:rFonts w:ascii="Palatino Linotype" w:eastAsia="Palatino Linotype" w:hAnsi="Palatino Linotype" w:cs="Palatino Linotype"/>
            <w:color w:val="000000" w:themeColor="text1"/>
          </w:rPr>
          <w:t>http://omawww.sat.gob.mx/ /Paginas/solicita_requisitos.htm</w:t>
        </w:r>
      </w:hyperlink>
      <w:r w:rsidR="006B5EF1" w:rsidRPr="00FD3DD7">
        <w:rPr>
          <w:rFonts w:ascii="Palatino Linotype" w:eastAsia="Palatino Linotype" w:hAnsi="Palatino Linotype" w:cs="Palatino Linotype"/>
          <w:color w:val="000000" w:themeColor="text1"/>
        </w:rPr>
        <w:t>, de conformidad con lo siguiente:</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Requisitos que deben reunir las facturas que recibas</w:t>
      </w:r>
      <w:r w:rsidRPr="00FD3DD7">
        <w:rPr>
          <w:rFonts w:ascii="Palatino Linotype" w:eastAsia="Palatino Linotype" w:hAnsi="Palatino Linotype" w:cs="Palatino Linotype"/>
          <w:i/>
          <w:color w:val="000000" w:themeColor="text1"/>
        </w:rPr>
        <w:t>:</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b/>
          <w:i/>
          <w:color w:val="000000" w:themeColor="text1"/>
          <w:u w:val="single"/>
        </w:rPr>
        <w:t>Clave del Registro Federal de Contribuyentes de quien los expida</w:t>
      </w:r>
      <w:r w:rsidRPr="00FD3DD7">
        <w:rPr>
          <w:rFonts w:ascii="Palatino Linotype" w:eastAsia="Palatino Linotype" w:hAnsi="Palatino Linotype" w:cs="Palatino Linotype"/>
          <w:i/>
          <w:color w:val="000000" w:themeColor="text1"/>
        </w:rPr>
        <w:t>.</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Régimen Fiscal en que tributen conforme a la Ley del ISR.</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Sí se tiene más de un local o establecimiento, se deberá señalar el domicilio del local o establecimiento en el que se expidan las Facturas.</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Contener el número de folio asignado por el SAT y el sello digital del SAT.</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b/>
          <w:i/>
          <w:color w:val="000000" w:themeColor="text1"/>
          <w:u w:val="single"/>
        </w:rPr>
        <w:t>Sello digital del contribuyente que lo expide</w:t>
      </w:r>
      <w:r w:rsidRPr="00FD3DD7">
        <w:rPr>
          <w:rFonts w:ascii="Palatino Linotype" w:eastAsia="Palatino Linotype" w:hAnsi="Palatino Linotype" w:cs="Palatino Linotype"/>
          <w:i/>
          <w:color w:val="000000" w:themeColor="text1"/>
        </w:rPr>
        <w:t>.</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Lugar y fecha de expedición.</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Clave del Registro Federal de Contribuyentes de la persona a favor de quien se expida.</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Cantidad, unidad de medida y clase de los bienes, mercancías o descripción del servicio o del uso o goce que amparen.</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Valor unitario consignado en número.</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Importe total señalado en número o en letra.</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Señalamiento expreso cuando la prestación se pague en una sola exhibición o en parcialidades.</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Cuando proceda, se indicará el monto de los impuestos trasladados, desglosados por tasa de impuesto y, en su caso, el monto de los impuestos retenidos.</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lastRenderedPageBreak/>
        <w:t>  Forma en que se realizó el pago (efectivo, transferencia electrónica de fondos, cheque nominativos o tarjeta de débito, de crédito, de servicio o la denominada monedero electrónico que autorice el Servicio de Administración Tributaria).</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  Número y fecha del documento aduanero, tratándose de ventas de primera mano de mercancías de importación.</w:t>
      </w:r>
    </w:p>
    <w:p w:rsidR="006B5EF1" w:rsidRPr="00FD3DD7" w:rsidRDefault="006B5EF1" w:rsidP="00E42EB8">
      <w:pPr>
        <w:ind w:right="-7"/>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br/>
      </w:r>
      <w:r w:rsidRPr="00FD3DD7">
        <w:rPr>
          <w:rFonts w:ascii="Palatino Linotype" w:eastAsia="Palatino Linotype" w:hAnsi="Palatino Linotype" w:cs="Palatino Linotype"/>
          <w:b/>
          <w:i/>
          <w:color w:val="000000" w:themeColor="text1"/>
        </w:rPr>
        <w:t>Además, debe contener los siguientes datos:</w:t>
      </w:r>
      <w:r w:rsidRPr="00FD3DD7">
        <w:rPr>
          <w:rFonts w:ascii="Palatino Linotype" w:eastAsia="Palatino Linotype" w:hAnsi="Palatino Linotype" w:cs="Palatino Linotype"/>
          <w:b/>
          <w:i/>
          <w:color w:val="000000" w:themeColor="text1"/>
        </w:rPr>
        <w:br/>
        <w:t>a) Fecha y hora de certificación.</w:t>
      </w:r>
      <w:r w:rsidRPr="00FD3DD7">
        <w:rPr>
          <w:rFonts w:ascii="Palatino Linotype" w:eastAsia="Palatino Linotype" w:hAnsi="Palatino Linotype" w:cs="Palatino Linotype"/>
          <w:b/>
          <w:i/>
          <w:color w:val="000000" w:themeColor="text1"/>
        </w:rPr>
        <w:br/>
        <w:t>b) Número de serie del certificado digital del SAT con el que se realizó el sellado</w:t>
      </w:r>
      <w:r w:rsidRPr="00FD3DD7">
        <w:rPr>
          <w:rFonts w:ascii="Palatino Linotype" w:eastAsia="Palatino Linotype" w:hAnsi="Palatino Linotype" w:cs="Palatino Linotype"/>
          <w:i/>
          <w:color w:val="000000" w:themeColor="text1"/>
        </w:rPr>
        <w:t>.</w:t>
      </w:r>
    </w:p>
    <w:p w:rsidR="006B5EF1" w:rsidRDefault="006B5EF1" w:rsidP="00E42EB8">
      <w:pPr>
        <w:ind w:right="-7"/>
        <w:rPr>
          <w:rFonts w:ascii="Palatino Linotype" w:eastAsia="Palatino Linotype" w:hAnsi="Palatino Linotype" w:cs="Palatino Linotype"/>
          <w:color w:val="000000" w:themeColor="text1"/>
        </w:rPr>
      </w:pPr>
    </w:p>
    <w:p w:rsidR="00A26E28" w:rsidRPr="00FD3DD7" w:rsidRDefault="00A26E28" w:rsidP="00E42EB8">
      <w:pPr>
        <w:ind w:right="-7"/>
        <w:rPr>
          <w:rFonts w:ascii="Palatino Linotype" w:eastAsia="Palatino Linotype" w:hAnsi="Palatino Linotype" w:cs="Palatino Linotype"/>
          <w:color w:val="000000" w:themeColor="text1"/>
        </w:rPr>
      </w:pPr>
    </w:p>
    <w:p w:rsidR="00FB3372" w:rsidRPr="00FD3DD7" w:rsidRDefault="00F43A50"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Seguidamente</w:t>
      </w:r>
      <w:r w:rsidR="006B5EF1" w:rsidRPr="00FD3DD7">
        <w:rPr>
          <w:rFonts w:ascii="Palatino Linotype" w:eastAsia="Palatino Linotype" w:hAnsi="Palatino Linotype" w:cs="Palatino Linotype"/>
          <w:color w:val="000000" w:themeColor="text1"/>
        </w:rPr>
        <w:t xml:space="preserve">, se debe de referir que de los datos de las facturas pueden obrar datos personales susceptibles de clasificarse como lo son, la </w:t>
      </w:r>
      <w:r w:rsidR="006B5EF1" w:rsidRPr="00FD3DD7">
        <w:rPr>
          <w:rFonts w:ascii="Palatino Linotype" w:eastAsia="Palatino Linotype" w:hAnsi="Palatino Linotype" w:cs="Palatino Linotype"/>
          <w:b/>
          <w:color w:val="000000" w:themeColor="text1"/>
        </w:rPr>
        <w:t>clave de elector</w:t>
      </w:r>
      <w:r w:rsidR="006B5EF1" w:rsidRPr="00FD3DD7">
        <w:rPr>
          <w:rFonts w:ascii="Palatino Linotype" w:eastAsia="Palatino Linotype" w:hAnsi="Palatino Linotype" w:cs="Palatino Linotype"/>
          <w:color w:val="000000" w:themeColor="text1"/>
        </w:rPr>
        <w:t xml:space="preserve">, </w:t>
      </w:r>
      <w:r w:rsidR="006B5EF1" w:rsidRPr="00FD3DD7">
        <w:rPr>
          <w:rFonts w:ascii="Palatino Linotype" w:eastAsia="Palatino Linotype" w:hAnsi="Palatino Linotype" w:cs="Palatino Linotype"/>
          <w:b/>
          <w:color w:val="000000" w:themeColor="text1"/>
        </w:rPr>
        <w:t>teléfono particular</w:t>
      </w:r>
      <w:r w:rsidR="006B5EF1" w:rsidRPr="00FD3DD7">
        <w:rPr>
          <w:rFonts w:ascii="Palatino Linotype" w:eastAsia="Palatino Linotype" w:hAnsi="Palatino Linotype" w:cs="Palatino Linotype"/>
          <w:color w:val="000000" w:themeColor="text1"/>
        </w:rPr>
        <w:t xml:space="preserve">, </w:t>
      </w:r>
      <w:r w:rsidR="006B5EF1" w:rsidRPr="00FD3DD7">
        <w:rPr>
          <w:rFonts w:ascii="Palatino Linotype" w:eastAsia="Palatino Linotype" w:hAnsi="Palatino Linotype" w:cs="Palatino Linotype"/>
          <w:b/>
          <w:color w:val="000000" w:themeColor="text1"/>
        </w:rPr>
        <w:t xml:space="preserve">correo electrónico personal, </w:t>
      </w:r>
      <w:r w:rsidR="006B5EF1" w:rsidRPr="00FD3DD7">
        <w:rPr>
          <w:rFonts w:ascii="Palatino Linotype" w:eastAsia="Palatino Linotype" w:hAnsi="Palatino Linotype" w:cs="Palatino Linotype"/>
          <w:color w:val="000000" w:themeColor="text1"/>
        </w:rPr>
        <w:t xml:space="preserve"> </w:t>
      </w:r>
      <w:r w:rsidR="006B5EF1" w:rsidRPr="00FD3DD7">
        <w:rPr>
          <w:rFonts w:ascii="Palatino Linotype" w:eastAsia="Palatino Linotype" w:hAnsi="Palatino Linotype" w:cs="Palatino Linotype"/>
          <w:b/>
          <w:color w:val="000000" w:themeColor="text1"/>
        </w:rPr>
        <w:t>Clave Única de Registro de Población (CURP</w:t>
      </w:r>
      <w:r w:rsidR="006B5EF1" w:rsidRPr="00FD3DD7">
        <w:rPr>
          <w:rFonts w:ascii="Palatino Linotype" w:eastAsia="Palatino Linotype" w:hAnsi="Palatino Linotype" w:cs="Palatino Linotype"/>
          <w:color w:val="000000" w:themeColor="text1"/>
        </w:rPr>
        <w:t xml:space="preserve">), </w:t>
      </w:r>
      <w:r w:rsidR="006B5EF1" w:rsidRPr="00FD3DD7">
        <w:rPr>
          <w:rFonts w:ascii="Palatino Linotype" w:eastAsia="Palatino Linotype" w:hAnsi="Palatino Linotype" w:cs="Palatino Linotype"/>
          <w:b/>
          <w:color w:val="000000" w:themeColor="text1"/>
        </w:rPr>
        <w:t>número de pasaporte</w:t>
      </w:r>
      <w:r w:rsidR="006B5EF1" w:rsidRPr="00FD3DD7">
        <w:rPr>
          <w:rFonts w:ascii="Palatino Linotype" w:eastAsia="Palatino Linotype" w:hAnsi="Palatino Linotype" w:cs="Palatino Linotype"/>
          <w:color w:val="000000" w:themeColor="text1"/>
        </w:rPr>
        <w:t xml:space="preserve">, </w:t>
      </w:r>
      <w:r w:rsidR="006B5EF1" w:rsidRPr="00FD3DD7">
        <w:rPr>
          <w:rFonts w:ascii="Palatino Linotype" w:eastAsia="Palatino Linotype" w:hAnsi="Palatino Linotype" w:cs="Palatino Linotype"/>
          <w:b/>
          <w:color w:val="000000" w:themeColor="text1"/>
        </w:rPr>
        <w:t>cuenta bancaria del proveedor</w:t>
      </w:r>
      <w:r w:rsidR="006B5EF1" w:rsidRPr="00FD3DD7">
        <w:rPr>
          <w:rFonts w:ascii="Palatino Linotype" w:eastAsia="Palatino Linotype" w:hAnsi="Palatino Linotype" w:cs="Palatino Linotype"/>
          <w:color w:val="000000" w:themeColor="text1"/>
        </w:rPr>
        <w:t xml:space="preserve">, </w:t>
      </w:r>
      <w:r w:rsidR="006B5EF1" w:rsidRPr="00FD3DD7">
        <w:rPr>
          <w:rFonts w:ascii="Palatino Linotype" w:eastAsia="Palatino Linotype" w:hAnsi="Palatino Linotype" w:cs="Palatino Linotype"/>
          <w:b/>
          <w:color w:val="000000" w:themeColor="text1"/>
        </w:rPr>
        <w:t>banco y sucursal del proveedor</w:t>
      </w:r>
      <w:r w:rsidR="006B5EF1" w:rsidRPr="00FD3DD7">
        <w:rPr>
          <w:rFonts w:ascii="Palatino Linotype" w:eastAsia="Palatino Linotype" w:hAnsi="Palatino Linotype" w:cs="Palatino Linotype"/>
          <w:color w:val="000000" w:themeColor="text1"/>
        </w:rPr>
        <w:t xml:space="preserve">, </w:t>
      </w:r>
      <w:r w:rsidR="006B5EF1" w:rsidRPr="00FD3DD7">
        <w:rPr>
          <w:rFonts w:ascii="Palatino Linotype" w:eastAsia="Palatino Linotype" w:hAnsi="Palatino Linotype" w:cs="Palatino Linotype"/>
          <w:b/>
          <w:color w:val="000000" w:themeColor="text1"/>
        </w:rPr>
        <w:t>clave interbancaria del proveedor</w:t>
      </w:r>
      <w:r w:rsidR="00FB3372" w:rsidRPr="00FD3DD7">
        <w:rPr>
          <w:rFonts w:ascii="Palatino Linotype" w:eastAsia="Palatino Linotype" w:hAnsi="Palatino Linotype" w:cs="Palatino Linotype"/>
          <w:color w:val="000000" w:themeColor="text1"/>
        </w:rPr>
        <w:t xml:space="preserve">. </w:t>
      </w:r>
    </w:p>
    <w:p w:rsidR="00FB3372" w:rsidRPr="00FD3DD7" w:rsidRDefault="00FB3372" w:rsidP="00E42EB8">
      <w:pPr>
        <w:spacing w:line="360" w:lineRule="auto"/>
        <w:ind w:right="-7"/>
        <w:jc w:val="both"/>
        <w:rPr>
          <w:rFonts w:ascii="Palatino Linotype" w:hAnsi="Palatino Linotype"/>
          <w:color w:val="000000" w:themeColor="text1"/>
        </w:rPr>
      </w:pPr>
    </w:p>
    <w:p w:rsidR="006B5EF1" w:rsidRPr="00FD3DD7" w:rsidRDefault="00FB3372" w:rsidP="00E42EB8">
      <w:pPr>
        <w:numPr>
          <w:ilvl w:val="0"/>
          <w:numId w:val="6"/>
        </w:numPr>
        <w:spacing w:line="360" w:lineRule="auto"/>
        <w:ind w:left="0" w:right="-7" w:firstLine="0"/>
        <w:jc w:val="both"/>
        <w:rPr>
          <w:rFonts w:ascii="Palatino Linotype" w:hAnsi="Palatino Linotype"/>
          <w:b/>
          <w:i/>
          <w:color w:val="000000" w:themeColor="text1"/>
        </w:rPr>
      </w:pPr>
      <w:r w:rsidRPr="00FD3DD7">
        <w:rPr>
          <w:rFonts w:ascii="Palatino Linotype" w:eastAsia="Palatino Linotype" w:hAnsi="Palatino Linotype" w:cs="Palatino Linotype"/>
          <w:color w:val="000000" w:themeColor="text1"/>
        </w:rPr>
        <w:t xml:space="preserve">Sin embargo del contenido de las facturas, también se debe de precisar que hay datos que tienen carácter de públicos, como lo son el </w:t>
      </w:r>
      <w:r w:rsidR="006B5EF1" w:rsidRPr="00FD3DD7">
        <w:rPr>
          <w:rFonts w:ascii="Palatino Linotype" w:eastAsia="Palatino Linotype" w:hAnsi="Palatino Linotype" w:cs="Palatino Linotype"/>
          <w:b/>
          <w:i/>
          <w:color w:val="000000" w:themeColor="text1"/>
        </w:rPr>
        <w:t xml:space="preserve">nombre del servidor público, nombre, denominación o razón social del proveedor, nombre del apoderado o representante legal, domicilio fiscal, teléfono empresarial o institucional, firmas, y RFC se consideran datos personales públicos. </w:t>
      </w:r>
    </w:p>
    <w:p w:rsidR="006B5EF1" w:rsidRPr="00FD3DD7" w:rsidRDefault="006B5EF1" w:rsidP="00E42EB8">
      <w:pPr>
        <w:ind w:right="-7"/>
        <w:rPr>
          <w:rFonts w:ascii="Palatino Linotype" w:eastAsia="Palatino Linotype" w:hAnsi="Palatino Linotype" w:cs="Palatino Linotype"/>
          <w:color w:val="000000" w:themeColor="text1"/>
        </w:rPr>
      </w:pPr>
    </w:p>
    <w:p w:rsidR="00FB3372" w:rsidRPr="00FD3DD7" w:rsidRDefault="00FB3372"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hAnsi="Palatino Linotype"/>
          <w:color w:val="000000" w:themeColor="text1"/>
        </w:rPr>
        <w:t xml:space="preserve">En esa línea, se debe de precisar que de las facturas entregadas en la etapa de manifestaciones el </w:t>
      </w:r>
      <w:r w:rsidRPr="00FD3DD7">
        <w:rPr>
          <w:rFonts w:ascii="Palatino Linotype" w:hAnsi="Palatino Linotype"/>
          <w:b/>
          <w:color w:val="000000" w:themeColor="text1"/>
        </w:rPr>
        <w:t xml:space="preserve">SUJTO OBLIGADO </w:t>
      </w:r>
      <w:r w:rsidRPr="00FD3DD7">
        <w:rPr>
          <w:rFonts w:ascii="Palatino Linotype" w:hAnsi="Palatino Linotype"/>
          <w:color w:val="000000" w:themeColor="text1"/>
        </w:rPr>
        <w:t xml:space="preserve">realizo un versión pública incorrecta toda vez que testo los datos de la empresa o persona a la que se le pago por los conceptos que incluyen </w:t>
      </w:r>
      <w:r w:rsidRPr="00FD3DD7">
        <w:rPr>
          <w:rFonts w:ascii="Palatino Linotype" w:hAnsi="Palatino Linotype"/>
          <w:color w:val="000000" w:themeColor="text1"/>
        </w:rPr>
        <w:lastRenderedPageBreak/>
        <w:t xml:space="preserve">las facturas, así como el Registro Federal de Contribuyentes del propio Ayuntamiento, tal y como se muestra en la siguiente captura de pantalla. </w:t>
      </w:r>
    </w:p>
    <w:p w:rsidR="00FB3372" w:rsidRPr="00FD3DD7" w:rsidRDefault="00FB3372" w:rsidP="00E42EB8">
      <w:pPr>
        <w:pStyle w:val="Prrafodelista"/>
        <w:ind w:left="0" w:right="-7"/>
        <w:rPr>
          <w:rFonts w:ascii="Palatino Linotype" w:hAnsi="Palatino Linotype"/>
          <w:color w:val="000000" w:themeColor="text1"/>
        </w:rPr>
      </w:pPr>
    </w:p>
    <w:p w:rsidR="00FB3372" w:rsidRPr="00FD3DD7" w:rsidRDefault="00FB3372" w:rsidP="00E42EB8">
      <w:pPr>
        <w:spacing w:line="360" w:lineRule="auto"/>
        <w:ind w:right="-7"/>
        <w:jc w:val="both"/>
        <w:rPr>
          <w:rFonts w:ascii="Palatino Linotype" w:hAnsi="Palatino Linotype"/>
          <w:color w:val="000000" w:themeColor="text1"/>
        </w:rPr>
      </w:pPr>
      <w:r w:rsidRPr="00FD3DD7">
        <w:rPr>
          <w:rFonts w:ascii="Palatino Linotype" w:hAnsi="Palatino Linotype"/>
          <w:noProof/>
          <w:color w:val="000000" w:themeColor="text1"/>
        </w:rPr>
        <w:drawing>
          <wp:inline distT="0" distB="0" distL="0" distR="0" wp14:anchorId="481A48C3" wp14:editId="0714F650">
            <wp:extent cx="5216525" cy="1466215"/>
            <wp:effectExtent l="152400" t="152400" r="365125"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6525" cy="1466215"/>
                    </a:xfrm>
                    <a:prstGeom prst="rect">
                      <a:avLst/>
                    </a:prstGeom>
                    <a:ln>
                      <a:noFill/>
                    </a:ln>
                    <a:effectLst>
                      <a:outerShdw blurRad="292100" dist="139700" dir="2700000" algn="tl" rotWithShape="0">
                        <a:srgbClr val="333333">
                          <a:alpha val="65000"/>
                        </a:srgbClr>
                      </a:outerShdw>
                    </a:effectLst>
                  </pic:spPr>
                </pic:pic>
              </a:graphicData>
            </a:graphic>
          </wp:inline>
        </w:drawing>
      </w:r>
    </w:p>
    <w:p w:rsidR="00FB3372" w:rsidRDefault="00FB3372"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hAnsi="Palatino Linotype"/>
          <w:color w:val="000000" w:themeColor="text1"/>
        </w:rPr>
        <w:t xml:space="preserve">En esa línea, se determina que para colmar el derecho de acceso a la información el </w:t>
      </w:r>
      <w:r w:rsidRPr="00FD3DD7">
        <w:rPr>
          <w:rFonts w:ascii="Palatino Linotype" w:hAnsi="Palatino Linotype"/>
          <w:b/>
          <w:color w:val="000000" w:themeColor="text1"/>
        </w:rPr>
        <w:t xml:space="preserve">SUJETO OBLIGADO </w:t>
      </w:r>
      <w:r w:rsidRPr="00FD3DD7">
        <w:rPr>
          <w:rFonts w:ascii="Palatino Linotype" w:hAnsi="Palatino Linotype"/>
          <w:color w:val="000000" w:themeColor="text1"/>
        </w:rPr>
        <w:t xml:space="preserve">tendrá que remitir en correcta versión pública las facturas entregadas en la etapa de manifestaciones. </w:t>
      </w:r>
    </w:p>
    <w:p w:rsidR="00A26E28" w:rsidRPr="00FD3DD7" w:rsidRDefault="00A26E28" w:rsidP="00A26E28">
      <w:pPr>
        <w:spacing w:line="360" w:lineRule="auto"/>
        <w:ind w:right="-7"/>
        <w:jc w:val="both"/>
        <w:rPr>
          <w:rFonts w:ascii="Palatino Linotype" w:hAnsi="Palatino Linotype"/>
          <w:color w:val="000000" w:themeColor="text1"/>
        </w:rPr>
      </w:pPr>
    </w:p>
    <w:p w:rsidR="00A26E28" w:rsidRPr="00A26E28" w:rsidRDefault="007605FF"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Seguidamente, se analizan los siguientes datos que contienen las facturas</w:t>
      </w:r>
      <w:r w:rsidR="00A26E28">
        <w:rPr>
          <w:rFonts w:ascii="Palatino Linotype" w:eastAsia="Palatino Linotype" w:hAnsi="Palatino Linotype" w:cs="Palatino Linotype"/>
          <w:color w:val="000000" w:themeColor="text1"/>
        </w:rPr>
        <w:t>.</w:t>
      </w:r>
    </w:p>
    <w:p w:rsidR="007605FF" w:rsidRPr="00FD3DD7" w:rsidRDefault="007605FF" w:rsidP="00A26E28">
      <w:pPr>
        <w:spacing w:line="360" w:lineRule="auto"/>
        <w:ind w:right="-7"/>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 </w:t>
      </w:r>
    </w:p>
    <w:p w:rsidR="006B5EF1" w:rsidRPr="00FD3DD7" w:rsidRDefault="007605FF"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Respecto de los datos del representante o apoderado legal</w:t>
      </w:r>
      <w:r w:rsidR="006B5EF1" w:rsidRPr="00FD3DD7">
        <w:rPr>
          <w:rFonts w:ascii="Palatino Linotype" w:eastAsia="Palatino Linotype" w:hAnsi="Palatino Linotype" w:cs="Palatino Linotype"/>
          <w:color w:val="000000" w:themeColor="text1"/>
        </w:rPr>
        <w:t xml:space="preserve">, </w:t>
      </w:r>
      <w:r w:rsidRPr="00FD3DD7">
        <w:rPr>
          <w:rFonts w:ascii="Palatino Linotype" w:eastAsia="Palatino Linotype" w:hAnsi="Palatino Linotype" w:cs="Palatino Linotype"/>
          <w:color w:val="000000" w:themeColor="text1"/>
        </w:rPr>
        <w:t xml:space="preserve">sirve de manera orientadora </w:t>
      </w:r>
      <w:r w:rsidR="006B5EF1" w:rsidRPr="00FD3DD7">
        <w:rPr>
          <w:rFonts w:ascii="Palatino Linotype" w:eastAsia="Palatino Linotype" w:hAnsi="Palatino Linotype" w:cs="Palatino Linotype"/>
          <w:color w:val="000000" w:themeColor="text1"/>
        </w:rPr>
        <w:t>con el criterio 01/19 del INAI, que refiere lo siguiente:</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b/>
          <w:i/>
          <w:color w:val="000000" w:themeColor="text1"/>
        </w:rPr>
        <w:t>Datos de identificación del representante o apoderado legal.</w:t>
      </w:r>
      <w:r w:rsidRPr="00FD3DD7">
        <w:rPr>
          <w:rFonts w:ascii="Palatino Linotype" w:eastAsia="Palatino Linotype" w:hAnsi="Palatino Linotype" w:cs="Palatino Linotype"/>
          <w:i/>
          <w:color w:val="000000" w:themeColor="text1"/>
        </w:rPr>
        <w:t xml:space="preserve"> </w:t>
      </w:r>
      <w:r w:rsidRPr="00FD3DD7">
        <w:rPr>
          <w:rFonts w:ascii="Palatino Linotype" w:eastAsia="Palatino Linotype" w:hAnsi="Palatino Linotype" w:cs="Palatino Linotype"/>
          <w:b/>
          <w:i/>
          <w:color w:val="000000" w:themeColor="text1"/>
        </w:rPr>
        <w:t xml:space="preserve">Naturaleza jurídica. </w:t>
      </w:r>
      <w:r w:rsidRPr="00FD3DD7">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6B5EF1" w:rsidRDefault="006B5EF1" w:rsidP="00E42EB8">
      <w:pPr>
        <w:ind w:right="-7"/>
        <w:jc w:val="both"/>
        <w:rPr>
          <w:rFonts w:ascii="Palatino Linotype" w:eastAsia="Palatino Linotype" w:hAnsi="Palatino Linotype" w:cs="Palatino Linotype"/>
          <w:i/>
          <w:color w:val="000000" w:themeColor="text1"/>
        </w:rPr>
      </w:pPr>
    </w:p>
    <w:p w:rsidR="00A26E28" w:rsidRDefault="00A26E28" w:rsidP="00E42EB8">
      <w:pPr>
        <w:ind w:right="-7"/>
        <w:jc w:val="both"/>
        <w:rPr>
          <w:rFonts w:ascii="Palatino Linotype" w:eastAsia="Palatino Linotype" w:hAnsi="Palatino Linotype" w:cs="Palatino Linotype"/>
          <w:i/>
          <w:color w:val="000000" w:themeColor="text1"/>
        </w:rPr>
      </w:pPr>
    </w:p>
    <w:p w:rsidR="00A26E28" w:rsidRDefault="00A26E28" w:rsidP="00E42EB8">
      <w:pPr>
        <w:ind w:right="-7"/>
        <w:jc w:val="both"/>
        <w:rPr>
          <w:rFonts w:ascii="Palatino Linotype" w:eastAsia="Palatino Linotype" w:hAnsi="Palatino Linotype" w:cs="Palatino Linotype"/>
          <w:i/>
          <w:color w:val="000000" w:themeColor="text1"/>
        </w:rPr>
      </w:pPr>
    </w:p>
    <w:p w:rsidR="00A26E28" w:rsidRPr="00FD3DD7" w:rsidRDefault="00A26E28" w:rsidP="00E42EB8">
      <w:pPr>
        <w:ind w:right="-7"/>
        <w:jc w:val="both"/>
        <w:rPr>
          <w:rFonts w:ascii="Palatino Linotype" w:eastAsia="Palatino Linotype" w:hAnsi="Palatino Linotype" w:cs="Palatino Linotype"/>
          <w:i/>
          <w:color w:val="000000" w:themeColor="text1"/>
        </w:rPr>
      </w:pPr>
    </w:p>
    <w:p w:rsidR="006B5EF1" w:rsidRPr="00FD3DD7" w:rsidRDefault="006B5EF1" w:rsidP="00E42EB8">
      <w:pPr>
        <w:ind w:right="-7"/>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b/>
          <w:i/>
          <w:color w:val="000000" w:themeColor="text1"/>
        </w:rPr>
        <w:lastRenderedPageBreak/>
        <w:t>Precedentes:</w:t>
      </w:r>
    </w:p>
    <w:p w:rsidR="006B5EF1" w:rsidRPr="00FD3DD7" w:rsidRDefault="006B5EF1" w:rsidP="00E42EB8">
      <w:pPr>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6B5EF1" w:rsidRPr="00FD3DD7" w:rsidRDefault="006B5EF1" w:rsidP="00E42EB8">
      <w:pPr>
        <w:ind w:right="-7"/>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6B5EF1" w:rsidRPr="00FD3DD7" w:rsidRDefault="006B5EF1" w:rsidP="00E42EB8">
      <w:pPr>
        <w:tabs>
          <w:tab w:val="left" w:pos="7371"/>
        </w:tabs>
        <w:ind w:right="-7"/>
        <w:jc w:val="both"/>
        <w:rPr>
          <w:rFonts w:ascii="Palatino Linotype" w:eastAsia="Palatino Linotype" w:hAnsi="Palatino Linotype" w:cs="Palatino Linotype"/>
          <w:i/>
          <w:color w:val="000000" w:themeColor="text1"/>
        </w:rPr>
      </w:pPr>
      <w:r w:rsidRPr="00FD3DD7">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6B5EF1" w:rsidRPr="00FD3DD7" w:rsidRDefault="006B5EF1" w:rsidP="00E42EB8">
      <w:pPr>
        <w:tabs>
          <w:tab w:val="left" w:pos="7371"/>
        </w:tabs>
        <w:ind w:right="-7"/>
        <w:jc w:val="both"/>
        <w:rPr>
          <w:rFonts w:ascii="Palatino Linotype" w:eastAsia="Palatino Linotype" w:hAnsi="Palatino Linotype" w:cs="Palatino Linotype"/>
          <w:i/>
          <w:color w:val="000000" w:themeColor="text1"/>
        </w:rPr>
      </w:pPr>
    </w:p>
    <w:p w:rsidR="00756355" w:rsidRPr="00FD3DD7" w:rsidRDefault="00756355"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hAnsi="Palatino Linotype"/>
          <w:color w:val="000000" w:themeColor="text1"/>
        </w:rPr>
        <w:t>En ese sentido, se determina que el nombre, la firma y la rúbrica de una persona física, que actúe como representante o apoderado legal de un tercero que haya celebrado un acto jurídico, con algún sujeto obligado, es información pública, toda vez que sus datos fueron proporcionados para recibir recursos públicos por el pago de un servicio o compra de materiales.</w:t>
      </w:r>
    </w:p>
    <w:p w:rsidR="00756355" w:rsidRPr="00FD3DD7" w:rsidRDefault="00756355" w:rsidP="00E42EB8">
      <w:pPr>
        <w:spacing w:line="360" w:lineRule="auto"/>
        <w:ind w:right="-7"/>
        <w:jc w:val="both"/>
        <w:rPr>
          <w:rFonts w:ascii="Palatino Linotype" w:hAnsi="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Del Folio fiscal, Número de serie CSD del emisor, Sello digital del contribuyente emisor, Número de serie del CSD del SAT, Sello digital del SA y Cadena original de complemento de certificación digital SAT. </w:t>
      </w:r>
    </w:p>
    <w:p w:rsidR="006B5EF1" w:rsidRPr="00FD3DD7" w:rsidRDefault="006B5EF1" w:rsidP="00E42EB8">
      <w:pPr>
        <w:spacing w:line="360" w:lineRule="auto"/>
        <w:ind w:right="-7"/>
        <w:jc w:val="both"/>
        <w:rPr>
          <w:rFonts w:ascii="Palatino Linotype" w:eastAsia="Palatino Linotype" w:hAnsi="Palatino Linotype" w:cs="Palatino Linotype"/>
          <w:b/>
          <w:i/>
          <w:color w:val="000000" w:themeColor="text1"/>
          <w:u w:val="single"/>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14" w:name="_heading=h.2z9jwqn7dp2n" w:colFirst="0" w:colLast="0"/>
      <w:bookmarkEnd w:id="14"/>
      <w:r w:rsidRPr="00FD3DD7">
        <w:rPr>
          <w:rFonts w:ascii="Palatino Linotype" w:eastAsia="Palatino Linotype" w:hAnsi="Palatino Linotype" w:cs="Palatino Linotype"/>
          <w:color w:val="000000" w:themeColor="text1"/>
        </w:rPr>
        <w:t xml:space="preserve">De conformidad con la regla 2.7.1.7 de Resolución Miscelánea Fiscal para 2019, para los efectos del artículo 29 segundo párrafo fracción V del Código Fiscal de la Federación, las representaciones impresas del Comprobante Fiscal Digital por Internet o CFDI, deben cumplir con los requisitos señalados en el artículo 29-A del Código Fiscal de la Federación, y contener lo siguiente: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15" w:name="_heading=h.jn7wityzmbc9" w:colFirst="0" w:colLast="0"/>
      <w:bookmarkEnd w:id="15"/>
      <w:r w:rsidRPr="00FD3DD7">
        <w:rPr>
          <w:rFonts w:ascii="Palatino Linotype" w:eastAsia="Palatino Linotype" w:hAnsi="Palatino Linotype" w:cs="Palatino Linotype"/>
          <w:i/>
          <w:color w:val="000000" w:themeColor="text1"/>
        </w:rPr>
        <w:lastRenderedPageBreak/>
        <w:t>“I. Código de barras generado conforme a la especificación técnica que se establece en el rubro I.D del Anexo 20 o el número de folio fiscal del comprobante.</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16" w:name="_heading=h.t35j6so4838j" w:colFirst="0" w:colLast="0"/>
      <w:bookmarkEnd w:id="16"/>
      <w:r w:rsidRPr="00FD3DD7">
        <w:rPr>
          <w:rFonts w:ascii="Palatino Linotype" w:eastAsia="Palatino Linotype" w:hAnsi="Palatino Linotype" w:cs="Palatino Linotype"/>
          <w:i/>
          <w:color w:val="000000" w:themeColor="text1"/>
        </w:rPr>
        <w:t xml:space="preserve">II. Número de serie del CSD del emisor y del SAT, que establecen los rubros I.A y III.B del Anexo 20.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17" w:name="_heading=h.ofsgmw2ltcti" w:colFirst="0" w:colLast="0"/>
      <w:bookmarkEnd w:id="17"/>
      <w:r w:rsidRPr="00FD3DD7">
        <w:rPr>
          <w:rFonts w:ascii="Palatino Linotype" w:eastAsia="Palatino Linotype" w:hAnsi="Palatino Linotype" w:cs="Palatino Linotype"/>
          <w:i/>
          <w:color w:val="000000" w:themeColor="text1"/>
        </w:rPr>
        <w:t xml:space="preserve">III. La leyenda: “Este documento es una representación impresa de un CFDI”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18" w:name="_heading=h.6md85qnj95ht" w:colFirst="0" w:colLast="0"/>
      <w:bookmarkEnd w:id="18"/>
      <w:r w:rsidRPr="00FD3DD7">
        <w:rPr>
          <w:rFonts w:ascii="Palatino Linotype" w:eastAsia="Palatino Linotype" w:hAnsi="Palatino Linotype" w:cs="Palatino Linotype"/>
          <w:i/>
          <w:color w:val="000000" w:themeColor="text1"/>
        </w:rPr>
        <w:t xml:space="preserve">IV. Fecha y hora de emisión y de certificación del CFDI en adición a lo señalado en el artículo 29- A, fracción III del CFF.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19" w:name="_heading=h.gkcdl3o797mw" w:colFirst="0" w:colLast="0"/>
      <w:bookmarkEnd w:id="19"/>
      <w:r w:rsidRPr="00FD3DD7">
        <w:rPr>
          <w:rFonts w:ascii="Palatino Linotype" w:eastAsia="Palatino Linotype" w:hAnsi="Palatino Linotype" w:cs="Palatino Linotype"/>
          <w:i/>
          <w:color w:val="000000" w:themeColor="text1"/>
        </w:rPr>
        <w:t xml:space="preserve">V. Cadena original del complemento de certificación digital del SAT.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0" w:name="_heading=h.obomck3iidb7" w:colFirst="0" w:colLast="0"/>
      <w:bookmarkEnd w:id="20"/>
      <w:r w:rsidRPr="00FD3DD7">
        <w:rPr>
          <w:rFonts w:ascii="Palatino Linotype" w:eastAsia="Palatino Linotype" w:hAnsi="Palatino Linotype" w:cs="Palatino Linotype"/>
          <w:i/>
          <w:color w:val="000000" w:themeColor="text1"/>
        </w:rPr>
        <w:t xml:space="preserve">VI. Tratándose de las representaciones impresas del CFDI que amparen retenciones e información de pagos emitidos conforme a lo dispuesto en la regla 2.7.5.4., adicional a lo anteriormente señalado deberán incluir: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1" w:name="_heading=h.n6ygx4z7u7iu" w:colFirst="0" w:colLast="0"/>
      <w:bookmarkEnd w:id="21"/>
      <w:r w:rsidRPr="00FD3DD7">
        <w:rPr>
          <w:rFonts w:ascii="Palatino Linotype" w:eastAsia="Palatino Linotype" w:hAnsi="Palatino Linotype" w:cs="Palatino Linotype"/>
          <w:i/>
          <w:color w:val="000000" w:themeColor="text1"/>
        </w:rPr>
        <w:t xml:space="preserve">a) Los datos que establece el Anexo 20, apartado II.A., así como los correspondientes a los complementos que incorpore.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2" w:name="_heading=h.htfse3mfod91" w:colFirst="0" w:colLast="0"/>
      <w:bookmarkEnd w:id="22"/>
      <w:r w:rsidRPr="00FD3DD7">
        <w:rPr>
          <w:rFonts w:ascii="Palatino Linotype" w:eastAsia="Palatino Linotype" w:hAnsi="Palatino Linotype" w:cs="Palatino Linotype"/>
          <w:i/>
          <w:color w:val="000000" w:themeColor="text1"/>
        </w:rPr>
        <w:t xml:space="preserve">b) El código de barras generado conforme a la especificación técnica establecida en el Anexo 20, rubro II.D.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3" w:name="_heading=h.18yejeg468ga" w:colFirst="0" w:colLast="0"/>
      <w:bookmarkEnd w:id="23"/>
      <w:r w:rsidRPr="00FD3DD7">
        <w:rPr>
          <w:rFonts w:ascii="Palatino Linotype" w:eastAsia="Palatino Linotype" w:hAnsi="Palatino Linotype" w:cs="Palatino Linotype"/>
          <w:i/>
          <w:color w:val="000000" w:themeColor="text1"/>
        </w:rPr>
        <w:t xml:space="preserve">VII. Tratándose de las representaciones impresas de un CFDI emitidas conforme a lo dispuesto en la regla 2.7.2.14., y la Sección 2.7.3., se deberá estar a lo siguiente: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4" w:name="_heading=h.5bnr4t7cvb3w" w:colFirst="0" w:colLast="0"/>
      <w:bookmarkEnd w:id="24"/>
      <w:r w:rsidRPr="00FD3DD7">
        <w:rPr>
          <w:rFonts w:ascii="Palatino Linotype" w:eastAsia="Palatino Linotype" w:hAnsi="Palatino Linotype" w:cs="Palatino Linotype"/>
          <w:i/>
          <w:color w:val="000000" w:themeColor="text1"/>
        </w:rPr>
        <w:t xml:space="preserve">a) Espacio para registrar la firma autógrafa de la persona que emite el CFDI.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5" w:name="_heading=h.dn2nmuiczm76" w:colFirst="0" w:colLast="0"/>
      <w:bookmarkEnd w:id="25"/>
      <w:r w:rsidRPr="00FD3DD7">
        <w:rPr>
          <w:rFonts w:ascii="Palatino Linotype" w:eastAsia="Palatino Linotype" w:hAnsi="Palatino Linotype" w:cs="Palatino Linotype"/>
          <w:i/>
          <w:color w:val="000000" w:themeColor="text1"/>
        </w:rPr>
        <w:t xml:space="preserve">b) Respecto a lo señalado en la fracción II de esta regla, se incluirá el número de serie de CESD del proveedor de certificación de CFDI o del SAT según corresponda en sustitución del número de CSD del emisor. </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6" w:name="_heading=h.f44lrhhpmkjn" w:colFirst="0" w:colLast="0"/>
      <w:bookmarkEnd w:id="26"/>
      <w:r w:rsidRPr="00FD3DD7">
        <w:rPr>
          <w:rFonts w:ascii="Palatino Linotype" w:eastAsia="Palatino Linotype" w:hAnsi="Palatino Linotype" w:cs="Palatino Linotype"/>
          <w:i/>
          <w:color w:val="000000" w:themeColor="text1"/>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rsidR="006B5EF1" w:rsidRPr="00FD3DD7" w:rsidRDefault="006B5EF1" w:rsidP="00E42EB8">
      <w:pPr>
        <w:ind w:right="-7"/>
        <w:jc w:val="both"/>
        <w:rPr>
          <w:rFonts w:ascii="Palatino Linotype" w:eastAsia="Palatino Linotype" w:hAnsi="Palatino Linotype" w:cs="Palatino Linotype"/>
          <w:color w:val="000000" w:themeColor="text1"/>
        </w:rPr>
      </w:pPr>
      <w:bookmarkStart w:id="27" w:name="_heading=h.oo2mmabwdpzm" w:colFirst="0" w:colLast="0"/>
      <w:bookmarkEnd w:id="27"/>
      <w:r w:rsidRPr="00FD3DD7">
        <w:rPr>
          <w:rFonts w:ascii="Palatino Linotype" w:eastAsia="Palatino Linotype" w:hAnsi="Palatino Linotype" w:cs="Palatino Linotype"/>
          <w:i/>
          <w:color w:val="000000" w:themeColor="text1"/>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FD3DD7">
        <w:rPr>
          <w:rFonts w:ascii="Palatino Linotype" w:eastAsia="Palatino Linotype" w:hAnsi="Palatino Linotype" w:cs="Palatino Linotype"/>
          <w:color w:val="000000" w:themeColor="text1"/>
        </w:rPr>
        <w:t>.</w:t>
      </w:r>
    </w:p>
    <w:p w:rsidR="006B5EF1" w:rsidRPr="00FD3DD7" w:rsidRDefault="006B5EF1" w:rsidP="00E42EB8">
      <w:pPr>
        <w:ind w:right="-7"/>
        <w:jc w:val="both"/>
        <w:rPr>
          <w:rFonts w:ascii="Palatino Linotype" w:eastAsia="Palatino Linotype" w:hAnsi="Palatino Linotype" w:cs="Palatino Linotype"/>
          <w:i/>
          <w:color w:val="000000" w:themeColor="text1"/>
        </w:rPr>
      </w:pPr>
      <w:bookmarkStart w:id="28" w:name="_heading=h.t1mp8qivtptx" w:colFirst="0" w:colLast="0"/>
      <w:bookmarkEnd w:id="28"/>
      <w:r w:rsidRPr="00FD3DD7">
        <w:rPr>
          <w:rFonts w:ascii="Palatino Linotype" w:eastAsia="Palatino Linotype" w:hAnsi="Palatino Linotype" w:cs="Palatino Linotype"/>
          <w:i/>
          <w:color w:val="000000" w:themeColor="text1"/>
        </w:rPr>
        <w:t>(Énfasis añadido)</w:t>
      </w:r>
    </w:p>
    <w:p w:rsidR="006B5EF1" w:rsidRDefault="006B5EF1" w:rsidP="00E42EB8">
      <w:pPr>
        <w:ind w:right="-7"/>
        <w:jc w:val="both"/>
        <w:rPr>
          <w:rFonts w:ascii="Palatino Linotype" w:eastAsia="Palatino Linotype" w:hAnsi="Palatino Linotype" w:cs="Palatino Linotype"/>
          <w:color w:val="000000" w:themeColor="text1"/>
        </w:rPr>
      </w:pPr>
      <w:bookmarkStart w:id="29" w:name="_heading=h.8sifv2td4no" w:colFirst="0" w:colLast="0"/>
      <w:bookmarkEnd w:id="29"/>
    </w:p>
    <w:p w:rsidR="00A26E28" w:rsidRPr="00FD3DD7" w:rsidRDefault="00A26E28" w:rsidP="00E42EB8">
      <w:pPr>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30" w:name="_heading=h.oh2brxaow78o" w:colFirst="0" w:colLast="0"/>
      <w:bookmarkEnd w:id="30"/>
      <w:r w:rsidRPr="00FD3DD7">
        <w:rPr>
          <w:rFonts w:ascii="Palatino Linotype" w:eastAsia="Palatino Linotype" w:hAnsi="Palatino Linotype" w:cs="Palatino Linotype"/>
          <w:color w:val="000000" w:themeColor="text1"/>
        </w:rPr>
        <w:t xml:space="preserve">Asimismo, de conformidad con el Anexo 20 de la Segunda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w:t>
      </w:r>
      <w:r w:rsidRPr="00FD3DD7">
        <w:rPr>
          <w:rFonts w:ascii="Palatino Linotype" w:eastAsia="Palatino Linotype" w:hAnsi="Palatino Linotype" w:cs="Palatino Linotype"/>
          <w:color w:val="000000" w:themeColor="text1"/>
        </w:rPr>
        <w:lastRenderedPageBreak/>
        <w:t>firma electrónica avanzada, y las especificaciones de conversión de la firma avanzada a base 64.</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31" w:name="_heading=h.987we07n3kwj" w:colFirst="0" w:colLast="0"/>
      <w:bookmarkEnd w:id="31"/>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32" w:name="_heading=h.e4w0o6ue8sc6" w:colFirst="0" w:colLast="0"/>
      <w:bookmarkEnd w:id="32"/>
      <w:r w:rsidRPr="00FD3DD7">
        <w:rPr>
          <w:rFonts w:ascii="Palatino Linotype" w:eastAsia="Palatino Linotype" w:hAnsi="Palatino Linotype" w:cs="Palatino Linotype"/>
          <w:color w:val="000000" w:themeColor="text1"/>
        </w:rPr>
        <w:t xml:space="preserve">Para la generación de sellos digitales se utiliza </w:t>
      </w:r>
      <w:r w:rsidRPr="00FD3DD7">
        <w:rPr>
          <w:rFonts w:ascii="Palatino Linotype" w:eastAsia="Palatino Linotype" w:hAnsi="Palatino Linotype" w:cs="Palatino Linotype"/>
          <w:b/>
          <w:color w:val="000000" w:themeColor="text1"/>
        </w:rPr>
        <w:t>criptografía</w:t>
      </w:r>
      <w:r w:rsidRPr="00FD3DD7">
        <w:rPr>
          <w:rFonts w:ascii="Palatino Linotype" w:eastAsia="Palatino Linotype" w:hAnsi="Palatino Linotype" w:cs="Palatino Linotype"/>
          <w:color w:val="000000" w:themeColor="text1"/>
        </w:rPr>
        <w:t xml:space="preserve"> de clave pública aplicada a una cadena original, que se basa en la generación de una pareja de números muy grandes relacionados entre sí, de tal manera que una operación de inscripción sobre un mensaje tomando como clave de inscripción a uno de los dos números, produce un mensaje alterado en su significado que sólo puede ser devuelto a su estado original mediante la operación de desencripción correspondiente tomando como clave de desencripción al otro número de la pareja.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33" w:name="_heading=h.rtb9e44i85ua" w:colFirst="0" w:colLast="0"/>
      <w:bookmarkEnd w:id="33"/>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34" w:name="_heading=h.mt7q496zmklq" w:colFirst="0" w:colLast="0"/>
      <w:bookmarkEnd w:id="34"/>
      <w:r w:rsidRPr="00FD3DD7">
        <w:rPr>
          <w:rFonts w:ascii="Palatino Linotype" w:eastAsia="Palatino Linotype" w:hAnsi="Palatino Linotype" w:cs="Palatino Linotype"/>
          <w:color w:val="000000" w:themeColor="text1"/>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rsidR="006B5EF1" w:rsidRPr="00FD3DD7" w:rsidRDefault="006B5EF1" w:rsidP="00E42EB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35" w:name="_heading=h.n30l5xfevj1m" w:colFirst="0" w:colLast="0"/>
      <w:bookmarkEnd w:id="35"/>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36" w:name="_heading=h.xyl92zx2yn72" w:colFirst="0" w:colLast="0"/>
      <w:bookmarkEnd w:id="36"/>
      <w:r w:rsidRPr="00FD3DD7">
        <w:rPr>
          <w:rFonts w:ascii="Palatino Linotype" w:eastAsia="Palatino Linotype" w:hAnsi="Palatino Linotype" w:cs="Palatino Linotype"/>
          <w:color w:val="000000" w:themeColor="text1"/>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w:t>
      </w:r>
      <w:r w:rsidRPr="00FD3DD7">
        <w:rPr>
          <w:rFonts w:ascii="Palatino Linotype" w:eastAsia="Palatino Linotype" w:hAnsi="Palatino Linotype" w:cs="Palatino Linotype"/>
          <w:color w:val="000000" w:themeColor="text1"/>
        </w:rPr>
        <w:lastRenderedPageBreak/>
        <w:t xml:space="preserve">verificable por cualquiera con acceso al certificado digital del emisor, que sirve para implementar servicios de seguridad para garantizar: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37" w:name="_heading=h.dnnzpvh7eleo" w:colFirst="0" w:colLast="0"/>
      <w:bookmarkEnd w:id="37"/>
      <w:r w:rsidRPr="00FD3DD7">
        <w:rPr>
          <w:rFonts w:ascii="Palatino Linotype" w:eastAsia="Palatino Linotype" w:hAnsi="Palatino Linotype" w:cs="Palatino Linotype"/>
          <w:color w:val="000000" w:themeColor="text1"/>
        </w:rPr>
        <w:t xml:space="preserve">• La integridad (facilidad para detectar si un mensaje firmado ha sido alterado),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38" w:name="_heading=h.7nd46camfpd3" w:colFirst="0" w:colLast="0"/>
      <w:bookmarkEnd w:id="38"/>
      <w:r w:rsidRPr="00FD3DD7">
        <w:rPr>
          <w:rFonts w:ascii="Palatino Linotype" w:eastAsia="Palatino Linotype" w:hAnsi="Palatino Linotype" w:cs="Palatino Linotype"/>
          <w:color w:val="000000" w:themeColor="text1"/>
        </w:rPr>
        <w:t xml:space="preserve">• La autenticidad,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39" w:name="_heading=h.ioxfoskdka44" w:colFirst="0" w:colLast="0"/>
      <w:bookmarkEnd w:id="39"/>
      <w:r w:rsidRPr="00FD3DD7">
        <w:rPr>
          <w:rFonts w:ascii="Palatino Linotype" w:eastAsia="Palatino Linotype" w:hAnsi="Palatino Linotype" w:cs="Palatino Linotype"/>
          <w:color w:val="000000" w:themeColor="text1"/>
        </w:rPr>
        <w:t xml:space="preserve">• Certidumbre de origen (facilidad para determinar qué persona es el autor de la firma que valida el contenido del mensaje) y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0" w:name="_heading=h.71wzdzlnc3xt" w:colFirst="0" w:colLast="0"/>
      <w:bookmarkEnd w:id="40"/>
      <w:r w:rsidRPr="00FD3DD7">
        <w:rPr>
          <w:rFonts w:ascii="Palatino Linotype" w:eastAsia="Palatino Linotype" w:hAnsi="Palatino Linotype" w:cs="Palatino Linotype"/>
          <w:color w:val="000000" w:themeColor="text1"/>
        </w:rPr>
        <w:t xml:space="preserve">• No repudiación del mensaje firmado (capacidad de impedir que el autor de la firma niegue haber firmado el mensaje).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1" w:name="_heading=h.ynzdidt3os8l" w:colFirst="0" w:colLast="0"/>
      <w:bookmarkEnd w:id="41"/>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42" w:name="_heading=h.qdfdf3outred" w:colFirst="0" w:colLast="0"/>
      <w:bookmarkEnd w:id="42"/>
      <w:r w:rsidRPr="00FD3DD7">
        <w:rPr>
          <w:rFonts w:ascii="Palatino Linotype" w:eastAsia="Palatino Linotype" w:hAnsi="Palatino Linotype" w:cs="Palatino Linotype"/>
          <w:color w:val="000000" w:themeColor="text1"/>
        </w:rPr>
        <w:t xml:space="preserve">Estos servicios de seguridad proporcionan las siguientes características a un mensaje con firma electrónica avanzada: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3" w:name="_heading=h.xp0jh26h3b7o" w:colFirst="0" w:colLast="0"/>
      <w:bookmarkEnd w:id="43"/>
      <w:r w:rsidRPr="00FD3DD7">
        <w:rPr>
          <w:rFonts w:ascii="Palatino Linotype" w:eastAsia="Palatino Linotype" w:hAnsi="Palatino Linotype" w:cs="Palatino Linotype"/>
          <w:color w:val="000000" w:themeColor="text1"/>
        </w:rPr>
        <w:t xml:space="preserve">• Es infalsificable.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4" w:name="_heading=h.d7sfqbwj4lax" w:colFirst="0" w:colLast="0"/>
      <w:bookmarkEnd w:id="44"/>
      <w:r w:rsidRPr="00FD3DD7">
        <w:rPr>
          <w:rFonts w:ascii="Palatino Linotype" w:eastAsia="Palatino Linotype" w:hAnsi="Palatino Linotype" w:cs="Palatino Linotype"/>
          <w:color w:val="000000" w:themeColor="text1"/>
        </w:rPr>
        <w:t xml:space="preserve">• La firma electrónica avanzada no es reciclable (es única por mensaje).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5" w:name="_heading=h.4umuus4we8wo" w:colFirst="0" w:colLast="0"/>
      <w:bookmarkEnd w:id="45"/>
      <w:r w:rsidRPr="00FD3DD7">
        <w:rPr>
          <w:rFonts w:ascii="Palatino Linotype" w:eastAsia="Palatino Linotype" w:hAnsi="Palatino Linotype" w:cs="Palatino Linotype"/>
          <w:color w:val="000000" w:themeColor="text1"/>
        </w:rPr>
        <w:t xml:space="preserve">• Un mensaje con firma electrónica avanzada alterado, es detectable.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6" w:name="_heading=h.bhowd0rv38c7" w:colFirst="0" w:colLast="0"/>
      <w:bookmarkEnd w:id="46"/>
      <w:r w:rsidRPr="00FD3DD7">
        <w:rPr>
          <w:rFonts w:ascii="Palatino Linotype" w:eastAsia="Palatino Linotype" w:hAnsi="Palatino Linotype" w:cs="Palatino Linotype"/>
          <w:color w:val="000000" w:themeColor="text1"/>
        </w:rPr>
        <w:t xml:space="preserve">• Un mensaje con firma electrónica avanzada, no puede ser repudiado.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7" w:name="_heading=h.ejn2v55f60s6" w:colFirst="0" w:colLast="0"/>
      <w:bookmarkEnd w:id="47"/>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48" w:name="_heading=h.msnldj4dqkon" w:colFirst="0" w:colLast="0"/>
      <w:bookmarkEnd w:id="48"/>
      <w:r w:rsidRPr="00FD3DD7">
        <w:rPr>
          <w:rFonts w:ascii="Palatino Linotype" w:eastAsia="Palatino Linotype" w:hAnsi="Palatino Linotype" w:cs="Palatino Linotype"/>
          <w:color w:val="000000" w:themeColor="text1"/>
        </w:rPr>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digital del emisor.</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49" w:name="_heading=h.d2rygb40n1qi" w:colFirst="0" w:colLast="0"/>
      <w:bookmarkEnd w:id="49"/>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bookmarkStart w:id="50" w:name="_heading=h.gssdfypy39it" w:colFirst="0" w:colLast="0"/>
      <w:bookmarkEnd w:id="50"/>
      <w:r w:rsidRPr="00FD3DD7">
        <w:rPr>
          <w:rFonts w:ascii="Palatino Linotype" w:eastAsia="Palatino Linotype" w:hAnsi="Palatino Linotype" w:cs="Palatino Linotype"/>
          <w:color w:val="000000" w:themeColor="text1"/>
        </w:rPr>
        <w:lastRenderedPageBreak/>
        <w:t xml:space="preserve">Asimismo,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Así bien, con base en lo expuesto, no todos los datos señalados pueden ser considerados como confidenciales, en virtud de que el Folio fiscal, Número de serie CSD del emisor, Sello digital del contribuyente emisor, Número de serie del CSD del SAT, Sello digital del SAT y Cadena original de complemento de certificación digital SAT, así como el número de empleado cuando no se relacione con el uso de diversos servicios, no tienen el carácter de confidenciales. </w:t>
      </w:r>
    </w:p>
    <w:p w:rsidR="006B5EF1" w:rsidRPr="00FD3DD7" w:rsidRDefault="006B5EF1" w:rsidP="00E42EB8">
      <w:pPr>
        <w:pBdr>
          <w:top w:val="nil"/>
          <w:left w:val="nil"/>
          <w:bottom w:val="nil"/>
          <w:right w:val="nil"/>
          <w:between w:val="nil"/>
        </w:pBdr>
        <w:ind w:right="-7"/>
        <w:rPr>
          <w:rFonts w:ascii="Palatino Linotype" w:eastAsia="Palatino Linotype" w:hAnsi="Palatino Linotype" w:cs="Palatino Linotype"/>
          <w:color w:val="000000" w:themeColor="text1"/>
        </w:rPr>
      </w:pPr>
    </w:p>
    <w:p w:rsidR="00281302" w:rsidRPr="00FD3DD7" w:rsidRDefault="00281302" w:rsidP="00E42EB8">
      <w:pPr>
        <w:numPr>
          <w:ilvl w:val="0"/>
          <w:numId w:val="6"/>
        </w:numPr>
        <w:spacing w:line="360" w:lineRule="auto"/>
        <w:ind w:left="0" w:right="-7" w:firstLine="0"/>
        <w:jc w:val="both"/>
        <w:rPr>
          <w:rFonts w:ascii="Palatino Linotype" w:eastAsia="Calibri" w:hAnsi="Palatino Linotype" w:cs="Calibri"/>
          <w:color w:val="000000" w:themeColor="text1"/>
        </w:rPr>
      </w:pPr>
      <w:r w:rsidRPr="00FD3DD7">
        <w:rPr>
          <w:rFonts w:ascii="Palatino Linotype" w:eastAsia="Calibri" w:hAnsi="Palatino Linotype" w:cs="Calibri"/>
          <w:color w:val="000000" w:themeColor="text1"/>
        </w:rPr>
        <w:t xml:space="preserve">Seguidamente, se debe de mencionar que si bien las facturas se  ordenaran en correcta versión pública, también lo es que se debe de precisar que el </w:t>
      </w:r>
      <w:r w:rsidRPr="00FD3DD7">
        <w:rPr>
          <w:rFonts w:ascii="Palatino Linotype" w:eastAsia="Calibri" w:hAnsi="Palatino Linotype" w:cs="Calibri"/>
          <w:b/>
          <w:color w:val="000000" w:themeColor="text1"/>
        </w:rPr>
        <w:t xml:space="preserve">SUJETO OBLIGADO </w:t>
      </w:r>
      <w:r w:rsidRPr="00FD3DD7">
        <w:rPr>
          <w:rFonts w:ascii="Palatino Linotype" w:eastAsia="Calibri" w:hAnsi="Palatino Linotype" w:cs="Calibri"/>
          <w:color w:val="000000" w:themeColor="text1"/>
        </w:rPr>
        <w:t xml:space="preserve">fue omiso remitir el Acta del Comité de Transparencia mediante la cual de manera fundada y </w:t>
      </w:r>
      <w:r w:rsidRPr="00FD3DD7">
        <w:rPr>
          <w:rFonts w:ascii="Palatino Linotype" w:eastAsia="Calibri" w:hAnsi="Palatino Linotype" w:cs="Calibri"/>
          <w:color w:val="000000" w:themeColor="text1"/>
        </w:rPr>
        <w:lastRenderedPageBreak/>
        <w:t xml:space="preserve">motivada expusiera las razones o motivos de clasificación de la información, situación por la cual se analiza porque lo sujetos obligados deben de entregar dicho documento. </w:t>
      </w:r>
    </w:p>
    <w:p w:rsidR="00281302" w:rsidRPr="00FD3DD7" w:rsidRDefault="00281302" w:rsidP="00E42EB8">
      <w:pPr>
        <w:pStyle w:val="Prrafodelista"/>
        <w:ind w:left="0" w:right="-7"/>
        <w:rPr>
          <w:rFonts w:ascii="Palatino Linotype" w:eastAsia="Calibri" w:hAnsi="Palatino Linotype" w:cs="Calibri"/>
          <w:color w:val="000000" w:themeColor="text1"/>
        </w:rPr>
      </w:pPr>
    </w:p>
    <w:p w:rsidR="00281302" w:rsidRPr="00FD3DD7" w:rsidRDefault="00281302" w:rsidP="00E42EB8">
      <w:pPr>
        <w:numPr>
          <w:ilvl w:val="0"/>
          <w:numId w:val="6"/>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lang w:val="es-ES_tradnl" w:eastAsia="es-ES"/>
        </w:rPr>
      </w:pPr>
      <w:r w:rsidRPr="00FD3DD7">
        <w:rPr>
          <w:rFonts w:ascii="Palatino Linotype" w:eastAsia="Palatino Linotype" w:hAnsi="Palatino Linotype" w:cs="Palatino Linotype"/>
          <w:color w:val="000000" w:themeColor="text1"/>
          <w:lang w:val="es-ES_tradnl" w:eastAsia="es-ES"/>
        </w:rPr>
        <w:t xml:space="preserve">En esa línea se determina que de acuerdo con  la Ley de Transparencia y Acceso a la Información Pública del Estado de México y Municipios, regula lo siguiente en cuanto a la clasificación de la información. </w:t>
      </w:r>
    </w:p>
    <w:p w:rsidR="00281302" w:rsidRPr="00FD3DD7" w:rsidRDefault="00281302" w:rsidP="00E42EB8">
      <w:pP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Artículo 49. Los Comités de Transparencia tendrán las siguientes atribuciones: </w:t>
      </w:r>
    </w:p>
    <w:p w:rsidR="00281302" w:rsidRPr="00FD3DD7" w:rsidRDefault="00281302" w:rsidP="00E42EB8">
      <w:pPr>
        <w:numPr>
          <w:ilvl w:val="0"/>
          <w:numId w:val="15"/>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FD3DD7">
        <w:rPr>
          <w:rFonts w:ascii="Palatino Linotype" w:eastAsia="Palatino Linotype" w:hAnsi="Palatino Linotype" w:cs="Palatino Linotype"/>
          <w:b/>
          <w:i/>
          <w:color w:val="000000" w:themeColor="text1"/>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IV. Establecer políticas para facilitar la obtención y entrega de información en las solicitudes que permita el adecuado ejercicio del derecho de acceso a la información;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 Promover la capacitación y actualización de los servidores públicos o integrantes adscritos a las unidades de transparencia;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VI. Establecer programas de capacitación en materia de transparencia, acceso a la información, accesibilidad y protección de datos personales, para todos los servidores públicos o integrantes del sujeto obligado;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VII. Solicitar y autorizar la ampliación del plazo de reserva de la información a que se refiere esta Ley;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FD3DD7">
        <w:rPr>
          <w:rFonts w:ascii="Palatino Linotype" w:eastAsia="Palatino Linotype" w:hAnsi="Palatino Linotype" w:cs="Palatino Linotype"/>
          <w:b/>
          <w:i/>
          <w:color w:val="000000" w:themeColor="text1"/>
          <w:lang w:val="es-ES_tradnl" w:eastAsia="es-ES"/>
        </w:rPr>
        <w:t>VIII. Aprobar, modificar o revocar la clasificación de la información</w:t>
      </w:r>
      <w:r w:rsidRPr="00FD3DD7">
        <w:rPr>
          <w:rFonts w:ascii="Palatino Linotype" w:eastAsia="Calibri" w:hAnsi="Palatino Linotype" w:cs="Calibri"/>
          <w:b/>
          <w:i/>
          <w:color w:val="000000" w:themeColor="text1"/>
          <w:lang w:val="es-ES_tradnl" w:eastAsia="es-ES"/>
        </w:rPr>
        <w:t xml:space="preserv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 Elaborar un programa para facilitar la sistematización y actualización de la información, mismo que deberá remitirse al Instituto dentro de los primeros veinte días de cada año;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lastRenderedPageBreak/>
        <w:t xml:space="preserve">XI. Recabar y enviar al Instituto, de conformidad con los lineamientos que éste expida, los datos necesarios para la elaboración del informe anual;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XII. Emitir las resoluciones que correspondan para la atención de las solicitudes de información;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XIII. Dictaminar las declaratorias de inexistencia de la información que les remitan las unidades administrativas y resolver en consecuencia;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XIV. Supervisar el registro y actualización de las solicitudes de acceso a la información, así como sus trámites, costos y resultados;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XV. Fomentar la cultura de transparencia;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XVI. Supervisar el cumplimiento de criterios y lineamientos en materia de información clasificada;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XVII. Vigilar el cumplimiento de las resoluciones y recomendaciones que emita el Instituto; y </w:t>
      </w:r>
    </w:p>
    <w:p w:rsidR="00281302" w:rsidRPr="00FD3DD7" w:rsidRDefault="00281302" w:rsidP="00E42EB8">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XVIII. Las demás que se desprendan de la presente Ley y las disposiciones jurídicas aplicables, que faciliten el acceso a la información.</w:t>
      </w:r>
      <w:r w:rsidRPr="00FD3DD7">
        <w:rPr>
          <w:rFonts w:ascii="Palatino Linotype" w:eastAsia="Calibri" w:hAnsi="Palatino Linotype" w:cs="Calibri"/>
          <w:color w:val="000000" w:themeColor="text1"/>
          <w:lang w:val="es-ES_tradnl" w:eastAsia="es-ES"/>
        </w:rPr>
        <w:t xml:space="preserv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b/>
          <w:i/>
          <w:color w:val="000000" w:themeColor="text1"/>
          <w:lang w:val="es-ES_tradnl" w:eastAsia="es-ES"/>
        </w:rPr>
        <w:t>Artículo 53.</w:t>
      </w:r>
      <w:r w:rsidRPr="00FD3DD7">
        <w:rPr>
          <w:rFonts w:ascii="Palatino Linotype" w:eastAsia="Palatino Linotype" w:hAnsi="Palatino Linotype" w:cs="Palatino Linotype"/>
          <w:i/>
          <w:color w:val="000000" w:themeColor="text1"/>
          <w:lang w:val="es-ES_tradnl" w:eastAsia="es-ES"/>
        </w:rPr>
        <w:t xml:space="preserve"> Las Unidades de Transparencia tendrán las siguientes funciones: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281302" w:rsidRPr="00FD3DD7" w:rsidRDefault="00281302" w:rsidP="00E42EB8">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II. Recibir, tramitar y dar respuesta a las solicitudes de acceso a la información;</w:t>
      </w:r>
      <w:r w:rsidRPr="00FD3DD7">
        <w:rPr>
          <w:rFonts w:ascii="Palatino Linotype" w:eastAsia="Calibri" w:hAnsi="Palatino Linotype" w:cs="Calibri"/>
          <w:color w:val="000000" w:themeColor="text1"/>
          <w:lang w:val="es-ES_tradnl" w:eastAsia="es-ES"/>
        </w:rPr>
        <w:t xml:space="preserv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III Auxiliar a los particulares en la elaboración de solicitudes de acceso a la información y, en su caso, orientarlos sobre los sujetos obligados competentes conforme a la normatividad aplicable;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IV. Realizar, con efectividad, los trámites internos necesarios para la atención de las solicitudes de acceso a la información;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 Entregar, en su caso, a los particulares la información solicitada;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VI. Efectuar las notificaciones a los solicitantes;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VII. Proponer al Comité de Transparencia, los procedimientos internos que aseguren la mayor eficiencia en la gestión de las solicitudes de acceso a la información, conforme a la normatividad aplicable;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VIII. Proponer a quien preside el Comité de Transparencia, personal habilitado que sea necesario para recibir y dar trámite a las solicitudes de acceso a la información;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FD3DD7">
        <w:rPr>
          <w:rFonts w:ascii="Palatino Linotype" w:eastAsia="Palatino Linotype" w:hAnsi="Palatino Linotype" w:cs="Palatino Linotype"/>
          <w:b/>
          <w:i/>
          <w:color w:val="000000" w:themeColor="text1"/>
          <w:lang w:val="es-ES_tradnl" w:eastAsia="es-ES"/>
        </w:rPr>
        <w:t xml:space="preserve">X. Presentar ante el Comité, el proyecto de clasificación de información;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XI. Promover e implementar políticas de transparencia proactiva procurando su accesibilidad;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XII. Fomentar la transparencia y accesibilidad al interior del sujeto obligado;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lastRenderedPageBreak/>
        <w:t>XIII. Hacer del conocimiento de la instancia competente la probable responsabilidad por el incumplimiento de las obligaciones previstas en la presente Ley; y</w:t>
      </w:r>
      <w:r w:rsidRPr="00FD3DD7">
        <w:rPr>
          <w:rFonts w:ascii="Palatino Linotype" w:eastAsia="Calibri" w:hAnsi="Palatino Linotype" w:cs="Calibri"/>
          <w:color w:val="000000" w:themeColor="text1"/>
          <w:lang w:val="es-ES_tradnl" w:eastAsia="es-ES"/>
        </w:rPr>
        <w:t xml:space="preserve"> </w:t>
      </w:r>
    </w:p>
    <w:p w:rsidR="00281302" w:rsidRPr="00FD3DD7" w:rsidRDefault="00281302" w:rsidP="00E42EB8">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XIV. Las demás que resulten necesarias para facilitar el acceso a la información y aquellas que se desprenden de la presente Ley y demás disposiciones jurídicas aplicables.</w:t>
      </w:r>
      <w:r w:rsidRPr="00FD3DD7">
        <w:rPr>
          <w:rFonts w:ascii="Palatino Linotype" w:eastAsia="Calibri" w:hAnsi="Palatino Linotype" w:cs="Calibri"/>
          <w:color w:val="000000" w:themeColor="text1"/>
          <w:lang w:val="es-ES_tradnl" w:eastAsia="es-ES"/>
        </w:rPr>
        <w:t xml:space="preserv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b/>
          <w:i/>
          <w:color w:val="000000" w:themeColor="text1"/>
          <w:lang w:val="es-ES_tradnl" w:eastAsia="es-ES"/>
        </w:rPr>
        <w:t>Artículo 59.</w:t>
      </w:r>
      <w:r w:rsidRPr="00FD3DD7">
        <w:rPr>
          <w:rFonts w:ascii="Palatino Linotype" w:eastAsia="Palatino Linotype" w:hAnsi="Palatino Linotype" w:cs="Palatino Linotype"/>
          <w:i/>
          <w:color w:val="000000" w:themeColor="text1"/>
          <w:lang w:val="es-ES_tradnl" w:eastAsia="es-ES"/>
        </w:rPr>
        <w:t xml:space="preserve"> Los servidores públicos habilitados tendrán las funciones siguientes: </w:t>
      </w:r>
    </w:p>
    <w:p w:rsidR="00281302" w:rsidRPr="00FD3DD7" w:rsidRDefault="00281302" w:rsidP="00E42EB8">
      <w:pPr>
        <w:numPr>
          <w:ilvl w:val="0"/>
          <w:numId w:val="16"/>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Localizar la información que le solicite la Unidad de Transparencia;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II. Proporcionar la información que obre en los archivos y que le sea solicitada por la Unidad de Transparencia;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III. Apoyar a la Unidad de Transparencia en lo que esta le solicite para el cumplimiento de sus funciones;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IV. Proporcionar a la Unidad de Transparencia, las modificaciones a la información pública de oficio que obre en su poder;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FD3DD7">
        <w:rPr>
          <w:rFonts w:ascii="Palatino Linotype" w:eastAsia="Palatino Linotype" w:hAnsi="Palatino Linotype" w:cs="Palatino Linotype"/>
          <w:b/>
          <w:i/>
          <w:color w:val="000000" w:themeColor="text1"/>
          <w:lang w:val="es-ES_tradnl" w:eastAsia="es-ES"/>
        </w:rPr>
        <w:t xml:space="preserve">V. Integrar y presentar al responsable de la Unidad de Transparencia la propuesta de clasificación de información, la cual tendrá los fundamentos y argumentos en que se basa dicha propuesta;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VI. Verificar, una vez analizado el contenido de la información, que no se encuentre en los supuestos de información clasificada; y </w:t>
      </w:r>
    </w:p>
    <w:p w:rsidR="00281302" w:rsidRPr="00FD3DD7" w:rsidRDefault="00281302" w:rsidP="00E42EB8">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VII. Dar cuenta a la Unidad de Transparencia del vencimiento de los plazos de reserva.</w:t>
      </w:r>
      <w:r w:rsidRPr="00FD3DD7">
        <w:rPr>
          <w:rFonts w:ascii="Palatino Linotype" w:eastAsia="Calibri" w:hAnsi="Palatino Linotype" w:cs="Calibri"/>
          <w:color w:val="000000" w:themeColor="text1"/>
          <w:lang w:val="es-ES_tradnl" w:eastAsia="es-ES"/>
        </w:rPr>
        <w:t xml:space="preserv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b/>
          <w:i/>
          <w:color w:val="000000" w:themeColor="text1"/>
          <w:lang w:val="es-ES_tradnl" w:eastAsia="es-ES"/>
        </w:rPr>
        <w:t>Artículo 122. La clasificación es el proceso mediante el cual el sujeto obligado determina que la información en su poder actualiza alguno de los supuestos de reserva o confidencialidad, de conformidad con lo dispuesto en el presente título</w:t>
      </w:r>
      <w:r w:rsidRPr="00FD3DD7">
        <w:rPr>
          <w:rFonts w:ascii="Palatino Linotype" w:eastAsia="Palatino Linotype" w:hAnsi="Palatino Linotype" w:cs="Palatino Linotype"/>
          <w:i/>
          <w:color w:val="000000" w:themeColor="text1"/>
          <w:lang w:val="es-ES_tradnl" w:eastAsia="es-ES"/>
        </w:rPr>
        <w:t xml:space="preserve">.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 xml:space="preserve">Los supuestos de reserva o confidencialidad previstos en las leyes deberán ser acordes con las bases, principios y disposiciones establecidos en la Ley General y, en ningún caso, podrán contravenirla. </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FD3DD7">
        <w:rPr>
          <w:rFonts w:ascii="Palatino Linotype" w:eastAsia="Palatino Linotype" w:hAnsi="Palatino Linotype" w:cs="Palatino Linotype"/>
          <w:i/>
          <w:color w:val="000000" w:themeColor="text1"/>
          <w:lang w:val="es-ES_tradnl" w:eastAsia="es-ES"/>
        </w:rPr>
        <w:t>Los titulares de las áreas de los sujetos obligados serán los responsables de clasificar la información, de conformidad con lo dispuesto en la presente Ley y demás disposiciones jurídicas aplicables.</w:t>
      </w:r>
    </w:p>
    <w:p w:rsidR="00281302" w:rsidRPr="00FD3DD7" w:rsidRDefault="00281302" w:rsidP="00E42EB8">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p>
    <w:p w:rsidR="00281302" w:rsidRPr="00FD3DD7" w:rsidRDefault="00281302" w:rsidP="00E42EB8">
      <w:pPr>
        <w:pBdr>
          <w:top w:val="nil"/>
          <w:left w:val="nil"/>
          <w:bottom w:val="nil"/>
          <w:right w:val="nil"/>
          <w:between w:val="nil"/>
        </w:pBdr>
        <w:ind w:right="-7"/>
        <w:rPr>
          <w:rFonts w:ascii="Palatino Linotype" w:eastAsia="Palatino Linotype" w:hAnsi="Palatino Linotype" w:cs="Palatino Linotype"/>
          <w:color w:val="000000" w:themeColor="text1"/>
          <w:lang w:val="es-ES_tradnl" w:eastAsia="es-ES"/>
        </w:rPr>
      </w:pPr>
    </w:p>
    <w:p w:rsidR="00281302" w:rsidRPr="00FD3DD7" w:rsidRDefault="00281302" w:rsidP="00E42EB8">
      <w:pPr>
        <w:numPr>
          <w:ilvl w:val="0"/>
          <w:numId w:val="6"/>
        </w:numPr>
        <w:pBdr>
          <w:top w:val="nil"/>
          <w:left w:val="nil"/>
          <w:bottom w:val="nil"/>
          <w:right w:val="nil"/>
          <w:between w:val="nil"/>
        </w:pBdr>
        <w:spacing w:line="360" w:lineRule="auto"/>
        <w:ind w:left="0" w:right="-7" w:firstLine="0"/>
        <w:jc w:val="both"/>
        <w:rPr>
          <w:rFonts w:ascii="Palatino Linotype" w:eastAsia="Calibri" w:hAnsi="Palatino Linotype" w:cs="Calibri"/>
          <w:color w:val="000000" w:themeColor="text1"/>
        </w:rPr>
      </w:pPr>
      <w:r w:rsidRPr="00FD3DD7">
        <w:rPr>
          <w:rFonts w:ascii="Palatino Linotype" w:eastAsia="Palatino Linotype" w:hAnsi="Palatino Linotype" w:cs="Palatino Linotype"/>
          <w:color w:val="000000" w:themeColor="text1"/>
          <w:lang w:val="es-ES_tradnl" w:eastAsia="es-ES"/>
        </w:rPr>
        <w:t>De los artículo citados anteriormente, se colige que los Comités de Transparencia, las  Unidades de Transparencia y los Servidores Públicos Habilitados tiene la función de clasificar la información que obre en sus archivos ya se manera confidencial o reservada</w:t>
      </w:r>
      <w:r w:rsidR="00B161C3" w:rsidRPr="00FD3DD7">
        <w:rPr>
          <w:rFonts w:ascii="Palatino Linotype" w:eastAsia="Palatino Linotype" w:hAnsi="Palatino Linotype" w:cs="Palatino Linotype"/>
          <w:color w:val="000000" w:themeColor="text1"/>
          <w:lang w:val="es-ES_tradnl" w:eastAsia="es-ES"/>
        </w:rPr>
        <w:t xml:space="preserve">, mediante el Acta del Comité de Transparencia en la cual se apruebe la clasificación, por ello al ordenar las facturas </w:t>
      </w:r>
      <w:r w:rsidR="00A26E28" w:rsidRPr="00FD3DD7">
        <w:rPr>
          <w:rFonts w:ascii="Palatino Linotype" w:eastAsia="Palatino Linotype" w:hAnsi="Palatino Linotype" w:cs="Palatino Linotype"/>
          <w:color w:val="000000" w:themeColor="text1"/>
          <w:lang w:val="es-ES_tradnl" w:eastAsia="es-ES"/>
        </w:rPr>
        <w:t>emitidas</w:t>
      </w:r>
      <w:r w:rsidR="00B161C3" w:rsidRPr="00FD3DD7">
        <w:rPr>
          <w:rFonts w:ascii="Palatino Linotype" w:eastAsia="Palatino Linotype" w:hAnsi="Palatino Linotype" w:cs="Palatino Linotype"/>
          <w:color w:val="000000" w:themeColor="text1"/>
          <w:lang w:val="es-ES_tradnl" w:eastAsia="es-ES"/>
        </w:rPr>
        <w:t xml:space="preserve"> en correcta versión pública, de ser el caso que hubiera datos </w:t>
      </w:r>
      <w:r w:rsidR="00B161C3" w:rsidRPr="00FD3DD7">
        <w:rPr>
          <w:rFonts w:ascii="Palatino Linotype" w:eastAsia="Palatino Linotype" w:hAnsi="Palatino Linotype" w:cs="Palatino Linotype"/>
          <w:color w:val="000000" w:themeColor="text1"/>
          <w:lang w:val="es-ES_tradnl" w:eastAsia="es-ES"/>
        </w:rPr>
        <w:lastRenderedPageBreak/>
        <w:t xml:space="preserve">de clasificar como confidenciales el </w:t>
      </w:r>
      <w:r w:rsidR="00B161C3" w:rsidRPr="00FD3DD7">
        <w:rPr>
          <w:rFonts w:ascii="Palatino Linotype" w:eastAsia="Palatino Linotype" w:hAnsi="Palatino Linotype" w:cs="Palatino Linotype"/>
          <w:b/>
          <w:color w:val="000000" w:themeColor="text1"/>
          <w:lang w:val="es-ES_tradnl" w:eastAsia="es-ES"/>
        </w:rPr>
        <w:t xml:space="preserve">SUJETO OBLIGADO </w:t>
      </w:r>
      <w:r w:rsidR="00B161C3" w:rsidRPr="00FD3DD7">
        <w:rPr>
          <w:rFonts w:ascii="Palatino Linotype" w:eastAsia="Palatino Linotype" w:hAnsi="Palatino Linotype" w:cs="Palatino Linotype"/>
          <w:color w:val="000000" w:themeColor="text1"/>
          <w:lang w:val="es-ES_tradnl" w:eastAsia="es-ES"/>
        </w:rPr>
        <w:t>deberá entregar dicha Acta de Comité de Transparencia en la cual funde y motive la razón de los datos a clasificar.</w:t>
      </w:r>
      <w:r w:rsidRPr="00FD3DD7">
        <w:rPr>
          <w:rFonts w:ascii="Palatino Linotype" w:eastAsia="Palatino Linotype" w:hAnsi="Palatino Linotype" w:cs="Palatino Linotype"/>
          <w:color w:val="000000" w:themeColor="text1"/>
          <w:lang w:val="es-ES_tradnl" w:eastAsia="es-ES"/>
        </w:rPr>
        <w:t xml:space="preserve"> </w:t>
      </w:r>
    </w:p>
    <w:p w:rsidR="00B161C3" w:rsidRPr="00FD3DD7" w:rsidRDefault="00B161C3" w:rsidP="00E42EB8">
      <w:pPr>
        <w:pBdr>
          <w:top w:val="nil"/>
          <w:left w:val="nil"/>
          <w:bottom w:val="nil"/>
          <w:right w:val="nil"/>
          <w:between w:val="nil"/>
        </w:pBdr>
        <w:spacing w:line="360" w:lineRule="auto"/>
        <w:ind w:right="-7"/>
        <w:jc w:val="both"/>
        <w:rPr>
          <w:rFonts w:ascii="Palatino Linotype" w:eastAsia="Calibri" w:hAnsi="Palatino Linotype" w:cs="Calibri"/>
          <w:color w:val="000000" w:themeColor="text1"/>
        </w:rPr>
      </w:pPr>
    </w:p>
    <w:p w:rsidR="00916997" w:rsidRPr="00FD3DD7" w:rsidRDefault="002E2C97" w:rsidP="00E42EB8">
      <w:pPr>
        <w:numPr>
          <w:ilvl w:val="0"/>
          <w:numId w:val="6"/>
        </w:numPr>
        <w:spacing w:line="360" w:lineRule="auto"/>
        <w:ind w:left="0" w:right="-7" w:firstLine="0"/>
        <w:jc w:val="both"/>
        <w:rPr>
          <w:rFonts w:ascii="Palatino Linotype" w:eastAsia="Calibri" w:hAnsi="Palatino Linotype" w:cs="Calibri"/>
          <w:color w:val="000000" w:themeColor="text1"/>
        </w:rPr>
      </w:pPr>
      <w:r w:rsidRPr="00FD3DD7">
        <w:rPr>
          <w:rFonts w:ascii="Palatino Linotype" w:eastAsia="Calibri" w:hAnsi="Palatino Linotype" w:cs="Calibri"/>
          <w:color w:val="000000" w:themeColor="text1"/>
        </w:rPr>
        <w:t>Seguidamente</w:t>
      </w:r>
      <w:r w:rsidR="007B661F" w:rsidRPr="00FD3DD7">
        <w:rPr>
          <w:rFonts w:ascii="Palatino Linotype" w:eastAsia="Calibri" w:hAnsi="Palatino Linotype" w:cs="Calibri"/>
          <w:color w:val="000000" w:themeColor="text1"/>
        </w:rPr>
        <w:t>, se debe de indicar que de las facturas entregada</w:t>
      </w:r>
      <w:r w:rsidR="00B161C3" w:rsidRPr="00FD3DD7">
        <w:rPr>
          <w:rFonts w:ascii="Palatino Linotype" w:eastAsia="Calibri" w:hAnsi="Palatino Linotype" w:cs="Calibri"/>
          <w:color w:val="000000" w:themeColor="text1"/>
        </w:rPr>
        <w:t>s</w:t>
      </w:r>
      <w:r w:rsidR="007B661F" w:rsidRPr="00FD3DD7">
        <w:rPr>
          <w:rFonts w:ascii="Palatino Linotype" w:eastAsia="Calibri" w:hAnsi="Palatino Linotype" w:cs="Calibri"/>
          <w:color w:val="000000" w:themeColor="text1"/>
        </w:rPr>
        <w:t xml:space="preserve"> no se </w:t>
      </w:r>
      <w:r w:rsidR="00281302" w:rsidRPr="00FD3DD7">
        <w:rPr>
          <w:rFonts w:ascii="Palatino Linotype" w:eastAsia="Calibri" w:hAnsi="Palatino Linotype" w:cs="Calibri"/>
          <w:color w:val="000000" w:themeColor="text1"/>
        </w:rPr>
        <w:t>muestra</w:t>
      </w:r>
      <w:r w:rsidR="007B661F" w:rsidRPr="00FD3DD7">
        <w:rPr>
          <w:rFonts w:ascii="Palatino Linotype" w:eastAsia="Calibri" w:hAnsi="Palatino Linotype" w:cs="Calibri"/>
          <w:color w:val="000000" w:themeColor="text1"/>
        </w:rPr>
        <w:t xml:space="preserve"> información acerca de la compra de playeras, premio</w:t>
      </w:r>
      <w:r w:rsidR="00B161C3" w:rsidRPr="00FD3DD7">
        <w:rPr>
          <w:rFonts w:ascii="Palatino Linotype" w:eastAsia="Calibri" w:hAnsi="Palatino Linotype" w:cs="Calibri"/>
          <w:color w:val="000000" w:themeColor="text1"/>
        </w:rPr>
        <w:t xml:space="preserve">s </w:t>
      </w:r>
      <w:r w:rsidR="007B661F" w:rsidRPr="00FD3DD7">
        <w:rPr>
          <w:rFonts w:ascii="Palatino Linotype" w:eastAsia="Calibri" w:hAnsi="Palatino Linotype" w:cs="Calibri"/>
          <w:color w:val="000000" w:themeColor="text1"/>
        </w:rPr>
        <w:t xml:space="preserve">o trofeos, situación por la cual se ordenara la información, sin embargo de ser el caso que del periodo solicitado, no se hubieran generado </w:t>
      </w:r>
      <w:r w:rsidR="00B161C3" w:rsidRPr="00FD3DD7">
        <w:rPr>
          <w:rFonts w:ascii="Palatino Linotype" w:eastAsia="Calibri" w:hAnsi="Palatino Linotype" w:cs="Calibri"/>
          <w:color w:val="000000" w:themeColor="text1"/>
        </w:rPr>
        <w:t xml:space="preserve">facturas por dichos conceptos el </w:t>
      </w:r>
      <w:r w:rsidR="00B161C3" w:rsidRPr="00FD3DD7">
        <w:rPr>
          <w:rFonts w:ascii="Palatino Linotype" w:eastAsia="Calibri" w:hAnsi="Palatino Linotype" w:cs="Calibri"/>
          <w:b/>
          <w:color w:val="000000" w:themeColor="text1"/>
        </w:rPr>
        <w:t xml:space="preserve">SUJETO OBLIGADO </w:t>
      </w:r>
      <w:r w:rsidR="00B161C3" w:rsidRPr="00FD3DD7">
        <w:rPr>
          <w:rFonts w:ascii="Palatino Linotype" w:eastAsia="Calibri" w:hAnsi="Palatino Linotype" w:cs="Calibri"/>
          <w:color w:val="000000" w:themeColor="text1"/>
        </w:rPr>
        <w:t xml:space="preserve">deberá hacerlo del conocimiento del </w:t>
      </w:r>
      <w:r w:rsidR="00B161C3" w:rsidRPr="00FD3DD7">
        <w:rPr>
          <w:rFonts w:ascii="Palatino Linotype" w:eastAsia="Calibri" w:hAnsi="Palatino Linotype" w:cs="Calibri"/>
          <w:b/>
          <w:color w:val="000000" w:themeColor="text1"/>
        </w:rPr>
        <w:t xml:space="preserve">RECURRENTE </w:t>
      </w:r>
      <w:r w:rsidR="00B161C3" w:rsidRPr="00FD3DD7">
        <w:rPr>
          <w:rFonts w:ascii="Palatino Linotype" w:eastAsia="Calibri" w:hAnsi="Palatino Linotype" w:cs="Calibri"/>
          <w:color w:val="000000" w:themeColor="text1"/>
        </w:rPr>
        <w:t xml:space="preserve">de conformidad con el artículo 19 párrafo segundo de la Ley de Transparencia  y Acceso a la Información Pública del Estado de México y Municipios. </w:t>
      </w:r>
    </w:p>
    <w:p w:rsidR="002E2C97" w:rsidRPr="00FD3DD7" w:rsidRDefault="002E2C97" w:rsidP="00E42EB8">
      <w:pPr>
        <w:pStyle w:val="Prrafodelista"/>
        <w:ind w:left="0" w:right="-7"/>
        <w:rPr>
          <w:rFonts w:ascii="Palatino Linotype" w:eastAsia="Calibri" w:hAnsi="Palatino Linotype" w:cs="Calibri"/>
          <w:color w:val="000000" w:themeColor="text1"/>
        </w:rPr>
      </w:pPr>
    </w:p>
    <w:p w:rsidR="002E2C97" w:rsidRPr="00FD3DD7" w:rsidRDefault="002E2C97" w:rsidP="00E42EB8">
      <w:pPr>
        <w:numPr>
          <w:ilvl w:val="0"/>
          <w:numId w:val="6"/>
        </w:numPr>
        <w:spacing w:line="360" w:lineRule="auto"/>
        <w:ind w:left="0" w:right="-7" w:firstLine="0"/>
        <w:jc w:val="both"/>
        <w:rPr>
          <w:rFonts w:ascii="Palatino Linotype" w:eastAsia="Calibri" w:hAnsi="Palatino Linotype" w:cs="Calibri"/>
          <w:color w:val="000000" w:themeColor="text1"/>
        </w:rPr>
      </w:pPr>
      <w:r w:rsidRPr="00FD3DD7">
        <w:rPr>
          <w:rFonts w:ascii="Palatino Linotype" w:eastAsia="Calibri" w:hAnsi="Palatino Linotype" w:cs="Calibri"/>
          <w:color w:val="000000" w:themeColor="text1"/>
        </w:rPr>
        <w:t xml:space="preserve">Finalmente, se debe de señalar que el </w:t>
      </w:r>
      <w:r w:rsidRPr="00FD3DD7">
        <w:rPr>
          <w:rFonts w:ascii="Palatino Linotype" w:eastAsia="Calibri" w:hAnsi="Palatino Linotype" w:cs="Calibri"/>
          <w:b/>
          <w:color w:val="000000" w:themeColor="text1"/>
        </w:rPr>
        <w:t xml:space="preserve">RECURRENTE </w:t>
      </w:r>
      <w:r w:rsidRPr="00FD3DD7">
        <w:rPr>
          <w:rFonts w:ascii="Palatino Linotype" w:eastAsia="Calibri" w:hAnsi="Palatino Linotype" w:cs="Calibri"/>
          <w:color w:val="000000" w:themeColor="text1"/>
        </w:rPr>
        <w:t xml:space="preserve">en sus motivos de inconformidad señala que el documento del Tesorero del Instituto del Deporte no viene acompañado de la firma del mismo, situación por la cual de manera orientadora se inserta el siguiente criterio del entonces Instituto Nacional de Transparencia. </w:t>
      </w:r>
    </w:p>
    <w:p w:rsidR="002E2C97" w:rsidRPr="00FD3DD7" w:rsidRDefault="002E2C97" w:rsidP="00E42EB8">
      <w:pPr>
        <w:ind w:right="-7"/>
        <w:jc w:val="both"/>
        <w:rPr>
          <w:rFonts w:ascii="Palatino Linotype" w:eastAsia="Calibri" w:hAnsi="Palatino Linotype" w:cs="Calibri"/>
          <w:b/>
          <w:i/>
          <w:color w:val="000000" w:themeColor="text1"/>
        </w:rPr>
      </w:pPr>
      <w:r w:rsidRPr="00FD3DD7">
        <w:rPr>
          <w:rFonts w:ascii="Palatino Linotype" w:eastAsia="Calibri" w:hAnsi="Palatino Linotype" w:cs="Calibri"/>
          <w:b/>
          <w:i/>
          <w:color w:val="000000" w:themeColor="text1"/>
        </w:rPr>
        <w:t xml:space="preserve">07/19 Documentos sin firma o membrete. </w:t>
      </w:r>
    </w:p>
    <w:p w:rsidR="002E2C97" w:rsidRPr="00FD3DD7" w:rsidRDefault="002E2C97" w:rsidP="00E42EB8">
      <w:pPr>
        <w:ind w:right="-7"/>
        <w:jc w:val="both"/>
        <w:rPr>
          <w:rFonts w:ascii="Palatino Linotype" w:eastAsia="Calibri" w:hAnsi="Palatino Linotype" w:cs="Calibri"/>
          <w:i/>
          <w:color w:val="000000" w:themeColor="text1"/>
        </w:rPr>
      </w:pPr>
      <w:r w:rsidRPr="00FD3DD7">
        <w:rPr>
          <w:rFonts w:ascii="Palatino Linotype" w:eastAsia="Calibri" w:hAnsi="Palatino Linotype" w:cs="Calibri"/>
          <w:i/>
          <w:color w:val="000000" w:themeColor="text1"/>
        </w:rPr>
        <w:t xml:space="preserve">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 </w:t>
      </w:r>
      <w:hyperlink r:id="rId9" w:history="1">
        <w:r w:rsidRPr="00FD3DD7">
          <w:rPr>
            <w:rStyle w:val="Hipervnculo"/>
            <w:rFonts w:ascii="Palatino Linotype" w:eastAsia="Calibri" w:hAnsi="Palatino Linotype" w:cs="Calibri"/>
            <w:i/>
            <w:color w:val="000000" w:themeColor="text1"/>
          </w:rPr>
          <w:t>http://criteriosdeinterpretacion.inai.org.mx/Criterios/07-19.docx</w:t>
        </w:r>
      </w:hyperlink>
    </w:p>
    <w:p w:rsidR="002E2C97" w:rsidRDefault="002E2C97" w:rsidP="00E42EB8">
      <w:pPr>
        <w:ind w:right="-7"/>
        <w:jc w:val="both"/>
        <w:rPr>
          <w:rFonts w:ascii="Palatino Linotype" w:eastAsia="Calibri" w:hAnsi="Palatino Linotype" w:cs="Calibri"/>
          <w:i/>
          <w:color w:val="000000" w:themeColor="text1"/>
        </w:rPr>
      </w:pPr>
    </w:p>
    <w:p w:rsidR="00A26E28" w:rsidRPr="00FD3DD7" w:rsidRDefault="00A26E28" w:rsidP="00E42EB8">
      <w:pPr>
        <w:ind w:right="-7"/>
        <w:jc w:val="both"/>
        <w:rPr>
          <w:rFonts w:ascii="Palatino Linotype" w:eastAsia="Calibri" w:hAnsi="Palatino Linotype" w:cs="Calibri"/>
          <w:i/>
          <w:color w:val="000000" w:themeColor="text1"/>
        </w:rPr>
      </w:pPr>
    </w:p>
    <w:p w:rsidR="00B161C3" w:rsidRPr="00FD3DD7" w:rsidRDefault="002E2C97" w:rsidP="00E42EB8">
      <w:pPr>
        <w:numPr>
          <w:ilvl w:val="0"/>
          <w:numId w:val="6"/>
        </w:numPr>
        <w:spacing w:line="360" w:lineRule="auto"/>
        <w:ind w:left="0" w:right="-7" w:firstLine="0"/>
        <w:jc w:val="both"/>
        <w:rPr>
          <w:rFonts w:ascii="Palatino Linotype" w:eastAsia="Calibri" w:hAnsi="Palatino Linotype" w:cs="Calibri"/>
          <w:color w:val="000000" w:themeColor="text1"/>
        </w:rPr>
      </w:pPr>
      <w:r w:rsidRPr="00FD3DD7">
        <w:rPr>
          <w:rFonts w:ascii="Palatino Linotype" w:eastAsia="Calibri" w:hAnsi="Palatino Linotype" w:cs="Calibri"/>
          <w:color w:val="000000" w:themeColor="text1"/>
        </w:rPr>
        <w:t xml:space="preserve">De lo anterior, se colige que la información entregada en el Sistema de Acceso a la Información es válida aún y cuando a la hoja le hiciera falta la firma de quien suscribe o el membrete del </w:t>
      </w:r>
      <w:r w:rsidRPr="00FD3DD7">
        <w:rPr>
          <w:rFonts w:ascii="Palatino Linotype" w:eastAsia="Calibri" w:hAnsi="Palatino Linotype" w:cs="Calibri"/>
          <w:b/>
          <w:color w:val="000000" w:themeColor="text1"/>
        </w:rPr>
        <w:t xml:space="preserve">SUJETO OBLIGADO, </w:t>
      </w:r>
      <w:r w:rsidRPr="00FD3DD7">
        <w:rPr>
          <w:rFonts w:ascii="Palatino Linotype" w:eastAsia="Calibri" w:hAnsi="Palatino Linotype" w:cs="Calibri"/>
          <w:color w:val="000000" w:themeColor="text1"/>
        </w:rPr>
        <w:t xml:space="preserve">toda vez que al ser un sistema en el que se entrega información, la misma se tiene por cierta. </w:t>
      </w:r>
    </w:p>
    <w:p w:rsidR="006B5EF1" w:rsidRPr="00FD3DD7" w:rsidRDefault="006B5EF1" w:rsidP="00E42EB8">
      <w:pPr>
        <w:keepNext/>
        <w:keepLines/>
        <w:spacing w:after="160" w:line="360" w:lineRule="auto"/>
        <w:ind w:right="-7"/>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b/>
          <w:color w:val="000000" w:themeColor="text1"/>
        </w:rPr>
        <w:lastRenderedPageBreak/>
        <w:t>QUINTO. De la versión pública.</w:t>
      </w:r>
    </w:p>
    <w:p w:rsidR="006B5EF1" w:rsidRPr="00FD3DD7" w:rsidRDefault="006B5EF1" w:rsidP="00E42EB8">
      <w:pPr>
        <w:keepNext/>
        <w:keepLines/>
        <w:numPr>
          <w:ilvl w:val="0"/>
          <w:numId w:val="9"/>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b/>
          <w:color w:val="000000" w:themeColor="text1"/>
        </w:rPr>
        <w:t xml:space="preserve">Nociones generales. </w:t>
      </w: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 xml:space="preserve">Debe destacarse, que debido a la información solicitada por el </w:t>
      </w:r>
      <w:r w:rsidRPr="00FD3DD7">
        <w:rPr>
          <w:rFonts w:ascii="Palatino Linotype" w:eastAsia="Palatino Linotype" w:hAnsi="Palatino Linotype" w:cs="Palatino Linotype"/>
          <w:b/>
          <w:color w:val="000000" w:themeColor="text1"/>
        </w:rPr>
        <w:t xml:space="preserve">RECURRENTE, pueden obrar </w:t>
      </w:r>
      <w:r w:rsidRPr="00FD3DD7">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FD3DD7">
        <w:rPr>
          <w:rFonts w:ascii="Palatino Linotype" w:eastAsia="Palatino Linotype" w:hAnsi="Palatino Linotype" w:cs="Palatino Linotype"/>
          <w:b/>
          <w:color w:val="000000" w:themeColor="text1"/>
        </w:rPr>
        <w:t xml:space="preserve">SUJETO OBLIGADO </w:t>
      </w:r>
      <w:r w:rsidRPr="00FD3DD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6B5EF1" w:rsidRPr="00FD3DD7" w:rsidRDefault="006B5EF1" w:rsidP="00E42EB8">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No pasa desapercibido para este Órgano Garante que los sujetos obligados</w:t>
      </w:r>
      <w:r w:rsidRPr="00FD3DD7">
        <w:rPr>
          <w:rFonts w:ascii="Palatino Linotype" w:eastAsia="Palatino Linotype" w:hAnsi="Palatino Linotype" w:cs="Palatino Linotype"/>
          <w:b/>
          <w:color w:val="000000" w:themeColor="text1"/>
        </w:rPr>
        <w:t xml:space="preserve"> </w:t>
      </w:r>
      <w:r w:rsidRPr="00FD3DD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B5EF1" w:rsidRPr="00FD3DD7" w:rsidRDefault="006B5EF1" w:rsidP="00E42EB8">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E42EB8" w:rsidRPr="00FD3DD7" w:rsidTr="00AE0319">
        <w:tc>
          <w:tcPr>
            <w:tcW w:w="2805" w:type="dxa"/>
          </w:tcPr>
          <w:p w:rsidR="006B5EF1" w:rsidRPr="00FD3DD7" w:rsidRDefault="006B5EF1" w:rsidP="00E42EB8">
            <w:pPr>
              <w:tabs>
                <w:tab w:val="left" w:pos="284"/>
              </w:tabs>
              <w:spacing w:line="360" w:lineRule="auto"/>
              <w:ind w:right="-7"/>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a) Requisitos previos.</w:t>
            </w:r>
          </w:p>
        </w:tc>
        <w:tc>
          <w:tcPr>
            <w:tcW w:w="6810" w:type="dxa"/>
          </w:tcPr>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D3DD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D3DD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E42EB8" w:rsidRPr="00FD3DD7" w:rsidTr="00AE0319">
        <w:tc>
          <w:tcPr>
            <w:tcW w:w="2805" w:type="dxa"/>
          </w:tcPr>
          <w:p w:rsidR="006B5EF1" w:rsidRPr="00FD3DD7" w:rsidRDefault="006B5EF1" w:rsidP="00E42EB8">
            <w:pPr>
              <w:tabs>
                <w:tab w:val="left" w:pos="284"/>
              </w:tabs>
              <w:spacing w:line="360" w:lineRule="auto"/>
              <w:ind w:right="-7"/>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lastRenderedPageBreak/>
              <w:t>b) Supuestos de clasificación.</w:t>
            </w:r>
          </w:p>
        </w:tc>
        <w:tc>
          <w:tcPr>
            <w:tcW w:w="6810" w:type="dxa"/>
          </w:tcPr>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w:t>
            </w:r>
            <w:r w:rsidRPr="00FD3DD7">
              <w:rPr>
                <w:rFonts w:ascii="Palatino Linotype" w:eastAsia="Palatino Linotype" w:hAnsi="Palatino Linotype" w:cs="Palatino Linotype"/>
                <w:color w:val="000000" w:themeColor="text1"/>
              </w:rPr>
              <w:lastRenderedPageBreak/>
              <w:t>debe acreditarse que se cumple con esta condición y no se pueden ampliar las excepciones o supuestos de clasificación aduciendo analogía o mayoría de razón.</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El </w:t>
            </w:r>
            <w:r w:rsidRPr="00FD3DD7">
              <w:rPr>
                <w:rFonts w:ascii="Palatino Linotype" w:eastAsia="Palatino Linotype" w:hAnsi="Palatino Linotype" w:cs="Palatino Linotype"/>
                <w:b/>
                <w:color w:val="000000" w:themeColor="text1"/>
              </w:rPr>
              <w:t>Sujeto Obligado</w:t>
            </w:r>
            <w:r w:rsidRPr="00FD3DD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42EB8" w:rsidRPr="00FD3DD7" w:rsidTr="00AE0319">
        <w:tc>
          <w:tcPr>
            <w:tcW w:w="2805" w:type="dxa"/>
          </w:tcPr>
          <w:p w:rsidR="006B5EF1" w:rsidRPr="00FD3DD7" w:rsidRDefault="006B5EF1" w:rsidP="00E42EB8">
            <w:pPr>
              <w:tabs>
                <w:tab w:val="left" w:pos="284"/>
              </w:tabs>
              <w:spacing w:line="360" w:lineRule="auto"/>
              <w:ind w:right="-7"/>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Es necesario que </w:t>
            </w:r>
            <w:r w:rsidRPr="00FD3DD7">
              <w:rPr>
                <w:rFonts w:ascii="Palatino Linotype" w:eastAsia="Palatino Linotype" w:hAnsi="Palatino Linotype" w:cs="Palatino Linotype"/>
                <w:b/>
                <w:color w:val="000000" w:themeColor="text1"/>
                <w:u w:val="single"/>
              </w:rPr>
              <w:t>el acto reúna con los requisitos elementales</w:t>
            </w:r>
            <w:r w:rsidRPr="00FD3DD7">
              <w:rPr>
                <w:rFonts w:ascii="Palatino Linotype" w:eastAsia="Palatino Linotype" w:hAnsi="Palatino Linotype" w:cs="Palatino Linotype"/>
                <w:color w:val="000000" w:themeColor="text1"/>
              </w:rPr>
              <w:t>, entre ellos, que la autoridad que va a emitir el acto de autoridad sea la legalmente facultada para ello.</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FD3DD7">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E42EB8" w:rsidRPr="00FD3DD7" w:rsidTr="00AE0319">
        <w:tc>
          <w:tcPr>
            <w:tcW w:w="2805" w:type="dxa"/>
          </w:tcPr>
          <w:p w:rsidR="006B5EF1" w:rsidRPr="00FD3DD7" w:rsidRDefault="006B5EF1" w:rsidP="00E42EB8">
            <w:pPr>
              <w:tabs>
                <w:tab w:val="left" w:pos="284"/>
              </w:tabs>
              <w:spacing w:line="360" w:lineRule="auto"/>
              <w:ind w:right="-7"/>
              <w:rPr>
                <w:rFonts w:ascii="Palatino Linotype" w:eastAsia="Palatino Linotype" w:hAnsi="Palatino Linotype" w:cs="Palatino Linotype"/>
                <w:color w:val="000000" w:themeColor="text1"/>
              </w:rPr>
            </w:pP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D3DD7">
              <w:rPr>
                <w:rFonts w:ascii="Palatino Linotype" w:eastAsia="Palatino Linotype" w:hAnsi="Palatino Linotype" w:cs="Palatino Linotype"/>
                <w:b/>
                <w:color w:val="000000" w:themeColor="text1"/>
              </w:rPr>
              <w:t>Sujetos Obligados</w:t>
            </w:r>
            <w:r w:rsidRPr="00FD3DD7">
              <w:rPr>
                <w:rFonts w:ascii="Palatino Linotype" w:eastAsia="Palatino Linotype" w:hAnsi="Palatino Linotype" w:cs="Palatino Linotype"/>
                <w:color w:val="000000" w:themeColor="text1"/>
              </w:rPr>
              <w:t xml:space="preserve">, por lo que deberán fundar y motivar debidamente la clasificación. </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De lo anterior, se desprende que para una correcta </w:t>
            </w:r>
            <w:r w:rsidRPr="00FD3DD7">
              <w:rPr>
                <w:rFonts w:ascii="Palatino Linotype" w:eastAsia="Palatino Linotype" w:hAnsi="Palatino Linotype" w:cs="Palatino Linotype"/>
                <w:b/>
                <w:color w:val="000000" w:themeColor="text1"/>
              </w:rPr>
              <w:t>clasificación total o parcial</w:t>
            </w:r>
            <w:r w:rsidRPr="00FD3DD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FD3DD7">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Ahora bien, </w:t>
            </w:r>
            <w:r w:rsidRPr="00FD3DD7">
              <w:rPr>
                <w:rFonts w:ascii="Palatino Linotype" w:eastAsia="Palatino Linotype" w:hAnsi="Palatino Linotype" w:cs="Palatino Linotype"/>
                <w:b/>
                <w:color w:val="000000" w:themeColor="text1"/>
                <w:u w:val="single"/>
              </w:rPr>
              <w:t>para cada caso además de fundar y motivar</w:t>
            </w:r>
            <w:r w:rsidRPr="00FD3DD7">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B5EF1" w:rsidRPr="00FD3DD7" w:rsidTr="00AE0319">
        <w:tc>
          <w:tcPr>
            <w:tcW w:w="2805" w:type="dxa"/>
          </w:tcPr>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FD3DD7">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6B5EF1" w:rsidRPr="00FD3DD7" w:rsidRDefault="006B5EF1" w:rsidP="00E42EB8">
            <w:pPr>
              <w:tabs>
                <w:tab w:val="left" w:pos="284"/>
              </w:tabs>
              <w:spacing w:line="360" w:lineRule="auto"/>
              <w:ind w:right="-7"/>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B5EF1" w:rsidRPr="00FD3DD7" w:rsidRDefault="006B5EF1" w:rsidP="00E42EB8">
      <w:pPr>
        <w:tabs>
          <w:tab w:val="left" w:pos="284"/>
        </w:tabs>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A26E28" w:rsidRDefault="006B5EF1" w:rsidP="00E42EB8">
      <w:pPr>
        <w:numPr>
          <w:ilvl w:val="0"/>
          <w:numId w:val="6"/>
        </w:numPr>
        <w:spacing w:line="360" w:lineRule="auto"/>
        <w:ind w:left="0" w:right="-7" w:firstLine="0"/>
        <w:jc w:val="both"/>
        <w:rPr>
          <w:rFonts w:ascii="Palatino Linotype" w:hAnsi="Palatino Linotype"/>
          <w:color w:val="000000" w:themeColor="text1"/>
        </w:rPr>
      </w:pPr>
      <w:r w:rsidRPr="00FD3DD7">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FD3DD7">
        <w:rPr>
          <w:rFonts w:ascii="Palatino Linotype" w:eastAsia="Palatino Linotype" w:hAnsi="Palatino Linotype" w:cs="Palatino Linotype"/>
          <w:b/>
          <w:color w:val="000000" w:themeColor="text1"/>
        </w:rPr>
        <w:t xml:space="preserve"> RECURRENTE</w:t>
      </w:r>
      <w:r w:rsidRPr="00FD3DD7">
        <w:rPr>
          <w:rFonts w:ascii="Palatino Linotype" w:eastAsia="Palatino Linotype" w:hAnsi="Palatino Linotype" w:cs="Palatino Linotype"/>
          <w:color w:val="000000" w:themeColor="text1"/>
        </w:rPr>
        <w:t xml:space="preserve">, determinando </w:t>
      </w:r>
      <w:r w:rsidR="00B161C3" w:rsidRPr="00FD3DD7">
        <w:rPr>
          <w:rFonts w:ascii="Palatino Linotype" w:eastAsia="Palatino Linotype" w:hAnsi="Palatino Linotype" w:cs="Palatino Linotype"/>
          <w:b/>
          <w:smallCaps/>
          <w:color w:val="000000" w:themeColor="text1"/>
        </w:rPr>
        <w:t xml:space="preserve">MODIFICAR </w:t>
      </w:r>
      <w:r w:rsidRPr="00FD3DD7">
        <w:rPr>
          <w:rFonts w:ascii="Palatino Linotype" w:eastAsia="Palatino Linotype" w:hAnsi="Palatino Linotype" w:cs="Palatino Linotype"/>
          <w:color w:val="000000" w:themeColor="text1"/>
        </w:rPr>
        <w:t xml:space="preserve">la respuesta del </w:t>
      </w:r>
      <w:r w:rsidRPr="00FD3DD7">
        <w:rPr>
          <w:rFonts w:ascii="Palatino Linotype" w:eastAsia="Palatino Linotype" w:hAnsi="Palatino Linotype" w:cs="Palatino Linotype"/>
          <w:b/>
          <w:color w:val="000000" w:themeColor="text1"/>
        </w:rPr>
        <w:t>SUJETO OBLIGADO</w:t>
      </w:r>
      <w:r w:rsidRPr="00FD3DD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D3DD7">
        <w:rPr>
          <w:rFonts w:ascii="Palatino Linotype" w:eastAsia="Palatino Linotype" w:hAnsi="Palatino Linotype" w:cs="Palatino Linotype"/>
          <w:b/>
          <w:color w:val="000000" w:themeColor="text1"/>
        </w:rPr>
        <w:t>ÓRGANO GARANTE</w:t>
      </w:r>
      <w:r w:rsidRPr="00FD3DD7">
        <w:rPr>
          <w:rFonts w:ascii="Palatino Linotype" w:eastAsia="Palatino Linotype" w:hAnsi="Palatino Linotype" w:cs="Palatino Linotype"/>
          <w:color w:val="000000" w:themeColor="text1"/>
        </w:rPr>
        <w:t xml:space="preserve"> emite los siguientes.</w:t>
      </w:r>
      <w:r w:rsidR="00A26E28">
        <w:rPr>
          <w:rFonts w:ascii="Palatino Linotype" w:eastAsia="Palatino Linotype" w:hAnsi="Palatino Linotype" w:cs="Palatino Linotype"/>
          <w:color w:val="000000" w:themeColor="text1"/>
        </w:rPr>
        <w:t xml:space="preserve"> ------------</w:t>
      </w:r>
    </w:p>
    <w:p w:rsidR="00A26E28" w:rsidRDefault="00A26E28" w:rsidP="00A26E28">
      <w:pPr>
        <w:pStyle w:val="Prrafodelista"/>
        <w:rPr>
          <w:rFonts w:ascii="Palatino Linotype" w:hAnsi="Palatino Linotype"/>
          <w:color w:val="000000" w:themeColor="text1"/>
        </w:rPr>
      </w:pPr>
    </w:p>
    <w:p w:rsidR="00A26E28" w:rsidRPr="00FD3DD7" w:rsidRDefault="00A26E28" w:rsidP="00A26E28">
      <w:pPr>
        <w:spacing w:line="360" w:lineRule="auto"/>
        <w:ind w:right="-7"/>
        <w:jc w:val="both"/>
        <w:rPr>
          <w:rFonts w:ascii="Palatino Linotype" w:hAnsi="Palatino Linotype"/>
          <w:color w:val="000000" w:themeColor="text1"/>
        </w:rPr>
      </w:pPr>
    </w:p>
    <w:p w:rsidR="006B5EF1" w:rsidRPr="00FD3DD7" w:rsidRDefault="006B5EF1" w:rsidP="00E42EB8">
      <w:pPr>
        <w:pBdr>
          <w:top w:val="nil"/>
          <w:left w:val="nil"/>
          <w:bottom w:val="nil"/>
          <w:right w:val="nil"/>
          <w:between w:val="nil"/>
        </w:pBdr>
        <w:ind w:right="-7"/>
        <w:rPr>
          <w:rFonts w:ascii="Palatino Linotype" w:eastAsia="Palatino Linotype" w:hAnsi="Palatino Linotype" w:cs="Palatino Linotype"/>
          <w:color w:val="000000" w:themeColor="text1"/>
        </w:rPr>
      </w:pPr>
    </w:p>
    <w:p w:rsidR="006B5EF1" w:rsidRPr="00FD3DD7" w:rsidRDefault="006B5EF1" w:rsidP="00E42EB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FD3DD7">
        <w:rPr>
          <w:rFonts w:ascii="Palatino Linotype" w:eastAsia="Palatino Linotype" w:hAnsi="Palatino Linotype" w:cs="Palatino Linotype"/>
          <w:b/>
          <w:color w:val="000000" w:themeColor="text1"/>
          <w:sz w:val="24"/>
          <w:szCs w:val="24"/>
        </w:rPr>
        <w:lastRenderedPageBreak/>
        <w:t>R E S O L U T I V O S</w:t>
      </w:r>
    </w:p>
    <w:p w:rsidR="006B5EF1" w:rsidRPr="00FD3DD7" w:rsidRDefault="006B5EF1" w:rsidP="00E42EB8">
      <w:pPr>
        <w:spacing w:line="360" w:lineRule="auto"/>
        <w:ind w:right="-7"/>
        <w:rPr>
          <w:rFonts w:ascii="Palatino Linotype" w:eastAsia="Palatino Linotype" w:hAnsi="Palatino Linotype" w:cs="Palatino Linotype"/>
          <w:color w:val="000000" w:themeColor="text1"/>
        </w:rPr>
      </w:pP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b/>
          <w:color w:val="000000" w:themeColor="text1"/>
        </w:rPr>
        <w:t>PRIMERO</w:t>
      </w:r>
      <w:r w:rsidRPr="00FD3DD7">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00B161C3" w:rsidRPr="00FD3DD7">
        <w:rPr>
          <w:rFonts w:ascii="Palatino Linotype" w:eastAsia="Palatino Linotype" w:hAnsi="Palatino Linotype" w:cs="Palatino Linotype"/>
          <w:b/>
          <w:color w:val="000000" w:themeColor="text1"/>
        </w:rPr>
        <w:t>07223/INFOEM/IP/RR/2025</w:t>
      </w:r>
      <w:r w:rsidRPr="00FD3DD7">
        <w:rPr>
          <w:rFonts w:ascii="Palatino Linotype" w:eastAsia="Palatino Linotype" w:hAnsi="Palatino Linotype" w:cs="Palatino Linotype"/>
          <w:b/>
          <w:color w:val="000000" w:themeColor="text1"/>
        </w:rPr>
        <w:t xml:space="preserve">, </w:t>
      </w:r>
      <w:r w:rsidRPr="00FD3DD7">
        <w:rPr>
          <w:rFonts w:ascii="Palatino Linotype" w:eastAsia="Palatino Linotype" w:hAnsi="Palatino Linotype" w:cs="Palatino Linotype"/>
          <w:color w:val="000000" w:themeColor="text1"/>
        </w:rPr>
        <w:t xml:space="preserve">en términos del Considerando </w:t>
      </w:r>
      <w:r w:rsidRPr="00FD3DD7">
        <w:rPr>
          <w:rFonts w:ascii="Palatino Linotype" w:eastAsia="Palatino Linotype" w:hAnsi="Palatino Linotype" w:cs="Palatino Linotype"/>
          <w:b/>
          <w:color w:val="000000" w:themeColor="text1"/>
        </w:rPr>
        <w:t xml:space="preserve">Cuarto y Quinto </w:t>
      </w:r>
      <w:r w:rsidRPr="00FD3DD7">
        <w:rPr>
          <w:rFonts w:ascii="Palatino Linotype" w:eastAsia="Palatino Linotype" w:hAnsi="Palatino Linotype" w:cs="Palatino Linotype"/>
          <w:color w:val="000000" w:themeColor="text1"/>
        </w:rPr>
        <w:t xml:space="preserve">de la presente resolución. </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bookmarkStart w:id="51" w:name="_heading=h.1ksv4uv" w:colFirst="0" w:colLast="0"/>
      <w:bookmarkEnd w:id="51"/>
      <w:r w:rsidRPr="00FD3DD7">
        <w:rPr>
          <w:rFonts w:ascii="Palatino Linotype" w:eastAsia="Palatino Linotype" w:hAnsi="Palatino Linotype" w:cs="Palatino Linotype"/>
          <w:b/>
          <w:color w:val="000000" w:themeColor="text1"/>
        </w:rPr>
        <w:t xml:space="preserve">SEGUNDO. </w:t>
      </w:r>
      <w:r w:rsidRPr="00FD3DD7">
        <w:rPr>
          <w:rFonts w:ascii="Palatino Linotype" w:eastAsia="Palatino Linotype" w:hAnsi="Palatino Linotype" w:cs="Palatino Linotype"/>
          <w:color w:val="000000" w:themeColor="text1"/>
        </w:rPr>
        <w:t xml:space="preserve">Se </w:t>
      </w:r>
      <w:r w:rsidR="00B161C3" w:rsidRPr="00FD3DD7">
        <w:rPr>
          <w:rFonts w:ascii="Palatino Linotype" w:eastAsia="Palatino Linotype" w:hAnsi="Palatino Linotype" w:cs="Palatino Linotype"/>
          <w:b/>
          <w:color w:val="000000" w:themeColor="text1"/>
        </w:rPr>
        <w:t>MODIFICA</w:t>
      </w:r>
      <w:r w:rsidRPr="00FD3DD7">
        <w:rPr>
          <w:rFonts w:ascii="Palatino Linotype" w:eastAsia="Palatino Linotype" w:hAnsi="Palatino Linotype" w:cs="Palatino Linotype"/>
          <w:b/>
          <w:color w:val="000000" w:themeColor="text1"/>
        </w:rPr>
        <w:t xml:space="preserve"> </w:t>
      </w:r>
      <w:r w:rsidRPr="00FD3DD7">
        <w:rPr>
          <w:rFonts w:ascii="Palatino Linotype" w:eastAsia="Palatino Linotype" w:hAnsi="Palatino Linotype" w:cs="Palatino Linotype"/>
          <w:color w:val="000000" w:themeColor="text1"/>
        </w:rPr>
        <w:t xml:space="preserve">la respuesta emitida por el </w:t>
      </w:r>
      <w:r w:rsidR="00B161C3" w:rsidRPr="00FD3DD7">
        <w:rPr>
          <w:rFonts w:ascii="Palatino Linotype" w:eastAsia="Palatino Linotype" w:hAnsi="Palatino Linotype" w:cs="Palatino Linotype"/>
          <w:b/>
          <w:color w:val="000000" w:themeColor="text1"/>
        </w:rPr>
        <w:t xml:space="preserve">Instituto Municipal de Cultura Física y Deporte de Cocotitlán </w:t>
      </w:r>
      <w:r w:rsidRPr="00FD3DD7">
        <w:rPr>
          <w:rFonts w:ascii="Palatino Linotype" w:eastAsia="Palatino Linotype" w:hAnsi="Palatino Linotype" w:cs="Palatino Linotype"/>
          <w:color w:val="000000" w:themeColor="text1"/>
        </w:rPr>
        <w:t xml:space="preserve">y se </w:t>
      </w:r>
      <w:r w:rsidRPr="00FD3DD7">
        <w:rPr>
          <w:rFonts w:ascii="Palatino Linotype" w:eastAsia="Palatino Linotype" w:hAnsi="Palatino Linotype" w:cs="Palatino Linotype"/>
          <w:b/>
          <w:color w:val="000000" w:themeColor="text1"/>
        </w:rPr>
        <w:t>ORDENA</w:t>
      </w:r>
      <w:r w:rsidRPr="00FD3DD7">
        <w:rPr>
          <w:rFonts w:ascii="Palatino Linotype" w:eastAsia="Palatino Linotype" w:hAnsi="Palatino Linotype" w:cs="Palatino Linotype"/>
          <w:color w:val="000000" w:themeColor="text1"/>
        </w:rPr>
        <w:t xml:space="preserve"> entregar vía Sistema de Acceso a la Información, en versión pública:</w:t>
      </w:r>
    </w:p>
    <w:p w:rsidR="00E42EB8" w:rsidRPr="00FD3DD7" w:rsidRDefault="00E42EB8"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B161C3" w:rsidP="00E42EB8">
      <w:pPr>
        <w:pStyle w:val="Prrafodelista"/>
        <w:numPr>
          <w:ilvl w:val="0"/>
          <w:numId w:val="17"/>
        </w:numPr>
        <w:ind w:left="0" w:right="-7" w:firstLine="0"/>
        <w:jc w:val="both"/>
        <w:rPr>
          <w:rFonts w:ascii="Palatino Linotype" w:eastAsia="Palatino Linotype" w:hAnsi="Palatino Linotype" w:cs="Palatino Linotype"/>
          <w:b/>
          <w:i/>
          <w:color w:val="000000" w:themeColor="text1"/>
        </w:rPr>
      </w:pPr>
      <w:bookmarkStart w:id="52" w:name="_heading=h.lnxbz9" w:colFirst="0" w:colLast="0"/>
      <w:bookmarkEnd w:id="52"/>
      <w:r w:rsidRPr="00FD3DD7">
        <w:rPr>
          <w:rFonts w:ascii="Palatino Linotype" w:eastAsia="Palatino Linotype" w:hAnsi="Palatino Linotype" w:cs="Palatino Linotype"/>
          <w:b/>
          <w:i/>
          <w:color w:val="000000" w:themeColor="text1"/>
        </w:rPr>
        <w:t xml:space="preserve">En correcta versión pública, las facturas emitidas en la etapa de manifestaciones de la solicitud de información </w:t>
      </w:r>
      <w:r w:rsidRPr="00FD3DD7">
        <w:rPr>
          <w:rFonts w:ascii="Palatino Linotype" w:eastAsia="Palatino Linotype" w:hAnsi="Palatino Linotype" w:cs="Palatino Linotype"/>
          <w:b/>
          <w:bCs/>
          <w:i/>
          <w:color w:val="000000" w:themeColor="text1"/>
        </w:rPr>
        <w:t>00041/IMCUFIDECOCOTI/IP/2025</w:t>
      </w:r>
    </w:p>
    <w:p w:rsidR="00B161C3" w:rsidRPr="00FD3DD7" w:rsidRDefault="00B161C3" w:rsidP="00E42EB8">
      <w:pPr>
        <w:pStyle w:val="Prrafodelista"/>
        <w:ind w:left="0" w:right="-7"/>
        <w:jc w:val="both"/>
        <w:rPr>
          <w:rFonts w:ascii="Palatino Linotype" w:eastAsia="Palatino Linotype" w:hAnsi="Palatino Linotype" w:cs="Palatino Linotype"/>
          <w:b/>
          <w:i/>
          <w:color w:val="000000" w:themeColor="text1"/>
        </w:rPr>
      </w:pPr>
    </w:p>
    <w:p w:rsidR="00B161C3" w:rsidRPr="00FD3DD7" w:rsidRDefault="00B161C3" w:rsidP="00E42EB8">
      <w:pPr>
        <w:pStyle w:val="Prrafodelista"/>
        <w:numPr>
          <w:ilvl w:val="0"/>
          <w:numId w:val="17"/>
        </w:numPr>
        <w:ind w:left="0" w:right="-7" w:firstLine="0"/>
        <w:jc w:val="both"/>
        <w:rPr>
          <w:rFonts w:ascii="Palatino Linotype" w:eastAsia="Palatino Linotype" w:hAnsi="Palatino Linotype" w:cs="Palatino Linotype"/>
          <w:b/>
          <w:i/>
          <w:color w:val="000000" w:themeColor="text1"/>
        </w:rPr>
      </w:pPr>
      <w:r w:rsidRPr="00FD3DD7">
        <w:rPr>
          <w:rFonts w:ascii="Palatino Linotype" w:eastAsia="Palatino Linotype" w:hAnsi="Palatino Linotype" w:cs="Palatino Linotype"/>
          <w:b/>
          <w:bCs/>
          <w:i/>
          <w:color w:val="000000" w:themeColor="text1"/>
        </w:rPr>
        <w:t xml:space="preserve">Facturas generadas por el concepto de playeras, trofeos o premios para los eventos organizados por el Instituto Municipal de Cultura Física y Deporte de Cocotitlán, al veintisiete de mayo de dos mil veinticinco. </w:t>
      </w:r>
    </w:p>
    <w:p w:rsidR="006B5EF1" w:rsidRPr="00FD3DD7" w:rsidRDefault="006B5EF1" w:rsidP="00E42EB8">
      <w:pPr>
        <w:ind w:right="-7"/>
        <w:jc w:val="both"/>
        <w:rPr>
          <w:rFonts w:ascii="Palatino Linotype" w:eastAsia="Palatino Linotype" w:hAnsi="Palatino Linotype" w:cs="Palatino Linotype"/>
          <w:b/>
          <w:color w:val="000000" w:themeColor="text1"/>
        </w:rPr>
      </w:pPr>
    </w:p>
    <w:p w:rsidR="006B5EF1" w:rsidRPr="00FD3DD7" w:rsidRDefault="006B5EF1" w:rsidP="00E42EB8">
      <w:pPr>
        <w:tabs>
          <w:tab w:val="left" w:pos="8080"/>
        </w:tabs>
        <w:spacing w:line="360" w:lineRule="auto"/>
        <w:ind w:right="-7"/>
        <w:jc w:val="both"/>
        <w:rPr>
          <w:rFonts w:ascii="Palatino Linotype" w:eastAsia="Palatino Linotype" w:hAnsi="Palatino Linotype" w:cs="Palatino Linotype"/>
          <w:b/>
          <w:color w:val="000000" w:themeColor="text1"/>
        </w:rPr>
      </w:pPr>
      <w:r w:rsidRPr="00FD3DD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D3DD7">
        <w:rPr>
          <w:rFonts w:ascii="Palatino Linotype" w:eastAsia="Palatino Linotype" w:hAnsi="Palatino Linotype" w:cs="Palatino Linotype"/>
          <w:b/>
          <w:color w:val="000000" w:themeColor="text1"/>
        </w:rPr>
        <w:t>RECURRENTE.</w:t>
      </w:r>
    </w:p>
    <w:p w:rsidR="006B5EF1" w:rsidRPr="00FD3DD7" w:rsidRDefault="006B5EF1" w:rsidP="00E42EB8">
      <w:pPr>
        <w:tabs>
          <w:tab w:val="left" w:pos="8080"/>
        </w:tabs>
        <w:spacing w:line="360" w:lineRule="auto"/>
        <w:ind w:right="-7"/>
        <w:jc w:val="both"/>
        <w:rPr>
          <w:rFonts w:ascii="Palatino Linotype" w:eastAsia="Palatino Linotype" w:hAnsi="Palatino Linotype" w:cs="Palatino Linotype"/>
          <w:b/>
          <w:color w:val="000000" w:themeColor="text1"/>
        </w:rPr>
      </w:pPr>
    </w:p>
    <w:p w:rsidR="006B5EF1" w:rsidRPr="00FD3DD7" w:rsidRDefault="006B5EF1" w:rsidP="00E42EB8">
      <w:pPr>
        <w:tabs>
          <w:tab w:val="left" w:pos="8080"/>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color w:val="000000" w:themeColor="text1"/>
        </w:rPr>
        <w:t xml:space="preserve">De ser el caso que </w:t>
      </w:r>
      <w:r w:rsidR="00B161C3" w:rsidRPr="00FD3DD7">
        <w:rPr>
          <w:rFonts w:ascii="Palatino Linotype" w:eastAsia="Palatino Linotype" w:hAnsi="Palatino Linotype" w:cs="Palatino Linotype"/>
          <w:color w:val="000000" w:themeColor="text1"/>
        </w:rPr>
        <w:t xml:space="preserve">no se hubieran generado facturas por la compra de playeras, premios o trofeos, bastará con que el </w:t>
      </w:r>
      <w:r w:rsidR="00B161C3" w:rsidRPr="00FD3DD7">
        <w:rPr>
          <w:rFonts w:ascii="Palatino Linotype" w:eastAsia="Palatino Linotype" w:hAnsi="Palatino Linotype" w:cs="Palatino Linotype"/>
          <w:b/>
          <w:color w:val="000000" w:themeColor="text1"/>
        </w:rPr>
        <w:t xml:space="preserve">SUJETO OBLIGADO </w:t>
      </w:r>
      <w:r w:rsidR="00B161C3" w:rsidRPr="00FD3DD7">
        <w:rPr>
          <w:rFonts w:ascii="Palatino Linotype" w:eastAsia="Palatino Linotype" w:hAnsi="Palatino Linotype" w:cs="Palatino Linotype"/>
          <w:color w:val="000000" w:themeColor="text1"/>
        </w:rPr>
        <w:t xml:space="preserve">lo haga del conocimiento del </w:t>
      </w:r>
      <w:r w:rsidR="00B161C3" w:rsidRPr="00FD3DD7">
        <w:rPr>
          <w:rFonts w:ascii="Palatino Linotype" w:eastAsia="Palatino Linotype" w:hAnsi="Palatino Linotype" w:cs="Palatino Linotype"/>
          <w:b/>
          <w:color w:val="000000" w:themeColor="text1"/>
        </w:rPr>
        <w:lastRenderedPageBreak/>
        <w:t xml:space="preserve">RECURRENTE </w:t>
      </w:r>
      <w:r w:rsidR="00B161C3" w:rsidRPr="00FD3DD7">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6B5EF1" w:rsidRPr="00FD3DD7" w:rsidRDefault="006B5EF1" w:rsidP="00E42EB8">
      <w:pPr>
        <w:tabs>
          <w:tab w:val="left" w:pos="8080"/>
        </w:tabs>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tabs>
          <w:tab w:val="left" w:pos="8080"/>
        </w:tabs>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b/>
          <w:color w:val="000000" w:themeColor="text1"/>
        </w:rPr>
        <w:t xml:space="preserve">TERCERO. </w:t>
      </w:r>
      <w:r w:rsidRPr="00FD3DD7">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D3DD7">
        <w:rPr>
          <w:rFonts w:ascii="Palatino Linotype" w:eastAsia="Palatino Linotype" w:hAnsi="Palatino Linotype" w:cs="Palatino Linotype"/>
          <w:b/>
          <w:color w:val="000000" w:themeColor="text1"/>
        </w:rPr>
        <w:t xml:space="preserve">dé cumplimiento a lo ordenado dentro del plazo de diez días hábiles, </w:t>
      </w:r>
      <w:r w:rsidRPr="00FD3DD7">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B5EF1" w:rsidRPr="00FD3DD7" w:rsidRDefault="006B5EF1" w:rsidP="00E42EB8">
      <w:pPr>
        <w:tabs>
          <w:tab w:val="left" w:pos="8080"/>
        </w:tabs>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b/>
          <w:color w:val="000000" w:themeColor="text1"/>
        </w:rPr>
        <w:t xml:space="preserve">CUARTO. </w:t>
      </w:r>
      <w:r w:rsidRPr="00FD3DD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D3DD7">
        <w:rPr>
          <w:rFonts w:ascii="Palatino Linotype" w:eastAsia="Palatino Linotype" w:hAnsi="Palatino Linotype" w:cs="Palatino Linotype"/>
          <w:b/>
          <w:color w:val="000000" w:themeColor="text1"/>
        </w:rPr>
        <w:t>SUJETO OBLIGADO</w:t>
      </w:r>
      <w:r w:rsidRPr="00FD3DD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6B5EF1" w:rsidRPr="00FD3DD7"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shd w:val="clear" w:color="auto" w:fill="FFFFFF"/>
        <w:spacing w:line="360" w:lineRule="auto"/>
        <w:ind w:right="-7"/>
        <w:jc w:val="both"/>
        <w:rPr>
          <w:rFonts w:ascii="Palatino Linotype" w:eastAsia="Palatino Linotype" w:hAnsi="Palatino Linotype" w:cs="Palatino Linotype"/>
          <w:color w:val="000000" w:themeColor="text1"/>
        </w:rPr>
      </w:pPr>
      <w:bookmarkStart w:id="53" w:name="_heading=h.2jxsxqh" w:colFirst="0" w:colLast="0"/>
      <w:bookmarkEnd w:id="53"/>
      <w:r w:rsidRPr="00FD3DD7">
        <w:rPr>
          <w:rFonts w:ascii="Palatino Linotype" w:eastAsia="Palatino Linotype" w:hAnsi="Palatino Linotype" w:cs="Palatino Linotype"/>
          <w:b/>
          <w:color w:val="000000" w:themeColor="text1"/>
        </w:rPr>
        <w:t xml:space="preserve">QUINTO. </w:t>
      </w:r>
      <w:r w:rsidRPr="00FD3DD7">
        <w:rPr>
          <w:rFonts w:ascii="Palatino Linotype" w:eastAsia="Palatino Linotype" w:hAnsi="Palatino Linotype" w:cs="Palatino Linotype"/>
          <w:color w:val="000000" w:themeColor="text1"/>
        </w:rPr>
        <w:t xml:space="preserve">Notifíquese a </w:t>
      </w:r>
      <w:r w:rsidRPr="00FD3DD7">
        <w:rPr>
          <w:rFonts w:ascii="Palatino Linotype" w:eastAsia="Palatino Linotype" w:hAnsi="Palatino Linotype" w:cs="Palatino Linotype"/>
          <w:b/>
          <w:color w:val="000000" w:themeColor="text1"/>
        </w:rPr>
        <w:t>EL RECURRENTE</w:t>
      </w:r>
      <w:r w:rsidRPr="00FD3DD7">
        <w:rPr>
          <w:rFonts w:ascii="Palatino Linotype" w:eastAsia="Palatino Linotype" w:hAnsi="Palatino Linotype" w:cs="Palatino Linotype"/>
          <w:color w:val="000000" w:themeColor="text1"/>
        </w:rPr>
        <w:t xml:space="preserve"> la presente resolución, vía SAIMEX.</w:t>
      </w:r>
    </w:p>
    <w:p w:rsidR="006B5EF1" w:rsidRPr="00FD3DD7" w:rsidRDefault="006B5EF1" w:rsidP="00E42EB8">
      <w:pPr>
        <w:shd w:val="clear" w:color="auto" w:fill="FFFFFF"/>
        <w:spacing w:line="360" w:lineRule="auto"/>
        <w:ind w:right="-7"/>
        <w:jc w:val="both"/>
        <w:rPr>
          <w:rFonts w:ascii="Palatino Linotype" w:eastAsia="Palatino Linotype" w:hAnsi="Palatino Linotype" w:cs="Palatino Linotype"/>
          <w:color w:val="000000" w:themeColor="text1"/>
        </w:rPr>
      </w:pPr>
    </w:p>
    <w:p w:rsidR="006B5EF1" w:rsidRPr="00FD3DD7" w:rsidRDefault="006B5EF1" w:rsidP="00E42EB8">
      <w:pPr>
        <w:shd w:val="clear" w:color="auto" w:fill="FFFFFF"/>
        <w:spacing w:line="360" w:lineRule="auto"/>
        <w:ind w:right="-7"/>
        <w:jc w:val="both"/>
        <w:rPr>
          <w:rFonts w:ascii="Palatino Linotype" w:eastAsia="Palatino Linotype" w:hAnsi="Palatino Linotype" w:cs="Palatino Linotype"/>
          <w:color w:val="000000" w:themeColor="text1"/>
        </w:rPr>
      </w:pPr>
      <w:r w:rsidRPr="00FD3DD7">
        <w:rPr>
          <w:rFonts w:ascii="Palatino Linotype" w:eastAsia="Palatino Linotype" w:hAnsi="Palatino Linotype" w:cs="Palatino Linotype"/>
          <w:b/>
          <w:color w:val="000000" w:themeColor="text1"/>
        </w:rPr>
        <w:t>SEXTO.</w:t>
      </w:r>
      <w:r w:rsidRPr="00FD3DD7">
        <w:rPr>
          <w:rFonts w:ascii="Palatino Linotype" w:eastAsia="Palatino Linotype" w:hAnsi="Palatino Linotype" w:cs="Palatino Linotype"/>
          <w:color w:val="000000" w:themeColor="text1"/>
        </w:rPr>
        <w:t xml:space="preserve"> Se hace del conocimiento de </w:t>
      </w:r>
      <w:r w:rsidRPr="00FD3DD7">
        <w:rPr>
          <w:rFonts w:ascii="Palatino Linotype" w:eastAsia="Palatino Linotype" w:hAnsi="Palatino Linotype" w:cs="Palatino Linotype"/>
          <w:b/>
          <w:color w:val="000000" w:themeColor="text1"/>
        </w:rPr>
        <w:t>EL RECURRENTE</w:t>
      </w:r>
      <w:r w:rsidRPr="00FD3DD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FD3DD7">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 vía juicio de amparo en los términos de las leyes aplicables.</w:t>
      </w:r>
    </w:p>
    <w:p w:rsidR="00E42EB8" w:rsidRPr="00FD3DD7" w:rsidRDefault="00E42EB8" w:rsidP="00E42EB8">
      <w:pPr>
        <w:shd w:val="clear" w:color="auto" w:fill="FFFFFF"/>
        <w:spacing w:line="360" w:lineRule="auto"/>
        <w:ind w:right="-7"/>
        <w:jc w:val="both"/>
        <w:rPr>
          <w:rFonts w:ascii="Palatino Linotype" w:eastAsia="Palatino Linotype" w:hAnsi="Palatino Linotype" w:cs="Palatino Linotype"/>
          <w:color w:val="000000" w:themeColor="text1"/>
        </w:rPr>
      </w:pPr>
    </w:p>
    <w:p w:rsidR="00E42EB8" w:rsidRPr="00444783" w:rsidRDefault="00FD3DD7" w:rsidP="00E42EB8">
      <w:pPr>
        <w:spacing w:line="360" w:lineRule="auto"/>
        <w:ind w:right="49"/>
        <w:jc w:val="both"/>
        <w:rPr>
          <w:rFonts w:ascii="Palatino Linotype" w:eastAsia="Palatino Linotype" w:hAnsi="Palatino Linotype" w:cs="Palatino Linotype"/>
        </w:rPr>
      </w:pPr>
      <w:r w:rsidRPr="00FD3DD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E42EB8" w:rsidRPr="00FD3DD7">
        <w:rPr>
          <w:rFonts w:ascii="Palatino Linotype" w:eastAsia="Palatino Linotype" w:hAnsi="Palatino Linotype" w:cs="Palatino Linotype"/>
        </w:rPr>
        <w:t>.</w:t>
      </w:r>
    </w:p>
    <w:p w:rsidR="006B5EF1" w:rsidRDefault="006B5EF1"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A26E28" w:rsidRPr="00E42EB8" w:rsidRDefault="00A26E28" w:rsidP="00E42EB8">
      <w:pPr>
        <w:spacing w:before="240" w:after="240" w:line="360" w:lineRule="auto"/>
        <w:ind w:right="-7"/>
        <w:jc w:val="both"/>
        <w:rPr>
          <w:rFonts w:ascii="Palatino Linotype" w:eastAsia="Palatino Linotype" w:hAnsi="Palatino Linotype" w:cs="Palatino Linotype"/>
          <w:color w:val="000000" w:themeColor="text1"/>
        </w:rPr>
      </w:pPr>
    </w:p>
    <w:p w:rsidR="006B5EF1" w:rsidRPr="00E42EB8" w:rsidRDefault="006B5EF1" w:rsidP="00E42EB8">
      <w:pPr>
        <w:spacing w:before="240" w:after="240" w:line="360" w:lineRule="auto"/>
        <w:ind w:right="-7"/>
        <w:jc w:val="both"/>
        <w:rPr>
          <w:rFonts w:ascii="Palatino Linotype" w:eastAsia="Palatino Linotype" w:hAnsi="Palatino Linotype" w:cs="Palatino Linotype"/>
          <w:color w:val="000000" w:themeColor="text1"/>
        </w:rPr>
      </w:pPr>
    </w:p>
    <w:p w:rsidR="006B5EF1" w:rsidRPr="00E42EB8" w:rsidRDefault="006B5EF1" w:rsidP="00E42EB8">
      <w:pPr>
        <w:spacing w:before="240" w:after="240" w:line="360" w:lineRule="auto"/>
        <w:ind w:right="-7"/>
        <w:jc w:val="both"/>
        <w:rPr>
          <w:rFonts w:ascii="Palatino Linotype" w:eastAsia="Palatino Linotype" w:hAnsi="Palatino Linotype" w:cs="Palatino Linotype"/>
          <w:color w:val="000000" w:themeColor="text1"/>
        </w:rPr>
      </w:pPr>
    </w:p>
    <w:p w:rsidR="006B5EF1" w:rsidRPr="00E42EB8" w:rsidRDefault="006B5EF1" w:rsidP="00E42EB8">
      <w:pPr>
        <w:spacing w:before="240" w:after="240" w:line="360" w:lineRule="auto"/>
        <w:ind w:right="-7"/>
        <w:jc w:val="both"/>
        <w:rPr>
          <w:rFonts w:ascii="Palatino Linotype" w:eastAsia="Palatino Linotype" w:hAnsi="Palatino Linotype" w:cs="Palatino Linotype"/>
          <w:color w:val="000000" w:themeColor="text1"/>
        </w:rPr>
      </w:pPr>
    </w:p>
    <w:p w:rsidR="006B5EF1" w:rsidRPr="00E42EB8" w:rsidRDefault="006B5EF1" w:rsidP="00E42EB8">
      <w:pPr>
        <w:spacing w:before="240" w:after="240" w:line="360" w:lineRule="auto"/>
        <w:ind w:right="-7"/>
        <w:jc w:val="both"/>
        <w:rPr>
          <w:rFonts w:ascii="Palatino Linotype" w:eastAsia="Palatino Linotype" w:hAnsi="Palatino Linotype" w:cs="Palatino Linotype"/>
          <w:color w:val="000000" w:themeColor="text1"/>
        </w:rPr>
      </w:pPr>
    </w:p>
    <w:p w:rsidR="006B5EF1" w:rsidRPr="00E42EB8" w:rsidRDefault="006B5EF1" w:rsidP="00E42EB8">
      <w:pPr>
        <w:spacing w:line="360" w:lineRule="auto"/>
        <w:ind w:right="-7"/>
        <w:jc w:val="both"/>
        <w:rPr>
          <w:rFonts w:ascii="Palatino Linotype" w:eastAsia="Palatino Linotype" w:hAnsi="Palatino Linotype" w:cs="Palatino Linotype"/>
          <w:color w:val="000000" w:themeColor="text1"/>
        </w:rPr>
      </w:pPr>
    </w:p>
    <w:p w:rsidR="006B5EF1" w:rsidRPr="00E42EB8" w:rsidRDefault="006B5EF1" w:rsidP="00E42EB8">
      <w:pPr>
        <w:keepNext/>
        <w:keepLines/>
        <w:spacing w:after="240" w:line="360" w:lineRule="auto"/>
        <w:ind w:right="-7"/>
        <w:rPr>
          <w:rFonts w:ascii="Palatino Linotype" w:hAnsi="Palatino Linotype"/>
          <w:color w:val="000000" w:themeColor="text1"/>
        </w:rPr>
      </w:pPr>
    </w:p>
    <w:p w:rsidR="006B5EF1" w:rsidRPr="00E42EB8" w:rsidRDefault="006B5EF1" w:rsidP="00E42EB8">
      <w:pPr>
        <w:ind w:right="-7"/>
        <w:rPr>
          <w:rFonts w:ascii="Palatino Linotype" w:hAnsi="Palatino Linotype"/>
          <w:color w:val="000000" w:themeColor="text1"/>
        </w:rPr>
      </w:pPr>
    </w:p>
    <w:p w:rsidR="006B5EF1" w:rsidRPr="00E42EB8" w:rsidRDefault="006B5EF1" w:rsidP="00E42EB8">
      <w:pPr>
        <w:ind w:right="-7"/>
        <w:rPr>
          <w:rFonts w:ascii="Palatino Linotype" w:hAnsi="Palatino Linotype"/>
          <w:color w:val="000000" w:themeColor="text1"/>
        </w:rPr>
      </w:pPr>
    </w:p>
    <w:p w:rsidR="00071F8D" w:rsidRPr="00E42EB8" w:rsidRDefault="00071F8D" w:rsidP="00E42EB8">
      <w:pPr>
        <w:ind w:right="-7"/>
        <w:rPr>
          <w:rFonts w:ascii="Palatino Linotype" w:hAnsi="Palatino Linotype"/>
          <w:color w:val="000000" w:themeColor="text1"/>
        </w:rPr>
      </w:pPr>
    </w:p>
    <w:sectPr w:rsidR="00071F8D" w:rsidRPr="00E42EB8" w:rsidSect="00A26E28">
      <w:headerReference w:type="default" r:id="rId10"/>
      <w:footerReference w:type="default" r:id="rId11"/>
      <w:headerReference w:type="first" r:id="rId12"/>
      <w:footerReference w:type="first" r:id="rId13"/>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44" w:rsidRDefault="007D6F44" w:rsidP="006B5EF1">
      <w:r>
        <w:separator/>
      </w:r>
    </w:p>
  </w:endnote>
  <w:endnote w:type="continuationSeparator" w:id="0">
    <w:p w:rsidR="007D6F44" w:rsidRDefault="007D6F44" w:rsidP="006B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CC" w:rsidRPr="00A26E28" w:rsidRDefault="008753CC">
    <w:pPr>
      <w:pBdr>
        <w:top w:val="nil"/>
        <w:left w:val="nil"/>
        <w:bottom w:val="nil"/>
        <w:right w:val="nil"/>
        <w:between w:val="nil"/>
      </w:pBdr>
      <w:tabs>
        <w:tab w:val="center" w:pos="4252"/>
        <w:tab w:val="right" w:pos="8504"/>
      </w:tabs>
      <w:jc w:val="right"/>
      <w:rPr>
        <w:rFonts w:ascii="Palatino Linotype" w:eastAsia="Arial" w:hAnsi="Palatino Linotype" w:cs="Arial"/>
        <w:color w:val="000000"/>
        <w:szCs w:val="20"/>
      </w:rPr>
    </w:pPr>
    <w:r w:rsidRPr="00A26E28">
      <w:rPr>
        <w:rFonts w:ascii="Palatino Linotype" w:eastAsia="Arial" w:hAnsi="Palatino Linotype" w:cs="Arial"/>
        <w:b/>
        <w:color w:val="000000"/>
        <w:szCs w:val="20"/>
      </w:rPr>
      <w:t xml:space="preserve">Página </w:t>
    </w:r>
    <w:r w:rsidRPr="00A26E28">
      <w:rPr>
        <w:rFonts w:ascii="Palatino Linotype" w:eastAsia="Arial" w:hAnsi="Palatino Linotype" w:cs="Arial"/>
        <w:b/>
        <w:color w:val="000000"/>
        <w:szCs w:val="20"/>
      </w:rPr>
      <w:fldChar w:fldCharType="begin"/>
    </w:r>
    <w:r w:rsidRPr="00A26E28">
      <w:rPr>
        <w:rFonts w:ascii="Palatino Linotype" w:eastAsia="Arial" w:hAnsi="Palatino Linotype" w:cs="Arial"/>
        <w:b/>
        <w:color w:val="000000"/>
        <w:szCs w:val="20"/>
      </w:rPr>
      <w:instrText>PAGE</w:instrText>
    </w:r>
    <w:r w:rsidRPr="00A26E28">
      <w:rPr>
        <w:rFonts w:ascii="Palatino Linotype" w:eastAsia="Arial" w:hAnsi="Palatino Linotype" w:cs="Arial"/>
        <w:b/>
        <w:color w:val="000000"/>
        <w:szCs w:val="20"/>
      </w:rPr>
      <w:fldChar w:fldCharType="separate"/>
    </w:r>
    <w:r w:rsidR="00D653EC">
      <w:rPr>
        <w:rFonts w:ascii="Palatino Linotype" w:eastAsia="Arial" w:hAnsi="Palatino Linotype" w:cs="Arial"/>
        <w:b/>
        <w:noProof/>
        <w:color w:val="000000"/>
        <w:szCs w:val="20"/>
      </w:rPr>
      <w:t>2</w:t>
    </w:r>
    <w:r w:rsidRPr="00A26E28">
      <w:rPr>
        <w:rFonts w:ascii="Palatino Linotype" w:eastAsia="Arial" w:hAnsi="Palatino Linotype" w:cs="Arial"/>
        <w:b/>
        <w:color w:val="000000"/>
        <w:szCs w:val="20"/>
      </w:rPr>
      <w:fldChar w:fldCharType="end"/>
    </w:r>
    <w:r w:rsidRPr="00A26E28">
      <w:rPr>
        <w:rFonts w:ascii="Palatino Linotype" w:eastAsia="Arial" w:hAnsi="Palatino Linotype" w:cs="Arial"/>
        <w:color w:val="000000"/>
        <w:szCs w:val="20"/>
      </w:rPr>
      <w:t xml:space="preserve"> de </w:t>
    </w:r>
    <w:r w:rsidRPr="00A26E28">
      <w:rPr>
        <w:rFonts w:ascii="Palatino Linotype" w:eastAsia="Arial" w:hAnsi="Palatino Linotype" w:cs="Arial"/>
        <w:b/>
        <w:color w:val="000000"/>
        <w:szCs w:val="20"/>
      </w:rPr>
      <w:fldChar w:fldCharType="begin"/>
    </w:r>
    <w:r w:rsidRPr="00A26E28">
      <w:rPr>
        <w:rFonts w:ascii="Palatino Linotype" w:eastAsia="Arial" w:hAnsi="Palatino Linotype" w:cs="Arial"/>
        <w:b/>
        <w:color w:val="000000"/>
        <w:szCs w:val="20"/>
      </w:rPr>
      <w:instrText>NUMPAGES</w:instrText>
    </w:r>
    <w:r w:rsidRPr="00A26E28">
      <w:rPr>
        <w:rFonts w:ascii="Palatino Linotype" w:eastAsia="Arial" w:hAnsi="Palatino Linotype" w:cs="Arial"/>
        <w:b/>
        <w:color w:val="000000"/>
        <w:szCs w:val="20"/>
      </w:rPr>
      <w:fldChar w:fldCharType="separate"/>
    </w:r>
    <w:r w:rsidR="00D653EC">
      <w:rPr>
        <w:rFonts w:ascii="Palatino Linotype" w:eastAsia="Arial" w:hAnsi="Palatino Linotype" w:cs="Arial"/>
        <w:b/>
        <w:noProof/>
        <w:color w:val="000000"/>
        <w:szCs w:val="20"/>
      </w:rPr>
      <w:t>37</w:t>
    </w:r>
    <w:r w:rsidRPr="00A26E28">
      <w:rPr>
        <w:rFonts w:ascii="Palatino Linotype" w:eastAsia="Arial" w:hAnsi="Palatino Linotype" w:cs="Arial"/>
        <w:b/>
        <w:color w:val="000000"/>
        <w:szCs w:val="20"/>
      </w:rPr>
      <w:fldChar w:fldCharType="end"/>
    </w:r>
  </w:p>
  <w:p w:rsidR="008753CC" w:rsidRDefault="008753CC">
    <w:pPr>
      <w:pBdr>
        <w:top w:val="nil"/>
        <w:left w:val="nil"/>
        <w:bottom w:val="nil"/>
        <w:right w:val="nil"/>
        <w:between w:val="nil"/>
      </w:pBdr>
      <w:tabs>
        <w:tab w:val="center" w:pos="4252"/>
        <w:tab w:val="right" w:pos="8504"/>
      </w:tabs>
      <w:rPr>
        <w:color w:val="000000"/>
      </w:rPr>
    </w:pPr>
  </w:p>
  <w:p w:rsidR="008753CC" w:rsidRDefault="008753C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CC" w:rsidRPr="00A26E28" w:rsidRDefault="008753CC">
    <w:pPr>
      <w:pBdr>
        <w:top w:val="nil"/>
        <w:left w:val="nil"/>
        <w:bottom w:val="nil"/>
        <w:right w:val="nil"/>
        <w:between w:val="nil"/>
      </w:pBdr>
      <w:tabs>
        <w:tab w:val="center" w:pos="4252"/>
        <w:tab w:val="right" w:pos="8504"/>
      </w:tabs>
      <w:jc w:val="right"/>
      <w:rPr>
        <w:rFonts w:ascii="Palatino Linotype" w:eastAsia="Arial" w:hAnsi="Palatino Linotype" w:cs="Arial"/>
        <w:color w:val="000000"/>
        <w:szCs w:val="20"/>
      </w:rPr>
    </w:pPr>
    <w:r w:rsidRPr="00A26E28">
      <w:rPr>
        <w:rFonts w:ascii="Palatino Linotype" w:eastAsia="Arial" w:hAnsi="Palatino Linotype" w:cs="Arial"/>
        <w:b/>
        <w:color w:val="000000"/>
        <w:szCs w:val="20"/>
      </w:rPr>
      <w:t xml:space="preserve">Página </w:t>
    </w:r>
    <w:r w:rsidRPr="00A26E28">
      <w:rPr>
        <w:rFonts w:ascii="Palatino Linotype" w:eastAsia="Arial" w:hAnsi="Palatino Linotype" w:cs="Arial"/>
        <w:b/>
        <w:color w:val="000000"/>
        <w:szCs w:val="20"/>
      </w:rPr>
      <w:fldChar w:fldCharType="begin"/>
    </w:r>
    <w:r w:rsidRPr="00A26E28">
      <w:rPr>
        <w:rFonts w:ascii="Palatino Linotype" w:eastAsia="Arial" w:hAnsi="Palatino Linotype" w:cs="Arial"/>
        <w:b/>
        <w:color w:val="000000"/>
        <w:szCs w:val="20"/>
      </w:rPr>
      <w:instrText>PAGE</w:instrText>
    </w:r>
    <w:r w:rsidRPr="00A26E28">
      <w:rPr>
        <w:rFonts w:ascii="Palatino Linotype" w:eastAsia="Arial" w:hAnsi="Palatino Linotype" w:cs="Arial"/>
        <w:b/>
        <w:color w:val="000000"/>
        <w:szCs w:val="20"/>
      </w:rPr>
      <w:fldChar w:fldCharType="separate"/>
    </w:r>
    <w:r w:rsidR="001438F3">
      <w:rPr>
        <w:rFonts w:ascii="Palatino Linotype" w:eastAsia="Arial" w:hAnsi="Palatino Linotype" w:cs="Arial"/>
        <w:b/>
        <w:noProof/>
        <w:color w:val="000000"/>
        <w:szCs w:val="20"/>
      </w:rPr>
      <w:t>1</w:t>
    </w:r>
    <w:r w:rsidRPr="00A26E28">
      <w:rPr>
        <w:rFonts w:ascii="Palatino Linotype" w:eastAsia="Arial" w:hAnsi="Palatino Linotype" w:cs="Arial"/>
        <w:b/>
        <w:color w:val="000000"/>
        <w:szCs w:val="20"/>
      </w:rPr>
      <w:fldChar w:fldCharType="end"/>
    </w:r>
    <w:r w:rsidRPr="00A26E28">
      <w:rPr>
        <w:rFonts w:ascii="Palatino Linotype" w:eastAsia="Arial" w:hAnsi="Palatino Linotype" w:cs="Arial"/>
        <w:color w:val="000000"/>
        <w:szCs w:val="20"/>
      </w:rPr>
      <w:t xml:space="preserve"> de </w:t>
    </w:r>
    <w:r w:rsidRPr="00A26E28">
      <w:rPr>
        <w:rFonts w:ascii="Palatino Linotype" w:eastAsia="Arial" w:hAnsi="Palatino Linotype" w:cs="Arial"/>
        <w:b/>
        <w:color w:val="000000"/>
        <w:szCs w:val="20"/>
      </w:rPr>
      <w:fldChar w:fldCharType="begin"/>
    </w:r>
    <w:r w:rsidRPr="00A26E28">
      <w:rPr>
        <w:rFonts w:ascii="Palatino Linotype" w:eastAsia="Arial" w:hAnsi="Palatino Linotype" w:cs="Arial"/>
        <w:b/>
        <w:color w:val="000000"/>
        <w:szCs w:val="20"/>
      </w:rPr>
      <w:instrText>NUMPAGES</w:instrText>
    </w:r>
    <w:r w:rsidRPr="00A26E28">
      <w:rPr>
        <w:rFonts w:ascii="Palatino Linotype" w:eastAsia="Arial" w:hAnsi="Palatino Linotype" w:cs="Arial"/>
        <w:b/>
        <w:color w:val="000000"/>
        <w:szCs w:val="20"/>
      </w:rPr>
      <w:fldChar w:fldCharType="separate"/>
    </w:r>
    <w:r w:rsidR="001438F3">
      <w:rPr>
        <w:rFonts w:ascii="Palatino Linotype" w:eastAsia="Arial" w:hAnsi="Palatino Linotype" w:cs="Arial"/>
        <w:b/>
        <w:noProof/>
        <w:color w:val="000000"/>
        <w:szCs w:val="20"/>
      </w:rPr>
      <w:t>37</w:t>
    </w:r>
    <w:r w:rsidRPr="00A26E28">
      <w:rPr>
        <w:rFonts w:ascii="Palatino Linotype" w:eastAsia="Arial" w:hAnsi="Palatino Linotype" w:cs="Arial"/>
        <w:b/>
        <w:color w:val="000000"/>
        <w:szCs w:val="20"/>
      </w:rPr>
      <w:fldChar w:fldCharType="end"/>
    </w:r>
  </w:p>
  <w:p w:rsidR="008753CC" w:rsidRDefault="008753C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44" w:rsidRDefault="007D6F44" w:rsidP="006B5EF1">
      <w:r>
        <w:separator/>
      </w:r>
    </w:p>
  </w:footnote>
  <w:footnote w:type="continuationSeparator" w:id="0">
    <w:p w:rsidR="007D6F44" w:rsidRDefault="007D6F44" w:rsidP="006B5EF1">
      <w:r>
        <w:continuationSeparator/>
      </w:r>
    </w:p>
  </w:footnote>
  <w:footnote w:id="1">
    <w:p w:rsidR="008753CC" w:rsidRDefault="008753CC" w:rsidP="006B5E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753CC" w:rsidRDefault="008753CC" w:rsidP="006B5E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753CC" w:rsidRDefault="008753CC" w:rsidP="006B5E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8753CC" w:rsidRDefault="008753CC" w:rsidP="006B5E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3119" w:type="dxa"/>
      <w:tblLayout w:type="fixed"/>
      <w:tblLook w:val="0400" w:firstRow="0" w:lastRow="0" w:firstColumn="0" w:lastColumn="0" w:noHBand="0" w:noVBand="1"/>
    </w:tblPr>
    <w:tblGrid>
      <w:gridCol w:w="2693"/>
      <w:gridCol w:w="4536"/>
    </w:tblGrid>
    <w:tr w:rsidR="008753CC" w:rsidTr="00E42EB8">
      <w:tc>
        <w:tcPr>
          <w:tcW w:w="2693" w:type="dxa"/>
          <w:vAlign w:val="center"/>
        </w:tcPr>
        <w:p w:rsidR="008753CC" w:rsidRPr="00E42EB8" w:rsidRDefault="008753CC" w:rsidP="00E42EB8">
          <w:pPr>
            <w:rPr>
              <w:rFonts w:ascii="Palatino Linotype" w:eastAsia="Palatino Linotype" w:hAnsi="Palatino Linotype" w:cs="Palatino Linotype"/>
              <w:b/>
            </w:rPr>
          </w:pPr>
          <w:r w:rsidRPr="00E42EB8">
            <w:rPr>
              <w:rFonts w:ascii="Palatino Linotype" w:eastAsia="Palatino Linotype" w:hAnsi="Palatino Linotype" w:cs="Palatino Linotype"/>
              <w:b/>
            </w:rPr>
            <w:t>Recurso de Revisión:</w:t>
          </w:r>
        </w:p>
      </w:tc>
      <w:tc>
        <w:tcPr>
          <w:tcW w:w="4536" w:type="dxa"/>
          <w:vAlign w:val="center"/>
        </w:tcPr>
        <w:p w:rsidR="008753CC" w:rsidRPr="00E42EB8" w:rsidRDefault="008753CC" w:rsidP="00A26E28">
          <w:pPr>
            <w:ind w:right="-56"/>
            <w:rPr>
              <w:rFonts w:ascii="Palatino Linotype" w:eastAsia="Palatino Linotype" w:hAnsi="Palatino Linotype" w:cs="Palatino Linotype"/>
            </w:rPr>
          </w:pPr>
          <w:r w:rsidRPr="00E42EB8">
            <w:rPr>
              <w:rFonts w:ascii="Palatino Linotype" w:eastAsia="Palatino Linotype" w:hAnsi="Palatino Linotype" w:cs="Palatino Linotype"/>
            </w:rPr>
            <w:t xml:space="preserve">07223/INFOEM/IP/RR/2025 </w:t>
          </w:r>
        </w:p>
      </w:tc>
    </w:tr>
    <w:tr w:rsidR="008753CC" w:rsidTr="00E42EB8">
      <w:trPr>
        <w:trHeight w:val="228"/>
      </w:trPr>
      <w:tc>
        <w:tcPr>
          <w:tcW w:w="2693" w:type="dxa"/>
          <w:vAlign w:val="center"/>
        </w:tcPr>
        <w:p w:rsidR="008753CC" w:rsidRDefault="008753CC" w:rsidP="00E42EB8">
          <w:pPr>
            <w:rPr>
              <w:rFonts w:ascii="Palatino Linotype" w:eastAsia="Palatino Linotype" w:hAnsi="Palatino Linotype" w:cs="Palatino Linotype"/>
              <w:b/>
            </w:rPr>
          </w:pPr>
          <w:r w:rsidRPr="00E42EB8">
            <w:rPr>
              <w:rFonts w:ascii="Palatino Linotype" w:eastAsia="Palatino Linotype" w:hAnsi="Palatino Linotype" w:cs="Palatino Linotype"/>
              <w:b/>
            </w:rPr>
            <w:t>Sujeto Obligado:</w:t>
          </w:r>
        </w:p>
        <w:p w:rsidR="00E42EB8" w:rsidRPr="00E42EB8" w:rsidRDefault="00E42EB8" w:rsidP="00E42EB8">
          <w:pPr>
            <w:rPr>
              <w:rFonts w:ascii="Palatino Linotype" w:eastAsia="Palatino Linotype" w:hAnsi="Palatino Linotype" w:cs="Palatino Linotype"/>
              <w:b/>
            </w:rPr>
          </w:pPr>
        </w:p>
      </w:tc>
      <w:tc>
        <w:tcPr>
          <w:tcW w:w="4536" w:type="dxa"/>
          <w:shd w:val="clear" w:color="auto" w:fill="auto"/>
          <w:vAlign w:val="center"/>
        </w:tcPr>
        <w:p w:rsidR="008753CC" w:rsidRPr="00E42EB8" w:rsidRDefault="008753CC" w:rsidP="00A26E28">
          <w:pPr>
            <w:ind w:right="-56"/>
            <w:rPr>
              <w:rFonts w:ascii="Palatino Linotype" w:eastAsia="Palatino Linotype" w:hAnsi="Palatino Linotype" w:cs="Palatino Linotype"/>
              <w:bCs/>
              <w:color w:val="000000"/>
            </w:rPr>
          </w:pPr>
          <w:r w:rsidRPr="00E42EB8">
            <w:rPr>
              <w:rFonts w:ascii="Palatino Linotype" w:eastAsia="Palatino Linotype" w:hAnsi="Palatino Linotype" w:cs="Palatino Linotype"/>
              <w:bCs/>
              <w:color w:val="000000"/>
            </w:rPr>
            <w:t xml:space="preserve">Instituto Municipal de Cultura Física y </w:t>
          </w:r>
        </w:p>
        <w:p w:rsidR="008753CC" w:rsidRPr="00E42EB8" w:rsidRDefault="008753CC" w:rsidP="00A26E28">
          <w:pPr>
            <w:ind w:right="-56"/>
            <w:rPr>
              <w:rFonts w:ascii="Palatino Linotype" w:eastAsia="Palatino Linotype" w:hAnsi="Palatino Linotype" w:cs="Palatino Linotype"/>
              <w:color w:val="000000"/>
            </w:rPr>
          </w:pPr>
          <w:r w:rsidRPr="00E42EB8">
            <w:rPr>
              <w:rFonts w:ascii="Palatino Linotype" w:eastAsia="Palatino Linotype" w:hAnsi="Palatino Linotype" w:cs="Palatino Linotype"/>
              <w:bCs/>
              <w:color w:val="000000"/>
            </w:rPr>
            <w:t>Deporte de Cocotitlán</w:t>
          </w:r>
        </w:p>
      </w:tc>
    </w:tr>
    <w:tr w:rsidR="008753CC" w:rsidTr="00E42EB8">
      <w:tc>
        <w:tcPr>
          <w:tcW w:w="2693" w:type="dxa"/>
          <w:vAlign w:val="center"/>
        </w:tcPr>
        <w:p w:rsidR="008753CC" w:rsidRPr="00E42EB8" w:rsidRDefault="008753CC" w:rsidP="00E42EB8">
          <w:pPr>
            <w:rPr>
              <w:rFonts w:ascii="Palatino Linotype" w:eastAsia="Palatino Linotype" w:hAnsi="Palatino Linotype" w:cs="Palatino Linotype"/>
              <w:b/>
            </w:rPr>
          </w:pPr>
          <w:r w:rsidRPr="00E42EB8">
            <w:rPr>
              <w:rFonts w:ascii="Palatino Linotype" w:eastAsia="Palatino Linotype" w:hAnsi="Palatino Linotype" w:cs="Palatino Linotype"/>
              <w:b/>
            </w:rPr>
            <w:t>Comisionada Ponente:</w:t>
          </w:r>
        </w:p>
      </w:tc>
      <w:tc>
        <w:tcPr>
          <w:tcW w:w="4536" w:type="dxa"/>
          <w:vAlign w:val="center"/>
        </w:tcPr>
        <w:p w:rsidR="008753CC" w:rsidRPr="00E42EB8" w:rsidRDefault="008753CC" w:rsidP="00A26E28">
          <w:pPr>
            <w:ind w:right="-56"/>
            <w:rPr>
              <w:rFonts w:ascii="Palatino Linotype" w:eastAsia="Palatino Linotype" w:hAnsi="Palatino Linotype" w:cs="Palatino Linotype"/>
            </w:rPr>
          </w:pPr>
          <w:r w:rsidRPr="00E42EB8">
            <w:rPr>
              <w:rFonts w:ascii="Palatino Linotype" w:eastAsia="Palatino Linotype" w:hAnsi="Palatino Linotype" w:cs="Palatino Linotype"/>
            </w:rPr>
            <w:t>María del Rosario Mejía Ayala</w:t>
          </w:r>
        </w:p>
      </w:tc>
    </w:tr>
  </w:tbl>
  <w:p w:rsidR="008753CC" w:rsidRDefault="00A26E28">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7858BB96" wp14:editId="7F2161F9">
          <wp:simplePos x="0" y="0"/>
          <wp:positionH relativeFrom="column">
            <wp:posOffset>-1014431</wp:posOffset>
          </wp:positionH>
          <wp:positionV relativeFrom="paragraph">
            <wp:posOffset>-1399504</wp:posOffset>
          </wp:positionV>
          <wp:extent cx="7813040" cy="10169525"/>
          <wp:effectExtent l="0" t="0" r="0" b="3175"/>
          <wp:wrapNone/>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8753CC">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5" w:type="dxa"/>
      <w:tblInd w:w="2835" w:type="dxa"/>
      <w:tblLayout w:type="fixed"/>
      <w:tblLook w:val="0400" w:firstRow="0" w:lastRow="0" w:firstColumn="0" w:lastColumn="0" w:noHBand="0" w:noVBand="1"/>
    </w:tblPr>
    <w:tblGrid>
      <w:gridCol w:w="2694"/>
      <w:gridCol w:w="4961"/>
    </w:tblGrid>
    <w:tr w:rsidR="008753CC" w:rsidRPr="00E42EB8" w:rsidTr="00E42EB8">
      <w:tc>
        <w:tcPr>
          <w:tcW w:w="2694" w:type="dxa"/>
          <w:vAlign w:val="center"/>
        </w:tcPr>
        <w:p w:rsidR="008753CC" w:rsidRPr="00E42EB8" w:rsidRDefault="008753CC" w:rsidP="00E42EB8">
          <w:pPr>
            <w:rPr>
              <w:rFonts w:ascii="Palatino Linotype" w:eastAsia="Palatino Linotype" w:hAnsi="Palatino Linotype" w:cs="Palatino Linotype"/>
              <w:b/>
            </w:rPr>
          </w:pPr>
          <w:r w:rsidRPr="00E42EB8">
            <w:rPr>
              <w:rFonts w:ascii="Palatino Linotype" w:eastAsia="Palatino Linotype" w:hAnsi="Palatino Linotype" w:cs="Palatino Linotype"/>
              <w:b/>
            </w:rPr>
            <w:t>Recurso de Revisión:</w:t>
          </w:r>
        </w:p>
        <w:p w:rsidR="008753CC" w:rsidRPr="00E42EB8" w:rsidRDefault="008753CC" w:rsidP="00E42EB8">
          <w:pPr>
            <w:rPr>
              <w:rFonts w:ascii="Palatino Linotype" w:eastAsia="Palatino Linotype" w:hAnsi="Palatino Linotype" w:cs="Palatino Linotype"/>
              <w:b/>
            </w:rPr>
          </w:pPr>
          <w:r w:rsidRPr="00E42EB8">
            <w:rPr>
              <w:rFonts w:ascii="Palatino Linotype" w:eastAsia="Palatino Linotype" w:hAnsi="Palatino Linotype" w:cs="Palatino Linotype"/>
              <w:b/>
            </w:rPr>
            <w:t>Recurrente:</w:t>
          </w:r>
        </w:p>
      </w:tc>
      <w:tc>
        <w:tcPr>
          <w:tcW w:w="4961" w:type="dxa"/>
          <w:vAlign w:val="center"/>
        </w:tcPr>
        <w:p w:rsidR="008753CC" w:rsidRPr="00E42EB8" w:rsidRDefault="008753CC" w:rsidP="00A26E28">
          <w:pPr>
            <w:ind w:right="20"/>
            <w:rPr>
              <w:rFonts w:ascii="Palatino Linotype" w:eastAsia="Palatino Linotype" w:hAnsi="Palatino Linotype" w:cs="Palatino Linotype"/>
            </w:rPr>
          </w:pPr>
          <w:r w:rsidRPr="00E42EB8">
            <w:rPr>
              <w:rFonts w:ascii="Palatino Linotype" w:eastAsia="Palatino Linotype" w:hAnsi="Palatino Linotype" w:cs="Palatino Linotype"/>
            </w:rPr>
            <w:t xml:space="preserve">07223/INFOEM/IP/RR/2025 </w:t>
          </w:r>
        </w:p>
        <w:p w:rsidR="008753CC" w:rsidRPr="00E42EB8" w:rsidRDefault="008753CC" w:rsidP="00A26E28">
          <w:pPr>
            <w:ind w:right="20"/>
            <w:rPr>
              <w:rFonts w:ascii="Palatino Linotype" w:eastAsia="Palatino Linotype" w:hAnsi="Palatino Linotype" w:cs="Palatino Linotype"/>
            </w:rPr>
          </w:pPr>
        </w:p>
      </w:tc>
    </w:tr>
    <w:tr w:rsidR="008753CC" w:rsidRPr="00E42EB8" w:rsidTr="00E42EB8">
      <w:trPr>
        <w:trHeight w:val="228"/>
      </w:trPr>
      <w:tc>
        <w:tcPr>
          <w:tcW w:w="2694" w:type="dxa"/>
          <w:vAlign w:val="center"/>
        </w:tcPr>
        <w:p w:rsidR="008753CC" w:rsidRDefault="008753CC" w:rsidP="00E42EB8">
          <w:pPr>
            <w:rPr>
              <w:rFonts w:ascii="Palatino Linotype" w:eastAsia="Palatino Linotype" w:hAnsi="Palatino Linotype" w:cs="Palatino Linotype"/>
              <w:b/>
            </w:rPr>
          </w:pPr>
          <w:r w:rsidRPr="00E42EB8">
            <w:rPr>
              <w:rFonts w:ascii="Palatino Linotype" w:eastAsia="Palatino Linotype" w:hAnsi="Palatino Linotype" w:cs="Palatino Linotype"/>
              <w:b/>
            </w:rPr>
            <w:t>Sujeto Obligado:</w:t>
          </w:r>
        </w:p>
        <w:p w:rsidR="00E42EB8" w:rsidRPr="00E42EB8" w:rsidRDefault="00E42EB8" w:rsidP="00E42EB8">
          <w:pPr>
            <w:rPr>
              <w:rFonts w:ascii="Palatino Linotype" w:eastAsia="Palatino Linotype" w:hAnsi="Palatino Linotype" w:cs="Palatino Linotype"/>
              <w:b/>
            </w:rPr>
          </w:pPr>
        </w:p>
      </w:tc>
      <w:tc>
        <w:tcPr>
          <w:tcW w:w="4961" w:type="dxa"/>
          <w:shd w:val="clear" w:color="auto" w:fill="auto"/>
          <w:vAlign w:val="center"/>
        </w:tcPr>
        <w:p w:rsidR="008753CC" w:rsidRPr="00E42EB8" w:rsidRDefault="008753CC" w:rsidP="00A26E28">
          <w:pPr>
            <w:ind w:right="20"/>
            <w:rPr>
              <w:rFonts w:ascii="Palatino Linotype" w:eastAsia="Palatino Linotype" w:hAnsi="Palatino Linotype" w:cs="Palatino Linotype"/>
              <w:color w:val="000000"/>
            </w:rPr>
          </w:pPr>
          <w:r w:rsidRPr="00E42EB8">
            <w:rPr>
              <w:rFonts w:ascii="Palatino Linotype" w:eastAsia="Palatino Linotype" w:hAnsi="Palatino Linotype" w:cs="Palatino Linotype"/>
              <w:bCs/>
              <w:color w:val="000000"/>
            </w:rPr>
            <w:t>Instituto Municipal de Cultura Física y Deporte de Cocotitlán</w:t>
          </w:r>
        </w:p>
      </w:tc>
    </w:tr>
    <w:tr w:rsidR="008753CC" w:rsidRPr="00E42EB8" w:rsidTr="00E42EB8">
      <w:tc>
        <w:tcPr>
          <w:tcW w:w="2694" w:type="dxa"/>
          <w:vAlign w:val="center"/>
        </w:tcPr>
        <w:p w:rsidR="008753CC" w:rsidRPr="00E42EB8" w:rsidRDefault="008753CC" w:rsidP="00E42EB8">
          <w:pPr>
            <w:rPr>
              <w:rFonts w:ascii="Palatino Linotype" w:eastAsia="Palatino Linotype" w:hAnsi="Palatino Linotype" w:cs="Palatino Linotype"/>
              <w:b/>
            </w:rPr>
          </w:pPr>
          <w:r w:rsidRPr="00E42EB8">
            <w:rPr>
              <w:rFonts w:ascii="Palatino Linotype" w:eastAsia="Palatino Linotype" w:hAnsi="Palatino Linotype" w:cs="Palatino Linotype"/>
              <w:b/>
            </w:rPr>
            <w:t>Comisionada Ponente:</w:t>
          </w:r>
        </w:p>
      </w:tc>
      <w:tc>
        <w:tcPr>
          <w:tcW w:w="4961" w:type="dxa"/>
          <w:vAlign w:val="center"/>
        </w:tcPr>
        <w:p w:rsidR="008753CC" w:rsidRPr="00E42EB8" w:rsidRDefault="008753CC" w:rsidP="00A26E28">
          <w:pPr>
            <w:ind w:right="20"/>
            <w:rPr>
              <w:rFonts w:ascii="Palatino Linotype" w:eastAsia="Palatino Linotype" w:hAnsi="Palatino Linotype" w:cs="Palatino Linotype"/>
            </w:rPr>
          </w:pPr>
          <w:r w:rsidRPr="00E42EB8">
            <w:rPr>
              <w:rFonts w:ascii="Palatino Linotype" w:eastAsia="Palatino Linotype" w:hAnsi="Palatino Linotype" w:cs="Palatino Linotype"/>
            </w:rPr>
            <w:t>María del Rosario Mejía Ayala</w:t>
          </w:r>
        </w:p>
      </w:tc>
    </w:tr>
  </w:tbl>
  <w:p w:rsidR="008753CC" w:rsidRDefault="00A26E28">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3EB890A8" wp14:editId="499258F8">
          <wp:simplePos x="0" y="0"/>
          <wp:positionH relativeFrom="page">
            <wp:align>left</wp:align>
          </wp:positionH>
          <wp:positionV relativeFrom="paragraph">
            <wp:posOffset>-1602812</wp:posOffset>
          </wp:positionV>
          <wp:extent cx="7813085" cy="10170000"/>
          <wp:effectExtent l="0" t="0" r="0" b="3175"/>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7555110"/>
    <w:multiLevelType w:val="multilevel"/>
    <w:tmpl w:val="25823F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17944C16"/>
    <w:multiLevelType w:val="multilevel"/>
    <w:tmpl w:val="46523B26"/>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44663FB0"/>
    <w:multiLevelType w:val="multilevel"/>
    <w:tmpl w:val="0986BE6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92A0542"/>
    <w:multiLevelType w:val="multilevel"/>
    <w:tmpl w:val="D11A798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8"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A066F"/>
    <w:multiLevelType w:val="multilevel"/>
    <w:tmpl w:val="F0FCB9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58F2733B"/>
    <w:multiLevelType w:val="hybridMultilevel"/>
    <w:tmpl w:val="2DE2AFB0"/>
    <w:lvl w:ilvl="0" w:tplc="561CCEE2">
      <w:start w:val="1"/>
      <w:numFmt w:val="lowerLetter"/>
      <w:lvlText w:val="%1)"/>
      <w:lvlJc w:val="left"/>
      <w:pPr>
        <w:ind w:left="2084" w:hanging="360"/>
      </w:pPr>
      <w:rPr>
        <w:rFonts w:hint="default"/>
        <w:i w:val="0"/>
      </w:rPr>
    </w:lvl>
    <w:lvl w:ilvl="1" w:tplc="080A0019" w:tentative="1">
      <w:start w:val="1"/>
      <w:numFmt w:val="lowerLetter"/>
      <w:lvlText w:val="%2."/>
      <w:lvlJc w:val="left"/>
      <w:pPr>
        <w:ind w:left="2804" w:hanging="360"/>
      </w:pPr>
    </w:lvl>
    <w:lvl w:ilvl="2" w:tplc="080A001B" w:tentative="1">
      <w:start w:val="1"/>
      <w:numFmt w:val="lowerRoman"/>
      <w:lvlText w:val="%3."/>
      <w:lvlJc w:val="right"/>
      <w:pPr>
        <w:ind w:left="3524" w:hanging="180"/>
      </w:pPr>
    </w:lvl>
    <w:lvl w:ilvl="3" w:tplc="080A000F" w:tentative="1">
      <w:start w:val="1"/>
      <w:numFmt w:val="decimal"/>
      <w:lvlText w:val="%4."/>
      <w:lvlJc w:val="left"/>
      <w:pPr>
        <w:ind w:left="4244" w:hanging="360"/>
      </w:pPr>
    </w:lvl>
    <w:lvl w:ilvl="4" w:tplc="080A0019" w:tentative="1">
      <w:start w:val="1"/>
      <w:numFmt w:val="lowerLetter"/>
      <w:lvlText w:val="%5."/>
      <w:lvlJc w:val="left"/>
      <w:pPr>
        <w:ind w:left="4964" w:hanging="360"/>
      </w:pPr>
    </w:lvl>
    <w:lvl w:ilvl="5" w:tplc="080A001B" w:tentative="1">
      <w:start w:val="1"/>
      <w:numFmt w:val="lowerRoman"/>
      <w:lvlText w:val="%6."/>
      <w:lvlJc w:val="right"/>
      <w:pPr>
        <w:ind w:left="5684" w:hanging="180"/>
      </w:pPr>
    </w:lvl>
    <w:lvl w:ilvl="6" w:tplc="080A000F" w:tentative="1">
      <w:start w:val="1"/>
      <w:numFmt w:val="decimal"/>
      <w:lvlText w:val="%7."/>
      <w:lvlJc w:val="left"/>
      <w:pPr>
        <w:ind w:left="6404" w:hanging="360"/>
      </w:pPr>
    </w:lvl>
    <w:lvl w:ilvl="7" w:tplc="080A0019" w:tentative="1">
      <w:start w:val="1"/>
      <w:numFmt w:val="lowerLetter"/>
      <w:lvlText w:val="%8."/>
      <w:lvlJc w:val="left"/>
      <w:pPr>
        <w:ind w:left="7124" w:hanging="360"/>
      </w:pPr>
    </w:lvl>
    <w:lvl w:ilvl="8" w:tplc="080A001B" w:tentative="1">
      <w:start w:val="1"/>
      <w:numFmt w:val="lowerRoman"/>
      <w:lvlText w:val="%9."/>
      <w:lvlJc w:val="right"/>
      <w:pPr>
        <w:ind w:left="7844" w:hanging="180"/>
      </w:pPr>
    </w:lvl>
  </w:abstractNum>
  <w:abstractNum w:abstractNumId="11" w15:restartNumberingAfterBreak="0">
    <w:nsid w:val="5C200618"/>
    <w:multiLevelType w:val="multilevel"/>
    <w:tmpl w:val="DCEA8106"/>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8620EB"/>
    <w:multiLevelType w:val="multilevel"/>
    <w:tmpl w:val="F97835B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70B633ED"/>
    <w:multiLevelType w:val="multilevel"/>
    <w:tmpl w:val="9190CF8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76BF500A"/>
    <w:multiLevelType w:val="multilevel"/>
    <w:tmpl w:val="BD40DCA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12"/>
  </w:num>
  <w:num w:numId="2">
    <w:abstractNumId w:val="15"/>
  </w:num>
  <w:num w:numId="3">
    <w:abstractNumId w:val="16"/>
  </w:num>
  <w:num w:numId="4">
    <w:abstractNumId w:val="6"/>
  </w:num>
  <w:num w:numId="5">
    <w:abstractNumId w:val="2"/>
  </w:num>
  <w:num w:numId="6">
    <w:abstractNumId w:val="8"/>
  </w:num>
  <w:num w:numId="7">
    <w:abstractNumId w:val="7"/>
  </w:num>
  <w:num w:numId="8">
    <w:abstractNumId w:val="1"/>
  </w:num>
  <w:num w:numId="9">
    <w:abstractNumId w:val="4"/>
  </w:num>
  <w:num w:numId="10">
    <w:abstractNumId w:val="11"/>
  </w:num>
  <w:num w:numId="11">
    <w:abstractNumId w:val="3"/>
  </w:num>
  <w:num w:numId="12">
    <w:abstractNumId w:val="9"/>
  </w:num>
  <w:num w:numId="13">
    <w:abstractNumId w:val="14"/>
  </w:num>
  <w:num w:numId="14">
    <w:abstractNumId w:val="13"/>
  </w:num>
  <w:num w:numId="15">
    <w:abstractNumId w:val="0"/>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F1"/>
    <w:rsid w:val="00046258"/>
    <w:rsid w:val="00071F8D"/>
    <w:rsid w:val="000A181F"/>
    <w:rsid w:val="001438F3"/>
    <w:rsid w:val="001D3232"/>
    <w:rsid w:val="001D7B7E"/>
    <w:rsid w:val="001F2579"/>
    <w:rsid w:val="002248FB"/>
    <w:rsid w:val="00281302"/>
    <w:rsid w:val="002E2C97"/>
    <w:rsid w:val="004A4C6E"/>
    <w:rsid w:val="004E6028"/>
    <w:rsid w:val="005977D4"/>
    <w:rsid w:val="005E7397"/>
    <w:rsid w:val="006B5EF1"/>
    <w:rsid w:val="00756355"/>
    <w:rsid w:val="007605FF"/>
    <w:rsid w:val="007877F4"/>
    <w:rsid w:val="00792FA1"/>
    <w:rsid w:val="007B661F"/>
    <w:rsid w:val="007D6F44"/>
    <w:rsid w:val="008753CC"/>
    <w:rsid w:val="008A282B"/>
    <w:rsid w:val="008E2D24"/>
    <w:rsid w:val="00916997"/>
    <w:rsid w:val="009968BD"/>
    <w:rsid w:val="00A26E28"/>
    <w:rsid w:val="00A3484F"/>
    <w:rsid w:val="00AE0319"/>
    <w:rsid w:val="00B161C3"/>
    <w:rsid w:val="00B24C90"/>
    <w:rsid w:val="00B47966"/>
    <w:rsid w:val="00C030D5"/>
    <w:rsid w:val="00C66EEC"/>
    <w:rsid w:val="00D4094C"/>
    <w:rsid w:val="00D653EC"/>
    <w:rsid w:val="00DF587E"/>
    <w:rsid w:val="00E42EB8"/>
    <w:rsid w:val="00F43A50"/>
    <w:rsid w:val="00FB3372"/>
    <w:rsid w:val="00FD3DD7"/>
    <w:rsid w:val="00FE29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CD60F8-61FE-4A51-BCA0-C0C344E9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EF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B5EF1"/>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B5EF1"/>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EF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6B5EF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B5EF1"/>
    <w:pPr>
      <w:tabs>
        <w:tab w:val="center" w:pos="4419"/>
        <w:tab w:val="right" w:pos="8838"/>
      </w:tabs>
    </w:pPr>
  </w:style>
  <w:style w:type="character" w:customStyle="1" w:styleId="EncabezadoCar">
    <w:name w:val="Encabezado Car"/>
    <w:basedOn w:val="Fuentedeprrafopredeter"/>
    <w:link w:val="Encabezado"/>
    <w:uiPriority w:val="99"/>
    <w:rsid w:val="006B5EF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B5EF1"/>
    <w:pPr>
      <w:tabs>
        <w:tab w:val="center" w:pos="4419"/>
        <w:tab w:val="right" w:pos="8838"/>
      </w:tabs>
    </w:pPr>
  </w:style>
  <w:style w:type="character" w:customStyle="1" w:styleId="PiedepginaCar">
    <w:name w:val="Pie de página Car"/>
    <w:basedOn w:val="Fuentedeprrafopredeter"/>
    <w:link w:val="Piedepgina"/>
    <w:uiPriority w:val="99"/>
    <w:rsid w:val="006B5EF1"/>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24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372"/>
    <w:pPr>
      <w:ind w:left="720"/>
      <w:contextualSpacing/>
    </w:pPr>
  </w:style>
  <w:style w:type="character" w:styleId="Hipervnculo">
    <w:name w:val="Hyperlink"/>
    <w:basedOn w:val="Fuentedeprrafopredeter"/>
    <w:uiPriority w:val="99"/>
    <w:unhideWhenUsed/>
    <w:rsid w:val="002E2C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mawww.sat.gob.mx/factura/Paginas/solicita_requisitos.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iteriosdeinterpretacion.inai.org.mx/Criterios/07-19.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37</Pages>
  <Words>9204</Words>
  <Characters>50625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2025-08-29T16:43:00Z</cp:lastPrinted>
  <dcterms:created xsi:type="dcterms:W3CDTF">2025-08-21T20:35:00Z</dcterms:created>
  <dcterms:modified xsi:type="dcterms:W3CDTF">2025-09-08T17:25:00Z</dcterms:modified>
</cp:coreProperties>
</file>