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veintidós de octubre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b w:val="1"/>
          <w:bCs w:val="1"/>
        </w:rPr>
      </w:pPr>
      <w:bookmarkStart w:colFirst="0" w:colLast="0" w:name="_heading=h.nompz8l4j93u" w:id="0"/>
      <w:bookmarkEnd w:id="0"/>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bCs w:val="1"/>
          <w:rtl w:val="0"/>
        </w:rPr>
        <w:t xml:space="preserve">09074/INFOEM/IP/RR/2025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bCs w:val="1"/>
          <w:rtl w:val="0"/>
        </w:rPr>
        <w:t xml:space="preserve">XX X 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bCs w:val="1"/>
          <w:rtl w:val="0"/>
        </w:rPr>
        <w:t xml:space="preserve">00071/TENAVALL/IP/2025 </w:t>
      </w:r>
      <w:r w:rsidDel="00000000" w:rsidR="00000000" w:rsidRPr="00000000">
        <w:rPr>
          <w:rFonts w:ascii="Palatino Linotype" w:cs="Palatino Linotype" w:eastAsia="Palatino Linotype" w:hAnsi="Palatino Linotype"/>
          <w:rtl w:val="0"/>
        </w:rPr>
        <w:t xml:space="preserve">proporcionada por parte del </w:t>
      </w:r>
      <w:r w:rsidDel="00000000" w:rsidR="00000000" w:rsidRPr="00000000">
        <w:rPr>
          <w:rFonts w:ascii="Palatino Linotype" w:cs="Palatino Linotype" w:eastAsia="Palatino Linotype" w:hAnsi="Palatino Linotype"/>
          <w:b w:val="1"/>
          <w:bCs w:val="1"/>
          <w:rtl w:val="0"/>
        </w:rPr>
        <w:t xml:space="preserve">Ayuntamiento de Tenango del Valle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r w:rsidDel="00000000" w:rsidR="00000000" w:rsidRPr="00000000">
        <w:rPr>
          <w:rtl w:val="0"/>
        </w:rPr>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w:t>
        <w:tab/>
        <w:t xml:space="preserve">A N T E C E D E N T E S</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bCs w:val="1"/>
          <w:rtl w:val="0"/>
        </w:rPr>
        <w:t xml:space="preserve">veinte de junio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bCs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7">
      <w:pPr>
        <w:spacing w:after="0" w:lineRule="auto"/>
        <w:ind w:left="851" w:right="843" w:firstLine="0"/>
        <w:jc w:val="both"/>
        <w:rPr>
          <w:rFonts w:ascii="Palatino Linotype" w:cs="Palatino Linotype" w:eastAsia="Palatino Linotype" w:hAnsi="Palatino Linotype"/>
          <w:i w:val="1"/>
          <w:iCs w:val="1"/>
        </w:rPr>
      </w:pPr>
      <w:bookmarkStart w:colFirst="0" w:colLast="0" w:name="_heading=h.30j0zll" w:id="1"/>
      <w:bookmarkEnd w:id="1"/>
      <w:r w:rsidDel="00000000" w:rsidR="00000000" w:rsidRPr="00000000">
        <w:rPr>
          <w:rtl w:val="0"/>
        </w:rPr>
      </w:r>
    </w:p>
    <w:p w:rsidR="00000000" w:rsidDel="00000000" w:rsidP="00000000" w:rsidRDefault="00000000" w:rsidRPr="00000000" w14:paraId="0000000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“REQUIERO SE PROPORCIONE BITACORAS DE SUMINISTRO DE GASOLINA DEL AREA DE TESORERIA, ASI COMO SUS COMPROBANTES JUSTIFICATIVOS (OFICIOS DE COMISION) QUE COMPRUEBEN EL SUMINISTRO Y GASTO CON CARGO AL ERARIO PUBLICO DEL CONSUMO DEL VEHICULO DEL SERVIDOR PUBLICO ASI COMO NUMERO DE INVENTARIO DEL VEHICULO OFICIAL ADSCRITO A TESORERIA O EN SU CASO COMODATO CORRESPONDIENTE QUE JUSTIFIQUE EL SUMINISTRO ASI COMO BITACORAS DE SERVICIOS Y MANTENIMIENTOS”. </w:t>
      </w:r>
    </w:p>
    <w:p w:rsidR="00000000" w:rsidDel="00000000" w:rsidP="00000000" w:rsidRDefault="00000000" w:rsidRPr="00000000" w14:paraId="00000009">
      <w:pPr>
        <w:spacing w:after="0" w:line="360" w:lineRule="auto"/>
        <w:ind w:right="49"/>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diez de julio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 la solicitud de información, al tenor de lo siguiente: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Se remite oficio de contestación a la solicitud de información.</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ATENTAMENTE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LIC. ARACELI HERNANDEZ ORTEGA”</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bookmarkStart w:colFirst="0" w:colLast="0" w:name="_heading=h.nat8szizjd75" w:id="2"/>
      <w:bookmarkEnd w:id="2"/>
      <w:r w:rsidDel="00000000" w:rsidR="00000000" w:rsidRPr="00000000">
        <w:rPr>
          <w:rFonts w:ascii="Palatino Linotype" w:cs="Palatino Linotype" w:eastAsia="Palatino Linotype" w:hAnsi="Palatino Linotype"/>
          <w:rtl w:val="0"/>
        </w:rPr>
        <w:t xml:space="preserve">Asimismo, adjuntó los documentos que se describen a continuación:</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solicitud 0071.pdf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contiene los siguientes documentos: </w:t>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TV/DA/CSG/015/2025 de fecha nueve de julio de dos mil veinticinco, suscrito por el Coordinador de Servicios Generales, en el que informó la entrega de las propuestas de versión pública del suministro de gasolina del área de Tesorería Municipal, correspondiente al mes de junio del año 2025 (Anexo 1), toda vez que contiene información referente a vehículos propiedad de personas físicas y que son datos personales, protegiendo los siguientes datos:  unidad, </w:t>
      </w:r>
      <w:r w:rsidDel="00000000" w:rsidR="00000000" w:rsidRPr="00000000">
        <w:rPr>
          <w:rFonts w:ascii="Palatino Linotype" w:cs="Palatino Linotype" w:eastAsia="Palatino Linotype" w:hAnsi="Palatino Linotype"/>
          <w:rtl w:val="0"/>
        </w:rPr>
        <w:t xml:space="preserve">Número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de serie, número de Placas, Marca, color, modelo; en virtud de formar parte de su patrimonio, para evitar cualquier peligro o daño a su persona. Solicitando se convoque al Comité de Transparencia a efecto de que analicen y en su caso aprueben la versión pública.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84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Respecto a los comprobantes justificativos (oficio de comisión) en virtud que el servidor público es el titular del área, el uso de este vehículo está destinado para gestiones de la Tesorería Municipal, no requiere oficio de comisión.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84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relación al número de comodato, informó que es CONTRATO-COMODATO/DA/CSG/009/2025 mismo que se encuentra en la bitácora antes mencionada, toda vez que contiene información referente a vehículos propiedad de personas físicas y que estos son datos personales con los que se puede identificar o hacer identificable a sus propietarios; por cuestiones de seguridad e integridad de los titulares, no es posible proporcionar información al respecto.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84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Referente a los servicios y mantenimientos, no se han realizado hasta la fecha. </w:t>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Cuadro de Clasificación de la solicitud de información 00071/TENAVALL/IP/2025. </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RES-02-03SO-CTATV-2025.pdf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Resolución RES/02/03SO/CTATV/2025 de fecha diez de julio de dos mil veinticinco, de la Tercera Sesión Ordinaria del Comité de Transparencia, en el que se aprobó la clasificación parcial de la información como confidencial propuesta por la Coordinación de Servicios del Ayuntamiento de Tenango del Valle, habiéndose considerando los siguientes datos personales: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"Unidad, No. de serie, No. placas, Marca, Color y Modelo de vehículo particular",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contenidos en las</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"Bitácoras de suministro de gasolina del área de Tesorería Municipal, correspondiente al mes de junio de 2025"</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como información confidencial; aprobándose la versión pública propuesta por la Unidad Administrativa de mérito, respecto de los documentos con los que se pretende dar respuesta a la solicitud de información pública con número de folio 00071/TENAVALL/IP/2025, al haber sido elaborada en relación con lo discutido, asimismo la citada clasificación no está sujeta a temporalidad alguna y sólo podrá tener acceso a ella los titulares de la misma, o sus representantes legales.</w:t>
      </w:r>
    </w:p>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Bitacora tesorero.pdf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Contiene dos Bitácoras de Suministro de combustible del mes de junio de dos mil veinticinco, en versión pública. </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Contestacion 71.pdf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Oficio número TV/ST/UTAI/510/2025 de fecha diez de julio de dos mil veinticinco, suscrito por el Titular de la Unidad de Transparencia, en el que informó que la Coordinador de Servicios Generales manifestó y entrego lo siguiente: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1. Respecto a "...BITACORAS DE SUMINISTRO DE GASOLINA DEL AREA DE TESORERIA..." (sic), adjunto al presente se proporcionan las versiones públicas de las Bitácoras de suministro de gasolina del área de Tesorería Municipal, correspondiente al mes de junio de 2025.</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2. Referente a "...sus COMPROBANTES JUSTIFICATIVOS (OFICIOS DE COMISION) QUE COMPRUEBEN EL SUMINISTRO Y GASTO CON CARGO AL ERARIO PUBLICO..." (sic) le informo que en virtud que el servidor público es el titular del área, el uso de este vehículo está destinado para gestiones de la tesorería municipal, no requiere de oficio de comisión.</w:t>
        <w:br w:type="textWrapping"/>
        <w:t xml:space="preserve">3. Sobre el "...NUMERO DE INVENTARIO DEL VEHICULO OFICIAL ADSCRITO A TESORERIA O EN SU CASO COMODATO CORRESPONDIENTE QUE JUSTIFIQUE EL SUMINISTRO..." (sic) le informo que el número de comodato es el CONTRATO-COMODATO/DA/CSG/009/2025.</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4. Tocante a "...BITACORAS DE SERVICIOS Y MANTENIMIENTOS" (sic), le informo que no se han realizado hasta la fecha.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Además, se proporciona lo siguiente: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La respuesta del Servidor Público Habilitado de la Coordinación de Servicios Generales de este Sujeto Obligado, a través del oficio signado TV/DA/CSG/015/2025 con anexo consistente en la versión pública de las "Bitácoras de suministro de gasolina del área de Tesorería Municipal, correspondiente al mes de junio de 2025".</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Acta de la Tercera Sesión Ordinaria del Comité de Transparencia del Ayuntamiento de Tenango del Valle, celebrada el diez de julio de dos mil veinticinco, a través de la cual se presentó, discutió y aprobó la clasificación de la información como confidencial propuesta por el Servidor Público Habilitado de la Coordinación de Servicios Generales de este Sujeto Obligado, respecto de los documentos con los que se da respuesta a la solicitud de información pública con número de folio 00071/TENAVALL/IP/2025.</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Resolución RES/02/03SO/CTATV/2025 de fecha diez de julio de dos mil veinticinco, a través de la cual se aprobó la versión pública propuesta por la Coordinación de Servicios Generales, respecto de los documentos con los que se da respuesta a la solicitud de información pública con número de folio 00071/TENAVALL/IP/2025.”</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Acta 3SO.pdf</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Acta de la Tercera Sesión Ordinaria del Comité de Transparencia del Ayuntamiento de Tenango del Valle, celebrada el diez de julio de dos mil veinticinco, en el que se aprobó por unanimidad de votos la resolución que confirma la clasificación como confidencial de los datos personales referentes a: "Unidad, No. de serie, No. placas, Marca, Color y Modelo de vehículo particular", contenidos en las "Bitácoras de suministro de gasolina del área de Tesorería Municipal, correspondiente al mes de junio de 2025", en términos de lo establecido en los artículos 3 fracción IX y 143 fracción I de la Ley de Transparencia y Acceso a la Información Pública del Estado de México y Municipios; 4 fracción XI de la Ley de Protección de Datos Personales en Posesión de Sujetos Obligados del Estado de México y Municipios y con relación con el numeral Trigésimo Octavo fracción I de los Lineamientos Generales de Clasificación y Desclasificación de la Información, así como para la Elaboración de Versiones Públicas, aprobándose las versiones públicas propuestas de dichos documentos para dar respuesta a la solicitud de información pública con número de folio 00071/TENAVALL/IP/2025.</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cuatro de agosto de dos mil veinticinco, </w:t>
      </w:r>
      <w:r w:rsidDel="00000000" w:rsidR="00000000" w:rsidRPr="00000000">
        <w:rPr>
          <w:rFonts w:ascii="Palatino Linotype" w:cs="Palatino Linotype" w:eastAsia="Palatino Linotype" w:hAnsi="Palatino Linotype"/>
          <w:rtl w:val="0"/>
        </w:rPr>
        <w:t xml:space="preserve">se tuvo por presentado el Recurso de Revisión interpuesto por</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la persona Solicitante a través del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a mediante el cual expresó lo siguiente:</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Acto impugnado</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“INFORMACION INCOMPLETA”.</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Razones o motivos de la inconformidad: </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FALTAN OFICIOS DE COMISION </w:t>
      </w:r>
      <w:r w:rsidDel="00000000" w:rsidR="00000000" w:rsidRPr="00000000">
        <w:rPr>
          <w:rFonts w:ascii="Palatino Linotype" w:cs="Palatino Linotype" w:eastAsia="Palatino Linotype" w:hAnsi="Palatino Linotype"/>
          <w:i w:val="1"/>
          <w:iCs w:val="1"/>
          <w:rtl w:val="0"/>
        </w:rPr>
        <w:t xml:space="preserve">QUE JUSTIFIQUEN EL CARGO AL GASTO DE LA HACIENDA PUBLICA MUNICIPAL QUE AMPARE EL CONSUMO DE COMBUSTIBLE </w:t>
      </w:r>
      <w:r w:rsidDel="00000000" w:rsidR="00000000" w:rsidRPr="00000000">
        <w:rPr>
          <w:rFonts w:ascii="Palatino Linotype" w:cs="Palatino Linotype" w:eastAsia="Palatino Linotype" w:hAnsi="Palatino Linotype"/>
          <w:b w:val="1"/>
          <w:bCs w:val="1"/>
          <w:i w:val="1"/>
          <w:iCs w:val="1"/>
          <w:rtl w:val="0"/>
        </w:rPr>
        <w:t xml:space="preserve">Y LA DESCRIPCION DEL VEHICULO</w:t>
      </w:r>
      <w:r w:rsidDel="00000000" w:rsidR="00000000" w:rsidRPr="00000000">
        <w:rPr>
          <w:rFonts w:ascii="Palatino Linotype" w:cs="Palatino Linotype" w:eastAsia="Palatino Linotype" w:hAnsi="Palatino Linotype"/>
          <w:i w:val="1"/>
          <w:iCs w:val="1"/>
          <w:rtl w:val="0"/>
        </w:rPr>
        <w:t xml:space="preserve"> YA QUE AL SER UN COMODATO SE DEBE </w:t>
      </w:r>
      <w:r w:rsidDel="00000000" w:rsidR="00000000" w:rsidRPr="00000000">
        <w:rPr>
          <w:rFonts w:ascii="Palatino Linotype" w:cs="Palatino Linotype" w:eastAsia="Palatino Linotype" w:hAnsi="Palatino Linotype"/>
          <w:b w:val="1"/>
          <w:bCs w:val="1"/>
          <w:i w:val="1"/>
          <w:iCs w:val="1"/>
          <w:rtl w:val="0"/>
        </w:rPr>
        <w:t xml:space="preserve">MANIFESTAR MODELO O VERSION</w:t>
      </w:r>
      <w:r w:rsidDel="00000000" w:rsidR="00000000" w:rsidRPr="00000000">
        <w:rPr>
          <w:rFonts w:ascii="Palatino Linotype" w:cs="Palatino Linotype" w:eastAsia="Palatino Linotype" w:hAnsi="Palatino Linotype"/>
          <w:i w:val="1"/>
          <w:iCs w:val="1"/>
          <w:rtl w:val="0"/>
        </w:rPr>
        <w:t xml:space="preserve"> PARA PODER CUANTIFICAR EL GASTO DE COMBUSTIBLE DE LA UNIDAD Y SUS DESTINOS LABORALES. YA QUE EL FUNCIONARIO AL TENER UN SALARIO NO DEBE CONSIMIR CON CARGO AL GASTO PUBLICO PARA USO PERSONAL”.</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rtl w:val="0"/>
        </w:rPr>
        <w:t xml:space="preserve">09074/INFOEM/IP/RR/2025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ocho de agosto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Manifestaciones.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diecinueve de agosto de dos mil veinticinco,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del SAIMEX, los archivos electrónicos denominados </w:t>
      </w:r>
      <w:r w:rsidDel="00000000" w:rsidR="00000000" w:rsidRPr="00000000">
        <w:rPr>
          <w:rFonts w:ascii="Palatino Linotype" w:cs="Palatino Linotype" w:eastAsia="Palatino Linotype" w:hAnsi="Palatino Linotype"/>
          <w:b w:val="1"/>
          <w:bCs w:val="1"/>
          <w:i w:val="1"/>
          <w:iCs w:val="1"/>
          <w:rtl w:val="0"/>
        </w:rPr>
        <w:t xml:space="preserve">“</w:t>
        <w:tab/>
        <w:t xml:space="preserve">Oficio TV-ST-UTAI-546-2025 Se rinden manifestaciones. pruebas.informe justificado y alegatos al R.R. 09074_25. Sol. 71_25..pdf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bCs w:val="1"/>
          <w:i w:val="1"/>
          <w:iCs w:val="1"/>
          <w:rtl w:val="0"/>
        </w:rPr>
        <w:t xml:space="preserve">Oficio TV-DA-CSG-018-2025.pdf”</w:t>
      </w:r>
      <w:r w:rsidDel="00000000" w:rsidR="00000000" w:rsidRPr="00000000">
        <w:rPr>
          <w:rFonts w:ascii="Palatino Linotype" w:cs="Palatino Linotype" w:eastAsia="Palatino Linotype" w:hAnsi="Palatino Linotype"/>
          <w:rtl w:val="0"/>
        </w:rPr>
        <w:t xml:space="preserve">, mismos que fueron hechos del conocimiento del ahora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quince de octubre de dos mil veinticinco</w:t>
      </w:r>
      <w:r w:rsidDel="00000000" w:rsidR="00000000" w:rsidRPr="00000000">
        <w:rPr>
          <w:rFonts w:ascii="Palatino Linotype" w:cs="Palatino Linotype" w:eastAsia="Palatino Linotype" w:hAnsi="Palatino Linotype"/>
          <w:rtl w:val="0"/>
        </w:rPr>
        <w:t xml:space="preserve">, mediante el cual la Coordinación de Servicios Generales ratificó su respuesta inicial, precisando que con la finalidad de que el solicitante no tenga más inconvenientes o confusiones con la respuesta </w:t>
      </w:r>
      <w:r w:rsidDel="00000000" w:rsidR="00000000" w:rsidRPr="00000000">
        <w:rPr>
          <w:rFonts w:ascii="Palatino Linotype" w:cs="Palatino Linotype" w:eastAsia="Palatino Linotype" w:hAnsi="Palatino Linotype"/>
          <w:i w:val="1"/>
          <w:iCs w:val="1"/>
          <w:rtl w:val="0"/>
        </w:rPr>
        <w:t xml:space="preserve">“…se le dice de forma clara y precisa que, para el suministro de gasolina del área de Tesorería no se generan oficios de comisión en virtud de que el servidor público es el titular del área, el uso de este vehículo está destinado para gestiones de la tesorería municipal y no requiere de oficio de comisión, por eso no se generan”</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fue omisa en presentar sus alegatos o manifestación alguna.</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quince de octubre de dos mil veinticinco</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41">
      <w:pPr>
        <w:tabs>
          <w:tab w:val="left" w:leader="none" w:pos="709"/>
        </w:tabs>
        <w:spacing w:after="0" w:line="360" w:lineRule="auto"/>
        <w:ind w:left="567" w:right="560" w:firstLine="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42">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43">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44">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45">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46">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bCs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rtl w:val="0"/>
        </w:rPr>
        <w:t xml:space="preserve"> consultable en el Seminario Judicial de la Federación y su gaceta, con el registro digital 2002351.</w:t>
      </w:r>
    </w:p>
    <w:p w:rsidR="00000000" w:rsidDel="00000000" w:rsidP="00000000" w:rsidRDefault="00000000" w:rsidRPr="00000000" w14:paraId="00000050">
      <w:pPr>
        <w:spacing w:after="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iCs w:val="1"/>
          <w:rtl w:val="0"/>
        </w:rPr>
        <w:t xml:space="preserve"> visible en el Seminario Judicial de la Federación y su gaceta, con el registro digital 2002350</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1">
      <w:pPr>
        <w:spacing w:after="0" w:lineRule="auto"/>
        <w:ind w:left="851"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veintidós de octubre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w:t>
        <w:tab/>
        <w:t xml:space="preserve">C O N S I D E R A N D O:</w:t>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bCs w:val="1"/>
          <w:rtl w:val="0"/>
        </w:rPr>
        <w:t xml:space="preserve">diez de julio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bCs w:val="1"/>
          <w:rtl w:val="0"/>
        </w:rPr>
        <w:t xml:space="preserve">cuatro de agosto de dos mil veinticinco</w:t>
      </w:r>
      <w:r w:rsidDel="00000000" w:rsidR="00000000" w:rsidRPr="00000000">
        <w:rPr>
          <w:rFonts w:ascii="Palatino Linotype" w:cs="Palatino Linotype" w:eastAsia="Palatino Linotype" w:hAnsi="Palatino Linotype"/>
          <w:rtl w:val="0"/>
        </w:rPr>
        <w:t xml:space="preserve">, esto es al séptimo día hábil en que se tuvo conocimiento de la respuesta.</w:t>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proporcionó un seudónimo con el que desea que se le identifique</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como se advierte en el detalle de seguimiento del SAIMEX, no obstante, el no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Las solicitudes </w:t>
      </w:r>
      <w:r w:rsidDel="00000000" w:rsidR="00000000" w:rsidRPr="00000000">
        <w:rPr>
          <w:rFonts w:ascii="Palatino Linotype" w:cs="Palatino Linotype" w:eastAsia="Palatino Linotype" w:hAnsi="Palatino Linotype"/>
          <w:i w:val="1"/>
          <w:iCs w:val="1"/>
          <w:rtl w:val="0"/>
        </w:rPr>
        <w:t xml:space="preserve">anónimas, con nombre incompleto o</w:t>
      </w:r>
      <w:r w:rsidDel="00000000" w:rsidR="00000000" w:rsidRPr="00000000">
        <w:rPr>
          <w:rFonts w:ascii="Palatino Linotype" w:cs="Palatino Linotype" w:eastAsia="Palatino Linotype" w:hAnsi="Palatino Linotype"/>
          <w:b w:val="1"/>
          <w:bCs w:val="1"/>
          <w:i w:val="1"/>
          <w:iCs w:val="1"/>
          <w:rtl w:val="0"/>
        </w:rPr>
        <w:t xml:space="preserve"> seudónimo</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iCs w:val="1"/>
          <w:rtl w:val="0"/>
        </w:rPr>
        <w:t xml:space="preserve">. No podrá requerirse información adicional con motivo del nombre proporcionado por el solicitante."(Énfasis añadido)</w:t>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 la hipótesis de procedencia prevista en el artículo 179, fracción V de la Ley de la materia, que a la letra dice:</w:t>
      </w:r>
    </w:p>
    <w:p w:rsidR="00000000" w:rsidDel="00000000" w:rsidP="00000000" w:rsidRDefault="00000000" w:rsidRPr="00000000" w14:paraId="00000067">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6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179.</w:t>
      </w:r>
      <w:r w:rsidDel="00000000" w:rsidR="00000000" w:rsidRPr="00000000">
        <w:rPr>
          <w:rFonts w:ascii="Palatino Linotype" w:cs="Palatino Linotype" w:eastAsia="Palatino Linotype" w:hAnsi="Palatino Linotype"/>
          <w:i w:val="1"/>
          <w:iCs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9">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A">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 La entrega de información incompleta;</w:t>
      </w:r>
    </w:p>
    <w:p w:rsidR="00000000" w:rsidDel="00000000" w:rsidP="00000000" w:rsidRDefault="00000000" w:rsidRPr="00000000" w14:paraId="0000006B">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C">
      <w:pPr>
        <w:spacing w:after="0" w:line="360" w:lineRule="auto"/>
        <w:ind w:left="567" w:right="56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V del artículo 179 de la Ley en la materia. </w:t>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70">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71">
      <w:pPr>
        <w:spacing w:after="0" w:lineRule="auto"/>
        <w:ind w:left="851"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1o.</w:t>
      </w:r>
      <w:r w:rsidDel="00000000" w:rsidR="00000000" w:rsidRPr="00000000">
        <w:rPr>
          <w:rFonts w:ascii="Palatino Linotype" w:cs="Palatino Linotype" w:eastAsia="Palatino Linotype" w:hAnsi="Palatino Linotype"/>
          <w:i w:val="1"/>
          <w:iCs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72">
      <w:pPr>
        <w:spacing w:after="0" w:lineRule="auto"/>
        <w:ind w:left="851"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73">
      <w:pPr>
        <w:spacing w:after="0" w:lineRule="auto"/>
        <w:ind w:left="851"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74">
      <w:pPr>
        <w:spacing w:after="0" w:lineRule="auto"/>
        <w:ind w:left="851"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75">
      <w:pPr>
        <w:spacing w:after="0" w:lineRule="auto"/>
        <w:ind w:left="851" w:right="560"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“Artículo 6o.</w:t>
      </w:r>
    </w:p>
    <w:p w:rsidR="00000000" w:rsidDel="00000000" w:rsidP="00000000" w:rsidRDefault="00000000" w:rsidRPr="00000000" w14:paraId="00000076">
      <w:pPr>
        <w:spacing w:after="0" w:lineRule="auto"/>
        <w:ind w:left="851"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bCs w:val="1"/>
          <w:i w:val="1"/>
          <w:iCs w:val="1"/>
          <w:u w:val="single"/>
          <w:rtl w:val="0"/>
        </w:rPr>
        <w:t xml:space="preserve">las entidades federativas</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i w:val="1"/>
          <w:iCs w:val="1"/>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I. </w:t>
      </w:r>
      <w:r w:rsidDel="00000000" w:rsidR="00000000" w:rsidRPr="00000000">
        <w:rPr>
          <w:rFonts w:ascii="Palatino Linotype" w:cs="Palatino Linotype" w:eastAsia="Palatino Linotype" w:hAnsi="Palatino Linotype"/>
          <w:b w:val="1"/>
          <w:bCs w:val="1"/>
          <w:i w:val="1"/>
          <w:iCs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iCs w:val="1"/>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bCs w:val="1"/>
          <w:i w:val="1"/>
          <w:iCs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iCs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II. La información que se refiere a la vida privada y los datos personales será protegida en los términos y con las excepciones que fijen las leyes. </w:t>
      </w:r>
      <w:r w:rsidDel="00000000" w:rsidR="00000000" w:rsidRPr="00000000">
        <w:rPr>
          <w:rFonts w:ascii="Palatino Linotype" w:cs="Palatino Linotype" w:eastAsia="Palatino Linotype" w:hAnsi="Palatino Linotype"/>
          <w:i w:val="1"/>
          <w:iCs w:val="1"/>
          <w:rtl w:val="0"/>
        </w:rPr>
        <w:t xml:space="preserve">Para tal efecto, los sujetos obligados contarán con las facultades suficientes para su atención.</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III. </w:t>
      </w:r>
      <w:r w:rsidDel="00000000" w:rsidR="00000000" w:rsidRPr="00000000">
        <w:rPr>
          <w:rFonts w:ascii="Palatino Linotype" w:cs="Palatino Linotype" w:eastAsia="Palatino Linotype" w:hAnsi="Palatino Linotype"/>
          <w:b w:val="1"/>
          <w:bCs w:val="1"/>
          <w:i w:val="1"/>
          <w:iCs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iCs w:val="1"/>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IV. </w:t>
      </w:r>
      <w:r w:rsidDel="00000000" w:rsidR="00000000" w:rsidRPr="00000000">
        <w:rPr>
          <w:rFonts w:ascii="Palatino Linotype" w:cs="Palatino Linotype" w:eastAsia="Palatino Linotype" w:hAnsi="Palatino Linotype"/>
          <w:i w:val="1"/>
          <w:iCs w:val="1"/>
          <w:rtl w:val="0"/>
        </w:rPr>
        <w:t xml:space="preserve">Se establecerán mecanismos de acceso a la información y procedimientos de revisión expeditos que se sustanciarán ante las instancias competentes en los términos que fija esta Constitución y las leyes.</w:t>
        <w:br w:type="textWrapping"/>
      </w:r>
      <w:r w:rsidDel="00000000" w:rsidR="00000000" w:rsidRPr="00000000">
        <w:rPr>
          <w:rFonts w:ascii="Palatino Linotype" w:cs="Palatino Linotype" w:eastAsia="Palatino Linotype" w:hAnsi="Palatino Linotype"/>
          <w:b w:val="1"/>
          <w:bCs w:val="1"/>
          <w:i w:val="1"/>
          <w:iCs w:val="1"/>
          <w:rtl w:val="0"/>
        </w:rPr>
        <w:t xml:space="preserve">V. </w:t>
      </w:r>
      <w:r w:rsidDel="00000000" w:rsidR="00000000" w:rsidRPr="00000000">
        <w:rPr>
          <w:rFonts w:ascii="Palatino Linotype" w:cs="Palatino Linotype" w:eastAsia="Palatino Linotype" w:hAnsi="Palatino Linotype"/>
          <w:i w:val="1"/>
          <w:iCs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VI. </w:t>
      </w:r>
      <w:r w:rsidDel="00000000" w:rsidR="00000000" w:rsidRPr="00000000">
        <w:rPr>
          <w:rFonts w:ascii="Palatino Linotype" w:cs="Palatino Linotype" w:eastAsia="Palatino Linotype" w:hAnsi="Palatino Linotype"/>
          <w:i w:val="1"/>
          <w:iCs w:val="1"/>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7E">
      <w:pPr>
        <w:spacing w:after="0" w:lineRule="auto"/>
        <w:ind w:left="851"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VII. </w:t>
      </w:r>
      <w:r w:rsidDel="00000000" w:rsidR="00000000" w:rsidRPr="00000000">
        <w:rPr>
          <w:rFonts w:ascii="Palatino Linotype" w:cs="Palatino Linotype" w:eastAsia="Palatino Linotype" w:hAnsi="Palatino Linotype"/>
          <w:i w:val="1"/>
          <w:iCs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7F">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4.</w:t>
      </w:r>
      <w:r w:rsidDel="00000000" w:rsidR="00000000" w:rsidRPr="00000000">
        <w:rPr>
          <w:rFonts w:ascii="Palatino Linotype" w:cs="Palatino Linotype" w:eastAsia="Palatino Linotype" w:hAnsi="Palatino Linotype"/>
          <w:i w:val="1"/>
          <w:iCs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3">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4">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85">
      <w:pPr>
        <w:spacing w:after="0" w:line="360" w:lineRule="auto"/>
        <w:ind w:left="567" w:right="56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12.</w:t>
      </w:r>
      <w:r w:rsidDel="00000000" w:rsidR="00000000" w:rsidRPr="00000000">
        <w:rPr>
          <w:rFonts w:ascii="Palatino Linotype" w:cs="Palatino Linotype" w:eastAsia="Palatino Linotype" w:hAnsi="Palatino Linotype"/>
          <w:i w:val="1"/>
          <w:iCs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9">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after="0" w:lineRule="auto"/>
        <w:ind w:left="851"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Criterio 03/17</w:t>
      </w:r>
    </w:p>
    <w:p w:rsidR="00000000" w:rsidDel="00000000" w:rsidP="00000000" w:rsidRDefault="00000000" w:rsidRPr="00000000" w14:paraId="0000008E">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iCs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8F">
      <w:pPr>
        <w:spacing w:after="0" w:line="360" w:lineRule="auto"/>
        <w:ind w:left="567" w:right="5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9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9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w:t>
      </w:r>
      <w:r w:rsidDel="00000000" w:rsidR="00000000" w:rsidRPr="00000000">
        <w:rPr>
          <w:rFonts w:ascii="Palatino Linotype" w:cs="Palatino Linotype" w:eastAsia="Palatino Linotype" w:hAnsi="Palatino Linotype"/>
          <w:i w:val="1"/>
          <w:iCs w:val="1"/>
          <w:rtl w:val="0"/>
        </w:rPr>
        <w:t xml:space="preserve"> Para los efectos de la presente Ley se entenderá por:</w:t>
      </w:r>
    </w:p>
    <w:p w:rsidR="00000000" w:rsidDel="00000000" w:rsidP="00000000" w:rsidRDefault="00000000" w:rsidRPr="00000000" w14:paraId="00000097">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9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XI. Documento:</w:t>
      </w:r>
      <w:r w:rsidDel="00000000" w:rsidR="00000000" w:rsidRPr="00000000">
        <w:rPr>
          <w:rFonts w:ascii="Palatino Linotype" w:cs="Palatino Linotype" w:eastAsia="Palatino Linotype" w:hAnsi="Palatino Linotype"/>
          <w:i w:val="1"/>
          <w:iCs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9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after="0" w:lineRule="auto"/>
        <w:ind w:left="851"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CRITERIO 0002-11</w:t>
      </w:r>
    </w:p>
    <w:p w:rsidR="00000000" w:rsidDel="00000000" w:rsidP="00000000" w:rsidRDefault="00000000" w:rsidRPr="00000000" w14:paraId="0000009D">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E">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consecuencia el acceso a la información se refiere a que se cumplan cualquiera de los siguientes tres supuestos:</w:t>
      </w:r>
    </w:p>
    <w:p w:rsidR="00000000" w:rsidDel="00000000" w:rsidP="00000000" w:rsidRDefault="00000000" w:rsidRPr="00000000" w14:paraId="0000009F">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A0">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A1">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A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la parte Recurrente, relativos a la entrega de la información incompleta, lo que actualiza la causal de procedencia prevista en la fracción I del artículo 179 de la Ley de Transparencia y Acceso a la Información Pública del Estado de México y Municipios.</w:t>
      </w:r>
    </w:p>
    <w:p w:rsidR="00000000" w:rsidDel="00000000" w:rsidP="00000000" w:rsidRDefault="00000000" w:rsidRPr="00000000" w14:paraId="000000A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 principio resulta recordar que la pretensión de la parte ahora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es obtener la siguiente información: </w:t>
      </w:r>
    </w:p>
    <w:p w:rsidR="00000000" w:rsidDel="00000000" w:rsidP="00000000" w:rsidRDefault="00000000" w:rsidRPr="00000000" w14:paraId="000000A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numPr>
          <w:ilvl w:val="0"/>
          <w:numId w:val="7"/>
        </w:numPr>
        <w:pBdr>
          <w:top w:space="0" w:sz="0" w:val="nil"/>
          <w:left w:space="0" w:sz="0" w:val="nil"/>
          <w:bottom w:space="0" w:sz="0" w:val="nil"/>
          <w:right w:space="0" w:sz="0" w:val="nil"/>
          <w:between w:space="0" w:sz="0" w:val="nil"/>
        </w:pBdr>
        <w:tabs>
          <w:tab w:val="left" w:leader="none" w:pos="993"/>
        </w:tabs>
        <w:spacing w:after="0" w:line="360" w:lineRule="auto"/>
        <w:ind w:left="720" w:right="49" w:hanging="360"/>
        <w:jc w:val="both"/>
        <w:rPr>
          <w:rFonts w:ascii="Palatino Linotype" w:cs="Palatino Linotype" w:eastAsia="Palatino Linotype" w:hAnsi="Palatino Linotype"/>
          <w:b w:val="1"/>
          <w:bCs w:val="1"/>
        </w:rPr>
      </w:pPr>
      <w:bookmarkStart w:colFirst="0" w:colLast="0" w:name="_heading=h.hrw8eosinwuf" w:id="3"/>
      <w:bookmarkEnd w:id="3"/>
      <w:r w:rsidDel="00000000" w:rsidR="00000000" w:rsidRPr="00000000">
        <w:rPr>
          <w:rFonts w:ascii="Palatino Linotype" w:cs="Palatino Linotype" w:eastAsia="Palatino Linotype" w:hAnsi="Palatino Linotype"/>
          <w:b w:val="1"/>
          <w:bCs w:val="1"/>
          <w:rtl w:val="0"/>
        </w:rPr>
        <w:t xml:space="preserve">Bitácoras de suministro de gasolina del área de Tesorería, </w:t>
      </w:r>
    </w:p>
    <w:p w:rsidR="00000000" w:rsidDel="00000000" w:rsidP="00000000" w:rsidRDefault="00000000" w:rsidRPr="00000000" w14:paraId="000000AA">
      <w:pPr>
        <w:numPr>
          <w:ilvl w:val="0"/>
          <w:numId w:val="7"/>
        </w:numPr>
        <w:pBdr>
          <w:top w:space="0" w:sz="0" w:val="nil"/>
          <w:left w:space="0" w:sz="0" w:val="nil"/>
          <w:bottom w:space="0" w:sz="0" w:val="nil"/>
          <w:right w:space="0" w:sz="0" w:val="nil"/>
          <w:between w:space="0" w:sz="0" w:val="nil"/>
        </w:pBdr>
        <w:tabs>
          <w:tab w:val="left" w:leader="none" w:pos="993"/>
        </w:tabs>
        <w:spacing w:after="0" w:line="360" w:lineRule="auto"/>
        <w:ind w:left="720" w:right="49"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Comprobantes justificativos (oficios de comisión) que comprueben el suministro y gasto con cargo al erario público del consumo del vehículo del servidor publico </w:t>
      </w:r>
    </w:p>
    <w:p w:rsidR="00000000" w:rsidDel="00000000" w:rsidP="00000000" w:rsidRDefault="00000000" w:rsidRPr="00000000" w14:paraId="000000AB">
      <w:pPr>
        <w:numPr>
          <w:ilvl w:val="0"/>
          <w:numId w:val="7"/>
        </w:numPr>
        <w:pBdr>
          <w:top w:space="0" w:sz="0" w:val="nil"/>
          <w:left w:space="0" w:sz="0" w:val="nil"/>
          <w:bottom w:space="0" w:sz="0" w:val="nil"/>
          <w:right w:space="0" w:sz="0" w:val="nil"/>
          <w:between w:space="0" w:sz="0" w:val="nil"/>
        </w:pBdr>
        <w:tabs>
          <w:tab w:val="left" w:leader="none" w:pos="993"/>
        </w:tabs>
        <w:spacing w:after="0" w:line="360" w:lineRule="auto"/>
        <w:ind w:left="720" w:right="49"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Número de inventario del vehículo oficial adscrito a Tesorería o en su caso comodato correspondiente que justifique el suministro </w:t>
      </w:r>
    </w:p>
    <w:p w:rsidR="00000000" w:rsidDel="00000000" w:rsidP="00000000" w:rsidRDefault="00000000" w:rsidRPr="00000000" w14:paraId="000000AC">
      <w:pPr>
        <w:numPr>
          <w:ilvl w:val="0"/>
          <w:numId w:val="7"/>
        </w:numPr>
        <w:pBdr>
          <w:top w:space="0" w:sz="0" w:val="nil"/>
          <w:left w:space="0" w:sz="0" w:val="nil"/>
          <w:bottom w:space="0" w:sz="0" w:val="nil"/>
          <w:right w:space="0" w:sz="0" w:val="nil"/>
          <w:between w:space="0" w:sz="0" w:val="nil"/>
        </w:pBdr>
        <w:tabs>
          <w:tab w:val="left" w:leader="none" w:pos="993"/>
        </w:tabs>
        <w:spacing w:after="0" w:line="360" w:lineRule="auto"/>
        <w:ind w:left="720" w:right="49"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Bitácoras de servicios y mantenimientos. </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través del Coordinador de Servicios Generales informó la entrega de las Bitácoras de suministro de gasolina del área de Tesorería Municipal, correspondiente al mes de junio del año 2025, en versión pública, aprobada en la Tercera Sesión Ordinaria del Comité de Transparencia del Ayuntamiento de Tenango del Valle, celebrada el diez de julio de dos mil veinticinco.</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informó que, respecto a los comprobantes justificativos (oficio de comisión), en virtud que el servidor público es el titular del área, el uso de este vehículo está destinado para gestiones de la Tesorería Municipal, por lo que no requiere oficio de comisión. </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al número de comodato, informó que es CONTRATO-COMODATO/DA/CSG/009/2025 mismo que se advierte en la bitácora antes mencionada, toda vez que contiene información referente a vehículos propiedad de personas físicas y que estos son datos personales con los que se puede identificar o hacer identificable a sus propietarios; por cuestiones de seguridad e integridad de los titulares, no es posible proporcionar información al respecto. Asimismo informó que referente a los servicios y mantenimientos, no se han realizado hasta la fecha.</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dos Bitácoras de Consumo de Gasolina del mes de junio de dos mil veinticinco, en versión pública; así como, el Acta del comité de Transparencia del Ayuntamiento de Tenango del Valle y la resolución número RES/02/03SO/CTATV/2025.</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se inconformó arguyendo la entrega de información incompleta. </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Es así que, el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en Informe Justificado medularmente ratificó la respuesta de la Coordinación de Servicios Generales precisando que con la finalidad de que el solicitante no tenga más inconvenientes o confusiones con la respuesta </w:t>
      </w:r>
      <w:r w:rsidDel="00000000" w:rsidR="00000000" w:rsidRPr="00000000">
        <w:rPr>
          <w:rFonts w:ascii="Palatino Linotype" w:cs="Palatino Linotype" w:eastAsia="Palatino Linotype" w:hAnsi="Palatino Linotype"/>
          <w:i w:val="1"/>
          <w:iCs w:val="1"/>
          <w:rtl w:val="0"/>
        </w:rPr>
        <w:t xml:space="preserve">“…se le dice de forma clara y precisa que, para el suministro de gasolina del área de Tesorería no se generan oficios de comisión en virtud de que el servidor público es el titular del área, el uso de este vehículo está destinado para gestiones de la tesorería municipal y no requiere de oficio de comisión, por eso no se generan”.</w:t>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expuestas las posturas de las partes, resulta necesario iniciar el presente análisis esquematizando las constancias vertidas a lo largo de la conformación del expediente electrónico en el siguiente esquema:</w:t>
      </w:r>
    </w:p>
    <w:p w:rsidR="00000000" w:rsidDel="00000000" w:rsidP="00000000" w:rsidRDefault="00000000" w:rsidRPr="00000000" w14:paraId="000000BB">
      <w:pPr>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1"/>
        <w:tblW w:w="920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2619"/>
        <w:gridCol w:w="2977"/>
        <w:gridCol w:w="2268"/>
        <w:tblGridChange w:id="0">
          <w:tblGrid>
            <w:gridCol w:w="1345"/>
            <w:gridCol w:w="2619"/>
            <w:gridCol w:w="2977"/>
            <w:gridCol w:w="2268"/>
          </w:tblGrid>
        </w:tblGridChange>
      </w:tblGrid>
      <w:tr>
        <w:trPr>
          <w:cantSplit w:val="0"/>
          <w:trHeight w:val="1154" w:hRule="atLeast"/>
          <w:tblHeader w:val="0"/>
        </w:trPr>
        <w:tc>
          <w:tcPr>
            <w:shd w:fill="deebf6" w:val="clear"/>
          </w:tcPr>
          <w:p w:rsidR="00000000" w:rsidDel="00000000" w:rsidP="00000000" w:rsidRDefault="00000000" w:rsidRPr="00000000" w14:paraId="000000BC">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Solicitud</w:t>
            </w:r>
          </w:p>
        </w:tc>
        <w:tc>
          <w:tcPr>
            <w:shd w:fill="deebf6" w:val="clear"/>
          </w:tcPr>
          <w:p w:rsidR="00000000" w:rsidDel="00000000" w:rsidP="00000000" w:rsidRDefault="00000000" w:rsidRPr="00000000" w14:paraId="000000BD">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Respuesta</w:t>
            </w:r>
          </w:p>
        </w:tc>
        <w:tc>
          <w:tcPr>
            <w:shd w:fill="deebf6" w:val="clear"/>
          </w:tcPr>
          <w:p w:rsidR="00000000" w:rsidDel="00000000" w:rsidP="00000000" w:rsidRDefault="00000000" w:rsidRPr="00000000" w14:paraId="000000BE">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Informe Justificado</w:t>
            </w:r>
          </w:p>
        </w:tc>
        <w:tc>
          <w:tcPr>
            <w:shd w:fill="deebf6" w:val="clear"/>
          </w:tcPr>
          <w:p w:rsidR="00000000" w:rsidDel="00000000" w:rsidP="00000000" w:rsidRDefault="00000000" w:rsidRPr="00000000" w14:paraId="000000BF">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¿El pronunciamiento del Sujeto Obligado satisface el requerimiento de información?</w:t>
            </w:r>
          </w:p>
        </w:tc>
      </w:tr>
      <w:tr>
        <w:trPr>
          <w:cantSplit w:val="0"/>
          <w:trHeight w:val="1112" w:hRule="atLeast"/>
          <w:tblHeader w:val="0"/>
        </w:trPr>
        <w:tc>
          <w:tcPr/>
          <w:p w:rsidR="00000000" w:rsidDel="00000000" w:rsidP="00000000" w:rsidRDefault="00000000" w:rsidRPr="00000000" w14:paraId="000000C0">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1.</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bCs w:val="1"/>
                <w:sz w:val="20"/>
                <w:szCs w:val="20"/>
                <w:rtl w:val="0"/>
              </w:rPr>
              <w:t xml:space="preserve">Bitácoras de suministro de gasolina del área de Tesorería</w:t>
            </w:r>
          </w:p>
        </w:tc>
        <w:tc>
          <w:tcPr/>
          <w:p w:rsidR="00000000" w:rsidDel="00000000" w:rsidP="00000000" w:rsidRDefault="00000000" w:rsidRPr="00000000" w14:paraId="000000C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Coordinador de Servicios Generales hace dos Bitácoras de suministro de gasolina del área de Tesorería Municipal, correspondiente al mes de junio de 2025, en versión pública, testando unidad, número de serie, placas, marca, color y modelo de la unidad vehicular. </w:t>
            </w:r>
          </w:p>
        </w:tc>
        <w:tc>
          <w:tcPr/>
          <w:p w:rsidR="00000000" w:rsidDel="00000000" w:rsidP="00000000" w:rsidRDefault="00000000" w:rsidRPr="00000000" w14:paraId="000000C2">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Ratifica la respuesta inicial</w:t>
            </w:r>
          </w:p>
        </w:tc>
        <w:tc>
          <w:tcPr/>
          <w:p w:rsidR="00000000" w:rsidDel="00000000" w:rsidP="00000000" w:rsidRDefault="00000000" w:rsidRPr="00000000" w14:paraId="000000C3">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Parcialmente </w:t>
            </w:r>
          </w:p>
          <w:p w:rsidR="00000000" w:rsidDel="00000000" w:rsidP="00000000" w:rsidRDefault="00000000" w:rsidRPr="00000000" w14:paraId="000000C4">
            <w:pPr>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acuerdo que da sustento la versión pública no se encuentra debidamente fundado y motivado. </w:t>
            </w:r>
          </w:p>
        </w:tc>
      </w:tr>
      <w:tr>
        <w:trPr>
          <w:cantSplit w:val="0"/>
          <w:trHeight w:val="2472" w:hRule="atLeast"/>
          <w:tblHeader w:val="0"/>
        </w:trPr>
        <w:tc>
          <w:tcPr/>
          <w:p w:rsidR="00000000" w:rsidDel="00000000" w:rsidP="00000000" w:rsidRDefault="00000000" w:rsidRPr="00000000" w14:paraId="000000C5">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2. Comprobantes justificativos (oficios de comisión) que comprueben el suministro y gasto con cargo al erario público del consumo del vehículo del servidor publico</w:t>
            </w:r>
          </w:p>
        </w:tc>
        <w:tc>
          <w:tcPr/>
          <w:p w:rsidR="00000000" w:rsidDel="00000000" w:rsidP="00000000" w:rsidRDefault="00000000" w:rsidRPr="00000000" w14:paraId="000000C6">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El Coordinador de Servicios Generales informó que en virtud que el servidor público es el titular del área, el uso de este vehículo está destinado para gestiones de la tesorería municipal, por lo que </w:t>
            </w:r>
            <w:r w:rsidDel="00000000" w:rsidR="00000000" w:rsidRPr="00000000">
              <w:rPr>
                <w:rFonts w:ascii="Palatino Linotype" w:cs="Palatino Linotype" w:eastAsia="Palatino Linotype" w:hAnsi="Palatino Linotype"/>
                <w:b w:val="1"/>
                <w:bCs w:val="1"/>
                <w:i w:val="1"/>
                <w:iCs w:val="1"/>
                <w:sz w:val="20"/>
                <w:szCs w:val="20"/>
                <w:rtl w:val="0"/>
              </w:rPr>
              <w:t xml:space="preserve">no requiere de oficio de comisión</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c>
          <w:tcPr/>
          <w:p w:rsidR="00000000" w:rsidDel="00000000" w:rsidP="00000000" w:rsidRDefault="00000000" w:rsidRPr="00000000" w14:paraId="000000C7">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Ratifica la respuesta inicial puntualizando: </w:t>
            </w:r>
          </w:p>
          <w:p w:rsidR="00000000" w:rsidDel="00000000" w:rsidP="00000000" w:rsidRDefault="00000000" w:rsidRPr="00000000" w14:paraId="000000C8">
            <w:pPr>
              <w:jc w:val="center"/>
              <w:rPr>
                <w:rFonts w:ascii="Palatino Linotype" w:cs="Palatino Linotype" w:eastAsia="Palatino Linotype" w:hAnsi="Palatino Linotype"/>
                <w:b w:val="1"/>
                <w:bCs w:val="1"/>
                <w:sz w:val="20"/>
                <w:szCs w:val="20"/>
              </w:rPr>
            </w:pPr>
            <w:r w:rsidDel="00000000" w:rsidR="00000000" w:rsidRPr="00000000">
              <w:rPr>
                <w:rtl w:val="0"/>
              </w:rPr>
            </w:r>
          </w:p>
          <w:p w:rsidR="00000000" w:rsidDel="00000000" w:rsidP="00000000" w:rsidRDefault="00000000" w:rsidRPr="00000000" w14:paraId="000000C9">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i w:val="1"/>
                <w:iCs w:val="1"/>
                <w:sz w:val="20"/>
                <w:szCs w:val="20"/>
                <w:rtl w:val="0"/>
              </w:rPr>
              <w:t xml:space="preserve">“…se le dice de forma clara y precisa que, para el suministro de gasolina del área de Tesorería </w:t>
            </w:r>
            <w:r w:rsidDel="00000000" w:rsidR="00000000" w:rsidRPr="00000000">
              <w:rPr>
                <w:rFonts w:ascii="Palatino Linotype" w:cs="Palatino Linotype" w:eastAsia="Palatino Linotype" w:hAnsi="Palatino Linotype"/>
                <w:i w:val="1"/>
                <w:iCs w:val="1"/>
                <w:sz w:val="20"/>
                <w:szCs w:val="20"/>
                <w:u w:val="single"/>
                <w:rtl w:val="0"/>
              </w:rPr>
              <w:t xml:space="preserve">no se generan oficios de comisión</w:t>
            </w:r>
            <w:r w:rsidDel="00000000" w:rsidR="00000000" w:rsidRPr="00000000">
              <w:rPr>
                <w:rFonts w:ascii="Palatino Linotype" w:cs="Palatino Linotype" w:eastAsia="Palatino Linotype" w:hAnsi="Palatino Linotype"/>
                <w:i w:val="1"/>
                <w:iCs w:val="1"/>
                <w:sz w:val="20"/>
                <w:szCs w:val="20"/>
                <w:rtl w:val="0"/>
              </w:rPr>
              <w:t xml:space="preserve"> en virtud de que el servidor público es el titular del área, el uso de este vehículo está destinado para gestiones de la tesorería municipal y no requiere de oficio de comisión, por eso no se generan”.</w:t>
            </w:r>
            <w:r w:rsidDel="00000000" w:rsidR="00000000" w:rsidRPr="00000000">
              <w:rPr>
                <w:rtl w:val="0"/>
              </w:rPr>
            </w:r>
          </w:p>
        </w:tc>
        <w:tc>
          <w:tcPr/>
          <w:p w:rsidR="00000000" w:rsidDel="00000000" w:rsidP="00000000" w:rsidRDefault="00000000" w:rsidRPr="00000000" w14:paraId="000000CA">
            <w:pPr>
              <w:spacing w:line="276"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Si </w:t>
            </w:r>
          </w:p>
          <w:p w:rsidR="00000000" w:rsidDel="00000000" w:rsidP="00000000" w:rsidRDefault="00000000" w:rsidRPr="00000000" w14:paraId="000000CB">
            <w:pPr>
              <w:jc w:val="both"/>
              <w:rPr>
                <w:rFonts w:ascii="Palatino Linotype" w:cs="Palatino Linotype" w:eastAsia="Palatino Linotype" w:hAnsi="Palatino Linotype"/>
                <w:i w:val="1"/>
                <w:iCs w:val="1"/>
                <w:sz w:val="20"/>
                <w:szCs w:val="20"/>
              </w:rPr>
            </w:pPr>
            <w:r w:rsidDel="00000000" w:rsidR="00000000" w:rsidRPr="00000000">
              <w:rPr>
                <w:rFonts w:ascii="Palatino Linotype" w:cs="Palatino Linotype" w:eastAsia="Palatino Linotype" w:hAnsi="Palatino Linotype"/>
                <w:i w:val="1"/>
                <w:iCs w:val="1"/>
                <w:sz w:val="20"/>
                <w:szCs w:val="20"/>
                <w:rtl w:val="0"/>
              </w:rPr>
              <w:t xml:space="preserve">Hechos Negativos  </w:t>
            </w:r>
          </w:p>
        </w:tc>
      </w:tr>
      <w:tr>
        <w:trPr>
          <w:cantSplit w:val="0"/>
          <w:trHeight w:val="1363" w:hRule="atLeast"/>
          <w:tblHeader w:val="0"/>
        </w:trPr>
        <w:tc>
          <w:tcPr/>
          <w:p w:rsidR="00000000" w:rsidDel="00000000" w:rsidP="00000000" w:rsidRDefault="00000000" w:rsidRPr="00000000" w14:paraId="000000CC">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3. Numero de inventario del vehículo oficial adscrito a Tesorería o en su caso comodato correspondiente que justifique el suministro</w:t>
            </w:r>
          </w:p>
        </w:tc>
        <w:tc>
          <w:tcPr/>
          <w:p w:rsidR="00000000" w:rsidDel="00000000" w:rsidP="00000000" w:rsidRDefault="00000000" w:rsidRPr="00000000" w14:paraId="000000CD">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El Coordinador de Servicios Generales informó que el número de comodato es el CONTRATO-COMODATO/DA/CSG/009/2025.</w:t>
            </w:r>
            <w:r w:rsidDel="00000000" w:rsidR="00000000" w:rsidRPr="00000000">
              <w:rPr>
                <w:rtl w:val="0"/>
              </w:rPr>
            </w:r>
          </w:p>
        </w:tc>
        <w:tc>
          <w:tcPr/>
          <w:p w:rsidR="00000000" w:rsidDel="00000000" w:rsidP="00000000" w:rsidRDefault="00000000" w:rsidRPr="00000000" w14:paraId="000000CE">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Ratifica la respuesta inicial</w:t>
            </w:r>
          </w:p>
        </w:tc>
        <w:tc>
          <w:tcPr/>
          <w:p w:rsidR="00000000" w:rsidDel="00000000" w:rsidP="00000000" w:rsidRDefault="00000000" w:rsidRPr="00000000" w14:paraId="000000CF">
            <w:pPr>
              <w:spacing w:line="36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i w:val="1"/>
                <w:iCs w:val="1"/>
                <w:sz w:val="20"/>
                <w:szCs w:val="20"/>
                <w:rtl w:val="0"/>
              </w:rPr>
              <w:t xml:space="preserve">Actos Consentidos</w:t>
            </w:r>
            <w:r w:rsidDel="00000000" w:rsidR="00000000" w:rsidRPr="00000000">
              <w:rPr>
                <w:rtl w:val="0"/>
              </w:rPr>
            </w:r>
          </w:p>
        </w:tc>
      </w:tr>
      <w:tr>
        <w:trPr>
          <w:cantSplit w:val="0"/>
          <w:trHeight w:val="1363" w:hRule="atLeast"/>
          <w:tblHeader w:val="0"/>
        </w:trPr>
        <w:tc>
          <w:tcPr/>
          <w:p w:rsidR="00000000" w:rsidDel="00000000" w:rsidP="00000000" w:rsidRDefault="00000000" w:rsidRPr="00000000" w14:paraId="000000D0">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4. Bitácoras de servicios y mantenimientos.</w:t>
            </w:r>
          </w:p>
        </w:tc>
        <w:tc>
          <w:tcPr/>
          <w:p w:rsidR="00000000" w:rsidDel="00000000" w:rsidP="00000000" w:rsidRDefault="00000000" w:rsidRPr="00000000" w14:paraId="000000D1">
            <w:pPr>
              <w:jc w:val="both"/>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sz w:val="20"/>
                <w:szCs w:val="20"/>
                <w:rtl w:val="0"/>
              </w:rPr>
              <w:t xml:space="preserve">El Coordinador de Servicios Generales informó que no se han realizado hasta la fecha.</w:t>
            </w:r>
            <w:r w:rsidDel="00000000" w:rsidR="00000000" w:rsidRPr="00000000">
              <w:rPr>
                <w:rtl w:val="0"/>
              </w:rPr>
            </w:r>
          </w:p>
        </w:tc>
        <w:tc>
          <w:tcPr/>
          <w:p w:rsidR="00000000" w:rsidDel="00000000" w:rsidP="00000000" w:rsidRDefault="00000000" w:rsidRPr="00000000" w14:paraId="000000D2">
            <w:pPr>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Ratifica la respuesta inicial</w:t>
            </w:r>
          </w:p>
        </w:tc>
        <w:tc>
          <w:tcPr/>
          <w:p w:rsidR="00000000" w:rsidDel="00000000" w:rsidP="00000000" w:rsidRDefault="00000000" w:rsidRPr="00000000" w14:paraId="000000D3">
            <w:pPr>
              <w:spacing w:line="360" w:lineRule="auto"/>
              <w:jc w:val="center"/>
              <w:rPr>
                <w:rFonts w:ascii="Palatino Linotype" w:cs="Palatino Linotype" w:eastAsia="Palatino Linotype" w:hAnsi="Palatino Linotype"/>
                <w:b w:val="1"/>
                <w:bCs w:val="1"/>
                <w:i w:val="1"/>
                <w:iCs w:val="1"/>
                <w:sz w:val="20"/>
                <w:szCs w:val="20"/>
              </w:rPr>
            </w:pPr>
            <w:r w:rsidDel="00000000" w:rsidR="00000000" w:rsidRPr="00000000">
              <w:rPr>
                <w:rFonts w:ascii="Palatino Linotype" w:cs="Palatino Linotype" w:eastAsia="Palatino Linotype" w:hAnsi="Palatino Linotype"/>
                <w:b w:val="1"/>
                <w:bCs w:val="1"/>
                <w:i w:val="1"/>
                <w:iCs w:val="1"/>
                <w:sz w:val="20"/>
                <w:szCs w:val="20"/>
                <w:rtl w:val="0"/>
              </w:rPr>
              <w:t xml:space="preserve">Actos Consentidos </w:t>
            </w:r>
          </w:p>
        </w:tc>
      </w:tr>
    </w:tbl>
    <w:p w:rsidR="00000000" w:rsidDel="00000000" w:rsidP="00000000" w:rsidRDefault="00000000" w:rsidRPr="00000000" w14:paraId="000000D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cuadro previamente insertado, se aprecia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atendió parcialmente la solicitud de información, toda vez que proporcionó las bitácoras de gasolina correspondientes al mes de junio de dos mil veinticinco, en las que se aprecia que si bien estos fueron proporcionados en versión pública, como se detallará en líneas subsecuentes, el acuerdo emitido por el Comité de Transparencia carece de la debida fundamentación y motivación. </w:t>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primeramente, resulta importante precisar que de los motivos de inconformidad expuestos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la interposición del recurso de revisión, no se advierte que se inconforme de los periodo del cual se hizo entrega de la información; en el mismo sentido para los numerales 3 y 4, consistentes en el número de inventario del vehículo oficial adscrito a Tesorería o en su caso comodato correspondiente que justifique el suministro; así como, las Bitácoras de servicios y mantenimientos, por lo que este Organismo Garante advierte que al no haber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satisface la solicitud presentada, respecto del requerimiento que no fue combatido.</w:t>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impugna la respuesta 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y éste no expresa Razón o Motivo de Inconformidad en contra de todos los rubros solicitados, dichos rubros deben declararse atendidos, pues se entiende que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DA">
      <w:pPr>
        <w:spacing w:after="0" w:lineRule="auto"/>
        <w:ind w:left="851" w:right="616"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B">
      <w:pPr>
        <w:spacing w:after="0"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iCs w:val="1"/>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D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se insiste, ante la falta de impugnación eficaz, la respuesta entregada debe declararse consentida por la persona solicitante.</w:t>
      </w:r>
    </w:p>
    <w:p w:rsidR="00000000" w:rsidDel="00000000" w:rsidP="00000000" w:rsidRDefault="00000000" w:rsidRPr="00000000" w14:paraId="000000D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iCs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E3">
      <w:pPr>
        <w:spacing w:after="0" w:lineRule="auto"/>
        <w:ind w:left="851" w:right="616" w:firstLine="0"/>
        <w:jc w:val="both"/>
        <w:rPr>
          <w:rFonts w:ascii="Palatino Linotype" w:cs="Palatino Linotype" w:eastAsia="Palatino Linotype" w:hAnsi="Palatino Linotype"/>
          <w:i w:val="1"/>
          <w:iCs w:val="1"/>
          <w:smallCaps w:val="1"/>
        </w:rPr>
      </w:pPr>
      <w:r w:rsidDel="00000000" w:rsidR="00000000" w:rsidRPr="00000000">
        <w:rPr>
          <w:rtl w:val="0"/>
        </w:rPr>
      </w:r>
    </w:p>
    <w:p w:rsidR="00000000" w:rsidDel="00000000" w:rsidP="00000000" w:rsidRDefault="00000000" w:rsidRPr="00000000" w14:paraId="000000E4">
      <w:pPr>
        <w:spacing w:after="0"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smallCaps w:val="1"/>
          <w:rtl w:val="0"/>
        </w:rPr>
        <w:t xml:space="preserve">“</w:t>
      </w:r>
      <w:r w:rsidDel="00000000" w:rsidR="00000000" w:rsidRPr="00000000">
        <w:rPr>
          <w:rFonts w:ascii="Palatino Linotype" w:cs="Palatino Linotype" w:eastAsia="Palatino Linotype" w:hAnsi="Palatino Linotype"/>
          <w:b w:val="1"/>
          <w:bCs w:val="1"/>
          <w:i w:val="1"/>
          <w:iCs w:val="1"/>
          <w:smallCaps w:val="1"/>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iCs w:val="1"/>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E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una vez admitido el recurso de revisión e integrado el expediente, durante la etapa de manifestaciones las partes fueron omisas en remitir cualquier elemento que a su derecho conviniera, por lo tanto, se tiene por precluido su derecho para tal efecto y se procede a emitir la resolución que conforme a derecho corresponda.</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se procede al análisis del requerimiento que no fue colmado,</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con la finalidad de determinar si su derecho de acceso se satisfizo o en su defecto ordenar las documentales correspondientes, en caso de ser procedente.</w:t>
      </w:r>
    </w:p>
    <w:p w:rsidR="00000000" w:rsidDel="00000000" w:rsidP="00000000" w:rsidRDefault="00000000" w:rsidRPr="00000000" w14:paraId="000000E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por lo que hace a </w:t>
      </w:r>
      <w:r w:rsidDel="00000000" w:rsidR="00000000" w:rsidRPr="00000000">
        <w:rPr>
          <w:rFonts w:ascii="Palatino Linotype" w:cs="Palatino Linotype" w:eastAsia="Palatino Linotype" w:hAnsi="Palatino Linotype"/>
          <w:b w:val="1"/>
          <w:bCs w:val="1"/>
          <w:i w:val="1"/>
          <w:iCs w:val="1"/>
          <w:rtl w:val="0"/>
        </w:rPr>
        <w:t xml:space="preserve">las bitácoras de suministro de gasolina</w:t>
      </w:r>
      <w:r w:rsidDel="00000000" w:rsidR="00000000" w:rsidRPr="00000000">
        <w:rPr>
          <w:rFonts w:ascii="Palatino Linotype" w:cs="Palatino Linotype" w:eastAsia="Palatino Linotype" w:hAnsi="Palatino Linotype"/>
          <w:rtl w:val="0"/>
        </w:rPr>
        <w:t xml:space="preserve">, es de recordar que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en respuesta hizo entrega de dos bitácoras de consumo de Gasolina correspondientes al mes de junio de dos mil veinticinco, en versión pública, aprobada mediante acuerdo número 03/03SO/CTATV/2025 del Acta de la Tercera Sesión Ordinaria del Comité de Transparencia celebrada el diez de julio de dos mil veinticinco, tal y como se muestra a continuación:</w:t>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2709545"/>
            <wp:effectExtent b="0" l="0" r="0" t="0"/>
            <wp:docPr id="89832445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56275" cy="270954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tal efecto, observamos que los datos clasificados corresponden al tipo, número de serie, placas, marca, color y modelo de la unidad vehicular que se encuentra en comodato; por lo cual, se procede al análisis de los datos clasificados para determinar si esta se realizó de manera correcta: </w:t>
      </w:r>
    </w:p>
    <w:p w:rsidR="00000000" w:rsidDel="00000000" w:rsidP="00000000" w:rsidRDefault="00000000" w:rsidRPr="00000000" w14:paraId="000000E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conviene señalar que, para los datos relacionados a los bienes en comodato, resulta de vital importancia analizar en primer término, la figura jurídica del comodato, la cual se encuentra regulada en el Título Séptimo del Código Civil del Estado de México, en los términos siguientes:</w:t>
      </w:r>
    </w:p>
    <w:p w:rsidR="00000000" w:rsidDel="00000000" w:rsidP="00000000" w:rsidRDefault="00000000" w:rsidRPr="00000000" w14:paraId="000000F0">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F1">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“TITULO SEPTIMO </w:t>
      </w:r>
    </w:p>
    <w:p w:rsidR="00000000" w:rsidDel="00000000" w:rsidP="00000000" w:rsidRDefault="00000000" w:rsidRPr="00000000" w14:paraId="000000F2">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Del Comodato </w:t>
      </w:r>
    </w:p>
    <w:p w:rsidR="00000000" w:rsidDel="00000000" w:rsidP="00000000" w:rsidRDefault="00000000" w:rsidRPr="00000000" w14:paraId="000000F3">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Elementos personales del comodato </w:t>
      </w:r>
    </w:p>
    <w:p w:rsidR="00000000" w:rsidDel="00000000" w:rsidP="00000000" w:rsidRDefault="00000000" w:rsidRPr="00000000" w14:paraId="000000F4">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Artículo 7.721.- </w:t>
      </w:r>
      <w:r w:rsidDel="00000000" w:rsidR="00000000" w:rsidRPr="00000000">
        <w:rPr>
          <w:rFonts w:ascii="Palatino Linotype" w:cs="Palatino Linotype" w:eastAsia="Palatino Linotype" w:hAnsi="Palatino Linotype"/>
          <w:b w:val="1"/>
          <w:bCs w:val="1"/>
          <w:i w:val="1"/>
          <w:iCs w:val="1"/>
          <w:rtl w:val="0"/>
        </w:rPr>
        <w:t xml:space="preserve">El comodato </w:t>
      </w:r>
      <w:r w:rsidDel="00000000" w:rsidR="00000000" w:rsidRPr="00000000">
        <w:rPr>
          <w:rFonts w:ascii="Palatino Linotype" w:cs="Palatino Linotype" w:eastAsia="Palatino Linotype" w:hAnsi="Palatino Linotype"/>
          <w:b w:val="1"/>
          <w:bCs w:val="1"/>
          <w:i w:val="1"/>
          <w:iCs w:val="1"/>
          <w:u w:val="single"/>
          <w:rtl w:val="0"/>
        </w:rPr>
        <w:t xml:space="preserve">es un contrato por el cual uno de los contratantes concede gratuitamente el uso de un bien, y el otro contrae la obligación de restituirlo individualmente.</w:t>
      </w:r>
      <w:r w:rsidDel="00000000" w:rsidR="00000000" w:rsidRPr="00000000">
        <w:rPr>
          <w:rFonts w:ascii="Palatino Linotype" w:cs="Palatino Linotype" w:eastAsia="Palatino Linotype" w:hAnsi="Palatino Linotype"/>
          <w:b w:val="1"/>
          <w:bCs w:val="1"/>
          <w:i w:val="1"/>
          <w:iCs w:val="1"/>
          <w:rtl w:val="0"/>
        </w:rPr>
        <w:t xml:space="preserve"> </w:t>
      </w:r>
    </w:p>
    <w:p w:rsidR="00000000" w:rsidDel="00000000" w:rsidP="00000000" w:rsidRDefault="00000000" w:rsidRPr="00000000" w14:paraId="000000F5">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Elemento formal del comodato </w:t>
      </w:r>
    </w:p>
    <w:p w:rsidR="00000000" w:rsidDel="00000000" w:rsidP="00000000" w:rsidRDefault="00000000" w:rsidRPr="00000000" w14:paraId="000000F6">
      <w:pPr>
        <w:spacing w:after="0" w:lineRule="auto"/>
        <w:ind w:left="851" w:right="851"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i w:val="1"/>
          <w:iCs w:val="1"/>
          <w:rtl w:val="0"/>
        </w:rPr>
        <w:t xml:space="preserve">Artículo 7.722.- </w:t>
      </w:r>
      <w:r w:rsidDel="00000000" w:rsidR="00000000" w:rsidRPr="00000000">
        <w:rPr>
          <w:rFonts w:ascii="Palatino Linotype" w:cs="Palatino Linotype" w:eastAsia="Palatino Linotype" w:hAnsi="Palatino Linotype"/>
          <w:b w:val="1"/>
          <w:bCs w:val="1"/>
          <w:i w:val="1"/>
          <w:iCs w:val="1"/>
          <w:u w:val="single"/>
          <w:rtl w:val="0"/>
        </w:rPr>
        <w:t xml:space="preserve">El contrato de comodato debe celebrarse por escrito. </w:t>
      </w:r>
    </w:p>
    <w:p w:rsidR="00000000" w:rsidDel="00000000" w:rsidP="00000000" w:rsidRDefault="00000000" w:rsidRPr="00000000" w14:paraId="000000F7">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Comodato sobre bienes consumibles</w:t>
      </w:r>
    </w:p>
    <w:p w:rsidR="00000000" w:rsidDel="00000000" w:rsidP="00000000" w:rsidRDefault="00000000" w:rsidRPr="00000000" w14:paraId="000000F8">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7.723.- Cuando el comodato tuviere por objeto bienes consumibles, deberán ser restituidos idénticamente. </w:t>
      </w:r>
    </w:p>
    <w:p w:rsidR="00000000" w:rsidDel="00000000" w:rsidP="00000000" w:rsidRDefault="00000000" w:rsidRPr="00000000" w14:paraId="000000F9">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Autorización para dar bienes en comodato </w:t>
      </w:r>
    </w:p>
    <w:p w:rsidR="00000000" w:rsidDel="00000000" w:rsidP="00000000" w:rsidRDefault="00000000" w:rsidRPr="00000000" w14:paraId="000000FA">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7.724.- Los administradores de bienes ajenos, sólo podrán dar en comodato, previa autorización judicial, los bienes confiados a su guarda. </w:t>
      </w:r>
    </w:p>
    <w:p w:rsidR="00000000" w:rsidDel="00000000" w:rsidP="00000000" w:rsidRDefault="00000000" w:rsidRPr="00000000" w14:paraId="000000FB">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Autorización del comodante para conceder el uso a un tercero </w:t>
      </w:r>
    </w:p>
    <w:p w:rsidR="00000000" w:rsidDel="00000000" w:rsidP="00000000" w:rsidRDefault="00000000" w:rsidRPr="00000000" w14:paraId="000000FC">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7.725.- Solo con autorización del comodante, el comodatario podrá conceder el uso del bien a un tercero. </w:t>
      </w:r>
    </w:p>
    <w:p w:rsidR="00000000" w:rsidDel="00000000" w:rsidP="00000000" w:rsidRDefault="00000000" w:rsidRPr="00000000" w14:paraId="000000FD">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Derecho del comodatario </w:t>
      </w:r>
    </w:p>
    <w:p w:rsidR="00000000" w:rsidDel="00000000" w:rsidP="00000000" w:rsidRDefault="00000000" w:rsidRPr="00000000" w14:paraId="000000FE">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Artículo 7.726.- </w:t>
      </w:r>
      <w:r w:rsidDel="00000000" w:rsidR="00000000" w:rsidRPr="00000000">
        <w:rPr>
          <w:rFonts w:ascii="Palatino Linotype" w:cs="Palatino Linotype" w:eastAsia="Palatino Linotype" w:hAnsi="Palatino Linotype"/>
          <w:b w:val="1"/>
          <w:bCs w:val="1"/>
          <w:i w:val="1"/>
          <w:iCs w:val="1"/>
          <w:rtl w:val="0"/>
        </w:rPr>
        <w:t xml:space="preserve">El comodatario adquiere el uso, pero no los frutos y accesiones del bien dado en comodato. </w:t>
      </w:r>
    </w:p>
    <w:p w:rsidR="00000000" w:rsidDel="00000000" w:rsidP="00000000" w:rsidRDefault="00000000" w:rsidRPr="00000000" w14:paraId="000000FF">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Obligación del comodatario </w:t>
      </w:r>
    </w:p>
    <w:p w:rsidR="00000000" w:rsidDel="00000000" w:rsidP="00000000" w:rsidRDefault="00000000" w:rsidRPr="00000000" w14:paraId="00000100">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7.727.- </w:t>
      </w:r>
      <w:r w:rsidDel="00000000" w:rsidR="00000000" w:rsidRPr="00000000">
        <w:rPr>
          <w:rFonts w:ascii="Palatino Linotype" w:cs="Palatino Linotype" w:eastAsia="Palatino Linotype" w:hAnsi="Palatino Linotype"/>
          <w:b w:val="1"/>
          <w:bCs w:val="1"/>
          <w:i w:val="1"/>
          <w:iCs w:val="1"/>
          <w:rtl w:val="0"/>
        </w:rPr>
        <w:t xml:space="preserve">El comodatario está obligado a poner toda la diligencia en la conservación del bien, y es responsable de todo deterioro que sufra por su culpa</w:t>
      </w: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101">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Deterioro que impide el uso ordinario </w:t>
      </w:r>
    </w:p>
    <w:p w:rsidR="00000000" w:rsidDel="00000000" w:rsidP="00000000" w:rsidRDefault="00000000" w:rsidRPr="00000000" w14:paraId="00000102">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7.728.- Si es tal el deterioro del bien que no sea susceptible de emplearse en su uso ordinario, el comodante podrá exigir el valor del mismo, a ese momento. </w:t>
      </w:r>
    </w:p>
    <w:p w:rsidR="00000000" w:rsidDel="00000000" w:rsidP="00000000" w:rsidRDefault="00000000" w:rsidRPr="00000000" w14:paraId="00000103">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Uso diverso del bien o por más tiempo </w:t>
      </w:r>
    </w:p>
    <w:p w:rsidR="00000000" w:rsidDel="00000000" w:rsidP="00000000" w:rsidRDefault="00000000" w:rsidRPr="00000000" w14:paraId="00000104">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7.729.- El comodatario responde de la pérdida del bien si lo emplea en uso diverso o por más tiempo del convenido, aún cuando aquélla sobrevenga por caso fortuito. </w:t>
      </w:r>
    </w:p>
    <w:p w:rsidR="00000000" w:rsidDel="00000000" w:rsidP="00000000" w:rsidRDefault="00000000" w:rsidRPr="00000000" w14:paraId="00000105">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Gastos ordinarios para la conservación del bien </w:t>
      </w:r>
    </w:p>
    <w:p w:rsidR="00000000" w:rsidDel="00000000" w:rsidP="00000000" w:rsidRDefault="00000000" w:rsidRPr="00000000" w14:paraId="00000106">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7.730.- El comodatario no tiene derecho para repetir el importe de los gastos ordinarios que efectúe para la conservación del bien prestado. </w:t>
      </w:r>
    </w:p>
    <w:p w:rsidR="00000000" w:rsidDel="00000000" w:rsidP="00000000" w:rsidRDefault="00000000" w:rsidRPr="00000000" w14:paraId="00000107">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Obligación del comodatario de entregar el bien </w:t>
      </w:r>
    </w:p>
    <w:p w:rsidR="00000000" w:rsidDel="00000000" w:rsidP="00000000" w:rsidRDefault="00000000" w:rsidRPr="00000000" w14:paraId="00000108">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7.731.- Tampoco tiene derecho el comodatario para retener el bien a pretexto de lo que por expensas o por cualquier otra causa le deba el dueño. </w:t>
      </w:r>
    </w:p>
    <w:p w:rsidR="00000000" w:rsidDel="00000000" w:rsidP="00000000" w:rsidRDefault="00000000" w:rsidRPr="00000000" w14:paraId="00000109">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Obligaciones solidarias de los comodatarios </w:t>
      </w:r>
    </w:p>
    <w:p w:rsidR="00000000" w:rsidDel="00000000" w:rsidP="00000000" w:rsidRDefault="00000000" w:rsidRPr="00000000" w14:paraId="0000010A">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7.732.- Siendo dos o más los comodatarios, están sujetos solidariamente a las mismas obligaciones. </w:t>
      </w:r>
    </w:p>
    <w:p w:rsidR="00000000" w:rsidDel="00000000" w:rsidP="00000000" w:rsidRDefault="00000000" w:rsidRPr="00000000" w14:paraId="0000010B">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Falta de convenio sobre uso y plazo </w:t>
      </w:r>
    </w:p>
    <w:p w:rsidR="00000000" w:rsidDel="00000000" w:rsidP="00000000" w:rsidRDefault="00000000" w:rsidRPr="00000000" w14:paraId="0000010C">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7.733.- Si no se ha determinado el uso o el plazo del comodato, el comodante podrá exigir la devolución del bien cuando convenga a sus intereses.</w:t>
      </w:r>
    </w:p>
    <w:p w:rsidR="00000000" w:rsidDel="00000000" w:rsidP="00000000" w:rsidRDefault="00000000" w:rsidRPr="00000000" w14:paraId="0000010D">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Derecho del comodante de exigir la devolución </w:t>
      </w:r>
    </w:p>
    <w:p w:rsidR="00000000" w:rsidDel="00000000" w:rsidP="00000000" w:rsidRDefault="00000000" w:rsidRPr="00000000" w14:paraId="0000010E">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7.734.- El comodante podrá exigir la devolución del bien antes de que termine el plazo cuando: </w:t>
      </w:r>
    </w:p>
    <w:p w:rsidR="00000000" w:rsidDel="00000000" w:rsidP="00000000" w:rsidRDefault="00000000" w:rsidRPr="00000000" w14:paraId="0000010F">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Tenga necesidad de él; </w:t>
      </w:r>
    </w:p>
    <w:p w:rsidR="00000000" w:rsidDel="00000000" w:rsidP="00000000" w:rsidRDefault="00000000" w:rsidRPr="00000000" w14:paraId="00000110">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Exista peligro de que el bien perezca, de continuar en poder del comodatario; </w:t>
      </w:r>
    </w:p>
    <w:p w:rsidR="00000000" w:rsidDel="00000000" w:rsidP="00000000" w:rsidRDefault="00000000" w:rsidRPr="00000000" w14:paraId="00000111">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El comodatario haya autorizado a un tercero a servirse del bien sin consentimiento del comodante. </w:t>
      </w:r>
    </w:p>
    <w:p w:rsidR="00000000" w:rsidDel="00000000" w:rsidP="00000000" w:rsidRDefault="00000000" w:rsidRPr="00000000" w14:paraId="00000112">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Gastos necesarios para la conservación del bien </w:t>
      </w:r>
    </w:p>
    <w:p w:rsidR="00000000" w:rsidDel="00000000" w:rsidP="00000000" w:rsidRDefault="00000000" w:rsidRPr="00000000" w14:paraId="00000113">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7.735.- El comodatario tiene la obligación de pagar los gastos necesarios para la conservación del bien, salvo pacto en contrario. </w:t>
      </w:r>
    </w:p>
    <w:p w:rsidR="00000000" w:rsidDel="00000000" w:rsidP="00000000" w:rsidRDefault="00000000" w:rsidRPr="00000000" w14:paraId="00000114">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Vicios del bien objeto del comodato </w:t>
      </w:r>
    </w:p>
    <w:p w:rsidR="00000000" w:rsidDel="00000000" w:rsidP="00000000" w:rsidRDefault="00000000" w:rsidRPr="00000000" w14:paraId="00000115">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7.736.- Cuando el bien dado en comodato tenga defectos tales que cause perjuicios al que se sirva de él, el comodante es responsable de éstos, si conocía los defectos y no dio aviso oportuno al comodatario. </w:t>
      </w:r>
    </w:p>
    <w:p w:rsidR="00000000" w:rsidDel="00000000" w:rsidP="00000000" w:rsidRDefault="00000000" w:rsidRPr="00000000" w14:paraId="00000116">
      <w:pPr>
        <w:spacing w:after="0" w:lineRule="auto"/>
        <w:ind w:left="851" w:right="851"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Muerte del comodatario </w:t>
      </w:r>
    </w:p>
    <w:p w:rsidR="00000000" w:rsidDel="00000000" w:rsidP="00000000" w:rsidRDefault="00000000" w:rsidRPr="00000000" w14:paraId="00000117">
      <w:pPr>
        <w:spacing w:after="0" w:lineRule="auto"/>
        <w:ind w:left="851" w:right="85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7.737.- El comodato termina por la muerte del comodatario.”</w:t>
      </w:r>
    </w:p>
    <w:p w:rsidR="00000000" w:rsidDel="00000000" w:rsidP="00000000" w:rsidRDefault="00000000" w:rsidRPr="00000000" w14:paraId="00000118">
      <w:pP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(Énfasis añadido)</w:t>
      </w:r>
      <w:r w:rsidDel="00000000" w:rsidR="00000000" w:rsidRPr="00000000">
        <w:rPr>
          <w:rtl w:val="0"/>
        </w:rPr>
      </w:r>
    </w:p>
    <w:p w:rsidR="00000000" w:rsidDel="00000000" w:rsidP="00000000" w:rsidRDefault="00000000" w:rsidRPr="00000000" w14:paraId="00000119">
      <w:pPr>
        <w:spacing w:after="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anteriormente citado, podemos apreciar que el comodato es el contrato por el que el comodante concede gratuitamente el uso de un bien al comodatario quien se obliga a restituirlo una vez concluida la vigencia del contrato, y que el contrato debe constar por escrito. </w:t>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particular, debemos destacar que el Tesorero Municipal otorgo en comodato al Ayuntamiento de Tenango del Valle, el vehículo respecto del cual es propietario para efectos de desempeño de sus funciones, teniendo el Ayuntamiento como única obligación de comodatario, el abastecimiento de combustible, sin embargo, se insiste, el vehículo es propiedad del servidor público, es decir, es parte de su patrimonio.</w:t>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dilucidado este concepto, se procede a analizar si procede o no la clasificación de dichos datos: </w:t>
      </w:r>
    </w:p>
    <w:p w:rsidR="00000000" w:rsidDel="00000000" w:rsidP="00000000" w:rsidRDefault="00000000" w:rsidRPr="00000000" w14:paraId="0000011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Unidad, marca, modelo, color, número de serie y placas:</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left" w:leader="none" w:pos="426"/>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los Lineamientos Generales en Materia de Clasificación y Desclasificación de la Información, así como para la Elaboración de Versiones Públicas, vigentes a la fecha de la solicitud, en su numeral Trigésimo Octavo, fracción I, número 6, </w:t>
      </w:r>
      <w:r w:rsidDel="00000000" w:rsidR="00000000" w:rsidRPr="00000000">
        <w:rPr>
          <w:rFonts w:ascii="Palatino Linotype" w:cs="Palatino Linotype" w:eastAsia="Palatino Linotype" w:hAnsi="Palatino Linotype"/>
          <w:b w:val="1"/>
          <w:bCs w:val="1"/>
          <w:rtl w:val="0"/>
        </w:rPr>
        <w:t xml:space="preserve">se consideran datos susceptibles de clasificarse como confidenciales, </w:t>
      </w:r>
      <w:r w:rsidDel="00000000" w:rsidR="00000000" w:rsidRPr="00000000">
        <w:rPr>
          <w:rFonts w:ascii="Palatino Linotype" w:cs="Palatino Linotype" w:eastAsia="Palatino Linotype" w:hAnsi="Palatino Linotype"/>
          <w:b w:val="1"/>
          <w:bCs w:val="1"/>
          <w:u w:val="single"/>
          <w:rtl w:val="0"/>
        </w:rPr>
        <w:t xml:space="preserve">aquellos relativos a bienes muebles </w:t>
      </w:r>
      <w:r w:rsidDel="00000000" w:rsidR="00000000" w:rsidRPr="00000000">
        <w:rPr>
          <w:rFonts w:ascii="Palatino Linotype" w:cs="Palatino Linotype" w:eastAsia="Palatino Linotype" w:hAnsi="Palatino Linotype"/>
          <w:b w:val="1"/>
          <w:bCs w:val="1"/>
          <w:rtl w:val="0"/>
        </w:rPr>
        <w:t xml:space="preserve">e inmuebles</w:t>
      </w:r>
      <w:r w:rsidDel="00000000" w:rsidR="00000000" w:rsidRPr="00000000">
        <w:rPr>
          <w:rFonts w:ascii="Palatino Linotype" w:cs="Palatino Linotype" w:eastAsia="Palatino Linotype" w:hAnsi="Palatino Linotype"/>
          <w:b w:val="1"/>
          <w:bCs w:val="1"/>
          <w:u w:val="single"/>
          <w:rtl w:val="0"/>
        </w:rPr>
        <w:t xml:space="preserve"> de su propiedad</w:t>
      </w:r>
      <w:r w:rsidDel="00000000" w:rsidR="00000000" w:rsidRPr="00000000">
        <w:rPr>
          <w:rFonts w:ascii="Palatino Linotype" w:cs="Palatino Linotype" w:eastAsia="Palatino Linotype" w:hAnsi="Palatino Linotype"/>
          <w:rtl w:val="0"/>
        </w:rPr>
        <w:t xml:space="preserve">,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 por tanto, en términos del artículo143, fracción I, de la Ley de Transparencia Local.</w:t>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left" w:leader="none" w:pos="426"/>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leader="none" w:pos="426"/>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anteriormente expuesto, se aprecia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realizó una clasificación correcta de la información, toda vez que, se insiste, los datos que testó en el documento constituyen información confidencial que no abonan a la transparencia, sin embargo, para mejor proveer del presente asunto, debe analizarse el acuerdo emitido por el Comité de Transparencia, con el propósito de determinar si se realizó conforme a derecho, para esto se inserta el siguiente cuadro de análisis que contempla únicamente los elementos de forma del acuerdo en comento:</w:t>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leader="none" w:pos="426"/>
        </w:tabs>
        <w:spacing w:after="0" w:line="360" w:lineRule="auto"/>
        <w:ind w:right="49"/>
        <w:jc w:val="both"/>
        <w:rPr>
          <w:rFonts w:ascii="Palatino Linotype" w:cs="Palatino Linotype" w:eastAsia="Palatino Linotype" w:hAnsi="Palatino Linotype"/>
        </w:rPr>
      </w:pPr>
      <w:r w:rsidDel="00000000" w:rsidR="00000000" w:rsidRPr="00000000">
        <w:rPr>
          <w:rtl w:val="0"/>
        </w:rPr>
      </w:r>
    </w:p>
    <w:tbl>
      <w:tblPr>
        <w:tblStyle w:val="Table2"/>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7"/>
        <w:gridCol w:w="6013"/>
        <w:gridCol w:w="1499"/>
        <w:tblGridChange w:id="0">
          <w:tblGrid>
            <w:gridCol w:w="1548"/>
            <w:gridCol w:w="7"/>
            <w:gridCol w:w="6013"/>
            <w:gridCol w:w="1499"/>
          </w:tblGrid>
        </w:tblGridChange>
      </w:tblGrid>
      <w:tr>
        <w:trPr>
          <w:cantSplit w:val="0"/>
          <w:trHeight w:val="569" w:hRule="atLeast"/>
          <w:tblHeader w:val="0"/>
        </w:trPr>
        <w:tc>
          <w:tcPr>
            <w:shd w:fill="deebf6" w:val="clear"/>
          </w:tcPr>
          <w:p w:rsidR="00000000" w:rsidDel="00000000" w:rsidP="00000000" w:rsidRDefault="00000000" w:rsidRPr="00000000" w14:paraId="00000125">
            <w:pPr>
              <w:spacing w:after="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Elementos del acuerdo de clasificación</w:t>
            </w:r>
          </w:p>
        </w:tc>
        <w:tc>
          <w:tcPr>
            <w:gridSpan w:val="2"/>
            <w:shd w:fill="deebf6" w:val="clear"/>
          </w:tcPr>
          <w:p w:rsidR="00000000" w:rsidDel="00000000" w:rsidP="00000000" w:rsidRDefault="00000000" w:rsidRPr="00000000" w14:paraId="00000126">
            <w:pPr>
              <w:spacing w:after="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Contenido</w:t>
            </w:r>
          </w:p>
        </w:tc>
        <w:tc>
          <w:tcPr>
            <w:shd w:fill="deebf6" w:val="clear"/>
          </w:tcPr>
          <w:p w:rsidR="00000000" w:rsidDel="00000000" w:rsidP="00000000" w:rsidRDefault="00000000" w:rsidRPr="00000000" w14:paraId="00000128">
            <w:pPr>
              <w:spacing w:after="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¿Cumple?</w:t>
            </w:r>
          </w:p>
        </w:tc>
      </w:tr>
      <w:tr>
        <w:trPr>
          <w:cantSplit w:val="0"/>
          <w:tblHeader w:val="0"/>
        </w:trPr>
        <w:tc>
          <w:tcPr/>
          <w:p w:rsidR="00000000" w:rsidDel="00000000" w:rsidP="00000000" w:rsidRDefault="00000000" w:rsidRPr="00000000" w14:paraId="00000129">
            <w:pPr>
              <w:spacing w:after="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bCs w:val="1"/>
                <w:sz w:val="20"/>
                <w:szCs w:val="20"/>
                <w:rtl w:val="0"/>
              </w:rPr>
              <w:t xml:space="preserve">Referencia de la información solicitada</w:t>
            </w:r>
            <w:r w:rsidDel="00000000" w:rsidR="00000000" w:rsidRPr="00000000">
              <w:rPr>
                <w:rtl w:val="0"/>
              </w:rPr>
            </w:r>
          </w:p>
        </w:tc>
        <w:tc>
          <w:tcPr>
            <w:gridSpan w:val="2"/>
          </w:tcPr>
          <w:p w:rsidR="00000000" w:rsidDel="00000000" w:rsidP="00000000" w:rsidRDefault="00000000" w:rsidRPr="00000000" w14:paraId="0000012A">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685540" cy="823595"/>
                  <wp:effectExtent b="0" l="0" r="0" t="0"/>
                  <wp:docPr id="89832445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85540" cy="8235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C">
            <w:pPr>
              <w:spacing w:after="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Sí</w:t>
            </w:r>
          </w:p>
        </w:tc>
      </w:tr>
      <w:tr>
        <w:trPr>
          <w:cantSplit w:val="0"/>
          <w:tblHeader w:val="0"/>
        </w:trPr>
        <w:tc>
          <w:tcPr>
            <w:gridSpan w:val="2"/>
            <w:shd w:fill="auto" w:val="clear"/>
          </w:tcPr>
          <w:p w:rsidR="00000000" w:rsidDel="00000000" w:rsidP="00000000" w:rsidRDefault="00000000" w:rsidRPr="00000000" w14:paraId="0000012D">
            <w:pPr>
              <w:spacing w:after="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Firma de las autoridades competentes.</w:t>
            </w:r>
          </w:p>
        </w:tc>
        <w:tc>
          <w:tcPr>
            <w:shd w:fill="auto" w:val="clear"/>
          </w:tcPr>
          <w:p w:rsidR="00000000" w:rsidDel="00000000" w:rsidP="00000000" w:rsidRDefault="00000000" w:rsidRPr="00000000" w14:paraId="0000012F">
            <w:pPr>
              <w:spacing w:after="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z w:val="20"/>
                <w:szCs w:val="20"/>
              </w:rPr>
              <w:drawing>
                <wp:inline distB="0" distT="0" distL="0" distR="0">
                  <wp:extent cx="3681095" cy="1902460"/>
                  <wp:effectExtent b="0" l="0" r="0" t="0"/>
                  <wp:docPr id="89832445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681095" cy="190246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30">
            <w:pPr>
              <w:spacing w:after="0" w:lineRule="auto"/>
              <w:jc w:val="center"/>
              <w:rPr>
                <w:rFonts w:ascii="Palatino Linotype" w:cs="Palatino Linotype" w:eastAsia="Palatino Linotype" w:hAnsi="Palatino Linotype"/>
                <w:b w:val="1"/>
                <w:bCs w:val="1"/>
                <w:sz w:val="20"/>
                <w:szCs w:val="20"/>
              </w:rPr>
            </w:pPr>
            <w:r w:rsidDel="00000000" w:rsidR="00000000" w:rsidRPr="00000000">
              <w:rPr>
                <w:rFonts w:ascii="Palatino Linotype" w:cs="Palatino Linotype" w:eastAsia="Palatino Linotype" w:hAnsi="Palatino Linotype"/>
                <w:b w:val="1"/>
                <w:bCs w:val="1"/>
                <w:sz w:val="20"/>
                <w:szCs w:val="20"/>
                <w:rtl w:val="0"/>
              </w:rPr>
              <w:t xml:space="preserve">Si</w:t>
            </w:r>
          </w:p>
        </w:tc>
      </w:tr>
    </w:tbl>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del cuadro previamente insertado, por cuanto hace a los elementos de forma, se aprecia que este hace referencia a la información solicitada y cuenta con las firmas de los integrantes del Comité de Transparencia, por lo tanto, es dable afirmar que estos elementos si los satisface el acuerdo en análisis.</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los </w:t>
      </w:r>
      <w:r w:rsidDel="00000000" w:rsidR="00000000" w:rsidRPr="00000000">
        <w:rPr>
          <w:rFonts w:ascii="Palatino Linotype" w:cs="Palatino Linotype" w:eastAsia="Palatino Linotype" w:hAnsi="Palatino Linotype"/>
          <w:b w:val="1"/>
          <w:bCs w:val="1"/>
          <w:rtl w:val="0"/>
        </w:rPr>
        <w:t xml:space="preserve">elementos de fondo</w:t>
      </w:r>
      <w:r w:rsidDel="00000000" w:rsidR="00000000" w:rsidRPr="00000000">
        <w:rPr>
          <w:rFonts w:ascii="Palatino Linotype" w:cs="Palatino Linotype" w:eastAsia="Palatino Linotype" w:hAnsi="Palatino Linotype"/>
          <w:rtl w:val="0"/>
        </w:rPr>
        <w:t xml:space="preserve">, este Instituto advierte que dentro del acuerdo, se expresa el artículo, inciso, párrafo o numeral de la ley que le otorga el carácter de confidencial, al referir que los datos testados previamente analizados son confidenciales de conformidad con el artículo 143 fracción I de la Ley de Transparencia Local y 4, fracción XI de la Ley de Protección de Datos Local, relacionados con el numeral Trigésimo Octavo, fracción I de los Lineamientos Generales en Materia de Clasificación y Desclasificación de la Información.</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la </w:t>
      </w:r>
      <w:r w:rsidDel="00000000" w:rsidR="00000000" w:rsidRPr="00000000">
        <w:rPr>
          <w:rFonts w:ascii="Palatino Linotype" w:cs="Palatino Linotype" w:eastAsia="Palatino Linotype" w:hAnsi="Palatino Linotype"/>
          <w:b w:val="1"/>
          <w:bCs w:val="1"/>
          <w:rtl w:val="0"/>
        </w:rPr>
        <w:t xml:space="preserve">fundamentación y motivación</w:t>
      </w:r>
      <w:r w:rsidDel="00000000" w:rsidR="00000000" w:rsidRPr="00000000">
        <w:rPr>
          <w:rFonts w:ascii="Palatino Linotype" w:cs="Palatino Linotype" w:eastAsia="Palatino Linotype" w:hAnsi="Palatino Linotype"/>
          <w:rtl w:val="0"/>
        </w:rPr>
        <w:t xml:space="preserve">, tenemos que el</w:t>
      </w:r>
      <w:r w:rsidDel="00000000" w:rsidR="00000000" w:rsidRPr="00000000">
        <w:rPr>
          <w:rFonts w:ascii="Palatino Linotype" w:cs="Palatino Linotype" w:eastAsia="Palatino Linotype" w:hAnsi="Palatino Linotype"/>
          <w:b w:val="1"/>
          <w:bCs w:val="1"/>
          <w:rtl w:val="0"/>
        </w:rPr>
        <w:t xml:space="preserve"> Sujeto Obligado </w:t>
      </w:r>
      <w:r w:rsidDel="00000000" w:rsidR="00000000" w:rsidRPr="00000000">
        <w:rPr>
          <w:rFonts w:ascii="Palatino Linotype" w:cs="Palatino Linotype" w:eastAsia="Palatino Linotype" w:hAnsi="Palatino Linotype"/>
          <w:rtl w:val="0"/>
        </w:rPr>
        <w:t xml:space="preserve">omitió aportar las razones por las que a los datos testados les reviste la calidad de confidenciales.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138">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“FUNDAMENTACION Y MOTIVACION.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La </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single"/>
          <w:shd w:fill="auto" w:val="clear"/>
          <w:vertAlign w:val="baseline"/>
          <w:rtl w:val="0"/>
        </w:rPr>
        <w:t xml:space="preserve">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B">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00000" w:rsidDel="00000000" w:rsidP="00000000" w:rsidRDefault="00000000" w:rsidRPr="00000000" w14:paraId="0000013D">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Más aún, a través de diversa jurisprudencia dictada por el Poder Judicial de la Federación se sostiene que la finalidad de la fundamentación o motivación es la de explicar, justificar, posibilitar la defensa y comunicar la decisión de la autoridad:</w:t>
      </w:r>
    </w:p>
    <w:p w:rsidR="00000000" w:rsidDel="00000000" w:rsidP="00000000" w:rsidRDefault="00000000" w:rsidRPr="00000000" w14:paraId="0000013F">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El contenido formal de la garantía de legalidad prevista en el artículo 16 constitucional relativa a la fundamentación</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Por tanto, </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single"/>
          <w:shd w:fill="auto" w:val="clear"/>
          <w:vertAlign w:val="baseline"/>
          <w:rtl w:val="0"/>
        </w:rPr>
        <w:t xml:space="preserve">no basta que el acto de autoridad apenas observe una motivación pro forma pero de una manera incongruente, insuficiente o imprecisa</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que impida la finalidad del conocimiento, comprobación y defensa pertinente</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single"/>
          <w:shd w:fill="auto" w:val="clear"/>
          <w:vertAlign w:val="baseline"/>
          <w:rtl w:val="0"/>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Énfasis añadido.</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 toda vez que se insiste,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solamente citó los fundamentos por los que a la información le reviste el carácter de confidencial, sin embargo, no motivó su actuar, lo cual, nos conduce a afirmar que no se otorga certeza jurídica al particular respecto de la clasificación de la información.</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ende, es que se determina que, en cuanto a </w:t>
      </w:r>
      <w:r w:rsidDel="00000000" w:rsidR="00000000" w:rsidRPr="00000000">
        <w:rPr>
          <w:rFonts w:ascii="Palatino Linotype" w:cs="Palatino Linotype" w:eastAsia="Palatino Linotype" w:hAnsi="Palatino Linotype"/>
          <w:b w:val="1"/>
          <w:bCs w:val="1"/>
          <w:rtl w:val="0"/>
        </w:rPr>
        <w:t xml:space="preserve">cuestiones de fondo</w:t>
      </w:r>
      <w:r w:rsidDel="00000000" w:rsidR="00000000" w:rsidRPr="00000000">
        <w:rPr>
          <w:rFonts w:ascii="Palatino Linotype" w:cs="Palatino Linotype" w:eastAsia="Palatino Linotype" w:hAnsi="Palatino Linotype"/>
          <w:rtl w:val="0"/>
        </w:rPr>
        <w:t xml:space="preserve">, el acuerdo de clasificación NO fue emitido con las formalidades de derecho, por lo que abordamos a la conclusión de que el acuerdo que da sustento a la versión pública, es correcto pues contiene los fundamentos y motivos por los que resulta pertinente clasificar la información.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spacing w:after="0" w:line="360" w:lineRule="auto"/>
        <w:jc w:val="both"/>
        <w:rPr>
          <w:rFonts w:ascii="Palatino Linotype" w:cs="Palatino Linotype" w:eastAsia="Palatino Linotype" w:hAnsi="Palatino Linotype"/>
        </w:rPr>
      </w:pPr>
      <w:bookmarkStart w:colFirst="0" w:colLast="0" w:name="_heading=h.4d34og8" w:id="4"/>
      <w:bookmarkEnd w:id="4"/>
      <w:r w:rsidDel="00000000" w:rsidR="00000000" w:rsidRPr="00000000">
        <w:rPr>
          <w:rFonts w:ascii="Palatino Linotype" w:cs="Palatino Linotype" w:eastAsia="Palatino Linotype" w:hAnsi="Palatino Linotype"/>
          <w:rtl w:val="0"/>
        </w:rPr>
        <w:t xml:space="preserve">Por lo anteriormente analizado, este Instituto determina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omitió proporcionar la totalidad de la información solicitada; por lo que resulta procedente ordenar la entrega del Acuerdo del Comité de Transparencia en términos de la Ley de Transparencia y Acceso a la Información Pública del Estado de México y Municipios, en el que funde y motive la clasificación de los datos que obran en las Bitácoras de suministro de gasolina del área de Tesorería Municipal, de la unidad vehicular otorgada en comodato, correspondiente al mes de junio de dos mil veinticinco, remitidos en respuesta.</w:t>
      </w:r>
    </w:p>
    <w:p w:rsidR="00000000" w:rsidDel="00000000" w:rsidP="00000000" w:rsidRDefault="00000000" w:rsidRPr="00000000" w14:paraId="0000014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426"/>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los </w:t>
      </w:r>
      <w:r w:rsidDel="00000000" w:rsidR="00000000" w:rsidRPr="00000000">
        <w:rPr>
          <w:rFonts w:ascii="Palatino Linotype" w:cs="Palatino Linotype" w:eastAsia="Palatino Linotype" w:hAnsi="Palatino Linotype"/>
          <w:b w:val="1"/>
          <w:bCs w:val="1"/>
          <w:i w:val="1"/>
          <w:iCs w:val="1"/>
          <w:rtl w:val="0"/>
        </w:rPr>
        <w:t xml:space="preserve">comprobantes justificativos (Oficios de Comisión) </w:t>
      </w:r>
      <w:r w:rsidDel="00000000" w:rsidR="00000000" w:rsidRPr="00000000">
        <w:rPr>
          <w:rFonts w:ascii="Palatino Linotype" w:cs="Palatino Linotype" w:eastAsia="Palatino Linotype" w:hAnsi="Palatino Linotype"/>
          <w:rtl w:val="0"/>
        </w:rPr>
        <w:t xml:space="preserve">en respuesta informó que en virtud que el servidor público es el titular del área, el uso de este vehículo está destinado para gestiones de la tesorería municipal, por lo que no requiere de oficio de comisión; motivo por el cual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manifestó su inconformidad adoleciéndose de la falta de los oficios de comisión; por lo que en Informe Justificado ratifico su respuesta precisando que con la finalidad de que el solicitante no tenga más inconvenientes o confusiones con la respuesta informó </w:t>
      </w:r>
      <w:r w:rsidDel="00000000" w:rsidR="00000000" w:rsidRPr="00000000">
        <w:rPr>
          <w:rFonts w:ascii="Palatino Linotype" w:cs="Palatino Linotype" w:eastAsia="Palatino Linotype" w:hAnsi="Palatino Linotype"/>
          <w:i w:val="1"/>
          <w:iCs w:val="1"/>
          <w:rtl w:val="0"/>
        </w:rPr>
        <w:t xml:space="preserve">“…se le dice de forma clara y precisa que, para el suministro de gasolina del área de Tesorería no se generan oficios de comisión en virtud de que el servidor público es el titular del área, el uso de este vehículo está destinado para gestiones de la tesorería municipal y no requiere de oficio de comisión, por eso no se generan”</w:t>
      </w:r>
      <w:r w:rsidDel="00000000" w:rsidR="00000000" w:rsidRPr="00000000">
        <w:rPr>
          <w:rFonts w:ascii="Palatino Linotype" w:cs="Palatino Linotype" w:eastAsia="Palatino Linotype" w:hAnsi="Palatino Linotype"/>
          <w:rtl w:val="0"/>
        </w:rPr>
        <w:t xml:space="preserve">, lo cual se constituye en una expresión en sentido negativo puesto que en la misma refiere expresamente que no cuenta con Oficios de Comisión, siendo imposible, en consecuencia, proporcionar documento alguno al no haberse generado.</w:t>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leader="none" w:pos="426"/>
        </w:tabs>
        <w:spacing w:after="0" w:line="360" w:lineRule="auto"/>
        <w:ind w:right="49"/>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toda vez que no posee, administra, ni generó la información requerida por la persona solicitante, constituye un hecho negativo; entonces, si se considera el hecho negativo, es obvio que éste no puede fácticamente obrar en los archivos del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ya que no puede probarse por ser lógica y materialmente imposible.</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se trata de un caso por el cual la negación del hecho implique la afirmación del mismo, simplemente se está ante una notoria y evidente inexistencia fáctica de la información solicitada en dicha área, por lo que resulta aplicable la Tesis</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emitida por la Segunda Sala de la Suprema Corte de la Nación, que es del tenor literal siguiente:</w:t>
      </w:r>
    </w:p>
    <w:p w:rsidR="00000000" w:rsidDel="00000000" w:rsidP="00000000" w:rsidRDefault="00000000" w:rsidRPr="00000000" w14:paraId="0000014D">
      <w:pPr>
        <w:spacing w:after="0" w:lineRule="auto"/>
        <w:ind w:left="851" w:right="90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14E">
      <w:pPr>
        <w:spacing w:after="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“HECHOS NEGATIVOS, NO SON SUSCEPTIBLES DE DEMOSTRACIÓN</w:t>
      </w:r>
      <w:r w:rsidDel="00000000" w:rsidR="00000000" w:rsidRPr="00000000">
        <w:rPr>
          <w:rFonts w:ascii="Palatino Linotype" w:cs="Palatino Linotype" w:eastAsia="Palatino Linotype" w:hAnsi="Palatino Linotype"/>
          <w:i w:val="1"/>
          <w:iCs w:val="1"/>
          <w:rtl w:val="0"/>
        </w:rPr>
        <w:t xml:space="preserve">. Tratándose de un hecho negativo, el Juez no tiene por qué invocar prueba alguna de la que se desprenda, ya que es bien sabido que esta clase de hechos no son susceptibles de demostración.” </w:t>
      </w:r>
      <w:r w:rsidDel="00000000" w:rsidR="00000000" w:rsidRPr="00000000">
        <w:rPr>
          <w:rtl w:val="0"/>
        </w:rPr>
      </w:r>
    </w:p>
    <w:p w:rsidR="00000000" w:rsidDel="00000000" w:rsidP="00000000" w:rsidRDefault="00000000" w:rsidRPr="00000000" w14:paraId="0000014F">
      <w:pPr>
        <w:spacing w:after="0"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spacing w:after="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basta con la aseveración por parte del servidor público habilitado de la Coordinación de Servicios Generales, como el área competente para conocer de la información requerida, respeto de la inexistencia de la misma;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rsidR="00000000" w:rsidDel="00000000" w:rsidP="00000000" w:rsidRDefault="00000000" w:rsidRPr="00000000" w14:paraId="00000151">
      <w:pPr>
        <w:spacing w:after="0"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spacing w:after="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menos aún, los Sujetos Obligados se encuentran obligados a generar documentos a fin de atender las solicitudes de acceso a la información que les sean formuladas, tal y como se desprende del mismo texto del artículo 12 de la Ley de la Materia en consulta.</w:t>
      </w:r>
    </w:p>
    <w:p w:rsidR="00000000" w:rsidDel="00000000" w:rsidP="00000000" w:rsidRDefault="00000000" w:rsidRPr="00000000" w14:paraId="00000153">
      <w:pPr>
        <w:spacing w:after="0"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respecto al pronunciamiento emitido por el servidor público habilitado competente a fin de dar respuesta a la solicitud planteada,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no escapa de la óptica de este Órgano Garante que en sus motivos de inconformidad el particular señaló “…</w:t>
      </w:r>
      <w:r w:rsidDel="00000000" w:rsidR="00000000" w:rsidRPr="00000000">
        <w:rPr>
          <w:rFonts w:ascii="Palatino Linotype" w:cs="Palatino Linotype" w:eastAsia="Palatino Linotype" w:hAnsi="Palatino Linotype"/>
          <w:i w:val="1"/>
          <w:iCs w:val="1"/>
          <w:rtl w:val="0"/>
        </w:rPr>
        <w:t xml:space="preserve">YA QUE EL FUNCIONARIO AL TENER UN SALARIO NO DEBE CONSIMIR CON CARGO AL GASTO PUBLICO PARA USO PERSONAL</w:t>
      </w:r>
      <w:r w:rsidDel="00000000" w:rsidR="00000000" w:rsidRPr="00000000">
        <w:rPr>
          <w:rFonts w:ascii="Palatino Linotype" w:cs="Palatino Linotype" w:eastAsia="Palatino Linotype" w:hAnsi="Palatino Linotype"/>
          <w:rtl w:val="0"/>
        </w:rPr>
        <w:t xml:space="preserve">”; se trata de planteamientos subjetivos que no son atendibles mediante el derecho de acceso a la información pública, toda vez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p w:rsidR="00000000" w:rsidDel="00000000" w:rsidP="00000000" w:rsidRDefault="00000000" w:rsidRPr="00000000" w14:paraId="0000015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59">
      <w:pPr>
        <w:spacing w:after="0"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 E S U E L V E</w:t>
      </w:r>
    </w:p>
    <w:p w:rsidR="00000000" w:rsidDel="00000000" w:rsidP="00000000" w:rsidRDefault="00000000" w:rsidRPr="00000000" w14:paraId="0000015A">
      <w:pPr>
        <w:spacing w:after="0" w:line="360" w:lineRule="auto"/>
        <w:ind w:left="1080" w:firstLine="0"/>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15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w:t>
      </w:r>
      <w:r w:rsidDel="00000000" w:rsidR="00000000" w:rsidRPr="00000000">
        <w:rPr>
          <w:rFonts w:ascii="Palatino Linotype" w:cs="Palatino Linotype" w:eastAsia="Palatino Linotype" w:hAnsi="Palatino Linotype"/>
          <w:rtl w:val="0"/>
        </w:rPr>
        <w:t xml:space="preserve">Resultan parcialmente fundados los motivos de inconformidad hechos valer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bCs w:val="1"/>
          <w:rtl w:val="0"/>
        </w:rPr>
        <w:t xml:space="preserve">09074/INFOEM/IP/RR/2025,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bCs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bCs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5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after="0" w:line="360" w:lineRule="auto"/>
        <w:jc w:val="both"/>
        <w:rPr>
          <w:rFonts w:ascii="Palatino Linotype" w:cs="Palatino Linotype" w:eastAsia="Palatino Linotype" w:hAnsi="Palatino Linotype"/>
        </w:rPr>
      </w:pPr>
      <w:bookmarkStart w:colFirst="0" w:colLast="0" w:name="_heading=h.kelgs2428oa6" w:id="5"/>
      <w:bookmarkEnd w:id="5"/>
      <w:r w:rsidDel="00000000" w:rsidR="00000000" w:rsidRPr="00000000">
        <w:rPr>
          <w:rFonts w:ascii="Palatino Linotype" w:cs="Palatino Linotype" w:eastAsia="Palatino Linotype" w:hAnsi="Palatino Linotype"/>
          <w:b w:val="1"/>
          <w:bCs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bCs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bCs w:val="1"/>
          <w:rtl w:val="0"/>
        </w:rPr>
        <w:t xml:space="preserve">Cuarto </w:t>
      </w:r>
      <w:r w:rsidDel="00000000" w:rsidR="00000000" w:rsidRPr="00000000">
        <w:rPr>
          <w:rFonts w:ascii="Palatino Linotype" w:cs="Palatino Linotype" w:eastAsia="Palatino Linotype" w:hAnsi="Palatino Linotype"/>
          <w:rtl w:val="0"/>
        </w:rPr>
        <w:t xml:space="preserve">de esta resolución, haga entrega vía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de lo siguiente:</w:t>
      </w:r>
    </w:p>
    <w:p w:rsidR="00000000" w:rsidDel="00000000" w:rsidP="00000000" w:rsidRDefault="00000000" w:rsidRPr="00000000" w14:paraId="0000015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851" w:right="84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Acuerdo del Comité de Transparencia en términos de la Ley de Transparencia y Acceso a la Información Pública del Estado de México y Municipios, en el que funde y motive la clasificación de los datos que obran en las Bitácoras de suministro de gasolina del área de Tesorería Municipal, remitidos en respuesta, correspondientes al mes de junio de dos mil veinticinco. </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84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 Notifíquese vía SAIMEX,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6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 Notifíquese vía SAIMEX,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64">
      <w:pPr>
        <w:spacing w:after="0" w:line="360" w:lineRule="auto"/>
        <w:jc w:val="both"/>
        <w:rPr>
          <w:rFonts w:ascii="Palatino Linotype" w:cs="Palatino Linotype" w:eastAsia="Palatino Linotype" w:hAnsi="Palatino Linotype"/>
        </w:rPr>
      </w:pPr>
      <w:bookmarkStart w:colFirst="0" w:colLast="0" w:name="_heading=h.gjdgxs" w:id="6"/>
      <w:bookmarkEnd w:id="6"/>
      <w:r w:rsidDel="00000000" w:rsidR="00000000" w:rsidRPr="00000000">
        <w:rPr>
          <w:rtl w:val="0"/>
        </w:rPr>
      </w:r>
    </w:p>
    <w:p w:rsidR="00000000" w:rsidDel="00000000" w:rsidP="00000000" w:rsidRDefault="00000000" w:rsidRPr="00000000" w14:paraId="0000016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 Notifíquese vía SAIMEX, </w:t>
      </w:r>
      <w:r w:rsidDel="00000000" w:rsidR="00000000" w:rsidRPr="00000000">
        <w:rPr>
          <w:rFonts w:ascii="Palatino Linotype" w:cs="Palatino Linotype" w:eastAsia="Palatino Linotype" w:hAnsi="Palatino Linotype"/>
          <w:rtl w:val="0"/>
        </w:rPr>
        <w:t xml:space="preserve">a </w:t>
      </w:r>
      <w:r w:rsidDel="00000000" w:rsidR="00000000" w:rsidRPr="00000000">
        <w:rPr>
          <w:rFonts w:ascii="Palatino Linotype" w:cs="Palatino Linotype" w:eastAsia="Palatino Linotype" w:hAnsi="Palatino Linotype"/>
          <w:b w:val="1"/>
          <w:bCs w:val="1"/>
          <w:rtl w:val="0"/>
        </w:rPr>
        <w:t xml:space="preserve">la</w:t>
      </w:r>
      <w:r w:rsidDel="00000000" w:rsidR="00000000" w:rsidRPr="00000000">
        <w:rPr>
          <w:rFonts w:ascii="Palatino Linotype" w:cs="Palatino Linotype" w:eastAsia="Palatino Linotype" w:hAnsi="Palatino Linotype"/>
          <w:rtl w:val="0"/>
        </w:rPr>
        <w:t xml:space="preserve">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6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after="0" w:line="360" w:lineRule="auto"/>
        <w:ind w:right="49"/>
        <w:jc w:val="both"/>
        <w:rPr>
          <w:rFonts w:ascii="Palatino Linotype" w:cs="Palatino Linotype" w:eastAsia="Palatino Linotype" w:hAnsi="Palatino Linotype"/>
        </w:rPr>
        <w:sectPr>
          <w:headerReference r:id="rId11" w:type="default"/>
          <w:headerReference r:id="rId12" w:type="first"/>
          <w:footerReference r:id="rId13" w:type="default"/>
          <w:footerReference r:id="rId14" w:type="first"/>
          <w:pgSz w:h="15840" w:w="12240" w:orient="portrait"/>
          <w:pgMar w:bottom="1701" w:top="2041" w:left="1701" w:right="1474" w:header="709" w:footer="709"/>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VEINTIDÓS DE OCTUBRE DE DOS MIL VEINTICINCO, ANTE EL SECRETARIO TÉCNICO DEL PLENO ALEXIS TAPIA RAMÍREZ. </w:t>
      </w:r>
    </w:p>
    <w:p w:rsidR="00000000" w:rsidDel="00000000" w:rsidP="00000000" w:rsidRDefault="00000000" w:rsidRPr="00000000" w14:paraId="00000168">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5" w:type="first"/>
      <w:type w:val="nextPage"/>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tl w:val="0"/>
      </w:rPr>
      <w:t xml:space="preserve">1</w:t>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6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Tesis [A]: 2a. Semanario Judicial de la Federación, Sexta Época, Volumen LII, Tercera Parte, p. 101, Reg. digital </w:t>
      </w:r>
      <w:r w:rsidDel="00000000" w:rsidR="00000000" w:rsidRPr="00000000">
        <w:rPr>
          <w:rFonts w:ascii="Palatino Linotype" w:cs="Palatino Linotype" w:eastAsia="Palatino Linotype" w:hAnsi="Palatino Linotype"/>
          <w:color w:val="212529"/>
          <w:sz w:val="16"/>
          <w:szCs w:val="16"/>
          <w:highlight w:val="white"/>
          <w:rtl w:val="0"/>
        </w:rPr>
        <w:t xml:space="preserve">267287.</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-727073</wp:posOffset>
          </wp:positionH>
          <wp:positionV relativeFrom="paragraph">
            <wp:posOffset>-335913</wp:posOffset>
          </wp:positionV>
          <wp:extent cx="7809876" cy="10165823"/>
          <wp:effectExtent b="0" l="0" r="0" t="0"/>
          <wp:wrapNone/>
          <wp:docPr id="89832444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09074/INFOEM/IP/RR/2025</w:t>
          </w:r>
        </w:p>
      </w:tc>
    </w:tr>
    <w:tr>
      <w:trPr>
        <w:cantSplit w:val="0"/>
        <w:trHeight w:val="217" w:hRule="atLeast"/>
        <w:tblHeader w:val="0"/>
      </w:trPr>
      <w:tc>
        <w:tcPr>
          <w:vAlign w:val="center"/>
        </w:tcPr>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Tenango del Valle</w:t>
          </w:r>
        </w:p>
      </w:tc>
    </w:tr>
    <w:tr>
      <w:trPr>
        <w:cantSplit w:val="0"/>
        <w:tblHeader w:val="0"/>
      </w:trPr>
      <w:tc>
        <w:tcPr>
          <w:vAlign w:val="center"/>
        </w:tcPr>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-600073</wp:posOffset>
          </wp:positionH>
          <wp:positionV relativeFrom="paragraph">
            <wp:posOffset>-286382</wp:posOffset>
          </wp:positionV>
          <wp:extent cx="7809876" cy="10165823"/>
          <wp:effectExtent b="0" l="0" r="0" t="0"/>
          <wp:wrapNone/>
          <wp:docPr descr="Forma, Flecha&#10;&#10;El contenido generado por IA puede ser incorrecto." id="898324450" name="image3.png"/>
          <a:graphic>
            <a:graphicData uri="http://schemas.openxmlformats.org/drawingml/2006/picture">
              <pic:pic>
                <pic:nvPicPr>
                  <pic:cNvPr descr="Forma, Flecha&#10;&#10;El contenido generado por IA puede ser incorrecto."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09074/INFOEM/IP/RR/2025</w:t>
          </w:r>
        </w:p>
      </w:tc>
    </w:tr>
    <w:tr>
      <w:trPr>
        <w:cantSplit w:val="0"/>
        <w:tblHeader w:val="0"/>
      </w:trPr>
      <w:tc>
        <w:tcPr>
          <w:vAlign w:val="center"/>
        </w:tcPr>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Recurrente:</w:t>
          </w:r>
        </w:p>
      </w:tc>
      <w:tc>
        <w:tcP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XX X XX</w:t>
          </w:r>
        </w:p>
      </w:tc>
    </w:tr>
    <w:tr>
      <w:trPr>
        <w:cantSplit w:val="0"/>
        <w:trHeight w:val="152" w:hRule="atLeast"/>
        <w:tblHeader w:val="0"/>
      </w:trPr>
      <w:tc>
        <w:tcPr>
          <w:vAlign w:val="center"/>
        </w:tcPr>
        <w:p w:rsidR="00000000" w:rsidDel="00000000" w:rsidP="00000000" w:rsidRDefault="00000000" w:rsidRPr="00000000" w14:paraId="00000177">
          <w:pP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Tenango del Valle</w:t>
          </w:r>
        </w:p>
      </w:tc>
    </w:tr>
    <w:tr>
      <w:trPr>
        <w:cantSplit w:val="0"/>
        <w:tblHeader w:val="0"/>
      </w:trPr>
      <w:tc>
        <w:tcPr>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062"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5"/>
      <w:numFmt w:val="bullet"/>
      <w:lvlText w:val="-"/>
      <w:lvlJc w:val="left"/>
      <w:pPr>
        <w:ind w:left="1440" w:hanging="360"/>
      </w:pPr>
      <w:rPr>
        <w:rFonts w:ascii="Palatino Linotype" w:cs="Palatino Linotype" w:eastAsia="Palatino Linotype" w:hAnsi="Palatino Linotype"/>
        <w:b w:val="1"/>
        <w:bCs w:val="1"/>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6" w:customStyle="1">
    <w:name w:val="6"/>
    <w:basedOn w:val="TableNormal1"/>
    <w:tblPr>
      <w:tblStyleRowBandSize w:val="1"/>
      <w:tblStyleColBandSize w:val="1"/>
      <w:tblCellMar>
        <w:top w:w="15.0" w:type="dxa"/>
        <w:left w:w="15.0" w:type="dxa"/>
        <w:bottom w:w="15.0" w:type="dxa"/>
        <w:right w:w="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1"/>
    <w:tblPr>
      <w:tblStyleRowBandSize w:val="1"/>
      <w:tblStyleColBandSize w:val="1"/>
      <w:tblCellMar>
        <w:left w:w="115.0" w:type="dxa"/>
        <w:right w:w="115.0" w:type="dxa"/>
      </w:tblCellMar>
    </w:tblPr>
  </w:style>
  <w:style w:type="table" w:styleId="3" w:customStyle="1">
    <w:name w:val="3"/>
    <w:basedOn w:val="TableNormal1"/>
    <w:tblPr>
      <w:tblStyleRowBandSize w:val="1"/>
      <w:tblStyleColBandSize w:val="1"/>
      <w:tblCellMar>
        <w:top w:w="15.0" w:type="dxa"/>
        <w:left w:w="115.0" w:type="dxa"/>
        <w:bottom w:w="15.0" w:type="dxa"/>
        <w:right w:w="115.0" w:type="dxa"/>
      </w:tblCellMar>
    </w:tblPr>
  </w:style>
  <w:style w:type="table" w:styleId="2" w:customStyle="1">
    <w:name w:val="2"/>
    <w:basedOn w:val="TableNormal1"/>
    <w:tblPr>
      <w:tblStyleRowBandSize w:val="1"/>
      <w:tblStyleColBandSize w:val="1"/>
      <w:tblCellMar>
        <w:top w:w="15.0" w:type="dxa"/>
        <w:left w:w="115.0" w:type="dxa"/>
        <w:bottom w:w="15.0" w:type="dxa"/>
        <w:right w:w="115.0" w:type="dxa"/>
      </w:tblCellMar>
    </w:tblPr>
  </w:style>
  <w:style w:type="table" w:styleId="1" w:customStyle="1">
    <w:name w:val="1"/>
    <w:basedOn w:val="TableNormal1"/>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a" w:customStyle="1">
    <w:basedOn w:val="TableNormal0"/>
    <w:pPr>
      <w:spacing w:after="0" w:line="240" w:lineRule="auto"/>
    </w:pPr>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top w:w="15.0" w:type="dxa"/>
        <w:left w:w="115.0" w:type="dxa"/>
        <w:bottom w:w="15.0" w:type="dxa"/>
        <w:right w:w="115.0" w:type="dxa"/>
      </w:tblCellMar>
    </w:tblPr>
  </w:style>
  <w:style w:type="table" w:styleId="a1" w:customStyle="1">
    <w:basedOn w:val="TableNormal0"/>
    <w:tblPr>
      <w:tblStyleRowBandSize w:val="1"/>
      <w:tblStyleColBandSize w:val="1"/>
      <w:tblCellMar>
        <w:top w:w="15.0" w:type="dxa"/>
        <w:left w:w="115.0" w:type="dxa"/>
        <w:bottom w:w="15.0" w:type="dxa"/>
        <w:right w:w="115.0" w:type="dxa"/>
      </w:tblCellMar>
    </w:tblPr>
  </w:style>
  <w:style w:type="paragraph" w:styleId="Listaconvietas3">
    <w:name w:val="List Bullet 3"/>
    <w:basedOn w:val="Normal"/>
    <w:uiPriority w:val="99"/>
    <w:unhideWhenUsed w:val="1"/>
    <w:rsid w:val="003B36ED"/>
    <w:pPr>
      <w:numPr>
        <w:numId w:val="19"/>
      </w:numPr>
      <w:spacing w:after="0" w:line="240" w:lineRule="auto"/>
      <w:contextualSpacing w:val="1"/>
    </w:pPr>
    <w:rPr>
      <w:rFonts w:ascii="Times New Roman" w:hAnsi="Times New Roman"/>
      <w:sz w:val="24"/>
      <w:szCs w:val="24"/>
      <w:lang w:eastAsia="es-MX"/>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XfgpXZp5Qg+XQvAqGdMQYcHE9A==">CgMxLjAyDmgubm9tcHo4bDRqOTN1MgloLjMwajB6bGwyDmgubmF0OHN6aXpqZDc1Mg5oLmhydzhlb3Npbnd1ZjIJaC40ZDM0b2c4Mg5oLmtlbGdzMjQyOG9hNjIIaC5namRneHM4AHIhMXI4WlYzVG16a0JGN0xNWlNOYlFVMEtkMmNidkZqVUg4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2025-11-19T23:09:00Z</dcterms:created>
  <dc:creator>Cuenta Microsoft</dc:creator>
</cp:coreProperties>
</file>